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7A6C" w14:textId="77777777" w:rsidR="00687135" w:rsidRPr="00E97F0A" w:rsidRDefault="00923481" w:rsidP="0017338F">
      <w:pPr>
        <w:spacing w:after="0" w:line="100" w:lineRule="atLeast"/>
        <w:ind w:left="-180" w:right="-193"/>
        <w:rPr>
          <w:rFonts w:ascii="Times New Roman" w:hAnsi="Times New Roman"/>
          <w:sz w:val="24"/>
          <w:szCs w:val="24"/>
          <w:lang w:val="ro-RO"/>
        </w:rPr>
      </w:pPr>
      <w:r w:rsidRPr="00E97F0A">
        <w:rPr>
          <w:rFonts w:ascii="Times New Roman" w:hAnsi="Times New Roman"/>
          <w:b/>
          <w:sz w:val="24"/>
          <w:szCs w:val="24"/>
          <w:lang w:val="ro-RO"/>
        </w:rPr>
        <w:t>Direcția Generală Planul Național de Redresare și Reziliență</w:t>
      </w:r>
      <w:r w:rsidR="006B502F" w:rsidRPr="00E97F0A">
        <w:rPr>
          <w:rFonts w:ascii="Times New Roman" w:hAnsi="Times New Roman"/>
          <w:b/>
          <w:sz w:val="24"/>
          <w:szCs w:val="24"/>
          <w:lang w:val="ro-RO"/>
        </w:rPr>
        <w:t xml:space="preserve">   </w:t>
      </w:r>
    </w:p>
    <w:p w14:paraId="097D6E8F" w14:textId="551E6B19" w:rsidR="00687135" w:rsidRPr="00E97F0A" w:rsidRDefault="00687135" w:rsidP="00B72C2C">
      <w:pPr>
        <w:keepNext/>
        <w:spacing w:after="0" w:line="100" w:lineRule="atLeast"/>
        <w:ind w:left="-180" w:right="-193"/>
        <w:jc w:val="left"/>
        <w:rPr>
          <w:rFonts w:ascii="Times New Roman" w:eastAsia="Times New Roman" w:hAnsi="Times New Roman"/>
          <w:sz w:val="24"/>
          <w:szCs w:val="24"/>
          <w:lang w:val="ro-RO"/>
        </w:rPr>
      </w:pPr>
      <w:r w:rsidRPr="00E97F0A">
        <w:rPr>
          <w:rFonts w:ascii="Times New Roman" w:eastAsia="Times New Roman" w:hAnsi="Times New Roman"/>
          <w:sz w:val="24"/>
          <w:szCs w:val="24"/>
          <w:lang w:val="ro-RO"/>
        </w:rPr>
        <w:t xml:space="preserve">Nr. </w:t>
      </w:r>
      <w:proofErr w:type="spellStart"/>
      <w:r w:rsidRPr="00E97F0A">
        <w:rPr>
          <w:rFonts w:ascii="Times New Roman" w:eastAsia="Times New Roman" w:hAnsi="Times New Roman"/>
          <w:sz w:val="24"/>
          <w:szCs w:val="24"/>
          <w:lang w:val="ro-RO"/>
        </w:rPr>
        <w:t>înreg</w:t>
      </w:r>
      <w:proofErr w:type="spellEnd"/>
      <w:r w:rsidRPr="00E97F0A">
        <w:rPr>
          <w:rFonts w:ascii="Times New Roman" w:eastAsia="Times New Roman" w:hAnsi="Times New Roman"/>
          <w:sz w:val="24"/>
          <w:szCs w:val="24"/>
          <w:lang w:val="ro-RO"/>
        </w:rPr>
        <w:t xml:space="preserve">.:  </w:t>
      </w:r>
      <w:r w:rsidR="00FC4BC4" w:rsidRPr="00FC4BC4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DGPNRR/71611/09.11.2023</w:t>
      </w:r>
    </w:p>
    <w:p w14:paraId="2C0717F3" w14:textId="77777777" w:rsidR="00F75BF0" w:rsidRPr="00E97F0A" w:rsidRDefault="004C5596" w:rsidP="00740C15">
      <w:pPr>
        <w:keepNext/>
        <w:tabs>
          <w:tab w:val="center" w:pos="8280"/>
        </w:tabs>
        <w:spacing w:after="0" w:line="100" w:lineRule="atLeast"/>
        <w:ind w:left="-180" w:right="-193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E97F0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</w:t>
      </w:r>
      <w:r w:rsidR="009F5330" w:rsidRPr="00E97F0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</w:t>
      </w:r>
      <w:r w:rsidRPr="00E97F0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           </w:t>
      </w:r>
      <w:r w:rsidR="00286082" w:rsidRPr="00E97F0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                 </w:t>
      </w:r>
      <w:r w:rsidRPr="00E97F0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1A97374F" w14:textId="2AC94748" w:rsidR="009A4BB3" w:rsidRDefault="009A4BB3" w:rsidP="009A4BB3">
      <w:pPr>
        <w:tabs>
          <w:tab w:val="left" w:pos="1276"/>
        </w:tabs>
        <w:spacing w:after="0" w:line="100" w:lineRule="atLeast"/>
        <w:ind w:left="0" w:right="-193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  <w:t>Aprob,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Secretar de stat </w:t>
      </w:r>
    </w:p>
    <w:p w14:paraId="735794CA" w14:textId="06C066E8" w:rsidR="009A4BB3" w:rsidRPr="009A4BB3" w:rsidRDefault="009A4BB3" w:rsidP="009A4BB3">
      <w:pPr>
        <w:tabs>
          <w:tab w:val="left" w:pos="1276"/>
        </w:tabs>
        <w:spacing w:after="0" w:line="100" w:lineRule="atLeast"/>
        <w:ind w:left="4956" w:right="-193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9A4BB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Cristian Valer BEȘENI</w:t>
      </w:r>
    </w:p>
    <w:p w14:paraId="3E8B0A26" w14:textId="77777777" w:rsidR="00CF00B6" w:rsidRPr="00E97F0A" w:rsidRDefault="00CF00B6" w:rsidP="00A36332">
      <w:pPr>
        <w:tabs>
          <w:tab w:val="left" w:pos="1276"/>
        </w:tabs>
        <w:spacing w:after="0" w:line="100" w:lineRule="atLeast"/>
        <w:ind w:left="0" w:right="-193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7A6A49E5" w14:textId="77777777" w:rsidR="009A4BB3" w:rsidRDefault="009A4BB3" w:rsidP="00B72C2C">
      <w:pPr>
        <w:keepNext/>
        <w:keepLines/>
        <w:tabs>
          <w:tab w:val="left" w:pos="0"/>
        </w:tabs>
        <w:spacing w:line="100" w:lineRule="atLeast"/>
        <w:ind w:left="-180" w:right="-193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77112D44" w14:textId="1E388C47" w:rsidR="00266407" w:rsidRDefault="00055C05" w:rsidP="00B72C2C">
      <w:pPr>
        <w:keepNext/>
        <w:keepLines/>
        <w:tabs>
          <w:tab w:val="left" w:pos="0"/>
        </w:tabs>
        <w:spacing w:line="100" w:lineRule="atLeast"/>
        <w:ind w:left="-180" w:right="-193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 w:rsidRPr="00E97F0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REFERAT DE APROBARE </w:t>
      </w:r>
    </w:p>
    <w:p w14:paraId="20BF230C" w14:textId="77777777" w:rsidR="00CF00B6" w:rsidRDefault="00CF00B6" w:rsidP="00B72C2C">
      <w:pPr>
        <w:keepNext/>
        <w:keepLines/>
        <w:tabs>
          <w:tab w:val="left" w:pos="0"/>
        </w:tabs>
        <w:spacing w:line="100" w:lineRule="atLeast"/>
        <w:ind w:left="-180" w:right="-193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p w14:paraId="5FB056AE" w14:textId="1B274C2F" w:rsidR="0067333B" w:rsidRPr="00E97F0A" w:rsidRDefault="0067333B" w:rsidP="00B72C2C">
      <w:pPr>
        <w:keepNext/>
        <w:keepLines/>
        <w:tabs>
          <w:tab w:val="left" w:pos="0"/>
        </w:tabs>
        <w:spacing w:line="100" w:lineRule="atLeast"/>
        <w:ind w:left="-180" w:right="-193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a ordinului privind aprobarea Ghidului specific – Condiții de accesare a fondurilor europene aferente Planului Național de Redresare și Reziliență în cadrul apelului de proiecte </w:t>
      </w:r>
      <w:r w:rsidR="00CA7135" w:rsidRPr="00CA7135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PNRR/2023/C3/S/I.2.D.</w:t>
      </w:r>
      <w:r w:rsidR="00E1361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, pentru </w:t>
      </w:r>
      <w:proofErr w:type="spellStart"/>
      <w:r w:rsidR="00E1361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Subinvestiția</w:t>
      </w:r>
      <w:proofErr w:type="spellEnd"/>
      <w:r w:rsidR="00E1361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I.</w:t>
      </w:r>
      <w:r w:rsidR="00CA7135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2</w:t>
      </w:r>
      <w:r w:rsidR="00E1361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.</w:t>
      </w:r>
      <w:r w:rsidR="00CA7135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D</w:t>
      </w:r>
      <w:r w:rsidR="00E1361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„</w:t>
      </w:r>
      <w:r w:rsidR="00CA7135" w:rsidRPr="00CA7135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Investiții în capacități de producție a energiei din surse regenerabile, respectiv biogaz pe bază de gunoi de grajd.</w:t>
      </w:r>
      <w:r w:rsidR="00E1361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”, Componenta C3: Managementul deșeurilor </w:t>
      </w:r>
    </w:p>
    <w:p w14:paraId="0AFA2A74" w14:textId="77777777" w:rsidR="00A36332" w:rsidRPr="00E97F0A" w:rsidRDefault="000B4258" w:rsidP="00A36332">
      <w:pPr>
        <w:tabs>
          <w:tab w:val="left" w:pos="2981"/>
        </w:tabs>
        <w:spacing w:after="0" w:line="100" w:lineRule="atLeast"/>
        <w:ind w:left="-180" w:right="-193"/>
        <w:rPr>
          <w:rFonts w:ascii="Times New Roman" w:hAnsi="Times New Roman"/>
          <w:sz w:val="24"/>
          <w:szCs w:val="24"/>
          <w:lang w:val="ro-RO"/>
        </w:rPr>
      </w:pPr>
      <w:r w:rsidRPr="00E97F0A">
        <w:rPr>
          <w:rFonts w:ascii="Times New Roman" w:hAnsi="Times New Roman"/>
          <w:sz w:val="24"/>
          <w:szCs w:val="24"/>
          <w:lang w:val="ro-RO"/>
        </w:rPr>
        <w:tab/>
      </w:r>
    </w:p>
    <w:p w14:paraId="3A3B646E" w14:textId="77777777" w:rsidR="00A36332" w:rsidRPr="00E97F0A" w:rsidRDefault="00A36332" w:rsidP="00A36332">
      <w:pPr>
        <w:tabs>
          <w:tab w:val="left" w:pos="2981"/>
        </w:tabs>
        <w:spacing w:after="0" w:line="100" w:lineRule="atLeast"/>
        <w:ind w:left="-180" w:right="-193"/>
        <w:rPr>
          <w:rFonts w:ascii="Times New Roman" w:hAnsi="Times New Roman"/>
          <w:sz w:val="24"/>
          <w:szCs w:val="24"/>
          <w:lang w:val="ro-RO"/>
        </w:rPr>
      </w:pPr>
    </w:p>
    <w:p w14:paraId="1388A3F5" w14:textId="77777777" w:rsidR="007173CB" w:rsidRPr="00E97F0A" w:rsidRDefault="0024464F" w:rsidP="00247BDF">
      <w:pPr>
        <w:spacing w:line="100" w:lineRule="atLeast"/>
        <w:ind w:left="-180" w:right="-193" w:firstLine="888"/>
        <w:rPr>
          <w:rFonts w:ascii="Times New Roman" w:hAnsi="Times New Roman"/>
          <w:b/>
          <w:sz w:val="24"/>
          <w:szCs w:val="24"/>
          <w:lang w:val="ro-RO"/>
        </w:rPr>
      </w:pPr>
      <w:r w:rsidRPr="00E97F0A">
        <w:rPr>
          <w:rFonts w:ascii="Times New Roman" w:hAnsi="Times New Roman"/>
          <w:b/>
          <w:sz w:val="24"/>
          <w:szCs w:val="24"/>
          <w:lang w:val="ro-RO"/>
        </w:rPr>
        <w:t>Ministerul Mediului, Apelor și Pădurilor gestionează, în calitate de coordonator de refor</w:t>
      </w:r>
      <w:r w:rsidR="00E45E58" w:rsidRPr="00E97F0A">
        <w:rPr>
          <w:rFonts w:ascii="Times New Roman" w:hAnsi="Times New Roman"/>
          <w:b/>
          <w:sz w:val="24"/>
          <w:szCs w:val="24"/>
          <w:lang w:val="ro-RO"/>
        </w:rPr>
        <w:t>me și/sau investiții pentru Planul Național de Redresare și Reziliență</w:t>
      </w:r>
      <w:r w:rsidR="00C60615" w:rsidRPr="00E97F0A">
        <w:rPr>
          <w:rFonts w:ascii="Times New Roman" w:hAnsi="Times New Roman"/>
          <w:b/>
          <w:sz w:val="24"/>
          <w:szCs w:val="24"/>
          <w:lang w:val="ro-RO"/>
        </w:rPr>
        <w:t xml:space="preserve"> (PNRR)</w:t>
      </w:r>
      <w:r w:rsidR="005757BF" w:rsidRPr="00E97F0A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  <w:r w:rsidRPr="00E97F0A">
        <w:rPr>
          <w:rFonts w:ascii="Times New Roman" w:hAnsi="Times New Roman"/>
          <w:b/>
          <w:sz w:val="24"/>
          <w:szCs w:val="24"/>
          <w:lang w:val="ro-RO"/>
        </w:rPr>
        <w:t>următoarele componente:</w:t>
      </w:r>
    </w:p>
    <w:p w14:paraId="7C06B93B" w14:textId="77777777" w:rsidR="0024464F" w:rsidRPr="00E97F0A" w:rsidRDefault="009E1DAA" w:rsidP="0024464F">
      <w:pPr>
        <w:numPr>
          <w:ilvl w:val="0"/>
          <w:numId w:val="14"/>
        </w:numPr>
        <w:spacing w:after="0" w:line="100" w:lineRule="atLeast"/>
        <w:ind w:right="-193"/>
        <w:rPr>
          <w:rFonts w:ascii="Times New Roman" w:hAnsi="Times New Roman"/>
          <w:sz w:val="24"/>
          <w:szCs w:val="24"/>
          <w:lang w:val="ro-RO"/>
        </w:rPr>
      </w:pPr>
      <w:r w:rsidRPr="00E97F0A">
        <w:rPr>
          <w:rFonts w:ascii="Times New Roman" w:hAnsi="Times New Roman"/>
          <w:sz w:val="24"/>
          <w:szCs w:val="24"/>
          <w:lang w:val="ro-RO"/>
        </w:rPr>
        <w:t>Componenta 1 -</w:t>
      </w:r>
      <w:r w:rsidR="0024464F" w:rsidRPr="00E97F0A">
        <w:rPr>
          <w:rFonts w:ascii="Times New Roman" w:hAnsi="Times New Roman"/>
          <w:sz w:val="24"/>
          <w:szCs w:val="24"/>
          <w:lang w:val="ro-RO"/>
        </w:rPr>
        <w:t xml:space="preserve"> Managementul apei</w:t>
      </w:r>
      <w:r w:rsidR="005757BF" w:rsidRPr="00E97F0A">
        <w:rPr>
          <w:rFonts w:ascii="Times New Roman" w:hAnsi="Times New Roman"/>
          <w:sz w:val="24"/>
          <w:szCs w:val="24"/>
          <w:lang w:val="ro-RO"/>
        </w:rPr>
        <w:t>, cu un buget de 1,462 miliarde de euro;</w:t>
      </w:r>
    </w:p>
    <w:p w14:paraId="28FCF45C" w14:textId="77777777" w:rsidR="0024464F" w:rsidRPr="00E97F0A" w:rsidRDefault="0024464F" w:rsidP="0024464F">
      <w:pPr>
        <w:numPr>
          <w:ilvl w:val="0"/>
          <w:numId w:val="14"/>
        </w:numPr>
        <w:spacing w:after="0" w:line="100" w:lineRule="atLeast"/>
        <w:ind w:right="-193"/>
        <w:rPr>
          <w:rFonts w:ascii="Times New Roman" w:hAnsi="Times New Roman"/>
          <w:sz w:val="24"/>
          <w:szCs w:val="24"/>
          <w:lang w:val="ro-RO"/>
        </w:rPr>
      </w:pPr>
      <w:r w:rsidRPr="00E97F0A">
        <w:rPr>
          <w:rFonts w:ascii="Times New Roman" w:hAnsi="Times New Roman"/>
          <w:sz w:val="24"/>
          <w:szCs w:val="24"/>
          <w:lang w:val="ro-RO"/>
        </w:rPr>
        <w:t xml:space="preserve">Componenta </w:t>
      </w:r>
      <w:r w:rsidR="005757BF" w:rsidRPr="00E97F0A">
        <w:rPr>
          <w:rFonts w:ascii="Times New Roman" w:hAnsi="Times New Roman"/>
          <w:sz w:val="24"/>
          <w:szCs w:val="24"/>
          <w:lang w:val="ro-RO"/>
        </w:rPr>
        <w:t>2 - Păduri și protecția biodiversității, cu un buget  de 1,173 miliarde euro;</w:t>
      </w:r>
    </w:p>
    <w:p w14:paraId="0B3744DE" w14:textId="77777777" w:rsidR="005757BF" w:rsidRPr="00E97F0A" w:rsidRDefault="009E1DAA" w:rsidP="005757BF">
      <w:pPr>
        <w:numPr>
          <w:ilvl w:val="0"/>
          <w:numId w:val="14"/>
        </w:numPr>
        <w:spacing w:after="0" w:line="100" w:lineRule="atLeast"/>
        <w:ind w:right="-193"/>
        <w:rPr>
          <w:rFonts w:ascii="Times New Roman" w:hAnsi="Times New Roman"/>
          <w:sz w:val="24"/>
          <w:szCs w:val="24"/>
          <w:lang w:val="ro-RO"/>
        </w:rPr>
      </w:pPr>
      <w:r w:rsidRPr="00E97F0A">
        <w:rPr>
          <w:rFonts w:ascii="Times New Roman" w:hAnsi="Times New Roman"/>
          <w:sz w:val="24"/>
          <w:szCs w:val="24"/>
          <w:lang w:val="ro-RO"/>
        </w:rPr>
        <w:t xml:space="preserve">Componenta 3 - </w:t>
      </w:r>
      <w:r w:rsidR="005757BF" w:rsidRPr="00E97F0A">
        <w:rPr>
          <w:rFonts w:ascii="Times New Roman" w:hAnsi="Times New Roman"/>
          <w:sz w:val="24"/>
          <w:szCs w:val="24"/>
          <w:lang w:val="ro-RO"/>
        </w:rPr>
        <w:t>Managementul deșeurilor, cu un buget 1,239 miliarde de euro;</w:t>
      </w:r>
    </w:p>
    <w:p w14:paraId="6259AB26" w14:textId="77777777" w:rsidR="005757BF" w:rsidRPr="00E97F0A" w:rsidRDefault="00923481" w:rsidP="005757BF">
      <w:pPr>
        <w:numPr>
          <w:ilvl w:val="0"/>
          <w:numId w:val="14"/>
        </w:numPr>
        <w:spacing w:after="0" w:line="100" w:lineRule="atLeast"/>
        <w:ind w:right="-193"/>
        <w:rPr>
          <w:rFonts w:ascii="Times New Roman" w:hAnsi="Times New Roman"/>
          <w:sz w:val="24"/>
          <w:szCs w:val="24"/>
          <w:lang w:val="ro-RO"/>
        </w:rPr>
      </w:pPr>
      <w:r w:rsidRPr="00E97F0A">
        <w:rPr>
          <w:rFonts w:ascii="Times New Roman" w:hAnsi="Times New Roman"/>
          <w:sz w:val="24"/>
          <w:szCs w:val="24"/>
          <w:lang w:val="ro-RO"/>
        </w:rPr>
        <w:t>Componenta</w:t>
      </w:r>
      <w:r w:rsidR="005757BF" w:rsidRPr="00E97F0A">
        <w:rPr>
          <w:rFonts w:ascii="Times New Roman" w:hAnsi="Times New Roman"/>
          <w:sz w:val="24"/>
          <w:szCs w:val="24"/>
          <w:lang w:val="ro-RO"/>
        </w:rPr>
        <w:t xml:space="preserve"> 7 -</w:t>
      </w:r>
      <w:r w:rsidRPr="00E97F0A">
        <w:rPr>
          <w:rFonts w:ascii="Times New Roman" w:hAnsi="Times New Roman"/>
          <w:sz w:val="24"/>
          <w:szCs w:val="24"/>
          <w:lang w:val="ro-RO"/>
        </w:rPr>
        <w:t xml:space="preserve"> Transformarea digitală</w:t>
      </w:r>
      <w:r w:rsidR="005757BF" w:rsidRPr="00E97F0A">
        <w:rPr>
          <w:rFonts w:ascii="Times New Roman" w:hAnsi="Times New Roman"/>
          <w:sz w:val="24"/>
          <w:szCs w:val="24"/>
          <w:lang w:val="ro-RO"/>
        </w:rPr>
        <w:t>, Investiția 5 - Digitalizare în domeniul mediului</w:t>
      </w:r>
      <w:r w:rsidR="009E1DAA" w:rsidRPr="00E97F0A">
        <w:rPr>
          <w:rFonts w:ascii="Times New Roman" w:hAnsi="Times New Roman"/>
          <w:sz w:val="24"/>
          <w:szCs w:val="24"/>
          <w:lang w:val="ro-RO"/>
        </w:rPr>
        <w:t>.</w:t>
      </w:r>
    </w:p>
    <w:p w14:paraId="2507BAFB" w14:textId="77777777" w:rsidR="005757BF" w:rsidRPr="00E97F0A" w:rsidRDefault="005757BF" w:rsidP="005757BF">
      <w:pPr>
        <w:spacing w:after="0" w:line="100" w:lineRule="atLeast"/>
        <w:ind w:left="180" w:right="-193"/>
        <w:rPr>
          <w:rFonts w:ascii="Times New Roman" w:hAnsi="Times New Roman"/>
          <w:sz w:val="24"/>
          <w:szCs w:val="24"/>
          <w:lang w:val="ro-RO"/>
        </w:rPr>
      </w:pPr>
    </w:p>
    <w:p w14:paraId="349CF16C" w14:textId="77777777" w:rsidR="00DE3CCD" w:rsidRPr="00E97F0A" w:rsidRDefault="00055C05" w:rsidP="00A36332">
      <w:pPr>
        <w:spacing w:line="100" w:lineRule="atLeast"/>
        <w:ind w:left="-180" w:right="-193" w:firstLine="900"/>
        <w:rPr>
          <w:rFonts w:ascii="Times New Roman" w:hAnsi="Times New Roman"/>
          <w:sz w:val="24"/>
          <w:szCs w:val="24"/>
          <w:lang w:val="ro-RO"/>
        </w:rPr>
      </w:pPr>
      <w:r w:rsidRPr="00E97F0A">
        <w:rPr>
          <w:rFonts w:ascii="Times New Roman" w:hAnsi="Times New Roman"/>
          <w:b/>
          <w:sz w:val="24"/>
          <w:szCs w:val="24"/>
          <w:lang w:val="ro-RO"/>
        </w:rPr>
        <w:t>Componenta 3</w:t>
      </w:r>
      <w:r w:rsidR="005757BF" w:rsidRPr="00E97F0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E3CCD" w:rsidRPr="00E97F0A">
        <w:rPr>
          <w:rFonts w:ascii="Times New Roman" w:hAnsi="Times New Roman"/>
          <w:b/>
          <w:sz w:val="24"/>
          <w:szCs w:val="24"/>
          <w:lang w:val="ro-RO"/>
        </w:rPr>
        <w:t>–</w:t>
      </w:r>
      <w:r w:rsidR="005757BF" w:rsidRPr="00E97F0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DE3CCD" w:rsidRPr="00E97F0A">
        <w:rPr>
          <w:rFonts w:ascii="Times New Roman" w:hAnsi="Times New Roman"/>
          <w:b/>
          <w:sz w:val="24"/>
          <w:szCs w:val="24"/>
          <w:lang w:val="ro-RO"/>
        </w:rPr>
        <w:t>Managementul deșeurilor</w:t>
      </w:r>
      <w:r w:rsidR="005757BF" w:rsidRPr="00E97F0A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EB2096" w:rsidRPr="00E97F0A">
        <w:rPr>
          <w:rFonts w:ascii="Times New Roman" w:hAnsi="Times New Roman"/>
          <w:sz w:val="24"/>
          <w:szCs w:val="24"/>
          <w:lang w:val="ro-RO"/>
        </w:rPr>
        <w:t>in cadrul</w:t>
      </w:r>
      <w:r w:rsidR="00923481" w:rsidRPr="00E97F0A">
        <w:rPr>
          <w:rFonts w:ascii="Times New Roman" w:hAnsi="Times New Roman"/>
          <w:sz w:val="24"/>
          <w:szCs w:val="24"/>
          <w:lang w:val="ro-RO"/>
        </w:rPr>
        <w:t xml:space="preserve"> Planului</w:t>
      </w:r>
      <w:r w:rsidR="00C60615" w:rsidRPr="00E97F0A">
        <w:rPr>
          <w:rFonts w:ascii="Times New Roman" w:hAnsi="Times New Roman"/>
          <w:sz w:val="24"/>
          <w:szCs w:val="24"/>
          <w:lang w:val="ro-RO"/>
        </w:rPr>
        <w:t xml:space="preserve"> Național de Redresare și R</w:t>
      </w:r>
      <w:r w:rsidR="00923481" w:rsidRPr="00E97F0A">
        <w:rPr>
          <w:rFonts w:ascii="Times New Roman" w:hAnsi="Times New Roman"/>
          <w:sz w:val="24"/>
          <w:szCs w:val="24"/>
          <w:lang w:val="ro-RO"/>
        </w:rPr>
        <w:t xml:space="preserve">eziliență </w:t>
      </w:r>
      <w:r w:rsidR="00E13613">
        <w:rPr>
          <w:rFonts w:ascii="Times New Roman" w:hAnsi="Times New Roman"/>
          <w:sz w:val="24"/>
          <w:szCs w:val="24"/>
          <w:lang w:val="ro-RO"/>
        </w:rPr>
        <w:t>face parte din Pilonul I. Tranziție verde.</w:t>
      </w:r>
    </w:p>
    <w:p w14:paraId="03E68598" w14:textId="77777777" w:rsidR="00DE3CCD" w:rsidRDefault="00DE3CCD" w:rsidP="00247BDF">
      <w:pPr>
        <w:spacing w:line="100" w:lineRule="atLeast"/>
        <w:ind w:left="-180" w:right="-193" w:firstLine="888"/>
        <w:rPr>
          <w:rFonts w:ascii="Times New Roman" w:hAnsi="Times New Roman"/>
          <w:sz w:val="24"/>
          <w:szCs w:val="24"/>
          <w:lang w:val="ro-RO"/>
        </w:rPr>
      </w:pPr>
      <w:r w:rsidRPr="00E97F0A">
        <w:rPr>
          <w:rFonts w:ascii="Times New Roman" w:hAnsi="Times New Roman"/>
          <w:b/>
          <w:sz w:val="24"/>
          <w:szCs w:val="24"/>
          <w:lang w:val="ro-RO"/>
        </w:rPr>
        <w:t xml:space="preserve">Obiectivul </w:t>
      </w:r>
      <w:r w:rsidR="00E13613">
        <w:rPr>
          <w:rFonts w:ascii="Times New Roman" w:hAnsi="Times New Roman"/>
          <w:bCs/>
          <w:sz w:val="24"/>
          <w:szCs w:val="24"/>
          <w:lang w:val="ro-RO"/>
        </w:rPr>
        <w:t>acestei componente</w:t>
      </w:r>
      <w:r w:rsidRPr="00E97F0A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13613">
        <w:rPr>
          <w:rFonts w:ascii="Times New Roman" w:hAnsi="Times New Roman"/>
          <w:sz w:val="24"/>
          <w:szCs w:val="24"/>
          <w:lang w:val="ro-RO"/>
        </w:rPr>
        <w:t>reprezintă</w:t>
      </w:r>
      <w:r w:rsidRPr="00E97F0A">
        <w:rPr>
          <w:rFonts w:ascii="Times New Roman" w:hAnsi="Times New Roman"/>
          <w:sz w:val="24"/>
          <w:szCs w:val="24"/>
          <w:lang w:val="ro-RO"/>
        </w:rPr>
        <w:t xml:space="preserve"> accele</w:t>
      </w:r>
      <w:r w:rsidR="00E13613">
        <w:rPr>
          <w:rFonts w:ascii="Times New Roman" w:hAnsi="Times New Roman"/>
          <w:sz w:val="24"/>
          <w:szCs w:val="24"/>
          <w:lang w:val="ro-RO"/>
        </w:rPr>
        <w:t>rarea</w:t>
      </w:r>
      <w:r w:rsidRPr="00E97F0A">
        <w:rPr>
          <w:rFonts w:ascii="Times New Roman" w:hAnsi="Times New Roman"/>
          <w:sz w:val="24"/>
          <w:szCs w:val="24"/>
          <w:lang w:val="ro-RO"/>
        </w:rPr>
        <w:t xml:space="preserve"> procesul</w:t>
      </w:r>
      <w:r w:rsidR="00E13613">
        <w:rPr>
          <w:rFonts w:ascii="Times New Roman" w:hAnsi="Times New Roman"/>
          <w:sz w:val="24"/>
          <w:szCs w:val="24"/>
          <w:lang w:val="ro-RO"/>
        </w:rPr>
        <w:t>ui</w:t>
      </w:r>
      <w:r w:rsidRPr="00E97F0A">
        <w:rPr>
          <w:rFonts w:ascii="Times New Roman" w:hAnsi="Times New Roman"/>
          <w:sz w:val="24"/>
          <w:szCs w:val="24"/>
          <w:lang w:val="ro-RO"/>
        </w:rPr>
        <w:t xml:space="preserve"> de extindere și modernizare a sistemelor de gestionare a deșeurilor în România cu accent pe colectarea separată, măsuri de prevenție, reducere, reutilizare și valorificare în vederea conformării cu legislația UE aplicabilă și trecerii la economia circulară.</w:t>
      </w:r>
    </w:p>
    <w:p w14:paraId="3D9FC507" w14:textId="77777777" w:rsidR="00E13613" w:rsidRDefault="00E13613" w:rsidP="00247BDF">
      <w:pPr>
        <w:spacing w:line="100" w:lineRule="atLeast"/>
        <w:ind w:left="-180" w:right="-193" w:firstLine="888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Managementul deșeurilor vizează îmbunătățirea</w:t>
      </w:r>
      <w:r w:rsidR="00270EC8">
        <w:rPr>
          <w:rFonts w:ascii="Times New Roman" w:hAnsi="Times New Roman"/>
          <w:bCs/>
          <w:sz w:val="24"/>
          <w:szCs w:val="24"/>
          <w:lang w:val="ro-RO"/>
        </w:rPr>
        <w:t xml:space="preserve"> implementării colectării separate, controlului și monitorizării parametrilor de calitate a mediului. Investițiile din cadrul Planului Național de Redresare și Reziliență în domeniul gestionării deșeurilor municipale contribuie cu 4.5% la ținta națională de atingere a ratei de 50% de reciclare și pregătire pentru reutilizare a deșeurilor municipale până în 2025, astfel cum este definită în Directiva – cadru privind deșeurile (Directiva 2008/98/CE modificată prin Directiva (UE) 2018/851). </w:t>
      </w:r>
    </w:p>
    <w:p w14:paraId="355668D9" w14:textId="77777777" w:rsidR="00270EC8" w:rsidRDefault="00270EC8" w:rsidP="00247BDF">
      <w:pPr>
        <w:spacing w:line="100" w:lineRule="atLeast"/>
        <w:ind w:left="-180" w:right="-193" w:firstLine="888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Această componentă cuprinde o reformă și 3 investiții. </w:t>
      </w:r>
    </w:p>
    <w:p w14:paraId="4F01155D" w14:textId="0F2484CC" w:rsidR="00F662D0" w:rsidRDefault="00F662D0" w:rsidP="00247BDF">
      <w:pPr>
        <w:spacing w:line="100" w:lineRule="atLeast"/>
        <w:ind w:left="-180" w:right="-193" w:firstLine="888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Obiectivul 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Investiției </w:t>
      </w:r>
      <w:r w:rsidR="00CA7135">
        <w:rPr>
          <w:rFonts w:ascii="Times New Roman" w:hAnsi="Times New Roman"/>
          <w:b/>
          <w:sz w:val="24"/>
          <w:szCs w:val="24"/>
          <w:lang w:val="ro-RO"/>
        </w:rPr>
        <w:t>2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="00CA7135" w:rsidRPr="00CA7135">
        <w:rPr>
          <w:rFonts w:ascii="Times New Roman" w:hAnsi="Times New Roman"/>
          <w:b/>
          <w:sz w:val="24"/>
          <w:szCs w:val="24"/>
          <w:lang w:val="ro-RO"/>
        </w:rPr>
        <w:t>Dezvoltarea infrastructurii pentru managementul gunoiului de grajd și al altor deșeuri agricole compostabile.</w:t>
      </w:r>
      <w:r w:rsidR="00CA713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este de a </w:t>
      </w:r>
      <w:r w:rsidR="00CA7135">
        <w:rPr>
          <w:rFonts w:ascii="Times New Roman" w:hAnsi="Times New Roman"/>
          <w:bCs/>
          <w:sz w:val="24"/>
          <w:szCs w:val="24"/>
          <w:lang w:val="ro-RO"/>
        </w:rPr>
        <w:t>g</w:t>
      </w:r>
      <w:r w:rsidR="00CA7135" w:rsidRPr="00CA7135">
        <w:rPr>
          <w:rFonts w:ascii="Times New Roman" w:hAnsi="Times New Roman"/>
          <w:bCs/>
          <w:sz w:val="24"/>
          <w:szCs w:val="24"/>
          <w:lang w:val="ro-RO"/>
        </w:rPr>
        <w:t xml:space="preserve">estiona sustenabil </w:t>
      </w:r>
      <w:proofErr w:type="spellStart"/>
      <w:r w:rsidR="00CA7135" w:rsidRPr="00CA7135">
        <w:rPr>
          <w:rFonts w:ascii="Times New Roman" w:hAnsi="Times New Roman"/>
          <w:bCs/>
          <w:sz w:val="24"/>
          <w:szCs w:val="24"/>
          <w:lang w:val="ro-RO"/>
        </w:rPr>
        <w:t>biodeșeuril</w:t>
      </w:r>
      <w:r w:rsidR="00CA7135">
        <w:rPr>
          <w:rFonts w:ascii="Times New Roman" w:hAnsi="Times New Roman"/>
          <w:bCs/>
          <w:sz w:val="24"/>
          <w:szCs w:val="24"/>
          <w:lang w:val="ro-RO"/>
        </w:rPr>
        <w:t>e</w:t>
      </w:r>
      <w:proofErr w:type="spellEnd"/>
      <w:r w:rsidR="00CA7135" w:rsidRPr="00CA7135">
        <w:rPr>
          <w:rFonts w:ascii="Times New Roman" w:hAnsi="Times New Roman"/>
          <w:bCs/>
          <w:sz w:val="24"/>
          <w:szCs w:val="24"/>
          <w:lang w:val="ro-RO"/>
        </w:rPr>
        <w:t xml:space="preserve"> agricole, în special a celor provenite din activitățile zootehnice, prin creșterea gradului de valorificare a acestora în vederea reducerii poluării cu nitrați și dezvoltarea infrastructurii pentru managementul gunoiului de grajd și al altor deșeuri agricole compostabile.</w:t>
      </w:r>
      <w:r w:rsidR="00E616BD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</w:p>
    <w:p w14:paraId="779D6407" w14:textId="77777777" w:rsidR="00E616BD" w:rsidRPr="00E616BD" w:rsidRDefault="00E616BD" w:rsidP="00247BDF">
      <w:pPr>
        <w:spacing w:line="100" w:lineRule="atLeast"/>
        <w:ind w:left="-180" w:right="-193" w:firstLine="888"/>
        <w:rPr>
          <w:rFonts w:ascii="Times New Roman" w:hAnsi="Times New Roman"/>
          <w:bCs/>
          <w:sz w:val="24"/>
          <w:szCs w:val="24"/>
          <w:lang w:val="ro-RO"/>
        </w:rPr>
      </w:pPr>
      <w:r w:rsidRPr="00E22CEA">
        <w:rPr>
          <w:rFonts w:ascii="Times New Roman" w:hAnsi="Times New Roman"/>
          <w:b/>
          <w:sz w:val="24"/>
          <w:szCs w:val="24"/>
          <w:lang w:val="ro-RO"/>
        </w:rPr>
        <w:lastRenderedPageBreak/>
        <w:t>Obiectiv general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: Accelerarea procesului de extindere și modernizare a sistemelor de gestionare a deșeurilor în România cu accent pe colectarea separată, măsuri de prevenție, reducere, reutilizare și valorificare în vederea conformării cu directivele aplicabile și tranziției la economia circulară. </w:t>
      </w:r>
    </w:p>
    <w:p w14:paraId="3D50FE45" w14:textId="2A864FA6" w:rsidR="00C153E7" w:rsidRPr="00E97F0A" w:rsidRDefault="00F544C4" w:rsidP="00F544C4">
      <w:pPr>
        <w:tabs>
          <w:tab w:val="left" w:pos="900"/>
        </w:tabs>
        <w:spacing w:line="100" w:lineRule="atLeast"/>
        <w:ind w:left="0" w:right="-193"/>
        <w:rPr>
          <w:rFonts w:ascii="Times New Roman" w:hAnsi="Times New Roman"/>
          <w:sz w:val="24"/>
          <w:szCs w:val="24"/>
          <w:lang w:val="ro-RO"/>
        </w:rPr>
      </w:pPr>
      <w:r w:rsidRPr="00E97F0A">
        <w:rPr>
          <w:rFonts w:ascii="Times New Roman" w:hAnsi="Times New Roman"/>
          <w:i/>
          <w:sz w:val="24"/>
          <w:szCs w:val="24"/>
          <w:lang w:val="ro-RO"/>
        </w:rPr>
        <w:tab/>
      </w:r>
      <w:r w:rsidRPr="00E97F0A">
        <w:rPr>
          <w:rFonts w:ascii="Times New Roman" w:hAnsi="Times New Roman"/>
          <w:sz w:val="24"/>
          <w:szCs w:val="24"/>
          <w:lang w:val="ro-RO"/>
        </w:rPr>
        <w:t>Implementarea acestei Investiții include, printre altele, și</w:t>
      </w:r>
      <w:r w:rsidR="00E97F0A">
        <w:rPr>
          <w:rFonts w:ascii="Times New Roman" w:hAnsi="Times New Roman"/>
          <w:sz w:val="24"/>
          <w:szCs w:val="24"/>
          <w:lang w:val="ro-RO"/>
        </w:rPr>
        <w:t xml:space="preserve"> înființarea</w:t>
      </w:r>
      <w:r w:rsidR="00CA7135">
        <w:rPr>
          <w:rFonts w:ascii="Times New Roman" w:hAnsi="Times New Roman"/>
          <w:sz w:val="24"/>
          <w:szCs w:val="24"/>
          <w:lang w:val="ro-RO"/>
        </w:rPr>
        <w:t xml:space="preserve"> de sisteme de biogaz pentru comunitățile cu ferme foarte mari (cu capacități electrice de cel puțin 300 kW și capacități de încălzire de cel puțin 300 kW, până la maximum 1 MW electric și 1 MW termic)</w:t>
      </w:r>
      <w:r w:rsidR="00671C11">
        <w:rPr>
          <w:rFonts w:ascii="Times New Roman" w:hAnsi="Times New Roman"/>
          <w:sz w:val="24"/>
          <w:szCs w:val="24"/>
          <w:lang w:val="ro-RO"/>
        </w:rPr>
        <w:t>,</w:t>
      </w:r>
      <w:r w:rsidR="00C153E7" w:rsidRPr="00E97F0A">
        <w:rPr>
          <w:rFonts w:ascii="Times New Roman" w:hAnsi="Times New Roman"/>
          <w:sz w:val="24"/>
          <w:szCs w:val="24"/>
          <w:lang w:val="ro-RO"/>
        </w:rPr>
        <w:t xml:space="preserve"> după cum urmează:</w:t>
      </w:r>
    </w:p>
    <w:p w14:paraId="5EDD35A8" w14:textId="26389D8F" w:rsidR="00CF00B6" w:rsidRPr="00E97F0A" w:rsidRDefault="00C153E7" w:rsidP="007F4EE0">
      <w:pPr>
        <w:numPr>
          <w:ilvl w:val="0"/>
          <w:numId w:val="14"/>
        </w:numPr>
        <w:tabs>
          <w:tab w:val="left" w:pos="900"/>
        </w:tabs>
        <w:spacing w:line="100" w:lineRule="atLeast"/>
        <w:ind w:right="-193" w:firstLine="540"/>
        <w:rPr>
          <w:rFonts w:ascii="Times New Roman" w:hAnsi="Times New Roman"/>
          <w:sz w:val="24"/>
          <w:szCs w:val="24"/>
          <w:lang w:val="ro-RO"/>
        </w:rPr>
      </w:pPr>
      <w:r w:rsidRPr="00E97F0A">
        <w:rPr>
          <w:rFonts w:ascii="Times New Roman" w:hAnsi="Times New Roman"/>
          <w:sz w:val="24"/>
          <w:szCs w:val="24"/>
          <w:lang w:val="ro-RO"/>
        </w:rPr>
        <w:t xml:space="preserve">Ținta </w:t>
      </w:r>
      <w:r w:rsidR="00394CB9">
        <w:rPr>
          <w:rFonts w:ascii="Times New Roman" w:hAnsi="Times New Roman"/>
          <w:sz w:val="24"/>
          <w:szCs w:val="24"/>
          <w:lang w:val="ro-RO"/>
        </w:rPr>
        <w:t>5</w:t>
      </w:r>
      <w:r w:rsidR="007F4EE0">
        <w:rPr>
          <w:rFonts w:ascii="Times New Roman" w:hAnsi="Times New Roman"/>
          <w:sz w:val="24"/>
          <w:szCs w:val="24"/>
          <w:lang w:val="ro-RO"/>
        </w:rPr>
        <w:t>5</w:t>
      </w:r>
      <w:r w:rsidRPr="00E97F0A">
        <w:rPr>
          <w:rFonts w:ascii="Times New Roman" w:hAnsi="Times New Roman"/>
          <w:sz w:val="24"/>
          <w:szCs w:val="24"/>
          <w:lang w:val="ro-RO"/>
        </w:rPr>
        <w:t>:</w:t>
      </w:r>
      <w:r w:rsidR="000C52D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F4EE0">
        <w:rPr>
          <w:rFonts w:ascii="Times New Roman" w:hAnsi="Times New Roman"/>
          <w:sz w:val="24"/>
          <w:szCs w:val="24"/>
          <w:lang w:val="ro-RO"/>
        </w:rPr>
        <w:t xml:space="preserve">5 sisteme de biogaz pentru comunitățile cu ferme foarte mari (cu capacități electrice de cel puțin 300 KW și capacități de încălzire de cel puțin 300 KW). </w:t>
      </w:r>
    </w:p>
    <w:p w14:paraId="67606338" w14:textId="65781831" w:rsidR="006E5817" w:rsidRPr="00E97F0A" w:rsidRDefault="006E5817" w:rsidP="006E5817">
      <w:pPr>
        <w:ind w:left="0" w:firstLine="708"/>
        <w:rPr>
          <w:rFonts w:ascii="Times New Roman" w:eastAsia="Calibri" w:hAnsi="Times New Roman"/>
          <w:sz w:val="24"/>
          <w:szCs w:val="24"/>
          <w:lang w:val="ro-RO"/>
        </w:rPr>
      </w:pPr>
      <w:r w:rsidRPr="00E97F0A">
        <w:rPr>
          <w:rFonts w:ascii="Times New Roman" w:eastAsia="Calibri" w:hAnsi="Times New Roman"/>
          <w:b/>
          <w:sz w:val="24"/>
          <w:szCs w:val="24"/>
          <w:lang w:val="ro-RO"/>
        </w:rPr>
        <w:t xml:space="preserve">Alocarea financiară </w:t>
      </w:r>
      <w:r w:rsidR="00E45E58" w:rsidRPr="00E97F0A">
        <w:rPr>
          <w:rFonts w:ascii="Times New Roman" w:eastAsia="Calibri" w:hAnsi="Times New Roman"/>
          <w:sz w:val="24"/>
          <w:szCs w:val="24"/>
          <w:lang w:val="ro-RO"/>
        </w:rPr>
        <w:t>acordată prin Planul Național de Redresare și Reziliență</w:t>
      </w:r>
      <w:r w:rsidRPr="00E97F0A">
        <w:rPr>
          <w:rFonts w:ascii="Times New Roman" w:eastAsia="Calibri" w:hAnsi="Times New Roman"/>
          <w:sz w:val="24"/>
          <w:szCs w:val="24"/>
          <w:lang w:val="ro-RO"/>
        </w:rPr>
        <w:t xml:space="preserve"> pentru lucrările destinate </w:t>
      </w:r>
      <w:r w:rsidR="00C52435">
        <w:rPr>
          <w:rFonts w:ascii="Times New Roman" w:eastAsia="Calibri" w:hAnsi="Times New Roman"/>
          <w:sz w:val="24"/>
          <w:szCs w:val="24"/>
          <w:lang w:val="ro-RO"/>
        </w:rPr>
        <w:t>înființării de centre de colectare cu aport voluntar în cadrul Investiției I</w:t>
      </w:r>
      <w:r w:rsidR="007F4EE0">
        <w:rPr>
          <w:rFonts w:ascii="Times New Roman" w:eastAsia="Calibri" w:hAnsi="Times New Roman"/>
          <w:sz w:val="24"/>
          <w:szCs w:val="24"/>
          <w:lang w:val="ro-RO"/>
        </w:rPr>
        <w:t>2</w:t>
      </w:r>
      <w:r w:rsidR="00C52435">
        <w:rPr>
          <w:rFonts w:ascii="Times New Roman" w:eastAsia="Calibri" w:hAnsi="Times New Roman"/>
          <w:sz w:val="24"/>
          <w:szCs w:val="24"/>
          <w:lang w:val="ro-RO"/>
        </w:rPr>
        <w:t xml:space="preserve">, </w:t>
      </w:r>
      <w:proofErr w:type="spellStart"/>
      <w:r w:rsidR="00C52435">
        <w:rPr>
          <w:rFonts w:ascii="Times New Roman" w:eastAsia="Calibri" w:hAnsi="Times New Roman"/>
          <w:sz w:val="24"/>
          <w:szCs w:val="24"/>
          <w:lang w:val="ro-RO"/>
        </w:rPr>
        <w:t>subinvestiției</w:t>
      </w:r>
      <w:proofErr w:type="spellEnd"/>
      <w:r w:rsidR="00C52435">
        <w:rPr>
          <w:rFonts w:ascii="Times New Roman" w:eastAsia="Calibri" w:hAnsi="Times New Roman"/>
          <w:sz w:val="24"/>
          <w:szCs w:val="24"/>
          <w:lang w:val="ro-RO"/>
        </w:rPr>
        <w:t xml:space="preserve"> I.1.</w:t>
      </w:r>
      <w:r w:rsidR="007F4EE0">
        <w:rPr>
          <w:rFonts w:ascii="Times New Roman" w:eastAsia="Calibri" w:hAnsi="Times New Roman"/>
          <w:sz w:val="24"/>
          <w:szCs w:val="24"/>
          <w:lang w:val="ro-RO"/>
        </w:rPr>
        <w:t>D</w:t>
      </w:r>
      <w:r w:rsidR="00C52435">
        <w:rPr>
          <w:rFonts w:ascii="Times New Roman" w:eastAsia="Calibri" w:hAnsi="Times New Roman"/>
          <w:sz w:val="24"/>
          <w:szCs w:val="24"/>
          <w:lang w:val="ro-RO"/>
        </w:rPr>
        <w:t xml:space="preserve"> este de </w:t>
      </w:r>
      <w:r w:rsidR="007F4EE0" w:rsidRPr="007F4EE0">
        <w:rPr>
          <w:rFonts w:ascii="Times New Roman" w:eastAsia="Calibri" w:hAnsi="Times New Roman"/>
          <w:sz w:val="24"/>
          <w:szCs w:val="24"/>
          <w:lang w:val="ro-RO"/>
        </w:rPr>
        <w:t>27.011.588,50</w:t>
      </w:r>
      <w:r w:rsidR="007F4EE0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Pr="00E97F0A">
        <w:rPr>
          <w:rFonts w:ascii="Times New Roman" w:eastAsia="Calibri" w:hAnsi="Times New Roman"/>
          <w:sz w:val="24"/>
          <w:szCs w:val="24"/>
          <w:lang w:val="ro-RO"/>
        </w:rPr>
        <w:t xml:space="preserve">Euro, din care </w:t>
      </w:r>
      <w:r w:rsidR="007F4EE0" w:rsidRPr="007F4EE0">
        <w:rPr>
          <w:rFonts w:ascii="Times New Roman" w:eastAsia="Calibri" w:hAnsi="Times New Roman"/>
          <w:sz w:val="24"/>
          <w:szCs w:val="24"/>
          <w:lang w:val="ro-RO"/>
        </w:rPr>
        <w:t xml:space="preserve">6.233.443,50 </w:t>
      </w:r>
      <w:r w:rsidR="007F4EE0">
        <w:rPr>
          <w:rFonts w:ascii="Times New Roman" w:eastAsia="Calibri" w:hAnsi="Times New Roman"/>
          <w:sz w:val="24"/>
          <w:szCs w:val="24"/>
          <w:lang w:val="ro-RO"/>
        </w:rPr>
        <w:t>E</w:t>
      </w:r>
      <w:r w:rsidRPr="00E97F0A">
        <w:rPr>
          <w:rFonts w:ascii="Times New Roman" w:eastAsia="Calibri" w:hAnsi="Times New Roman"/>
          <w:sz w:val="24"/>
          <w:szCs w:val="24"/>
          <w:lang w:val="ro-RO"/>
        </w:rPr>
        <w:t>uro reprezintă alocare financiară suplimentară de 30% din sumele alocate prin PNRR investiției, distribuite astfel:</w:t>
      </w:r>
    </w:p>
    <w:p w14:paraId="77CB387A" w14:textId="35F5D97C" w:rsidR="006E5817" w:rsidRPr="00E97F0A" w:rsidRDefault="006E5817" w:rsidP="00FA5085">
      <w:pPr>
        <w:pStyle w:val="ListParagraph"/>
        <w:numPr>
          <w:ilvl w:val="0"/>
          <w:numId w:val="20"/>
        </w:num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u w:val="single"/>
          <w:lang w:val="ro-RO"/>
        </w:rPr>
      </w:pPr>
      <w:r w:rsidRPr="00E97F0A">
        <w:rPr>
          <w:rFonts w:ascii="Times New Roman" w:eastAsia="Calibri" w:hAnsi="Times New Roman"/>
          <w:sz w:val="24"/>
          <w:szCs w:val="24"/>
          <w:lang w:val="ro-RO"/>
        </w:rPr>
        <w:t xml:space="preserve">Alocare financiară din PNRR: </w:t>
      </w:r>
      <w:r w:rsidR="007F4EE0" w:rsidRPr="007F4EE0">
        <w:rPr>
          <w:rFonts w:ascii="Times New Roman" w:eastAsia="Calibri" w:hAnsi="Times New Roman"/>
          <w:sz w:val="24"/>
          <w:szCs w:val="24"/>
          <w:u w:val="single"/>
          <w:lang w:val="ro-RO"/>
        </w:rPr>
        <w:t xml:space="preserve">20.778.145,00 Euro </w:t>
      </w:r>
      <w:proofErr w:type="spellStart"/>
      <w:r w:rsidRPr="00E97F0A">
        <w:rPr>
          <w:rFonts w:ascii="Times New Roman" w:eastAsia="Calibri" w:hAnsi="Times New Roman"/>
          <w:sz w:val="24"/>
          <w:szCs w:val="24"/>
          <w:u w:val="single"/>
          <w:lang w:val="ro-RO"/>
        </w:rPr>
        <w:t>Euro</w:t>
      </w:r>
      <w:proofErr w:type="spellEnd"/>
      <w:r w:rsidR="00E45E58" w:rsidRPr="00E97F0A">
        <w:rPr>
          <w:rFonts w:ascii="Times New Roman" w:eastAsia="Calibri" w:hAnsi="Times New Roman"/>
          <w:sz w:val="24"/>
          <w:szCs w:val="24"/>
          <w:u w:val="single"/>
          <w:lang w:val="ro-RO"/>
        </w:rPr>
        <w:t>.</w:t>
      </w:r>
    </w:p>
    <w:p w14:paraId="4A42980E" w14:textId="7B2B13C8" w:rsidR="006E5817" w:rsidRPr="00E97F0A" w:rsidRDefault="006E5817" w:rsidP="00FA5085">
      <w:pPr>
        <w:pStyle w:val="ListParagraph"/>
        <w:numPr>
          <w:ilvl w:val="0"/>
          <w:numId w:val="20"/>
        </w:num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val="ro-RO"/>
        </w:rPr>
      </w:pPr>
      <w:r w:rsidRPr="00E97F0A">
        <w:rPr>
          <w:rFonts w:ascii="Times New Roman" w:eastAsia="Calibri" w:hAnsi="Times New Roman"/>
          <w:sz w:val="24"/>
          <w:szCs w:val="24"/>
          <w:lang w:val="ro-RO"/>
        </w:rPr>
        <w:t xml:space="preserve">Alocare financiară suplimentară, pe lângă finanțarea din PNRR, conform art. 24 alin (1) din Ordonanță de urgență nr. 124/2021: </w:t>
      </w:r>
      <w:r w:rsidR="007F4EE0" w:rsidRPr="007F4EE0">
        <w:rPr>
          <w:rFonts w:ascii="Times New Roman" w:eastAsia="Calibri" w:hAnsi="Times New Roman"/>
          <w:sz w:val="24"/>
          <w:szCs w:val="24"/>
          <w:u w:val="single"/>
          <w:lang w:val="ro-RO"/>
        </w:rPr>
        <w:t xml:space="preserve">6.233.443,50 </w:t>
      </w:r>
      <w:r w:rsidRPr="00E97F0A">
        <w:rPr>
          <w:rFonts w:ascii="Times New Roman" w:eastAsia="Calibri" w:hAnsi="Times New Roman"/>
          <w:sz w:val="24"/>
          <w:szCs w:val="24"/>
          <w:lang w:val="ro-RO"/>
        </w:rPr>
        <w:t>Euro.</w:t>
      </w:r>
    </w:p>
    <w:p w14:paraId="77D0351D" w14:textId="16FBEAF3" w:rsidR="002A71DB" w:rsidRPr="00E97F0A" w:rsidRDefault="006E5817" w:rsidP="00FA5085">
      <w:pPr>
        <w:pStyle w:val="ListParagraph"/>
        <w:numPr>
          <w:ilvl w:val="0"/>
          <w:numId w:val="20"/>
        </w:num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val="ro-RO"/>
        </w:rPr>
      </w:pPr>
      <w:r w:rsidRPr="00E97F0A">
        <w:rPr>
          <w:rFonts w:ascii="Times New Roman" w:eastAsia="Calibri" w:hAnsi="Times New Roman"/>
          <w:sz w:val="24"/>
          <w:szCs w:val="24"/>
          <w:lang w:val="ro-RO"/>
        </w:rPr>
        <w:t xml:space="preserve">Alocare financiară totală: </w:t>
      </w:r>
      <w:r w:rsidR="007F4EE0" w:rsidRPr="007F4EE0">
        <w:rPr>
          <w:rFonts w:ascii="Times New Roman" w:eastAsia="Calibri" w:hAnsi="Times New Roman"/>
          <w:sz w:val="24"/>
          <w:szCs w:val="24"/>
          <w:u w:val="single"/>
          <w:lang w:val="ro-RO"/>
        </w:rPr>
        <w:t>27.011.588,50</w:t>
      </w:r>
      <w:r w:rsidR="007F4EE0">
        <w:rPr>
          <w:rFonts w:ascii="Times New Roman" w:eastAsia="Calibri" w:hAnsi="Times New Roman"/>
          <w:sz w:val="24"/>
          <w:szCs w:val="24"/>
          <w:u w:val="single"/>
          <w:lang w:val="ro-RO"/>
        </w:rPr>
        <w:t xml:space="preserve"> </w:t>
      </w:r>
      <w:r w:rsidRPr="00E97F0A">
        <w:rPr>
          <w:rFonts w:ascii="Times New Roman" w:eastAsia="Calibri" w:hAnsi="Times New Roman"/>
          <w:sz w:val="24"/>
          <w:szCs w:val="24"/>
          <w:u w:val="single"/>
          <w:lang w:val="ro-RO"/>
        </w:rPr>
        <w:t>Euro.</w:t>
      </w:r>
    </w:p>
    <w:p w14:paraId="0992862F" w14:textId="77777777" w:rsidR="00FA5085" w:rsidRPr="00E97F0A" w:rsidRDefault="00FA5085" w:rsidP="00FA5085">
      <w:pPr>
        <w:pStyle w:val="ListParagraph"/>
        <w:suppressAutoHyphens w:val="0"/>
        <w:spacing w:after="0" w:line="240" w:lineRule="auto"/>
        <w:ind w:left="360"/>
        <w:rPr>
          <w:rFonts w:ascii="Times New Roman" w:eastAsia="Calibri" w:hAnsi="Times New Roman"/>
          <w:sz w:val="24"/>
          <w:szCs w:val="24"/>
          <w:lang w:val="ro-RO"/>
        </w:rPr>
      </w:pPr>
    </w:p>
    <w:p w14:paraId="55327B3C" w14:textId="008D3EC8" w:rsidR="002A71DB" w:rsidRPr="00E97F0A" w:rsidRDefault="00DB4B7F" w:rsidP="002A71DB">
      <w:pPr>
        <w:pStyle w:val="ListParagraph"/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ro-RO" w:eastAsia="en-US"/>
        </w:rPr>
      </w:pPr>
      <w:r w:rsidRPr="00E97F0A">
        <w:rPr>
          <w:rFonts w:ascii="Times New Roman" w:hAnsi="Times New Roman"/>
          <w:sz w:val="24"/>
          <w:szCs w:val="24"/>
          <w:lang w:val="ro-RO" w:eastAsia="en-US"/>
        </w:rPr>
        <w:t xml:space="preserve">Implementarea </w:t>
      </w:r>
      <w:proofErr w:type="spellStart"/>
      <w:r w:rsidR="00707B82">
        <w:rPr>
          <w:rFonts w:ascii="Times New Roman" w:hAnsi="Times New Roman"/>
          <w:sz w:val="24"/>
          <w:szCs w:val="24"/>
          <w:lang w:val="ro-RO" w:eastAsia="en-US"/>
        </w:rPr>
        <w:t>s</w:t>
      </w:r>
      <w:r w:rsidR="00873D77" w:rsidRPr="00E97F0A">
        <w:rPr>
          <w:rFonts w:ascii="Times New Roman" w:hAnsi="Times New Roman"/>
          <w:sz w:val="24"/>
          <w:szCs w:val="24"/>
          <w:lang w:val="ro-RO" w:eastAsia="en-US"/>
        </w:rPr>
        <w:t>ub</w:t>
      </w:r>
      <w:r w:rsidR="002A71DB" w:rsidRPr="00E97F0A">
        <w:rPr>
          <w:rFonts w:ascii="Times New Roman" w:hAnsi="Times New Roman"/>
          <w:sz w:val="24"/>
          <w:szCs w:val="24"/>
          <w:lang w:val="ro-RO" w:eastAsia="en-US"/>
        </w:rPr>
        <w:t>investiției</w:t>
      </w:r>
      <w:proofErr w:type="spellEnd"/>
      <w:r w:rsidR="002A71DB" w:rsidRPr="00E97F0A">
        <w:rPr>
          <w:rFonts w:ascii="Times New Roman" w:hAnsi="Times New Roman"/>
          <w:sz w:val="24"/>
          <w:szCs w:val="24"/>
          <w:lang w:val="ro-RO" w:eastAsia="en-US"/>
        </w:rPr>
        <w:t xml:space="preserve"> </w:t>
      </w:r>
      <w:r w:rsidR="006E5817" w:rsidRPr="00E97F0A">
        <w:rPr>
          <w:rFonts w:ascii="Times New Roman" w:hAnsi="Times New Roman"/>
          <w:sz w:val="24"/>
          <w:szCs w:val="24"/>
          <w:lang w:val="ro-RO" w:eastAsia="en-US"/>
        </w:rPr>
        <w:t>I</w:t>
      </w:r>
      <w:r w:rsidR="007F4EE0">
        <w:rPr>
          <w:rFonts w:ascii="Times New Roman" w:hAnsi="Times New Roman"/>
          <w:sz w:val="24"/>
          <w:szCs w:val="24"/>
          <w:lang w:val="ro-RO" w:eastAsia="en-US"/>
        </w:rPr>
        <w:t>2</w:t>
      </w:r>
      <w:r w:rsidR="006E5817" w:rsidRPr="00E97F0A">
        <w:rPr>
          <w:rFonts w:ascii="Times New Roman" w:hAnsi="Times New Roman"/>
          <w:sz w:val="24"/>
          <w:szCs w:val="24"/>
          <w:lang w:val="ro-RO" w:eastAsia="en-US"/>
        </w:rPr>
        <w:t>.</w:t>
      </w:r>
      <w:r w:rsidR="007F4EE0">
        <w:rPr>
          <w:rFonts w:ascii="Times New Roman" w:hAnsi="Times New Roman"/>
          <w:sz w:val="24"/>
          <w:szCs w:val="24"/>
          <w:lang w:val="ro-RO" w:eastAsia="en-US"/>
        </w:rPr>
        <w:t>D</w:t>
      </w:r>
      <w:r w:rsidRPr="00E97F0A">
        <w:rPr>
          <w:rFonts w:ascii="Times New Roman" w:hAnsi="Times New Roman"/>
          <w:sz w:val="24"/>
          <w:szCs w:val="24"/>
          <w:lang w:val="ro-RO" w:eastAsia="en-US"/>
        </w:rPr>
        <w:t xml:space="preserve"> </w:t>
      </w:r>
      <w:r w:rsidR="002A71DB" w:rsidRPr="00E97F0A">
        <w:rPr>
          <w:rFonts w:ascii="Times New Roman" w:hAnsi="Times New Roman"/>
          <w:sz w:val="24"/>
          <w:szCs w:val="24"/>
          <w:lang w:val="ro-RO" w:eastAsia="en-US"/>
        </w:rPr>
        <w:t>se va finaliza până la 30 iunie 2026.</w:t>
      </w:r>
    </w:p>
    <w:p w14:paraId="0CAE958D" w14:textId="77777777" w:rsidR="009D64F3" w:rsidRPr="00E97F0A" w:rsidRDefault="009D64F3" w:rsidP="002A71DB">
      <w:pPr>
        <w:pStyle w:val="ListParagraph"/>
        <w:suppressAutoHyphens w:val="0"/>
        <w:spacing w:after="0" w:line="240" w:lineRule="auto"/>
        <w:rPr>
          <w:rFonts w:ascii="Times New Roman" w:hAnsi="Times New Roman"/>
          <w:sz w:val="24"/>
          <w:szCs w:val="24"/>
          <w:lang w:val="ro-RO" w:eastAsia="en-US"/>
        </w:rPr>
      </w:pPr>
    </w:p>
    <w:p w14:paraId="20ABF327" w14:textId="1F489E61" w:rsidR="00FB0BB6" w:rsidRDefault="008F24A4" w:rsidP="008F24A4">
      <w:pPr>
        <w:spacing w:after="0"/>
        <w:ind w:left="0" w:firstLine="708"/>
        <w:rPr>
          <w:rFonts w:ascii="Times New Roman" w:hAnsi="Times New Roman"/>
          <w:sz w:val="24"/>
          <w:szCs w:val="24"/>
          <w:u w:val="single"/>
          <w:lang w:val="ro-RO"/>
        </w:rPr>
      </w:pPr>
      <w:r w:rsidRPr="00707B82">
        <w:rPr>
          <w:rFonts w:ascii="Times New Roman" w:hAnsi="Times New Roman"/>
          <w:sz w:val="24"/>
          <w:szCs w:val="24"/>
          <w:u w:val="single"/>
          <w:lang w:val="ro-RO"/>
        </w:rPr>
        <w:t>Astfel, pentru implementarea eficientă a activităților aferente investiției și pentru îndeplinirea obiectivelor generale și specifice ale acesteia, cu respectarea termenelor de i</w:t>
      </w:r>
      <w:r w:rsidR="00FB0BB6" w:rsidRPr="00707B82">
        <w:rPr>
          <w:rFonts w:ascii="Times New Roman" w:hAnsi="Times New Roman"/>
          <w:sz w:val="24"/>
          <w:szCs w:val="24"/>
          <w:u w:val="single"/>
          <w:lang w:val="ro-RO"/>
        </w:rPr>
        <w:t>mplementare aferente Ținte</w:t>
      </w:r>
      <w:r w:rsidR="00707B82">
        <w:rPr>
          <w:rFonts w:ascii="Times New Roman" w:hAnsi="Times New Roman"/>
          <w:sz w:val="24"/>
          <w:szCs w:val="24"/>
          <w:u w:val="single"/>
          <w:lang w:val="ro-RO"/>
        </w:rPr>
        <w:t>i 5</w:t>
      </w:r>
      <w:r w:rsidR="007F4EE0">
        <w:rPr>
          <w:rFonts w:ascii="Times New Roman" w:hAnsi="Times New Roman"/>
          <w:sz w:val="24"/>
          <w:szCs w:val="24"/>
          <w:u w:val="single"/>
          <w:lang w:val="ro-RO"/>
        </w:rPr>
        <w:t>5</w:t>
      </w:r>
      <w:r w:rsidRPr="00707B82">
        <w:rPr>
          <w:rFonts w:ascii="Times New Roman" w:hAnsi="Times New Roman"/>
          <w:sz w:val="24"/>
          <w:szCs w:val="24"/>
          <w:u w:val="single"/>
          <w:lang w:val="ro-RO"/>
        </w:rPr>
        <w:t xml:space="preserve">, se impune emiterea ordinului privind </w:t>
      </w:r>
      <w:r w:rsidR="007F4EE0">
        <w:rPr>
          <w:rFonts w:ascii="Times New Roman" w:hAnsi="Times New Roman"/>
          <w:sz w:val="24"/>
          <w:szCs w:val="24"/>
          <w:u w:val="single"/>
          <w:lang w:val="ro-RO"/>
        </w:rPr>
        <w:t>publicarea, pe site-ul MMAP, pentru parcurgerea procedurii de dezbatere publică a</w:t>
      </w:r>
      <w:r w:rsidRPr="00707B82">
        <w:rPr>
          <w:rFonts w:ascii="Times New Roman" w:hAnsi="Times New Roman"/>
          <w:sz w:val="24"/>
          <w:szCs w:val="24"/>
          <w:u w:val="single"/>
          <w:lang w:val="ro-RO"/>
        </w:rPr>
        <w:t xml:space="preserve"> Ghidului specific- </w:t>
      </w:r>
      <w:r w:rsidRPr="00707B82">
        <w:rPr>
          <w:rFonts w:ascii="Times New Roman" w:hAnsi="Times New Roman"/>
          <w:bCs/>
          <w:sz w:val="24"/>
          <w:szCs w:val="24"/>
          <w:u w:val="single"/>
          <w:lang w:val="ro-RO"/>
        </w:rPr>
        <w:t>Condiții de accesare a f</w:t>
      </w:r>
      <w:r w:rsidR="00E45E58" w:rsidRPr="00707B82">
        <w:rPr>
          <w:rFonts w:ascii="Times New Roman" w:hAnsi="Times New Roman"/>
          <w:bCs/>
          <w:sz w:val="24"/>
          <w:szCs w:val="24"/>
          <w:u w:val="single"/>
          <w:lang w:val="ro-RO"/>
        </w:rPr>
        <w:t>ondurilor europene aferente Planului Național de Redresare și Reziliență</w:t>
      </w:r>
      <w:r w:rsidRPr="00707B82">
        <w:rPr>
          <w:rFonts w:ascii="Times New Roman" w:hAnsi="Times New Roman"/>
          <w:bCs/>
          <w:sz w:val="24"/>
          <w:szCs w:val="24"/>
          <w:u w:val="single"/>
          <w:lang w:val="ro-RO"/>
        </w:rPr>
        <w:t xml:space="preserve"> în cadrul apelului </w:t>
      </w:r>
      <w:r w:rsidR="00FB0BB6" w:rsidRPr="00707B82">
        <w:rPr>
          <w:rFonts w:ascii="Times New Roman" w:hAnsi="Times New Roman"/>
          <w:bCs/>
          <w:sz w:val="24"/>
          <w:szCs w:val="24"/>
          <w:u w:val="single"/>
          <w:lang w:val="ro-RO"/>
        </w:rPr>
        <w:t xml:space="preserve">de proiecte </w:t>
      </w:r>
      <w:r w:rsidR="007F4EE0" w:rsidRPr="007F4EE0">
        <w:rPr>
          <w:rFonts w:ascii="Times New Roman" w:hAnsi="Times New Roman"/>
          <w:bCs/>
          <w:sz w:val="24"/>
          <w:szCs w:val="24"/>
          <w:u w:val="single"/>
          <w:lang w:val="ro-RO"/>
        </w:rPr>
        <w:t xml:space="preserve">PNRR/2023/C3/S/I.2.D., pentru </w:t>
      </w:r>
      <w:proofErr w:type="spellStart"/>
      <w:r w:rsidR="007F4EE0" w:rsidRPr="007F4EE0">
        <w:rPr>
          <w:rFonts w:ascii="Times New Roman" w:hAnsi="Times New Roman"/>
          <w:bCs/>
          <w:sz w:val="24"/>
          <w:szCs w:val="24"/>
          <w:u w:val="single"/>
          <w:lang w:val="ro-RO"/>
        </w:rPr>
        <w:t>Subinvestiția</w:t>
      </w:r>
      <w:proofErr w:type="spellEnd"/>
      <w:r w:rsidR="007F4EE0" w:rsidRPr="007F4EE0">
        <w:rPr>
          <w:rFonts w:ascii="Times New Roman" w:hAnsi="Times New Roman"/>
          <w:bCs/>
          <w:sz w:val="24"/>
          <w:szCs w:val="24"/>
          <w:u w:val="single"/>
          <w:lang w:val="ro-RO"/>
        </w:rPr>
        <w:t xml:space="preserve"> I.2.D „Investiții în capacități de producție a energiei din surse regenerabile, respectiv biogaz pe bază de gunoi de grajd”</w:t>
      </w:r>
      <w:r w:rsidR="007F4EE0">
        <w:rPr>
          <w:rFonts w:ascii="Times New Roman" w:hAnsi="Times New Roman"/>
          <w:caps/>
          <w:sz w:val="24"/>
          <w:szCs w:val="24"/>
          <w:u w:val="single"/>
          <w:lang w:val="ro-RO"/>
        </w:rPr>
        <w:t xml:space="preserve">. </w:t>
      </w:r>
    </w:p>
    <w:p w14:paraId="7F9BEA18" w14:textId="77777777" w:rsidR="00CF00B6" w:rsidRDefault="00CF00B6" w:rsidP="008F24A4">
      <w:pPr>
        <w:spacing w:after="0"/>
        <w:ind w:left="0" w:firstLine="708"/>
        <w:rPr>
          <w:rFonts w:ascii="Times New Roman" w:hAnsi="Times New Roman"/>
          <w:sz w:val="24"/>
          <w:szCs w:val="24"/>
          <w:u w:val="single"/>
          <w:lang w:val="ro-RO"/>
        </w:rPr>
      </w:pPr>
    </w:p>
    <w:p w14:paraId="1B708D23" w14:textId="4CA7AD23" w:rsidR="00F66779" w:rsidRDefault="00F66779" w:rsidP="008F24A4">
      <w:pPr>
        <w:spacing w:after="0"/>
        <w:ind w:left="0" w:firstLine="708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Ghidul de finanțare asigură faptul că alocarea aferentă investiției I.</w:t>
      </w:r>
      <w:r w:rsidR="007F4EE0">
        <w:rPr>
          <w:rFonts w:ascii="Times New Roman" w:hAnsi="Times New Roman"/>
          <w:sz w:val="24"/>
          <w:szCs w:val="24"/>
          <w:lang w:val="ro-RO"/>
        </w:rPr>
        <w:t>2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7F4EE0">
        <w:rPr>
          <w:rFonts w:ascii="Times New Roman" w:hAnsi="Times New Roman"/>
          <w:sz w:val="24"/>
          <w:szCs w:val="24"/>
          <w:lang w:val="ro-RO"/>
        </w:rPr>
        <w:t>D</w:t>
      </w:r>
      <w:r>
        <w:rPr>
          <w:rFonts w:ascii="Times New Roman" w:hAnsi="Times New Roman"/>
          <w:sz w:val="24"/>
          <w:szCs w:val="24"/>
          <w:lang w:val="ro-RO"/>
        </w:rPr>
        <w:t xml:space="preserve"> va fi utilizată pentru realizarea de investiții pentru înființarea</w:t>
      </w:r>
      <w:r w:rsidR="007F4EE0">
        <w:rPr>
          <w:rFonts w:ascii="Times New Roman" w:hAnsi="Times New Roman"/>
          <w:sz w:val="24"/>
          <w:szCs w:val="24"/>
          <w:lang w:val="ro-RO"/>
        </w:rPr>
        <w:t xml:space="preserve"> de sisteme de biogaz pentru comunități cu ferme foarte mari cu capacități electrice de cel puțin 300 KW și capacități de încălzire de cel puțin 300 KW, până la maximum 1 MW electric și 1 MW termic)</w:t>
      </w:r>
      <w:r>
        <w:rPr>
          <w:rFonts w:ascii="Times New Roman" w:hAnsi="Times New Roman"/>
          <w:sz w:val="24"/>
          <w:szCs w:val="24"/>
          <w:lang w:val="ro-RO"/>
        </w:rPr>
        <w:t xml:space="preserve">, respectând Comunicarea Comisiei – Orientări tehnice privind aplicarea principiului „de a nu aduce prejudicii semnificative” în temeiul Regulamentului privind Mecanismul de redresare și reziliență (2021/C58/01). </w:t>
      </w:r>
    </w:p>
    <w:p w14:paraId="47E33947" w14:textId="77777777" w:rsidR="00F66779" w:rsidRPr="00F66779" w:rsidRDefault="00F66779" w:rsidP="008F24A4">
      <w:pPr>
        <w:spacing w:after="0"/>
        <w:ind w:left="0" w:firstLine="708"/>
        <w:rPr>
          <w:rFonts w:ascii="Times New Roman" w:hAnsi="Times New Roman"/>
          <w:b/>
          <w:caps/>
          <w:sz w:val="24"/>
          <w:szCs w:val="24"/>
          <w:lang w:val="ro-RO"/>
        </w:rPr>
      </w:pPr>
    </w:p>
    <w:p w14:paraId="285966CB" w14:textId="0B9CAA09" w:rsidR="003E69A5" w:rsidRPr="009A4BB3" w:rsidRDefault="0033447D" w:rsidP="009A4BB3">
      <w:pPr>
        <w:spacing w:after="0"/>
        <w:ind w:left="0" w:firstLine="708"/>
        <w:rPr>
          <w:b/>
          <w:bCs/>
          <w:lang w:val="ro-RO"/>
        </w:rPr>
      </w:pPr>
      <w:r w:rsidRPr="00E97F0A">
        <w:rPr>
          <w:rFonts w:ascii="Times New Roman" w:hAnsi="Times New Roman"/>
          <w:sz w:val="24"/>
          <w:szCs w:val="24"/>
          <w:lang w:val="ro-RO"/>
        </w:rPr>
        <w:t xml:space="preserve">Având în vedere cele de mai sus, </w:t>
      </w:r>
      <w:r w:rsidR="00F66779">
        <w:rPr>
          <w:rFonts w:ascii="Times New Roman" w:hAnsi="Times New Roman"/>
          <w:sz w:val="24"/>
          <w:szCs w:val="24"/>
          <w:lang w:val="ro-RO"/>
        </w:rPr>
        <w:t>propunem spre aprobare</w:t>
      </w:r>
      <w:r w:rsidR="009A4BB3">
        <w:rPr>
          <w:rFonts w:ascii="Times New Roman" w:hAnsi="Times New Roman"/>
          <w:sz w:val="24"/>
          <w:szCs w:val="24"/>
          <w:lang w:val="ro-RO"/>
        </w:rPr>
        <w:t xml:space="preserve"> în vederea postării pentru parcurgerea etapei de consultare publică a</w:t>
      </w:r>
      <w:r w:rsidR="00F66779">
        <w:rPr>
          <w:rFonts w:ascii="Times New Roman" w:hAnsi="Times New Roman"/>
          <w:sz w:val="24"/>
          <w:szCs w:val="24"/>
          <w:lang w:val="ro-RO"/>
        </w:rPr>
        <w:t xml:space="preserve"> ordinu</w:t>
      </w:r>
      <w:r w:rsidR="009A4BB3">
        <w:rPr>
          <w:rFonts w:ascii="Times New Roman" w:hAnsi="Times New Roman"/>
          <w:sz w:val="24"/>
          <w:szCs w:val="24"/>
          <w:lang w:val="ro-RO"/>
        </w:rPr>
        <w:t>lui</w:t>
      </w:r>
      <w:r w:rsidR="00F66779">
        <w:rPr>
          <w:rFonts w:ascii="Times New Roman" w:hAnsi="Times New Roman"/>
          <w:sz w:val="24"/>
          <w:szCs w:val="24"/>
          <w:lang w:val="ro-RO"/>
        </w:rPr>
        <w:t xml:space="preserve"> ministrului mediului, apelor și pădurilor pentru aprobarea Ghidului specific – Condiții de accesare a fondurilor europene aferente Planului Național de Redresare și Reziliență în cadrul apelului de proiecte </w:t>
      </w:r>
      <w:r w:rsidR="009A4BB3" w:rsidRPr="009A4BB3">
        <w:rPr>
          <w:rFonts w:ascii="Times New Roman" w:hAnsi="Times New Roman"/>
          <w:sz w:val="24"/>
          <w:szCs w:val="24"/>
          <w:lang w:val="ro-RO"/>
        </w:rPr>
        <w:t xml:space="preserve">PNRR/2023/C3/S/I.2.D., pentru </w:t>
      </w:r>
      <w:proofErr w:type="spellStart"/>
      <w:r w:rsidR="009A4BB3" w:rsidRPr="009A4BB3">
        <w:rPr>
          <w:rFonts w:ascii="Times New Roman" w:hAnsi="Times New Roman"/>
          <w:sz w:val="24"/>
          <w:szCs w:val="24"/>
          <w:lang w:val="ro-RO"/>
        </w:rPr>
        <w:t>Subinvestiția</w:t>
      </w:r>
      <w:proofErr w:type="spellEnd"/>
      <w:r w:rsidR="009A4BB3" w:rsidRPr="009A4BB3">
        <w:rPr>
          <w:rFonts w:ascii="Times New Roman" w:hAnsi="Times New Roman"/>
          <w:sz w:val="24"/>
          <w:szCs w:val="24"/>
          <w:lang w:val="ro-RO"/>
        </w:rPr>
        <w:t xml:space="preserve"> I.2.D „Investiții în capacități de producție a energiei din surse regenerabile, respectiv biogaz pe bază de gunoi de grajd</w:t>
      </w:r>
      <w:r w:rsidR="00F66779">
        <w:rPr>
          <w:rFonts w:ascii="Times New Roman" w:hAnsi="Times New Roman"/>
          <w:sz w:val="24"/>
          <w:szCs w:val="24"/>
          <w:lang w:val="ro-RO"/>
        </w:rPr>
        <w:t xml:space="preserve">, Componenta C3: Managementul deșeurilor. </w:t>
      </w:r>
    </w:p>
    <w:p w14:paraId="2BEC51F2" w14:textId="77777777" w:rsidR="00BC61BC" w:rsidRPr="00E97F0A" w:rsidRDefault="00BC61BC" w:rsidP="00B72C2C">
      <w:pPr>
        <w:spacing w:after="0" w:line="100" w:lineRule="atLeast"/>
        <w:ind w:left="-180" w:right="-193"/>
        <w:rPr>
          <w:rFonts w:ascii="Times New Roman" w:eastAsia="Times New Roman" w:hAnsi="Times New Roman"/>
          <w:kern w:val="0"/>
          <w:sz w:val="24"/>
          <w:szCs w:val="24"/>
          <w:lang w:val="ro-RO" w:eastAsia="en-US"/>
        </w:rPr>
      </w:pPr>
    </w:p>
    <w:p w14:paraId="7E2D8619" w14:textId="3C5EC7A9" w:rsidR="00D0442B" w:rsidRPr="00E97F0A" w:rsidRDefault="00D0442B" w:rsidP="00FB35E3">
      <w:pPr>
        <w:spacing w:after="0" w:line="480" w:lineRule="auto"/>
        <w:ind w:left="0" w:right="-193"/>
        <w:rPr>
          <w:rFonts w:ascii="Times New Roman" w:eastAsia="Times New Roman" w:hAnsi="Times New Roman"/>
          <w:kern w:val="0"/>
          <w:sz w:val="24"/>
          <w:szCs w:val="24"/>
          <w:lang w:val="ro-RO" w:eastAsia="en-US"/>
        </w:rPr>
      </w:pPr>
    </w:p>
    <w:sectPr w:rsidR="00D0442B" w:rsidRPr="00E97F0A" w:rsidSect="0017338F">
      <w:headerReference w:type="default" r:id="rId7"/>
      <w:footerReference w:type="default" r:id="rId8"/>
      <w:pgSz w:w="11906" w:h="16838"/>
      <w:pgMar w:top="2348" w:right="849" w:bottom="810" w:left="1350" w:header="270" w:footer="49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DD487" w14:textId="77777777" w:rsidR="009046F9" w:rsidRDefault="009046F9">
      <w:pPr>
        <w:spacing w:after="0" w:line="240" w:lineRule="auto"/>
      </w:pPr>
      <w:r>
        <w:separator/>
      </w:r>
    </w:p>
  </w:endnote>
  <w:endnote w:type="continuationSeparator" w:id="0">
    <w:p w14:paraId="3E92FE15" w14:textId="77777777" w:rsidR="009046F9" w:rsidRDefault="0090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RomanR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F411" w14:textId="77777777" w:rsidR="004D14D8" w:rsidRDefault="004D14D8">
    <w:pPr>
      <w:spacing w:after="0" w:line="100" w:lineRule="atLeast"/>
      <w:ind w:left="0"/>
      <w:jc w:val="center"/>
    </w:pPr>
    <w:r>
      <w:rPr>
        <w:sz w:val="16"/>
        <w:szCs w:val="16"/>
        <w:lang w:val="ro-RO"/>
      </w:rPr>
      <w:t xml:space="preserve">Adresa: B-dul </w:t>
    </w:r>
    <w:proofErr w:type="spellStart"/>
    <w:r>
      <w:rPr>
        <w:sz w:val="16"/>
        <w:szCs w:val="16"/>
        <w:lang w:val="ro-RO"/>
      </w:rPr>
      <w:t>Libertăţii</w:t>
    </w:r>
    <w:proofErr w:type="spellEnd"/>
    <w:r>
      <w:rPr>
        <w:sz w:val="16"/>
        <w:szCs w:val="16"/>
        <w:lang w:val="ro-RO"/>
      </w:rPr>
      <w:t xml:space="preserve"> nr. 12, Sector 5, </w:t>
    </w:r>
    <w:proofErr w:type="spellStart"/>
    <w:r>
      <w:rPr>
        <w:sz w:val="16"/>
        <w:szCs w:val="16"/>
        <w:lang w:val="ro-RO"/>
      </w:rPr>
      <w:t>Bucureşti</w:t>
    </w:r>
    <w:proofErr w:type="spellEnd"/>
    <w:r>
      <w:rPr>
        <w:sz w:val="16"/>
        <w:szCs w:val="16"/>
        <w:lang w:val="ro-RO"/>
      </w:rPr>
      <w:t>, Tel/ Fax: 004 021/408.96.</w:t>
    </w:r>
    <w:r w:rsidR="00B656B4">
      <w:rPr>
        <w:sz w:val="16"/>
        <w:szCs w:val="16"/>
        <w:lang w:val="ro-RO"/>
      </w:rPr>
      <w:t>09</w:t>
    </w:r>
    <w:r>
      <w:rPr>
        <w:sz w:val="16"/>
        <w:szCs w:val="16"/>
        <w:lang w:val="ro-RO"/>
      </w:rPr>
      <w:t xml:space="preserve"> Web: </w:t>
    </w:r>
    <w:hyperlink r:id="rId1" w:history="1">
      <w:r>
        <w:rPr>
          <w:rStyle w:val="Hyperlink"/>
          <w:sz w:val="16"/>
          <w:szCs w:val="16"/>
        </w:rPr>
        <w:t>www.mmediu.ro</w:t>
      </w:r>
    </w:hyperlink>
    <w:r>
      <w:rPr>
        <w:sz w:val="16"/>
        <w:szCs w:val="16"/>
      </w:rPr>
      <w:t xml:space="preserve">;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CBF6E" w14:textId="77777777" w:rsidR="009046F9" w:rsidRDefault="009046F9">
      <w:pPr>
        <w:spacing w:after="0" w:line="240" w:lineRule="auto"/>
      </w:pPr>
      <w:r>
        <w:separator/>
      </w:r>
    </w:p>
  </w:footnote>
  <w:footnote w:type="continuationSeparator" w:id="0">
    <w:p w14:paraId="116590A6" w14:textId="77777777" w:rsidR="009046F9" w:rsidRDefault="00904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322D0" w14:textId="2681B7B0" w:rsidR="0017338F" w:rsidRDefault="0094555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 wp14:anchorId="567BF685" wp14:editId="2A6602AF">
          <wp:simplePos x="0" y="0"/>
          <wp:positionH relativeFrom="column">
            <wp:posOffset>-304800</wp:posOffset>
          </wp:positionH>
          <wp:positionV relativeFrom="paragraph">
            <wp:posOffset>248285</wp:posOffset>
          </wp:positionV>
          <wp:extent cx="3236595" cy="899795"/>
          <wp:effectExtent l="0" t="0" r="0" b="0"/>
          <wp:wrapSquare wrapText="bothSides"/>
          <wp:docPr id="1" name="Picture 3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5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2B6CE3" w14:textId="77777777" w:rsidR="004D14D8" w:rsidRDefault="004D14D8">
    <w:pPr>
      <w:pStyle w:val="Header"/>
      <w:tabs>
        <w:tab w:val="clear" w:pos="4320"/>
        <w:tab w:val="clear" w:pos="8640"/>
      </w:tabs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b/>
        <w:i w:val="0"/>
        <w:caps w:val="0"/>
        <w:smallCaps w:val="0"/>
        <w:dstrike/>
        <w:vanish w:val="0"/>
        <w:color w:val="000000"/>
        <w:kern w:val="1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color w:val="00000A"/>
        <w:sz w:val="22"/>
        <w:szCs w:val="22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1647A4"/>
    <w:multiLevelType w:val="hybridMultilevel"/>
    <w:tmpl w:val="D3DC34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F4B65"/>
    <w:multiLevelType w:val="hybridMultilevel"/>
    <w:tmpl w:val="41D627B4"/>
    <w:lvl w:ilvl="0" w:tplc="20E65CAA">
      <w:start w:val="1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D5F6C"/>
    <w:multiLevelType w:val="hybridMultilevel"/>
    <w:tmpl w:val="7F520F10"/>
    <w:lvl w:ilvl="0" w:tplc="D19849FA">
      <w:start w:val="1"/>
      <w:numFmt w:val="bullet"/>
      <w:lvlText w:val="-"/>
      <w:lvlJc w:val="left"/>
      <w:pPr>
        <w:ind w:left="1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D0503FC"/>
    <w:multiLevelType w:val="hybridMultilevel"/>
    <w:tmpl w:val="09462C86"/>
    <w:lvl w:ilvl="0" w:tplc="7E108BB4">
      <w:start w:val="1"/>
      <w:numFmt w:val="bullet"/>
      <w:lvlText w:val="-"/>
      <w:lvlJc w:val="left"/>
      <w:pPr>
        <w:ind w:left="1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29C728F"/>
    <w:multiLevelType w:val="hybridMultilevel"/>
    <w:tmpl w:val="40682B14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D44634"/>
    <w:multiLevelType w:val="hybridMultilevel"/>
    <w:tmpl w:val="939092C2"/>
    <w:lvl w:ilvl="0" w:tplc="CE842EF4">
      <w:start w:val="10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FF294E"/>
    <w:multiLevelType w:val="hybridMultilevel"/>
    <w:tmpl w:val="E508F3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F7512"/>
    <w:multiLevelType w:val="hybridMultilevel"/>
    <w:tmpl w:val="81DEC2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51DA5"/>
    <w:multiLevelType w:val="hybridMultilevel"/>
    <w:tmpl w:val="B2EC9E8C"/>
    <w:lvl w:ilvl="0" w:tplc="5F385D10">
      <w:start w:val="1"/>
      <w:numFmt w:val="upperLetter"/>
      <w:lvlText w:val="%1."/>
      <w:lvlJc w:val="left"/>
      <w:pPr>
        <w:ind w:left="360" w:hanging="360"/>
      </w:pPr>
      <w:rPr>
        <w:rFonts w:eastAsia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62D71"/>
    <w:multiLevelType w:val="hybridMultilevel"/>
    <w:tmpl w:val="5C8034E6"/>
    <w:lvl w:ilvl="0" w:tplc="1444F0B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05195"/>
    <w:multiLevelType w:val="hybridMultilevel"/>
    <w:tmpl w:val="C2862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A6460"/>
    <w:multiLevelType w:val="hybridMultilevel"/>
    <w:tmpl w:val="2AF8F4D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E2EDE"/>
    <w:multiLevelType w:val="hybridMultilevel"/>
    <w:tmpl w:val="B42A63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365B8"/>
    <w:multiLevelType w:val="hybridMultilevel"/>
    <w:tmpl w:val="999C75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84C42"/>
    <w:multiLevelType w:val="hybridMultilevel"/>
    <w:tmpl w:val="3390A4E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22EF5"/>
    <w:multiLevelType w:val="hybridMultilevel"/>
    <w:tmpl w:val="8DBAABD2"/>
    <w:lvl w:ilvl="0" w:tplc="881E7F3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52052"/>
    <w:multiLevelType w:val="hybridMultilevel"/>
    <w:tmpl w:val="D65AF66A"/>
    <w:lvl w:ilvl="0" w:tplc="A69E8C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6C67552"/>
    <w:multiLevelType w:val="multilevel"/>
    <w:tmpl w:val="438A50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75035FB"/>
    <w:multiLevelType w:val="hybridMultilevel"/>
    <w:tmpl w:val="9962CE38"/>
    <w:lvl w:ilvl="0" w:tplc="0409000B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0" w15:restartNumberingAfterBreak="0">
    <w:nsid w:val="68B37648"/>
    <w:multiLevelType w:val="hybridMultilevel"/>
    <w:tmpl w:val="CD6E95EA"/>
    <w:lvl w:ilvl="0" w:tplc="D1C29036">
      <w:start w:val="1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704DC"/>
    <w:multiLevelType w:val="hybridMultilevel"/>
    <w:tmpl w:val="6E3EB5B8"/>
    <w:lvl w:ilvl="0" w:tplc="A8649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1A3C4E"/>
    <w:multiLevelType w:val="multilevel"/>
    <w:tmpl w:val="498ABE4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trike w:val="0"/>
      </w:r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DA35E13"/>
    <w:multiLevelType w:val="hybridMultilevel"/>
    <w:tmpl w:val="A65C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041607">
    <w:abstractNumId w:val="0"/>
  </w:num>
  <w:num w:numId="2" w16cid:durableId="1011296786">
    <w:abstractNumId w:val="17"/>
  </w:num>
  <w:num w:numId="3" w16cid:durableId="675305887">
    <w:abstractNumId w:val="6"/>
  </w:num>
  <w:num w:numId="4" w16cid:durableId="1697729869">
    <w:abstractNumId w:val="16"/>
  </w:num>
  <w:num w:numId="5" w16cid:durableId="981882523">
    <w:abstractNumId w:val="15"/>
  </w:num>
  <w:num w:numId="6" w16cid:durableId="1088505449">
    <w:abstractNumId w:val="5"/>
  </w:num>
  <w:num w:numId="7" w16cid:durableId="2056615970">
    <w:abstractNumId w:val="10"/>
  </w:num>
  <w:num w:numId="8" w16cid:durableId="300034950">
    <w:abstractNumId w:val="9"/>
  </w:num>
  <w:num w:numId="9" w16cid:durableId="1795784025">
    <w:abstractNumId w:val="7"/>
  </w:num>
  <w:num w:numId="10" w16cid:durableId="517542236">
    <w:abstractNumId w:val="20"/>
  </w:num>
  <w:num w:numId="11" w16cid:durableId="825245280">
    <w:abstractNumId w:val="2"/>
  </w:num>
  <w:num w:numId="12" w16cid:durableId="691537262">
    <w:abstractNumId w:val="1"/>
  </w:num>
  <w:num w:numId="13" w16cid:durableId="1857117480">
    <w:abstractNumId w:val="19"/>
  </w:num>
  <w:num w:numId="14" w16cid:durableId="82575663">
    <w:abstractNumId w:val="3"/>
  </w:num>
  <w:num w:numId="15" w16cid:durableId="676810698">
    <w:abstractNumId w:val="4"/>
  </w:num>
  <w:num w:numId="16" w16cid:durableId="792479215">
    <w:abstractNumId w:val="21"/>
  </w:num>
  <w:num w:numId="17" w16cid:durableId="490146737">
    <w:abstractNumId w:val="13"/>
  </w:num>
  <w:num w:numId="18" w16cid:durableId="847330720">
    <w:abstractNumId w:val="14"/>
  </w:num>
  <w:num w:numId="19" w16cid:durableId="1883512735">
    <w:abstractNumId w:val="11"/>
  </w:num>
  <w:num w:numId="20" w16cid:durableId="1035933613">
    <w:abstractNumId w:val="8"/>
  </w:num>
  <w:num w:numId="21" w16cid:durableId="56784486">
    <w:abstractNumId w:val="22"/>
  </w:num>
  <w:num w:numId="22" w16cid:durableId="2108034188">
    <w:abstractNumId w:val="18"/>
  </w:num>
  <w:num w:numId="23" w16cid:durableId="58524366">
    <w:abstractNumId w:val="12"/>
  </w:num>
  <w:num w:numId="24" w16cid:durableId="13040017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CC"/>
    <w:rsid w:val="0002580F"/>
    <w:rsid w:val="0003589D"/>
    <w:rsid w:val="00045019"/>
    <w:rsid w:val="00055C05"/>
    <w:rsid w:val="00073E65"/>
    <w:rsid w:val="00073F3A"/>
    <w:rsid w:val="0008170F"/>
    <w:rsid w:val="00091C40"/>
    <w:rsid w:val="000B4258"/>
    <w:rsid w:val="000C3303"/>
    <w:rsid w:val="000C52DE"/>
    <w:rsid w:val="000C60E0"/>
    <w:rsid w:val="000C639B"/>
    <w:rsid w:val="000D6EA7"/>
    <w:rsid w:val="000E3C69"/>
    <w:rsid w:val="00104260"/>
    <w:rsid w:val="00111B61"/>
    <w:rsid w:val="00116041"/>
    <w:rsid w:val="00116498"/>
    <w:rsid w:val="001209FC"/>
    <w:rsid w:val="00122F77"/>
    <w:rsid w:val="00123803"/>
    <w:rsid w:val="0014073F"/>
    <w:rsid w:val="00154301"/>
    <w:rsid w:val="001614FA"/>
    <w:rsid w:val="00166BC9"/>
    <w:rsid w:val="00171DC9"/>
    <w:rsid w:val="00172147"/>
    <w:rsid w:val="0017338F"/>
    <w:rsid w:val="00173464"/>
    <w:rsid w:val="001857BE"/>
    <w:rsid w:val="00195873"/>
    <w:rsid w:val="001966FE"/>
    <w:rsid w:val="001A0F89"/>
    <w:rsid w:val="001A351E"/>
    <w:rsid w:val="001A3AE5"/>
    <w:rsid w:val="001A7FB3"/>
    <w:rsid w:val="001B034D"/>
    <w:rsid w:val="001B210D"/>
    <w:rsid w:val="001C11DC"/>
    <w:rsid w:val="001C5BC1"/>
    <w:rsid w:val="001C694E"/>
    <w:rsid w:val="001F6690"/>
    <w:rsid w:val="001F6E41"/>
    <w:rsid w:val="002006E1"/>
    <w:rsid w:val="00212BD9"/>
    <w:rsid w:val="0024464F"/>
    <w:rsid w:val="00247BDF"/>
    <w:rsid w:val="0025442F"/>
    <w:rsid w:val="00266407"/>
    <w:rsid w:val="00270EC8"/>
    <w:rsid w:val="002766BB"/>
    <w:rsid w:val="00285E63"/>
    <w:rsid w:val="00286082"/>
    <w:rsid w:val="002903EC"/>
    <w:rsid w:val="002968E2"/>
    <w:rsid w:val="002A3C6B"/>
    <w:rsid w:val="002A71DB"/>
    <w:rsid w:val="002B00B0"/>
    <w:rsid w:val="002B73B4"/>
    <w:rsid w:val="002D5506"/>
    <w:rsid w:val="002D6247"/>
    <w:rsid w:val="002D71C9"/>
    <w:rsid w:val="002E5607"/>
    <w:rsid w:val="002E700E"/>
    <w:rsid w:val="002F1DAC"/>
    <w:rsid w:val="0030013A"/>
    <w:rsid w:val="00325135"/>
    <w:rsid w:val="00325456"/>
    <w:rsid w:val="003300E5"/>
    <w:rsid w:val="0033447D"/>
    <w:rsid w:val="003344F9"/>
    <w:rsid w:val="00351119"/>
    <w:rsid w:val="003869CB"/>
    <w:rsid w:val="00394CB9"/>
    <w:rsid w:val="003A5024"/>
    <w:rsid w:val="003C5D9E"/>
    <w:rsid w:val="003D3425"/>
    <w:rsid w:val="003D575F"/>
    <w:rsid w:val="003E2AB6"/>
    <w:rsid w:val="003E69A5"/>
    <w:rsid w:val="003F1996"/>
    <w:rsid w:val="003F28F8"/>
    <w:rsid w:val="003F4157"/>
    <w:rsid w:val="003F5D55"/>
    <w:rsid w:val="004031E5"/>
    <w:rsid w:val="0041056F"/>
    <w:rsid w:val="00411AB1"/>
    <w:rsid w:val="00421CF5"/>
    <w:rsid w:val="0044079A"/>
    <w:rsid w:val="004478BD"/>
    <w:rsid w:val="00450E4C"/>
    <w:rsid w:val="00452590"/>
    <w:rsid w:val="00453E94"/>
    <w:rsid w:val="00454C91"/>
    <w:rsid w:val="004740F3"/>
    <w:rsid w:val="00476618"/>
    <w:rsid w:val="004922BF"/>
    <w:rsid w:val="004B01A8"/>
    <w:rsid w:val="004B4077"/>
    <w:rsid w:val="004B624D"/>
    <w:rsid w:val="004C5596"/>
    <w:rsid w:val="004C576C"/>
    <w:rsid w:val="004D14D8"/>
    <w:rsid w:val="004D24B5"/>
    <w:rsid w:val="004E3837"/>
    <w:rsid w:val="00501C35"/>
    <w:rsid w:val="00505318"/>
    <w:rsid w:val="005076FA"/>
    <w:rsid w:val="00511908"/>
    <w:rsid w:val="0051661B"/>
    <w:rsid w:val="005340ED"/>
    <w:rsid w:val="00540B90"/>
    <w:rsid w:val="0057270F"/>
    <w:rsid w:val="005757BF"/>
    <w:rsid w:val="00594D86"/>
    <w:rsid w:val="005C6604"/>
    <w:rsid w:val="005D1F6B"/>
    <w:rsid w:val="005D620F"/>
    <w:rsid w:val="005E68C1"/>
    <w:rsid w:val="006057E2"/>
    <w:rsid w:val="00605CB0"/>
    <w:rsid w:val="00610BE3"/>
    <w:rsid w:val="00615642"/>
    <w:rsid w:val="00621354"/>
    <w:rsid w:val="00645B96"/>
    <w:rsid w:val="00656D03"/>
    <w:rsid w:val="00670206"/>
    <w:rsid w:val="00671C11"/>
    <w:rsid w:val="0067333B"/>
    <w:rsid w:val="00674C58"/>
    <w:rsid w:val="00687135"/>
    <w:rsid w:val="00695E10"/>
    <w:rsid w:val="006A42F8"/>
    <w:rsid w:val="006B00F3"/>
    <w:rsid w:val="006B502F"/>
    <w:rsid w:val="006C6A10"/>
    <w:rsid w:val="006D0EC1"/>
    <w:rsid w:val="006D5A39"/>
    <w:rsid w:val="006E1AE7"/>
    <w:rsid w:val="006E5817"/>
    <w:rsid w:val="00702AB0"/>
    <w:rsid w:val="00707B82"/>
    <w:rsid w:val="007173CB"/>
    <w:rsid w:val="007204EC"/>
    <w:rsid w:val="00721081"/>
    <w:rsid w:val="00722352"/>
    <w:rsid w:val="00723102"/>
    <w:rsid w:val="00726263"/>
    <w:rsid w:val="00730284"/>
    <w:rsid w:val="00740C15"/>
    <w:rsid w:val="00741DD5"/>
    <w:rsid w:val="00742E66"/>
    <w:rsid w:val="00746275"/>
    <w:rsid w:val="0075491F"/>
    <w:rsid w:val="007636DD"/>
    <w:rsid w:val="007D1273"/>
    <w:rsid w:val="007D29EB"/>
    <w:rsid w:val="007D4F62"/>
    <w:rsid w:val="007E1D4B"/>
    <w:rsid w:val="007F1C91"/>
    <w:rsid w:val="007F4EE0"/>
    <w:rsid w:val="00801FEE"/>
    <w:rsid w:val="00817E89"/>
    <w:rsid w:val="008243F0"/>
    <w:rsid w:val="008302B7"/>
    <w:rsid w:val="00836266"/>
    <w:rsid w:val="00847F2B"/>
    <w:rsid w:val="00852CEC"/>
    <w:rsid w:val="00873D77"/>
    <w:rsid w:val="00877E76"/>
    <w:rsid w:val="008845B4"/>
    <w:rsid w:val="008A2B57"/>
    <w:rsid w:val="008B4134"/>
    <w:rsid w:val="008B6789"/>
    <w:rsid w:val="008C347F"/>
    <w:rsid w:val="008E682A"/>
    <w:rsid w:val="008E7A17"/>
    <w:rsid w:val="008F24A4"/>
    <w:rsid w:val="00902FBE"/>
    <w:rsid w:val="009038E6"/>
    <w:rsid w:val="0090397B"/>
    <w:rsid w:val="009046F9"/>
    <w:rsid w:val="00913622"/>
    <w:rsid w:val="00917C6C"/>
    <w:rsid w:val="00923481"/>
    <w:rsid w:val="00924571"/>
    <w:rsid w:val="009375FA"/>
    <w:rsid w:val="00937A66"/>
    <w:rsid w:val="00940BCA"/>
    <w:rsid w:val="00944E2F"/>
    <w:rsid w:val="00945556"/>
    <w:rsid w:val="00945D18"/>
    <w:rsid w:val="009A1C6F"/>
    <w:rsid w:val="009A4000"/>
    <w:rsid w:val="009A4BB3"/>
    <w:rsid w:val="009B66EE"/>
    <w:rsid w:val="009C1DF1"/>
    <w:rsid w:val="009D64F3"/>
    <w:rsid w:val="009D6EAE"/>
    <w:rsid w:val="009D7DB0"/>
    <w:rsid w:val="009E1DAA"/>
    <w:rsid w:val="009E477C"/>
    <w:rsid w:val="009F5330"/>
    <w:rsid w:val="00A220FC"/>
    <w:rsid w:val="00A36332"/>
    <w:rsid w:val="00A43A45"/>
    <w:rsid w:val="00A45D4A"/>
    <w:rsid w:val="00A5020F"/>
    <w:rsid w:val="00A64A48"/>
    <w:rsid w:val="00A722A3"/>
    <w:rsid w:val="00A803C2"/>
    <w:rsid w:val="00A8411A"/>
    <w:rsid w:val="00A90176"/>
    <w:rsid w:val="00A90C8A"/>
    <w:rsid w:val="00AA3EFC"/>
    <w:rsid w:val="00AD2AE5"/>
    <w:rsid w:val="00AE11ED"/>
    <w:rsid w:val="00AE1582"/>
    <w:rsid w:val="00AF4B5F"/>
    <w:rsid w:val="00AF76E0"/>
    <w:rsid w:val="00B311E3"/>
    <w:rsid w:val="00B32E59"/>
    <w:rsid w:val="00B56EDB"/>
    <w:rsid w:val="00B656B4"/>
    <w:rsid w:val="00B7262C"/>
    <w:rsid w:val="00B72C2C"/>
    <w:rsid w:val="00B82CD7"/>
    <w:rsid w:val="00B85F49"/>
    <w:rsid w:val="00B92303"/>
    <w:rsid w:val="00BA3A29"/>
    <w:rsid w:val="00BA4B97"/>
    <w:rsid w:val="00BC61BC"/>
    <w:rsid w:val="00BD03E0"/>
    <w:rsid w:val="00C01BC9"/>
    <w:rsid w:val="00C06B9A"/>
    <w:rsid w:val="00C153E7"/>
    <w:rsid w:val="00C15536"/>
    <w:rsid w:val="00C2158C"/>
    <w:rsid w:val="00C23F6B"/>
    <w:rsid w:val="00C252C7"/>
    <w:rsid w:val="00C3032B"/>
    <w:rsid w:val="00C50916"/>
    <w:rsid w:val="00C52435"/>
    <w:rsid w:val="00C562CE"/>
    <w:rsid w:val="00C60615"/>
    <w:rsid w:val="00C665EB"/>
    <w:rsid w:val="00C775C4"/>
    <w:rsid w:val="00C81602"/>
    <w:rsid w:val="00C9026D"/>
    <w:rsid w:val="00C95A6F"/>
    <w:rsid w:val="00CA53C9"/>
    <w:rsid w:val="00CA7135"/>
    <w:rsid w:val="00CB12F5"/>
    <w:rsid w:val="00CB1DE1"/>
    <w:rsid w:val="00CD2F33"/>
    <w:rsid w:val="00CD697E"/>
    <w:rsid w:val="00CE341A"/>
    <w:rsid w:val="00CF00B6"/>
    <w:rsid w:val="00CF2F91"/>
    <w:rsid w:val="00CF6C22"/>
    <w:rsid w:val="00D0427F"/>
    <w:rsid w:val="00D0442B"/>
    <w:rsid w:val="00D05CB2"/>
    <w:rsid w:val="00D05E6F"/>
    <w:rsid w:val="00D1125A"/>
    <w:rsid w:val="00D135DB"/>
    <w:rsid w:val="00D1622E"/>
    <w:rsid w:val="00D21185"/>
    <w:rsid w:val="00D549CC"/>
    <w:rsid w:val="00D606FC"/>
    <w:rsid w:val="00D60869"/>
    <w:rsid w:val="00D8294E"/>
    <w:rsid w:val="00D82EE4"/>
    <w:rsid w:val="00DA0EAA"/>
    <w:rsid w:val="00DA1342"/>
    <w:rsid w:val="00DB4B7F"/>
    <w:rsid w:val="00DC12C5"/>
    <w:rsid w:val="00DC5709"/>
    <w:rsid w:val="00DC66E3"/>
    <w:rsid w:val="00DE1B0C"/>
    <w:rsid w:val="00DE3CCD"/>
    <w:rsid w:val="00E019CB"/>
    <w:rsid w:val="00E13613"/>
    <w:rsid w:val="00E22CEA"/>
    <w:rsid w:val="00E36F14"/>
    <w:rsid w:val="00E41DCB"/>
    <w:rsid w:val="00E45E58"/>
    <w:rsid w:val="00E55497"/>
    <w:rsid w:val="00E616BD"/>
    <w:rsid w:val="00E71814"/>
    <w:rsid w:val="00E80753"/>
    <w:rsid w:val="00E876C1"/>
    <w:rsid w:val="00E97F0A"/>
    <w:rsid w:val="00EA6963"/>
    <w:rsid w:val="00EB2096"/>
    <w:rsid w:val="00EB5EFE"/>
    <w:rsid w:val="00EE2EAE"/>
    <w:rsid w:val="00F0404A"/>
    <w:rsid w:val="00F1306D"/>
    <w:rsid w:val="00F3005F"/>
    <w:rsid w:val="00F3044A"/>
    <w:rsid w:val="00F36C42"/>
    <w:rsid w:val="00F544C4"/>
    <w:rsid w:val="00F662D0"/>
    <w:rsid w:val="00F66688"/>
    <w:rsid w:val="00F66779"/>
    <w:rsid w:val="00F724DA"/>
    <w:rsid w:val="00F75BF0"/>
    <w:rsid w:val="00F75DFE"/>
    <w:rsid w:val="00F8221E"/>
    <w:rsid w:val="00F91FD3"/>
    <w:rsid w:val="00FA5085"/>
    <w:rsid w:val="00FB0BB6"/>
    <w:rsid w:val="00FB0F2D"/>
    <w:rsid w:val="00FB35E3"/>
    <w:rsid w:val="00FC4BC4"/>
    <w:rsid w:val="00F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97B1FC1"/>
  <w15:chartTrackingRefBased/>
  <w15:docId w15:val="{560AA0E0-0C03-4014-88AD-CD75D7B2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157"/>
    <w:pPr>
      <w:suppressAutoHyphens/>
      <w:spacing w:after="120" w:line="276" w:lineRule="auto"/>
      <w:ind w:left="1701"/>
      <w:jc w:val="both"/>
    </w:pPr>
    <w:rPr>
      <w:rFonts w:ascii="Trebuchet MS" w:eastAsia="MS Mincho" w:hAnsi="Trebuchet MS"/>
      <w:kern w:val="1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uiPriority w:val="9"/>
    <w:qFormat/>
    <w:pPr>
      <w:keepNext/>
      <w:numPr>
        <w:numId w:val="1"/>
      </w:numPr>
      <w:spacing w:before="240" w:after="240" w:line="100" w:lineRule="atLeast"/>
      <w:jc w:val="left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Heading2">
    <w:name w:val="heading 2"/>
    <w:aliases w:val="Nadpis_2,AB,Numbered - 2,Sub Heading,ignorer2,Heading 2 Char1,Heading 2 Char Char"/>
    <w:basedOn w:val="Normal"/>
    <w:next w:val="BodyText"/>
    <w:uiPriority w:val="9"/>
    <w:qFormat/>
    <w:pPr>
      <w:keepNext/>
      <w:numPr>
        <w:ilvl w:val="1"/>
        <w:numId w:val="1"/>
      </w:numPr>
      <w:spacing w:before="120" w:line="100" w:lineRule="atLeast"/>
      <w:jc w:val="left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Heading3">
    <w:name w:val="heading 3"/>
    <w:aliases w:val="Podpodkapitola,adpis 3,KopCat. 3,Numbered - 3"/>
    <w:basedOn w:val="Normal"/>
    <w:next w:val="BodyText"/>
    <w:qFormat/>
    <w:pPr>
      <w:keepNext/>
      <w:numPr>
        <w:ilvl w:val="2"/>
        <w:numId w:val="1"/>
      </w:numPr>
      <w:spacing w:before="120" w:line="100" w:lineRule="atLeast"/>
      <w:jc w:val="left"/>
      <w:outlineLvl w:val="2"/>
    </w:pPr>
    <w:rPr>
      <w:rFonts w:ascii="TimesRomanR" w:eastAsia="Times New Roman" w:hAnsi="TimesRomanR" w:cs="TimesRomanR"/>
      <w:b/>
      <w:bCs/>
      <w:szCs w:val="28"/>
      <w:lang w:val="en-GB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after="0" w:line="100" w:lineRule="atLeast"/>
      <w:jc w:val="left"/>
      <w:outlineLvl w:val="3"/>
    </w:pPr>
    <w:rPr>
      <w:rFonts w:ascii="Times New Roman" w:eastAsia="Times New Roman" w:hAnsi="Times New Roman"/>
      <w:b/>
      <w:bCs/>
      <w:sz w:val="24"/>
      <w:szCs w:val="20"/>
      <w:lang w:val="en-GB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"/>
      </w:numPr>
      <w:spacing w:after="0" w:line="100" w:lineRule="atLeast"/>
      <w:jc w:val="center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spacing w:after="0" w:line="100" w:lineRule="atLeast"/>
      <w:jc w:val="center"/>
      <w:outlineLvl w:val="5"/>
    </w:pPr>
    <w:rPr>
      <w:rFonts w:ascii="TimesRomanR" w:eastAsia="Times New Roman" w:hAnsi="TimesRomanR" w:cs="TimesRomanR"/>
      <w:b/>
      <w:bCs/>
      <w:sz w:val="24"/>
      <w:szCs w:val="20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spacing w:after="0" w:line="100" w:lineRule="atLeast"/>
      <w:outlineLvl w:val="6"/>
    </w:pPr>
    <w:rPr>
      <w:rFonts w:ascii="TimesRomanR" w:eastAsia="Times New Roman" w:hAnsi="TimesRomanR" w:cs="TimesRomanR"/>
      <w:b/>
      <w:bCs/>
      <w:sz w:val="24"/>
      <w:szCs w:val="20"/>
      <w:lang w:val="fr-FR"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spacing w:after="0" w:line="100" w:lineRule="atLeast"/>
      <w:jc w:val="left"/>
      <w:outlineLvl w:val="7"/>
    </w:pPr>
    <w:rPr>
      <w:rFonts w:ascii="Garamond" w:eastAsia="Times New Roman" w:hAnsi="Garamond" w:cs="Garamond"/>
      <w:i/>
      <w:iCs/>
      <w:sz w:val="24"/>
      <w:szCs w:val="28"/>
      <w:lang w:val="ro-RO"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"/>
      </w:numPr>
      <w:spacing w:after="0" w:line="100" w:lineRule="atLeast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caps w:val="0"/>
      <w:smallCaps w:val="0"/>
      <w:dstrike/>
      <w:vanish w:val="0"/>
      <w:color w:val="00000A"/>
      <w:kern w:val="1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color w:val="00000A"/>
      <w:sz w:val="22"/>
      <w:szCs w:val="22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erChar">
    <w:name w:val="Header Char"/>
    <w:rPr>
      <w:rFonts w:ascii="Trebuchet MS" w:eastAsia="MS Mincho" w:hAnsi="Trebuchet MS" w:cs="Times New Roman"/>
      <w:lang w:val="en-US"/>
    </w:rPr>
  </w:style>
  <w:style w:type="character" w:customStyle="1" w:styleId="FooterChar">
    <w:name w:val="Footer Char"/>
    <w:rPr>
      <w:rFonts w:ascii="Trebuchet MS" w:eastAsia="MS Mincho" w:hAnsi="Trebuchet MS" w:cs="Times New Roman"/>
      <w:lang w:val="en-US"/>
    </w:rPr>
  </w:style>
  <w:style w:type="character" w:customStyle="1" w:styleId="BalloonTextChar">
    <w:name w:val="Balloon Text Char"/>
    <w:rPr>
      <w:rFonts w:ascii="Tahoma" w:eastAsia="MS Mincho" w:hAnsi="Tahoma" w:cs="Tahoma"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Heading1Char">
    <w:name w:val="Heading 1 Char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Heading3Char">
    <w:name w:val="Heading 3 Char"/>
    <w:rPr>
      <w:rFonts w:ascii="TimesRomanR" w:eastAsia="Times New Roman" w:hAnsi="TimesRomanR" w:cs="Times New Roman"/>
      <w:b/>
      <w:bCs/>
      <w:szCs w:val="28"/>
      <w:lang w:val="en-GB"/>
    </w:rPr>
  </w:style>
  <w:style w:type="character" w:customStyle="1" w:styleId="Heading4Char">
    <w:name w:val="Heading 4 Char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5Char">
    <w:name w:val="Heading 5 Char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6Char">
    <w:name w:val="Heading 6 Char"/>
    <w:rPr>
      <w:rFonts w:ascii="TimesRomanR" w:eastAsia="Times New Roman" w:hAnsi="TimesRomanR" w:cs="Times New Roman"/>
      <w:b/>
      <w:bCs/>
      <w:sz w:val="24"/>
      <w:szCs w:val="20"/>
      <w:lang w:val="en-US"/>
    </w:rPr>
  </w:style>
  <w:style w:type="character" w:customStyle="1" w:styleId="Heading7Char">
    <w:name w:val="Heading 7 Char"/>
    <w:rPr>
      <w:rFonts w:ascii="TimesRomanR" w:eastAsia="Times New Roman" w:hAnsi="TimesRomanR" w:cs="Times New Roman"/>
      <w:b/>
      <w:bCs/>
      <w:sz w:val="24"/>
      <w:szCs w:val="20"/>
      <w:lang w:val="fr-FR"/>
    </w:rPr>
  </w:style>
  <w:style w:type="character" w:customStyle="1" w:styleId="Heading8Char">
    <w:name w:val="Heading 8 Char"/>
    <w:rPr>
      <w:rFonts w:ascii="Garamond" w:eastAsia="Times New Roman" w:hAnsi="Garamond" w:cs="Times New Roman"/>
      <w:i/>
      <w:iCs/>
      <w:sz w:val="24"/>
      <w:szCs w:val="28"/>
    </w:rPr>
  </w:style>
  <w:style w:type="character" w:customStyle="1" w:styleId="Heading9Char">
    <w:name w:val="Heading 9 Char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Calibri"/>
    </w:rPr>
  </w:style>
  <w:style w:type="character" w:customStyle="1" w:styleId="ListLabel4">
    <w:name w:val="ListLabel 4"/>
    <w:rPr>
      <w:rFonts w:eastAsia="MS Mincho" w:cs="Times New Roman"/>
    </w:rPr>
  </w:style>
  <w:style w:type="character" w:customStyle="1" w:styleId="ListLabel5">
    <w:name w:val="ListLabel 5"/>
    <w:rPr>
      <w:rFonts w:cs="Symbol"/>
      <w:sz w:val="26"/>
      <w:szCs w:val="26"/>
      <w:lang w:val="ro-RO"/>
    </w:rPr>
  </w:style>
  <w:style w:type="character" w:customStyle="1" w:styleId="ListLabel6">
    <w:name w:val="ListLabel 6"/>
    <w:rPr>
      <w:b/>
      <w:i w:val="0"/>
      <w:caps w:val="0"/>
      <w:smallCaps w:val="0"/>
      <w:dstrike/>
      <w:vanish w:val="0"/>
      <w:color w:val="00000A"/>
      <w:kern w:val="1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color w:val="00000A"/>
      <w:sz w:val="22"/>
      <w:szCs w:val="22"/>
    </w:rPr>
  </w:style>
  <w:style w:type="character" w:customStyle="1" w:styleId="ListLabel8">
    <w:name w:val="ListLabel 8"/>
    <w:rPr>
      <w:b/>
      <w:i w:val="0"/>
      <w:caps w:val="0"/>
      <w:smallCaps w:val="0"/>
      <w:dstrike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Normal"/>
    <w:next w:val="Body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suppressLineNumbers/>
      <w:tabs>
        <w:tab w:val="center" w:pos="4320"/>
        <w:tab w:val="right" w:pos="8640"/>
      </w:tabs>
    </w:pPr>
  </w:style>
  <w:style w:type="paragraph" w:customStyle="1" w:styleId="MediumGrid21">
    <w:name w:val="Medium Grid 21"/>
    <w:pPr>
      <w:suppressAutoHyphens/>
      <w:spacing w:line="100" w:lineRule="atLeast"/>
    </w:pPr>
    <w:rPr>
      <w:rFonts w:ascii="Trebuchet MS" w:eastAsia="MS Mincho" w:hAnsi="Trebuchet MS"/>
      <w:kern w:val="1"/>
      <w:sz w:val="18"/>
      <w:szCs w:val="18"/>
      <w:lang w:val="en-US" w:eastAsia="ar-SA"/>
    </w:r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aliases w:val="Akapit z listą BS,Outlines a.b.c.,List_Paragraph,Multilevel para_II,Akapit z lista BS,List Paragraph1,Normal bullet 2,numbered list,2,OBC Bullet,Normal 1,Task Body,Viñetas (Inicio Parrafo),Paragrafo elenco,3 Txt tabla,Zerrenda-paragrafoa"/>
    <w:basedOn w:val="Normal"/>
    <w:link w:val="ListParagraphChar"/>
    <w:uiPriority w:val="34"/>
    <w:qFormat/>
    <w:pPr>
      <w:ind w:left="720"/>
    </w:pPr>
  </w:style>
  <w:style w:type="paragraph" w:customStyle="1" w:styleId="CommentText1">
    <w:name w:val="Comment Text1"/>
    <w:basedOn w:val="Normal"/>
    <w:pPr>
      <w:spacing w:after="0" w:line="100" w:lineRule="atLeast"/>
      <w:ind w:left="0"/>
      <w:jc w:val="left"/>
    </w:pPr>
    <w:rPr>
      <w:rFonts w:ascii="Times New Roman" w:eastAsia="Times New Roman" w:hAnsi="Times New Roman"/>
      <w:sz w:val="20"/>
      <w:szCs w:val="20"/>
      <w:lang w:val="es-ES"/>
    </w:rPr>
  </w:style>
  <w:style w:type="paragraph" w:customStyle="1" w:styleId="chtitle">
    <w:name w:val="ch_title"/>
    <w:basedOn w:val="Normal"/>
    <w:pPr>
      <w:spacing w:before="28" w:after="100" w:line="100" w:lineRule="atLeast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hspec">
    <w:name w:val="ch_spec"/>
    <w:basedOn w:val="Normal"/>
    <w:pPr>
      <w:spacing w:before="28" w:after="100" w:line="100" w:lineRule="atLeast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723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92303"/>
    <w:pPr>
      <w:autoSpaceDN w:val="0"/>
      <w:spacing w:before="100" w:after="100" w:line="240" w:lineRule="auto"/>
      <w:ind w:left="0"/>
      <w:jc w:val="left"/>
      <w:textAlignment w:val="baseline"/>
    </w:pPr>
    <w:rPr>
      <w:rFonts w:ascii="Times New Roman" w:eastAsia="Times New Roman" w:hAnsi="Times New Roman"/>
      <w:kern w:val="0"/>
      <w:sz w:val="24"/>
      <w:szCs w:val="24"/>
      <w:lang w:val="ro-RO" w:eastAsia="ro-RO"/>
    </w:rPr>
  </w:style>
  <w:style w:type="paragraph" w:customStyle="1" w:styleId="MediumGrid22">
    <w:name w:val="Medium Grid 22"/>
    <w:uiPriority w:val="1"/>
    <w:qFormat/>
    <w:rsid w:val="00453E94"/>
    <w:pPr>
      <w:suppressAutoHyphens/>
    </w:pPr>
    <w:rPr>
      <w:kern w:val="1"/>
      <w:sz w:val="24"/>
      <w:szCs w:val="24"/>
      <w:lang w:val="en-US" w:eastAsia="ar-SA"/>
    </w:rPr>
  </w:style>
  <w:style w:type="character" w:customStyle="1" w:styleId="HeaderChar1">
    <w:name w:val="Header Char1"/>
    <w:link w:val="Header"/>
    <w:uiPriority w:val="99"/>
    <w:rsid w:val="0017338F"/>
    <w:rPr>
      <w:rFonts w:ascii="Trebuchet MS" w:eastAsia="MS Mincho" w:hAnsi="Trebuchet MS"/>
      <w:kern w:val="1"/>
      <w:sz w:val="22"/>
      <w:szCs w:val="22"/>
      <w:lang w:eastAsia="ar-SA"/>
    </w:rPr>
  </w:style>
  <w:style w:type="paragraph" w:customStyle="1" w:styleId="Default">
    <w:name w:val="Default"/>
    <w:rsid w:val="00DE3CC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List Paragraph1 Char,Normal bullet 2 Char,numbered list Char,2 Char,OBC Bullet Char,Normal 1 Char,Task Body Char"/>
    <w:link w:val="ListParagraph"/>
    <w:uiPriority w:val="34"/>
    <w:qFormat/>
    <w:locked/>
    <w:rsid w:val="00AD2AE5"/>
    <w:rPr>
      <w:rFonts w:ascii="Trebuchet MS" w:eastAsia="MS Mincho" w:hAnsi="Trebuchet MS"/>
      <w:kern w:val="1"/>
      <w:sz w:val="22"/>
      <w:szCs w:val="22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2AE5"/>
    <w:pPr>
      <w:suppressAutoHyphens w:val="0"/>
      <w:spacing w:after="0" w:line="240" w:lineRule="auto"/>
      <w:ind w:left="0"/>
      <w:jc w:val="left"/>
    </w:pPr>
    <w:rPr>
      <w:rFonts w:eastAsia="Trebuchet MS" w:cs="Trebuchet MS"/>
      <w:kern w:val="0"/>
      <w:sz w:val="20"/>
      <w:szCs w:val="20"/>
      <w:lang w:val="ro-RO" w:eastAsia="ro-RO"/>
    </w:rPr>
  </w:style>
  <w:style w:type="character" w:customStyle="1" w:styleId="FootnoteTextChar">
    <w:name w:val="Footnote Text Char"/>
    <w:link w:val="FootnoteText"/>
    <w:uiPriority w:val="99"/>
    <w:semiHidden/>
    <w:rsid w:val="00AD2AE5"/>
    <w:rPr>
      <w:rFonts w:ascii="Trebuchet MS" w:eastAsia="Trebuchet MS" w:hAnsi="Trebuchet MS" w:cs="Trebuchet MS"/>
      <w:lang w:val="ro-RO" w:eastAsia="ro-RO"/>
    </w:rPr>
  </w:style>
  <w:style w:type="character" w:styleId="FootnoteReference">
    <w:name w:val="footnote reference"/>
    <w:uiPriority w:val="99"/>
    <w:semiHidden/>
    <w:unhideWhenUsed/>
    <w:rsid w:val="00AD2AE5"/>
    <w:rPr>
      <w:vertAlign w:val="superscript"/>
    </w:rPr>
  </w:style>
  <w:style w:type="paragraph" w:styleId="NoSpacing">
    <w:name w:val="No Spacing"/>
    <w:uiPriority w:val="1"/>
    <w:qFormat/>
    <w:rsid w:val="00CB1DE1"/>
    <w:rPr>
      <w:rFonts w:ascii="Calibri" w:eastAsia="Trebuchet MS" w:hAnsi="Calibri" w:cs="Trebuchet M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F24A4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F24A4"/>
    <w:rPr>
      <w:rFonts w:ascii="Trebuchet MS" w:eastAsia="MS Mincho" w:hAnsi="Trebuchet MS"/>
      <w:kern w:val="1"/>
      <w:lang w:eastAsia="ar-SA"/>
    </w:rPr>
  </w:style>
  <w:style w:type="character" w:styleId="EndnoteReference">
    <w:name w:val="endnote reference"/>
    <w:uiPriority w:val="99"/>
    <w:semiHidden/>
    <w:unhideWhenUsed/>
    <w:rsid w:val="008F2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5079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5943</CharactersWithSpaces>
  <SharedDoc>false</SharedDoc>
  <HLinks>
    <vt:vector size="6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http://www.mmediu.ro/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Tinta</dc:creator>
  <cp:keywords/>
  <cp:lastModifiedBy>Adrian STEFANESCU</cp:lastModifiedBy>
  <cp:revision>2</cp:revision>
  <cp:lastPrinted>2022-07-22T08:24:00Z</cp:lastPrinted>
  <dcterms:created xsi:type="dcterms:W3CDTF">2023-11-22T06:59:00Z</dcterms:created>
  <dcterms:modified xsi:type="dcterms:W3CDTF">2023-11-22T06:59:00Z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