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DCC9" w14:textId="77777777" w:rsidR="00CA6BF9" w:rsidRPr="00097E97" w:rsidRDefault="00CA6BF9" w:rsidP="00CA6BF9">
      <w:pPr>
        <w:spacing w:line="276" w:lineRule="auto"/>
        <w:jc w:val="center"/>
        <w:rPr>
          <w:rFonts w:eastAsia="MS Mincho"/>
          <w:b/>
        </w:rPr>
      </w:pPr>
      <w:r w:rsidRPr="00097E97">
        <w:rPr>
          <w:rFonts w:eastAsia="MS Mincho"/>
          <w:b/>
        </w:rPr>
        <w:t>MINISTERUL MEDIULUI, APELOR ŞI PĂDURILOR</w:t>
      </w:r>
    </w:p>
    <w:p w14:paraId="59BAB893" w14:textId="77777777" w:rsidR="00CA6BF9" w:rsidRPr="00097E97" w:rsidRDefault="00CA6BF9" w:rsidP="00CA6BF9">
      <w:pPr>
        <w:spacing w:line="276" w:lineRule="auto"/>
        <w:ind w:left="630"/>
        <w:jc w:val="center"/>
        <w:rPr>
          <w:rFonts w:eastAsia="MS Mincho"/>
          <w:b/>
        </w:rPr>
      </w:pPr>
    </w:p>
    <w:p w14:paraId="6B47CA06" w14:textId="77777777" w:rsidR="00CA6BF9" w:rsidRPr="00097E97" w:rsidRDefault="00CA6BF9" w:rsidP="00CA6BF9">
      <w:pPr>
        <w:spacing w:line="276" w:lineRule="auto"/>
        <w:ind w:left="630"/>
        <w:jc w:val="center"/>
        <w:rPr>
          <w:rFonts w:eastAsia="MS Mincho"/>
        </w:rPr>
      </w:pPr>
      <w:r w:rsidRPr="00097E97">
        <w:rPr>
          <w:rFonts w:eastAsia="MS Mincho"/>
          <w:noProof/>
        </w:rPr>
        <w:drawing>
          <wp:inline distT="0" distB="0" distL="0" distR="0" wp14:anchorId="32527B8B" wp14:editId="215A51CC">
            <wp:extent cx="571500" cy="828675"/>
            <wp:effectExtent l="0" t="0" r="0" b="9525"/>
            <wp:docPr id="2" name="Picture 2" descr="http://www.presidency.ro/files/userfiles/Stema_Oficiala_a_Romaniei_din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sidency.ro/files/userfiles/Stema_Oficiala_a_Romaniei_din_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E343A" w14:textId="77777777" w:rsidR="00CA6BF9" w:rsidRPr="00097E97" w:rsidRDefault="00CA6BF9" w:rsidP="00CA6BF9">
      <w:pPr>
        <w:widowControl w:val="0"/>
        <w:kinsoku w:val="0"/>
        <w:spacing w:line="276" w:lineRule="auto"/>
        <w:ind w:left="630"/>
        <w:jc w:val="center"/>
        <w:rPr>
          <w:b/>
        </w:rPr>
      </w:pPr>
      <w:r w:rsidRPr="00097E97">
        <w:rPr>
          <w:b/>
        </w:rPr>
        <w:t>ORDIN</w:t>
      </w:r>
    </w:p>
    <w:p w14:paraId="6DC66C36" w14:textId="1101D97F" w:rsidR="00CA6BF9" w:rsidRPr="00097E97" w:rsidRDefault="00CA6BF9" w:rsidP="00CA6BF9">
      <w:pPr>
        <w:widowControl w:val="0"/>
        <w:kinsoku w:val="0"/>
        <w:spacing w:before="324" w:line="276" w:lineRule="auto"/>
        <w:ind w:left="630"/>
        <w:jc w:val="center"/>
        <w:rPr>
          <w:b/>
          <w:bCs/>
        </w:rPr>
      </w:pPr>
      <w:r w:rsidRPr="00097E97">
        <w:rPr>
          <w:b/>
          <w:bCs/>
        </w:rPr>
        <w:t>Nr.  .……. din …..……..  202</w:t>
      </w:r>
      <w:r w:rsidR="002E551A" w:rsidRPr="00097E97">
        <w:rPr>
          <w:b/>
          <w:bCs/>
        </w:rPr>
        <w:t>2</w:t>
      </w:r>
    </w:p>
    <w:p w14:paraId="703236F8" w14:textId="77777777" w:rsidR="00CA6BF9" w:rsidRPr="00097E97" w:rsidRDefault="00CA6BF9" w:rsidP="00CA6BF9">
      <w:pPr>
        <w:widowControl w:val="0"/>
        <w:kinsoku w:val="0"/>
        <w:spacing w:before="324" w:line="276" w:lineRule="auto"/>
        <w:ind w:left="630"/>
        <w:jc w:val="center"/>
        <w:rPr>
          <w:b/>
          <w:bCs/>
          <w:sz w:val="2"/>
          <w:szCs w:val="2"/>
        </w:rPr>
      </w:pPr>
    </w:p>
    <w:p w14:paraId="2D86044A" w14:textId="23D146BF" w:rsidR="00CA6BF9" w:rsidRDefault="00CA6BF9" w:rsidP="00964127">
      <w:pPr>
        <w:widowControl w:val="0"/>
        <w:tabs>
          <w:tab w:val="left" w:pos="9214"/>
        </w:tabs>
        <w:kinsoku w:val="0"/>
        <w:ind w:left="993" w:right="871"/>
        <w:jc w:val="center"/>
        <w:rPr>
          <w:b/>
          <w:bCs/>
        </w:rPr>
      </w:pPr>
      <w:bookmarkStart w:id="0" w:name="_Hlk43108721"/>
      <w:r w:rsidRPr="00097E97">
        <w:rPr>
          <w:b/>
          <w:bCs/>
        </w:rPr>
        <w:t xml:space="preserve">privind </w:t>
      </w:r>
      <w:r w:rsidR="00AE3516" w:rsidRPr="00097E97">
        <w:rPr>
          <w:b/>
          <w:bCs/>
        </w:rPr>
        <w:t xml:space="preserve">aprobarea </w:t>
      </w:r>
      <w:r w:rsidR="002E5169" w:rsidRPr="00097E97">
        <w:rPr>
          <w:b/>
          <w:bCs/>
        </w:rPr>
        <w:t xml:space="preserve">Ghidului specific privind regulile și condițiile aplicabile finanțării din fondurile europene aferente Planului Național de Redresare și Reziliență în cadrul apelului de proiecte </w:t>
      </w:r>
      <w:r w:rsidR="00454E28" w:rsidRPr="00097E97">
        <w:rPr>
          <w:b/>
          <w:bCs/>
        </w:rPr>
        <w:t>PNRR/2022/C</w:t>
      </w:r>
      <w:r w:rsidR="00964127">
        <w:rPr>
          <w:b/>
          <w:bCs/>
        </w:rPr>
        <w:t>1</w:t>
      </w:r>
      <w:r w:rsidR="00454E28" w:rsidRPr="00097E97">
        <w:rPr>
          <w:b/>
          <w:bCs/>
        </w:rPr>
        <w:t>/</w:t>
      </w:r>
      <w:r w:rsidR="00964127">
        <w:rPr>
          <w:b/>
          <w:bCs/>
        </w:rPr>
        <w:t>3</w:t>
      </w:r>
      <w:r w:rsidR="002E5169" w:rsidRPr="00097E97">
        <w:rPr>
          <w:b/>
          <w:bCs/>
        </w:rPr>
        <w:t>, pentru</w:t>
      </w:r>
      <w:r w:rsidR="00964127">
        <w:rPr>
          <w:b/>
          <w:bCs/>
        </w:rPr>
        <w:t xml:space="preserve"> Investiția 3 „Sprijinirea conectării populației cu venituri mici la rețelele de alimentare cu apă și canalizare existente”, C</w:t>
      </w:r>
      <w:r w:rsidR="002E5169" w:rsidRPr="00097E97">
        <w:rPr>
          <w:b/>
          <w:bCs/>
        </w:rPr>
        <w:t xml:space="preserve">omponenta </w:t>
      </w:r>
      <w:r w:rsidR="00964127">
        <w:rPr>
          <w:b/>
          <w:bCs/>
        </w:rPr>
        <w:t>C1</w:t>
      </w:r>
      <w:r w:rsidR="002E5169" w:rsidRPr="00097E97">
        <w:rPr>
          <w:b/>
          <w:bCs/>
        </w:rPr>
        <w:t xml:space="preserve">: Managementul </w:t>
      </w:r>
      <w:bookmarkEnd w:id="0"/>
      <w:r w:rsidR="00964127">
        <w:rPr>
          <w:b/>
          <w:bCs/>
        </w:rPr>
        <w:t>apei</w:t>
      </w:r>
    </w:p>
    <w:p w14:paraId="6C32D12B" w14:textId="53AF4FB4" w:rsidR="002E5EDE" w:rsidRPr="00097E97" w:rsidRDefault="002E5EDE" w:rsidP="00A55958">
      <w:pPr>
        <w:jc w:val="both"/>
      </w:pPr>
    </w:p>
    <w:p w14:paraId="516622F6" w14:textId="55F0E8C2" w:rsidR="00ED0F8C" w:rsidRPr="00097E97" w:rsidRDefault="00ED0F8C" w:rsidP="00ED0F8C">
      <w:pPr>
        <w:tabs>
          <w:tab w:val="left" w:pos="810"/>
        </w:tabs>
        <w:spacing w:line="100" w:lineRule="atLeast"/>
        <w:ind w:right="-193"/>
        <w:jc w:val="both"/>
        <w:rPr>
          <w:rFonts w:eastAsiaTheme="minorHAnsi"/>
          <w:color w:val="000000" w:themeColor="text1"/>
        </w:rPr>
      </w:pPr>
      <w:r w:rsidRPr="00097E97">
        <w:rPr>
          <w:rFonts w:eastAsiaTheme="minorHAnsi"/>
          <w:color w:val="000000" w:themeColor="text1"/>
        </w:rPr>
        <w:t xml:space="preserve">Având în vedere: Referatul de aprobare nr. </w:t>
      </w:r>
      <w:r w:rsidR="00B628CF" w:rsidRPr="00097E97">
        <w:rPr>
          <w:rFonts w:eastAsiaTheme="minorHAnsi"/>
          <w:color w:val="000000" w:themeColor="text1"/>
        </w:rPr>
        <w:t>DGPNRR/5058</w:t>
      </w:r>
      <w:r w:rsidR="00097E97" w:rsidRPr="00097E97">
        <w:rPr>
          <w:rFonts w:eastAsiaTheme="minorHAnsi"/>
          <w:color w:val="000000" w:themeColor="text1"/>
        </w:rPr>
        <w:t>6</w:t>
      </w:r>
      <w:r w:rsidR="00B628CF" w:rsidRPr="00097E97">
        <w:rPr>
          <w:rFonts w:eastAsiaTheme="minorHAnsi"/>
          <w:color w:val="000000" w:themeColor="text1"/>
        </w:rPr>
        <w:t xml:space="preserve">/28.07.2022 al </w:t>
      </w:r>
      <w:r w:rsidRPr="00097E97">
        <w:rPr>
          <w:rFonts w:eastAsiaTheme="minorHAnsi"/>
          <w:color w:val="000000" w:themeColor="text1"/>
        </w:rPr>
        <w:t>Direcției Generale Planul Nați</w:t>
      </w:r>
      <w:r w:rsidR="00B628CF" w:rsidRPr="00097E97">
        <w:rPr>
          <w:rFonts w:eastAsiaTheme="minorHAnsi"/>
          <w:color w:val="000000" w:themeColor="text1"/>
        </w:rPr>
        <w:t>onal de Redresare și Reziliență,</w:t>
      </w:r>
    </w:p>
    <w:p w14:paraId="625C627B" w14:textId="77777777" w:rsidR="00ED0F8C" w:rsidRPr="00097E97" w:rsidRDefault="00ED0F8C" w:rsidP="00ED0F8C">
      <w:pPr>
        <w:spacing w:line="100" w:lineRule="atLeast"/>
        <w:ind w:right="-193" w:firstLine="708"/>
        <w:jc w:val="both"/>
        <w:rPr>
          <w:bCs/>
        </w:rPr>
      </w:pPr>
    </w:p>
    <w:p w14:paraId="1EA30E8D" w14:textId="77777777" w:rsidR="00ED0F8C" w:rsidRPr="00097E97" w:rsidRDefault="00ED0F8C" w:rsidP="00ED0F8C">
      <w:pPr>
        <w:spacing w:line="259" w:lineRule="auto"/>
        <w:jc w:val="both"/>
        <w:rPr>
          <w:rFonts w:eastAsiaTheme="minorHAnsi"/>
          <w:color w:val="000000" w:themeColor="text1"/>
        </w:rPr>
      </w:pPr>
      <w:r w:rsidRPr="00097E97">
        <w:rPr>
          <w:rFonts w:eastAsiaTheme="minorHAnsi"/>
          <w:color w:val="000000" w:themeColor="text1"/>
        </w:rPr>
        <w:t>În baza prevederilor:</w:t>
      </w:r>
    </w:p>
    <w:p w14:paraId="6F72FEDD" w14:textId="77777777" w:rsidR="00ED0F8C" w:rsidRPr="00097E97" w:rsidRDefault="00ED0F8C" w:rsidP="00ED0F8C">
      <w:pPr>
        <w:numPr>
          <w:ilvl w:val="0"/>
          <w:numId w:val="6"/>
        </w:numPr>
        <w:tabs>
          <w:tab w:val="left" w:pos="0"/>
        </w:tabs>
        <w:spacing w:after="160" w:line="259" w:lineRule="auto"/>
        <w:ind w:left="540" w:hanging="540"/>
        <w:contextualSpacing/>
        <w:jc w:val="both"/>
        <w:rPr>
          <w:rFonts w:eastAsiaTheme="minorHAnsi"/>
          <w:color w:val="000000" w:themeColor="text1"/>
        </w:rPr>
      </w:pPr>
      <w:r w:rsidRPr="00097E97">
        <w:rPr>
          <w:rFonts w:eastAsiaTheme="minorHAnsi"/>
          <w:color w:val="000000" w:themeColor="text1"/>
        </w:rPr>
        <w:t>Acordului de finanțare privind implementarea reformelor și/sau investițiilor finanțate prin Planul național de redresare și reziliență nr. 26595/08.03.2022, încheiat între Ministerul Investițiilor și Proiectelor Europene și Ministerul Mediului, Apelor și Pădurilor;</w:t>
      </w:r>
    </w:p>
    <w:p w14:paraId="29A8471E" w14:textId="77777777" w:rsidR="00ED0F8C" w:rsidRPr="00097E97" w:rsidRDefault="00ED0F8C" w:rsidP="00ED0F8C">
      <w:pPr>
        <w:numPr>
          <w:ilvl w:val="0"/>
          <w:numId w:val="6"/>
        </w:numPr>
        <w:tabs>
          <w:tab w:val="left" w:pos="0"/>
        </w:tabs>
        <w:spacing w:after="160" w:line="259" w:lineRule="auto"/>
        <w:ind w:left="540" w:hanging="540"/>
        <w:contextualSpacing/>
        <w:jc w:val="both"/>
        <w:rPr>
          <w:rFonts w:eastAsiaTheme="minorHAnsi"/>
          <w:color w:val="000000" w:themeColor="text1"/>
        </w:rPr>
      </w:pPr>
      <w:r w:rsidRPr="00097E97">
        <w:rPr>
          <w:rFonts w:eastAsiaTheme="minorHAnsi"/>
          <w:color w:val="000000" w:themeColor="text1"/>
        </w:rPr>
        <w:t>Regulamentului (UE) 2021/241 al Parlamentului European și al Consiliului din 12 februarie 2021 de instituire a Mecanismului de redresare și  reziliență;</w:t>
      </w:r>
    </w:p>
    <w:p w14:paraId="37BD13DA" w14:textId="77777777" w:rsidR="00ED0F8C" w:rsidRPr="00097E97" w:rsidRDefault="00ED0F8C" w:rsidP="00ED0F8C">
      <w:pPr>
        <w:numPr>
          <w:ilvl w:val="0"/>
          <w:numId w:val="6"/>
        </w:numPr>
        <w:tabs>
          <w:tab w:val="left" w:pos="0"/>
        </w:tabs>
        <w:spacing w:after="160" w:line="259" w:lineRule="auto"/>
        <w:ind w:left="540" w:hanging="540"/>
        <w:contextualSpacing/>
        <w:jc w:val="both"/>
        <w:rPr>
          <w:rFonts w:eastAsiaTheme="minorHAnsi"/>
          <w:color w:val="000000" w:themeColor="text1"/>
        </w:rPr>
      </w:pPr>
      <w:r w:rsidRPr="00097E97">
        <w:rPr>
          <w:rFonts w:eastAsiaTheme="minorHAnsi"/>
          <w:color w:val="000000" w:themeColor="text1"/>
        </w:rPr>
        <w:t>Deciziei de punere în aplicare a Consiliului de aprobare a evaluării planului de redresare și reziliență al României din data de 03 noiembrie 2021 (CID);</w:t>
      </w:r>
    </w:p>
    <w:p w14:paraId="63117566" w14:textId="46E7AE86" w:rsidR="0061754B" w:rsidRPr="00097E97" w:rsidRDefault="00ED0F8C" w:rsidP="0061754B">
      <w:pPr>
        <w:numPr>
          <w:ilvl w:val="0"/>
          <w:numId w:val="6"/>
        </w:numPr>
        <w:tabs>
          <w:tab w:val="left" w:pos="0"/>
        </w:tabs>
        <w:spacing w:after="160" w:line="259" w:lineRule="auto"/>
        <w:ind w:left="540" w:hanging="540"/>
        <w:contextualSpacing/>
        <w:jc w:val="both"/>
        <w:rPr>
          <w:rFonts w:eastAsiaTheme="minorHAnsi"/>
          <w:color w:val="000000" w:themeColor="text1"/>
        </w:rPr>
      </w:pPr>
      <w:r w:rsidRPr="00097E97">
        <w:rPr>
          <w:rFonts w:eastAsiaTheme="minorHAnsi"/>
          <w:color w:val="000000" w:themeColor="text1"/>
        </w:rPr>
        <w:t>Regulamentului (UE) 2020/2094 al Consiliului din 14 decembrie 2020 de instituire a unui instrument de redresare al Uniunii Europene pentru a sprijini redresarea în urma crizei provocate de COVID-19;</w:t>
      </w:r>
    </w:p>
    <w:p w14:paraId="0CB9A086" w14:textId="79518AFA" w:rsidR="0061754B" w:rsidRPr="00097E97" w:rsidRDefault="0061754B" w:rsidP="0061754B">
      <w:pPr>
        <w:numPr>
          <w:ilvl w:val="0"/>
          <w:numId w:val="7"/>
        </w:numPr>
        <w:tabs>
          <w:tab w:val="left" w:pos="0"/>
        </w:tabs>
        <w:spacing w:after="160" w:line="256" w:lineRule="auto"/>
        <w:ind w:left="540" w:hanging="540"/>
        <w:contextualSpacing/>
        <w:jc w:val="both"/>
        <w:rPr>
          <w:rFonts w:eastAsiaTheme="minorHAnsi"/>
        </w:rPr>
      </w:pPr>
      <w:r w:rsidRPr="00097E97">
        <w:rPr>
          <w:rFonts w:eastAsiaTheme="minorHAnsi"/>
        </w:rPr>
        <w:t>Regulamentului (UE) 2021/240 al Parlamentului European și al Consiliului din 10 februarie 2021 de instituire a unui Instrument de sprijin tehnic;</w:t>
      </w:r>
    </w:p>
    <w:p w14:paraId="456B7473" w14:textId="3DA7070E" w:rsidR="00ED0F8C" w:rsidRPr="00097E97" w:rsidRDefault="00097E97" w:rsidP="00ED0F8C">
      <w:pPr>
        <w:numPr>
          <w:ilvl w:val="0"/>
          <w:numId w:val="6"/>
        </w:numPr>
        <w:tabs>
          <w:tab w:val="left" w:pos="0"/>
        </w:tabs>
        <w:spacing w:after="160" w:line="259" w:lineRule="auto"/>
        <w:ind w:left="540" w:hanging="540"/>
        <w:contextualSpacing/>
        <w:jc w:val="both"/>
        <w:rPr>
          <w:rFonts w:eastAsiaTheme="minorHAnsi"/>
          <w:color w:val="000000" w:themeColor="text1"/>
        </w:rPr>
      </w:pPr>
      <w:r w:rsidRPr="00097E97">
        <w:rPr>
          <w:rFonts w:eastAsiaTheme="minorHAnsi"/>
          <w:color w:val="000000" w:themeColor="text1"/>
        </w:rPr>
        <w:t>Ordonanței</w:t>
      </w:r>
      <w:r w:rsidR="00ED0F8C" w:rsidRPr="00097E97">
        <w:rPr>
          <w:rFonts w:eastAsiaTheme="minorHAnsi"/>
          <w:color w:val="000000" w:themeColor="text1"/>
        </w:rPr>
        <w:t xml:space="preserve"> de urgență a Guvernului nr. 155/2020 privind unele măsuri pentru elaborarea Planului </w:t>
      </w:r>
      <w:r w:rsidRPr="00097E97">
        <w:rPr>
          <w:rFonts w:eastAsiaTheme="minorHAnsi"/>
          <w:color w:val="000000" w:themeColor="text1"/>
        </w:rPr>
        <w:t>național</w:t>
      </w:r>
      <w:r w:rsidR="00ED0F8C" w:rsidRPr="00097E97">
        <w:rPr>
          <w:rFonts w:eastAsiaTheme="minorHAnsi"/>
          <w:color w:val="000000" w:themeColor="text1"/>
        </w:rPr>
        <w:t xml:space="preserve"> de redresare şi </w:t>
      </w:r>
      <w:r w:rsidRPr="00097E97">
        <w:rPr>
          <w:rFonts w:eastAsiaTheme="minorHAnsi"/>
          <w:color w:val="000000" w:themeColor="text1"/>
        </w:rPr>
        <w:t>reziliență</w:t>
      </w:r>
      <w:r w:rsidR="00ED0F8C" w:rsidRPr="00097E97">
        <w:rPr>
          <w:rFonts w:eastAsiaTheme="minorHAnsi"/>
          <w:color w:val="000000" w:themeColor="text1"/>
        </w:rPr>
        <w:t xml:space="preserve"> necesar României pentru accesarea de fonduri externe rambursabile şi nerambursabile în cadrul Mecanismului de redresare şi rezilienţă</w:t>
      </w:r>
      <w:r w:rsidR="008E1AEA" w:rsidRPr="00097E97">
        <w:rPr>
          <w:rFonts w:eastAsiaTheme="minorHAnsi"/>
          <w:color w:val="000000" w:themeColor="text1"/>
        </w:rPr>
        <w:t>,</w:t>
      </w:r>
      <w:r w:rsidR="00ED0F8C" w:rsidRPr="00097E97">
        <w:rPr>
          <w:rFonts w:eastAsiaTheme="minorHAnsi"/>
          <w:color w:val="000000" w:themeColor="text1"/>
        </w:rPr>
        <w:t xml:space="preserve"> aprobată prin Legea nr. 230/2021, cu modificările și completările ulterioare;</w:t>
      </w:r>
    </w:p>
    <w:p w14:paraId="465F2B61" w14:textId="15A2EBD0" w:rsidR="00ED0F8C" w:rsidRPr="00097E97" w:rsidRDefault="00097E97" w:rsidP="00ED0F8C">
      <w:pPr>
        <w:numPr>
          <w:ilvl w:val="0"/>
          <w:numId w:val="6"/>
        </w:numPr>
        <w:tabs>
          <w:tab w:val="left" w:pos="0"/>
        </w:tabs>
        <w:spacing w:after="160" w:line="259" w:lineRule="auto"/>
        <w:ind w:left="540" w:hanging="540"/>
        <w:contextualSpacing/>
        <w:jc w:val="both"/>
        <w:rPr>
          <w:rFonts w:eastAsiaTheme="minorHAnsi"/>
          <w:color w:val="000000" w:themeColor="text1"/>
        </w:rPr>
      </w:pPr>
      <w:r w:rsidRPr="00097E97">
        <w:rPr>
          <w:rFonts w:eastAsiaTheme="minorHAnsi"/>
          <w:color w:val="000000" w:themeColor="text1"/>
        </w:rPr>
        <w:t>Ordonanței</w:t>
      </w:r>
      <w:r w:rsidR="00ED0F8C" w:rsidRPr="00097E97">
        <w:rPr>
          <w:rFonts w:eastAsiaTheme="minorHAnsi"/>
          <w:color w:val="000000" w:themeColor="text1"/>
        </w:rPr>
        <w:t xml:space="preserve"> de urgență a Guvernului nr. 124/2021 privind stabilirea cadrului </w:t>
      </w:r>
      <w:r w:rsidRPr="00097E97">
        <w:rPr>
          <w:rFonts w:eastAsiaTheme="minorHAnsi"/>
          <w:color w:val="000000" w:themeColor="text1"/>
        </w:rPr>
        <w:t>instituțional</w:t>
      </w:r>
      <w:r w:rsidR="00ED0F8C" w:rsidRPr="00097E97">
        <w:rPr>
          <w:rFonts w:eastAsiaTheme="minorHAnsi"/>
          <w:color w:val="000000" w:themeColor="text1"/>
        </w:rPr>
        <w:t xml:space="preserve"> și financiar pentru gestionarea  fondurilor europene alocate României prin Mecanismul de redresare şi rezilienţă precum şi pentru modificarea și completarea Ordonanței de urgență a Guvernului nr. 155/2020 privind unele măsuri pentru elaborarea Planului </w:t>
      </w:r>
      <w:proofErr w:type="spellStart"/>
      <w:r w:rsidR="00ED0F8C" w:rsidRPr="00097E97">
        <w:rPr>
          <w:rFonts w:eastAsiaTheme="minorHAnsi"/>
          <w:color w:val="000000" w:themeColor="text1"/>
        </w:rPr>
        <w:t>naţional</w:t>
      </w:r>
      <w:proofErr w:type="spellEnd"/>
      <w:r w:rsidR="00ED0F8C" w:rsidRPr="00097E97">
        <w:rPr>
          <w:rFonts w:eastAsiaTheme="minorHAnsi"/>
          <w:color w:val="000000" w:themeColor="text1"/>
        </w:rPr>
        <w:t xml:space="preserve"> de redresare şi rezilienţă necesar României pentru accesarea de fonduri externe rambursabile şi nerambursabile în cadrul Mecanismului de redresare şi rezilienţă, cu modificările și completările ulterioare;</w:t>
      </w:r>
    </w:p>
    <w:p w14:paraId="43454028" w14:textId="7F68E613" w:rsidR="00B628CF" w:rsidRPr="00097E97" w:rsidRDefault="00ED0F8C" w:rsidP="00B628CF">
      <w:pPr>
        <w:numPr>
          <w:ilvl w:val="0"/>
          <w:numId w:val="6"/>
        </w:numPr>
        <w:tabs>
          <w:tab w:val="left" w:pos="0"/>
        </w:tabs>
        <w:spacing w:after="160" w:line="259" w:lineRule="auto"/>
        <w:ind w:left="540" w:hanging="540"/>
        <w:contextualSpacing/>
        <w:jc w:val="both"/>
        <w:rPr>
          <w:rFonts w:eastAsiaTheme="minorHAnsi"/>
          <w:color w:val="000000" w:themeColor="text1"/>
        </w:rPr>
      </w:pPr>
      <w:r w:rsidRPr="00097E97">
        <w:rPr>
          <w:rFonts w:eastAsiaTheme="minorHAnsi"/>
          <w:color w:val="000000" w:themeColor="text1"/>
        </w:rPr>
        <w:t xml:space="preserve">Hotărârii Guvernului nr. 209/2022 pentru aprobarea Normelor metodologice de aplicare a prevederilor </w:t>
      </w:r>
      <w:r w:rsidR="00097E97" w:rsidRPr="00097E97">
        <w:rPr>
          <w:rFonts w:eastAsiaTheme="minorHAnsi"/>
          <w:color w:val="000000" w:themeColor="text1"/>
        </w:rPr>
        <w:t>Ordonanței</w:t>
      </w:r>
      <w:r w:rsidRPr="00097E97">
        <w:rPr>
          <w:rFonts w:eastAsiaTheme="minorHAnsi"/>
          <w:color w:val="000000" w:themeColor="text1"/>
        </w:rPr>
        <w:t xml:space="preserve"> de urgență a Guvernului nr. 124/2021 privind stabilirea cadrului </w:t>
      </w:r>
      <w:r w:rsidR="00097E97" w:rsidRPr="00097E97">
        <w:rPr>
          <w:rFonts w:eastAsiaTheme="minorHAnsi"/>
          <w:color w:val="000000" w:themeColor="text1"/>
        </w:rPr>
        <w:t>instituțional</w:t>
      </w:r>
      <w:r w:rsidRPr="00097E97">
        <w:rPr>
          <w:rFonts w:eastAsiaTheme="minorHAnsi"/>
          <w:color w:val="000000" w:themeColor="text1"/>
        </w:rPr>
        <w:t xml:space="preserve"> și financiar pentru gestionarea  fondurilor europene alocate României prin Mecanismul de redresare şi rezilienţă</w:t>
      </w:r>
      <w:r w:rsidR="008E1AEA" w:rsidRPr="00097E97">
        <w:rPr>
          <w:rFonts w:eastAsiaTheme="minorHAnsi"/>
          <w:color w:val="000000" w:themeColor="text1"/>
        </w:rPr>
        <w:t>,</w:t>
      </w:r>
      <w:r w:rsidRPr="00097E97">
        <w:rPr>
          <w:rFonts w:eastAsiaTheme="minorHAnsi"/>
          <w:color w:val="000000" w:themeColor="text1"/>
        </w:rPr>
        <w:t xml:space="preserve"> precum şi pentru modificarea și completarea Ordonanței de </w:t>
      </w:r>
      <w:r w:rsidRPr="00097E97">
        <w:rPr>
          <w:rFonts w:eastAsiaTheme="minorHAnsi"/>
          <w:color w:val="000000" w:themeColor="text1"/>
        </w:rPr>
        <w:lastRenderedPageBreak/>
        <w:t xml:space="preserve">urgență a Guvernului nr. 155/2020 privind unele măsuri pentru elaborarea Planului </w:t>
      </w:r>
      <w:r w:rsidR="00097E97" w:rsidRPr="00097E97">
        <w:rPr>
          <w:rFonts w:eastAsiaTheme="minorHAnsi"/>
          <w:color w:val="000000" w:themeColor="text1"/>
        </w:rPr>
        <w:t>național</w:t>
      </w:r>
      <w:r w:rsidRPr="00097E97">
        <w:rPr>
          <w:rFonts w:eastAsiaTheme="minorHAnsi"/>
          <w:color w:val="000000" w:themeColor="text1"/>
        </w:rPr>
        <w:t xml:space="preserve"> de redresare şi rezilienţă necesar României pentru accesarea de fonduri externe rambursabile şi nerambursabile în cadrul Mecanismului de redresare şi rezilienţă;</w:t>
      </w:r>
    </w:p>
    <w:p w14:paraId="645373E2" w14:textId="5E19953A" w:rsidR="00B628CF" w:rsidRPr="00097E97" w:rsidRDefault="00B628CF" w:rsidP="00B628CF">
      <w:pPr>
        <w:numPr>
          <w:ilvl w:val="0"/>
          <w:numId w:val="6"/>
        </w:numPr>
        <w:tabs>
          <w:tab w:val="left" w:pos="0"/>
        </w:tabs>
        <w:spacing w:after="160" w:line="259" w:lineRule="auto"/>
        <w:ind w:left="540" w:hanging="540"/>
        <w:contextualSpacing/>
        <w:jc w:val="both"/>
        <w:rPr>
          <w:rFonts w:eastAsiaTheme="minorHAnsi"/>
          <w:color w:val="000000" w:themeColor="text1"/>
        </w:rPr>
      </w:pPr>
      <w:r w:rsidRPr="00097E97">
        <w:rPr>
          <w:color w:val="000000" w:themeColor="text1"/>
        </w:rPr>
        <w:t xml:space="preserve">art. 1 alin. (15) din Hotărârea Guvernului nr. 43/2020 privind organizarea şi </w:t>
      </w:r>
      <w:r w:rsidR="00097E97" w:rsidRPr="00097E97">
        <w:rPr>
          <w:color w:val="000000" w:themeColor="text1"/>
        </w:rPr>
        <w:t>funcționarea</w:t>
      </w:r>
      <w:r w:rsidRPr="00097E97">
        <w:rPr>
          <w:color w:val="000000" w:themeColor="text1"/>
        </w:rPr>
        <w:t xml:space="preserve"> Ministerului Mediului, Apelor și Pădurilor, cu modificările și completările ulterioare,</w:t>
      </w:r>
    </w:p>
    <w:p w14:paraId="23D780ED" w14:textId="77777777" w:rsidR="00ED0F8C" w:rsidRPr="00097E97" w:rsidRDefault="00ED0F8C" w:rsidP="00ED0F8C">
      <w:pPr>
        <w:jc w:val="both"/>
        <w:rPr>
          <w:color w:val="000000" w:themeColor="text1"/>
        </w:rPr>
      </w:pPr>
      <w:r w:rsidRPr="00097E97">
        <w:rPr>
          <w:color w:val="000000" w:themeColor="text1"/>
        </w:rPr>
        <w:t xml:space="preserve">În temeiul prevederilor: </w:t>
      </w:r>
    </w:p>
    <w:p w14:paraId="1D79D5EC" w14:textId="77777777" w:rsidR="00ED0F8C" w:rsidRPr="00097E97" w:rsidRDefault="00ED0F8C" w:rsidP="00ED0F8C">
      <w:pPr>
        <w:pStyle w:val="ListParagraph"/>
        <w:numPr>
          <w:ilvl w:val="0"/>
          <w:numId w:val="6"/>
        </w:numPr>
        <w:spacing w:line="259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97E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art. 57 alin. (1), (4) și (5) din Ordonanța de urgență a Guvernului nr. 57/2019 privind Codul administrativ, cu modificările și completările ulterioare,</w:t>
      </w:r>
    </w:p>
    <w:p w14:paraId="66107FB2" w14:textId="189AED05" w:rsidR="00ED0F8C" w:rsidRPr="00097E97" w:rsidRDefault="00ED0F8C" w:rsidP="00ED0F8C">
      <w:pPr>
        <w:pStyle w:val="ListParagraph"/>
        <w:numPr>
          <w:ilvl w:val="0"/>
          <w:numId w:val="6"/>
        </w:numPr>
        <w:spacing w:after="160" w:line="259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97E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13 alin. (4) din Hotărârea Guvernului nr. 43/2020 privind organizarea şi </w:t>
      </w:r>
      <w:r w:rsidR="00097E97" w:rsidRPr="00097E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funcționarea</w:t>
      </w:r>
      <w:r w:rsidRPr="00097E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Ministerului Mediului, Apelor și Pădurilor, cu modificările și completările ulterioare, </w:t>
      </w:r>
    </w:p>
    <w:p w14:paraId="27E14634" w14:textId="6ADC8B97" w:rsidR="00FD32F1" w:rsidRPr="00097E97" w:rsidRDefault="00FD32F1" w:rsidP="00FD32F1">
      <w:pPr>
        <w:rPr>
          <w:sz w:val="16"/>
          <w:szCs w:val="16"/>
        </w:rPr>
      </w:pPr>
    </w:p>
    <w:p w14:paraId="7914A3CD" w14:textId="77777777" w:rsidR="00CA6BF9" w:rsidRPr="00097E97" w:rsidRDefault="00CA6BF9" w:rsidP="00CA6BF9">
      <w:pPr>
        <w:spacing w:line="276" w:lineRule="auto"/>
        <w:jc w:val="both"/>
      </w:pPr>
      <w:r w:rsidRPr="00097E97">
        <w:rPr>
          <w:b/>
        </w:rPr>
        <w:t>ministrul mediului, apelor și pădurilor</w:t>
      </w:r>
      <w:r w:rsidRPr="00097E97">
        <w:t xml:space="preserve"> emite următorul</w:t>
      </w:r>
    </w:p>
    <w:p w14:paraId="27DCDE98" w14:textId="77777777" w:rsidR="00CA6BF9" w:rsidRPr="00097E97" w:rsidRDefault="00CA6BF9" w:rsidP="00CA6BF9">
      <w:pPr>
        <w:spacing w:line="276" w:lineRule="auto"/>
        <w:jc w:val="both"/>
        <w:rPr>
          <w:sz w:val="14"/>
          <w:szCs w:val="14"/>
        </w:rPr>
      </w:pPr>
    </w:p>
    <w:p w14:paraId="5F542F14" w14:textId="77777777" w:rsidR="00CA6BF9" w:rsidRPr="00097E97" w:rsidRDefault="00CA6BF9" w:rsidP="00CA6BF9">
      <w:pPr>
        <w:spacing w:line="276" w:lineRule="auto"/>
        <w:jc w:val="both"/>
      </w:pPr>
    </w:p>
    <w:p w14:paraId="31B96909" w14:textId="77777777" w:rsidR="005A62B6" w:rsidRPr="00097E97" w:rsidRDefault="005A62B6" w:rsidP="00E72AA4">
      <w:pPr>
        <w:pStyle w:val="Header"/>
        <w:tabs>
          <w:tab w:val="clear" w:pos="4320"/>
          <w:tab w:val="clear" w:pos="8640"/>
        </w:tabs>
        <w:spacing w:line="276" w:lineRule="auto"/>
        <w:ind w:right="-263"/>
        <w:jc w:val="center"/>
        <w:rPr>
          <w:rFonts w:ascii="Times New Roman" w:hAnsi="Times New Roman" w:cs="Times New Roman"/>
          <w:b/>
          <w:lang w:val="ro-RO"/>
        </w:rPr>
      </w:pPr>
    </w:p>
    <w:p w14:paraId="3B9F0582" w14:textId="034CBB48" w:rsidR="00CA6BF9" w:rsidRPr="00097E97" w:rsidRDefault="00CA6BF9" w:rsidP="00E72AA4">
      <w:pPr>
        <w:pStyle w:val="Header"/>
        <w:tabs>
          <w:tab w:val="clear" w:pos="4320"/>
          <w:tab w:val="clear" w:pos="8640"/>
        </w:tabs>
        <w:spacing w:line="276" w:lineRule="auto"/>
        <w:ind w:right="-263"/>
        <w:jc w:val="center"/>
        <w:rPr>
          <w:rFonts w:ascii="Times New Roman" w:hAnsi="Times New Roman" w:cs="Times New Roman"/>
          <w:b/>
          <w:lang w:val="ro-RO"/>
        </w:rPr>
      </w:pPr>
      <w:r w:rsidRPr="00097E97">
        <w:rPr>
          <w:rFonts w:ascii="Times New Roman" w:hAnsi="Times New Roman" w:cs="Times New Roman"/>
          <w:b/>
          <w:lang w:val="ro-RO"/>
        </w:rPr>
        <w:t>O R D I N :</w:t>
      </w:r>
    </w:p>
    <w:p w14:paraId="5EA30DA3" w14:textId="77777777" w:rsidR="00CA6BF9" w:rsidRPr="00097E97" w:rsidRDefault="00CA6BF9" w:rsidP="00E72AA4">
      <w:pPr>
        <w:pStyle w:val="Header"/>
        <w:tabs>
          <w:tab w:val="clear" w:pos="4320"/>
          <w:tab w:val="clear" w:pos="8640"/>
        </w:tabs>
        <w:spacing w:line="276" w:lineRule="auto"/>
        <w:ind w:right="-263"/>
        <w:rPr>
          <w:rFonts w:ascii="Times New Roman" w:hAnsi="Times New Roman" w:cs="Times New Roman"/>
          <w:b/>
          <w:bCs/>
          <w:lang w:val="ro-RO"/>
        </w:rPr>
      </w:pPr>
    </w:p>
    <w:p w14:paraId="6A8B38AB" w14:textId="2E5AAA1A" w:rsidR="00FD32F1" w:rsidRPr="00097E97" w:rsidRDefault="00CA6BF9" w:rsidP="00FD32F1">
      <w:pPr>
        <w:ind w:right="46"/>
        <w:jc w:val="both"/>
      </w:pPr>
      <w:r w:rsidRPr="00097E97">
        <w:rPr>
          <w:b/>
        </w:rPr>
        <w:t>Art.1.</w:t>
      </w:r>
      <w:r w:rsidRPr="00097E97">
        <w:rPr>
          <w:b/>
          <w:i/>
        </w:rPr>
        <w:t xml:space="preserve"> </w:t>
      </w:r>
      <w:r w:rsidR="002E5169" w:rsidRPr="00097E97">
        <w:rPr>
          <w:b/>
          <w:i/>
        </w:rPr>
        <w:t xml:space="preserve">- </w:t>
      </w:r>
      <w:r w:rsidRPr="00097E97">
        <w:t xml:space="preserve">Se aprobă </w:t>
      </w:r>
      <w:r w:rsidR="00AE3516" w:rsidRPr="00097E97">
        <w:t xml:space="preserve">Ghidul specific privind regulile şi </w:t>
      </w:r>
      <w:r w:rsidR="00097E97" w:rsidRPr="00097E97">
        <w:t>condițiile</w:t>
      </w:r>
      <w:r w:rsidR="00AE3516" w:rsidRPr="00097E97">
        <w:t xml:space="preserve"> aplicabile </w:t>
      </w:r>
      <w:r w:rsidR="00097E97" w:rsidRPr="00097E97">
        <w:t>finanțării</w:t>
      </w:r>
      <w:r w:rsidR="00AE3516" w:rsidRPr="00097E97">
        <w:t xml:space="preserve"> din </w:t>
      </w:r>
      <w:r w:rsidR="002E5169" w:rsidRPr="00097E97">
        <w:t>fondurile europene aferente Planului Național de Redresare și Reziliență</w:t>
      </w:r>
      <w:r w:rsidR="00AE3516" w:rsidRPr="00097E97">
        <w:t xml:space="preserve"> în cadrul apelului de proiecte </w:t>
      </w:r>
      <w:r w:rsidR="00454E28" w:rsidRPr="00097E97">
        <w:rPr>
          <w:bCs/>
        </w:rPr>
        <w:t>PNRR/2022/C</w:t>
      </w:r>
      <w:r w:rsidR="00DF2DE5">
        <w:rPr>
          <w:bCs/>
        </w:rPr>
        <w:t>1/3</w:t>
      </w:r>
      <w:r w:rsidR="00FD32F1" w:rsidRPr="00097E97">
        <w:t>,</w:t>
      </w:r>
      <w:r w:rsidR="005A62B6" w:rsidRPr="00097E97">
        <w:t xml:space="preserve"> </w:t>
      </w:r>
      <w:r w:rsidR="002E5169" w:rsidRPr="00097E97">
        <w:t xml:space="preserve">pentru </w:t>
      </w:r>
      <w:r w:rsidR="00DF2DE5">
        <w:t>I</w:t>
      </w:r>
      <w:r w:rsidR="002E5169" w:rsidRPr="00097E97">
        <w:t>nvestiția I</w:t>
      </w:r>
      <w:r w:rsidR="00DF2DE5">
        <w:t>3 „Sprijinirea conectării populației cu venituri mici la rețelele de alimentare cu apă și canalizare existente</w:t>
      </w:r>
      <w:r w:rsidR="002E5169" w:rsidRPr="00097E97">
        <w:t xml:space="preserve">", Componenta </w:t>
      </w:r>
      <w:r w:rsidR="00DF2DE5">
        <w:t>C1</w:t>
      </w:r>
      <w:r w:rsidR="002E5169" w:rsidRPr="00097E97">
        <w:t xml:space="preserve">: Managementul </w:t>
      </w:r>
      <w:r w:rsidR="00DF2DE5">
        <w:t>apei</w:t>
      </w:r>
      <w:r w:rsidR="002E5169" w:rsidRPr="00097E97">
        <w:t xml:space="preserve">, prevăzut în anexa care face parte </w:t>
      </w:r>
      <w:r w:rsidR="00FD32F1" w:rsidRPr="00097E97">
        <w:t xml:space="preserve">integrantă din prezentul ordin. </w:t>
      </w:r>
    </w:p>
    <w:p w14:paraId="7A09E537" w14:textId="77777777" w:rsidR="00FD32F1" w:rsidRPr="00097E97" w:rsidRDefault="00FD32F1" w:rsidP="00FD32F1">
      <w:pPr>
        <w:ind w:right="46"/>
        <w:jc w:val="both"/>
      </w:pPr>
    </w:p>
    <w:p w14:paraId="35685418" w14:textId="68AB5ACD" w:rsidR="00CA6BF9" w:rsidRPr="00097E97" w:rsidRDefault="00FD32F1" w:rsidP="00FD32F1">
      <w:pPr>
        <w:ind w:right="46"/>
        <w:jc w:val="both"/>
        <w:rPr>
          <w:b/>
          <w:bCs/>
        </w:rPr>
      </w:pPr>
      <w:r w:rsidRPr="00097E97">
        <w:rPr>
          <w:b/>
        </w:rPr>
        <w:t>Art. 2</w:t>
      </w:r>
      <w:r w:rsidRPr="00097E97">
        <w:t>. - Prezentul ordin se publică în Monitorul Oficial al României, Partea I.</w:t>
      </w:r>
    </w:p>
    <w:p w14:paraId="7E6EEC10" w14:textId="77777777" w:rsidR="00CA6BF9" w:rsidRPr="00097E97" w:rsidRDefault="00CA6BF9" w:rsidP="00E72AA4">
      <w:pPr>
        <w:pStyle w:val="Header"/>
        <w:tabs>
          <w:tab w:val="clear" w:pos="4320"/>
          <w:tab w:val="clear" w:pos="8640"/>
        </w:tabs>
        <w:spacing w:line="276" w:lineRule="auto"/>
        <w:rPr>
          <w:rFonts w:ascii="Times New Roman" w:hAnsi="Times New Roman" w:cs="Times New Roman"/>
          <w:b/>
          <w:bCs/>
          <w:lang w:val="ro-RO"/>
        </w:rPr>
      </w:pPr>
    </w:p>
    <w:p w14:paraId="782ACD9B" w14:textId="57402A9B" w:rsidR="00CA6BF9" w:rsidRPr="00097E97" w:rsidRDefault="00CA6BF9" w:rsidP="00E72AA4">
      <w:pPr>
        <w:pStyle w:val="Header"/>
        <w:tabs>
          <w:tab w:val="clear" w:pos="4320"/>
          <w:tab w:val="clear" w:pos="8640"/>
        </w:tabs>
        <w:spacing w:line="276" w:lineRule="auto"/>
        <w:rPr>
          <w:b/>
          <w:bCs/>
          <w:lang w:val="ro-RO"/>
        </w:rPr>
      </w:pPr>
    </w:p>
    <w:p w14:paraId="1D1EA7C0" w14:textId="77777777" w:rsidR="00CA6BF9" w:rsidRPr="00097E97" w:rsidRDefault="00CA6BF9" w:rsidP="00CA6BF9">
      <w:pPr>
        <w:spacing w:line="360" w:lineRule="auto"/>
        <w:ind w:left="720" w:right="450"/>
        <w:jc w:val="center"/>
        <w:rPr>
          <w:b/>
        </w:rPr>
      </w:pPr>
      <w:r w:rsidRPr="00097E97">
        <w:rPr>
          <w:b/>
        </w:rPr>
        <w:t>MINISTRUL MEDIULUI, APELOR ȘI PĂDURILOR</w:t>
      </w:r>
    </w:p>
    <w:p w14:paraId="3C163CF4" w14:textId="77777777" w:rsidR="00CA6BF9" w:rsidRPr="00097E97" w:rsidRDefault="00CA6BF9" w:rsidP="00CA6BF9">
      <w:pPr>
        <w:spacing w:line="360" w:lineRule="auto"/>
        <w:ind w:left="720" w:right="450"/>
        <w:jc w:val="center"/>
        <w:rPr>
          <w:b/>
        </w:rPr>
      </w:pPr>
    </w:p>
    <w:p w14:paraId="2316A3A6" w14:textId="3AFB0CED" w:rsidR="00CA6BF9" w:rsidRPr="00097E97" w:rsidRDefault="00CA6BF9" w:rsidP="00A50BB6">
      <w:pPr>
        <w:spacing w:line="360" w:lineRule="auto"/>
        <w:jc w:val="center"/>
        <w:rPr>
          <w:b/>
          <w:sz w:val="26"/>
          <w:szCs w:val="26"/>
        </w:rPr>
      </w:pPr>
      <w:r w:rsidRPr="00097E97">
        <w:rPr>
          <w:b/>
        </w:rPr>
        <w:t xml:space="preserve">    </w:t>
      </w:r>
      <w:r w:rsidR="00464117" w:rsidRPr="00097E97">
        <w:rPr>
          <w:b/>
          <w:sz w:val="26"/>
          <w:szCs w:val="26"/>
        </w:rPr>
        <w:t>Barna TÁNCZOS</w:t>
      </w:r>
    </w:p>
    <w:p w14:paraId="4C2BAD20" w14:textId="1105783C" w:rsidR="00A50BB6" w:rsidRPr="00097E97" w:rsidRDefault="00A50BB6" w:rsidP="00A50BB6">
      <w:pPr>
        <w:spacing w:line="360" w:lineRule="auto"/>
        <w:jc w:val="center"/>
      </w:pPr>
    </w:p>
    <w:p w14:paraId="19E261DA" w14:textId="1CD0A9AF" w:rsidR="0028426E" w:rsidRPr="00097E97" w:rsidRDefault="0028426E" w:rsidP="00A50BB6">
      <w:pPr>
        <w:spacing w:line="360" w:lineRule="auto"/>
        <w:jc w:val="center"/>
      </w:pPr>
    </w:p>
    <w:p w14:paraId="0C0A6EFA" w14:textId="07501C7A" w:rsidR="0028426E" w:rsidRPr="00097E97" w:rsidRDefault="0028426E" w:rsidP="00A50BB6">
      <w:pPr>
        <w:spacing w:line="360" w:lineRule="auto"/>
        <w:jc w:val="center"/>
      </w:pPr>
    </w:p>
    <w:p w14:paraId="27613BE1" w14:textId="5842EC1F" w:rsidR="0028426E" w:rsidRPr="00097E97" w:rsidRDefault="0028426E" w:rsidP="00A50BB6">
      <w:pPr>
        <w:spacing w:line="360" w:lineRule="auto"/>
        <w:jc w:val="center"/>
      </w:pPr>
    </w:p>
    <w:p w14:paraId="1A6942BF" w14:textId="533258ED" w:rsidR="0028426E" w:rsidRPr="00097E97" w:rsidRDefault="0028426E" w:rsidP="00A50BB6">
      <w:pPr>
        <w:spacing w:line="360" w:lineRule="auto"/>
        <w:jc w:val="center"/>
      </w:pPr>
    </w:p>
    <w:p w14:paraId="4D8A5723" w14:textId="4F3DA7CA" w:rsidR="0028426E" w:rsidRPr="00097E97" w:rsidRDefault="0028426E" w:rsidP="00A50BB6">
      <w:pPr>
        <w:spacing w:line="360" w:lineRule="auto"/>
        <w:jc w:val="center"/>
      </w:pPr>
    </w:p>
    <w:p w14:paraId="44EE75A8" w14:textId="26E5A710" w:rsidR="0028426E" w:rsidRPr="00097E97" w:rsidRDefault="0028426E" w:rsidP="00397394">
      <w:pPr>
        <w:spacing w:line="360" w:lineRule="auto"/>
      </w:pPr>
    </w:p>
    <w:p w14:paraId="147A3C4E" w14:textId="30684458" w:rsidR="0028426E" w:rsidRPr="00097E97" w:rsidRDefault="0028426E" w:rsidP="00A50BB6">
      <w:pPr>
        <w:spacing w:line="360" w:lineRule="auto"/>
        <w:jc w:val="center"/>
      </w:pPr>
    </w:p>
    <w:p w14:paraId="16A8E5A9" w14:textId="77777777" w:rsidR="00DF2DE5" w:rsidRDefault="00DF2DE5" w:rsidP="0028426E">
      <w:pPr>
        <w:tabs>
          <w:tab w:val="left" w:pos="4212"/>
        </w:tabs>
        <w:rPr>
          <w:b/>
          <w:iCs/>
          <w:color w:val="000000" w:themeColor="text1"/>
          <w:u w:val="single"/>
        </w:rPr>
      </w:pPr>
    </w:p>
    <w:p w14:paraId="23A628B1" w14:textId="673C7D89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  <w:u w:val="single"/>
        </w:rPr>
      </w:pPr>
      <w:r w:rsidRPr="00097E97">
        <w:rPr>
          <w:b/>
          <w:iCs/>
          <w:color w:val="000000" w:themeColor="text1"/>
          <w:u w:val="single"/>
        </w:rPr>
        <w:t xml:space="preserve">Avizat: </w:t>
      </w:r>
    </w:p>
    <w:p w14:paraId="3873C3BA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  <w:u w:val="single"/>
        </w:rPr>
      </w:pPr>
    </w:p>
    <w:p w14:paraId="4C287D9A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  <w:u w:val="single"/>
        </w:rPr>
      </w:pPr>
    </w:p>
    <w:p w14:paraId="48675E47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>Secretar de Stat</w:t>
      </w:r>
    </w:p>
    <w:p w14:paraId="4098A1C2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lastRenderedPageBreak/>
        <w:t>Róbert-Eugen SZÉP</w:t>
      </w:r>
    </w:p>
    <w:p w14:paraId="3A8272C2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397949CE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7D1128B1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16530BBC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 xml:space="preserve">Secretar General </w:t>
      </w:r>
    </w:p>
    <w:p w14:paraId="0AF5E179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>Corvin NEDELCU</w:t>
      </w:r>
    </w:p>
    <w:p w14:paraId="15D79EF3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0BF98867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127D0514" w14:textId="77777777" w:rsidR="007C170C" w:rsidRPr="00097E97" w:rsidRDefault="007C170C" w:rsidP="007C170C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 xml:space="preserve">Secretar General Adjunct  </w:t>
      </w:r>
      <w:r w:rsidRPr="00097E97">
        <w:rPr>
          <w:b/>
          <w:iCs/>
          <w:color w:val="000000" w:themeColor="text1"/>
        </w:rPr>
        <w:tab/>
      </w:r>
      <w:r w:rsidRPr="00097E97">
        <w:rPr>
          <w:b/>
          <w:iCs/>
          <w:color w:val="000000" w:themeColor="text1"/>
        </w:rPr>
        <w:tab/>
      </w:r>
      <w:r w:rsidRPr="00097E97">
        <w:rPr>
          <w:b/>
          <w:iCs/>
          <w:color w:val="000000" w:themeColor="text1"/>
        </w:rPr>
        <w:tab/>
      </w:r>
      <w:r w:rsidRPr="00097E97">
        <w:rPr>
          <w:b/>
          <w:iCs/>
          <w:color w:val="000000" w:themeColor="text1"/>
        </w:rPr>
        <w:tab/>
        <w:t>Secretar General Adjunct</w:t>
      </w:r>
    </w:p>
    <w:p w14:paraId="61389905" w14:textId="36F4AD44" w:rsidR="007C170C" w:rsidRPr="00097E97" w:rsidRDefault="007C170C" w:rsidP="007C170C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>Teodor DULCEAȚĂ</w:t>
      </w:r>
      <w:r w:rsidRPr="00097E97">
        <w:rPr>
          <w:b/>
          <w:iCs/>
          <w:color w:val="000000" w:themeColor="text1"/>
        </w:rPr>
        <w:tab/>
      </w:r>
      <w:r w:rsidRPr="00097E97">
        <w:rPr>
          <w:b/>
          <w:iCs/>
          <w:color w:val="000000" w:themeColor="text1"/>
        </w:rPr>
        <w:tab/>
      </w:r>
      <w:r w:rsidRPr="00097E97">
        <w:rPr>
          <w:b/>
          <w:iCs/>
          <w:color w:val="000000" w:themeColor="text1"/>
        </w:rPr>
        <w:tab/>
      </w:r>
      <w:r w:rsidRPr="00097E97">
        <w:rPr>
          <w:b/>
          <w:iCs/>
          <w:color w:val="000000" w:themeColor="text1"/>
        </w:rPr>
        <w:tab/>
        <w:t xml:space="preserve">  </w:t>
      </w:r>
      <w:proofErr w:type="spellStart"/>
      <w:r w:rsidRPr="00097E97">
        <w:rPr>
          <w:b/>
          <w:iCs/>
          <w:color w:val="000000" w:themeColor="text1"/>
        </w:rPr>
        <w:t>Miha</w:t>
      </w:r>
      <w:r w:rsidR="00D92415" w:rsidRPr="00097E97">
        <w:rPr>
          <w:b/>
          <w:iCs/>
          <w:color w:val="000000" w:themeColor="text1"/>
        </w:rPr>
        <w:t>i</w:t>
      </w:r>
      <w:r w:rsidRPr="00097E97">
        <w:rPr>
          <w:b/>
          <w:iCs/>
          <w:color w:val="000000" w:themeColor="text1"/>
        </w:rPr>
        <w:t>ela</w:t>
      </w:r>
      <w:proofErr w:type="spellEnd"/>
      <w:r w:rsidRPr="00097E97">
        <w:rPr>
          <w:b/>
          <w:iCs/>
          <w:color w:val="000000" w:themeColor="text1"/>
        </w:rPr>
        <w:t xml:space="preserve"> FRĂSINEANU</w:t>
      </w:r>
    </w:p>
    <w:p w14:paraId="718A0303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56A28F03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355548EC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23DB4F9E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>Direcția Generală Resurse Umane, Juridică și Relația cu Parlamentul</w:t>
      </w:r>
    </w:p>
    <w:p w14:paraId="2F8A179F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>Cristina Elena DUMITRESCU, Director general</w:t>
      </w:r>
    </w:p>
    <w:p w14:paraId="5FB90394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57CB3648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29EE491D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3577B906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>Direcția Generală Economică, Investiții și Administrativ</w:t>
      </w:r>
    </w:p>
    <w:p w14:paraId="4D01ECB4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>Speranța IONESCU, Director general</w:t>
      </w:r>
    </w:p>
    <w:p w14:paraId="5DE280D8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5575B4EF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1FAB2631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03E4F8D3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>Direcția Generală Deșeuri și Situri Contaminate</w:t>
      </w:r>
    </w:p>
    <w:p w14:paraId="022A7406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>Cosmin TEODORU, Director general</w:t>
      </w:r>
    </w:p>
    <w:p w14:paraId="31B1B497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0969D75C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3C778803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50A9BFA5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>Direcția Generală  Planul Național de Redresare și Reziliență</w:t>
      </w:r>
    </w:p>
    <w:p w14:paraId="1B29EDA4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 xml:space="preserve">George TURTOI, Director general </w:t>
      </w:r>
    </w:p>
    <w:p w14:paraId="328E781B" w14:textId="57A46993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59730EEF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1EA2813F" w14:textId="7211198B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150DDA1E" w14:textId="77777777" w:rsidR="002805ED" w:rsidRPr="00097E97" w:rsidRDefault="002805ED" w:rsidP="0028426E">
      <w:pPr>
        <w:tabs>
          <w:tab w:val="left" w:pos="4212"/>
        </w:tabs>
        <w:rPr>
          <w:b/>
          <w:iCs/>
          <w:color w:val="000000" w:themeColor="text1"/>
        </w:rPr>
      </w:pPr>
    </w:p>
    <w:p w14:paraId="5B4514C4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 xml:space="preserve">Întocmit: Ana-Luiza DOMNIȚEANU </w:t>
      </w:r>
    </w:p>
    <w:p w14:paraId="043A9CF7" w14:textId="77777777" w:rsidR="0028426E" w:rsidRPr="00097E97" w:rsidRDefault="0028426E" w:rsidP="0028426E">
      <w:pPr>
        <w:tabs>
          <w:tab w:val="left" w:pos="4212"/>
        </w:tabs>
        <w:rPr>
          <w:b/>
          <w:iCs/>
          <w:color w:val="000000" w:themeColor="text1"/>
        </w:rPr>
      </w:pPr>
      <w:r w:rsidRPr="00097E97">
        <w:rPr>
          <w:b/>
          <w:iCs/>
          <w:color w:val="000000" w:themeColor="text1"/>
        </w:rPr>
        <w:t xml:space="preserve">                consilier juridic, Biroul Juridic și Soluționare Contestații, DGPNRR</w:t>
      </w:r>
    </w:p>
    <w:p w14:paraId="2B12ACCD" w14:textId="77777777" w:rsidR="0028426E" w:rsidRPr="00097E97" w:rsidRDefault="0028426E" w:rsidP="00A50BB6">
      <w:pPr>
        <w:spacing w:line="360" w:lineRule="auto"/>
        <w:jc w:val="center"/>
      </w:pPr>
    </w:p>
    <w:sectPr w:rsidR="0028426E" w:rsidRPr="00097E97" w:rsidSect="003B0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90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4B1D" w14:textId="77777777" w:rsidR="007E18DF" w:rsidRDefault="007E18DF" w:rsidP="00A50BB6">
      <w:r>
        <w:separator/>
      </w:r>
    </w:p>
  </w:endnote>
  <w:endnote w:type="continuationSeparator" w:id="0">
    <w:p w14:paraId="3AB74CFC" w14:textId="77777777" w:rsidR="007E18DF" w:rsidRDefault="007E18DF" w:rsidP="00A5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CC95" w14:textId="77777777" w:rsidR="000D1716" w:rsidRDefault="000D1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AA44" w14:textId="77777777" w:rsidR="000D1716" w:rsidRDefault="000D1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F0BA" w14:textId="77777777" w:rsidR="000D1716" w:rsidRDefault="000D1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FB7D" w14:textId="77777777" w:rsidR="007E18DF" w:rsidRDefault="007E18DF" w:rsidP="00A50BB6">
      <w:r>
        <w:separator/>
      </w:r>
    </w:p>
  </w:footnote>
  <w:footnote w:type="continuationSeparator" w:id="0">
    <w:p w14:paraId="7D5EB8EB" w14:textId="77777777" w:rsidR="007E18DF" w:rsidRDefault="007E18DF" w:rsidP="00A5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B783" w14:textId="08445F76" w:rsidR="00A50BB6" w:rsidRDefault="00A50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456689"/>
      <w:docPartObj>
        <w:docPartGallery w:val="Watermarks"/>
        <w:docPartUnique/>
      </w:docPartObj>
    </w:sdtPr>
    <w:sdtContent>
      <w:p w14:paraId="6C58ADC4" w14:textId="1E26AD7E" w:rsidR="00A50BB6" w:rsidRDefault="00000000">
        <w:pPr>
          <w:pStyle w:val="Header"/>
        </w:pPr>
        <w:r>
          <w:rPr>
            <w:noProof/>
          </w:rPr>
          <w:pict w14:anchorId="3EE25C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5967939" o:spid="_x0000_s1025" type="#_x0000_t136" style="position:absolute;margin-left:0;margin-top:0;width:489.65pt;height:20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28C9" w14:textId="2D71F803" w:rsidR="00A50BB6" w:rsidRDefault="00A50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4B78"/>
    <w:multiLevelType w:val="hybridMultilevel"/>
    <w:tmpl w:val="1214EDCE"/>
    <w:lvl w:ilvl="0" w:tplc="07221D8E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B5EE0"/>
    <w:multiLevelType w:val="hybridMultilevel"/>
    <w:tmpl w:val="8E7A47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7440C"/>
    <w:multiLevelType w:val="hybridMultilevel"/>
    <w:tmpl w:val="5C5E1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15D49"/>
    <w:multiLevelType w:val="hybridMultilevel"/>
    <w:tmpl w:val="8E7A47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01447"/>
    <w:multiLevelType w:val="hybridMultilevel"/>
    <w:tmpl w:val="221E2C54"/>
    <w:lvl w:ilvl="0" w:tplc="D54432F8">
      <w:start w:val="1"/>
      <w:numFmt w:val="lowerLetter"/>
      <w:lvlText w:val="%1)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num w:numId="1" w16cid:durableId="1653943509">
    <w:abstractNumId w:val="4"/>
  </w:num>
  <w:num w:numId="2" w16cid:durableId="851528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069918">
    <w:abstractNumId w:val="3"/>
  </w:num>
  <w:num w:numId="4" w16cid:durableId="492647702">
    <w:abstractNumId w:val="1"/>
  </w:num>
  <w:num w:numId="5" w16cid:durableId="650139541">
    <w:abstractNumId w:val="2"/>
  </w:num>
  <w:num w:numId="6" w16cid:durableId="800154167">
    <w:abstractNumId w:val="0"/>
  </w:num>
  <w:num w:numId="7" w16cid:durableId="23497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F9"/>
    <w:rsid w:val="00045DE8"/>
    <w:rsid w:val="00064A54"/>
    <w:rsid w:val="0007506F"/>
    <w:rsid w:val="00097E97"/>
    <w:rsid w:val="000D1716"/>
    <w:rsid w:val="00115D98"/>
    <w:rsid w:val="00122A45"/>
    <w:rsid w:val="001369AD"/>
    <w:rsid w:val="0017422D"/>
    <w:rsid w:val="002805ED"/>
    <w:rsid w:val="0028426E"/>
    <w:rsid w:val="002A174D"/>
    <w:rsid w:val="002E5169"/>
    <w:rsid w:val="002E551A"/>
    <w:rsid w:val="002E5EDE"/>
    <w:rsid w:val="00373F24"/>
    <w:rsid w:val="00390DD9"/>
    <w:rsid w:val="00397394"/>
    <w:rsid w:val="003B0A1F"/>
    <w:rsid w:val="003D5038"/>
    <w:rsid w:val="00404A97"/>
    <w:rsid w:val="004166C6"/>
    <w:rsid w:val="00454E28"/>
    <w:rsid w:val="0046176B"/>
    <w:rsid w:val="00464117"/>
    <w:rsid w:val="004C2C1C"/>
    <w:rsid w:val="004D3649"/>
    <w:rsid w:val="0055062D"/>
    <w:rsid w:val="0058154E"/>
    <w:rsid w:val="005A62B6"/>
    <w:rsid w:val="005E54C8"/>
    <w:rsid w:val="0061754B"/>
    <w:rsid w:val="00646AF1"/>
    <w:rsid w:val="00690558"/>
    <w:rsid w:val="006925AE"/>
    <w:rsid w:val="006C3068"/>
    <w:rsid w:val="006E6539"/>
    <w:rsid w:val="007C170C"/>
    <w:rsid w:val="007E18DF"/>
    <w:rsid w:val="008A0A62"/>
    <w:rsid w:val="008E1AEA"/>
    <w:rsid w:val="008F26E8"/>
    <w:rsid w:val="0090169F"/>
    <w:rsid w:val="009473FE"/>
    <w:rsid w:val="00964127"/>
    <w:rsid w:val="009D17DD"/>
    <w:rsid w:val="00A25D28"/>
    <w:rsid w:val="00A50BB6"/>
    <w:rsid w:val="00A545D8"/>
    <w:rsid w:val="00A55958"/>
    <w:rsid w:val="00A6080C"/>
    <w:rsid w:val="00AC3EB2"/>
    <w:rsid w:val="00AE3516"/>
    <w:rsid w:val="00B5459A"/>
    <w:rsid w:val="00B628CF"/>
    <w:rsid w:val="00BB1001"/>
    <w:rsid w:val="00BE4849"/>
    <w:rsid w:val="00BF356C"/>
    <w:rsid w:val="00C9018B"/>
    <w:rsid w:val="00CA6BF9"/>
    <w:rsid w:val="00D10D17"/>
    <w:rsid w:val="00D514CD"/>
    <w:rsid w:val="00D6327D"/>
    <w:rsid w:val="00D75F82"/>
    <w:rsid w:val="00D92415"/>
    <w:rsid w:val="00DD1013"/>
    <w:rsid w:val="00DD3C93"/>
    <w:rsid w:val="00DF2DE5"/>
    <w:rsid w:val="00E232E3"/>
    <w:rsid w:val="00E37960"/>
    <w:rsid w:val="00E55ED1"/>
    <w:rsid w:val="00E72AA4"/>
    <w:rsid w:val="00E86915"/>
    <w:rsid w:val="00ED0797"/>
    <w:rsid w:val="00ED0F8C"/>
    <w:rsid w:val="00F816F7"/>
    <w:rsid w:val="00FC4119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EA03C"/>
  <w15:chartTrackingRefBased/>
  <w15:docId w15:val="{32EA947D-471C-4928-9E22-A2CC21C2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CA6BF9"/>
    <w:rPr>
      <w:sz w:val="24"/>
      <w:szCs w:val="24"/>
    </w:rPr>
  </w:style>
  <w:style w:type="paragraph" w:styleId="Header">
    <w:name w:val="header"/>
    <w:basedOn w:val="Normal"/>
    <w:link w:val="HeaderChar"/>
    <w:rsid w:val="00CA6BF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AntetCaracter1">
    <w:name w:val="Antet Caracter1"/>
    <w:basedOn w:val="DefaultParagraphFont"/>
    <w:uiPriority w:val="99"/>
    <w:semiHidden/>
    <w:rsid w:val="00CA6BF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aliases w:val="Akapit z listą BS,Outlines a.b.c.,List_Paragraph,Multilevel para_II,Akapit z lista BS,List Paragraph1,Normal bullet 2,numbered list,2,OBC Bullet,Normal 1,Task Body,Viñetas (Inicio Parrafo),Paragrafo elenco,3 Txt tabla,Zerrenda-paragrafoa"/>
    <w:basedOn w:val="Normal"/>
    <w:link w:val="ListParagraphChar"/>
    <w:uiPriority w:val="34"/>
    <w:qFormat/>
    <w:rsid w:val="00CA6BF9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AD"/>
    <w:rPr>
      <w:rFonts w:ascii="Segoe UI" w:eastAsia="Times New Roman" w:hAnsi="Segoe UI" w:cs="Segoe UI"/>
      <w:sz w:val="18"/>
      <w:szCs w:val="1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50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BB6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numbered list Char,2 Char,OBC Bullet Char,Normal 1 Char,Task Body Char"/>
    <w:link w:val="ListParagraph"/>
    <w:uiPriority w:val="34"/>
    <w:qFormat/>
    <w:locked/>
    <w:rsid w:val="00ED0F8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Monica.Popescu</dc:creator>
  <cp:keywords/>
  <dc:description/>
  <cp:lastModifiedBy>Adrian STEFANESCU</cp:lastModifiedBy>
  <cp:revision>6</cp:revision>
  <cp:lastPrinted>2022-08-05T11:16:00Z</cp:lastPrinted>
  <dcterms:created xsi:type="dcterms:W3CDTF">2022-08-22T08:11:00Z</dcterms:created>
  <dcterms:modified xsi:type="dcterms:W3CDTF">2022-08-24T12:07:00Z</dcterms:modified>
</cp:coreProperties>
</file>