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HOTĂRÂRE   Nr. 788 din 17 iulie 2007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proofErr w:type="gramStart"/>
      <w:r w:rsidRPr="002B516B">
        <w:rPr>
          <w:rFonts w:ascii="Times New Roman" w:hAnsi="Times New Roman" w:cs="Times New Roman"/>
          <w:sz w:val="28"/>
          <w:szCs w:val="28"/>
          <w:lang w:val="fr-FR"/>
        </w:rPr>
        <w:t>privind</w:t>
      </w:r>
      <w:proofErr w:type="gramEnd"/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stabilirea unor măsuri pentru aplicarea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Regulamentului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Parlamentului European şi al Consiliului (CE) nr. 1.013/2006 privind transferul de deşeuri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Text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vigoare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începând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cu data de 11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ianuarie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2014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REALIZATOR: COMPANIA DE INFORMATICĂ NEAMŢ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Text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actualizat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prin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produsul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informatic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legislativ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LEX EXPERT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baza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actelor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normative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modificatoare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publicate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Monitorul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Oficial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al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României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Partea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I,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până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la 11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ianuarie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2014.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</w:t>
      </w:r>
      <w:r w:rsidRPr="002B516B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>Act de bază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  <w:lang w:val="fr-FR"/>
        </w:rPr>
        <w:t>#B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: 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>Hotărârea Guvernului nr. 788/2007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   Acte modificatoare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  <w:lang w:val="fr-FR"/>
        </w:rPr>
        <w:t>#M1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: 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>Hotărârea Guvernului nr. 1453/2008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  <w:lang w:val="fr-FR"/>
        </w:rPr>
        <w:t>#M2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: 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>Hotărârea Guvernului nr. 1168/2013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Modificările şi completările efectuate prin actele normative enumerate mai sus sunt scrise cu font italic. În faţa fiecărei modificări sau completări este indicat actul normativ care a efectuat modificarea sau completarea respectivă, în forma </w:t>
      </w:r>
      <w:r w:rsidRPr="002B516B">
        <w:rPr>
          <w:rFonts w:ascii="Times New Roman" w:hAnsi="Times New Roman" w:cs="Times New Roman"/>
          <w:b/>
          <w:bCs/>
          <w:i/>
          <w:iCs/>
          <w:color w:val="008000"/>
          <w:sz w:val="28"/>
          <w:szCs w:val="28"/>
          <w:u w:val="single"/>
          <w:lang w:val="fr-FR"/>
        </w:rPr>
        <w:t>#M1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, </w:t>
      </w:r>
      <w:r w:rsidRPr="002B516B">
        <w:rPr>
          <w:rFonts w:ascii="Times New Roman" w:hAnsi="Times New Roman" w:cs="Times New Roman"/>
          <w:b/>
          <w:bCs/>
          <w:i/>
          <w:iCs/>
          <w:color w:val="008000"/>
          <w:sz w:val="28"/>
          <w:szCs w:val="28"/>
          <w:u w:val="single"/>
          <w:lang w:val="fr-FR"/>
        </w:rPr>
        <w:t>#M2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etc.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  <w:lang w:val="fr-FR"/>
        </w:rPr>
        <w:t>#B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În temeiul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art. 108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din Constituţia României, republicată,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Guvernul României adoptă prezenta hotărâre.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ART. 1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(1) Prezenta hotărâre creează cadrul instituţional pentru aplicarea directă a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Regulamentului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Parlamentului European şi al Consiliului (CE) nr. 1.013/2006 din 14 iunie 2006 privind transferul de deşeuri, publicat în Jurnalul Oficial al Uniunii Europene nr. L 190 din 12 iulie 2006, denumit în continuare Regulament.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(2)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Regulamentul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se completează cu prevederile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Convenţiei de la Basel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privind controlul transportului peste frontiere al deşeurilor periculoase şi al eliminării acestora, întocmită la 20 - 22 martie 1989, la care România a aderat prin Legea nr. 6/1991, cu modificările ulterioare (Convenţia de la Basel), şi cu cele ale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amendamentelor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la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Convenţia de la Basel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, acceptate de România prin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Legea nr. 265/2002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>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ART. 2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lastRenderedPageBreak/>
        <w:t xml:space="preserve">    La aplicarea prevederilor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Regulamentului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se vor lua în considerare perioadele de tranziţie obţinute de România pentru implementarea acestui act normativ, prevăzute în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anexa nr. VII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pct. 9 lit. B "Managementul deşeurilor" alin. (1) 31993 R 0259 din Tratatul de aderare a României la Uniunea Europeană, ratificat prin Legea nr. 157/2005.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  <w:lang w:val="fr-FR"/>
        </w:rPr>
        <w:t>#M2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Pr="002B516B">
        <w:rPr>
          <w:rFonts w:ascii="Times New Roman" w:hAnsi="Times New Roman" w:cs="Times New Roman"/>
          <w:color w:val="FF0000"/>
          <w:sz w:val="28"/>
          <w:szCs w:val="28"/>
          <w:u w:val="single"/>
          <w:lang w:val="fr-FR"/>
        </w:rPr>
        <w:t>ART. 3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(1) Se desemnează autoritatea publică centrală pentru protecţia mediului ca autoritate competentă pentru punerea în aplicare a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Regulamentului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>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(2) Autoritatea publică centrală pentru protecţia mediului este desemnată punct focal pentru Convenţia de la Basel în conformitate cu prevederile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2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paragraful 7 din aceasta.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(3) Autoritatea publică centrală pentru protecţia mediului îndeplineşte atribuţii de autoritate competentă: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a) de expediere, aşa cum este ea definită la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2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alin. (19) din Regulament;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b) de destinaţie, aşa cum este ea definită la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2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alin. (20) din Regulament;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c) de tranzit, aşa cum este ea definită la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2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alin. (21) din Regulament.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(4) Atribuţiile autorităţii publice centrale pentru protecţia mediului în calitate de autoritate competentă pentru punerea în aplicare a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Regulamentului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>, prevăzute la alin. (3) lit. a) - c) se pun în aplicare de Agenţia Naţională pentru Protecţia Mediului, conform prevederilor legale în vigoare.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(5) Autoritatea publică centrală pentru protecţia mediului desemnează corespondenţi responsabili cu informarea sau consilierea persoanelor fizice şi juridice care solicită informaţii, în conformitate cu prevederile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54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din Regulament.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(6) Autoritatea publică centrală pentru protecţia mediului întocmeşte şi transmite rapoartele prevăzute la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51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alin. (1) şi (2) din Regulament.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(7) Cuantumul costurilor administrative prevăzute la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29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din Regulament vor fi stabilite prin ordin al ministrului autorităţii publice centrale pentru protecţia mediului.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(8) Autoritatea publică centrală pentru protecţia mediului comunică Comisiei Europene informaţiile prevăzute la alin. (5).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  <w:lang w:val="fr-FR"/>
        </w:rPr>
        <w:t>#M2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Pr="002B516B">
        <w:rPr>
          <w:rFonts w:ascii="Times New Roman" w:hAnsi="Times New Roman" w:cs="Times New Roman"/>
          <w:color w:val="FF0000"/>
          <w:sz w:val="28"/>
          <w:szCs w:val="28"/>
          <w:u w:val="single"/>
          <w:lang w:val="fr-FR"/>
        </w:rPr>
        <w:t>ART. 3^1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Autoritatea publică centrală pentru protecţia mediului este autoritatea competentă să aplice prevederile Deciziei 2011/854/UE de punere în aplicare a Comisiei din 15 decembrie 2011 de prelungire a perioadei de derogare în care România poate formula obiecţii cu privire la transferurile către România ale anumitor deşeuri destinate recuperării în conformitate cu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 xml:space="preserve">Regulamentul (CE) nr.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lastRenderedPageBreak/>
        <w:t>1.013/2006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al Parlamentului European şi al Consiliului privind transferurile de deşeuri.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</w:rPr>
        <w:t>#M2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  <w:u w:val="single"/>
        </w:rPr>
        <w:t>ART. 4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***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Abrogat</w:t>
      </w:r>
      <w:proofErr w:type="spellEnd"/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</w:rPr>
        <w:t>#B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5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Transportul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deşeurilor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 w:cs="Times New Roman"/>
          <w:sz w:val="28"/>
          <w:szCs w:val="28"/>
        </w:rPr>
        <w:t>efectuează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legislaţia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naţională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acordurile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convenţiile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internaţionale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transportul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mărfurilor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periculoase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la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România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parte.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  <w:lang w:val="fr-FR"/>
        </w:rPr>
        <w:t>#M2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Pr="002B516B">
        <w:rPr>
          <w:rFonts w:ascii="Times New Roman" w:hAnsi="Times New Roman" w:cs="Times New Roman"/>
          <w:color w:val="FF0000"/>
          <w:sz w:val="28"/>
          <w:szCs w:val="28"/>
          <w:u w:val="single"/>
          <w:lang w:val="fr-FR"/>
        </w:rPr>
        <w:t>ART. 6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(1) Se desemnează Garda Naţională de Mediu, organ de specialitate al administraţiei publice centrale din subordinea autorităţii publice centrale pentru protecţia mediului responsabilă cu supravegherea şi controlul transferului de deşeuri.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(2) În vederea punerii în aplicare a prevederilor prezentului act normativ, Garda Naţională de Mediu încheie protocoale de colaborare cu alte autorităţi publice conform competenţelor fiecăreia, în condiţiile legii, respectiv cu Autoritatea Naţională a Vămilor, Ministerul Sănătăţii prin autorităţile de sănătate publică judeţene şi a municipiului Bucureşti, Autoritatea Naţională Sanitară Veterinară şi pentru Siguranţa Alimentelor, precum şi cu Ministerul Afacerilor Interne prin Inspectoratul General pentru Situaţii de Urgenţă şi Poliţia Română.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(3) Garda Naţională de Mediu desemnează în condiţiile legii, în termen de 30 de zile de la data intrării în vigoare a prezentei hotărâri, reprezentanţi responsabili pentru cooperarea cu celelalte state membre, în conformitate cu prevederile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50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alin. (6) din Regulament, şi stabileşte punctul/punctele focal(e) pentru inspecţiile fizice menţionate la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50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alin. (4) din Regulament şi comunică datele de contact ale acestora autorităţii publice centrale pentru protecţia mediului.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(4) Autoritatea publică centrală pentru protecţia mediului comunică Comisiei Europene reprezentanţii responsabili şi punctul/punctele focal(e) prevăzut(e) la alin. (3).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  <w:lang w:val="fr-FR"/>
        </w:rPr>
        <w:t>#M2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Pr="002B516B">
        <w:rPr>
          <w:rFonts w:ascii="Times New Roman" w:hAnsi="Times New Roman" w:cs="Times New Roman"/>
          <w:color w:val="FF0000"/>
          <w:sz w:val="28"/>
          <w:szCs w:val="28"/>
          <w:u w:val="single"/>
          <w:lang w:val="fr-FR"/>
        </w:rPr>
        <w:t>ART. 7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(1) În vederea valorificării deşeurilor generate ca urmare a unei activităţii desfăşurate în perimetrul zonei libere şi în antrepozitele vamale pentru care au fost întocmite formalităţile vamale, autoritatea publică centrală pentru protecţia mediului emite documentul de notificare,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anexa IA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din Regulament şi documentul de circulaţie,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anexa IB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din Regulament pentru valorificarea în instalaţii autorizate, la solicitarea persoanei care deţine aceste tipuri de deşeuri. Fiecare document de notificare se referă la un singur cod de identificare a deşeurilor şi la un transfer 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lastRenderedPageBreak/>
        <w:t xml:space="preserve">individual aşa cum este prevăzut în documentul de notificare,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anexa IA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din Regulament.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(2) Deţinătorul de deşeuri are obligaţia de a prezenta toate documentele cu privire la provenienţa acestora, statutul vamal şi alte informaţii suplimentare solicitate de autoritatea competentă pentru protecţia mediului, după caz.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  <w:lang w:val="fr-FR"/>
        </w:rPr>
        <w:t>#M2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Pr="002B516B">
        <w:rPr>
          <w:rFonts w:ascii="Times New Roman" w:hAnsi="Times New Roman" w:cs="Times New Roman"/>
          <w:color w:val="FF0000"/>
          <w:sz w:val="28"/>
          <w:szCs w:val="28"/>
          <w:u w:val="single"/>
          <w:lang w:val="fr-FR"/>
        </w:rPr>
        <w:t>ART. 7^1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Ieşirile de deşeuri nepericuloase de pe amplasament destinate operaţiunilor de valorificare/recuperare însoţite de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anexa VII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la Regulament vor fi înscrise într-un registru conform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anexei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>, care va fi prezentat autorităţii publice responsabile cu supravegherea şi controlul transferului de deşeuri.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</w:rPr>
        <w:t>#M1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iCs/>
          <w:color w:val="FF0000"/>
          <w:sz w:val="28"/>
          <w:szCs w:val="28"/>
          <w:u w:val="single"/>
        </w:rPr>
        <w:t>ART. 8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***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Abrogat</w:t>
      </w:r>
      <w:proofErr w:type="spellEnd"/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</w:rPr>
        <w:t>#M2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ART. 9*)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(1)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Constituie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contravenţie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se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sancţionează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amendă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de la 30.000 lei la 50.000 lei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importul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exportul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tranzitul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sau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transferul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intracomunitar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deşeuri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dacă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nu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sunt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însoţite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documentele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prevăzute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Regulament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respectiv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</w:rPr>
        <w:t>anexa</w:t>
      </w:r>
      <w:proofErr w:type="spellEnd"/>
      <w:r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</w:rPr>
        <w:t xml:space="preserve"> IA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</w:rPr>
        <w:t>anexa</w:t>
      </w:r>
      <w:proofErr w:type="spellEnd"/>
      <w:r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</w:rPr>
        <w:t xml:space="preserve"> IB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</w:rPr>
        <w:t>anexa</w:t>
      </w:r>
      <w:proofErr w:type="spellEnd"/>
      <w:r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</w:rPr>
        <w:t xml:space="preserve"> VII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după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caz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>(2) Constituie contravenţie şi se sancţionează cu amendă de la 20.000 lei la 40.000 lei: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a) abaterea de la traseul aprobat, fără informarea autorităţilor care au emis aprobarea;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b) utilizarea unor noi transportatori, fără informarea autorităţilor care au emis aprobarea.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(3) Constituie contravenţie şi se sancţionează cu amendă de la 15.000 lei la 30.000 lei: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a) transferul deşeurilor menţionate în documentele care însoţesc transportul, amestecate cu alte deşeuri;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b) transferul deşeurilor, ambalate în ambalaje care nu au fost aprobate prin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anexa IA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din Regulament.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(4) Constituie contravenţie şi se sancţionează cu amendă de la 10.000 lei la 20.000 lei: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a) netransmiterea în scris către autorităţile competente a documentului de circulaţie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anexa IB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din Regulament cu minimum 3 zile înainte de efectuarea transferului de deşeuri;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b) netransmiterea către autorităţile competente a certificării recepţiei deşeurilor, în termen de 3 zile de la realizarea acesteia;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lastRenderedPageBreak/>
        <w:t xml:space="preserve">    c) netransmiterea către autorităţile competente a certificării că operaţiunea de valorificare/recuperare a deşeurilor a fost finalizată, în termen de 30 de zile de la realizarea acesteia, dar nu mai târziu de un an de la data recepţiei;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d) netransmiterea către autorităţile competente a certificării că operaţiunea de valorificare/recuperare finală a deşeurilor a fost finalizată, conform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15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lit. (e) din Regulament;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e) lipsa semnăturilor pe documentul original al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anexei IB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sau al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anexei VII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din Regulament pentru exportul/transferul transfrontalier al deşeurilor, după caz;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f) lipsa copiilor de pe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anexa IA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>, din care să rezulte aprobările autorităţilor implicate, inclusiv condiţii speciale privind acordul, după caz;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g) lipsa înregistrărilor în registrul al cărui model este prevăzut în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anexa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la prezenta hotărâre.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(5) Contravenientul poate achita pe loc sau în termen de cel mult 48 de ore de la data încheierii procesului-verbal ori, după caz, de la data comunicării acestuia jumătate din minimul amenzii prevăzute la alin. (1) - (4), agentul constatator făcând menţiune despre această posibilitate în procesul-verbal de constatare şi sancţionare a contravenţiei.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(6) Împotriva procesului-verbal de constatare a contravenţiei şi de aplicare a sancţiunii se poate face plângere la instanţa competentă, în termen de 15 zile de la data comunicării procesului-verbal în condiţiile legii.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(7) Constatarea contravenţiilor şi aplicarea sancţiunilor prevăzute la alin. (1) - (4) se fac de personalul împuternicit din cadrul Gărzii Naţionale de Mediu potrivit competenţelor acesteia.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</w:rPr>
        <w:t>#CIN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*)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Conform </w:t>
      </w:r>
      <w:r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</w:rPr>
        <w:t>art. III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Hotărârea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Guvernului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nr.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1168/2013 (</w:t>
      </w:r>
      <w:r>
        <w:rPr>
          <w:rFonts w:ascii="Times New Roman" w:hAnsi="Times New Roman" w:cs="Times New Roman"/>
          <w:b/>
          <w:bCs/>
          <w:i/>
          <w:iCs/>
          <w:color w:val="008000"/>
          <w:sz w:val="28"/>
          <w:szCs w:val="28"/>
          <w:u w:val="single"/>
        </w:rPr>
        <w:t>#M2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),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prevederile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</w:rPr>
        <w:t>alin</w:t>
      </w:r>
      <w:proofErr w:type="spellEnd"/>
      <w:r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</w:rPr>
        <w:t>.</w:t>
      </w:r>
      <w:proofErr w:type="gramEnd"/>
      <w:r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</w:rPr>
        <w:t xml:space="preserve">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(2)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- (4) ale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9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intră în vigoare la data de 10 februarie 2014 [30 de zile de la data publicării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Hotărârii Guvernului nr. 1168/2013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(</w:t>
      </w:r>
      <w:r w:rsidRPr="002B516B">
        <w:rPr>
          <w:rFonts w:ascii="Times New Roman" w:hAnsi="Times New Roman" w:cs="Times New Roman"/>
          <w:b/>
          <w:bCs/>
          <w:i/>
          <w:iCs/>
          <w:color w:val="008000"/>
          <w:sz w:val="28"/>
          <w:szCs w:val="28"/>
          <w:u w:val="single"/>
          <w:lang w:val="fr-FR"/>
        </w:rPr>
        <w:t>#M2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>)].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  <w:lang w:val="fr-FR"/>
        </w:rPr>
        <w:t>#B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ART. 10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Contravenţiei prevăzute la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art. 9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îi sunt aplicabile dispoziţiile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Ordonanţei Guvernului nr. 2/2001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privind regimul juridic al contravenţiilor, aprobată cu modificări şi completări prin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Legea nr. 180/2002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>, cu modificările şi completările ulterioare.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ART. 11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Pe data intrării în vigoare a prezentei hotărâri se abrogă: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a)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Hotărârea Guvernului nr. 895/2006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pentru aplicarea de la data aderării României la Uniunea Europeană a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Regulamentului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Consiliului nr. 259/93/CEE privind supravegherea şi controlul transporturilor de deşeuri în, înspre şi dinspre 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lastRenderedPageBreak/>
        <w:t>Comunitatea Europeană, adoptat la 1 februarie 1993, publicată în Monitorul Oficial al României, Partea I, nr. 638 din 25 iulie 2006;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b)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Ordinul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ministrului mediului şi gospodăririi apelor şi al ministrului finanţelor publice nr. 1.371/2.225/2006 pentru aprobarea Normelor metodologice de aplicare a prevederilor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Regulamentului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Consiliului 259/93/CEE privind supravegherea şi controlul transporturilor de deşeuri în, înspre şi dinspre Comunitatea Europeană, cu modificările şi completările ulterioare, şi ale </w:t>
      </w:r>
      <w:r w:rsidRPr="002B516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Convenţiei de la Basel</w:t>
      </w: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privind controlul transportului peste frontieră al deşeurilor periculoase şi al eliminării acestora, publicat în Monitorul Oficial al României, Partea I, nr. 20 din 12 ianuarie 2007.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  <w:lang w:val="fr-FR"/>
        </w:rPr>
        <w:t>#M2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Pr="002B516B">
        <w:rPr>
          <w:rFonts w:ascii="Times New Roman" w:hAnsi="Times New Roman" w:cs="Times New Roman"/>
          <w:color w:val="FF0000"/>
          <w:sz w:val="28"/>
          <w:szCs w:val="28"/>
          <w:u w:val="single"/>
          <w:lang w:val="fr-FR"/>
        </w:rPr>
        <w:t>ANEXA 1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                            REGISTRU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Informaţii care însoţesc transferurile de deşeuri destinate operaţiunilor de valorificare/recuperare menţionate la </w:t>
      </w:r>
      <w:r w:rsidRPr="002B516B">
        <w:rPr>
          <w:rFonts w:ascii="Times New Roman" w:hAnsi="Times New Roman" w:cs="Times New Roman"/>
          <w:i/>
          <w:iCs/>
          <w:color w:val="008000"/>
          <w:sz w:val="28"/>
          <w:szCs w:val="28"/>
          <w:u w:val="single"/>
          <w:lang w:val="fr-FR"/>
        </w:rPr>
        <w:t>art. 3</w:t>
      </w: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alin. (2) şi (4) din Regulamentul Parlamentului European şi al Consiliului (CE) nr. 1.013/2006 din 14 iunie 2006 privind transferul de deşeuri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În prezentul registru se înregistrează documentele emise în anul .......... şi are ..... pagini.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lang w:val="fr-FR"/>
        </w:rPr>
      </w:pPr>
      <w:r w:rsidRPr="002B516B">
        <w:rPr>
          <w:rFonts w:ascii="Courier New" w:hAnsi="Courier New" w:cs="Courier New"/>
          <w:i/>
          <w:iCs/>
          <w:lang w:val="fr-FR"/>
        </w:rPr>
        <w:t xml:space="preserve">    Semnificaţia coloanelor din tabelul de mai jos este următoarea: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</w:rPr>
      </w:pPr>
      <w:r w:rsidRPr="002B516B">
        <w:rPr>
          <w:rFonts w:ascii="Courier New" w:hAnsi="Courier New" w:cs="Courier New"/>
          <w:i/>
          <w:iCs/>
          <w:lang w:val="fr-FR"/>
        </w:rPr>
        <w:t xml:space="preserve">    </w:t>
      </w:r>
      <w:r>
        <w:rPr>
          <w:rFonts w:ascii="Courier New" w:hAnsi="Courier New" w:cs="Courier New"/>
          <w:i/>
          <w:iCs/>
        </w:rPr>
        <w:t xml:space="preserve">A - </w:t>
      </w:r>
      <w:proofErr w:type="spellStart"/>
      <w:r>
        <w:rPr>
          <w:rFonts w:ascii="Courier New" w:hAnsi="Courier New" w:cs="Courier New"/>
          <w:i/>
          <w:iCs/>
        </w:rPr>
        <w:t>Producătorul</w:t>
      </w:r>
      <w:proofErr w:type="spellEnd"/>
      <w:r>
        <w:rPr>
          <w:rFonts w:ascii="Courier New" w:hAnsi="Courier New" w:cs="Courier New"/>
          <w:i/>
          <w:iCs/>
        </w:rPr>
        <w:t xml:space="preserve"> </w:t>
      </w:r>
      <w:proofErr w:type="spellStart"/>
      <w:r>
        <w:rPr>
          <w:rFonts w:ascii="Courier New" w:hAnsi="Courier New" w:cs="Courier New"/>
          <w:i/>
          <w:iCs/>
        </w:rPr>
        <w:t>deşeurilor</w:t>
      </w:r>
      <w:proofErr w:type="spellEnd"/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 xml:space="preserve">    B - </w:t>
      </w:r>
      <w:proofErr w:type="spellStart"/>
      <w:r>
        <w:rPr>
          <w:rFonts w:ascii="Courier New" w:hAnsi="Courier New" w:cs="Courier New"/>
          <w:i/>
          <w:iCs/>
        </w:rPr>
        <w:t>Persoana</w:t>
      </w:r>
      <w:proofErr w:type="spellEnd"/>
      <w:r>
        <w:rPr>
          <w:rFonts w:ascii="Courier New" w:hAnsi="Courier New" w:cs="Courier New"/>
          <w:i/>
          <w:iCs/>
        </w:rPr>
        <w:t xml:space="preserve"> care </w:t>
      </w:r>
      <w:proofErr w:type="spellStart"/>
      <w:r>
        <w:rPr>
          <w:rFonts w:ascii="Courier New" w:hAnsi="Courier New" w:cs="Courier New"/>
          <w:i/>
          <w:iCs/>
        </w:rPr>
        <w:t>organizează</w:t>
      </w:r>
      <w:proofErr w:type="spellEnd"/>
      <w:r>
        <w:rPr>
          <w:rFonts w:ascii="Courier New" w:hAnsi="Courier New" w:cs="Courier New"/>
          <w:i/>
          <w:iCs/>
        </w:rPr>
        <w:t xml:space="preserve"> </w:t>
      </w:r>
      <w:proofErr w:type="spellStart"/>
      <w:r>
        <w:rPr>
          <w:rFonts w:ascii="Courier New" w:hAnsi="Courier New" w:cs="Courier New"/>
          <w:i/>
          <w:iCs/>
        </w:rPr>
        <w:t>transferul</w:t>
      </w:r>
      <w:proofErr w:type="spellEnd"/>
      <w:r>
        <w:rPr>
          <w:rFonts w:ascii="Courier New" w:hAnsi="Courier New" w:cs="Courier New"/>
          <w:i/>
          <w:iCs/>
        </w:rPr>
        <w:t>*1)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 xml:space="preserve">    C - </w:t>
      </w:r>
      <w:proofErr w:type="spellStart"/>
      <w:r>
        <w:rPr>
          <w:rFonts w:ascii="Courier New" w:hAnsi="Courier New" w:cs="Courier New"/>
          <w:i/>
          <w:iCs/>
        </w:rPr>
        <w:t>Observaţii</w:t>
      </w:r>
      <w:proofErr w:type="spellEnd"/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 xml:space="preserve"> ______________________________________________________________________________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|Nr |Nr. |Data    |</w:t>
      </w:r>
      <w:proofErr w:type="spellStart"/>
      <w:r>
        <w:rPr>
          <w:rFonts w:ascii="Courier New" w:hAnsi="Courier New" w:cs="Courier New"/>
          <w:i/>
          <w:iCs/>
        </w:rPr>
        <w:t>Denumirea</w:t>
      </w:r>
      <w:proofErr w:type="spellEnd"/>
      <w:r>
        <w:rPr>
          <w:rFonts w:ascii="Courier New" w:hAnsi="Courier New" w:cs="Courier New"/>
          <w:i/>
          <w:iCs/>
        </w:rPr>
        <w:t xml:space="preserve">   |</w:t>
      </w:r>
      <w:proofErr w:type="spellStart"/>
      <w:r>
        <w:rPr>
          <w:rFonts w:ascii="Courier New" w:hAnsi="Courier New" w:cs="Courier New"/>
          <w:i/>
          <w:iCs/>
        </w:rPr>
        <w:t>Codul</w:t>
      </w:r>
      <w:proofErr w:type="spellEnd"/>
      <w:r>
        <w:rPr>
          <w:rFonts w:ascii="Courier New" w:hAnsi="Courier New" w:cs="Courier New"/>
          <w:i/>
          <w:iCs/>
        </w:rPr>
        <w:t xml:space="preserve">       |</w:t>
      </w:r>
      <w:proofErr w:type="spellStart"/>
      <w:proofErr w:type="gramStart"/>
      <w:r>
        <w:rPr>
          <w:rFonts w:ascii="Courier New" w:hAnsi="Courier New" w:cs="Courier New"/>
          <w:i/>
          <w:iCs/>
        </w:rPr>
        <w:t>Cantitatea</w:t>
      </w:r>
      <w:proofErr w:type="spellEnd"/>
      <w:r>
        <w:rPr>
          <w:rFonts w:ascii="Courier New" w:hAnsi="Courier New" w:cs="Courier New"/>
          <w:i/>
          <w:iCs/>
        </w:rPr>
        <w:t xml:space="preserve">  |</w:t>
      </w:r>
      <w:proofErr w:type="spellStart"/>
      <w:proofErr w:type="gramEnd"/>
      <w:r>
        <w:rPr>
          <w:rFonts w:ascii="Courier New" w:hAnsi="Courier New" w:cs="Courier New"/>
          <w:i/>
          <w:iCs/>
        </w:rPr>
        <w:t>Destinatarul</w:t>
      </w:r>
      <w:proofErr w:type="spellEnd"/>
      <w:r>
        <w:rPr>
          <w:rFonts w:ascii="Courier New" w:hAnsi="Courier New" w:cs="Courier New"/>
          <w:i/>
          <w:iCs/>
        </w:rPr>
        <w:t>| A| B| C|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|</w:t>
      </w:r>
      <w:proofErr w:type="spellStart"/>
      <w:r>
        <w:rPr>
          <w:rFonts w:ascii="Courier New" w:hAnsi="Courier New" w:cs="Courier New"/>
          <w:i/>
          <w:iCs/>
        </w:rPr>
        <w:t>crt|doc.|emiterii|uzuală</w:t>
      </w:r>
      <w:proofErr w:type="spellEnd"/>
      <w:r>
        <w:rPr>
          <w:rFonts w:ascii="Courier New" w:hAnsi="Courier New" w:cs="Courier New"/>
          <w:i/>
          <w:iCs/>
        </w:rPr>
        <w:t xml:space="preserve"> a    |</w:t>
      </w:r>
      <w:proofErr w:type="spellStart"/>
      <w:r>
        <w:rPr>
          <w:rFonts w:ascii="Courier New" w:hAnsi="Courier New" w:cs="Courier New"/>
          <w:i/>
          <w:iCs/>
        </w:rPr>
        <w:t>deşeului</w:t>
      </w:r>
      <w:proofErr w:type="spellEnd"/>
      <w:r>
        <w:rPr>
          <w:rFonts w:ascii="Courier New" w:hAnsi="Courier New" w:cs="Courier New"/>
          <w:i/>
          <w:iCs/>
        </w:rPr>
        <w:t xml:space="preserve"> din</w:t>
      </w:r>
      <w:proofErr w:type="gramStart"/>
      <w:r>
        <w:rPr>
          <w:rFonts w:ascii="Courier New" w:hAnsi="Courier New" w:cs="Courier New"/>
          <w:i/>
          <w:iCs/>
        </w:rPr>
        <w:t>|[</w:t>
      </w:r>
      <w:proofErr w:type="gramEnd"/>
      <w:r>
        <w:rPr>
          <w:rFonts w:ascii="Courier New" w:hAnsi="Courier New" w:cs="Courier New"/>
          <w:i/>
          <w:iCs/>
        </w:rPr>
        <w:t>tone] din  |din         |  |  |  |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|   |    |        |</w:t>
      </w:r>
      <w:proofErr w:type="spellStart"/>
      <w:r>
        <w:rPr>
          <w:rFonts w:ascii="Courier New" w:hAnsi="Courier New" w:cs="Courier New"/>
          <w:i/>
          <w:iCs/>
        </w:rPr>
        <w:t>deşeului</w:t>
      </w:r>
      <w:proofErr w:type="spellEnd"/>
      <w:r>
        <w:rPr>
          <w:rFonts w:ascii="Courier New" w:hAnsi="Courier New" w:cs="Courier New"/>
          <w:i/>
          <w:iCs/>
        </w:rPr>
        <w:t xml:space="preserve"> </w:t>
      </w:r>
      <w:proofErr w:type="spellStart"/>
      <w:r>
        <w:rPr>
          <w:rFonts w:ascii="Courier New" w:hAnsi="Courier New" w:cs="Courier New"/>
          <w:i/>
          <w:iCs/>
        </w:rPr>
        <w:t>din|</w:t>
      </w:r>
      <w:r>
        <w:rPr>
          <w:rFonts w:ascii="Courier New" w:hAnsi="Courier New" w:cs="Courier New"/>
          <w:i/>
          <w:iCs/>
          <w:color w:val="008000"/>
          <w:u w:val="single"/>
        </w:rPr>
        <w:t>anexa</w:t>
      </w:r>
      <w:proofErr w:type="spellEnd"/>
      <w:r>
        <w:rPr>
          <w:rFonts w:ascii="Courier New" w:hAnsi="Courier New" w:cs="Courier New"/>
          <w:i/>
          <w:iCs/>
          <w:color w:val="008000"/>
          <w:u w:val="single"/>
        </w:rPr>
        <w:t xml:space="preserve"> VII</w:t>
      </w:r>
      <w:r>
        <w:rPr>
          <w:rFonts w:ascii="Courier New" w:hAnsi="Courier New" w:cs="Courier New"/>
          <w:i/>
          <w:iCs/>
        </w:rPr>
        <w:t xml:space="preserve"> </w:t>
      </w:r>
      <w:proofErr w:type="spellStart"/>
      <w:r>
        <w:rPr>
          <w:rFonts w:ascii="Courier New" w:hAnsi="Courier New" w:cs="Courier New"/>
          <w:i/>
          <w:iCs/>
        </w:rPr>
        <w:t>la|</w:t>
      </w:r>
      <w:r>
        <w:rPr>
          <w:rFonts w:ascii="Courier New" w:hAnsi="Courier New" w:cs="Courier New"/>
          <w:i/>
          <w:iCs/>
          <w:color w:val="008000"/>
          <w:u w:val="single"/>
        </w:rPr>
        <w:t>anexa</w:t>
      </w:r>
      <w:proofErr w:type="spellEnd"/>
      <w:r>
        <w:rPr>
          <w:rFonts w:ascii="Courier New" w:hAnsi="Courier New" w:cs="Courier New"/>
          <w:i/>
          <w:iCs/>
          <w:color w:val="008000"/>
          <w:u w:val="single"/>
        </w:rPr>
        <w:t xml:space="preserve"> VII</w:t>
      </w:r>
      <w:r>
        <w:rPr>
          <w:rFonts w:ascii="Courier New" w:hAnsi="Courier New" w:cs="Courier New"/>
          <w:i/>
          <w:iCs/>
        </w:rPr>
        <w:t xml:space="preserve"> </w:t>
      </w:r>
      <w:proofErr w:type="spellStart"/>
      <w:r>
        <w:rPr>
          <w:rFonts w:ascii="Courier New" w:hAnsi="Courier New" w:cs="Courier New"/>
          <w:i/>
          <w:iCs/>
        </w:rPr>
        <w:t>la|</w:t>
      </w:r>
      <w:r>
        <w:rPr>
          <w:rFonts w:ascii="Courier New" w:hAnsi="Courier New" w:cs="Courier New"/>
          <w:i/>
          <w:iCs/>
          <w:color w:val="008000"/>
          <w:u w:val="single"/>
        </w:rPr>
        <w:t>anexa</w:t>
      </w:r>
      <w:proofErr w:type="spellEnd"/>
      <w:r>
        <w:rPr>
          <w:rFonts w:ascii="Courier New" w:hAnsi="Courier New" w:cs="Courier New"/>
          <w:i/>
          <w:iCs/>
          <w:color w:val="008000"/>
          <w:u w:val="single"/>
        </w:rPr>
        <w:t xml:space="preserve"> VII</w:t>
      </w:r>
      <w:r>
        <w:rPr>
          <w:rFonts w:ascii="Courier New" w:hAnsi="Courier New" w:cs="Courier New"/>
          <w:i/>
          <w:iCs/>
        </w:rPr>
        <w:t xml:space="preserve"> la</w:t>
      </w:r>
      <w:proofErr w:type="gramStart"/>
      <w:r>
        <w:rPr>
          <w:rFonts w:ascii="Courier New" w:hAnsi="Courier New" w:cs="Courier New"/>
          <w:i/>
          <w:iCs/>
        </w:rPr>
        <w:t>|  |</w:t>
      </w:r>
      <w:proofErr w:type="gramEnd"/>
      <w:r>
        <w:rPr>
          <w:rFonts w:ascii="Courier New" w:hAnsi="Courier New" w:cs="Courier New"/>
          <w:i/>
          <w:iCs/>
        </w:rPr>
        <w:t xml:space="preserve">  |  |</w:t>
      </w: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|   |    |        |</w:t>
      </w:r>
      <w:proofErr w:type="spellStart"/>
      <w:r>
        <w:rPr>
          <w:rFonts w:ascii="Courier New" w:hAnsi="Courier New" w:cs="Courier New"/>
          <w:i/>
          <w:iCs/>
          <w:color w:val="008000"/>
          <w:u w:val="single"/>
        </w:rPr>
        <w:t>anexa</w:t>
      </w:r>
      <w:proofErr w:type="spellEnd"/>
      <w:r>
        <w:rPr>
          <w:rFonts w:ascii="Courier New" w:hAnsi="Courier New" w:cs="Courier New"/>
          <w:i/>
          <w:iCs/>
          <w:color w:val="008000"/>
          <w:u w:val="single"/>
        </w:rPr>
        <w:t xml:space="preserve"> VII</w:t>
      </w:r>
      <w:r>
        <w:rPr>
          <w:rFonts w:ascii="Courier New" w:hAnsi="Courier New" w:cs="Courier New"/>
          <w:i/>
          <w:iCs/>
        </w:rPr>
        <w:t xml:space="preserve"> </w:t>
      </w:r>
      <w:proofErr w:type="spellStart"/>
      <w:r>
        <w:rPr>
          <w:rFonts w:ascii="Courier New" w:hAnsi="Courier New" w:cs="Courier New"/>
          <w:i/>
          <w:iCs/>
        </w:rPr>
        <w:t>la|Regulamentul|Regulamentul|Regulamentul</w:t>
      </w:r>
      <w:proofErr w:type="spellEnd"/>
      <w:proofErr w:type="gramStart"/>
      <w:r>
        <w:rPr>
          <w:rFonts w:ascii="Courier New" w:hAnsi="Courier New" w:cs="Courier New"/>
          <w:i/>
          <w:iCs/>
        </w:rPr>
        <w:t>|  |</w:t>
      </w:r>
      <w:proofErr w:type="gramEnd"/>
      <w:r>
        <w:rPr>
          <w:rFonts w:ascii="Courier New" w:hAnsi="Courier New" w:cs="Courier New"/>
          <w:i/>
          <w:iCs/>
        </w:rPr>
        <w:t xml:space="preserve">  |  |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lang w:val="fr-FR"/>
        </w:rPr>
      </w:pPr>
      <w:r w:rsidRPr="002B516B">
        <w:rPr>
          <w:rFonts w:ascii="Courier New" w:hAnsi="Courier New" w:cs="Courier New"/>
          <w:i/>
          <w:iCs/>
          <w:lang w:val="fr-FR"/>
        </w:rPr>
        <w:t>|   |    |        |Regulamentul| (CE) nr.   |(CE) nr.    |(CE) nr.    |  |  |  |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lang w:val="fr-FR"/>
        </w:rPr>
      </w:pPr>
      <w:r w:rsidRPr="002B516B">
        <w:rPr>
          <w:rFonts w:ascii="Courier New" w:hAnsi="Courier New" w:cs="Courier New"/>
          <w:i/>
          <w:iCs/>
          <w:lang w:val="fr-FR"/>
        </w:rPr>
        <w:t>|   |    |        |(CE) nr.    |1.013/2006  |1.013/2006  |1.013/2006  |  |  |  |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lang w:val="fr-FR"/>
        </w:rPr>
      </w:pPr>
      <w:r w:rsidRPr="002B516B">
        <w:rPr>
          <w:rFonts w:ascii="Courier New" w:hAnsi="Courier New" w:cs="Courier New"/>
          <w:i/>
          <w:iCs/>
          <w:lang w:val="fr-FR"/>
        </w:rPr>
        <w:t>|   |    |        |1.013/2006  |căsuţa 10   |            |            |  |  |  |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lang w:val="fr-FR"/>
        </w:rPr>
      </w:pPr>
      <w:r w:rsidRPr="002B516B">
        <w:rPr>
          <w:rFonts w:ascii="Courier New" w:hAnsi="Courier New" w:cs="Courier New"/>
          <w:i/>
          <w:iCs/>
          <w:lang w:val="fr-FR"/>
        </w:rPr>
        <w:lastRenderedPageBreak/>
        <w:t>|___|____|________|____________|____________|____________|____________|__|__|__|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lang w:val="fr-FR"/>
        </w:rPr>
      </w:pPr>
      <w:r w:rsidRPr="002B516B">
        <w:rPr>
          <w:rFonts w:ascii="Courier New" w:hAnsi="Courier New" w:cs="Courier New"/>
          <w:i/>
          <w:iCs/>
          <w:lang w:val="fr-FR"/>
        </w:rPr>
        <w:t>|   |    |        |            |            |            |            |  |  |  |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lang w:val="fr-FR"/>
        </w:rPr>
      </w:pPr>
      <w:r w:rsidRPr="002B516B">
        <w:rPr>
          <w:rFonts w:ascii="Courier New" w:hAnsi="Courier New" w:cs="Courier New"/>
          <w:i/>
          <w:iCs/>
          <w:lang w:val="fr-FR"/>
        </w:rPr>
        <w:t>|___|____|________|____________|____________|____________|____________|__|__|__|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/>
          <w:iCs/>
          <w:lang w:val="fr-FR"/>
        </w:rPr>
      </w:pPr>
      <w:r w:rsidRPr="002B516B">
        <w:rPr>
          <w:rFonts w:ascii="Courier New" w:hAnsi="Courier New" w:cs="Courier New"/>
          <w:i/>
          <w:iCs/>
          <w:lang w:val="fr-FR"/>
        </w:rPr>
        <w:t>|   |    |        |            |            |            |            |  |  |  |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Courier New" w:hAnsi="Courier New" w:cs="Courier New"/>
          <w:i/>
          <w:iCs/>
          <w:lang w:val="fr-FR"/>
        </w:rPr>
        <w:t>|___|____|________|____________|____________|____________|____________|__|__|__|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*1) În cazul în care aceasta este alta decât producătorul.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fr-FR"/>
        </w:rPr>
      </w:pP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2B516B">
        <w:rPr>
          <w:rFonts w:ascii="Times New Roman" w:hAnsi="Times New Roman" w:cs="Times New Roman"/>
          <w:i/>
          <w:iCs/>
          <w:sz w:val="28"/>
          <w:szCs w:val="28"/>
          <w:lang w:val="fr-FR"/>
        </w:rPr>
        <w:t xml:space="preserve">    Figura 1Lex: Registru referitor la informaţiile care însoţesc transferurile de deşeuri destinate operaţiunilor de valorificare/recuperare</w:t>
      </w:r>
    </w:p>
    <w:p w:rsidR="002B516B" w:rsidRP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2B516B" w:rsidRDefault="002B516B" w:rsidP="002B5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8000"/>
          <w:sz w:val="28"/>
          <w:szCs w:val="28"/>
          <w:u w:val="single"/>
        </w:rPr>
        <w:t>#B</w:t>
      </w:r>
    </w:p>
    <w:p w:rsidR="00E25423" w:rsidRDefault="002B516B" w:rsidP="002B516B"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</w:t>
      </w:r>
    </w:p>
    <w:sectPr w:rsidR="00E25423" w:rsidSect="00E254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16B"/>
    <w:rsid w:val="000920F2"/>
    <w:rsid w:val="002B516B"/>
    <w:rsid w:val="00826D4D"/>
    <w:rsid w:val="00BB2A3B"/>
    <w:rsid w:val="00E25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2039</Words>
  <Characters>11625</Characters>
  <Application>Microsoft Office Word</Application>
  <DocSecurity>0</DocSecurity>
  <Lines>96</Lines>
  <Paragraphs>27</Paragraphs>
  <ScaleCrop>false</ScaleCrop>
  <Company/>
  <LinksUpToDate>false</LinksUpToDate>
  <CharactersWithSpaces>13637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Gabriela.Istudor</dc:creator>
  <cp:keywords/>
  <dc:description/>
  <cp:lastModifiedBy>Gabriela.Istudor</cp:lastModifiedBy>
  <cp:revision>2</cp:revision>
  <dcterms:created xsi:type="dcterms:W3CDTF">2015-09-22T10:18:00Z</dcterms:created>
  <dcterms:modified xsi:type="dcterms:W3CDTF">2015-09-22T10:18:00Z</dcterms:modified>
</cp:coreProperties>
</file>