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42" w:rsidRPr="00A071A7" w:rsidRDefault="008E3142" w:rsidP="007E0A17">
      <w:pPr>
        <w:tabs>
          <w:tab w:val="left" w:pos="1170"/>
        </w:tabs>
        <w:spacing w:before="120" w:after="120" w:line="264" w:lineRule="auto"/>
        <w:ind w:left="1170"/>
        <w:jc w:val="center"/>
        <w:rPr>
          <w:rFonts w:eastAsia="MS Mincho" w:cs="Times New Roman"/>
          <w:color w:val="auto"/>
          <w:sz w:val="24"/>
          <w:szCs w:val="24"/>
        </w:rPr>
      </w:pPr>
    </w:p>
    <w:p w:rsidR="007E0A17" w:rsidRDefault="008E3142" w:rsidP="007E0A17">
      <w:pPr>
        <w:tabs>
          <w:tab w:val="left" w:pos="1170"/>
        </w:tabs>
        <w:spacing w:before="120" w:after="120" w:line="264" w:lineRule="auto"/>
        <w:ind w:left="1170"/>
        <w:jc w:val="center"/>
        <w:rPr>
          <w:rFonts w:eastAsia="MS Mincho" w:cs="Times New Roman"/>
          <w:b/>
          <w:color w:val="auto"/>
          <w:sz w:val="24"/>
          <w:szCs w:val="24"/>
        </w:rPr>
      </w:pPr>
      <w:r w:rsidRPr="00A071A7">
        <w:rPr>
          <w:rFonts w:eastAsia="MS Mincho" w:cs="Times New Roman"/>
          <w:b/>
          <w:color w:val="auto"/>
          <w:sz w:val="24"/>
          <w:szCs w:val="24"/>
        </w:rPr>
        <w:t>STRATEGIA ENERGETICĂ A ROMÂNIEI 2019 – 2030, CU PERSPECTIVA ANULUI 2050</w:t>
      </w:r>
    </w:p>
    <w:p w:rsidR="0054309B" w:rsidRDefault="00A9410D" w:rsidP="00E25571">
      <w:pPr>
        <w:spacing w:before="120" w:after="120" w:line="264" w:lineRule="auto"/>
        <w:ind w:left="1170" w:hanging="90"/>
        <w:jc w:val="center"/>
        <w:rPr>
          <w:rFonts w:eastAsia="MS Mincho" w:cs="Times New Roman"/>
          <w:b/>
          <w:color w:val="auto"/>
          <w:sz w:val="24"/>
          <w:szCs w:val="24"/>
        </w:rPr>
      </w:pPr>
      <w:r w:rsidRPr="00A071A7">
        <w:rPr>
          <w:rFonts w:eastAsia="MS Mincho" w:cs="Times New Roman"/>
          <w:b/>
          <w:color w:val="auto"/>
          <w:sz w:val="24"/>
          <w:szCs w:val="24"/>
        </w:rPr>
        <w:t>Procedura</w:t>
      </w:r>
      <w:r w:rsidR="00E25571">
        <w:rPr>
          <w:rFonts w:eastAsia="MS Mincho" w:cs="Times New Roman"/>
          <w:b/>
          <w:color w:val="auto"/>
          <w:sz w:val="24"/>
          <w:szCs w:val="24"/>
        </w:rPr>
        <w:t xml:space="preserve"> de evaluare de mediu în context transfrontalier</w:t>
      </w:r>
    </w:p>
    <w:p w:rsidR="00E25571" w:rsidRDefault="00E25571" w:rsidP="00E25571">
      <w:pPr>
        <w:spacing w:before="120" w:after="120" w:line="264" w:lineRule="auto"/>
        <w:ind w:left="1170" w:hanging="90"/>
        <w:jc w:val="center"/>
        <w:rPr>
          <w:rFonts w:eastAsia="MS Mincho" w:cs="Times New Roman"/>
          <w:b/>
          <w:color w:val="auto"/>
          <w:sz w:val="24"/>
          <w:szCs w:val="24"/>
        </w:rPr>
      </w:pPr>
    </w:p>
    <w:p w:rsidR="00E25571" w:rsidRPr="00A071A7" w:rsidRDefault="00E25571" w:rsidP="00E25571">
      <w:pPr>
        <w:spacing w:before="120" w:after="120" w:line="264" w:lineRule="auto"/>
        <w:ind w:left="1170" w:hanging="90"/>
        <w:jc w:val="center"/>
        <w:rPr>
          <w:rFonts w:eastAsia="MS Mincho" w:cs="Times New Roman"/>
          <w:b/>
          <w:color w:val="auto"/>
          <w:sz w:val="24"/>
          <w:szCs w:val="24"/>
        </w:rPr>
      </w:pPr>
    </w:p>
    <w:p w:rsidR="0054309B" w:rsidRPr="00A071A7" w:rsidRDefault="00E912C5" w:rsidP="00A9410D">
      <w:pPr>
        <w:spacing w:before="120" w:after="120" w:line="264" w:lineRule="auto"/>
        <w:ind w:left="1080"/>
        <w:rPr>
          <w:rFonts w:eastAsia="MS Mincho" w:cs="Times New Roman"/>
          <w:color w:val="auto"/>
          <w:sz w:val="24"/>
          <w:szCs w:val="24"/>
          <w:lang w:val="en-US"/>
        </w:rPr>
      </w:pPr>
      <w:r w:rsidRPr="00A071A7">
        <w:rPr>
          <w:rFonts w:eastAsia="MS Mincho" w:cs="Times New Roman"/>
          <w:color w:val="auto"/>
          <w:sz w:val="24"/>
          <w:szCs w:val="24"/>
        </w:rPr>
        <w:t>Î</w:t>
      </w:r>
      <w:r w:rsidR="00A9410D" w:rsidRPr="00A071A7">
        <w:rPr>
          <w:rFonts w:eastAsia="MS Mincho" w:cs="Times New Roman"/>
          <w:color w:val="auto"/>
          <w:sz w:val="24"/>
          <w:szCs w:val="24"/>
        </w:rPr>
        <w:t>n data de 07.08.2019, au fost transmise notificările privind intenția României de a implementa această strat</w:t>
      </w:r>
      <w:r w:rsidRPr="00A071A7">
        <w:rPr>
          <w:rFonts w:eastAsia="MS Mincho" w:cs="Times New Roman"/>
          <w:color w:val="auto"/>
          <w:sz w:val="24"/>
          <w:szCs w:val="24"/>
        </w:rPr>
        <w:t>e</w:t>
      </w:r>
      <w:r w:rsidR="00A9410D" w:rsidRPr="00A071A7">
        <w:rPr>
          <w:rFonts w:eastAsia="MS Mincho" w:cs="Times New Roman"/>
          <w:color w:val="auto"/>
          <w:sz w:val="24"/>
          <w:szCs w:val="24"/>
        </w:rPr>
        <w:t>g</w:t>
      </w:r>
      <w:r w:rsidRPr="00A071A7">
        <w:rPr>
          <w:rFonts w:eastAsia="MS Mincho" w:cs="Times New Roman"/>
          <w:color w:val="auto"/>
          <w:sz w:val="24"/>
          <w:szCs w:val="24"/>
        </w:rPr>
        <w:t>i</w:t>
      </w:r>
      <w:r w:rsidR="00A9410D" w:rsidRPr="00A071A7">
        <w:rPr>
          <w:rFonts w:eastAsia="MS Mincho" w:cs="Times New Roman"/>
          <w:color w:val="auto"/>
          <w:sz w:val="24"/>
          <w:szCs w:val="24"/>
        </w:rPr>
        <w:t>e către: Bulgaria, Ungaria și Serbia, în conformitate cu prevederile Legii nr. 349/2009 pentru ratificarea Protocolului privind evaluarea strategică de mediu, deschis spre semnare la Kiev la 21 - 23 mai 2003 şi semnat de România la 21 mai 2003, la Convenţia privind evaluarea impactului asupra mediului în context transfrontieră, adoptată la Espoo la 25 februarie 1991 (Protocolul SEA)</w:t>
      </w:r>
      <w:r w:rsidRPr="00A071A7">
        <w:rPr>
          <w:rFonts w:eastAsia="MS Mincho" w:cs="Times New Roman"/>
          <w:color w:val="auto"/>
          <w:sz w:val="24"/>
          <w:szCs w:val="24"/>
        </w:rPr>
        <w:t xml:space="preserve"> şi ale Directivei 2001/42/CE privind evaluarea efectelor anumitor planuri şi programe asupra mediului.</w:t>
      </w:r>
    </w:p>
    <w:p w:rsidR="00A9410D" w:rsidRPr="00A071A7" w:rsidRDefault="00A9410D" w:rsidP="00427218">
      <w:pPr>
        <w:spacing w:before="120" w:after="120" w:line="288" w:lineRule="auto"/>
        <w:ind w:left="1080"/>
        <w:rPr>
          <w:b/>
          <w:sz w:val="24"/>
          <w:szCs w:val="24"/>
        </w:rPr>
      </w:pPr>
    </w:p>
    <w:p w:rsidR="00A9410D" w:rsidRPr="00A071A7" w:rsidRDefault="00427218" w:rsidP="00427218">
      <w:pPr>
        <w:spacing w:before="120" w:after="120" w:line="288" w:lineRule="auto"/>
        <w:ind w:left="1080"/>
        <w:rPr>
          <w:b/>
          <w:sz w:val="24"/>
          <w:szCs w:val="24"/>
        </w:rPr>
      </w:pPr>
      <w:r w:rsidRPr="00A071A7">
        <w:rPr>
          <w:b/>
          <w:sz w:val="24"/>
          <w:szCs w:val="24"/>
        </w:rPr>
        <w:t>Ungaria</w:t>
      </w:r>
    </w:p>
    <w:p w:rsidR="00A9410D" w:rsidRPr="00A071A7" w:rsidRDefault="00E912C5" w:rsidP="00427218">
      <w:pPr>
        <w:spacing w:before="120" w:after="120" w:line="288" w:lineRule="auto"/>
        <w:ind w:left="1080"/>
        <w:rPr>
          <w:sz w:val="24"/>
          <w:szCs w:val="24"/>
        </w:rPr>
      </w:pPr>
      <w:r w:rsidRPr="00A071A7">
        <w:rPr>
          <w:sz w:val="24"/>
          <w:szCs w:val="24"/>
        </w:rPr>
        <w:t>Î</w:t>
      </w:r>
      <w:r w:rsidR="00A9410D" w:rsidRPr="00A071A7">
        <w:rPr>
          <w:sz w:val="24"/>
          <w:szCs w:val="24"/>
        </w:rPr>
        <w:t xml:space="preserve">n data de 04.09.2019, Ungaria </w:t>
      </w:r>
      <w:r w:rsidRPr="00A071A7">
        <w:rPr>
          <w:sz w:val="24"/>
          <w:szCs w:val="24"/>
        </w:rPr>
        <w:t xml:space="preserve">a solicitat prin e-mail, </w:t>
      </w:r>
      <w:r w:rsidR="00A9410D" w:rsidRPr="00A071A7">
        <w:rPr>
          <w:sz w:val="24"/>
          <w:szCs w:val="24"/>
        </w:rPr>
        <w:t xml:space="preserve">documentele în limba maghiară. Strategia în limba maghiară a fost transmisă </w:t>
      </w:r>
      <w:r w:rsidR="0082157D" w:rsidRPr="00A071A7">
        <w:rPr>
          <w:sz w:val="24"/>
          <w:szCs w:val="24"/>
        </w:rPr>
        <w:t>de</w:t>
      </w:r>
      <w:r w:rsidR="00A9410D" w:rsidRPr="00A071A7">
        <w:rPr>
          <w:sz w:val="24"/>
          <w:szCs w:val="24"/>
        </w:rPr>
        <w:t xml:space="preserve"> </w:t>
      </w:r>
      <w:r w:rsidR="00622A72" w:rsidRPr="00622A72">
        <w:rPr>
          <w:sz w:val="24"/>
          <w:szCs w:val="24"/>
        </w:rPr>
        <w:t xml:space="preserve">Ministerul Mediului, Apelor și Pădurilor </w:t>
      </w:r>
      <w:r w:rsidR="0082157D" w:rsidRPr="00A071A7">
        <w:rPr>
          <w:sz w:val="24"/>
          <w:szCs w:val="24"/>
        </w:rPr>
        <w:t>(prin punctul focal pe Convenția ESPOO)</w:t>
      </w:r>
      <w:r w:rsidR="00A9410D" w:rsidRPr="00A071A7">
        <w:rPr>
          <w:sz w:val="24"/>
          <w:szCs w:val="24"/>
        </w:rPr>
        <w:t xml:space="preserve"> </w:t>
      </w:r>
      <w:r w:rsidR="0082157D" w:rsidRPr="00A071A7">
        <w:rPr>
          <w:sz w:val="24"/>
          <w:szCs w:val="24"/>
        </w:rPr>
        <w:t>în data de 08.10.2019, iar raportul de mediu în da</w:t>
      </w:r>
      <w:r w:rsidR="00C53D48">
        <w:rPr>
          <w:sz w:val="24"/>
          <w:szCs w:val="24"/>
        </w:rPr>
        <w:t xml:space="preserve">ta de 21.10.2019, pe măsură ce </w:t>
      </w:r>
      <w:r w:rsidRPr="00A071A7">
        <w:rPr>
          <w:sz w:val="24"/>
          <w:szCs w:val="24"/>
        </w:rPr>
        <w:t>M</w:t>
      </w:r>
      <w:r w:rsidR="00622A72">
        <w:rPr>
          <w:sz w:val="24"/>
          <w:szCs w:val="24"/>
        </w:rPr>
        <w:t>inisterul Economiei, Energiei și Mediului de Afaceri</w:t>
      </w:r>
      <w:r w:rsidRPr="00A071A7">
        <w:rPr>
          <w:sz w:val="24"/>
          <w:szCs w:val="24"/>
        </w:rPr>
        <w:t xml:space="preserve"> a asigurat traducerea acestora.</w:t>
      </w:r>
    </w:p>
    <w:p w:rsidR="00427218" w:rsidRDefault="00A9410D" w:rsidP="00A071A7">
      <w:pPr>
        <w:spacing w:before="120" w:after="120" w:line="288" w:lineRule="auto"/>
        <w:ind w:left="1080"/>
        <w:rPr>
          <w:sz w:val="24"/>
          <w:szCs w:val="24"/>
        </w:rPr>
      </w:pPr>
      <w:r w:rsidRPr="00A071A7">
        <w:rPr>
          <w:sz w:val="24"/>
          <w:szCs w:val="24"/>
        </w:rPr>
        <w:t xml:space="preserve">Ungaria </w:t>
      </w:r>
      <w:r w:rsidR="00A071A7" w:rsidRPr="00A071A7">
        <w:rPr>
          <w:sz w:val="24"/>
          <w:szCs w:val="24"/>
        </w:rPr>
        <w:t xml:space="preserve">ne-a informat că </w:t>
      </w:r>
      <w:r w:rsidR="003D6D1B">
        <w:rPr>
          <w:sz w:val="24"/>
          <w:szCs w:val="24"/>
        </w:rPr>
        <w:t xml:space="preserve">a pus </w:t>
      </w:r>
      <w:r w:rsidR="00C321CE">
        <w:rPr>
          <w:sz w:val="24"/>
          <w:szCs w:val="24"/>
        </w:rPr>
        <w:t xml:space="preserve">la </w:t>
      </w:r>
      <w:r w:rsidR="00A071A7" w:rsidRPr="00A071A7">
        <w:rPr>
          <w:sz w:val="24"/>
          <w:szCs w:val="24"/>
        </w:rPr>
        <w:t>dispoziţia publicului</w:t>
      </w:r>
      <w:r w:rsidR="00427218" w:rsidRPr="00A071A7">
        <w:rPr>
          <w:sz w:val="24"/>
          <w:szCs w:val="24"/>
        </w:rPr>
        <w:t xml:space="preserve"> </w:t>
      </w:r>
      <w:r w:rsidR="00A071A7" w:rsidRPr="00A071A7">
        <w:rPr>
          <w:sz w:val="24"/>
          <w:szCs w:val="24"/>
        </w:rPr>
        <w:t>maghiar pentru 30 de zile documentaţia primită (25.10 – 26. 11.2019)</w:t>
      </w:r>
      <w:r w:rsidR="00427218" w:rsidRPr="00A071A7">
        <w:rPr>
          <w:sz w:val="24"/>
          <w:szCs w:val="24"/>
        </w:rPr>
        <w:t xml:space="preserve"> și </w:t>
      </w:r>
      <w:r w:rsidR="00A071A7" w:rsidRPr="00A071A7">
        <w:rPr>
          <w:sz w:val="24"/>
          <w:szCs w:val="24"/>
        </w:rPr>
        <w:t>a transmis poziţie oficială</w:t>
      </w:r>
      <w:r w:rsidR="00A00167" w:rsidRPr="00A00167">
        <w:rPr>
          <w:sz w:val="24"/>
          <w:szCs w:val="24"/>
        </w:rPr>
        <w:t xml:space="preserve"> </w:t>
      </w:r>
      <w:r w:rsidR="00A00167">
        <w:rPr>
          <w:sz w:val="24"/>
          <w:szCs w:val="24"/>
        </w:rPr>
        <w:t>p</w:t>
      </w:r>
      <w:r w:rsidR="00A00167" w:rsidRPr="00A071A7">
        <w:rPr>
          <w:sz w:val="24"/>
          <w:szCs w:val="24"/>
        </w:rPr>
        <w:t xml:space="preserve">rin adresa </w:t>
      </w:r>
      <w:r w:rsidR="00A00167" w:rsidRPr="00622A72">
        <w:rPr>
          <w:b/>
          <w:sz w:val="24"/>
          <w:szCs w:val="24"/>
        </w:rPr>
        <w:t>KmF/36-9/06.12.2019</w:t>
      </w:r>
      <w:r w:rsidR="00A00167">
        <w:rPr>
          <w:sz w:val="24"/>
          <w:szCs w:val="24"/>
        </w:rPr>
        <w:t>.</w:t>
      </w:r>
    </w:p>
    <w:p w:rsidR="00E25571" w:rsidRDefault="00E25571" w:rsidP="0054309B">
      <w:pPr>
        <w:spacing w:before="120" w:after="120" w:line="264" w:lineRule="auto"/>
        <w:ind w:left="1170" w:hanging="90"/>
        <w:rPr>
          <w:rFonts w:eastAsia="MS Mincho" w:cs="Times New Roman"/>
          <w:b/>
          <w:color w:val="auto"/>
          <w:sz w:val="24"/>
          <w:szCs w:val="24"/>
        </w:rPr>
      </w:pPr>
    </w:p>
    <w:p w:rsidR="0054309B" w:rsidRPr="00A071A7" w:rsidRDefault="0082157D" w:rsidP="0054309B">
      <w:pPr>
        <w:spacing w:before="120" w:after="120" w:line="264" w:lineRule="auto"/>
        <w:ind w:left="1170" w:hanging="90"/>
        <w:rPr>
          <w:rFonts w:eastAsia="MS Mincho" w:cs="Times New Roman"/>
          <w:b/>
          <w:color w:val="auto"/>
          <w:sz w:val="24"/>
          <w:szCs w:val="24"/>
        </w:rPr>
      </w:pPr>
      <w:r w:rsidRPr="00A071A7">
        <w:rPr>
          <w:rFonts w:eastAsia="MS Mincho" w:cs="Times New Roman"/>
          <w:b/>
          <w:color w:val="auto"/>
          <w:sz w:val="24"/>
          <w:szCs w:val="24"/>
        </w:rPr>
        <w:t xml:space="preserve">Bulgaria </w:t>
      </w:r>
    </w:p>
    <w:p w:rsidR="0082157D" w:rsidRPr="00A071A7" w:rsidRDefault="0082157D" w:rsidP="0082157D">
      <w:pPr>
        <w:tabs>
          <w:tab w:val="left" w:pos="1080"/>
        </w:tabs>
        <w:spacing w:before="120" w:after="120" w:line="264" w:lineRule="auto"/>
        <w:ind w:left="1080"/>
        <w:rPr>
          <w:rFonts w:eastAsia="MS Mincho" w:cs="Times New Roman"/>
          <w:color w:val="auto"/>
          <w:sz w:val="24"/>
          <w:szCs w:val="24"/>
        </w:rPr>
      </w:pPr>
      <w:r w:rsidRPr="00A071A7">
        <w:rPr>
          <w:rFonts w:eastAsia="MS Mincho" w:cs="Times New Roman"/>
          <w:b/>
          <w:color w:val="auto"/>
          <w:sz w:val="24"/>
          <w:szCs w:val="24"/>
        </w:rPr>
        <w:t>Republica Bulgaria</w:t>
      </w:r>
      <w:r w:rsidRPr="00A071A7">
        <w:rPr>
          <w:rFonts w:eastAsia="MS Mincho" w:cs="Times New Roman"/>
          <w:color w:val="auto"/>
          <w:sz w:val="24"/>
          <w:szCs w:val="24"/>
        </w:rPr>
        <w:t xml:space="preserve">, </w:t>
      </w:r>
      <w:r w:rsidR="00155DB1">
        <w:rPr>
          <w:rFonts w:eastAsia="MS Mincho" w:cs="Times New Roman"/>
          <w:color w:val="auto"/>
          <w:sz w:val="24"/>
          <w:szCs w:val="24"/>
        </w:rPr>
        <w:t>prin adresa</w:t>
      </w:r>
      <w:r w:rsidR="00622A72">
        <w:rPr>
          <w:rFonts w:eastAsia="MS Mincho" w:cs="Times New Roman"/>
          <w:color w:val="auto"/>
          <w:sz w:val="24"/>
          <w:szCs w:val="24"/>
        </w:rPr>
        <w:t xml:space="preserve"> </w:t>
      </w:r>
      <w:r w:rsidR="00622A72" w:rsidRPr="00622A72">
        <w:rPr>
          <w:rFonts w:eastAsia="MS Mincho" w:cs="Times New Roman"/>
          <w:b/>
          <w:color w:val="auto"/>
          <w:sz w:val="24"/>
          <w:szCs w:val="24"/>
        </w:rPr>
        <w:t>99-00-241/13.09.2019</w:t>
      </w:r>
      <w:r w:rsidRPr="00A071A7">
        <w:rPr>
          <w:rFonts w:eastAsia="MS Mincho" w:cs="Times New Roman"/>
          <w:color w:val="auto"/>
          <w:sz w:val="24"/>
          <w:szCs w:val="24"/>
        </w:rPr>
        <w:t>, ne informează asupra faptului că își va exprima dorința de a participa la procedura de evaluare a mediului în context transfrontieră după ce documentația va fi completată cu informații:</w:t>
      </w:r>
    </w:p>
    <w:p w:rsidR="0082157D" w:rsidRPr="00155DB1" w:rsidRDefault="00155DB1" w:rsidP="0082157D">
      <w:pPr>
        <w:tabs>
          <w:tab w:val="left" w:pos="1080"/>
        </w:tabs>
        <w:spacing w:before="120" w:after="120" w:line="264" w:lineRule="auto"/>
        <w:ind w:left="1080"/>
        <w:rPr>
          <w:rFonts w:eastAsia="MS Mincho" w:cs="Times New Roman"/>
          <w:color w:val="auto"/>
          <w:sz w:val="24"/>
          <w:szCs w:val="24"/>
        </w:rPr>
      </w:pPr>
      <w:r w:rsidRPr="00155DB1">
        <w:rPr>
          <w:rFonts w:eastAsia="MS Mincho" w:cs="Times New Roman"/>
          <w:color w:val="auto"/>
          <w:sz w:val="24"/>
          <w:szCs w:val="24"/>
        </w:rPr>
        <w:t xml:space="preserve">Conform opiniei Ministerului Sănătății din Republica Bulgaria, documentația aferentă Strategiei conține terminologie și informații specializate în domeniul energiei, motiv pentru care </w:t>
      </w:r>
      <w:r>
        <w:rPr>
          <w:rFonts w:eastAsia="MS Mincho" w:cs="Times New Roman"/>
          <w:color w:val="auto"/>
          <w:sz w:val="24"/>
          <w:szCs w:val="24"/>
        </w:rPr>
        <w:t xml:space="preserve">au solicitat traducerea acesteia. Astfel, </w:t>
      </w:r>
      <w:r w:rsidR="00622A72">
        <w:rPr>
          <w:rFonts w:eastAsia="MS Mincho" w:cs="Times New Roman"/>
          <w:color w:val="auto"/>
          <w:sz w:val="24"/>
          <w:szCs w:val="24"/>
        </w:rPr>
        <w:t>Ministerul Mediului, Apelor și Pădurilor</w:t>
      </w:r>
      <w:r w:rsidR="0082157D" w:rsidRPr="00155DB1">
        <w:rPr>
          <w:rFonts w:eastAsia="MS Mincho" w:cs="Times New Roman"/>
          <w:color w:val="auto"/>
          <w:sz w:val="24"/>
          <w:szCs w:val="24"/>
        </w:rPr>
        <w:t xml:space="preserve"> </w:t>
      </w:r>
      <w:r w:rsidR="004E445D" w:rsidRPr="00155DB1">
        <w:rPr>
          <w:rFonts w:eastAsia="MS Mincho" w:cs="Times New Roman"/>
          <w:color w:val="auto"/>
          <w:sz w:val="24"/>
          <w:szCs w:val="24"/>
        </w:rPr>
        <w:t xml:space="preserve">a </w:t>
      </w:r>
      <w:r w:rsidR="0082157D" w:rsidRPr="00155DB1">
        <w:rPr>
          <w:rFonts w:eastAsia="MS Mincho" w:cs="Times New Roman"/>
          <w:color w:val="auto"/>
          <w:sz w:val="24"/>
          <w:szCs w:val="24"/>
        </w:rPr>
        <w:t>transmi</w:t>
      </w:r>
      <w:r w:rsidR="004E445D" w:rsidRPr="00155DB1">
        <w:rPr>
          <w:rFonts w:eastAsia="MS Mincho" w:cs="Times New Roman"/>
          <w:color w:val="auto"/>
          <w:sz w:val="24"/>
          <w:szCs w:val="24"/>
        </w:rPr>
        <w:t>s</w:t>
      </w:r>
      <w:r w:rsidR="0082157D" w:rsidRPr="00155DB1">
        <w:rPr>
          <w:rFonts w:eastAsia="MS Mincho" w:cs="Times New Roman"/>
          <w:color w:val="auto"/>
          <w:sz w:val="24"/>
          <w:szCs w:val="24"/>
        </w:rPr>
        <w:t xml:space="preserve"> în data de 25.11.2019 Strategia, raportul de mediu și studiul e evaluare adecvată </w:t>
      </w:r>
      <w:r w:rsidRPr="00155DB1">
        <w:rPr>
          <w:rFonts w:eastAsia="MS Mincho" w:cs="Times New Roman"/>
          <w:color w:val="auto"/>
          <w:sz w:val="24"/>
          <w:szCs w:val="24"/>
        </w:rPr>
        <w:t xml:space="preserve">traduse </w:t>
      </w:r>
      <w:r w:rsidR="0082157D" w:rsidRPr="00155DB1">
        <w:rPr>
          <w:rFonts w:eastAsia="MS Mincho" w:cs="Times New Roman"/>
          <w:color w:val="auto"/>
          <w:sz w:val="24"/>
          <w:szCs w:val="24"/>
        </w:rPr>
        <w:t>în limba bulgară.</w:t>
      </w:r>
    </w:p>
    <w:p w:rsidR="00155DB1" w:rsidRDefault="00CA5D8A" w:rsidP="00CA5D8A">
      <w:pPr>
        <w:spacing w:before="120" w:after="120" w:line="264" w:lineRule="auto"/>
        <w:ind w:left="1170" w:hanging="90"/>
        <w:rPr>
          <w:rFonts w:eastAsia="MS Mincho" w:cs="Times New Roman"/>
          <w:b/>
          <w:color w:val="auto"/>
          <w:sz w:val="24"/>
          <w:szCs w:val="24"/>
        </w:rPr>
      </w:pPr>
      <w:r w:rsidRPr="00622A72">
        <w:rPr>
          <w:rFonts w:eastAsia="MS Mincho" w:cs="Times New Roman"/>
          <w:color w:val="auto"/>
          <w:sz w:val="24"/>
          <w:szCs w:val="24"/>
        </w:rPr>
        <w:t>Prin adresa nr.</w:t>
      </w:r>
      <w:r w:rsidRPr="00AF2A72">
        <w:rPr>
          <w:rFonts w:eastAsia="MS Mincho" w:cs="Times New Roman"/>
          <w:b/>
          <w:color w:val="auto"/>
          <w:sz w:val="24"/>
          <w:szCs w:val="24"/>
        </w:rPr>
        <w:t xml:space="preserve"> 99-00-241</w:t>
      </w:r>
      <w:r w:rsidR="00622A72">
        <w:rPr>
          <w:rFonts w:eastAsia="MS Mincho" w:cs="Times New Roman"/>
          <w:b/>
          <w:color w:val="auto"/>
          <w:sz w:val="24"/>
          <w:szCs w:val="24"/>
        </w:rPr>
        <w:t>/20.02.2020</w:t>
      </w:r>
      <w:r w:rsidRPr="00AF2A72">
        <w:rPr>
          <w:rFonts w:eastAsia="MS Mincho" w:cs="Times New Roman"/>
          <w:b/>
          <w:color w:val="auto"/>
          <w:sz w:val="24"/>
          <w:szCs w:val="24"/>
        </w:rPr>
        <w:t xml:space="preserve">, </w:t>
      </w:r>
      <w:r w:rsidRPr="00622A72">
        <w:rPr>
          <w:rFonts w:eastAsia="MS Mincho" w:cs="Times New Roman"/>
          <w:color w:val="auto"/>
          <w:sz w:val="24"/>
          <w:szCs w:val="24"/>
        </w:rPr>
        <w:t>Bulgaria transmite poziția oficială</w:t>
      </w:r>
      <w:r w:rsidR="00155DB1" w:rsidRPr="00622A72">
        <w:rPr>
          <w:rFonts w:eastAsia="MS Mincho" w:cs="Times New Roman"/>
          <w:color w:val="auto"/>
          <w:sz w:val="24"/>
          <w:szCs w:val="24"/>
        </w:rPr>
        <w:t>.</w:t>
      </w:r>
    </w:p>
    <w:p w:rsidR="00155DB1" w:rsidRDefault="00CA5D8A" w:rsidP="00CA5D8A">
      <w:pPr>
        <w:spacing w:before="120" w:after="120" w:line="264" w:lineRule="auto"/>
        <w:ind w:left="1170" w:hanging="90"/>
        <w:rPr>
          <w:rFonts w:eastAsia="MS Mincho" w:cs="Times New Roman"/>
          <w:color w:val="auto"/>
          <w:sz w:val="24"/>
          <w:szCs w:val="24"/>
        </w:rPr>
      </w:pPr>
      <w:r>
        <w:rPr>
          <w:rFonts w:eastAsia="MS Mincho" w:cs="Times New Roman"/>
          <w:color w:val="auto"/>
          <w:sz w:val="24"/>
          <w:szCs w:val="24"/>
        </w:rPr>
        <w:t xml:space="preserve"> </w:t>
      </w:r>
    </w:p>
    <w:p w:rsidR="00622A72" w:rsidRDefault="00622A72" w:rsidP="0054309B">
      <w:pPr>
        <w:spacing w:before="120" w:after="120" w:line="264" w:lineRule="auto"/>
        <w:ind w:left="1170" w:hanging="90"/>
        <w:rPr>
          <w:rFonts w:eastAsia="MS Mincho" w:cs="Times New Roman"/>
          <w:b/>
          <w:color w:val="auto"/>
          <w:sz w:val="24"/>
          <w:szCs w:val="24"/>
        </w:rPr>
      </w:pPr>
    </w:p>
    <w:p w:rsidR="00622A72" w:rsidRDefault="00622A72" w:rsidP="0054309B">
      <w:pPr>
        <w:spacing w:before="120" w:after="120" w:line="264" w:lineRule="auto"/>
        <w:ind w:left="1170" w:hanging="90"/>
        <w:rPr>
          <w:rFonts w:eastAsia="MS Mincho" w:cs="Times New Roman"/>
          <w:b/>
          <w:color w:val="auto"/>
          <w:sz w:val="24"/>
          <w:szCs w:val="24"/>
        </w:rPr>
      </w:pPr>
    </w:p>
    <w:p w:rsidR="0082157D" w:rsidRPr="00A071A7" w:rsidRDefault="0082157D" w:rsidP="0054309B">
      <w:pPr>
        <w:spacing w:before="120" w:after="120" w:line="264" w:lineRule="auto"/>
        <w:ind w:left="1170" w:hanging="90"/>
        <w:rPr>
          <w:rFonts w:eastAsia="MS Mincho" w:cs="Times New Roman"/>
          <w:b/>
          <w:color w:val="auto"/>
          <w:sz w:val="24"/>
          <w:szCs w:val="24"/>
        </w:rPr>
      </w:pPr>
      <w:r w:rsidRPr="00A071A7">
        <w:rPr>
          <w:rFonts w:eastAsia="MS Mincho" w:cs="Times New Roman"/>
          <w:b/>
          <w:color w:val="auto"/>
          <w:sz w:val="24"/>
          <w:szCs w:val="24"/>
        </w:rPr>
        <w:t>Serbia</w:t>
      </w:r>
    </w:p>
    <w:p w:rsidR="0082157D" w:rsidRPr="00A071A7" w:rsidRDefault="0082157D" w:rsidP="0082157D">
      <w:pPr>
        <w:spacing w:before="120" w:after="120" w:line="264" w:lineRule="auto"/>
        <w:ind w:left="1080"/>
        <w:rPr>
          <w:rFonts w:eastAsia="MS Mincho" w:cs="Times New Roman"/>
          <w:color w:val="auto"/>
          <w:sz w:val="24"/>
          <w:szCs w:val="24"/>
        </w:rPr>
      </w:pPr>
      <w:r w:rsidRPr="00A071A7">
        <w:rPr>
          <w:rFonts w:eastAsia="MS Mincho" w:cs="Times New Roman"/>
          <w:color w:val="auto"/>
          <w:sz w:val="24"/>
          <w:szCs w:val="24"/>
        </w:rPr>
        <w:t>Serbia prin scrisoarea nr. 350-02-089/19-03/26.08.2019, ne</w:t>
      </w:r>
      <w:r w:rsidR="004E445D">
        <w:rPr>
          <w:rFonts w:eastAsia="MS Mincho" w:cs="Times New Roman"/>
          <w:color w:val="auto"/>
          <w:sz w:val="24"/>
          <w:szCs w:val="24"/>
        </w:rPr>
        <w:t>-a</w:t>
      </w:r>
      <w:r w:rsidRPr="00A071A7">
        <w:rPr>
          <w:rFonts w:eastAsia="MS Mincho" w:cs="Times New Roman"/>
          <w:color w:val="auto"/>
          <w:sz w:val="24"/>
          <w:szCs w:val="24"/>
        </w:rPr>
        <w:t xml:space="preserve"> inform</w:t>
      </w:r>
      <w:r w:rsidR="004E445D">
        <w:rPr>
          <w:rFonts w:eastAsia="MS Mincho" w:cs="Times New Roman"/>
          <w:color w:val="auto"/>
          <w:sz w:val="24"/>
          <w:szCs w:val="24"/>
        </w:rPr>
        <w:t>at</w:t>
      </w:r>
      <w:r w:rsidRPr="00A071A7">
        <w:rPr>
          <w:rFonts w:eastAsia="MS Mincho" w:cs="Times New Roman"/>
          <w:color w:val="auto"/>
          <w:sz w:val="24"/>
          <w:szCs w:val="24"/>
        </w:rPr>
        <w:t xml:space="preserve"> că a primit documentele, respectiv Strategia, raportul de mediu și studiul de evaluare adecvată. Aceste documente au fost puse la dispoziția publicului și a propriilor autorități publice pentru o perioada de 30 de zile</w:t>
      </w:r>
      <w:r w:rsidR="00155DB1">
        <w:rPr>
          <w:rFonts w:eastAsia="MS Mincho" w:cs="Times New Roman"/>
          <w:color w:val="auto"/>
          <w:sz w:val="24"/>
          <w:szCs w:val="24"/>
        </w:rPr>
        <w:t>.</w:t>
      </w:r>
    </w:p>
    <w:p w:rsidR="00622A72" w:rsidRDefault="0082157D" w:rsidP="0082157D">
      <w:pPr>
        <w:spacing w:before="120" w:after="120" w:line="288" w:lineRule="auto"/>
        <w:ind w:left="1080"/>
        <w:rPr>
          <w:rFonts w:eastAsia="MS Mincho" w:cs="Times New Roman"/>
          <w:color w:val="auto"/>
          <w:sz w:val="24"/>
          <w:szCs w:val="24"/>
        </w:rPr>
      </w:pPr>
      <w:r w:rsidRPr="00A071A7">
        <w:rPr>
          <w:rFonts w:eastAsia="MS Mincho" w:cs="Times New Roman"/>
          <w:color w:val="auto"/>
          <w:sz w:val="24"/>
          <w:szCs w:val="24"/>
        </w:rPr>
        <w:t xml:space="preserve">Serbia a transmis poziția oficială privind această </w:t>
      </w:r>
      <w:bookmarkStart w:id="0" w:name="_GoBack"/>
      <w:bookmarkEnd w:id="0"/>
      <w:r w:rsidRPr="00A071A7">
        <w:rPr>
          <w:rFonts w:eastAsia="MS Mincho" w:cs="Times New Roman"/>
          <w:color w:val="auto"/>
          <w:sz w:val="24"/>
          <w:szCs w:val="24"/>
        </w:rPr>
        <w:t xml:space="preserve">procedură prin adresa nr. </w:t>
      </w:r>
      <w:r w:rsidRPr="0072582B">
        <w:rPr>
          <w:rFonts w:eastAsia="MS Mincho" w:cs="Times New Roman"/>
          <w:b/>
          <w:color w:val="auto"/>
          <w:sz w:val="24"/>
          <w:szCs w:val="24"/>
        </w:rPr>
        <w:t>35</w:t>
      </w:r>
      <w:r w:rsidR="00622A72" w:rsidRPr="0072582B">
        <w:rPr>
          <w:rFonts w:eastAsia="MS Mincho" w:cs="Times New Roman"/>
          <w:b/>
          <w:color w:val="auto"/>
          <w:sz w:val="24"/>
          <w:szCs w:val="24"/>
        </w:rPr>
        <w:t>0-02-089/2019-03</w:t>
      </w:r>
      <w:r w:rsidR="00622A72">
        <w:rPr>
          <w:rFonts w:eastAsia="MS Mincho" w:cs="Times New Roman"/>
          <w:color w:val="auto"/>
          <w:sz w:val="24"/>
          <w:szCs w:val="24"/>
        </w:rPr>
        <w:t xml:space="preserve"> din 10.12.2019.</w:t>
      </w:r>
    </w:p>
    <w:p w:rsidR="003D6D1B" w:rsidRDefault="003D6D1B" w:rsidP="0082157D">
      <w:pPr>
        <w:spacing w:before="120" w:after="120" w:line="288" w:lineRule="auto"/>
        <w:ind w:left="1080"/>
        <w:rPr>
          <w:rFonts w:eastAsia="MS Mincho" w:cs="Times New Roman"/>
          <w:color w:val="auto"/>
          <w:sz w:val="24"/>
          <w:szCs w:val="24"/>
        </w:rPr>
      </w:pPr>
    </w:p>
    <w:p w:rsidR="00622A72" w:rsidRDefault="00622A72" w:rsidP="0082157D">
      <w:pPr>
        <w:spacing w:before="120" w:after="120" w:line="288" w:lineRule="auto"/>
        <w:ind w:left="1080"/>
        <w:rPr>
          <w:rFonts w:eastAsia="MS Mincho" w:cs="Times New Roman"/>
          <w:color w:val="auto"/>
          <w:sz w:val="24"/>
          <w:szCs w:val="24"/>
        </w:rPr>
      </w:pPr>
    </w:p>
    <w:p w:rsidR="003D6D1B" w:rsidRDefault="003D6D1B" w:rsidP="0082157D">
      <w:pPr>
        <w:spacing w:before="120" w:after="120" w:line="288" w:lineRule="auto"/>
        <w:ind w:left="1080"/>
        <w:rPr>
          <w:rFonts w:eastAsia="MS Mincho" w:cs="Times New Roman"/>
          <w:color w:val="auto"/>
          <w:sz w:val="24"/>
          <w:szCs w:val="24"/>
        </w:rPr>
      </w:pPr>
      <w:r w:rsidRPr="003D6D1B">
        <w:rPr>
          <w:rFonts w:eastAsia="MS Mincho" w:cs="Times New Roman"/>
          <w:color w:val="auto"/>
          <w:sz w:val="24"/>
          <w:szCs w:val="24"/>
        </w:rPr>
        <w:t>Strategia, raportul de mediu și studiul de evaluare adecvată au fost revizuite ca urmare a consultărilor interne și internaționale care au avut loc în timpul procedurii de evaluare de mediu.</w:t>
      </w:r>
    </w:p>
    <w:p w:rsidR="003D6D1B" w:rsidRPr="00A071A7" w:rsidRDefault="003D6D1B" w:rsidP="0082157D">
      <w:pPr>
        <w:spacing w:before="120" w:after="120" w:line="288" w:lineRule="auto"/>
        <w:ind w:left="1080"/>
        <w:rPr>
          <w:rFonts w:eastAsia="MS Mincho" w:cs="Times New Roman"/>
          <w:color w:val="auto"/>
          <w:sz w:val="24"/>
          <w:szCs w:val="24"/>
        </w:rPr>
      </w:pPr>
      <w:r>
        <w:rPr>
          <w:rFonts w:eastAsia="MS Mincho" w:cs="Times New Roman"/>
          <w:color w:val="auto"/>
          <w:sz w:val="24"/>
          <w:szCs w:val="24"/>
        </w:rPr>
        <w:t xml:space="preserve">Astfel, România a </w:t>
      </w:r>
      <w:r w:rsidRPr="003D6D1B">
        <w:rPr>
          <w:rFonts w:eastAsia="MS Mincho" w:cs="Times New Roman"/>
          <w:color w:val="auto"/>
          <w:sz w:val="24"/>
          <w:szCs w:val="24"/>
        </w:rPr>
        <w:t>reevaluat opţiunile strategice hotărând excluderea, din varianta finală a strategiei, a celor 3 proiecte de amploare cu efecte semnificative asupra mediului, respectiv centralele hidroenergetice Turnu Măgurele – Nicopole, Tarnița -Lăpuștești și grupul energetic pe carbune de 600 MW de la Rovinari.</w:t>
      </w:r>
    </w:p>
    <w:sectPr w:rsidR="003D6D1B" w:rsidRPr="00A071A7" w:rsidSect="00BE170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BD" w:rsidRDefault="00812EBD" w:rsidP="00F721A4">
      <w:pPr>
        <w:spacing w:after="0" w:line="240" w:lineRule="auto"/>
      </w:pPr>
      <w:r>
        <w:separator/>
      </w:r>
    </w:p>
  </w:endnote>
  <w:endnote w:type="continuationSeparator" w:id="0">
    <w:p w:rsidR="00812EBD" w:rsidRDefault="00812EBD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04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42BD" w:rsidRDefault="009471E5">
            <w:pPr>
              <w:pStyle w:val="Footer"/>
              <w:jc w:val="right"/>
            </w:pPr>
            <w:r w:rsidRPr="009471E5">
              <w:t xml:space="preserve">pag. </w:t>
            </w:r>
            <w:r>
              <w:t>2</w:t>
            </w:r>
            <w:r w:rsidRPr="009471E5">
              <w:t xml:space="preserve"> din 2</w:t>
            </w:r>
          </w:p>
        </w:sdtContent>
      </w:sdt>
    </w:sdtContent>
  </w:sdt>
  <w:p w:rsidR="004A50B1" w:rsidRPr="004A50B1" w:rsidRDefault="004A50B1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BC" w:rsidRPr="00795AC1" w:rsidRDefault="00795AC1" w:rsidP="004A50B1">
    <w:pPr>
      <w:pStyle w:val="Footer"/>
      <w:spacing w:before="0"/>
      <w:rPr>
        <w:sz w:val="16"/>
        <w:szCs w:val="16"/>
      </w:rPr>
    </w:pPr>
    <w:proofErr w:type="gramStart"/>
    <w:r w:rsidRPr="00795AC1">
      <w:rPr>
        <w:sz w:val="16"/>
        <w:szCs w:val="16"/>
        <w:lang w:val="en-US"/>
      </w:rPr>
      <w:t>b-</w:t>
    </w:r>
    <w:proofErr w:type="spellStart"/>
    <w:r w:rsidRPr="00795AC1">
      <w:rPr>
        <w:sz w:val="16"/>
        <w:szCs w:val="16"/>
        <w:lang w:val="en-US"/>
      </w:rPr>
      <w:t>dul</w:t>
    </w:r>
    <w:proofErr w:type="spellEnd"/>
    <w:proofErr w:type="gramEnd"/>
    <w:r w:rsidRPr="00795AC1">
      <w:rPr>
        <w:sz w:val="16"/>
        <w:szCs w:val="16"/>
        <w:lang w:val="en-US"/>
      </w:rPr>
      <w:t xml:space="preserve"> </w:t>
    </w:r>
    <w:proofErr w:type="spellStart"/>
    <w:r w:rsidRPr="00795AC1">
      <w:rPr>
        <w:sz w:val="16"/>
        <w:szCs w:val="16"/>
        <w:lang w:val="en-US"/>
      </w:rPr>
      <w:t>Libert</w:t>
    </w:r>
    <w:proofErr w:type="spellEnd"/>
    <w:r w:rsidRPr="00795AC1">
      <w:rPr>
        <w:sz w:val="16"/>
        <w:szCs w:val="16"/>
      </w:rPr>
      <w:t>ății, nr. 12, sector 5, București</w:t>
    </w:r>
  </w:p>
  <w:p w:rsidR="00795AC1" w:rsidRPr="00795AC1" w:rsidRDefault="00795AC1" w:rsidP="004A50B1">
    <w:pPr>
      <w:pStyle w:val="Footer"/>
      <w:spacing w:before="0"/>
      <w:rPr>
        <w:sz w:val="16"/>
        <w:szCs w:val="16"/>
      </w:rPr>
    </w:pPr>
    <w:r w:rsidRPr="00795AC1">
      <w:rPr>
        <w:sz w:val="16"/>
        <w:szCs w:val="16"/>
      </w:rPr>
      <w:t>tel. 021/408 95 09</w:t>
    </w:r>
  </w:p>
  <w:p w:rsidR="00795AC1" w:rsidRPr="00795AC1" w:rsidRDefault="00812EBD" w:rsidP="004A50B1">
    <w:pPr>
      <w:pStyle w:val="Footer"/>
      <w:spacing w:before="0"/>
      <w:rPr>
        <w:sz w:val="16"/>
        <w:szCs w:val="16"/>
      </w:rPr>
    </w:pPr>
    <w:hyperlink r:id="rId1" w:history="1">
      <w:r w:rsidR="00795AC1" w:rsidRPr="00795AC1">
        <w:rPr>
          <w:rStyle w:val="Hyperlink"/>
          <w:sz w:val="16"/>
          <w:szCs w:val="16"/>
        </w:rPr>
        <w:t>www.mmediu.ro</w:t>
      </w:r>
    </w:hyperlink>
    <w:r w:rsidR="00795AC1" w:rsidRPr="00795AC1">
      <w:rPr>
        <w:sz w:val="16"/>
        <w:szCs w:val="16"/>
      </w:rPr>
      <w:t xml:space="preserve"> </w:t>
    </w:r>
    <w:r w:rsidR="00795AC1">
      <w:rPr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 w:rsidR="00795AC1">
      <w:rPr>
        <w:sz w:val="20"/>
        <w:szCs w:val="20"/>
      </w:rPr>
      <w:t xml:space="preserve">pag. 1 din </w:t>
    </w:r>
    <w:r w:rsidR="009471E5">
      <w:rPr>
        <w:sz w:val="20"/>
        <w:szCs w:val="20"/>
      </w:rPr>
      <w:t>2</w:t>
    </w:r>
    <w:r w:rsidR="00795AC1">
      <w:rPr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BD" w:rsidRDefault="00812EBD" w:rsidP="00F721A4">
      <w:pPr>
        <w:spacing w:after="0" w:line="240" w:lineRule="auto"/>
      </w:pPr>
      <w:r>
        <w:separator/>
      </w:r>
    </w:p>
  </w:footnote>
  <w:footnote w:type="continuationSeparator" w:id="0">
    <w:p w:rsidR="00812EBD" w:rsidRDefault="00812EBD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A4" w:rsidRDefault="001042BD">
    <w:pPr>
      <w:pStyle w:val="Header"/>
    </w:pPr>
    <w:r>
      <w:t>Ministerul Mediului, Apelor și Pădurilor</w:t>
    </w:r>
  </w:p>
  <w:p w:rsidR="00F721A4" w:rsidRDefault="00F721A4" w:rsidP="00C95C41">
    <w:pPr>
      <w:pStyle w:val="Header"/>
      <w:jc w:val="center"/>
    </w:pPr>
  </w:p>
  <w:p w:rsidR="00F721A4" w:rsidRDefault="00F721A4">
    <w:pPr>
      <w:pStyle w:val="Header"/>
    </w:pPr>
  </w:p>
  <w:p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0E" w:rsidRDefault="009974F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145E682">
          <wp:simplePos x="0" y="0"/>
          <wp:positionH relativeFrom="margin">
            <wp:align>left</wp:align>
          </wp:positionH>
          <wp:positionV relativeFrom="paragraph">
            <wp:posOffset>-86995</wp:posOffset>
          </wp:positionV>
          <wp:extent cx="3084195" cy="838200"/>
          <wp:effectExtent l="0" t="0" r="1905" b="0"/>
          <wp:wrapThrough wrapText="bothSides">
            <wp:wrapPolygon edited="0">
              <wp:start x="0" y="0"/>
              <wp:lineTo x="0" y="21109"/>
              <wp:lineTo x="21480" y="21109"/>
              <wp:lineTo x="214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083" cy="839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70E" w:rsidRDefault="00BE170E">
    <w:pPr>
      <w:pStyle w:val="Header"/>
    </w:pPr>
  </w:p>
  <w:p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24A"/>
    <w:multiLevelType w:val="hybridMultilevel"/>
    <w:tmpl w:val="2550E1B2"/>
    <w:lvl w:ilvl="0" w:tplc="998E83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40B0CE4"/>
    <w:multiLevelType w:val="hybridMultilevel"/>
    <w:tmpl w:val="6AAE1F88"/>
    <w:lvl w:ilvl="0" w:tplc="A1466454">
      <w:numFmt w:val="bullet"/>
      <w:lvlText w:val="-"/>
      <w:lvlJc w:val="left"/>
      <w:pPr>
        <w:ind w:left="1494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658716F"/>
    <w:multiLevelType w:val="hybridMultilevel"/>
    <w:tmpl w:val="786C65F4"/>
    <w:lvl w:ilvl="0" w:tplc="F162D484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80676"/>
    <w:multiLevelType w:val="hybridMultilevel"/>
    <w:tmpl w:val="F788A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85DE6"/>
    <w:multiLevelType w:val="hybridMultilevel"/>
    <w:tmpl w:val="328A2A16"/>
    <w:lvl w:ilvl="0" w:tplc="1AB6FFE0">
      <w:numFmt w:val="bullet"/>
      <w:lvlText w:val="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E501D"/>
    <w:multiLevelType w:val="hybridMultilevel"/>
    <w:tmpl w:val="C7824CD8"/>
    <w:lvl w:ilvl="0" w:tplc="FDCC3F88">
      <w:numFmt w:val="bullet"/>
      <w:lvlText w:val="-"/>
      <w:lvlJc w:val="left"/>
      <w:pPr>
        <w:ind w:left="1494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3D22B5D"/>
    <w:multiLevelType w:val="hybridMultilevel"/>
    <w:tmpl w:val="D576D29C"/>
    <w:lvl w:ilvl="0" w:tplc="5C940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7A4DB1"/>
    <w:multiLevelType w:val="hybridMultilevel"/>
    <w:tmpl w:val="2CE4A9A0"/>
    <w:lvl w:ilvl="0" w:tplc="947253E0">
      <w:numFmt w:val="bullet"/>
      <w:lvlText w:val="-"/>
      <w:lvlJc w:val="left"/>
      <w:pPr>
        <w:ind w:left="153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A6C620E"/>
    <w:multiLevelType w:val="hybridMultilevel"/>
    <w:tmpl w:val="F2E603F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D"/>
    <w:rsid w:val="000000B8"/>
    <w:rsid w:val="00001CBC"/>
    <w:rsid w:val="0001778E"/>
    <w:rsid w:val="0001781A"/>
    <w:rsid w:val="00034709"/>
    <w:rsid w:val="00043CF7"/>
    <w:rsid w:val="000473E7"/>
    <w:rsid w:val="00066F5D"/>
    <w:rsid w:val="00096E20"/>
    <w:rsid w:val="00097E82"/>
    <w:rsid w:val="000A110B"/>
    <w:rsid w:val="000A3DAE"/>
    <w:rsid w:val="000A727B"/>
    <w:rsid w:val="000B7EAA"/>
    <w:rsid w:val="000C508D"/>
    <w:rsid w:val="000D22F2"/>
    <w:rsid w:val="000E3BE0"/>
    <w:rsid w:val="000E6454"/>
    <w:rsid w:val="001042BD"/>
    <w:rsid w:val="00104A94"/>
    <w:rsid w:val="00106D04"/>
    <w:rsid w:val="001451A5"/>
    <w:rsid w:val="00155DB1"/>
    <w:rsid w:val="0016735A"/>
    <w:rsid w:val="00173714"/>
    <w:rsid w:val="00181C31"/>
    <w:rsid w:val="00191924"/>
    <w:rsid w:val="001B4576"/>
    <w:rsid w:val="001C2217"/>
    <w:rsid w:val="001C5A7B"/>
    <w:rsid w:val="0020736D"/>
    <w:rsid w:val="002168BC"/>
    <w:rsid w:val="00217249"/>
    <w:rsid w:val="002246D3"/>
    <w:rsid w:val="00225318"/>
    <w:rsid w:val="00230B50"/>
    <w:rsid w:val="00237F43"/>
    <w:rsid w:val="00251414"/>
    <w:rsid w:val="00267FF9"/>
    <w:rsid w:val="00283998"/>
    <w:rsid w:val="002870FC"/>
    <w:rsid w:val="002902CC"/>
    <w:rsid w:val="002A0AC9"/>
    <w:rsid w:val="002A7888"/>
    <w:rsid w:val="002C0BF4"/>
    <w:rsid w:val="002E4B22"/>
    <w:rsid w:val="002E70C9"/>
    <w:rsid w:val="00303999"/>
    <w:rsid w:val="00307F23"/>
    <w:rsid w:val="00311C12"/>
    <w:rsid w:val="0031243F"/>
    <w:rsid w:val="003149BE"/>
    <w:rsid w:val="00325487"/>
    <w:rsid w:val="00341161"/>
    <w:rsid w:val="00363422"/>
    <w:rsid w:val="00376CC9"/>
    <w:rsid w:val="003A62DF"/>
    <w:rsid w:val="003B07BC"/>
    <w:rsid w:val="003C2924"/>
    <w:rsid w:val="003C51B0"/>
    <w:rsid w:val="003D6D1B"/>
    <w:rsid w:val="003F3416"/>
    <w:rsid w:val="0041747E"/>
    <w:rsid w:val="00426B04"/>
    <w:rsid w:val="00427218"/>
    <w:rsid w:val="004354D9"/>
    <w:rsid w:val="004405F7"/>
    <w:rsid w:val="004623C9"/>
    <w:rsid w:val="004646E0"/>
    <w:rsid w:val="00471AFD"/>
    <w:rsid w:val="00477751"/>
    <w:rsid w:val="004863B2"/>
    <w:rsid w:val="004927E3"/>
    <w:rsid w:val="004952A1"/>
    <w:rsid w:val="004A4250"/>
    <w:rsid w:val="004A50B1"/>
    <w:rsid w:val="004E445D"/>
    <w:rsid w:val="004F12FF"/>
    <w:rsid w:val="00500F53"/>
    <w:rsid w:val="0054309B"/>
    <w:rsid w:val="00543C7F"/>
    <w:rsid w:val="00546F91"/>
    <w:rsid w:val="0055207E"/>
    <w:rsid w:val="00554484"/>
    <w:rsid w:val="00593543"/>
    <w:rsid w:val="0059526E"/>
    <w:rsid w:val="0059743B"/>
    <w:rsid w:val="00597986"/>
    <w:rsid w:val="005A304E"/>
    <w:rsid w:val="005A6A2B"/>
    <w:rsid w:val="005D055C"/>
    <w:rsid w:val="005D7E87"/>
    <w:rsid w:val="005F2F5D"/>
    <w:rsid w:val="00606242"/>
    <w:rsid w:val="006125B6"/>
    <w:rsid w:val="00622A72"/>
    <w:rsid w:val="006236C7"/>
    <w:rsid w:val="00632F40"/>
    <w:rsid w:val="0063521F"/>
    <w:rsid w:val="00646950"/>
    <w:rsid w:val="0067050D"/>
    <w:rsid w:val="006752F6"/>
    <w:rsid w:val="006A02F7"/>
    <w:rsid w:val="006B2D5C"/>
    <w:rsid w:val="006C45B1"/>
    <w:rsid w:val="006E4B2A"/>
    <w:rsid w:val="006F5C4F"/>
    <w:rsid w:val="0072582B"/>
    <w:rsid w:val="00735A1B"/>
    <w:rsid w:val="00750B62"/>
    <w:rsid w:val="007620AE"/>
    <w:rsid w:val="00762769"/>
    <w:rsid w:val="00765148"/>
    <w:rsid w:val="00776BB9"/>
    <w:rsid w:val="00787B19"/>
    <w:rsid w:val="00795AC1"/>
    <w:rsid w:val="00796F93"/>
    <w:rsid w:val="007A766B"/>
    <w:rsid w:val="007A7A04"/>
    <w:rsid w:val="007A7ED2"/>
    <w:rsid w:val="007B1562"/>
    <w:rsid w:val="007C4FB3"/>
    <w:rsid w:val="007C68E1"/>
    <w:rsid w:val="007C693C"/>
    <w:rsid w:val="007D0BC3"/>
    <w:rsid w:val="007D7D0D"/>
    <w:rsid w:val="007E0A17"/>
    <w:rsid w:val="007F5A1A"/>
    <w:rsid w:val="00812DA0"/>
    <w:rsid w:val="00812EBD"/>
    <w:rsid w:val="0082157D"/>
    <w:rsid w:val="00826132"/>
    <w:rsid w:val="00830297"/>
    <w:rsid w:val="00833072"/>
    <w:rsid w:val="0084033E"/>
    <w:rsid w:val="00842CED"/>
    <w:rsid w:val="0085072B"/>
    <w:rsid w:val="00872985"/>
    <w:rsid w:val="00895C75"/>
    <w:rsid w:val="008C28EA"/>
    <w:rsid w:val="008C7E30"/>
    <w:rsid w:val="008E3142"/>
    <w:rsid w:val="008F0164"/>
    <w:rsid w:val="008F0B09"/>
    <w:rsid w:val="008F2E51"/>
    <w:rsid w:val="00931E5D"/>
    <w:rsid w:val="009471E5"/>
    <w:rsid w:val="00953F5B"/>
    <w:rsid w:val="00972322"/>
    <w:rsid w:val="00984F08"/>
    <w:rsid w:val="009852F4"/>
    <w:rsid w:val="00990C6D"/>
    <w:rsid w:val="009974F1"/>
    <w:rsid w:val="009A7882"/>
    <w:rsid w:val="009B0474"/>
    <w:rsid w:val="009B0B27"/>
    <w:rsid w:val="009B19F6"/>
    <w:rsid w:val="009B53BB"/>
    <w:rsid w:val="009C396B"/>
    <w:rsid w:val="009D2A58"/>
    <w:rsid w:val="009E041D"/>
    <w:rsid w:val="009F2507"/>
    <w:rsid w:val="009F355F"/>
    <w:rsid w:val="00A00167"/>
    <w:rsid w:val="00A071A7"/>
    <w:rsid w:val="00A233E5"/>
    <w:rsid w:val="00A3649D"/>
    <w:rsid w:val="00A53EA2"/>
    <w:rsid w:val="00A562CD"/>
    <w:rsid w:val="00A60DCB"/>
    <w:rsid w:val="00A809D3"/>
    <w:rsid w:val="00A862F9"/>
    <w:rsid w:val="00A9410D"/>
    <w:rsid w:val="00AA0AD3"/>
    <w:rsid w:val="00AA105A"/>
    <w:rsid w:val="00AB3C13"/>
    <w:rsid w:val="00AB4F10"/>
    <w:rsid w:val="00AD20A1"/>
    <w:rsid w:val="00AD4819"/>
    <w:rsid w:val="00AD6261"/>
    <w:rsid w:val="00AD64F5"/>
    <w:rsid w:val="00AD68FF"/>
    <w:rsid w:val="00AE7933"/>
    <w:rsid w:val="00AF2A72"/>
    <w:rsid w:val="00B1259F"/>
    <w:rsid w:val="00B30EB1"/>
    <w:rsid w:val="00B466D9"/>
    <w:rsid w:val="00B50CE0"/>
    <w:rsid w:val="00B51A12"/>
    <w:rsid w:val="00B7091A"/>
    <w:rsid w:val="00B745DC"/>
    <w:rsid w:val="00B85A99"/>
    <w:rsid w:val="00B911C3"/>
    <w:rsid w:val="00B96F30"/>
    <w:rsid w:val="00B97618"/>
    <w:rsid w:val="00BA4373"/>
    <w:rsid w:val="00BB5F52"/>
    <w:rsid w:val="00BB66ED"/>
    <w:rsid w:val="00BC042B"/>
    <w:rsid w:val="00BD2CDA"/>
    <w:rsid w:val="00BE106E"/>
    <w:rsid w:val="00BE170E"/>
    <w:rsid w:val="00BE4875"/>
    <w:rsid w:val="00BF0BE5"/>
    <w:rsid w:val="00C07882"/>
    <w:rsid w:val="00C321CE"/>
    <w:rsid w:val="00C4197E"/>
    <w:rsid w:val="00C44758"/>
    <w:rsid w:val="00C5217C"/>
    <w:rsid w:val="00C53D48"/>
    <w:rsid w:val="00C63E69"/>
    <w:rsid w:val="00C67D35"/>
    <w:rsid w:val="00C7780C"/>
    <w:rsid w:val="00C853D1"/>
    <w:rsid w:val="00C914E9"/>
    <w:rsid w:val="00C942B0"/>
    <w:rsid w:val="00C95C41"/>
    <w:rsid w:val="00CA1B56"/>
    <w:rsid w:val="00CA5D8A"/>
    <w:rsid w:val="00CB4224"/>
    <w:rsid w:val="00CC34D2"/>
    <w:rsid w:val="00CD5E71"/>
    <w:rsid w:val="00CE689D"/>
    <w:rsid w:val="00D034F1"/>
    <w:rsid w:val="00D112E6"/>
    <w:rsid w:val="00D22C9E"/>
    <w:rsid w:val="00D5642F"/>
    <w:rsid w:val="00D57092"/>
    <w:rsid w:val="00D66C47"/>
    <w:rsid w:val="00D70942"/>
    <w:rsid w:val="00D7103E"/>
    <w:rsid w:val="00D7671C"/>
    <w:rsid w:val="00D93FD5"/>
    <w:rsid w:val="00DA1326"/>
    <w:rsid w:val="00DA290C"/>
    <w:rsid w:val="00DB48D1"/>
    <w:rsid w:val="00DB53B4"/>
    <w:rsid w:val="00DC27CA"/>
    <w:rsid w:val="00DD60D5"/>
    <w:rsid w:val="00DE5A31"/>
    <w:rsid w:val="00DF4FAE"/>
    <w:rsid w:val="00E026C1"/>
    <w:rsid w:val="00E25571"/>
    <w:rsid w:val="00E36C6B"/>
    <w:rsid w:val="00E36E8D"/>
    <w:rsid w:val="00E55244"/>
    <w:rsid w:val="00E80939"/>
    <w:rsid w:val="00E80A2F"/>
    <w:rsid w:val="00E912C5"/>
    <w:rsid w:val="00E91333"/>
    <w:rsid w:val="00E96BC7"/>
    <w:rsid w:val="00EA49A7"/>
    <w:rsid w:val="00EB3E52"/>
    <w:rsid w:val="00EB5DE8"/>
    <w:rsid w:val="00EC3829"/>
    <w:rsid w:val="00EF7145"/>
    <w:rsid w:val="00F10E2C"/>
    <w:rsid w:val="00F13EDD"/>
    <w:rsid w:val="00F20B7B"/>
    <w:rsid w:val="00F478EF"/>
    <w:rsid w:val="00F5481D"/>
    <w:rsid w:val="00F62CD0"/>
    <w:rsid w:val="00F66263"/>
    <w:rsid w:val="00F721A4"/>
    <w:rsid w:val="00F81913"/>
    <w:rsid w:val="00F84438"/>
    <w:rsid w:val="00F84EB8"/>
    <w:rsid w:val="00F86C73"/>
    <w:rsid w:val="00FB7085"/>
    <w:rsid w:val="00FD239E"/>
    <w:rsid w:val="00FD7F0D"/>
    <w:rsid w:val="00FF0077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8A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148"/>
    <w:rPr>
      <w:b/>
      <w:bCs/>
    </w:rPr>
  </w:style>
  <w:style w:type="character" w:styleId="Hyperlink">
    <w:name w:val="Hyperlink"/>
    <w:basedOn w:val="DefaultParagraphFont"/>
    <w:uiPriority w:val="99"/>
    <w:unhideWhenUsed/>
    <w:rsid w:val="00795A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F5D7-561E-44A8-9B93-4E66BE00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Camelia Hintea</cp:lastModifiedBy>
  <cp:revision>8</cp:revision>
  <cp:lastPrinted>2020-10-19T06:33:00Z</cp:lastPrinted>
  <dcterms:created xsi:type="dcterms:W3CDTF">2020-10-19T06:10:00Z</dcterms:created>
  <dcterms:modified xsi:type="dcterms:W3CDTF">2020-10-19T10:43:00Z</dcterms:modified>
</cp:coreProperties>
</file>