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2.xml" ContentType="application/vnd.openxmlformats-officedocument.wordprocessingml.header+xml"/>
  <Override PartName="/word/footer7.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6.xml" ContentType="application/vnd.openxmlformats-officedocument.wordprocessingml.header+xml"/>
  <Override PartName="/word/charts/chart14.xml" ContentType="application/vnd.openxmlformats-officedocument.drawingml.chart+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theme/themeOverride1.xml" ContentType="application/vnd.openxmlformats-officedocument.themeOverride+xml"/>
  <Override PartName="/word/charts/chart17.xml" ContentType="application/vnd.openxmlformats-officedocument.drawingml.chart+xml"/>
  <Override PartName="/word/theme/themeOverride2.xml" ContentType="application/vnd.openxmlformats-officedocument.themeOverride+xml"/>
  <Override PartName="/word/header19.xml" ContentType="application/vnd.openxmlformats-officedocument.wordprocessingml.header+xml"/>
  <Override PartName="/word/charts/chart18.xml" ContentType="application/vnd.openxmlformats-officedocument.drawingml.chart+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1.xml" ContentType="application/vnd.openxmlformats-officedocument.wordprocessingml.footer+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header23.xml" ContentType="application/vnd.openxmlformats-officedocument.wordprocessingml.header+xml"/>
  <Override PartName="/word/header24.xml" ContentType="application/vnd.openxmlformats-officedocument.wordprocessingml.header+xml"/>
  <Override PartName="/word/footer12.xml" ContentType="application/vnd.openxmlformats-officedocument.wordprocessingml.footer+xml"/>
  <Override PartName="/word/charts/chart35.xml" ContentType="application/vnd.openxmlformats-officedocument.drawingml.chart+xml"/>
  <Override PartName="/word/charts/chart36.xml" ContentType="application/vnd.openxmlformats-officedocument.drawingml.chart+xml"/>
  <Override PartName="/word/header25.xml" ContentType="application/vnd.openxmlformats-officedocument.wordprocessingml.header+xml"/>
  <Override PartName="/word/header26.xml" ContentType="application/vnd.openxmlformats-officedocument.wordprocessingml.header+xml"/>
  <Override PartName="/word/footer13.xml" ContentType="application/vnd.openxmlformats-officedocument.wordprocessingml.footer+xml"/>
  <Override PartName="/word/header27.xml" ContentType="application/vnd.openxmlformats-officedocument.wordprocessingml.header+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header28.xml" ContentType="application/vnd.openxmlformats-officedocument.wordprocessingml.header+xml"/>
  <Override PartName="/word/header29.xml" ContentType="application/vnd.openxmlformats-officedocument.wordprocessingml.header+xml"/>
  <Override PartName="/word/footer14.xml" ContentType="application/vnd.openxmlformats-officedocument.wordprocessingml.footer+xml"/>
  <Override PartName="/word/header30.xml" ContentType="application/vnd.openxmlformats-officedocument.wordprocessingml.header+xml"/>
  <Override PartName="/word/charts/chart48.xml" ContentType="application/vnd.openxmlformats-officedocument.drawingml.chart+xml"/>
  <Override PartName="/word/header31.xml" ContentType="application/vnd.openxmlformats-officedocument.wordprocessingml.header+xml"/>
  <Override PartName="/word/header32.xml" ContentType="application/vnd.openxmlformats-officedocument.wordprocessingml.header+xml"/>
  <Override PartName="/word/footer1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550A" w:rsidRPr="00E0488D" w:rsidRDefault="00B4550A" w:rsidP="00B4550A">
      <w:pPr>
        <w:pStyle w:val="DocTitle"/>
        <w:spacing w:line="276" w:lineRule="auto"/>
        <w:jc w:val="center"/>
        <w:rPr>
          <w:color w:val="9E0880"/>
          <w:lang w:val="ro-RO"/>
        </w:rPr>
      </w:pPr>
      <w:bookmarkStart w:id="0" w:name="DocTitle"/>
      <w:r w:rsidRPr="00E0488D">
        <w:rPr>
          <w:color w:val="9E0880"/>
          <w:lang w:val="ro-RO"/>
        </w:rPr>
        <w:t>Master Plan General de Transport al României</w:t>
      </w:r>
    </w:p>
    <w:p w:rsidR="00B4550A" w:rsidRPr="00E0488D" w:rsidRDefault="00B4550A" w:rsidP="00B4550A">
      <w:pPr>
        <w:rPr>
          <w:lang w:val="ro-RO"/>
        </w:rPr>
      </w:pPr>
    </w:p>
    <w:p w:rsidR="00B4550A" w:rsidRPr="00E0488D" w:rsidRDefault="00B4550A" w:rsidP="00B4550A">
      <w:pPr>
        <w:pStyle w:val="DocTitle"/>
        <w:spacing w:line="276" w:lineRule="auto"/>
        <w:jc w:val="center"/>
        <w:rPr>
          <w:color w:val="9E0880"/>
          <w:sz w:val="56"/>
          <w:lang w:val="ro-RO"/>
        </w:rPr>
      </w:pPr>
      <w:r w:rsidRPr="00E0488D">
        <w:rPr>
          <w:color w:val="9E0880"/>
          <w:sz w:val="56"/>
          <w:lang w:val="ro-RO"/>
        </w:rPr>
        <w:t>Variantă finală revizuită a Raportului privind Master Planul pe termen scurt, mediu și lung</w:t>
      </w:r>
    </w:p>
    <w:p w:rsidR="00B4550A" w:rsidRPr="00E0488D" w:rsidRDefault="00B4550A" w:rsidP="00B4550A">
      <w:pPr>
        <w:tabs>
          <w:tab w:val="left" w:pos="2070"/>
        </w:tabs>
        <w:rPr>
          <w:lang w:val="ro-RO"/>
        </w:rPr>
      </w:pPr>
    </w:p>
    <w:tbl>
      <w:tblPr>
        <w:tblpPr w:leftFromText="180" w:rightFromText="180" w:vertAnchor="text" w:horzAnchor="margin" w:tblpXSpec="center" w:tblpY="51"/>
        <w:tblW w:w="0" w:type="auto"/>
        <w:tblLook w:val="04A0" w:firstRow="1" w:lastRow="0" w:firstColumn="1" w:lastColumn="0" w:noHBand="0" w:noVBand="1"/>
      </w:tblPr>
      <w:tblGrid>
        <w:gridCol w:w="4746"/>
        <w:gridCol w:w="4746"/>
      </w:tblGrid>
      <w:tr w:rsidR="00B4550A" w:rsidRPr="00E0488D" w:rsidTr="003C7FC8">
        <w:trPr>
          <w:trHeight w:val="2248"/>
        </w:trPr>
        <w:tc>
          <w:tcPr>
            <w:tcW w:w="4730" w:type="dxa"/>
            <w:vAlign w:val="center"/>
          </w:tcPr>
          <w:p w:rsidR="00B4550A" w:rsidRPr="00E0488D" w:rsidRDefault="00B4550A" w:rsidP="003C7FC8">
            <w:pPr>
              <w:tabs>
                <w:tab w:val="left" w:pos="2070"/>
              </w:tabs>
              <w:jc w:val="center"/>
              <w:rPr>
                <w:lang w:val="ro-RO"/>
              </w:rPr>
            </w:pPr>
            <w:r w:rsidRPr="00E0488D">
              <w:rPr>
                <w:noProof/>
                <w:lang w:val="ro-RO" w:eastAsia="ro-RO"/>
              </w:rPr>
              <w:drawing>
                <wp:inline distT="0" distB="0" distL="0" distR="0">
                  <wp:extent cx="2788920" cy="2346960"/>
                  <wp:effectExtent l="57150" t="38100" r="30480" b="15240"/>
                  <wp:docPr id="79" name="Picture 14" descr="airport-denver-photo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rport-denver-photo20b.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788920" cy="2346960"/>
                          </a:xfrm>
                          <a:prstGeom prst="rect">
                            <a:avLst/>
                          </a:prstGeom>
                          <a:noFill/>
                          <a:ln w="28575" cmpd="sng">
                            <a:solidFill>
                              <a:srgbClr val="FFFF00"/>
                            </a:solidFill>
                            <a:miter lim="800000"/>
                            <a:headEnd/>
                            <a:tailEnd/>
                          </a:ln>
                          <a:effectLst/>
                        </pic:spPr>
                      </pic:pic>
                    </a:graphicData>
                  </a:graphic>
                </wp:inline>
              </w:drawing>
            </w:r>
          </w:p>
        </w:tc>
        <w:tc>
          <w:tcPr>
            <w:tcW w:w="4731" w:type="dxa"/>
            <w:vAlign w:val="center"/>
          </w:tcPr>
          <w:p w:rsidR="00B4550A" w:rsidRPr="00E0488D" w:rsidRDefault="00B4550A" w:rsidP="003C7FC8">
            <w:pPr>
              <w:tabs>
                <w:tab w:val="left" w:pos="2070"/>
              </w:tabs>
              <w:jc w:val="center"/>
              <w:rPr>
                <w:lang w:val="ro-RO"/>
              </w:rPr>
            </w:pPr>
            <w:r w:rsidRPr="00E0488D">
              <w:rPr>
                <w:noProof/>
                <w:lang w:val="ro-RO" w:eastAsia="ro-RO"/>
              </w:rPr>
              <w:drawing>
                <wp:inline distT="0" distB="0" distL="0" distR="0">
                  <wp:extent cx="2788188" cy="2304288"/>
                  <wp:effectExtent l="57150" t="38100" r="31212" b="19812"/>
                  <wp:docPr id="80" name="Picture 15" descr="asphalt-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sphalt-road.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788188" cy="2304288"/>
                          </a:xfrm>
                          <a:prstGeom prst="rect">
                            <a:avLst/>
                          </a:prstGeom>
                          <a:noFill/>
                          <a:ln w="28575" cmpd="sng">
                            <a:solidFill>
                              <a:srgbClr val="FFFF00"/>
                            </a:solidFill>
                            <a:miter lim="800000"/>
                            <a:headEnd/>
                            <a:tailEnd/>
                          </a:ln>
                          <a:effectLst/>
                        </pic:spPr>
                      </pic:pic>
                    </a:graphicData>
                  </a:graphic>
                </wp:inline>
              </w:drawing>
            </w:r>
          </w:p>
        </w:tc>
      </w:tr>
      <w:tr w:rsidR="00B4550A" w:rsidRPr="00E0488D" w:rsidTr="003C7FC8">
        <w:trPr>
          <w:trHeight w:val="399"/>
        </w:trPr>
        <w:tc>
          <w:tcPr>
            <w:tcW w:w="4730" w:type="dxa"/>
            <w:vAlign w:val="center"/>
          </w:tcPr>
          <w:p w:rsidR="00B4550A" w:rsidRPr="00E0488D" w:rsidRDefault="00B4550A" w:rsidP="003C7FC8">
            <w:pPr>
              <w:tabs>
                <w:tab w:val="left" w:pos="2070"/>
              </w:tabs>
              <w:jc w:val="center"/>
              <w:rPr>
                <w:lang w:val="ro-RO"/>
              </w:rPr>
            </w:pPr>
            <w:r w:rsidRPr="00E0488D">
              <w:rPr>
                <w:noProof/>
                <w:lang w:val="ro-RO" w:eastAsia="ro-RO"/>
              </w:rPr>
              <w:drawing>
                <wp:inline distT="0" distB="0" distL="0" distR="0">
                  <wp:extent cx="2766060" cy="2202180"/>
                  <wp:effectExtent l="57150" t="38100" r="34290" b="26670"/>
                  <wp:docPr id="81" name="Picture 16" descr="port-const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rt-constanta.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66060" cy="2202180"/>
                          </a:xfrm>
                          <a:prstGeom prst="rect">
                            <a:avLst/>
                          </a:prstGeom>
                          <a:noFill/>
                          <a:ln w="28575" cmpd="sng">
                            <a:solidFill>
                              <a:srgbClr val="FFFF00"/>
                            </a:solidFill>
                            <a:miter lim="800000"/>
                            <a:headEnd/>
                            <a:tailEnd/>
                          </a:ln>
                          <a:effectLst/>
                        </pic:spPr>
                      </pic:pic>
                    </a:graphicData>
                  </a:graphic>
                </wp:inline>
              </w:drawing>
            </w:r>
          </w:p>
        </w:tc>
        <w:tc>
          <w:tcPr>
            <w:tcW w:w="4731" w:type="dxa"/>
            <w:vAlign w:val="center"/>
          </w:tcPr>
          <w:p w:rsidR="00B4550A" w:rsidRPr="00E0488D" w:rsidRDefault="00B4550A" w:rsidP="003C7FC8">
            <w:pPr>
              <w:tabs>
                <w:tab w:val="left" w:pos="2070"/>
              </w:tabs>
              <w:jc w:val="center"/>
              <w:rPr>
                <w:lang w:val="ro-RO"/>
              </w:rPr>
            </w:pPr>
            <w:r w:rsidRPr="00E0488D">
              <w:rPr>
                <w:noProof/>
                <w:lang w:val="ro-RO" w:eastAsia="ro-RO"/>
              </w:rPr>
              <w:drawing>
                <wp:inline distT="0" distB="0" distL="0" distR="0">
                  <wp:extent cx="2766060" cy="2217420"/>
                  <wp:effectExtent l="57150" t="38100" r="34290" b="11430"/>
                  <wp:docPr id="82" name="Picture 17" descr="rail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ilways"/>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766060" cy="2217420"/>
                          </a:xfrm>
                          <a:prstGeom prst="rect">
                            <a:avLst/>
                          </a:prstGeom>
                          <a:noFill/>
                          <a:ln w="28575" cmpd="sng">
                            <a:solidFill>
                              <a:srgbClr val="FFFF00"/>
                            </a:solidFill>
                            <a:miter lim="800000"/>
                            <a:headEnd/>
                            <a:tailEnd/>
                          </a:ln>
                          <a:effectLst/>
                        </pic:spPr>
                      </pic:pic>
                    </a:graphicData>
                  </a:graphic>
                </wp:inline>
              </w:drawing>
            </w:r>
          </w:p>
        </w:tc>
      </w:tr>
    </w:tbl>
    <w:p w:rsidR="00B4550A" w:rsidRPr="00E0488D" w:rsidRDefault="00B4550A" w:rsidP="00B4550A">
      <w:pPr>
        <w:tabs>
          <w:tab w:val="left" w:pos="2070"/>
        </w:tabs>
        <w:rPr>
          <w:lang w:val="ro-RO"/>
        </w:rPr>
      </w:pPr>
    </w:p>
    <w:p w:rsidR="00B4550A" w:rsidRPr="00E0488D" w:rsidRDefault="00B4550A" w:rsidP="00B4550A">
      <w:pPr>
        <w:tabs>
          <w:tab w:val="left" w:pos="2070"/>
        </w:tabs>
        <w:rPr>
          <w:lang w:val="ro-RO"/>
        </w:rPr>
      </w:pPr>
    </w:p>
    <w:p w:rsidR="00B4550A" w:rsidRPr="00E0488D" w:rsidRDefault="00B4550A" w:rsidP="00B4550A">
      <w:pPr>
        <w:tabs>
          <w:tab w:val="left" w:pos="2070"/>
        </w:tabs>
        <w:rPr>
          <w:lang w:val="ro-RO"/>
        </w:rPr>
        <w:sectPr w:rsidR="00B4550A" w:rsidRPr="00E0488D" w:rsidSect="00E55673">
          <w:headerReference w:type="even" r:id="rId13"/>
          <w:headerReference w:type="default" r:id="rId14"/>
          <w:footerReference w:type="even" r:id="rId15"/>
          <w:footerReference w:type="default" r:id="rId16"/>
          <w:headerReference w:type="first" r:id="rId17"/>
          <w:footerReference w:type="first" r:id="rId18"/>
          <w:pgSz w:w="11907" w:h="16840" w:code="9"/>
          <w:pgMar w:top="-2430" w:right="709" w:bottom="1729" w:left="907" w:header="270" w:footer="113" w:gutter="0"/>
          <w:cols w:space="720"/>
          <w:docGrid w:linePitch="360"/>
        </w:sect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418"/>
          <w:tab w:val="left" w:leader="dot" w:pos="4536"/>
          <w:tab w:val="left" w:pos="5103"/>
          <w:tab w:val="left" w:pos="6521"/>
          <w:tab w:val="left" w:leader="dot" w:pos="10206"/>
        </w:tabs>
        <w:rPr>
          <w:lang w:val="ro-RO"/>
        </w:rPr>
      </w:pPr>
    </w:p>
    <w:p w:rsidR="00B4550A" w:rsidRPr="00E0488D" w:rsidRDefault="00B4550A" w:rsidP="00B4550A">
      <w:pPr>
        <w:tabs>
          <w:tab w:val="left" w:pos="1701"/>
          <w:tab w:val="left" w:pos="2070"/>
          <w:tab w:val="left" w:pos="6237"/>
        </w:tabs>
        <w:rPr>
          <w:lang w:val="ro-RO"/>
        </w:rPr>
      </w:pPr>
      <w:r w:rsidRPr="00E0488D">
        <w:rPr>
          <w:lang w:val="ro-RO"/>
        </w:rPr>
        <w:t>Elaborat de:</w:t>
      </w:r>
      <w:r w:rsidRPr="00E0488D">
        <w:rPr>
          <w:lang w:val="ro-RO"/>
        </w:rPr>
        <w:tab/>
      </w:r>
      <w:r w:rsidRPr="00E0488D">
        <w:rPr>
          <w:lang w:val="ro-RO"/>
        </w:rPr>
        <w:tab/>
      </w:r>
      <w:r w:rsidRPr="00E0488D">
        <w:rPr>
          <w:lang w:val="ro-RO"/>
        </w:rPr>
        <w:tab/>
        <w:t>Verificat de:</w:t>
      </w:r>
      <w:r w:rsidRPr="00E0488D">
        <w:rPr>
          <w:lang w:val="ro-RO"/>
        </w:rPr>
        <w:tab/>
      </w:r>
      <w:r w:rsidRPr="00E0488D">
        <w:rPr>
          <w:noProof/>
          <w:lang w:val="ro-RO" w:eastAsia="ro-RO"/>
        </w:rPr>
        <w:drawing>
          <wp:inline distT="0" distB="0" distL="0" distR="0">
            <wp:extent cx="1295400" cy="390525"/>
            <wp:effectExtent l="1905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screen"/>
                    <a:srcRect/>
                    <a:stretch>
                      <a:fillRect/>
                    </a:stretch>
                  </pic:blipFill>
                  <pic:spPr bwMode="auto">
                    <a:xfrm>
                      <a:off x="0" y="0"/>
                      <a:ext cx="1295400" cy="390525"/>
                    </a:xfrm>
                    <a:prstGeom prst="rect">
                      <a:avLst/>
                    </a:prstGeom>
                    <a:noFill/>
                    <a:ln w="9525">
                      <a:noFill/>
                      <a:miter lim="800000"/>
                      <a:headEnd/>
                      <a:tailEnd/>
                    </a:ln>
                  </pic:spPr>
                </pic:pic>
              </a:graphicData>
            </a:graphic>
          </wp:inline>
        </w:drawing>
      </w:r>
    </w:p>
    <w:p w:rsidR="00B4550A" w:rsidRPr="00E0488D" w:rsidRDefault="00B4550A" w:rsidP="00B4550A">
      <w:pPr>
        <w:tabs>
          <w:tab w:val="left" w:pos="1701"/>
          <w:tab w:val="left" w:pos="2070"/>
          <w:tab w:val="left" w:pos="6237"/>
        </w:tabs>
        <w:rPr>
          <w:lang w:val="ro-RO"/>
        </w:rPr>
      </w:pPr>
      <w:r w:rsidRPr="00E0488D">
        <w:rPr>
          <w:lang w:val="ro-RO"/>
        </w:rPr>
        <w:tab/>
        <w:t>Iain Mobbs, Frank Mohan, Geoff Clarke</w:t>
      </w:r>
      <w:r w:rsidRPr="00E0488D">
        <w:rPr>
          <w:lang w:val="ro-RO"/>
        </w:rPr>
        <w:tab/>
        <w:t xml:space="preserve">Craig Bell </w:t>
      </w:r>
    </w:p>
    <w:p w:rsidR="00B4550A" w:rsidRPr="00E0488D" w:rsidRDefault="00B4550A" w:rsidP="00B4550A">
      <w:pPr>
        <w:tabs>
          <w:tab w:val="left" w:pos="1701"/>
          <w:tab w:val="left" w:pos="2070"/>
          <w:tab w:val="left" w:pos="6237"/>
        </w:tabs>
        <w:rPr>
          <w:lang w:val="ro-RO"/>
        </w:rPr>
      </w:pPr>
      <w:r w:rsidRPr="00E0488D">
        <w:rPr>
          <w:lang w:val="ro-RO"/>
        </w:rPr>
        <w:tab/>
        <w:t>Johan Els</w:t>
      </w:r>
      <w:r w:rsidRPr="00E0488D">
        <w:rPr>
          <w:lang w:val="ro-RO"/>
        </w:rPr>
        <w:tab/>
        <w:t>Regional Director</w:t>
      </w:r>
    </w:p>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1701"/>
          <w:tab w:val="left" w:pos="2070"/>
          <w:tab w:val="left" w:pos="6237"/>
        </w:tabs>
        <w:rPr>
          <w:lang w:val="ro-RO"/>
        </w:rPr>
      </w:pPr>
      <w:r w:rsidRPr="00E0488D">
        <w:rPr>
          <w:lang w:val="ro-RO"/>
        </w:rPr>
        <w:t>Aprobat de:</w:t>
      </w:r>
      <w:r w:rsidRPr="00E0488D">
        <w:rPr>
          <w:lang w:val="ro-RO"/>
        </w:rPr>
        <w:tab/>
      </w:r>
      <w:r w:rsidRPr="00E0488D">
        <w:rPr>
          <w:noProof/>
          <w:lang w:val="ro-RO" w:eastAsia="ro-RO"/>
        </w:rPr>
        <w:drawing>
          <wp:inline distT="0" distB="0" distL="0" distR="0">
            <wp:extent cx="1590675" cy="495300"/>
            <wp:effectExtent l="19050" t="0" r="9525" b="0"/>
            <wp:docPr id="800" name="Picture 4" descr="Martin B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 Bright"/>
                    <pic:cNvPicPr>
                      <a:picLocks noChangeAspect="1" noChangeArrowheads="1"/>
                    </pic:cNvPicPr>
                  </pic:nvPicPr>
                  <pic:blipFill>
                    <a:blip r:embed="rId20" cstate="screen"/>
                    <a:srcRect/>
                    <a:stretch>
                      <a:fillRect/>
                    </a:stretch>
                  </pic:blipFill>
                  <pic:spPr bwMode="auto">
                    <a:xfrm>
                      <a:off x="0" y="0"/>
                      <a:ext cx="1590675" cy="495300"/>
                    </a:xfrm>
                    <a:prstGeom prst="rect">
                      <a:avLst/>
                    </a:prstGeom>
                    <a:noFill/>
                    <a:ln w="9525">
                      <a:noFill/>
                      <a:miter lim="800000"/>
                      <a:headEnd/>
                      <a:tailEnd/>
                    </a:ln>
                  </pic:spPr>
                </pic:pic>
              </a:graphicData>
            </a:graphic>
          </wp:inline>
        </w:drawing>
      </w:r>
    </w:p>
    <w:p w:rsidR="00B4550A" w:rsidRPr="00E0488D" w:rsidRDefault="00B4550A" w:rsidP="00B4550A">
      <w:pPr>
        <w:tabs>
          <w:tab w:val="left" w:pos="1701"/>
          <w:tab w:val="left" w:pos="2070"/>
          <w:tab w:val="left" w:pos="6237"/>
        </w:tabs>
        <w:rPr>
          <w:lang w:val="ro-RO"/>
        </w:rPr>
      </w:pPr>
      <w:r w:rsidRPr="00E0488D">
        <w:rPr>
          <w:lang w:val="ro-RO"/>
        </w:rPr>
        <w:tab/>
        <w:t>Martin Bright</w:t>
      </w:r>
    </w:p>
    <w:p w:rsidR="00B4550A" w:rsidRPr="00E0488D" w:rsidRDefault="00B4550A" w:rsidP="00B4550A">
      <w:pPr>
        <w:tabs>
          <w:tab w:val="left" w:pos="1701"/>
          <w:tab w:val="left" w:pos="2070"/>
          <w:tab w:val="left" w:pos="6237"/>
        </w:tabs>
        <w:rPr>
          <w:lang w:val="ro-RO"/>
        </w:rPr>
      </w:pPr>
      <w:r w:rsidRPr="00E0488D">
        <w:rPr>
          <w:lang w:val="ro-RO"/>
        </w:rPr>
        <w:tab/>
        <w:t>Director</w:t>
      </w:r>
    </w:p>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1701"/>
          <w:tab w:val="left" w:pos="2070"/>
          <w:tab w:val="left" w:pos="6237"/>
        </w:tabs>
        <w:rPr>
          <w:lang w:val="ro-RO"/>
        </w:rPr>
      </w:pPr>
    </w:p>
    <w:p w:rsidR="00B4550A" w:rsidRPr="00E0488D" w:rsidRDefault="00B4550A" w:rsidP="00B4550A">
      <w:pPr>
        <w:spacing w:after="200" w:line="276" w:lineRule="auto"/>
        <w:rPr>
          <w:sz w:val="36"/>
          <w:szCs w:val="36"/>
          <w:lang w:val="ro-RO"/>
        </w:rPr>
      </w:pPr>
      <w:r w:rsidRPr="00E0488D">
        <w:rPr>
          <w:rFonts w:eastAsia="Calibri" w:cs="Arial"/>
          <w:sz w:val="22"/>
          <w:szCs w:val="22"/>
          <w:lang w:val="ro-RO"/>
        </w:rPr>
        <w:t>Master Plan General de Transport pentru România</w:t>
      </w:r>
    </w:p>
    <w:p w:rsidR="00B4550A" w:rsidRPr="00E0488D" w:rsidRDefault="00B4550A" w:rsidP="00B4550A">
      <w:pPr>
        <w:spacing w:after="240"/>
        <w:rPr>
          <w:lang w:val="ro-RO"/>
        </w:rPr>
      </w:pPr>
      <w:r w:rsidRPr="00E0488D">
        <w:rPr>
          <w:lang w:val="ro-RO"/>
        </w:rPr>
        <w:t>Revised Final Report on the Master Plan Short, Medium and Long Term</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933"/>
        <w:gridCol w:w="5159"/>
        <w:gridCol w:w="1362"/>
        <w:gridCol w:w="1435"/>
        <w:gridCol w:w="1618"/>
      </w:tblGrid>
      <w:tr w:rsidR="00B4550A" w:rsidRPr="00E0488D" w:rsidTr="003C7FC8">
        <w:trPr>
          <w:cantSplit/>
        </w:trPr>
        <w:tc>
          <w:tcPr>
            <w:tcW w:w="444" w:type="pct"/>
          </w:tcPr>
          <w:p w:rsidR="00B4550A" w:rsidRPr="00E0488D" w:rsidRDefault="00B4550A" w:rsidP="003C7FC8">
            <w:pPr>
              <w:jc w:val="center"/>
              <w:rPr>
                <w:lang w:val="ro-RO"/>
              </w:rPr>
            </w:pPr>
            <w:r w:rsidRPr="00E0488D">
              <w:rPr>
                <w:lang w:val="ro-RO"/>
              </w:rPr>
              <w:t>Rev No</w:t>
            </w:r>
          </w:p>
        </w:tc>
        <w:tc>
          <w:tcPr>
            <w:tcW w:w="2455" w:type="pct"/>
          </w:tcPr>
          <w:p w:rsidR="00B4550A" w:rsidRPr="00E0488D" w:rsidRDefault="00B4550A" w:rsidP="003C7FC8">
            <w:pPr>
              <w:jc w:val="center"/>
              <w:rPr>
                <w:lang w:val="ro-RO"/>
              </w:rPr>
            </w:pPr>
            <w:r w:rsidRPr="00E0488D">
              <w:rPr>
                <w:lang w:val="ro-RO"/>
              </w:rPr>
              <w:t>Comentarii</w:t>
            </w:r>
          </w:p>
        </w:tc>
        <w:tc>
          <w:tcPr>
            <w:tcW w:w="648" w:type="pct"/>
          </w:tcPr>
          <w:p w:rsidR="00B4550A" w:rsidRPr="00E0488D" w:rsidRDefault="00B4550A" w:rsidP="003C7FC8">
            <w:pPr>
              <w:jc w:val="center"/>
              <w:rPr>
                <w:lang w:val="ro-RO"/>
              </w:rPr>
            </w:pPr>
            <w:r w:rsidRPr="00E0488D">
              <w:rPr>
                <w:lang w:val="ro-RO"/>
              </w:rPr>
              <w:t>Checked by</w:t>
            </w:r>
          </w:p>
        </w:tc>
        <w:tc>
          <w:tcPr>
            <w:tcW w:w="683" w:type="pct"/>
          </w:tcPr>
          <w:p w:rsidR="00B4550A" w:rsidRPr="00E0488D" w:rsidRDefault="00B4550A" w:rsidP="003C7FC8">
            <w:pPr>
              <w:jc w:val="center"/>
              <w:rPr>
                <w:lang w:val="ro-RO"/>
              </w:rPr>
            </w:pPr>
            <w:r w:rsidRPr="00E0488D">
              <w:rPr>
                <w:lang w:val="ro-RO"/>
              </w:rPr>
              <w:t>Approved by</w:t>
            </w:r>
          </w:p>
        </w:tc>
        <w:tc>
          <w:tcPr>
            <w:tcW w:w="770" w:type="pct"/>
          </w:tcPr>
          <w:p w:rsidR="00B4550A" w:rsidRPr="00E0488D" w:rsidRDefault="00B4550A" w:rsidP="003C7FC8">
            <w:pPr>
              <w:jc w:val="center"/>
              <w:rPr>
                <w:lang w:val="ro-RO"/>
              </w:rPr>
            </w:pPr>
            <w:r w:rsidRPr="00E0488D">
              <w:rPr>
                <w:lang w:val="ro-RO"/>
              </w:rPr>
              <w:t>Date</w:t>
            </w:r>
          </w:p>
        </w:tc>
      </w:tr>
      <w:tr w:rsidR="00B4550A" w:rsidRPr="00E0488D" w:rsidTr="003C7FC8">
        <w:trPr>
          <w:cantSplit/>
        </w:trPr>
        <w:tc>
          <w:tcPr>
            <w:tcW w:w="444" w:type="pct"/>
          </w:tcPr>
          <w:p w:rsidR="00B4550A" w:rsidRPr="00E0488D" w:rsidRDefault="00B4550A" w:rsidP="003C7FC8">
            <w:pPr>
              <w:jc w:val="center"/>
              <w:rPr>
                <w:lang w:val="ro-RO"/>
              </w:rPr>
            </w:pPr>
            <w:r w:rsidRPr="00E0488D">
              <w:rPr>
                <w:lang w:val="ro-RO"/>
              </w:rPr>
              <w:t>1</w:t>
            </w:r>
          </w:p>
        </w:tc>
        <w:tc>
          <w:tcPr>
            <w:tcW w:w="2455" w:type="pct"/>
          </w:tcPr>
          <w:p w:rsidR="00B4550A" w:rsidRPr="00E0488D" w:rsidRDefault="00B4550A" w:rsidP="003C7FC8">
            <w:pPr>
              <w:rPr>
                <w:lang w:val="ro-RO"/>
              </w:rPr>
            </w:pPr>
            <w:r w:rsidRPr="00E0488D">
              <w:rPr>
                <w:lang w:val="ro-RO"/>
              </w:rPr>
              <w:t>Versiune preliminară pentru comentarii</w:t>
            </w:r>
          </w:p>
        </w:tc>
        <w:tc>
          <w:tcPr>
            <w:tcW w:w="648" w:type="pct"/>
          </w:tcPr>
          <w:p w:rsidR="00B4550A" w:rsidRPr="00E0488D" w:rsidRDefault="00B4550A" w:rsidP="003C7FC8">
            <w:pPr>
              <w:jc w:val="center"/>
              <w:rPr>
                <w:lang w:val="ro-RO"/>
              </w:rPr>
            </w:pPr>
            <w:r w:rsidRPr="00E0488D">
              <w:rPr>
                <w:lang w:val="ro-RO"/>
              </w:rPr>
              <w:t>CB</w:t>
            </w:r>
          </w:p>
        </w:tc>
        <w:tc>
          <w:tcPr>
            <w:tcW w:w="683" w:type="pct"/>
          </w:tcPr>
          <w:p w:rsidR="00B4550A" w:rsidRPr="00E0488D" w:rsidRDefault="00B4550A" w:rsidP="003C7FC8">
            <w:pPr>
              <w:jc w:val="center"/>
              <w:rPr>
                <w:lang w:val="ro-RO"/>
              </w:rPr>
            </w:pPr>
            <w:r w:rsidRPr="00E0488D">
              <w:rPr>
                <w:lang w:val="ro-RO"/>
              </w:rPr>
              <w:t>MJB</w:t>
            </w:r>
          </w:p>
        </w:tc>
        <w:tc>
          <w:tcPr>
            <w:tcW w:w="770" w:type="pct"/>
          </w:tcPr>
          <w:p w:rsidR="00B4550A" w:rsidRPr="00E0488D" w:rsidRDefault="00B4550A" w:rsidP="003C7FC8">
            <w:pPr>
              <w:jc w:val="center"/>
              <w:rPr>
                <w:lang w:val="ro-RO"/>
              </w:rPr>
            </w:pPr>
            <w:r w:rsidRPr="00E0488D">
              <w:rPr>
                <w:lang w:val="ro-RO"/>
              </w:rPr>
              <w:t>19/08/2013</w:t>
            </w:r>
          </w:p>
        </w:tc>
      </w:tr>
      <w:tr w:rsidR="00B4550A" w:rsidRPr="00E0488D" w:rsidTr="003C7FC8">
        <w:trPr>
          <w:cantSplit/>
        </w:trPr>
        <w:tc>
          <w:tcPr>
            <w:tcW w:w="444" w:type="pct"/>
          </w:tcPr>
          <w:p w:rsidR="00B4550A" w:rsidRPr="00E0488D" w:rsidRDefault="00B4550A" w:rsidP="003C7FC8">
            <w:pPr>
              <w:jc w:val="center"/>
              <w:rPr>
                <w:lang w:val="ro-RO"/>
              </w:rPr>
            </w:pPr>
            <w:r w:rsidRPr="00E0488D">
              <w:rPr>
                <w:lang w:val="ro-RO"/>
              </w:rPr>
              <w:t>2</w:t>
            </w:r>
          </w:p>
        </w:tc>
        <w:tc>
          <w:tcPr>
            <w:tcW w:w="2455" w:type="pct"/>
          </w:tcPr>
          <w:p w:rsidR="00B4550A" w:rsidRPr="00E0488D" w:rsidRDefault="00B4550A" w:rsidP="003C7FC8">
            <w:pPr>
              <w:rPr>
                <w:lang w:val="ro-RO"/>
              </w:rPr>
            </w:pPr>
            <w:r w:rsidRPr="00E0488D">
              <w:rPr>
                <w:lang w:val="ro-RO"/>
              </w:rPr>
              <w:t>Versiune revizuită conform comentariile Clientului</w:t>
            </w:r>
          </w:p>
        </w:tc>
        <w:tc>
          <w:tcPr>
            <w:tcW w:w="648" w:type="pct"/>
          </w:tcPr>
          <w:p w:rsidR="00B4550A" w:rsidRPr="00E0488D" w:rsidRDefault="00B4550A" w:rsidP="003C7FC8">
            <w:pPr>
              <w:jc w:val="center"/>
              <w:rPr>
                <w:lang w:val="ro-RO"/>
              </w:rPr>
            </w:pPr>
            <w:r w:rsidRPr="00E0488D">
              <w:rPr>
                <w:lang w:val="ro-RO"/>
              </w:rPr>
              <w:t>CB</w:t>
            </w:r>
          </w:p>
        </w:tc>
        <w:tc>
          <w:tcPr>
            <w:tcW w:w="683" w:type="pct"/>
          </w:tcPr>
          <w:p w:rsidR="00B4550A" w:rsidRPr="00E0488D" w:rsidRDefault="00B4550A" w:rsidP="003C7FC8">
            <w:pPr>
              <w:jc w:val="center"/>
              <w:rPr>
                <w:lang w:val="ro-RO"/>
              </w:rPr>
            </w:pPr>
            <w:r w:rsidRPr="00E0488D">
              <w:rPr>
                <w:lang w:val="ro-RO"/>
              </w:rPr>
              <w:t>MJB</w:t>
            </w:r>
          </w:p>
        </w:tc>
        <w:tc>
          <w:tcPr>
            <w:tcW w:w="770" w:type="pct"/>
          </w:tcPr>
          <w:p w:rsidR="00B4550A" w:rsidRPr="00E0488D" w:rsidRDefault="00B4550A" w:rsidP="003C7FC8">
            <w:pPr>
              <w:jc w:val="center"/>
              <w:rPr>
                <w:lang w:val="ro-RO"/>
              </w:rPr>
            </w:pPr>
            <w:r w:rsidRPr="00E0488D">
              <w:rPr>
                <w:lang w:val="ro-RO"/>
              </w:rPr>
              <w:t>29/08/2014</w:t>
            </w:r>
          </w:p>
        </w:tc>
      </w:tr>
      <w:tr w:rsidR="00B4550A" w:rsidRPr="00E0488D" w:rsidTr="003C7FC8">
        <w:trPr>
          <w:cantSplit/>
        </w:trPr>
        <w:tc>
          <w:tcPr>
            <w:tcW w:w="444" w:type="pct"/>
          </w:tcPr>
          <w:p w:rsidR="00B4550A" w:rsidRPr="00E0488D" w:rsidRDefault="00B4550A" w:rsidP="003C7FC8">
            <w:pPr>
              <w:jc w:val="center"/>
              <w:rPr>
                <w:lang w:val="ro-RO"/>
              </w:rPr>
            </w:pPr>
            <w:r w:rsidRPr="00E0488D">
              <w:rPr>
                <w:lang w:val="ro-RO"/>
              </w:rPr>
              <w:t>3</w:t>
            </w:r>
          </w:p>
        </w:tc>
        <w:tc>
          <w:tcPr>
            <w:tcW w:w="2455" w:type="pct"/>
          </w:tcPr>
          <w:p w:rsidR="00B4550A" w:rsidRPr="00E0488D" w:rsidRDefault="00B4550A" w:rsidP="003C7FC8">
            <w:pPr>
              <w:rPr>
                <w:lang w:val="ro-RO"/>
              </w:rPr>
            </w:pPr>
            <w:r w:rsidRPr="00E0488D">
              <w:rPr>
                <w:lang w:val="ro-RO"/>
              </w:rPr>
              <w:t>Versiune revizuită conform comentariile Clientului</w:t>
            </w:r>
          </w:p>
        </w:tc>
        <w:tc>
          <w:tcPr>
            <w:tcW w:w="648" w:type="pct"/>
          </w:tcPr>
          <w:p w:rsidR="00B4550A" w:rsidRPr="00E0488D" w:rsidRDefault="00B4550A" w:rsidP="003C7FC8">
            <w:pPr>
              <w:jc w:val="center"/>
              <w:rPr>
                <w:lang w:val="ro-RO"/>
              </w:rPr>
            </w:pPr>
            <w:r w:rsidRPr="00E0488D">
              <w:rPr>
                <w:lang w:val="ro-RO"/>
              </w:rPr>
              <w:t>CB</w:t>
            </w:r>
          </w:p>
        </w:tc>
        <w:tc>
          <w:tcPr>
            <w:tcW w:w="683" w:type="pct"/>
          </w:tcPr>
          <w:p w:rsidR="00B4550A" w:rsidRPr="00E0488D" w:rsidRDefault="00B4550A" w:rsidP="003C7FC8">
            <w:pPr>
              <w:jc w:val="center"/>
              <w:rPr>
                <w:lang w:val="ro-RO"/>
              </w:rPr>
            </w:pPr>
            <w:r w:rsidRPr="00E0488D">
              <w:rPr>
                <w:lang w:val="ro-RO"/>
              </w:rPr>
              <w:t>MJB</w:t>
            </w:r>
          </w:p>
        </w:tc>
        <w:tc>
          <w:tcPr>
            <w:tcW w:w="770" w:type="pct"/>
          </w:tcPr>
          <w:p w:rsidR="00B4550A" w:rsidRPr="00E0488D" w:rsidRDefault="00B4550A" w:rsidP="003C7FC8">
            <w:pPr>
              <w:jc w:val="center"/>
              <w:rPr>
                <w:lang w:val="ro-RO"/>
              </w:rPr>
            </w:pPr>
            <w:r w:rsidRPr="00E0488D">
              <w:rPr>
                <w:lang w:val="ro-RO"/>
              </w:rPr>
              <w:t>30/09/2014</w:t>
            </w:r>
          </w:p>
        </w:tc>
      </w:tr>
      <w:tr w:rsidR="00636E87" w:rsidRPr="00E0488D" w:rsidTr="0030066D">
        <w:trPr>
          <w:cantSplit/>
        </w:trPr>
        <w:tc>
          <w:tcPr>
            <w:tcW w:w="444" w:type="pct"/>
          </w:tcPr>
          <w:p w:rsidR="00636E87" w:rsidRPr="00E0488D" w:rsidRDefault="00636E87" w:rsidP="0030066D">
            <w:pPr>
              <w:jc w:val="center"/>
              <w:rPr>
                <w:lang w:val="ro-RO"/>
              </w:rPr>
            </w:pPr>
            <w:r>
              <w:rPr>
                <w:lang w:val="ro-RO"/>
              </w:rPr>
              <w:t>4</w:t>
            </w:r>
          </w:p>
        </w:tc>
        <w:tc>
          <w:tcPr>
            <w:tcW w:w="2455" w:type="pct"/>
          </w:tcPr>
          <w:p w:rsidR="00636E87" w:rsidRPr="00E0488D" w:rsidRDefault="00636E87" w:rsidP="0030066D">
            <w:pPr>
              <w:rPr>
                <w:lang w:val="ro-RO"/>
              </w:rPr>
            </w:pPr>
            <w:r w:rsidRPr="00E0488D">
              <w:rPr>
                <w:lang w:val="ro-RO"/>
              </w:rPr>
              <w:t>Versiune revizuită conform comentariile Clientului</w:t>
            </w:r>
          </w:p>
        </w:tc>
        <w:tc>
          <w:tcPr>
            <w:tcW w:w="648" w:type="pct"/>
          </w:tcPr>
          <w:p w:rsidR="00636E87" w:rsidRPr="00E0488D" w:rsidRDefault="00636E87" w:rsidP="0030066D">
            <w:pPr>
              <w:jc w:val="center"/>
              <w:rPr>
                <w:lang w:val="ro-RO"/>
              </w:rPr>
            </w:pPr>
            <w:r w:rsidRPr="00E0488D">
              <w:rPr>
                <w:lang w:val="ro-RO"/>
              </w:rPr>
              <w:t>CB</w:t>
            </w:r>
          </w:p>
        </w:tc>
        <w:tc>
          <w:tcPr>
            <w:tcW w:w="683" w:type="pct"/>
          </w:tcPr>
          <w:p w:rsidR="00636E87" w:rsidRPr="00E0488D" w:rsidRDefault="00636E87" w:rsidP="0030066D">
            <w:pPr>
              <w:jc w:val="center"/>
              <w:rPr>
                <w:lang w:val="ro-RO"/>
              </w:rPr>
            </w:pPr>
            <w:r w:rsidRPr="00E0488D">
              <w:rPr>
                <w:lang w:val="ro-RO"/>
              </w:rPr>
              <w:t>MJB</w:t>
            </w:r>
          </w:p>
        </w:tc>
        <w:tc>
          <w:tcPr>
            <w:tcW w:w="770" w:type="pct"/>
          </w:tcPr>
          <w:p w:rsidR="00636E87" w:rsidRPr="00E0488D" w:rsidRDefault="00966D0E" w:rsidP="00636E87">
            <w:pPr>
              <w:jc w:val="center"/>
              <w:rPr>
                <w:lang w:val="ro-RO"/>
              </w:rPr>
            </w:pPr>
            <w:r>
              <w:rPr>
                <w:lang w:val="ro-RO"/>
              </w:rPr>
              <w:t>13</w:t>
            </w:r>
            <w:r w:rsidR="00636E87" w:rsidRPr="00E0488D">
              <w:rPr>
                <w:lang w:val="ro-RO"/>
              </w:rPr>
              <w:t>/0</w:t>
            </w:r>
            <w:r>
              <w:rPr>
                <w:lang w:val="ro-RO"/>
              </w:rPr>
              <w:t>2</w:t>
            </w:r>
            <w:r w:rsidR="00636E87" w:rsidRPr="00E0488D">
              <w:rPr>
                <w:lang w:val="ro-RO"/>
              </w:rPr>
              <w:t>/201</w:t>
            </w:r>
            <w:r w:rsidR="00636E87">
              <w:rPr>
                <w:lang w:val="ro-RO"/>
              </w:rPr>
              <w:t>5</w:t>
            </w:r>
          </w:p>
        </w:tc>
      </w:tr>
    </w:tbl>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1701"/>
          <w:tab w:val="left" w:pos="2070"/>
          <w:tab w:val="left" w:pos="6237"/>
        </w:tabs>
        <w:rPr>
          <w:lang w:val="ro-RO"/>
        </w:rPr>
      </w:pPr>
    </w:p>
    <w:p w:rsidR="00B4550A" w:rsidRPr="00E0488D" w:rsidRDefault="00B4550A" w:rsidP="00B4550A">
      <w:pPr>
        <w:tabs>
          <w:tab w:val="left" w:pos="2070"/>
        </w:tabs>
        <w:rPr>
          <w:lang w:val="ro-RO"/>
        </w:rPr>
      </w:pPr>
      <w:r w:rsidRPr="00E0488D">
        <w:rPr>
          <w:lang w:val="ro-RO"/>
        </w:rPr>
        <w:t>Strada Polona, Nr. 68-72, Sector 1, București, Romania</w:t>
      </w:r>
    </w:p>
    <w:p w:rsidR="00B4550A" w:rsidRPr="00E0488D" w:rsidRDefault="00B4550A" w:rsidP="00B4550A">
      <w:pPr>
        <w:tabs>
          <w:tab w:val="left" w:pos="2070"/>
        </w:tabs>
        <w:rPr>
          <w:lang w:val="ro-RO"/>
        </w:rPr>
      </w:pPr>
      <w:r w:rsidRPr="00E0488D">
        <w:rPr>
          <w:lang w:val="ro-RO"/>
        </w:rPr>
        <w:t>Telephone: +4 021 316 1163   Website: http://www.aecom.com</w:t>
      </w:r>
    </w:p>
    <w:p w:rsidR="00B4550A" w:rsidRPr="00E0488D" w:rsidRDefault="00B4550A" w:rsidP="00B4550A">
      <w:pPr>
        <w:tabs>
          <w:tab w:val="left" w:pos="2070"/>
        </w:tabs>
        <w:rPr>
          <w:lang w:val="ro-RO"/>
        </w:rPr>
      </w:pPr>
    </w:p>
    <w:p w:rsidR="00B4550A" w:rsidRPr="00E0488D" w:rsidRDefault="00B4550A" w:rsidP="00B4550A">
      <w:pPr>
        <w:tabs>
          <w:tab w:val="left" w:pos="2070"/>
        </w:tabs>
        <w:rPr>
          <w:lang w:val="ro-RO"/>
        </w:rPr>
      </w:pPr>
      <w:r w:rsidRPr="00E0488D">
        <w:rPr>
          <w:lang w:val="ro-RO"/>
        </w:rPr>
        <w:t xml:space="preserve">Nr. Referință </w:t>
      </w:r>
      <w:bookmarkStart w:id="1" w:name="JobNo"/>
      <w:bookmarkEnd w:id="1"/>
      <w:r w:rsidRPr="00E0488D">
        <w:rPr>
          <w:lang w:val="ro-RO"/>
        </w:rPr>
        <w:t>60268467</w:t>
      </w:r>
      <w:r w:rsidRPr="00E0488D">
        <w:rPr>
          <w:lang w:val="ro-RO"/>
        </w:rPr>
        <w:tab/>
      </w:r>
      <w:r w:rsidRPr="00E0488D">
        <w:rPr>
          <w:lang w:val="ro-RO"/>
        </w:rPr>
        <w:tab/>
      </w:r>
      <w:r w:rsidRPr="00E0488D">
        <w:rPr>
          <w:lang w:val="ro-RO"/>
        </w:rPr>
        <w:tab/>
        <w:t>Referință: Versiune finală revizuit</w:t>
      </w:r>
      <w:r w:rsidR="00966D0E">
        <w:rPr>
          <w:lang w:val="ro-RO"/>
        </w:rPr>
        <w:t>ă Master Plan</w:t>
      </w:r>
      <w:r w:rsidR="00966D0E">
        <w:rPr>
          <w:lang w:val="ro-RO"/>
        </w:rPr>
        <w:tab/>
      </w:r>
      <w:r w:rsidR="00966D0E">
        <w:rPr>
          <w:lang w:val="ro-RO"/>
        </w:rPr>
        <w:tab/>
        <w:t>Data elaborării: Februarie</w:t>
      </w:r>
      <w:bookmarkStart w:id="2" w:name="_GoBack"/>
      <w:bookmarkEnd w:id="2"/>
      <w:r w:rsidR="000F50C2">
        <w:rPr>
          <w:lang w:val="ro-RO"/>
        </w:rPr>
        <w:t xml:space="preserve"> 2015</w:t>
      </w:r>
    </w:p>
    <w:p w:rsidR="00B4550A" w:rsidRPr="00E0488D" w:rsidRDefault="00B4550A" w:rsidP="00B4550A">
      <w:pPr>
        <w:tabs>
          <w:tab w:val="left" w:pos="2070"/>
        </w:tabs>
        <w:rPr>
          <w:lang w:val="ro-RO"/>
        </w:rPr>
      </w:pPr>
    </w:p>
    <w:p w:rsidR="00B4550A" w:rsidRPr="00E0488D" w:rsidRDefault="00B4550A" w:rsidP="00B4550A">
      <w:pPr>
        <w:tabs>
          <w:tab w:val="left" w:pos="2070"/>
        </w:tabs>
        <w:rPr>
          <w:lang w:val="ro-RO"/>
        </w:rPr>
      </w:pPr>
    </w:p>
    <w:p w:rsidR="00B4550A" w:rsidRPr="00E0488D" w:rsidRDefault="00B4550A" w:rsidP="00B4550A">
      <w:pPr>
        <w:tabs>
          <w:tab w:val="left" w:pos="2070"/>
        </w:tabs>
        <w:rPr>
          <w:lang w:val="ro-RO"/>
        </w:rPr>
      </w:pPr>
      <w:r w:rsidRPr="00E0488D">
        <w:rPr>
          <w:lang w:val="ro-RO"/>
        </w:rPr>
        <w:t>Acest document a fost elaborat de AECOM Ingenieria SRL pentru a fi utilizat numai de către clientul nostru (“Clientul”) conform principiilor de consultanţă general acceptate, a bugetului şi a termenilor de referinţă în legătură cu care s-a ajuns la un acord între AECOM Ingenieria SRL şi Client. Orice informaţie furnizată de părţi terţe la care se face referire aici nu a fost controlată sau verificată de către AECOM Ingenieria SRL, cu excepţia situaţiilor în care acest lucru este menţionat clar în cadrul documentului. Nicio parte terţă nu poate face referire la acest document fără un acord scris expres acordat anterior de către AECOM Ingenieria SRL.</w:t>
      </w:r>
    </w:p>
    <w:p w:rsidR="00B4550A" w:rsidRPr="00E0488D" w:rsidRDefault="00B4550A" w:rsidP="00B4550A">
      <w:pPr>
        <w:tabs>
          <w:tab w:val="left" w:pos="1418"/>
          <w:tab w:val="left" w:pos="2070"/>
          <w:tab w:val="left" w:leader="dot" w:pos="4536"/>
          <w:tab w:val="left" w:pos="5103"/>
          <w:tab w:val="left" w:pos="6521"/>
          <w:tab w:val="left" w:leader="dot" w:pos="10206"/>
        </w:tabs>
        <w:rPr>
          <w:lang w:val="ro-RO"/>
        </w:rPr>
      </w:pPr>
    </w:p>
    <w:p w:rsidR="00B4550A" w:rsidRPr="00E0488D" w:rsidRDefault="00B4550A" w:rsidP="00B4550A">
      <w:pPr>
        <w:tabs>
          <w:tab w:val="left" w:pos="2070"/>
        </w:tabs>
        <w:rPr>
          <w:lang w:val="ro-RO"/>
        </w:rPr>
        <w:sectPr w:rsidR="00B4550A" w:rsidRPr="00E0488D" w:rsidSect="00B12539">
          <w:headerReference w:type="default" r:id="rId21"/>
          <w:footerReference w:type="default" r:id="rId22"/>
          <w:pgSz w:w="11907" w:h="16840" w:code="9"/>
          <w:pgMar w:top="-3150" w:right="709" w:bottom="1729" w:left="907" w:header="180" w:footer="567" w:gutter="0"/>
          <w:cols w:space="720"/>
          <w:vAlign w:val="bottom"/>
          <w:docGrid w:linePitch="360"/>
        </w:sectPr>
      </w:pPr>
    </w:p>
    <w:p w:rsidR="00B4550A" w:rsidRPr="00E0488D" w:rsidRDefault="00B4550A" w:rsidP="00B4550A">
      <w:pPr>
        <w:rPr>
          <w:caps/>
          <w:sz w:val="21"/>
          <w:szCs w:val="21"/>
          <w:lang w:val="ro-RO"/>
        </w:rPr>
      </w:pPr>
    </w:p>
    <w:p w:rsidR="00B4550A" w:rsidRPr="00E0488D" w:rsidRDefault="00B4550A" w:rsidP="00B4550A">
      <w:pPr>
        <w:rPr>
          <w:rFonts w:cs="Arial"/>
          <w:b/>
          <w:color w:val="9E0880"/>
          <w:sz w:val="21"/>
          <w:szCs w:val="21"/>
          <w:lang w:val="ro-RO"/>
        </w:rPr>
      </w:pPr>
      <w:r w:rsidRPr="00E0488D">
        <w:rPr>
          <w:rFonts w:cs="Arial"/>
          <w:b/>
          <w:color w:val="9E0880"/>
          <w:sz w:val="21"/>
          <w:szCs w:val="21"/>
          <w:lang w:val="ro-RO"/>
        </w:rPr>
        <w:t>NOTĂ</w:t>
      </w:r>
    </w:p>
    <w:p w:rsidR="00B4550A" w:rsidRPr="00E0488D" w:rsidRDefault="00B4550A" w:rsidP="00B4550A">
      <w:pPr>
        <w:rPr>
          <w:sz w:val="21"/>
          <w:szCs w:val="21"/>
          <w:lang w:val="ro-RO"/>
        </w:rPr>
      </w:pPr>
    </w:p>
    <w:p w:rsidR="00B4550A" w:rsidRPr="00E0488D" w:rsidRDefault="00B4550A" w:rsidP="00B4550A">
      <w:pPr>
        <w:rPr>
          <w:rFonts w:cs="Arial"/>
          <w:sz w:val="21"/>
          <w:szCs w:val="21"/>
          <w:lang w:val="ro-RO"/>
        </w:rPr>
      </w:pPr>
      <w:r w:rsidRPr="00E0488D">
        <w:rPr>
          <w:rFonts w:cs="Arial"/>
          <w:sz w:val="21"/>
          <w:szCs w:val="21"/>
          <w:lang w:val="ro-RO"/>
        </w:rPr>
        <w:t>Acest document reprezintă o versiune preliminară și trebuie interpretat strict conform urm</w:t>
      </w:r>
      <w:r w:rsidRPr="00E0488D">
        <w:rPr>
          <w:sz w:val="21"/>
          <w:szCs w:val="21"/>
          <w:lang w:val="ro-RO"/>
        </w:rPr>
        <w:t>ă</w:t>
      </w:r>
      <w:r w:rsidRPr="00E0488D">
        <w:rPr>
          <w:rFonts w:cs="Arial"/>
          <w:sz w:val="21"/>
          <w:szCs w:val="21"/>
          <w:lang w:val="ro-RO"/>
        </w:rPr>
        <w:t>toarelor:</w:t>
      </w:r>
    </w:p>
    <w:p w:rsidR="00B4550A" w:rsidRPr="00E0488D" w:rsidRDefault="00B4550A" w:rsidP="00B4550A">
      <w:pPr>
        <w:jc w:val="both"/>
        <w:rPr>
          <w:rFonts w:cs="Arial"/>
          <w:sz w:val="21"/>
          <w:szCs w:val="21"/>
          <w:lang w:val="ro-RO"/>
        </w:rPr>
      </w:pPr>
    </w:p>
    <w:p w:rsidR="00B4550A" w:rsidRPr="00E0488D" w:rsidRDefault="00B4550A" w:rsidP="00B4550A">
      <w:pPr>
        <w:jc w:val="both"/>
        <w:rPr>
          <w:rFonts w:cs="Arial"/>
          <w:b/>
          <w:color w:val="9E0880"/>
          <w:sz w:val="21"/>
          <w:szCs w:val="21"/>
          <w:lang w:val="ro-RO"/>
        </w:rPr>
      </w:pPr>
      <w:r w:rsidRPr="00E0488D">
        <w:rPr>
          <w:rFonts w:cs="Arial"/>
          <w:b/>
          <w:color w:val="9E0880"/>
          <w:sz w:val="21"/>
          <w:szCs w:val="21"/>
          <w:lang w:val="ro-RO"/>
        </w:rPr>
        <w:t>PRECIZĂRI</w:t>
      </w:r>
    </w:p>
    <w:p w:rsidR="00B4550A" w:rsidRPr="00E0488D" w:rsidRDefault="00B4550A" w:rsidP="00B4550A">
      <w:pPr>
        <w:jc w:val="both"/>
        <w:rPr>
          <w:sz w:val="21"/>
          <w:szCs w:val="21"/>
          <w:lang w:val="ro-RO"/>
        </w:rPr>
      </w:pPr>
    </w:p>
    <w:p w:rsidR="00B4550A" w:rsidRPr="00E0488D" w:rsidRDefault="00B4550A" w:rsidP="00B4550A">
      <w:pPr>
        <w:jc w:val="both"/>
        <w:rPr>
          <w:rFonts w:cs="Arial"/>
          <w:b/>
          <w:color w:val="9E0880"/>
          <w:sz w:val="22"/>
          <w:szCs w:val="22"/>
          <w:lang w:val="ro-RO"/>
        </w:rPr>
      </w:pPr>
      <w:r w:rsidRPr="00E0488D">
        <w:rPr>
          <w:rFonts w:cs="Arial"/>
          <w:b/>
          <w:color w:val="9E0880"/>
          <w:sz w:val="22"/>
          <w:szCs w:val="22"/>
          <w:lang w:val="ro-RO"/>
        </w:rPr>
        <w:t>Stadiul acestui document</w:t>
      </w:r>
    </w:p>
    <w:p w:rsidR="00B4550A" w:rsidRPr="00E0488D" w:rsidRDefault="00B4550A" w:rsidP="00687448">
      <w:pPr>
        <w:pStyle w:val="ListParagraph"/>
        <w:numPr>
          <w:ilvl w:val="0"/>
          <w:numId w:val="55"/>
        </w:numPr>
        <w:spacing w:after="120" w:line="240" w:lineRule="auto"/>
        <w:rPr>
          <w:sz w:val="21"/>
          <w:szCs w:val="21"/>
          <w:lang w:val="ro-RO"/>
        </w:rPr>
      </w:pPr>
      <w:r w:rsidRPr="00E0488D">
        <w:rPr>
          <w:sz w:val="21"/>
          <w:szCs w:val="21"/>
          <w:lang w:val="ro-RO"/>
        </w:rPr>
        <w:t>Raportul de față constituie o versiune de lucru a Raportului privind Master Planul pe termen scurt, mediu și lung. Această versiune nu este una finală și va fi actualizată pe baza analizelor mai detaliate, care sunt încă în desfășurare în special pentru sectoarele de transport feroviar, aerian, naval și intermodal. Actualizarea raportului va fi efectuată în paralel cu luarea în considerare a observațiilor ce vor fi primite în timpul procedurii de consultări publice.</w:t>
      </w:r>
    </w:p>
    <w:p w:rsidR="00B4550A" w:rsidRPr="00E0488D" w:rsidRDefault="00B4550A" w:rsidP="00687448">
      <w:pPr>
        <w:pStyle w:val="ListParagraph"/>
        <w:numPr>
          <w:ilvl w:val="0"/>
          <w:numId w:val="55"/>
        </w:numPr>
        <w:spacing w:after="120" w:line="240" w:lineRule="auto"/>
        <w:rPr>
          <w:sz w:val="21"/>
          <w:szCs w:val="21"/>
          <w:lang w:val="ro-RO"/>
        </w:rPr>
      </w:pPr>
      <w:r w:rsidRPr="00E0488D">
        <w:rPr>
          <w:sz w:val="21"/>
          <w:szCs w:val="21"/>
          <w:lang w:val="ro-RO"/>
        </w:rPr>
        <w:t>Evaluarea Strategică de Mediu (ESM), incluzând și Studiul de Evaluare Adecvată de Mediu este, de asemenea, în desfășurare. Raportul final privind Master Planul va include și concluziile și recomandările finale ale acestor evaluări.</w:t>
      </w:r>
    </w:p>
    <w:p w:rsidR="00B4550A" w:rsidRPr="00E0488D" w:rsidRDefault="00B4550A" w:rsidP="00B4550A">
      <w:pPr>
        <w:jc w:val="both"/>
        <w:rPr>
          <w:rFonts w:cs="Arial"/>
          <w:b/>
          <w:color w:val="9E0880"/>
          <w:sz w:val="22"/>
          <w:szCs w:val="22"/>
          <w:lang w:val="ro-RO"/>
        </w:rPr>
      </w:pPr>
      <w:r w:rsidRPr="00E0488D">
        <w:rPr>
          <w:rFonts w:cs="Arial"/>
          <w:b/>
          <w:color w:val="9E0880"/>
          <w:sz w:val="22"/>
          <w:szCs w:val="22"/>
          <w:lang w:val="ro-RO"/>
        </w:rPr>
        <w:t>Obiectul Master Planului</w:t>
      </w:r>
    </w:p>
    <w:p w:rsidR="00B4550A" w:rsidRPr="00E0488D" w:rsidRDefault="00B4550A" w:rsidP="00B4550A">
      <w:pPr>
        <w:spacing w:after="120"/>
        <w:ind w:left="360"/>
        <w:jc w:val="both"/>
        <w:rPr>
          <w:sz w:val="21"/>
          <w:szCs w:val="21"/>
          <w:lang w:val="ro-RO"/>
        </w:rPr>
      </w:pPr>
      <w:r w:rsidRPr="00E0488D">
        <w:rPr>
          <w:sz w:val="21"/>
          <w:szCs w:val="21"/>
          <w:lang w:val="ro-RO"/>
        </w:rPr>
        <w:t>Master Planul analizează obiectivele majore ale sistemului național de transport. Prin urmare, acesta constituie un instrument strategic de planificare a intervențiilor majore (proiecte și alte acțiuni) ce sunt semnificative pentru obiectivele țde transport la scară națională. Acest lucru implică faptul că o serie de intervenții la scară redusă nu fac obiectul Master Planului, ceea ce nu înseamnă că aceste intervenții nu pot și nu treubuie să fie promovate și finanțate de către Ministerul Transporturilor, ci faptul că Master Planul nu este un instrument adecvat pentru planificarea acestora, aceste măsuri urmând să facă obiectul unui proces distinct de definire, planificare și prioritizare. Intervenții tipice care nu fac obiectul Master Planului sunt:</w:t>
      </w:r>
    </w:p>
    <w:p w:rsidR="00B4550A" w:rsidRPr="00E0488D" w:rsidRDefault="00B4550A" w:rsidP="00687448">
      <w:pPr>
        <w:pStyle w:val="ListParagraph"/>
        <w:numPr>
          <w:ilvl w:val="0"/>
          <w:numId w:val="54"/>
        </w:numPr>
        <w:spacing w:after="120" w:line="240" w:lineRule="auto"/>
        <w:rPr>
          <w:sz w:val="21"/>
          <w:szCs w:val="21"/>
          <w:lang w:val="ro-RO"/>
        </w:rPr>
      </w:pPr>
      <w:r w:rsidRPr="00E0488D">
        <w:rPr>
          <w:sz w:val="21"/>
          <w:szCs w:val="21"/>
          <w:lang w:val="ro-RO"/>
        </w:rPr>
        <w:t>Acțiunile necesare pentru derularea activităților curente (operațiuni curente și activități de întreținere pentru diferite entități din cadrul MT), cum ar fi clădiri administrative, echipamente de birou, consumabile, costuri de operare, întreținere curentă, etc.</w:t>
      </w:r>
    </w:p>
    <w:p w:rsidR="00B4550A" w:rsidRPr="00E0488D" w:rsidRDefault="00B4550A" w:rsidP="00687448">
      <w:pPr>
        <w:pStyle w:val="ListParagraph"/>
        <w:numPr>
          <w:ilvl w:val="0"/>
          <w:numId w:val="54"/>
        </w:numPr>
        <w:spacing w:after="120" w:line="240" w:lineRule="auto"/>
        <w:rPr>
          <w:sz w:val="21"/>
          <w:szCs w:val="21"/>
          <w:lang w:val="ro-RO"/>
        </w:rPr>
      </w:pPr>
      <w:r w:rsidRPr="00E0488D">
        <w:rPr>
          <w:sz w:val="21"/>
          <w:szCs w:val="21"/>
          <w:lang w:val="ro-RO"/>
        </w:rPr>
        <w:t>Investiții la scară redusă și la un nivel de detaliere care depășesc sfera de influență a Master Planului, cum ar fi reparații capitale/reabilitări ale stațiilor CF, măsuri de siguranța circulației la nivel local, intervenții la nivel inter-zonal ce nu pot fi modelate, etc.</w:t>
      </w:r>
    </w:p>
    <w:p w:rsidR="00B4550A" w:rsidRPr="00E0488D" w:rsidRDefault="00B4550A" w:rsidP="00687448">
      <w:pPr>
        <w:pStyle w:val="PlainText"/>
        <w:numPr>
          <w:ilvl w:val="0"/>
          <w:numId w:val="55"/>
        </w:numPr>
        <w:spacing w:after="120" w:line="240" w:lineRule="auto"/>
        <w:rPr>
          <w:rFonts w:ascii="Arial" w:hAnsi="Arial" w:cs="Arial"/>
          <w:sz w:val="21"/>
          <w:szCs w:val="21"/>
          <w:lang w:val="ro-RO"/>
        </w:rPr>
      </w:pPr>
      <w:r w:rsidRPr="00E0488D">
        <w:rPr>
          <w:rFonts w:ascii="Arial" w:hAnsi="Arial" w:cs="Arial"/>
          <w:sz w:val="21"/>
          <w:szCs w:val="21"/>
          <w:lang w:val="ro-RO"/>
        </w:rPr>
        <w:t>În plus, există o altă categorie de proiecte ce nu sunt evaluate în cadrul procesului de elaborare a Master Planului. Acestea sunt proiectele incluse în „Scenariul de Referință”, proiecte deja „angajate” a căror finanțare este deja asigurată sau a căror implementare este în desfășurare la momentul de timp al definirii Scenariului de Referință în cadrul Modelului Național de Transport, și anume anul 2013. Anexa E include lista proiectelor din această categorie precum și o planșă ce include traseele orientative ale acestora.</w:t>
      </w:r>
    </w:p>
    <w:p w:rsidR="00B4550A" w:rsidRPr="00E0488D" w:rsidRDefault="00B4550A" w:rsidP="00B4550A">
      <w:pPr>
        <w:jc w:val="both"/>
        <w:rPr>
          <w:rFonts w:cs="Arial"/>
          <w:b/>
          <w:color w:val="9E0880"/>
          <w:sz w:val="22"/>
          <w:szCs w:val="22"/>
          <w:lang w:val="ro-RO"/>
        </w:rPr>
      </w:pPr>
      <w:r w:rsidRPr="00E0488D">
        <w:rPr>
          <w:rFonts w:cs="Arial"/>
          <w:b/>
          <w:color w:val="9E0880"/>
          <w:sz w:val="22"/>
          <w:szCs w:val="22"/>
          <w:lang w:val="ro-RO"/>
        </w:rPr>
        <w:t>Orizontul de timp al Master Planului</w:t>
      </w:r>
    </w:p>
    <w:p w:rsidR="00B4550A" w:rsidRPr="00E0488D" w:rsidRDefault="00B4550A" w:rsidP="00687448">
      <w:pPr>
        <w:pStyle w:val="PlainText"/>
        <w:numPr>
          <w:ilvl w:val="0"/>
          <w:numId w:val="58"/>
        </w:numPr>
        <w:spacing w:after="120" w:line="240" w:lineRule="auto"/>
        <w:rPr>
          <w:rFonts w:ascii="Arial" w:hAnsi="Arial" w:cs="Arial"/>
          <w:sz w:val="21"/>
          <w:szCs w:val="21"/>
          <w:lang w:val="ro-RO"/>
        </w:rPr>
      </w:pPr>
      <w:r w:rsidRPr="00E0488D">
        <w:rPr>
          <w:rFonts w:ascii="Arial" w:hAnsi="Arial" w:cs="Arial"/>
          <w:sz w:val="21"/>
          <w:szCs w:val="21"/>
          <w:lang w:val="ro-RO"/>
        </w:rPr>
        <w:t>Orizontul de timp al Master Planului este anul 2030. Având în vedere nivelul de incertitudine asociat prognozelor pe termen lung, orice recomandare dincolo de acest orizont de timp va trebui să fie reconfirmată printr-o actualizare a planului (de exemplu o revizuire a Master Planului în anul 2025).</w:t>
      </w:r>
    </w:p>
    <w:p w:rsidR="00B4550A" w:rsidRPr="00E0488D" w:rsidRDefault="00B4550A" w:rsidP="00687448">
      <w:pPr>
        <w:pStyle w:val="PlainText"/>
        <w:numPr>
          <w:ilvl w:val="0"/>
          <w:numId w:val="58"/>
        </w:numPr>
        <w:spacing w:after="120" w:line="240" w:lineRule="auto"/>
        <w:rPr>
          <w:rFonts w:ascii="Arial" w:hAnsi="Arial" w:cs="Arial"/>
          <w:sz w:val="21"/>
          <w:szCs w:val="21"/>
          <w:lang w:val="ro-RO"/>
        </w:rPr>
      </w:pPr>
      <w:r w:rsidRPr="00E0488D">
        <w:rPr>
          <w:rFonts w:ascii="Arial" w:hAnsi="Arial" w:cs="Arial"/>
          <w:sz w:val="21"/>
          <w:szCs w:val="21"/>
          <w:lang w:val="ro-RO"/>
        </w:rPr>
        <w:t>Cu toate acestea, pentru sectoarele cu o volatilitate ridicată, cum ar fi sectorul de transport aerian – în care nivelul de incertitudine asociat prognozelor de trafic este unul mai ridicat decât, de exemplu, în cazul transportului rutier, orizontul în care recomandările Master Planului trebuie luate în considerare (</w:t>
      </w:r>
      <w:r w:rsidRPr="00E0488D">
        <w:rPr>
          <w:rFonts w:cs="Arial"/>
          <w:sz w:val="21"/>
          <w:szCs w:val="21"/>
          <w:lang w:val="ro-RO"/>
        </w:rPr>
        <w:t>î</w:t>
      </w:r>
      <w:r w:rsidRPr="00E0488D">
        <w:rPr>
          <w:rFonts w:ascii="Arial" w:hAnsi="Arial" w:cs="Arial"/>
          <w:sz w:val="21"/>
          <w:szCs w:val="21"/>
          <w:lang w:val="ro-RO"/>
        </w:rPr>
        <w:t>n sensul planific</w:t>
      </w:r>
      <w:r w:rsidRPr="00E0488D">
        <w:rPr>
          <w:rFonts w:cs="Arial"/>
          <w:sz w:val="21"/>
          <w:szCs w:val="21"/>
          <w:lang w:val="ro-RO"/>
        </w:rPr>
        <w:t>ă</w:t>
      </w:r>
      <w:r w:rsidRPr="00E0488D">
        <w:rPr>
          <w:rFonts w:ascii="Arial" w:hAnsi="Arial" w:cs="Arial"/>
          <w:sz w:val="21"/>
          <w:szCs w:val="21"/>
          <w:lang w:val="ro-RO"/>
        </w:rPr>
        <w:t xml:space="preserve">rii </w:t>
      </w:r>
      <w:r w:rsidRPr="00E0488D">
        <w:rPr>
          <w:rFonts w:cs="Arial"/>
          <w:sz w:val="21"/>
          <w:szCs w:val="21"/>
          <w:lang w:val="ro-RO"/>
        </w:rPr>
        <w:t>ș</w:t>
      </w:r>
      <w:r w:rsidRPr="00E0488D">
        <w:rPr>
          <w:rFonts w:ascii="Arial" w:hAnsi="Arial" w:cs="Arial"/>
          <w:sz w:val="21"/>
          <w:szCs w:val="21"/>
          <w:lang w:val="ro-RO"/>
        </w:rPr>
        <w:t>i promov</w:t>
      </w:r>
      <w:r w:rsidRPr="00E0488D">
        <w:rPr>
          <w:rFonts w:cs="Arial"/>
          <w:sz w:val="21"/>
          <w:szCs w:val="21"/>
          <w:lang w:val="ro-RO"/>
        </w:rPr>
        <w:t>ă</w:t>
      </w:r>
      <w:r w:rsidRPr="00E0488D">
        <w:rPr>
          <w:rFonts w:ascii="Arial" w:hAnsi="Arial" w:cs="Arial"/>
          <w:sz w:val="21"/>
          <w:szCs w:val="21"/>
          <w:lang w:val="ro-RO"/>
        </w:rPr>
        <w:t>rii investi</w:t>
      </w:r>
      <w:r w:rsidRPr="00E0488D">
        <w:rPr>
          <w:rFonts w:cs="Arial"/>
          <w:sz w:val="21"/>
          <w:szCs w:val="21"/>
          <w:lang w:val="ro-RO"/>
        </w:rPr>
        <w:t>ț</w:t>
      </w:r>
      <w:r w:rsidRPr="00E0488D">
        <w:rPr>
          <w:rFonts w:ascii="Arial" w:hAnsi="Arial" w:cs="Arial"/>
          <w:sz w:val="21"/>
          <w:szCs w:val="21"/>
          <w:lang w:val="ro-RO"/>
        </w:rPr>
        <w:t>iilor) se limitează la anul 2020, iar recomandările dincolo de acest an vor trebui reconfirmate prin analize suplimentare, studii de piață (cerere/, trafic), etc.</w:t>
      </w:r>
    </w:p>
    <w:p w:rsidR="00B4550A" w:rsidRPr="00E0488D" w:rsidRDefault="00B4550A" w:rsidP="00B4550A">
      <w:pPr>
        <w:jc w:val="both"/>
        <w:rPr>
          <w:rFonts w:cs="Arial"/>
          <w:b/>
          <w:color w:val="9E0880"/>
          <w:lang w:val="ro-RO"/>
        </w:rPr>
      </w:pPr>
      <w:r w:rsidRPr="00E0488D">
        <w:rPr>
          <w:rFonts w:cs="Arial"/>
          <w:b/>
          <w:color w:val="9E0880"/>
          <w:sz w:val="22"/>
          <w:szCs w:val="22"/>
          <w:lang w:val="ro-RO"/>
        </w:rPr>
        <w:t>Nivelul de detaliu și relația cu Studiile de Fezabilitate</w:t>
      </w:r>
    </w:p>
    <w:p w:rsidR="00B4550A" w:rsidRPr="00E0488D" w:rsidRDefault="00B4550A" w:rsidP="00687448">
      <w:pPr>
        <w:pStyle w:val="PlainText"/>
        <w:numPr>
          <w:ilvl w:val="0"/>
          <w:numId w:val="59"/>
        </w:numPr>
        <w:spacing w:after="120" w:line="240" w:lineRule="auto"/>
        <w:rPr>
          <w:rFonts w:ascii="Arial" w:hAnsi="Arial" w:cs="Arial"/>
          <w:sz w:val="21"/>
          <w:szCs w:val="21"/>
          <w:lang w:val="ro-RO"/>
        </w:rPr>
      </w:pPr>
      <w:r w:rsidRPr="00E0488D">
        <w:rPr>
          <w:rFonts w:ascii="Arial" w:hAnsi="Arial" w:cs="Arial"/>
          <w:sz w:val="21"/>
          <w:szCs w:val="21"/>
          <w:lang w:val="ro-RO"/>
        </w:rPr>
        <w:t xml:space="preserve">Nivelul de detaliu al analizelor din Master Plan este unul strategic prin însăși natura acestei categorii de studii. În consecință și cu scopul de a asigura o comparație corectă între proiecte precum și pentru a putea compara într-un mod realist indicatorii de performanță economică ai proiectelor, au fost aplicate ipoteze generale privind costurile de investiție ale proiectelor (pe baza unor valori medii pe km/tip de infrastructură/tipul terenului). Acest lucru implică faptul că costurile estimate și utilizate în Master Plan nu sunt neapărat identice cu cele calculate în studii mai detaliate, cum ar fi Studiile de </w:t>
      </w:r>
      <w:r w:rsidRPr="00E0488D">
        <w:rPr>
          <w:rFonts w:ascii="Arial" w:hAnsi="Arial" w:cs="Arial"/>
          <w:sz w:val="21"/>
          <w:szCs w:val="21"/>
          <w:lang w:val="ro-RO"/>
        </w:rPr>
        <w:lastRenderedPageBreak/>
        <w:t>Fezabilitate (SF), ceea ce nu reprezintă o eroare ci doar o opțiune țmetodologică. Totuși, abaterea așteptată între aceste două categorii de costuri estimate nu trebuie să depășească 25%-30%, ceea ce reprezintă o marjă de eroare acceptată pentru o analiză la acest nivel de detaliu.</w:t>
      </w:r>
    </w:p>
    <w:p w:rsidR="00B4550A" w:rsidRPr="00E0488D" w:rsidRDefault="00B4550A" w:rsidP="00687448">
      <w:pPr>
        <w:pStyle w:val="ListParagraph"/>
        <w:numPr>
          <w:ilvl w:val="0"/>
          <w:numId w:val="58"/>
        </w:numPr>
        <w:spacing w:after="120" w:line="240" w:lineRule="auto"/>
        <w:rPr>
          <w:sz w:val="21"/>
          <w:szCs w:val="21"/>
          <w:lang w:val="ro-RO"/>
        </w:rPr>
      </w:pPr>
      <w:r w:rsidRPr="00E0488D">
        <w:rPr>
          <w:sz w:val="21"/>
          <w:szCs w:val="21"/>
          <w:lang w:val="ro-RO"/>
        </w:rPr>
        <w:t>Un aspect inerent al analizelor la nivel strategic din cadrul Master Planului este gradul de aproximare legat de performanța economică a proiectelor, dat de (i) gradul de incertitudine al estimărilor de cost și (ii) scala beneficiilor economice (beneficiile generate la nivel local nu sunt incluse, deoarece Modelul Național de Transport include doar reprezentările deplasărilor interzonale). Prin urmare, indicatorii de performanță economică ai proiectelor trebuie considerați ca fiind provizorii până la momentul în care se elaborează studii la un nivel de detaliere mai ridicat (cum ar fi SF). O consecință metodologică a fost aceea de a nu exclude acele proiecte cu EIRR sub 5%, reprezentând rata economică de actualizare, așa cum se practică în mod obișnuit ci de a coborî pragul rentabilității economice la 3%, cu înțelegerea că decizia finală privind promovarea proiectelor din punctul de vedere al eficienței economice va fi luată urmare a unei analize mai detaliate a costurilor și beneficiilor, la nivel de SF.</w:t>
      </w:r>
    </w:p>
    <w:p w:rsidR="00B4550A" w:rsidRPr="00E0488D" w:rsidRDefault="00B4550A" w:rsidP="00687448">
      <w:pPr>
        <w:pStyle w:val="ListParagraph"/>
        <w:numPr>
          <w:ilvl w:val="0"/>
          <w:numId w:val="58"/>
        </w:numPr>
        <w:spacing w:after="120" w:line="240" w:lineRule="auto"/>
        <w:rPr>
          <w:sz w:val="21"/>
          <w:szCs w:val="21"/>
          <w:lang w:val="ro-RO"/>
        </w:rPr>
      </w:pPr>
      <w:r w:rsidRPr="00E0488D">
        <w:rPr>
          <w:sz w:val="21"/>
          <w:szCs w:val="21"/>
          <w:lang w:val="ro-RO"/>
        </w:rPr>
        <w:t>Aceeași logică se aplică și pentru soluțiile tehnice recomandate. Master Planul a definit măsuri generice de implementare a intervențiilor cu scopul de a răspunde obiectivelor operaționale selectate ca urmare a procesului de identificare a problemelor – obiective precum “</w:t>
      </w:r>
      <w:r w:rsidRPr="00E0488D">
        <w:rPr>
          <w:i/>
          <w:sz w:val="21"/>
          <w:szCs w:val="21"/>
          <w:lang w:val="ro-RO"/>
        </w:rPr>
        <w:t>Creșterea vitezelor operaționale pe Coridorul rutier București – Vest</w:t>
      </w:r>
      <w:r w:rsidRPr="00E0488D">
        <w:rPr>
          <w:sz w:val="21"/>
          <w:szCs w:val="21"/>
          <w:lang w:val="ro-RO"/>
        </w:rPr>
        <w:t>”. Pentru ca proiectele să poată fi modelate, testate, cuantificate din punct de vedere a costurilor au fost definite anumite soluții tehnice, cum ar fi autostradă 2x2, drum expres 2x2, etc. Astfel de soluții tehnice vor trebui însă reconfirmate pentru fiecare proiect individual în cadrul unui SF pe baza unor analize detaliate, incluzând analiza de opțiuni, estimări de cost, analize de capacitate, analiza economică și studiul de impact asupra mediului. Prin urmare, este imperios necesar ca Termenii de Referință pentru viitoarele Studii de Fezabilitate să includă cerințe specifice privind necesitatea desfășurării unor astfel de analize de detaliu.</w:t>
      </w:r>
    </w:p>
    <w:p w:rsidR="00B4550A" w:rsidRPr="00E0488D" w:rsidRDefault="00B4550A" w:rsidP="00687448">
      <w:pPr>
        <w:pStyle w:val="ListParagraph"/>
        <w:numPr>
          <w:ilvl w:val="0"/>
          <w:numId w:val="58"/>
        </w:numPr>
        <w:spacing w:after="120" w:line="240" w:lineRule="auto"/>
        <w:rPr>
          <w:sz w:val="21"/>
          <w:szCs w:val="21"/>
          <w:lang w:val="ro-RO"/>
        </w:rPr>
      </w:pPr>
      <w:r w:rsidRPr="00E0488D">
        <w:rPr>
          <w:sz w:val="21"/>
          <w:szCs w:val="21"/>
          <w:lang w:val="ro-RO"/>
        </w:rPr>
        <w:t>În același sens, abordarea recomandată – care va trebui reconfirmat însă de la caz la caz la nivel de SF – este ca infrastructura să fie astfel proiectată astfel încât să permită dezvoltări ulterioare (de exemplu de la profil de drum expres la profil de autostradă, de la 2 la 3 benzi pe sens, etc.), dacă și când asemenea dezvoltări vor fi justificate de cerere și acoperite de sursele de finanțare.</w:t>
      </w:r>
    </w:p>
    <w:p w:rsidR="00B4550A" w:rsidRPr="00E0488D" w:rsidRDefault="00B4550A" w:rsidP="00B4550A">
      <w:pPr>
        <w:spacing w:after="120"/>
        <w:jc w:val="both"/>
        <w:rPr>
          <w:rFonts w:cs="Arial"/>
          <w:b/>
          <w:bCs/>
          <w:sz w:val="21"/>
          <w:szCs w:val="21"/>
          <w:lang w:val="ro-RO"/>
        </w:rPr>
      </w:pPr>
    </w:p>
    <w:p w:rsidR="00B4550A" w:rsidRPr="00E0488D" w:rsidRDefault="00B4550A" w:rsidP="00B4550A">
      <w:pPr>
        <w:jc w:val="both"/>
        <w:rPr>
          <w:rFonts w:cs="Arial"/>
          <w:b/>
          <w:color w:val="9E0880"/>
          <w:sz w:val="22"/>
          <w:szCs w:val="22"/>
          <w:lang w:val="ro-RO"/>
        </w:rPr>
      </w:pPr>
      <w:r w:rsidRPr="00E0488D">
        <w:rPr>
          <w:rFonts w:cs="Arial"/>
          <w:b/>
          <w:color w:val="9E0880"/>
          <w:sz w:val="22"/>
          <w:szCs w:val="22"/>
          <w:lang w:val="ro-RO"/>
        </w:rPr>
        <w:t>Concluzii</w:t>
      </w:r>
    </w:p>
    <w:p w:rsidR="00B4550A" w:rsidRPr="00E0488D" w:rsidRDefault="00B4550A" w:rsidP="00687448">
      <w:pPr>
        <w:pStyle w:val="ListParagraph"/>
        <w:numPr>
          <w:ilvl w:val="0"/>
          <w:numId w:val="56"/>
        </w:numPr>
        <w:spacing w:after="120" w:line="240" w:lineRule="auto"/>
        <w:rPr>
          <w:sz w:val="21"/>
          <w:szCs w:val="21"/>
          <w:lang w:val="ro-RO"/>
        </w:rPr>
      </w:pPr>
      <w:r w:rsidRPr="00E0488D">
        <w:rPr>
          <w:sz w:val="21"/>
          <w:szCs w:val="21"/>
          <w:lang w:val="ro-RO"/>
        </w:rPr>
        <w:t xml:space="preserve">În concluzie, acest Master Plan a fost elaborat la un anumit moment de timp, pe baza celor mai bune informații disponibile la acel moment și având ca fundament un proces robust de evaluare a diverselor proiecte propuse. În timp vor apărea schimbări și evoluții ce vor avea impact asupra costurilor, standardelor și performanțelor fiecărui proiect de infrastructură propus. Printre altele, acestea includ: </w:t>
      </w:r>
    </w:p>
    <w:p w:rsidR="00B4550A" w:rsidRPr="00E0488D" w:rsidRDefault="00B4550A" w:rsidP="00687448">
      <w:pPr>
        <w:pStyle w:val="ListParagraph"/>
        <w:numPr>
          <w:ilvl w:val="0"/>
          <w:numId w:val="57"/>
        </w:numPr>
        <w:spacing w:after="120" w:line="240" w:lineRule="auto"/>
        <w:rPr>
          <w:sz w:val="21"/>
          <w:szCs w:val="21"/>
          <w:lang w:val="ro-RO"/>
        </w:rPr>
      </w:pPr>
      <w:r w:rsidRPr="00E0488D">
        <w:rPr>
          <w:sz w:val="21"/>
          <w:szCs w:val="21"/>
          <w:lang w:val="ro-RO"/>
        </w:rPr>
        <w:t>Modificări ale calendarului de implementare a altor proiecte din cadrul altor moduri sau sectoare de transport, care au impact asupra proiectului în cauză.</w:t>
      </w:r>
    </w:p>
    <w:p w:rsidR="00B4550A" w:rsidRPr="00E0488D" w:rsidRDefault="00B4550A" w:rsidP="00687448">
      <w:pPr>
        <w:pStyle w:val="ListParagraph"/>
        <w:numPr>
          <w:ilvl w:val="0"/>
          <w:numId w:val="57"/>
        </w:numPr>
        <w:spacing w:after="120" w:line="240" w:lineRule="auto"/>
        <w:rPr>
          <w:sz w:val="21"/>
          <w:szCs w:val="21"/>
          <w:lang w:val="ro-RO"/>
        </w:rPr>
      </w:pPr>
      <w:r w:rsidRPr="00E0488D">
        <w:rPr>
          <w:sz w:val="21"/>
          <w:szCs w:val="21"/>
          <w:lang w:val="ro-RO"/>
        </w:rPr>
        <w:t>Actualizarea informațiilor particulare referitoare la un anumit proiect, urmare a desfășurării unor studii mai detaliate, cum ar fi Studii de Fezabilitate și Proiecte Tehnice.</w:t>
      </w:r>
    </w:p>
    <w:p w:rsidR="00B4550A" w:rsidRPr="00E0488D" w:rsidRDefault="00B4550A" w:rsidP="00687448">
      <w:pPr>
        <w:pStyle w:val="ListParagraph"/>
        <w:numPr>
          <w:ilvl w:val="0"/>
          <w:numId w:val="57"/>
        </w:numPr>
        <w:spacing w:after="120" w:line="240" w:lineRule="auto"/>
        <w:rPr>
          <w:sz w:val="21"/>
          <w:szCs w:val="21"/>
          <w:lang w:val="ro-RO"/>
        </w:rPr>
      </w:pPr>
      <w:r w:rsidRPr="00E0488D">
        <w:rPr>
          <w:sz w:val="21"/>
          <w:szCs w:val="21"/>
          <w:lang w:val="ro-RO"/>
        </w:rPr>
        <w:t>Factori externi cum ar fi variații ale performanței la nivel macroeconomic a țării, care au impact asupra cererii prognozate pentru un anumit proiect.</w:t>
      </w:r>
    </w:p>
    <w:p w:rsidR="00B4550A" w:rsidRPr="00E0488D" w:rsidRDefault="00B4550A" w:rsidP="00687448">
      <w:pPr>
        <w:pStyle w:val="ListParagraph"/>
        <w:numPr>
          <w:ilvl w:val="0"/>
          <w:numId w:val="56"/>
        </w:numPr>
        <w:spacing w:after="120" w:line="240" w:lineRule="auto"/>
        <w:rPr>
          <w:sz w:val="21"/>
          <w:szCs w:val="21"/>
          <w:lang w:val="ro-RO"/>
        </w:rPr>
      </w:pPr>
      <w:r w:rsidRPr="00E0488D">
        <w:rPr>
          <w:sz w:val="21"/>
          <w:szCs w:val="21"/>
          <w:lang w:val="ro-RO"/>
        </w:rPr>
        <w:t xml:space="preserve">Fiecare dintre acești factori pot afecta standardul necesar pentru implementarea unui anumit proiect, costurile de implementare precum și performanța economică. Astfel, este important ca Master Planul să fie perceput ca un document viu care oferă o platformă robustă pentru dezvoltarea sectorului de transport, dar care va avea, la rândul său, nevoie de îmbunătățiri și revizuiri la intervale periodice de timp pentru a putea asigura îndeplinirea obiectivelor de dezvoltare a sectorului de transport. </w:t>
      </w:r>
    </w:p>
    <w:p w:rsidR="00B4550A" w:rsidRPr="00E0488D" w:rsidRDefault="00B4550A" w:rsidP="00687448">
      <w:pPr>
        <w:pStyle w:val="ListParagraph"/>
        <w:numPr>
          <w:ilvl w:val="0"/>
          <w:numId w:val="56"/>
        </w:numPr>
        <w:spacing w:after="120" w:line="240" w:lineRule="auto"/>
        <w:rPr>
          <w:caps/>
          <w:sz w:val="21"/>
          <w:szCs w:val="21"/>
          <w:lang w:val="ro-RO"/>
        </w:rPr>
      </w:pPr>
      <w:r w:rsidRPr="00E0488D">
        <w:rPr>
          <w:sz w:val="21"/>
          <w:szCs w:val="21"/>
          <w:lang w:val="ro-RO"/>
        </w:rPr>
        <w:t xml:space="preserve">Acest Raport privind Master Planul General de Transport va avea asociat un Plan separat de Implementare a Proiectelor, ce va defini programul de eșalonare a proiectelor. Planul de Implementare va lua în considerare gradul de maturitate al proiectelor precum și eligibilitatea la diferite surse de finanțare, criterii care nu au fost incluse în evaluarea multicriterială utilizată la prioritizarea proiectelor din cadrul Master Planului. Este astfel posibil ca în cadrul Planului de Implementare proiectele să fie promovate într-o ordine diferită față de cea indicată în lista de proiecte prioritizate din cadrul raportului de față. </w:t>
      </w:r>
    </w:p>
    <w:p w:rsidR="00B4550A" w:rsidRPr="00E0488D" w:rsidRDefault="00B4550A" w:rsidP="00B4550A">
      <w:pPr>
        <w:rPr>
          <w:caps/>
          <w:sz w:val="21"/>
          <w:szCs w:val="21"/>
          <w:lang w:val="ro-RO"/>
        </w:rPr>
      </w:pPr>
      <w:r w:rsidRPr="00E0488D">
        <w:rPr>
          <w:caps/>
          <w:sz w:val="21"/>
          <w:szCs w:val="21"/>
          <w:lang w:val="ro-RO"/>
        </w:rPr>
        <w:br w:type="page"/>
      </w:r>
    </w:p>
    <w:p w:rsidR="00B4550A" w:rsidRPr="00E0488D" w:rsidRDefault="00B4550A" w:rsidP="00B4550A">
      <w:pPr>
        <w:rPr>
          <w:caps/>
          <w:sz w:val="21"/>
          <w:szCs w:val="21"/>
          <w:lang w:val="ro-RO"/>
        </w:rPr>
        <w:sectPr w:rsidR="00B4550A" w:rsidRPr="00E0488D" w:rsidSect="00D578D6">
          <w:headerReference w:type="default" r:id="rId23"/>
          <w:type w:val="continuous"/>
          <w:pgSz w:w="11907" w:h="16840" w:code="9"/>
          <w:pgMar w:top="-1134" w:right="709" w:bottom="1729" w:left="907" w:header="357" w:footer="567" w:gutter="0"/>
          <w:pgBorders w:offsetFrom="page">
            <w:top w:val="single" w:sz="4" w:space="24" w:color="auto"/>
            <w:left w:val="single" w:sz="4" w:space="24" w:color="auto"/>
            <w:bottom w:val="single" w:sz="4" w:space="24" w:color="auto"/>
            <w:right w:val="single" w:sz="4" w:space="24" w:color="auto"/>
          </w:pgBorders>
          <w:cols w:space="187"/>
          <w:docGrid w:linePitch="360"/>
        </w:sectPr>
      </w:pPr>
    </w:p>
    <w:p w:rsidR="00B4550A" w:rsidRPr="00E0488D" w:rsidRDefault="00B4550A" w:rsidP="00B4550A">
      <w:pPr>
        <w:rPr>
          <w:rFonts w:cs="Arial"/>
          <w:b/>
          <w:color w:val="9E0880"/>
          <w:sz w:val="22"/>
          <w:szCs w:val="22"/>
          <w:lang w:val="ro-RO"/>
        </w:rPr>
      </w:pPr>
      <w:r w:rsidRPr="00E0488D">
        <w:rPr>
          <w:rFonts w:cs="Arial"/>
          <w:b/>
          <w:color w:val="9E0880"/>
          <w:sz w:val="22"/>
          <w:szCs w:val="22"/>
          <w:lang w:val="ro-RO"/>
        </w:rPr>
        <w:lastRenderedPageBreak/>
        <w:t>Măsura în care Master Planul îndeplinește condiționalitățile ex-ante stipulate în documentul de referință</w:t>
      </w:r>
    </w:p>
    <w:p w:rsidR="00B4550A" w:rsidRPr="00E0488D" w:rsidRDefault="00B4550A" w:rsidP="00B4550A">
      <w:pPr>
        <w:rPr>
          <w:rFonts w:cs="Arial"/>
          <w:b/>
          <w:color w:val="9E0880"/>
          <w:sz w:val="22"/>
          <w:szCs w:val="22"/>
          <w:lang w:val="ro-RO"/>
        </w:rPr>
      </w:pPr>
      <w:r w:rsidRPr="00E0488D">
        <w:rPr>
          <w:rFonts w:cs="Arial"/>
          <w:b/>
          <w:color w:val="9E0880"/>
          <w:sz w:val="22"/>
          <w:szCs w:val="22"/>
          <w:lang w:val="ro-RO"/>
        </w:rPr>
        <w:t>COMISIA EUROPEANĂ, DG - Politici Regionale și Urbane -  DRAFT -“Ghid privind condiționalitățile ex-ante pentru accesarea fondurilor structurale și de investiții europene”, PARTEA II, “Criterii de îndeplinit”</w:t>
      </w:r>
    </w:p>
    <w:p w:rsidR="00B4550A" w:rsidRPr="00E0488D" w:rsidRDefault="00B4550A" w:rsidP="00B4550A">
      <w:pPr>
        <w:rPr>
          <w:rFonts w:cs="Arial"/>
          <w:b/>
          <w:color w:val="9E0880"/>
          <w:sz w:val="22"/>
          <w:szCs w:val="22"/>
          <w:lang w:val="ro-RO"/>
        </w:rPr>
      </w:pPr>
    </w:p>
    <w:tbl>
      <w:tblPr>
        <w:tblStyle w:val="TableGrid"/>
        <w:tblW w:w="5000" w:type="pct"/>
        <w:tblLayout w:type="fixed"/>
        <w:tblLook w:val="04A0" w:firstRow="1" w:lastRow="0" w:firstColumn="1" w:lastColumn="0" w:noHBand="0" w:noVBand="1"/>
      </w:tblPr>
      <w:tblGrid>
        <w:gridCol w:w="9014"/>
        <w:gridCol w:w="1077"/>
        <w:gridCol w:w="4697"/>
      </w:tblGrid>
      <w:tr w:rsidR="00B4550A" w:rsidRPr="00E0488D" w:rsidTr="003C7FC8">
        <w:trPr>
          <w:trHeight w:val="544"/>
          <w:tblHeader/>
        </w:trPr>
        <w:tc>
          <w:tcPr>
            <w:tcW w:w="3048" w:type="pct"/>
            <w:vMerge w:val="restart"/>
            <w:shd w:val="clear" w:color="auto" w:fill="B8CCE4" w:themeFill="accent1" w:themeFillTint="66"/>
            <w:vAlign w:val="center"/>
          </w:tcPr>
          <w:p w:rsidR="00B4550A" w:rsidRPr="00E0488D" w:rsidRDefault="00B4550A" w:rsidP="003C7FC8">
            <w:pPr>
              <w:spacing w:line="222" w:lineRule="exact"/>
              <w:jc w:val="center"/>
              <w:rPr>
                <w:rFonts w:cs="Arial"/>
                <w:b/>
                <w:sz w:val="20"/>
                <w:szCs w:val="20"/>
                <w:lang w:val="ro-RO"/>
              </w:rPr>
            </w:pPr>
            <w:r w:rsidRPr="00E0488D">
              <w:rPr>
                <w:rFonts w:cs="Arial"/>
                <w:b/>
                <w:sz w:val="20"/>
                <w:szCs w:val="20"/>
                <w:lang w:val="ro-RO"/>
              </w:rPr>
              <w:t>Criterii de îndeplinit</w:t>
            </w:r>
          </w:p>
        </w:tc>
        <w:tc>
          <w:tcPr>
            <w:tcW w:w="1952" w:type="pct"/>
            <w:gridSpan w:val="2"/>
            <w:shd w:val="clear" w:color="auto" w:fill="B8CCE4" w:themeFill="accent1" w:themeFillTint="66"/>
            <w:vAlign w:val="center"/>
          </w:tcPr>
          <w:p w:rsidR="00B4550A" w:rsidRPr="00E0488D" w:rsidRDefault="00B4550A" w:rsidP="003C7FC8">
            <w:pPr>
              <w:spacing w:before="39"/>
              <w:ind w:left="642" w:right="-20"/>
              <w:jc w:val="center"/>
              <w:rPr>
                <w:rFonts w:cs="Arial"/>
                <w:b/>
                <w:sz w:val="20"/>
                <w:szCs w:val="20"/>
                <w:lang w:val="ro-RO"/>
              </w:rPr>
            </w:pPr>
            <w:r w:rsidRPr="00E0488D">
              <w:rPr>
                <w:rFonts w:cs="Arial"/>
                <w:b/>
                <w:sz w:val="20"/>
                <w:szCs w:val="20"/>
                <w:lang w:val="ro-RO"/>
              </w:rPr>
              <w:t>Criteriu indeplinit?</w:t>
            </w:r>
          </w:p>
        </w:tc>
      </w:tr>
      <w:tr w:rsidR="00B4550A" w:rsidRPr="00E0488D" w:rsidTr="003C7FC8">
        <w:trPr>
          <w:trHeight w:val="759"/>
          <w:tblHeader/>
        </w:trPr>
        <w:tc>
          <w:tcPr>
            <w:tcW w:w="3048" w:type="pct"/>
            <w:vMerge/>
            <w:shd w:val="clear" w:color="auto" w:fill="B8CCE4" w:themeFill="accent1" w:themeFillTint="66"/>
            <w:vAlign w:val="center"/>
          </w:tcPr>
          <w:p w:rsidR="00B4550A" w:rsidRPr="00E0488D" w:rsidRDefault="00B4550A" w:rsidP="003C7FC8">
            <w:pPr>
              <w:spacing w:line="222" w:lineRule="exact"/>
              <w:jc w:val="center"/>
              <w:rPr>
                <w:rFonts w:cs="Arial"/>
                <w:b/>
                <w:sz w:val="20"/>
                <w:szCs w:val="20"/>
                <w:lang w:val="ro-RO"/>
              </w:rPr>
            </w:pPr>
          </w:p>
        </w:tc>
        <w:tc>
          <w:tcPr>
            <w:tcW w:w="364" w:type="pct"/>
            <w:shd w:val="clear" w:color="auto" w:fill="B8CCE4" w:themeFill="accent1" w:themeFillTint="66"/>
            <w:vAlign w:val="center"/>
          </w:tcPr>
          <w:p w:rsidR="00B4550A" w:rsidRPr="00E0488D" w:rsidRDefault="00B4550A" w:rsidP="003C7FC8">
            <w:pPr>
              <w:spacing w:before="39"/>
              <w:ind w:right="-20"/>
              <w:jc w:val="center"/>
              <w:rPr>
                <w:rFonts w:cs="Arial"/>
                <w:b/>
                <w:sz w:val="20"/>
                <w:szCs w:val="20"/>
                <w:lang w:val="ro-RO"/>
              </w:rPr>
            </w:pPr>
            <w:r w:rsidRPr="00E0488D">
              <w:rPr>
                <w:rFonts w:cs="Arial"/>
                <w:b/>
                <w:sz w:val="20"/>
                <w:szCs w:val="20"/>
                <w:lang w:val="ro-RO"/>
              </w:rPr>
              <w:t>DA / NU</w:t>
            </w:r>
          </w:p>
        </w:tc>
        <w:tc>
          <w:tcPr>
            <w:tcW w:w="1588" w:type="pct"/>
            <w:shd w:val="clear" w:color="auto" w:fill="B8CCE4" w:themeFill="accent1" w:themeFillTint="66"/>
            <w:vAlign w:val="center"/>
          </w:tcPr>
          <w:p w:rsidR="00B4550A" w:rsidRPr="00E0488D" w:rsidRDefault="00B4550A" w:rsidP="003C7FC8">
            <w:pPr>
              <w:spacing w:before="39"/>
              <w:ind w:left="642" w:right="-20"/>
              <w:jc w:val="center"/>
              <w:rPr>
                <w:rFonts w:cs="Arial"/>
                <w:b/>
                <w:sz w:val="20"/>
                <w:szCs w:val="20"/>
                <w:lang w:val="ro-RO"/>
              </w:rPr>
            </w:pPr>
            <w:r w:rsidRPr="00E0488D">
              <w:rPr>
                <w:rFonts w:cs="Arial"/>
                <w:b/>
                <w:sz w:val="20"/>
                <w:szCs w:val="20"/>
                <w:lang w:val="ro-RO"/>
              </w:rPr>
              <w:t>Elemente de neîndeplinire</w:t>
            </w:r>
          </w:p>
        </w:tc>
      </w:tr>
      <w:tr w:rsidR="00B4550A" w:rsidRPr="00E0488D" w:rsidTr="003C7FC8">
        <w:tc>
          <w:tcPr>
            <w:tcW w:w="3048" w:type="pct"/>
            <w:vAlign w:val="center"/>
          </w:tcPr>
          <w:p w:rsidR="00B4550A" w:rsidRPr="00E0488D" w:rsidRDefault="00B4550A" w:rsidP="003C7FC8">
            <w:pPr>
              <w:spacing w:line="222" w:lineRule="exact"/>
              <w:rPr>
                <w:rFonts w:cs="Arial"/>
                <w:b/>
                <w:sz w:val="20"/>
                <w:szCs w:val="20"/>
                <w:lang w:val="ro-RO"/>
              </w:rPr>
            </w:pPr>
            <w:r w:rsidRPr="00E0488D">
              <w:rPr>
                <w:rStyle w:val="hps"/>
                <w:rFonts w:cs="Arial"/>
                <w:b/>
                <w:i/>
                <w:color w:val="000000" w:themeColor="text1"/>
                <w:sz w:val="20"/>
                <w:szCs w:val="20"/>
                <w:lang w:val="ro-RO"/>
              </w:rPr>
              <w:t>Existența unui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plan global de transport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sau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planuri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sau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cadru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sau cadre</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pentru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investiții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de transport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care</w:t>
            </w:r>
            <w:r w:rsidRPr="00E0488D">
              <w:rPr>
                <w:rFonts w:cs="Arial"/>
                <w:b/>
                <w:i/>
                <w:sz w:val="20"/>
                <w:szCs w:val="20"/>
                <w:lang w:val="ro-RO"/>
              </w:rPr>
              <w:t>:</w:t>
            </w:r>
          </w:p>
        </w:tc>
        <w:tc>
          <w:tcPr>
            <w:tcW w:w="364" w:type="pct"/>
            <w:vAlign w:val="center"/>
          </w:tcPr>
          <w:p w:rsidR="00B4550A" w:rsidRPr="00E0488D" w:rsidRDefault="00B4550A" w:rsidP="003C7FC8">
            <w:pPr>
              <w:spacing w:line="222" w:lineRule="exact"/>
              <w:jc w:val="center"/>
              <w:rPr>
                <w:rFonts w:cs="Arial"/>
                <w:b/>
                <w:sz w:val="20"/>
                <w:szCs w:val="20"/>
                <w:lang w:val="ro-RO"/>
              </w:rPr>
            </w:pPr>
          </w:p>
        </w:tc>
        <w:tc>
          <w:tcPr>
            <w:tcW w:w="1588" w:type="pct"/>
            <w:vAlign w:val="center"/>
          </w:tcPr>
          <w:p w:rsidR="00B4550A" w:rsidRPr="00E0488D" w:rsidRDefault="00B4550A" w:rsidP="003C7FC8">
            <w:pPr>
              <w:spacing w:line="222" w:lineRule="exact"/>
              <w:rPr>
                <w:rFonts w:cs="Arial"/>
                <w:b/>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820"/>
              </w:tabs>
              <w:spacing w:before="60" w:line="240" w:lineRule="auto"/>
              <w:contextualSpacing/>
              <w:jc w:val="left"/>
              <w:rPr>
                <w:color w:val="000000" w:themeColor="text1"/>
                <w:lang w:val="ro-RO"/>
              </w:rPr>
            </w:pPr>
            <w:r w:rsidRPr="00E0488D">
              <w:rPr>
                <w:rStyle w:val="hps"/>
                <w:color w:val="000000" w:themeColor="text1"/>
                <w:lang w:val="ro-RO"/>
              </w:rPr>
              <w:t>Programul operațional</w:t>
            </w:r>
            <w:r w:rsidRPr="00E0488D">
              <w:rPr>
                <w:color w:val="000000" w:themeColor="text1"/>
                <w:lang w:val="ro-RO"/>
              </w:rPr>
              <w:t xml:space="preserve"> </w:t>
            </w:r>
            <w:r w:rsidRPr="00E0488D">
              <w:rPr>
                <w:rStyle w:val="hps"/>
                <w:color w:val="000000" w:themeColor="text1"/>
                <w:lang w:val="ro-RO"/>
              </w:rPr>
              <w:t>relevant</w:t>
            </w:r>
            <w:r w:rsidRPr="00E0488D">
              <w:rPr>
                <w:color w:val="000000" w:themeColor="text1"/>
                <w:lang w:val="ro-RO"/>
              </w:rPr>
              <w:t xml:space="preserve"> </w:t>
            </w:r>
            <w:r w:rsidRPr="00E0488D">
              <w:rPr>
                <w:rStyle w:val="hps"/>
                <w:color w:val="000000" w:themeColor="text1"/>
                <w:lang w:val="ro-RO"/>
              </w:rPr>
              <w:t>și, după caz,</w:t>
            </w:r>
            <w:r w:rsidRPr="00E0488D">
              <w:rPr>
                <w:color w:val="000000" w:themeColor="text1"/>
                <w:lang w:val="ro-RO"/>
              </w:rPr>
              <w:t xml:space="preserve"> </w:t>
            </w:r>
            <w:r w:rsidRPr="00E0488D">
              <w:rPr>
                <w:rStyle w:val="hps"/>
                <w:color w:val="000000" w:themeColor="text1"/>
                <w:lang w:val="ro-RO"/>
              </w:rPr>
              <w:t>Acordul de Parteneriat</w:t>
            </w:r>
            <w:r w:rsidRPr="00E0488D">
              <w:rPr>
                <w:color w:val="000000" w:themeColor="text1"/>
                <w:lang w:val="ro-RO"/>
              </w:rPr>
              <w:t xml:space="preserve"> </w:t>
            </w:r>
            <w:r w:rsidRPr="00E0488D">
              <w:rPr>
                <w:rStyle w:val="hps"/>
                <w:color w:val="000000" w:themeColor="text1"/>
                <w:lang w:val="ro-RO"/>
              </w:rPr>
              <w:t>conține o</w:t>
            </w:r>
            <w:r w:rsidRPr="00E0488D">
              <w:rPr>
                <w:color w:val="000000" w:themeColor="text1"/>
                <w:lang w:val="ro-RO"/>
              </w:rPr>
              <w:t xml:space="preserve"> </w:t>
            </w:r>
            <w:r w:rsidRPr="00E0488D">
              <w:rPr>
                <w:rStyle w:val="hps"/>
                <w:color w:val="000000" w:themeColor="text1"/>
                <w:lang w:val="ro-RO"/>
              </w:rPr>
              <w:t>referire</w:t>
            </w:r>
            <w:r w:rsidRPr="00E0488D">
              <w:rPr>
                <w:color w:val="000000" w:themeColor="text1"/>
                <w:lang w:val="ro-RO"/>
              </w:rPr>
              <w:t xml:space="preserve"> </w:t>
            </w:r>
            <w:r w:rsidRPr="00E0488D">
              <w:rPr>
                <w:rStyle w:val="hps"/>
                <w:color w:val="000000" w:themeColor="text1"/>
                <w:lang w:val="ro-RO"/>
              </w:rPr>
              <w:t>la</w:t>
            </w:r>
            <w:r w:rsidRPr="00E0488D">
              <w:rPr>
                <w:color w:val="000000" w:themeColor="text1"/>
                <w:lang w:val="ro-RO"/>
              </w:rPr>
              <w:t xml:space="preserve"> </w:t>
            </w:r>
            <w:r w:rsidRPr="00E0488D">
              <w:rPr>
                <w:rStyle w:val="hps"/>
                <w:color w:val="000000" w:themeColor="text1"/>
                <w:lang w:val="ro-RO"/>
              </w:rPr>
              <w:t>denumirea</w:t>
            </w:r>
            <w:r w:rsidRPr="00E0488D">
              <w:rPr>
                <w:color w:val="000000" w:themeColor="text1"/>
                <w:lang w:val="ro-RO"/>
              </w:rPr>
              <w:t xml:space="preserve"> </w:t>
            </w:r>
            <w:r w:rsidRPr="00E0488D">
              <w:rPr>
                <w:rStyle w:val="hps"/>
                <w:color w:val="000000" w:themeColor="text1"/>
                <w:lang w:val="ro-RO"/>
              </w:rPr>
              <w:t>planului</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oferă</w:t>
            </w:r>
            <w:r w:rsidRPr="00E0488D">
              <w:rPr>
                <w:color w:val="000000" w:themeColor="text1"/>
                <w:lang w:val="ro-RO"/>
              </w:rPr>
              <w:t xml:space="preserve"> </w:t>
            </w:r>
            <w:r w:rsidRPr="00E0488D">
              <w:rPr>
                <w:rStyle w:val="hps"/>
                <w:color w:val="000000" w:themeColor="text1"/>
                <w:lang w:val="ro-RO"/>
              </w:rPr>
              <w:t>un</w:t>
            </w:r>
            <w:r w:rsidRPr="00E0488D">
              <w:rPr>
                <w:color w:val="000000" w:themeColor="text1"/>
                <w:lang w:val="ro-RO"/>
              </w:rPr>
              <w:t xml:space="preserve"> </w:t>
            </w:r>
            <w:r w:rsidRPr="00E0488D">
              <w:rPr>
                <w:rStyle w:val="hps"/>
                <w:color w:val="000000" w:themeColor="text1"/>
                <w:lang w:val="ro-RO"/>
              </w:rPr>
              <w:t>hyperlink</w:t>
            </w:r>
            <w:r w:rsidRPr="00E0488D">
              <w:rPr>
                <w:color w:val="000000" w:themeColor="text1"/>
                <w:lang w:val="ro-RO"/>
              </w:rPr>
              <w:t xml:space="preserve"> </w:t>
            </w:r>
            <w:r w:rsidRPr="00E0488D">
              <w:rPr>
                <w:rStyle w:val="hps"/>
                <w:color w:val="000000" w:themeColor="text1"/>
                <w:lang w:val="ro-RO"/>
              </w:rPr>
              <w:t>la document</w:t>
            </w:r>
            <w:r w:rsidRPr="00E0488D">
              <w:rPr>
                <w:color w:val="000000" w:themeColor="text1"/>
                <w:lang w:val="ro-RO"/>
              </w:rPr>
              <w:t xml:space="preserve"> </w:t>
            </w:r>
            <w:r w:rsidRPr="00E0488D">
              <w:rPr>
                <w:rStyle w:val="hps"/>
                <w:color w:val="000000" w:themeColor="text1"/>
                <w:lang w:val="ro-RO"/>
              </w:rPr>
              <w:t>(e)</w:t>
            </w:r>
            <w:r w:rsidRPr="00E0488D">
              <w:rPr>
                <w:color w:val="000000" w:themeColor="text1"/>
                <w:lang w:val="ro-RO"/>
              </w:rPr>
              <w:t>.</w:t>
            </w:r>
          </w:p>
        </w:tc>
        <w:tc>
          <w:tcPr>
            <w:tcW w:w="364" w:type="pct"/>
            <w:vAlign w:val="center"/>
          </w:tcPr>
          <w:p w:rsidR="00B4550A" w:rsidRPr="00E0488D" w:rsidRDefault="00B4550A" w:rsidP="003C7FC8">
            <w:pPr>
              <w:tabs>
                <w:tab w:val="left" w:pos="820"/>
              </w:tabs>
              <w:spacing w:before="60"/>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tabs>
                <w:tab w:val="left" w:pos="820"/>
              </w:tabs>
              <w:spacing w:before="60"/>
              <w:rPr>
                <w:rFonts w:eastAsia="Wingdings" w:cs="Arial"/>
                <w:sz w:val="20"/>
                <w:szCs w:val="20"/>
                <w:lang w:val="ro-RO"/>
              </w:rPr>
            </w:pPr>
            <w:r w:rsidRPr="00E0488D">
              <w:rPr>
                <w:rFonts w:cs="Arial"/>
                <w:sz w:val="20"/>
                <w:szCs w:val="20"/>
                <w:lang w:val="ro-RO"/>
              </w:rPr>
              <w:t xml:space="preserve">Master Planul nu este aprobat încă  </w:t>
            </w:r>
          </w:p>
        </w:tc>
      </w:tr>
      <w:tr w:rsidR="00B4550A" w:rsidRPr="00E0488D" w:rsidTr="003C7FC8">
        <w:tc>
          <w:tcPr>
            <w:tcW w:w="3048" w:type="pct"/>
            <w:vAlign w:val="center"/>
          </w:tcPr>
          <w:p w:rsidR="00B4550A" w:rsidRPr="00E0488D" w:rsidRDefault="00B4550A" w:rsidP="003C7FC8">
            <w:pPr>
              <w:tabs>
                <w:tab w:val="left" w:pos="460"/>
              </w:tabs>
              <w:spacing w:line="222" w:lineRule="exact"/>
              <w:rPr>
                <w:rFonts w:cs="Arial"/>
                <w:b/>
                <w:color w:val="000000" w:themeColor="text1"/>
                <w:sz w:val="20"/>
                <w:szCs w:val="20"/>
                <w:lang w:val="ro-RO"/>
              </w:rPr>
            </w:pPr>
            <w:r w:rsidRPr="00E0488D">
              <w:rPr>
                <w:rFonts w:cs="Arial"/>
                <w:b/>
                <w:color w:val="000000" w:themeColor="text1"/>
                <w:sz w:val="20"/>
                <w:szCs w:val="20"/>
                <w:lang w:val="ro-RO"/>
              </w:rPr>
              <w:t>–</w:t>
            </w:r>
            <w:r w:rsidRPr="00E0488D">
              <w:rPr>
                <w:rFonts w:cs="Arial"/>
                <w:b/>
                <w:color w:val="000000" w:themeColor="text1"/>
                <w:sz w:val="20"/>
                <w:szCs w:val="20"/>
                <w:lang w:val="ro-RO"/>
              </w:rPr>
              <w:tab/>
            </w:r>
            <w:r w:rsidRPr="00E0488D">
              <w:rPr>
                <w:rStyle w:val="hps"/>
                <w:rFonts w:cs="Arial"/>
                <w:b/>
                <w:i/>
                <w:color w:val="000000" w:themeColor="text1"/>
                <w:sz w:val="20"/>
                <w:szCs w:val="20"/>
                <w:lang w:val="ro-RO"/>
              </w:rPr>
              <w:t>respectă cerințele legale pentru evaluarea strategică de mediu</w:t>
            </w:r>
            <w:r w:rsidRPr="00E0488D">
              <w:rPr>
                <w:rFonts w:cs="Arial"/>
                <w:b/>
                <w:i/>
                <w:color w:val="000000" w:themeColor="text1"/>
                <w:sz w:val="20"/>
                <w:szCs w:val="20"/>
                <w:lang w:val="ro-RO"/>
              </w:rPr>
              <w:t>:</w:t>
            </w:r>
          </w:p>
        </w:tc>
        <w:tc>
          <w:tcPr>
            <w:tcW w:w="364" w:type="pct"/>
            <w:vAlign w:val="center"/>
          </w:tcPr>
          <w:p w:rsidR="00B4550A" w:rsidRPr="00E0488D" w:rsidRDefault="00B4550A" w:rsidP="003C7FC8">
            <w:pPr>
              <w:tabs>
                <w:tab w:val="left" w:pos="460"/>
              </w:tabs>
              <w:spacing w:line="222" w:lineRule="exact"/>
              <w:jc w:val="center"/>
              <w:rPr>
                <w:rFonts w:cs="Arial"/>
                <w:b/>
                <w:sz w:val="20"/>
                <w:szCs w:val="20"/>
                <w:lang w:val="ro-RO"/>
              </w:rPr>
            </w:pPr>
          </w:p>
        </w:tc>
        <w:tc>
          <w:tcPr>
            <w:tcW w:w="1588" w:type="pct"/>
            <w:vAlign w:val="center"/>
          </w:tcPr>
          <w:p w:rsidR="00B4550A" w:rsidRPr="00E0488D" w:rsidRDefault="00B4550A" w:rsidP="003C7FC8">
            <w:pPr>
              <w:tabs>
                <w:tab w:val="left" w:pos="460"/>
              </w:tabs>
              <w:spacing w:line="222" w:lineRule="exact"/>
              <w:rPr>
                <w:rFonts w:cs="Arial"/>
                <w:b/>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1" w:line="239" w:lineRule="auto"/>
              <w:contextualSpacing/>
              <w:jc w:val="left"/>
              <w:rPr>
                <w:color w:val="000000" w:themeColor="text1"/>
                <w:lang w:val="ro-RO"/>
              </w:rPr>
            </w:pPr>
            <w:r w:rsidRPr="00E0488D">
              <w:rPr>
                <w:color w:val="000000" w:themeColor="text1"/>
                <w:lang w:val="ro-RO"/>
              </w:rPr>
              <w:t>S-a întocmit u</w:t>
            </w:r>
            <w:r w:rsidRPr="00E0488D">
              <w:rPr>
                <w:rStyle w:val="hps"/>
                <w:color w:val="000000" w:themeColor="text1"/>
                <w:lang w:val="ro-RO"/>
              </w:rPr>
              <w:t>n</w:t>
            </w:r>
            <w:r w:rsidRPr="00E0488D">
              <w:rPr>
                <w:color w:val="000000" w:themeColor="text1"/>
                <w:lang w:val="ro-RO"/>
              </w:rPr>
              <w:t xml:space="preserve"> </w:t>
            </w:r>
            <w:r w:rsidRPr="00E0488D">
              <w:rPr>
                <w:rStyle w:val="hps"/>
                <w:color w:val="000000" w:themeColor="text1"/>
                <w:lang w:val="ro-RO"/>
              </w:rPr>
              <w:t>raport de mediu</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care</w:t>
            </w:r>
            <w:r w:rsidRPr="00E0488D">
              <w:rPr>
                <w:color w:val="000000" w:themeColor="text1"/>
                <w:lang w:val="ro-RO"/>
              </w:rPr>
              <w:t xml:space="preserve"> </w:t>
            </w:r>
            <w:r w:rsidRPr="00E0488D">
              <w:rPr>
                <w:rStyle w:val="hps"/>
                <w:color w:val="000000" w:themeColor="text1"/>
                <w:lang w:val="ro-RO"/>
              </w:rPr>
              <w:t>sunt identificate</w:t>
            </w:r>
            <w:r w:rsidRPr="00E0488D">
              <w:rPr>
                <w:color w:val="000000" w:themeColor="text1"/>
                <w:lang w:val="ro-RO"/>
              </w:rPr>
              <w:t xml:space="preserve">, </w:t>
            </w:r>
            <w:r w:rsidRPr="00E0488D">
              <w:rPr>
                <w:rStyle w:val="hps"/>
                <w:color w:val="000000" w:themeColor="text1"/>
                <w:lang w:val="ro-RO"/>
              </w:rPr>
              <w:t>descrise</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evaluate efectele semnificative probabile</w:t>
            </w:r>
            <w:r w:rsidRPr="00E0488D">
              <w:rPr>
                <w:color w:val="000000" w:themeColor="text1"/>
                <w:lang w:val="ro-RO"/>
              </w:rPr>
              <w:t xml:space="preserve"> </w:t>
            </w:r>
            <w:r w:rsidRPr="00E0488D">
              <w:rPr>
                <w:rStyle w:val="hps"/>
                <w:color w:val="000000" w:themeColor="text1"/>
                <w:lang w:val="ro-RO"/>
              </w:rPr>
              <w:t>asupra mediului</w:t>
            </w:r>
            <w:r w:rsidRPr="00E0488D">
              <w:rPr>
                <w:color w:val="000000" w:themeColor="text1"/>
                <w:lang w:val="ro-RO"/>
              </w:rPr>
              <w:t xml:space="preserve"> </w:t>
            </w:r>
            <w:r w:rsidRPr="00E0488D">
              <w:rPr>
                <w:rStyle w:val="hps"/>
                <w:color w:val="000000" w:themeColor="text1"/>
                <w:lang w:val="ro-RO"/>
              </w:rPr>
              <w:t>ale</w:t>
            </w:r>
            <w:r w:rsidRPr="00E0488D">
              <w:rPr>
                <w:color w:val="000000" w:themeColor="text1"/>
                <w:lang w:val="ro-RO"/>
              </w:rPr>
              <w:t xml:space="preserve"> </w:t>
            </w:r>
            <w:r w:rsidRPr="00E0488D">
              <w:rPr>
                <w:rStyle w:val="hps"/>
                <w:color w:val="000000" w:themeColor="text1"/>
                <w:lang w:val="ro-RO"/>
              </w:rPr>
              <w:t>implementării</w:t>
            </w:r>
            <w:r w:rsidRPr="00E0488D">
              <w:rPr>
                <w:color w:val="000000" w:themeColor="text1"/>
                <w:lang w:val="ro-RO"/>
              </w:rPr>
              <w:t xml:space="preserve"> </w:t>
            </w:r>
            <w:r w:rsidRPr="00E0488D">
              <w:rPr>
                <w:rStyle w:val="hps"/>
                <w:color w:val="000000" w:themeColor="text1"/>
                <w:lang w:val="ro-RO"/>
              </w:rPr>
              <w:t>planului sau</w:t>
            </w:r>
            <w:r w:rsidRPr="00E0488D">
              <w:rPr>
                <w:color w:val="000000" w:themeColor="text1"/>
                <w:lang w:val="ro-RO"/>
              </w:rPr>
              <w:t xml:space="preserve"> </w:t>
            </w:r>
            <w:r w:rsidRPr="00E0488D">
              <w:rPr>
                <w:rStyle w:val="hps"/>
                <w:color w:val="000000" w:themeColor="text1"/>
                <w:lang w:val="ro-RO"/>
              </w:rPr>
              <w:t>cadru</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alternativele rezonabile, ținând</w:t>
            </w:r>
            <w:r w:rsidRPr="00E0488D">
              <w:rPr>
                <w:color w:val="000000" w:themeColor="text1"/>
                <w:lang w:val="ro-RO"/>
              </w:rPr>
              <w:t xml:space="preserve"> </w:t>
            </w:r>
            <w:r w:rsidRPr="00E0488D">
              <w:rPr>
                <w:rStyle w:val="hps"/>
                <w:color w:val="000000" w:themeColor="text1"/>
                <w:lang w:val="ro-RO"/>
              </w:rPr>
              <w:t>cont de obiectivele și</w:t>
            </w:r>
            <w:r w:rsidRPr="00E0488D">
              <w:rPr>
                <w:color w:val="000000" w:themeColor="text1"/>
                <w:lang w:val="ro-RO"/>
              </w:rPr>
              <w:t xml:space="preserve"> </w:t>
            </w:r>
            <w:r w:rsidRPr="00E0488D">
              <w:rPr>
                <w:rStyle w:val="hps"/>
                <w:color w:val="000000" w:themeColor="text1"/>
                <w:lang w:val="ro-RO"/>
              </w:rPr>
              <w:t>aria de acoperire geografic</w:t>
            </w:r>
            <w:r w:rsidRPr="00E0488D">
              <w:rPr>
                <w:color w:val="000000" w:themeColor="text1"/>
                <w:lang w:val="ro-RO"/>
              </w:rPr>
              <w:t xml:space="preserve">ă </w:t>
            </w:r>
            <w:r w:rsidRPr="00E0488D">
              <w:rPr>
                <w:rStyle w:val="hps"/>
                <w:color w:val="000000" w:themeColor="text1"/>
                <w:lang w:val="ro-RO"/>
              </w:rPr>
              <w:t>a planului</w:t>
            </w:r>
            <w:r w:rsidRPr="00E0488D">
              <w:rPr>
                <w:color w:val="000000" w:themeColor="text1"/>
                <w:lang w:val="ro-RO"/>
              </w:rPr>
              <w:t xml:space="preserve"> global </w:t>
            </w:r>
            <w:r w:rsidRPr="00E0488D">
              <w:rPr>
                <w:rStyle w:val="hps"/>
                <w:color w:val="000000" w:themeColor="text1"/>
                <w:lang w:val="ro-RO"/>
              </w:rPr>
              <w:t>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w:t>
            </w:r>
            <w:r w:rsidRPr="00E0488D">
              <w:rPr>
                <w:color w:val="000000" w:themeColor="text1"/>
                <w:lang w:val="ro-RO"/>
              </w:rPr>
              <w:t>.</w:t>
            </w:r>
          </w:p>
        </w:tc>
        <w:tc>
          <w:tcPr>
            <w:tcW w:w="364" w:type="pct"/>
            <w:vAlign w:val="center"/>
          </w:tcPr>
          <w:p w:rsidR="00B4550A" w:rsidRPr="00E0488D" w:rsidRDefault="00B4550A" w:rsidP="003C7FC8">
            <w:pPr>
              <w:tabs>
                <w:tab w:val="left" w:pos="1120"/>
              </w:tabs>
              <w:spacing w:before="61" w:line="239" w:lineRule="auto"/>
              <w:jc w:val="center"/>
              <w:rPr>
                <w:rFonts w:eastAsia="Wingdings" w:cs="Arial"/>
                <w:sz w:val="20"/>
                <w:szCs w:val="20"/>
                <w:lang w:val="ro-RO"/>
              </w:rPr>
            </w:pPr>
            <w:r w:rsidRPr="00E0488D">
              <w:rPr>
                <w:rFonts w:eastAsia="Wingdings" w:cs="Arial"/>
                <w:sz w:val="20"/>
                <w:szCs w:val="20"/>
                <w:lang w:val="ro-RO"/>
              </w:rPr>
              <w:t>DA</w:t>
            </w:r>
          </w:p>
        </w:tc>
        <w:tc>
          <w:tcPr>
            <w:tcW w:w="1588" w:type="pct"/>
            <w:vAlign w:val="center"/>
          </w:tcPr>
          <w:p w:rsidR="00B4550A" w:rsidRPr="00E0488D" w:rsidRDefault="00B4550A" w:rsidP="003C7FC8">
            <w:pPr>
              <w:tabs>
                <w:tab w:val="left" w:pos="1120"/>
              </w:tabs>
              <w:spacing w:before="61" w:line="239" w:lineRule="auto"/>
              <w:rPr>
                <w:rFonts w:eastAsia="Wingdings" w:cs="Arial"/>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1" w:line="239" w:lineRule="auto"/>
              <w:contextualSpacing/>
              <w:jc w:val="left"/>
              <w:rPr>
                <w:lang w:val="ro-RO"/>
              </w:rPr>
            </w:pPr>
            <w:r w:rsidRPr="00E0488D">
              <w:rPr>
                <w:color w:val="000000" w:themeColor="text1"/>
                <w:lang w:val="ro-RO"/>
              </w:rPr>
              <w:t xml:space="preserve">Proiectul de plan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 și</w:t>
            </w:r>
            <w:r w:rsidRPr="00E0488D">
              <w:rPr>
                <w:color w:val="000000" w:themeColor="text1"/>
                <w:lang w:val="ro-RO"/>
              </w:rPr>
              <w:t xml:space="preserve"> </w:t>
            </w:r>
            <w:r w:rsidRPr="00E0488D">
              <w:rPr>
                <w:rStyle w:val="hps"/>
                <w:color w:val="000000" w:themeColor="text1"/>
                <w:lang w:val="ro-RO"/>
              </w:rPr>
              <w:t>raportul de mediu</w:t>
            </w:r>
            <w:r w:rsidRPr="00E0488D">
              <w:rPr>
                <w:color w:val="000000" w:themeColor="text1"/>
                <w:lang w:val="ro-RO"/>
              </w:rPr>
              <w:t xml:space="preserve"> </w:t>
            </w:r>
            <w:r w:rsidRPr="00E0488D">
              <w:rPr>
                <w:rStyle w:val="hps"/>
                <w:color w:val="000000" w:themeColor="text1"/>
                <w:lang w:val="ro-RO"/>
              </w:rPr>
              <w:t>au fost</w:t>
            </w:r>
            <w:r w:rsidRPr="00E0488D">
              <w:rPr>
                <w:color w:val="000000" w:themeColor="text1"/>
                <w:lang w:val="ro-RO"/>
              </w:rPr>
              <w:t xml:space="preserve"> </w:t>
            </w:r>
            <w:r w:rsidRPr="00E0488D">
              <w:rPr>
                <w:rStyle w:val="hps"/>
                <w:color w:val="000000" w:themeColor="text1"/>
                <w:lang w:val="ro-RO"/>
              </w:rPr>
              <w:t>puse la dispoziția</w:t>
            </w:r>
            <w:r w:rsidRPr="00E0488D">
              <w:rPr>
                <w:color w:val="000000" w:themeColor="text1"/>
                <w:lang w:val="ro-RO"/>
              </w:rPr>
              <w:t xml:space="preserve"> </w:t>
            </w:r>
            <w:r w:rsidRPr="00E0488D">
              <w:rPr>
                <w:rStyle w:val="hps"/>
                <w:color w:val="000000" w:themeColor="text1"/>
                <w:lang w:val="ro-RO"/>
              </w:rPr>
              <w:t>publicului și a autorităților</w:t>
            </w:r>
            <w:r w:rsidRPr="00E0488D">
              <w:rPr>
                <w:color w:val="000000" w:themeColor="text1"/>
                <w:lang w:val="ro-RO"/>
              </w:rPr>
              <w:t xml:space="preserve"> </w:t>
            </w:r>
            <w:r w:rsidRPr="00E0488D">
              <w:rPr>
                <w:rStyle w:val="hps"/>
                <w:color w:val="000000" w:themeColor="text1"/>
                <w:lang w:val="ro-RO"/>
              </w:rPr>
              <w:t>cu responsabilități</w:t>
            </w:r>
            <w:r w:rsidRPr="00E0488D">
              <w:rPr>
                <w:color w:val="000000" w:themeColor="text1"/>
                <w:lang w:val="ro-RO"/>
              </w:rPr>
              <w:t xml:space="preserve"> </w:t>
            </w:r>
            <w:r w:rsidRPr="00E0488D">
              <w:rPr>
                <w:rStyle w:val="hps"/>
                <w:color w:val="000000" w:themeColor="text1"/>
                <w:lang w:val="ro-RO"/>
              </w:rPr>
              <w:t>specifice de mediu</w:t>
            </w:r>
            <w:r w:rsidRPr="00E0488D">
              <w:rPr>
                <w:color w:val="000000" w:themeColor="text1"/>
                <w:lang w:val="ro-RO"/>
              </w:rPr>
              <w:t xml:space="preserve"> </w:t>
            </w:r>
            <w:r w:rsidRPr="00E0488D">
              <w:rPr>
                <w:rStyle w:val="hps"/>
                <w:color w:val="000000" w:themeColor="text1"/>
                <w:lang w:val="ro-RO"/>
              </w:rPr>
              <w:t>desemnate de către statele</w:t>
            </w:r>
            <w:r w:rsidRPr="00E0488D">
              <w:rPr>
                <w:color w:val="000000" w:themeColor="text1"/>
                <w:lang w:val="ro-RO"/>
              </w:rPr>
              <w:t xml:space="preserve"> </w:t>
            </w:r>
            <w:r w:rsidRPr="00E0488D">
              <w:rPr>
                <w:rStyle w:val="hps"/>
                <w:color w:val="000000" w:themeColor="text1"/>
                <w:lang w:val="ro-RO"/>
              </w:rPr>
              <w:t>membre,</w:t>
            </w:r>
            <w:r w:rsidRPr="00E0488D">
              <w:rPr>
                <w:color w:val="000000" w:themeColor="text1"/>
                <w:lang w:val="ro-RO"/>
              </w:rPr>
              <w:t xml:space="preserve"> </w:t>
            </w:r>
            <w:r w:rsidRPr="00E0488D">
              <w:rPr>
                <w:rStyle w:val="hps"/>
                <w:color w:val="000000" w:themeColor="text1"/>
                <w:lang w:val="ro-RO"/>
              </w:rPr>
              <w:t>care</w:t>
            </w:r>
            <w:r w:rsidRPr="00E0488D">
              <w:rPr>
                <w:color w:val="000000" w:themeColor="text1"/>
                <w:lang w:val="ro-RO"/>
              </w:rPr>
              <w:t xml:space="preserve"> </w:t>
            </w:r>
            <w:r w:rsidRPr="00E0488D">
              <w:rPr>
                <w:rStyle w:val="hps"/>
                <w:color w:val="000000" w:themeColor="text1"/>
                <w:lang w:val="ro-RO"/>
              </w:rPr>
              <w:t>sunt susceptibile de a</w:t>
            </w:r>
            <w:r w:rsidRPr="00E0488D">
              <w:rPr>
                <w:color w:val="000000" w:themeColor="text1"/>
                <w:lang w:val="ro-RO"/>
              </w:rPr>
              <w:t xml:space="preserve"> </w:t>
            </w:r>
            <w:r w:rsidRPr="00E0488D">
              <w:rPr>
                <w:rStyle w:val="hps"/>
                <w:color w:val="000000" w:themeColor="text1"/>
                <w:lang w:val="ro-RO"/>
              </w:rPr>
              <w:t>fi</w:t>
            </w:r>
            <w:r w:rsidRPr="00E0488D">
              <w:rPr>
                <w:color w:val="000000" w:themeColor="text1"/>
                <w:lang w:val="ro-RO"/>
              </w:rPr>
              <w:t xml:space="preserve"> </w:t>
            </w:r>
            <w:r w:rsidRPr="00E0488D">
              <w:rPr>
                <w:rStyle w:val="hps"/>
                <w:color w:val="000000" w:themeColor="text1"/>
                <w:lang w:val="ro-RO"/>
              </w:rPr>
              <w:t>interesate de efectele asupra</w:t>
            </w:r>
            <w:r w:rsidRPr="00E0488D">
              <w:rPr>
                <w:color w:val="000000" w:themeColor="text1"/>
                <w:lang w:val="ro-RO"/>
              </w:rPr>
              <w:t xml:space="preserve"> </w:t>
            </w:r>
            <w:r w:rsidRPr="00E0488D">
              <w:rPr>
                <w:rStyle w:val="hps"/>
                <w:color w:val="000000" w:themeColor="text1"/>
                <w:lang w:val="ro-RO"/>
              </w:rPr>
              <w:t>mediului inconjurător</w:t>
            </w:r>
            <w:r w:rsidRPr="00E0488D">
              <w:rPr>
                <w:color w:val="000000" w:themeColor="text1"/>
                <w:lang w:val="ro-RO"/>
              </w:rPr>
              <w:t xml:space="preserve"> </w:t>
            </w:r>
            <w:r w:rsidRPr="00E0488D">
              <w:rPr>
                <w:rStyle w:val="hps"/>
                <w:color w:val="000000" w:themeColor="text1"/>
                <w:lang w:val="ro-RO"/>
              </w:rPr>
              <w:t>ale</w:t>
            </w:r>
            <w:r w:rsidRPr="00E0488D">
              <w:rPr>
                <w:color w:val="000000" w:themeColor="text1"/>
                <w:lang w:val="ro-RO"/>
              </w:rPr>
              <w:t xml:space="preserve"> </w:t>
            </w:r>
            <w:r w:rsidRPr="00E0488D">
              <w:rPr>
                <w:rStyle w:val="hps"/>
                <w:color w:val="000000" w:themeColor="text1"/>
                <w:lang w:val="ro-RO"/>
              </w:rPr>
              <w:t>planurilor de implementare</w:t>
            </w:r>
            <w:r w:rsidRPr="00E0488D">
              <w:rPr>
                <w:lang w:val="ro-RO"/>
              </w:rPr>
              <w:t>.</w:t>
            </w:r>
          </w:p>
        </w:tc>
        <w:tc>
          <w:tcPr>
            <w:tcW w:w="364" w:type="pct"/>
            <w:vAlign w:val="center"/>
          </w:tcPr>
          <w:p w:rsidR="00B4550A" w:rsidRPr="00E0488D" w:rsidRDefault="00B4550A" w:rsidP="003C7FC8">
            <w:pPr>
              <w:tabs>
                <w:tab w:val="left" w:pos="1120"/>
              </w:tabs>
              <w:spacing w:before="61" w:line="239" w:lineRule="auto"/>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rPr>
                <w:rFonts w:cs="Arial"/>
                <w:color w:val="000000" w:themeColor="text1"/>
                <w:sz w:val="20"/>
                <w:szCs w:val="20"/>
                <w:lang w:val="ro-RO"/>
              </w:rPr>
            </w:pPr>
            <w:r w:rsidRPr="00E0488D">
              <w:rPr>
                <w:rStyle w:val="hps"/>
                <w:rFonts w:cs="Arial"/>
                <w:color w:val="000000" w:themeColor="text1"/>
                <w:sz w:val="20"/>
                <w:szCs w:val="20"/>
                <w:lang w:val="ro-RO"/>
              </w:rPr>
              <w:t>Proiectul de plan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 fost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pus la dispoziția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publicului și a autorităților</w:t>
            </w:r>
            <w:r w:rsidRPr="00E0488D">
              <w:rPr>
                <w:rFonts w:cs="Arial"/>
                <w:color w:val="000000" w:themeColor="text1"/>
                <w:sz w:val="20"/>
                <w:szCs w:val="20"/>
                <w:lang w:val="ro-RO"/>
              </w:rPr>
              <w:t xml:space="preserve"> în </w:t>
            </w:r>
            <w:r w:rsidRPr="00E0488D">
              <w:rPr>
                <w:rStyle w:val="hps"/>
                <w:rFonts w:cs="Arial"/>
                <w:color w:val="000000" w:themeColor="text1"/>
                <w:sz w:val="20"/>
                <w:szCs w:val="20"/>
                <w:lang w:val="ro-RO"/>
              </w:rPr>
              <w:t>octombrie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2012 și</w:t>
            </w:r>
            <w:r w:rsidRPr="00E0488D">
              <w:rPr>
                <w:rFonts w:cs="Arial"/>
                <w:color w:val="000000" w:themeColor="text1"/>
                <w:sz w:val="20"/>
                <w:szCs w:val="20"/>
                <w:lang w:val="ro-RO"/>
              </w:rPr>
              <w:t xml:space="preserve"> respectiv </w:t>
            </w:r>
            <w:r w:rsidRPr="00E0488D">
              <w:rPr>
                <w:rStyle w:val="hps"/>
                <w:rFonts w:cs="Arial"/>
                <w:color w:val="000000" w:themeColor="text1"/>
                <w:sz w:val="20"/>
                <w:szCs w:val="20"/>
                <w:lang w:val="ro-RO"/>
              </w:rPr>
              <w:t>octombrie 2013</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Fiecare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capitol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din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Raportul de 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 fost prezentat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cadrul grupului de lucru</w:t>
            </w:r>
            <w:r w:rsidRPr="00E0488D">
              <w:rPr>
                <w:rFonts w:cs="Arial"/>
                <w:color w:val="000000" w:themeColor="text1"/>
                <w:sz w:val="20"/>
                <w:szCs w:val="20"/>
                <w:lang w:val="ro-RO"/>
              </w:rPr>
              <w:t xml:space="preserve">. </w:t>
            </w:r>
          </w:p>
          <w:p w:rsidR="00B4550A" w:rsidRPr="00E0488D" w:rsidRDefault="00B4550A" w:rsidP="003C7FC8">
            <w:pPr>
              <w:rPr>
                <w:rFonts w:cs="Arial"/>
                <w:sz w:val="20"/>
                <w:szCs w:val="20"/>
                <w:lang w:val="ro-RO"/>
              </w:rPr>
            </w:pPr>
            <w:r w:rsidRPr="00E0488D">
              <w:rPr>
                <w:rFonts w:cs="Arial"/>
                <w:color w:val="000000" w:themeColor="text1"/>
                <w:sz w:val="20"/>
                <w:szCs w:val="20"/>
                <w:lang w:val="ro-RO"/>
              </w:rPr>
              <w:t xml:space="preserve">Raportul final </w:t>
            </w:r>
            <w:r w:rsidRPr="00E0488D">
              <w:rPr>
                <w:rStyle w:val="hps"/>
                <w:rFonts w:cs="Arial"/>
                <w:color w:val="000000" w:themeColor="text1"/>
                <w:sz w:val="20"/>
                <w:szCs w:val="20"/>
                <w:lang w:val="ro-RO"/>
              </w:rPr>
              <w:t>de 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va fi pus la dispoziție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după ce evaluarea corespunzătoare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va fi aprobată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către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MMSC</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Raportul final de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trebuie să includă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concluzia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evaluării corespunzătoare</w:t>
            </w:r>
            <w:r w:rsidRPr="00E0488D">
              <w:rPr>
                <w:rFonts w:cs="Arial"/>
                <w:color w:val="222222"/>
                <w:sz w:val="20"/>
                <w:szCs w:val="20"/>
                <w:lang w:val="ro-RO"/>
              </w:rPr>
              <w:t>.</w:t>
            </w: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0" w:line="240" w:lineRule="auto"/>
              <w:contextualSpacing/>
              <w:jc w:val="left"/>
              <w:rPr>
                <w:lang w:val="ro-RO"/>
              </w:rPr>
            </w:pP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cazul unor posibile</w:t>
            </w:r>
            <w:r w:rsidRPr="00E0488D">
              <w:rPr>
                <w:color w:val="000000" w:themeColor="text1"/>
                <w:lang w:val="ro-RO"/>
              </w:rPr>
              <w:t xml:space="preserve"> </w:t>
            </w:r>
            <w:r w:rsidRPr="00E0488D">
              <w:rPr>
                <w:rStyle w:val="hps"/>
                <w:color w:val="000000" w:themeColor="text1"/>
                <w:lang w:val="ro-RO"/>
              </w:rPr>
              <w:t>efecte transfrontaliere</w:t>
            </w:r>
            <w:r w:rsidRPr="00E0488D">
              <w:rPr>
                <w:color w:val="000000" w:themeColor="text1"/>
                <w:lang w:val="ro-RO"/>
              </w:rPr>
              <w:t xml:space="preserve"> </w:t>
            </w:r>
            <w:r w:rsidRPr="00E0488D">
              <w:rPr>
                <w:rStyle w:val="hps"/>
                <w:color w:val="000000" w:themeColor="text1"/>
                <w:lang w:val="ro-RO"/>
              </w:rPr>
              <w:t>semnificative</w:t>
            </w:r>
            <w:r w:rsidRPr="00E0488D">
              <w:rPr>
                <w:color w:val="000000" w:themeColor="text1"/>
                <w:lang w:val="ro-RO"/>
              </w:rPr>
              <w:t xml:space="preserve">, </w:t>
            </w:r>
            <w:r w:rsidRPr="00E0488D">
              <w:rPr>
                <w:rStyle w:val="hps"/>
                <w:color w:val="000000" w:themeColor="text1"/>
                <w:lang w:val="ro-RO"/>
              </w:rPr>
              <w:t>proiectul de plan 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raportul de mediu</w:t>
            </w:r>
            <w:r w:rsidRPr="00E0488D">
              <w:rPr>
                <w:color w:val="000000" w:themeColor="text1"/>
                <w:lang w:val="ro-RO"/>
              </w:rPr>
              <w:t xml:space="preserve"> au fost </w:t>
            </w:r>
            <w:r w:rsidRPr="00E0488D">
              <w:rPr>
                <w:rStyle w:val="hps"/>
                <w:color w:val="000000" w:themeColor="text1"/>
                <w:lang w:val="ro-RO"/>
              </w:rPr>
              <w:t>transmise</w:t>
            </w:r>
            <w:r w:rsidRPr="00E0488D">
              <w:rPr>
                <w:color w:val="000000" w:themeColor="text1"/>
                <w:lang w:val="ro-RO"/>
              </w:rPr>
              <w:t xml:space="preserve"> </w:t>
            </w:r>
            <w:r w:rsidRPr="00E0488D">
              <w:rPr>
                <w:rStyle w:val="hps"/>
                <w:color w:val="000000" w:themeColor="text1"/>
                <w:lang w:val="ro-RO"/>
              </w:rPr>
              <w:t>statelor membre relevante</w:t>
            </w:r>
            <w:r w:rsidRPr="00E0488D">
              <w:rPr>
                <w:color w:val="000000" w:themeColor="text1"/>
                <w:lang w:val="ro-RO"/>
              </w:rPr>
              <w:t xml:space="preserve"> </w:t>
            </w:r>
            <w:r w:rsidRPr="00E0488D">
              <w:rPr>
                <w:rStyle w:val="hps"/>
                <w:color w:val="000000" w:themeColor="text1"/>
                <w:lang w:val="ro-RO"/>
              </w:rPr>
              <w:t>/</w:t>
            </w:r>
            <w:r w:rsidRPr="00E0488D">
              <w:rPr>
                <w:color w:val="000000" w:themeColor="text1"/>
                <w:lang w:val="ro-RO"/>
              </w:rPr>
              <w:t xml:space="preserve"> </w:t>
            </w:r>
            <w:r w:rsidRPr="00E0488D">
              <w:rPr>
                <w:rStyle w:val="hps"/>
                <w:color w:val="000000" w:themeColor="text1"/>
                <w:lang w:val="ro-RO"/>
              </w:rPr>
              <w:t>afectate</w:t>
            </w:r>
            <w:r w:rsidRPr="00E0488D">
              <w:rPr>
                <w:lang w:val="ro-RO"/>
              </w:rPr>
              <w:t>.</w:t>
            </w:r>
          </w:p>
        </w:tc>
        <w:tc>
          <w:tcPr>
            <w:tcW w:w="364" w:type="pct"/>
            <w:vAlign w:val="center"/>
          </w:tcPr>
          <w:p w:rsidR="00B4550A" w:rsidRPr="00E0488D" w:rsidRDefault="00B4550A" w:rsidP="003C7FC8">
            <w:pPr>
              <w:tabs>
                <w:tab w:val="left" w:pos="1120"/>
              </w:tabs>
              <w:spacing w:before="60"/>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rPr>
                <w:rFonts w:cs="Arial"/>
                <w:sz w:val="20"/>
                <w:szCs w:val="20"/>
                <w:lang w:val="ro-RO"/>
              </w:rPr>
            </w:pP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cazul unor posibile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efecte transfrontaliere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semnificative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Raportul final de 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Master Planul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vor fi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transmise către statele membre relevante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afectate</w:t>
            </w:r>
            <w:r w:rsidRPr="00E0488D">
              <w:rPr>
                <w:rFonts w:cs="Arial"/>
                <w:color w:val="000000" w:themeColor="text1"/>
                <w:sz w:val="20"/>
                <w:szCs w:val="20"/>
                <w:lang w:val="ro-RO"/>
              </w:rPr>
              <w:t xml:space="preserve">. </w:t>
            </w:r>
            <w:r w:rsidRPr="00E0488D">
              <w:rPr>
                <w:rFonts w:cs="Arial"/>
                <w:color w:val="000000" w:themeColor="text1"/>
                <w:sz w:val="20"/>
                <w:szCs w:val="20"/>
                <w:lang w:val="ro-RO"/>
              </w:rPr>
              <w:br/>
            </w:r>
            <w:r w:rsidRPr="00E0488D">
              <w:rPr>
                <w:rStyle w:val="hps"/>
                <w:rFonts w:cs="Arial"/>
                <w:color w:val="000000" w:themeColor="text1"/>
                <w:sz w:val="20"/>
                <w:szCs w:val="20"/>
                <w:lang w:val="ro-RO"/>
              </w:rPr>
              <w:t>Responsabilitatea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informare a statelor membre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relevante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afectate în cauză revine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autorității publice centrale care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promovează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planul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în </w:t>
            </w:r>
            <w:r w:rsidRPr="00E0488D">
              <w:rPr>
                <w:rStyle w:val="hps"/>
                <w:rFonts w:cs="Arial"/>
                <w:color w:val="000000" w:themeColor="text1"/>
                <w:sz w:val="20"/>
                <w:szCs w:val="20"/>
                <w:lang w:val="ro-RO"/>
              </w:rPr>
              <w:t>acest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caz</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Ministerul Transporturilor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la recomandarea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Ministerului Mediului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Schimbărilor climatice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 recomandă ca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stabilirea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statelor notificate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să fie efectuată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către autoritatea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publică centrală</w:t>
            </w:r>
            <w:r w:rsidRPr="00E0488D">
              <w:rPr>
                <w:rFonts w:cs="Arial"/>
                <w:color w:val="000000" w:themeColor="text1"/>
                <w:sz w:val="20"/>
                <w:szCs w:val="20"/>
                <w:lang w:val="ro-RO"/>
              </w:rPr>
              <w:t xml:space="preserve"> care </w:t>
            </w:r>
            <w:r w:rsidRPr="00E0488D">
              <w:rPr>
                <w:rStyle w:val="hps"/>
                <w:rFonts w:cs="Arial"/>
                <w:color w:val="000000" w:themeColor="text1"/>
                <w:sz w:val="20"/>
                <w:szCs w:val="20"/>
                <w:lang w:val="ro-RO"/>
              </w:rPr>
              <w:t>promovează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planul</w:t>
            </w:r>
            <w:r w:rsidRPr="00E0488D">
              <w:rPr>
                <w:rFonts w:cs="Arial"/>
                <w:color w:val="000000" w:themeColor="text1"/>
                <w:sz w:val="20"/>
                <w:szCs w:val="20"/>
                <w:lang w:val="ro-RO"/>
              </w:rPr>
              <w:t xml:space="preserve"> împreună </w:t>
            </w:r>
            <w:r w:rsidRPr="00E0488D">
              <w:rPr>
                <w:rStyle w:val="hps"/>
                <w:rFonts w:cs="Arial"/>
                <w:color w:val="000000" w:themeColor="text1"/>
                <w:sz w:val="20"/>
                <w:szCs w:val="20"/>
                <w:lang w:val="ro-RO"/>
              </w:rPr>
              <w:t>cu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Ministerul Mediului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Schimbărilor Climatice</w:t>
            </w:r>
            <w:r w:rsidRPr="00E0488D">
              <w:rPr>
                <w:rFonts w:cs="Arial"/>
                <w:sz w:val="20"/>
                <w:szCs w:val="20"/>
                <w:lang w:val="ro-RO"/>
              </w:rPr>
              <w:t>.</w:t>
            </w:r>
          </w:p>
          <w:p w:rsidR="00B4550A" w:rsidRPr="00E0488D" w:rsidRDefault="00B4550A" w:rsidP="003C7FC8">
            <w:pPr>
              <w:rPr>
                <w:rFonts w:cs="Arial"/>
                <w:sz w:val="20"/>
                <w:szCs w:val="20"/>
                <w:lang w:val="ro-RO"/>
              </w:rPr>
            </w:pPr>
            <w:r w:rsidRPr="00E0488D">
              <w:rPr>
                <w:rFonts w:cs="Arial"/>
                <w:sz w:val="20"/>
                <w:szCs w:val="20"/>
                <w:lang w:val="ro-RO"/>
              </w:rPr>
              <w:t>În conformitate cu HG nr. 1076/2004 Art. 22 (2) din HG 1076/2004 care menţionează că</w:t>
            </w:r>
            <w:r w:rsidRPr="00E0488D">
              <w:rPr>
                <w:rFonts w:cs="Arial"/>
                <w:i/>
                <w:iCs/>
                <w:sz w:val="20"/>
                <w:szCs w:val="20"/>
                <w:lang w:val="ro-RO"/>
              </w:rPr>
              <w:t xml:space="preserve"> „În cazul în care implementarea planului sau programului </w:t>
            </w:r>
            <w:r w:rsidRPr="00E0488D">
              <w:rPr>
                <w:rFonts w:cs="Arial"/>
                <w:i/>
                <w:iCs/>
                <w:sz w:val="20"/>
                <w:szCs w:val="20"/>
                <w:lang w:val="ro-RO"/>
              </w:rPr>
              <w:lastRenderedPageBreak/>
              <w:t>poate avea efecte semnificative transfrontiere, titularul, prin intermediul autorităţii publice centrale care promovează planul sau programul, este obligat să transmită proiectul de plan sau de program şi raportul de mediu elaborat pentru acesta, în limba engleză, autorităţilor centrale de mediu din statele posibil afectate, în termen de maximum 20 de zile calendaristice de la finalizarea raportului de mediu, conform art. 21 alin. (3)”.</w:t>
            </w: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0" w:line="240" w:lineRule="auto"/>
              <w:contextualSpacing/>
              <w:rPr>
                <w:lang w:val="ro-RO"/>
              </w:rPr>
            </w:pPr>
            <w:r w:rsidRPr="00E0488D">
              <w:rPr>
                <w:rStyle w:val="hps"/>
                <w:color w:val="000000" w:themeColor="text1"/>
                <w:lang w:val="ro-RO"/>
              </w:rPr>
              <w:lastRenderedPageBreak/>
              <w:t>Raportul de mediu</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opiniile exprimate</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cadrul consultărilor</w:t>
            </w:r>
            <w:r w:rsidRPr="00E0488D">
              <w:rPr>
                <w:color w:val="000000" w:themeColor="text1"/>
                <w:lang w:val="ro-RO"/>
              </w:rPr>
              <w:t xml:space="preserve"> </w:t>
            </w:r>
            <w:r w:rsidRPr="00E0488D">
              <w:rPr>
                <w:rStyle w:val="hps"/>
                <w:color w:val="000000" w:themeColor="text1"/>
                <w:lang w:val="ro-RO"/>
              </w:rPr>
              <w:t>relevante (</w:t>
            </w:r>
            <w:r w:rsidRPr="00E0488D">
              <w:rPr>
                <w:color w:val="000000" w:themeColor="text1"/>
                <w:lang w:val="ro-RO"/>
              </w:rPr>
              <w:t xml:space="preserve">inclusiv cele </w:t>
            </w:r>
            <w:r w:rsidRPr="00E0488D">
              <w:rPr>
                <w:rStyle w:val="hps"/>
                <w:color w:val="000000" w:themeColor="text1"/>
                <w:lang w:val="ro-RO"/>
              </w:rPr>
              <w:t>transfrontaliere</w:t>
            </w:r>
            <w:r w:rsidRPr="00E0488D">
              <w:rPr>
                <w:color w:val="000000" w:themeColor="text1"/>
                <w:lang w:val="ro-RO"/>
              </w:rPr>
              <w:t xml:space="preserve">, după caz) </w:t>
            </w:r>
            <w:r w:rsidRPr="00E0488D">
              <w:rPr>
                <w:rStyle w:val="hps"/>
                <w:color w:val="000000" w:themeColor="text1"/>
                <w:lang w:val="ro-RO"/>
              </w:rPr>
              <w:t>au fost luate în</w:t>
            </w:r>
            <w:r w:rsidRPr="00E0488D">
              <w:rPr>
                <w:color w:val="000000" w:themeColor="text1"/>
                <w:lang w:val="ro-RO"/>
              </w:rPr>
              <w:t xml:space="preserve"> </w:t>
            </w:r>
            <w:r w:rsidRPr="00E0488D">
              <w:rPr>
                <w:rStyle w:val="hps"/>
                <w:color w:val="000000" w:themeColor="text1"/>
                <w:lang w:val="ro-RO"/>
              </w:rPr>
              <w:t>considerare</w:t>
            </w:r>
            <w:r w:rsidRPr="00E0488D">
              <w:rPr>
                <w:color w:val="000000" w:themeColor="text1"/>
                <w:lang w:val="ro-RO"/>
              </w:rPr>
              <w:t xml:space="preserve"> </w:t>
            </w:r>
            <w:r w:rsidRPr="00E0488D">
              <w:rPr>
                <w:rStyle w:val="hps"/>
                <w:color w:val="000000" w:themeColor="text1"/>
                <w:lang w:val="ro-RO"/>
              </w:rPr>
              <w:t>în mod corespunzător pe parcursul elaborării</w:t>
            </w:r>
            <w:r w:rsidRPr="00E0488D">
              <w:rPr>
                <w:color w:val="000000" w:themeColor="text1"/>
                <w:lang w:val="ro-RO"/>
              </w:rPr>
              <w:t xml:space="preserve"> </w:t>
            </w:r>
            <w:r w:rsidRPr="00E0488D">
              <w:rPr>
                <w:rStyle w:val="hps"/>
                <w:color w:val="000000" w:themeColor="text1"/>
                <w:lang w:val="ro-RO"/>
              </w:rPr>
              <w:t>planului</w:t>
            </w:r>
            <w:r w:rsidRPr="00E0488D">
              <w:rPr>
                <w:color w:val="000000" w:themeColor="text1"/>
                <w:lang w:val="ro-RO"/>
              </w:rPr>
              <w:t xml:space="preserve"> global </w:t>
            </w:r>
            <w:r w:rsidRPr="00E0488D">
              <w:rPr>
                <w:rStyle w:val="hps"/>
                <w:color w:val="000000" w:themeColor="text1"/>
                <w:lang w:val="ro-RO"/>
              </w:rPr>
              <w:t>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w:t>
            </w:r>
            <w:r w:rsidRPr="00E0488D">
              <w:rPr>
                <w:lang w:val="ro-RO"/>
              </w:rPr>
              <w:t>.</w:t>
            </w:r>
          </w:p>
        </w:tc>
        <w:tc>
          <w:tcPr>
            <w:tcW w:w="364" w:type="pct"/>
            <w:vAlign w:val="center"/>
          </w:tcPr>
          <w:p w:rsidR="00B4550A" w:rsidRPr="00E0488D" w:rsidRDefault="00B4550A" w:rsidP="003C7FC8">
            <w:pPr>
              <w:tabs>
                <w:tab w:val="left" w:pos="1120"/>
              </w:tabs>
              <w:spacing w:before="61" w:line="239" w:lineRule="auto"/>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spacing w:before="100" w:beforeAutospacing="1"/>
              <w:rPr>
                <w:rFonts w:eastAsia="Wingdings" w:cs="Arial"/>
                <w:sz w:val="20"/>
                <w:szCs w:val="20"/>
                <w:lang w:val="ro-RO"/>
              </w:rPr>
            </w:pPr>
            <w:r w:rsidRPr="00E0488D">
              <w:rPr>
                <w:rFonts w:eastAsia="Wingdings" w:cs="Arial"/>
                <w:sz w:val="20"/>
                <w:szCs w:val="20"/>
                <w:lang w:val="ro-RO"/>
              </w:rPr>
              <w:t>A se vedea mai sus.</w:t>
            </w: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57" w:line="240" w:lineRule="auto"/>
              <w:contextualSpacing/>
              <w:jc w:val="left"/>
              <w:rPr>
                <w:lang w:val="ro-RO"/>
              </w:rPr>
            </w:pPr>
            <w:r w:rsidRPr="00E0488D">
              <w:rPr>
                <w:rStyle w:val="hps"/>
                <w:color w:val="000000" w:themeColor="text1"/>
                <w:lang w:val="ro-RO"/>
              </w:rPr>
              <w:t>În momentul adoptării</w:t>
            </w:r>
            <w:r w:rsidRPr="00E0488D">
              <w:rPr>
                <w:color w:val="000000" w:themeColor="text1"/>
                <w:lang w:val="ro-RO"/>
              </w:rPr>
              <w:t xml:space="preserve"> </w:t>
            </w:r>
            <w:r w:rsidRPr="00E0488D">
              <w:rPr>
                <w:rStyle w:val="hps"/>
                <w:color w:val="000000" w:themeColor="text1"/>
                <w:lang w:val="ro-RO"/>
              </w:rPr>
              <w:t>planului</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w:t>
            </w:r>
            <w:r w:rsidRPr="00E0488D">
              <w:rPr>
                <w:color w:val="000000" w:themeColor="text1"/>
                <w:lang w:val="ro-RO"/>
              </w:rPr>
              <w:t xml:space="preserve"> </w:t>
            </w:r>
            <w:r w:rsidRPr="00E0488D">
              <w:rPr>
                <w:rStyle w:val="hps"/>
                <w:color w:val="000000" w:themeColor="text1"/>
                <w:lang w:val="ro-RO"/>
              </w:rPr>
              <w:t>autoritățile cu responsabilități de</w:t>
            </w:r>
            <w:r w:rsidRPr="00E0488D">
              <w:rPr>
                <w:color w:val="000000" w:themeColor="text1"/>
                <w:lang w:val="ro-RO"/>
              </w:rPr>
              <w:t xml:space="preserve"> </w:t>
            </w:r>
            <w:r w:rsidRPr="00E0488D">
              <w:rPr>
                <w:rStyle w:val="hps"/>
                <w:color w:val="000000" w:themeColor="text1"/>
                <w:lang w:val="ro-RO"/>
              </w:rPr>
              <w:t>mediu</w:t>
            </w:r>
            <w:r w:rsidRPr="00E0488D">
              <w:rPr>
                <w:color w:val="000000" w:themeColor="text1"/>
                <w:lang w:val="ro-RO"/>
              </w:rPr>
              <w:t xml:space="preserve">, publice sau </w:t>
            </w:r>
            <w:r w:rsidRPr="00E0488D">
              <w:rPr>
                <w:rStyle w:val="hps"/>
                <w:color w:val="000000" w:themeColor="text1"/>
                <w:lang w:val="ro-RO"/>
              </w:rPr>
              <w:t>oricare stat membru</w:t>
            </w:r>
            <w:r w:rsidRPr="00E0488D">
              <w:rPr>
                <w:color w:val="000000" w:themeColor="text1"/>
                <w:lang w:val="ro-RO"/>
              </w:rPr>
              <w:t xml:space="preserve"> </w:t>
            </w:r>
            <w:r w:rsidRPr="00E0488D">
              <w:rPr>
                <w:rStyle w:val="hps"/>
                <w:color w:val="000000" w:themeColor="text1"/>
                <w:lang w:val="ro-RO"/>
              </w:rPr>
              <w:t>consultat</w:t>
            </w:r>
            <w:r w:rsidRPr="00E0488D">
              <w:rPr>
                <w:color w:val="000000" w:themeColor="text1"/>
                <w:lang w:val="ro-RO"/>
              </w:rPr>
              <w:t xml:space="preserve">, </w:t>
            </w:r>
            <w:r w:rsidRPr="00E0488D">
              <w:rPr>
                <w:rStyle w:val="hps"/>
                <w:color w:val="000000" w:themeColor="text1"/>
                <w:lang w:val="ro-RO"/>
              </w:rPr>
              <w:t>sunt informați</w:t>
            </w:r>
            <w:r w:rsidRPr="00E0488D">
              <w:rPr>
                <w:color w:val="000000" w:themeColor="text1"/>
                <w:lang w:val="ro-RO"/>
              </w:rPr>
              <w:t xml:space="preserve"> </w:t>
            </w:r>
            <w:r w:rsidRPr="00E0488D">
              <w:rPr>
                <w:rStyle w:val="hps"/>
                <w:color w:val="000000" w:themeColor="text1"/>
                <w:lang w:val="ro-RO"/>
              </w:rPr>
              <w:t>iar</w:t>
            </w:r>
            <w:r w:rsidRPr="00E0488D">
              <w:rPr>
                <w:color w:val="000000" w:themeColor="text1"/>
                <w:lang w:val="ro-RO"/>
              </w:rPr>
              <w:t xml:space="preserve"> </w:t>
            </w:r>
            <w:r w:rsidRPr="00E0488D">
              <w:rPr>
                <w:rStyle w:val="hps"/>
                <w:color w:val="000000" w:themeColor="text1"/>
                <w:lang w:val="ro-RO"/>
              </w:rPr>
              <w:t>următoarele elemente</w:t>
            </w:r>
            <w:r w:rsidRPr="00E0488D">
              <w:rPr>
                <w:color w:val="000000" w:themeColor="text1"/>
                <w:lang w:val="ro-RO"/>
              </w:rPr>
              <w:t xml:space="preserve"> </w:t>
            </w:r>
            <w:r w:rsidRPr="00E0488D">
              <w:rPr>
                <w:rStyle w:val="hps"/>
                <w:color w:val="000000" w:themeColor="text1"/>
                <w:lang w:val="ro-RO"/>
              </w:rPr>
              <w:t>au fost</w:t>
            </w:r>
            <w:r w:rsidRPr="00E0488D">
              <w:rPr>
                <w:color w:val="000000" w:themeColor="text1"/>
                <w:lang w:val="ro-RO"/>
              </w:rPr>
              <w:t xml:space="preserve"> </w:t>
            </w:r>
            <w:r w:rsidRPr="00E0488D">
              <w:rPr>
                <w:rStyle w:val="hps"/>
                <w:color w:val="000000" w:themeColor="text1"/>
                <w:lang w:val="ro-RO"/>
              </w:rPr>
              <w:t>puse la dispoziția</w:t>
            </w:r>
            <w:r w:rsidRPr="00E0488D">
              <w:rPr>
                <w:color w:val="000000" w:themeColor="text1"/>
                <w:lang w:val="ro-RO"/>
              </w:rPr>
              <w:t xml:space="preserve"> </w:t>
            </w:r>
            <w:r w:rsidRPr="00E0488D">
              <w:rPr>
                <w:rStyle w:val="hps"/>
                <w:color w:val="000000" w:themeColor="text1"/>
                <w:lang w:val="ro-RO"/>
              </w:rPr>
              <w:t>lor</w:t>
            </w:r>
            <w:r w:rsidRPr="00E0488D">
              <w:rPr>
                <w:color w:val="000000" w:themeColor="text1"/>
                <w:lang w:val="ro-RO"/>
              </w:rPr>
              <w:t xml:space="preserve">: </w:t>
            </w:r>
            <w:r w:rsidRPr="00E0488D">
              <w:rPr>
                <w:rStyle w:val="hps"/>
                <w:color w:val="000000" w:themeColor="text1"/>
                <w:lang w:val="ro-RO"/>
              </w:rPr>
              <w:t>planul</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adoptat</w:t>
            </w:r>
            <w:r w:rsidRPr="00E0488D">
              <w:rPr>
                <w:color w:val="000000" w:themeColor="text1"/>
                <w:lang w:val="ro-RO"/>
              </w:rPr>
              <w:t xml:space="preserve">, </w:t>
            </w:r>
            <w:r w:rsidRPr="00E0488D">
              <w:rPr>
                <w:rStyle w:val="hps"/>
                <w:color w:val="000000" w:themeColor="text1"/>
                <w:lang w:val="ro-RO"/>
              </w:rPr>
              <w:t>declarația</w:t>
            </w:r>
            <w:r w:rsidRPr="00E0488D">
              <w:rPr>
                <w:color w:val="000000" w:themeColor="text1"/>
                <w:lang w:val="ro-RO"/>
              </w:rPr>
              <w:t xml:space="preserve"> </w:t>
            </w:r>
            <w:r w:rsidRPr="00E0488D">
              <w:rPr>
                <w:rStyle w:val="hps"/>
                <w:color w:val="000000" w:themeColor="text1"/>
                <w:lang w:val="ro-RO"/>
              </w:rPr>
              <w:t>menționată la articolul</w:t>
            </w:r>
            <w:r w:rsidRPr="00E0488D">
              <w:rPr>
                <w:color w:val="000000" w:themeColor="text1"/>
                <w:lang w:val="ro-RO"/>
              </w:rPr>
              <w:t xml:space="preserve"> </w:t>
            </w:r>
            <w:r w:rsidRPr="00E0488D">
              <w:rPr>
                <w:rStyle w:val="hps"/>
                <w:color w:val="000000" w:themeColor="text1"/>
                <w:lang w:val="ro-RO"/>
              </w:rPr>
              <w:t>9</w:t>
            </w:r>
            <w:r w:rsidRPr="00E0488D">
              <w:rPr>
                <w:color w:val="000000" w:themeColor="text1"/>
                <w:lang w:val="ro-RO"/>
              </w:rPr>
              <w:t xml:space="preserve"> </w:t>
            </w:r>
            <w:r w:rsidRPr="00E0488D">
              <w:rPr>
                <w:rStyle w:val="hps"/>
                <w:color w:val="000000" w:themeColor="text1"/>
                <w:lang w:val="ro-RO"/>
              </w:rPr>
              <w:t>(</w:t>
            </w:r>
            <w:r w:rsidRPr="00E0488D">
              <w:rPr>
                <w:color w:val="000000" w:themeColor="text1"/>
                <w:lang w:val="ro-RO"/>
              </w:rPr>
              <w:t xml:space="preserve">1) </w:t>
            </w:r>
            <w:r w:rsidRPr="00E0488D">
              <w:rPr>
                <w:rStyle w:val="hps"/>
                <w:color w:val="000000" w:themeColor="text1"/>
                <w:lang w:val="ro-RO"/>
              </w:rPr>
              <w:t>din</w:t>
            </w:r>
            <w:r w:rsidRPr="00E0488D">
              <w:rPr>
                <w:color w:val="000000" w:themeColor="text1"/>
                <w:lang w:val="ro-RO"/>
              </w:rPr>
              <w:t xml:space="preserve"> </w:t>
            </w:r>
            <w:r w:rsidRPr="00E0488D">
              <w:rPr>
                <w:rStyle w:val="hps"/>
                <w:color w:val="000000" w:themeColor="text1"/>
                <w:lang w:val="ro-RO"/>
              </w:rPr>
              <w:t>Directiva ESM (SEA)</w:t>
            </w:r>
            <w:r w:rsidRPr="00E0488D">
              <w:rPr>
                <w:color w:val="000000" w:themeColor="text1"/>
                <w:lang w:val="ro-RO"/>
              </w:rPr>
              <w:t xml:space="preserve">, precum și măsurile </w:t>
            </w:r>
            <w:r w:rsidRPr="00E0488D">
              <w:rPr>
                <w:rStyle w:val="hps"/>
                <w:color w:val="000000" w:themeColor="text1"/>
                <w:lang w:val="ro-RO"/>
              </w:rPr>
              <w:t>privind monitorizarea</w:t>
            </w:r>
            <w:r w:rsidRPr="00E0488D">
              <w:rPr>
                <w:color w:val="000000" w:themeColor="text1"/>
                <w:lang w:val="ro-RO"/>
              </w:rPr>
              <w:t xml:space="preserve"> </w:t>
            </w:r>
            <w:r w:rsidRPr="00E0488D">
              <w:rPr>
                <w:rStyle w:val="hps"/>
                <w:color w:val="000000" w:themeColor="text1"/>
                <w:lang w:val="ro-RO"/>
              </w:rPr>
              <w:t>menționată la articolul</w:t>
            </w:r>
            <w:r w:rsidRPr="00E0488D">
              <w:rPr>
                <w:color w:val="000000" w:themeColor="text1"/>
                <w:lang w:val="ro-RO"/>
              </w:rPr>
              <w:t xml:space="preserve"> </w:t>
            </w:r>
            <w:r w:rsidRPr="00E0488D">
              <w:rPr>
                <w:rStyle w:val="hps"/>
                <w:color w:val="000000" w:themeColor="text1"/>
                <w:lang w:val="ro-RO"/>
              </w:rPr>
              <w:t>10</w:t>
            </w:r>
            <w:r w:rsidRPr="00E0488D">
              <w:rPr>
                <w:color w:val="000000" w:themeColor="text1"/>
                <w:lang w:val="ro-RO"/>
              </w:rPr>
              <w:t xml:space="preserve"> </w:t>
            </w:r>
            <w:r w:rsidRPr="00E0488D">
              <w:rPr>
                <w:rStyle w:val="hps"/>
                <w:color w:val="000000" w:themeColor="text1"/>
                <w:lang w:val="ro-RO"/>
              </w:rPr>
              <w:t>din</w:t>
            </w:r>
            <w:r w:rsidRPr="00E0488D">
              <w:rPr>
                <w:color w:val="000000" w:themeColor="text1"/>
                <w:lang w:val="ro-RO"/>
              </w:rPr>
              <w:t xml:space="preserve"> </w:t>
            </w:r>
            <w:r w:rsidRPr="00E0488D">
              <w:rPr>
                <w:rStyle w:val="hps"/>
                <w:color w:val="000000" w:themeColor="text1"/>
                <w:lang w:val="ro-RO"/>
              </w:rPr>
              <w:t>Directiva ESM (SEA)</w:t>
            </w:r>
            <w:r w:rsidRPr="00E0488D">
              <w:rPr>
                <w:lang w:val="ro-RO"/>
              </w:rPr>
              <w:t>.</w:t>
            </w:r>
          </w:p>
        </w:tc>
        <w:tc>
          <w:tcPr>
            <w:tcW w:w="364" w:type="pct"/>
            <w:vAlign w:val="center"/>
          </w:tcPr>
          <w:p w:rsidR="00B4550A" w:rsidRPr="00E0488D" w:rsidRDefault="00B4550A" w:rsidP="003C7FC8">
            <w:pPr>
              <w:tabs>
                <w:tab w:val="left" w:pos="1120"/>
              </w:tabs>
              <w:spacing w:before="57"/>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tabs>
                <w:tab w:val="left" w:pos="1120"/>
              </w:tabs>
              <w:spacing w:before="57"/>
              <w:rPr>
                <w:rFonts w:eastAsia="Wingdings" w:cs="Arial"/>
                <w:sz w:val="20"/>
                <w:szCs w:val="20"/>
                <w:lang w:val="ro-RO"/>
              </w:rPr>
            </w:pPr>
            <w:r w:rsidRPr="00E0488D">
              <w:rPr>
                <w:rFonts w:eastAsia="Wingdings" w:cs="Arial"/>
                <w:sz w:val="20"/>
                <w:szCs w:val="20"/>
                <w:lang w:val="ro-RO"/>
              </w:rPr>
              <w:t>A se vedea mai sus.</w:t>
            </w:r>
          </w:p>
        </w:tc>
      </w:tr>
      <w:tr w:rsidR="00B4550A" w:rsidRPr="00E0488D" w:rsidTr="003C7FC8">
        <w:tc>
          <w:tcPr>
            <w:tcW w:w="3048" w:type="pct"/>
            <w:vAlign w:val="center"/>
          </w:tcPr>
          <w:p w:rsidR="00B4550A" w:rsidRPr="00E0488D" w:rsidRDefault="00B4550A" w:rsidP="003C7FC8">
            <w:pPr>
              <w:tabs>
                <w:tab w:val="left" w:pos="460"/>
              </w:tabs>
              <w:spacing w:line="225" w:lineRule="exact"/>
              <w:rPr>
                <w:rFonts w:cs="Arial"/>
                <w:b/>
                <w:sz w:val="20"/>
                <w:szCs w:val="20"/>
                <w:lang w:val="ro-RO"/>
              </w:rPr>
            </w:pPr>
            <w:r w:rsidRPr="00E0488D">
              <w:rPr>
                <w:rFonts w:cs="Arial"/>
                <w:b/>
                <w:sz w:val="20"/>
                <w:szCs w:val="20"/>
                <w:lang w:val="ro-RO"/>
              </w:rPr>
              <w:t>‒</w:t>
            </w:r>
            <w:r w:rsidRPr="00E0488D">
              <w:rPr>
                <w:rFonts w:cs="Arial"/>
                <w:b/>
                <w:sz w:val="20"/>
                <w:szCs w:val="20"/>
                <w:lang w:val="ro-RO"/>
              </w:rPr>
              <w:tab/>
            </w:r>
            <w:r w:rsidRPr="00E0488D">
              <w:rPr>
                <w:rStyle w:val="hps"/>
                <w:rFonts w:cs="Arial"/>
                <w:b/>
                <w:i/>
                <w:color w:val="000000" w:themeColor="text1"/>
                <w:sz w:val="20"/>
                <w:szCs w:val="20"/>
                <w:lang w:val="ro-RO"/>
              </w:rPr>
              <w:t>stabilește contribuția</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la</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Spațiu Unic</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European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de Transport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în conformitate cu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articolul</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10</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din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Regulamentul</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w:t>
            </w:r>
            <w:r w:rsidRPr="00E0488D">
              <w:rPr>
                <w:rFonts w:cs="Arial"/>
                <w:b/>
                <w:i/>
                <w:color w:val="000000" w:themeColor="text1"/>
                <w:sz w:val="20"/>
                <w:szCs w:val="20"/>
                <w:lang w:val="ro-RO"/>
              </w:rPr>
              <w:t xml:space="preserve">UE) </w:t>
            </w:r>
            <w:r w:rsidRPr="00E0488D">
              <w:rPr>
                <w:rStyle w:val="hps"/>
                <w:rFonts w:cs="Arial"/>
                <w:b/>
                <w:i/>
                <w:color w:val="000000" w:themeColor="text1"/>
                <w:sz w:val="20"/>
                <w:szCs w:val="20"/>
                <w:lang w:val="ro-RO"/>
              </w:rPr>
              <w:t>Nr.1315</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2013</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al Parlamentului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European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și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al Consiliului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inclusiv prioritățile pentru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investiții în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rețeaua TEN</w:t>
            </w:r>
            <w:r w:rsidRPr="00E0488D">
              <w:rPr>
                <w:rFonts w:cs="Arial"/>
                <w:b/>
                <w:i/>
                <w:color w:val="000000" w:themeColor="text1"/>
                <w:sz w:val="20"/>
                <w:szCs w:val="20"/>
                <w:lang w:val="ro-RO"/>
              </w:rPr>
              <w:t xml:space="preserve">-T centrală </w:t>
            </w:r>
            <w:r w:rsidRPr="00E0488D">
              <w:rPr>
                <w:rStyle w:val="hps"/>
                <w:rFonts w:cs="Arial"/>
                <w:b/>
                <w:i/>
                <w:color w:val="000000" w:themeColor="text1"/>
                <w:sz w:val="20"/>
                <w:szCs w:val="20"/>
                <w:lang w:val="ro-RO"/>
              </w:rPr>
              <w:t>și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rețeaua globală</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unde</w:t>
            </w:r>
            <w:r w:rsidRPr="00E0488D">
              <w:rPr>
                <w:rFonts w:cs="Arial"/>
                <w:b/>
                <w:i/>
                <w:color w:val="000000" w:themeColor="text1"/>
                <w:sz w:val="20"/>
                <w:szCs w:val="20"/>
                <w:lang w:val="ro-RO"/>
              </w:rPr>
              <w:t xml:space="preserve"> sunt preconizate </w:t>
            </w:r>
            <w:r w:rsidRPr="00E0488D">
              <w:rPr>
                <w:rStyle w:val="hps"/>
                <w:rFonts w:cs="Arial"/>
                <w:b/>
                <w:i/>
                <w:color w:val="000000" w:themeColor="text1"/>
                <w:sz w:val="20"/>
                <w:szCs w:val="20"/>
                <w:lang w:val="ro-RO"/>
              </w:rPr>
              <w:t>investiții de la</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FEDR și FC</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și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conectivitatea secundară</w:t>
            </w:r>
            <w:r w:rsidRPr="00E0488D">
              <w:rPr>
                <w:rFonts w:cs="Arial"/>
                <w:b/>
                <w:i/>
                <w:sz w:val="20"/>
                <w:szCs w:val="20"/>
                <w:lang w:val="ro-RO"/>
              </w:rPr>
              <w:t>.</w:t>
            </w:r>
          </w:p>
        </w:tc>
        <w:tc>
          <w:tcPr>
            <w:tcW w:w="364" w:type="pct"/>
            <w:vAlign w:val="center"/>
          </w:tcPr>
          <w:p w:rsidR="00B4550A" w:rsidRPr="00E0488D" w:rsidRDefault="00B4550A" w:rsidP="003C7FC8">
            <w:pPr>
              <w:tabs>
                <w:tab w:val="left" w:pos="460"/>
              </w:tabs>
              <w:spacing w:line="225" w:lineRule="exact"/>
              <w:jc w:val="center"/>
              <w:rPr>
                <w:rFonts w:cs="Arial"/>
                <w:b/>
                <w:sz w:val="20"/>
                <w:szCs w:val="20"/>
                <w:lang w:val="ro-RO"/>
              </w:rPr>
            </w:pPr>
            <w:r w:rsidRPr="00E0488D">
              <w:rPr>
                <w:rFonts w:cs="Arial"/>
                <w:b/>
                <w:sz w:val="20"/>
                <w:szCs w:val="20"/>
                <w:lang w:val="ro-RO"/>
              </w:rPr>
              <w:t>DA</w:t>
            </w:r>
          </w:p>
        </w:tc>
        <w:tc>
          <w:tcPr>
            <w:tcW w:w="1588" w:type="pct"/>
            <w:vAlign w:val="center"/>
          </w:tcPr>
          <w:p w:rsidR="00B4550A" w:rsidRPr="00E0488D" w:rsidRDefault="00B4550A" w:rsidP="003C7FC8">
            <w:pPr>
              <w:tabs>
                <w:tab w:val="left" w:pos="460"/>
              </w:tabs>
              <w:spacing w:line="225" w:lineRule="exact"/>
              <w:rPr>
                <w:rFonts w:cs="Arial"/>
                <w:b/>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1"/>
              </w:numPr>
              <w:tabs>
                <w:tab w:val="left" w:pos="800"/>
              </w:tabs>
              <w:spacing w:before="60" w:line="240" w:lineRule="auto"/>
              <w:contextualSpacing/>
              <w:jc w:val="left"/>
              <w:rPr>
                <w:lang w:val="ro-RO"/>
              </w:rPr>
            </w:pPr>
            <w:r w:rsidRPr="00E0488D">
              <w:rPr>
                <w:rStyle w:val="hps"/>
                <w:color w:val="000000" w:themeColor="text1"/>
                <w:lang w:val="ro-RO"/>
              </w:rPr>
              <w:t>Prioritățile</w:t>
            </w:r>
            <w:r w:rsidRPr="00E0488D">
              <w:rPr>
                <w:color w:val="000000" w:themeColor="text1"/>
                <w:lang w:val="ro-RO"/>
              </w:rPr>
              <w:t xml:space="preserve"> </w:t>
            </w:r>
            <w:r w:rsidRPr="00E0488D">
              <w:rPr>
                <w:rStyle w:val="hps"/>
                <w:color w:val="000000" w:themeColor="text1"/>
                <w:lang w:val="ro-RO"/>
              </w:rPr>
              <w:t>de investiții cuprinse</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planul global 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conectează</w:t>
            </w:r>
            <w:r w:rsidRPr="00E0488D">
              <w:rPr>
                <w:color w:val="000000" w:themeColor="text1"/>
                <w:lang w:val="ro-RO"/>
              </w:rPr>
              <w:t xml:space="preserve"> </w:t>
            </w:r>
            <w:r w:rsidRPr="00E0488D">
              <w:rPr>
                <w:rStyle w:val="hps"/>
                <w:color w:val="000000" w:themeColor="text1"/>
                <w:lang w:val="ro-RO"/>
              </w:rPr>
              <w:t>nodurile</w:t>
            </w:r>
            <w:r w:rsidRPr="00E0488D">
              <w:rPr>
                <w:color w:val="000000" w:themeColor="text1"/>
                <w:lang w:val="ro-RO"/>
              </w:rPr>
              <w:t xml:space="preserve"> </w:t>
            </w:r>
            <w:r w:rsidRPr="00E0488D">
              <w:rPr>
                <w:rStyle w:val="hps"/>
                <w:color w:val="000000" w:themeColor="text1"/>
                <w:lang w:val="ro-RO"/>
              </w:rPr>
              <w:t>principale identificate</w:t>
            </w:r>
            <w:r w:rsidRPr="00E0488D">
              <w:rPr>
                <w:color w:val="000000" w:themeColor="text1"/>
                <w:lang w:val="ro-RO"/>
              </w:rPr>
              <w:t xml:space="preserve"> </w:t>
            </w:r>
            <w:r w:rsidRPr="00E0488D">
              <w:rPr>
                <w:rStyle w:val="hps"/>
                <w:color w:val="000000" w:themeColor="text1"/>
                <w:lang w:val="ro-RO"/>
              </w:rPr>
              <w:t>(a se vedea</w:t>
            </w:r>
            <w:r w:rsidRPr="00E0488D">
              <w:rPr>
                <w:color w:val="000000" w:themeColor="text1"/>
                <w:lang w:val="ro-RO"/>
              </w:rPr>
              <w:t xml:space="preserve"> </w:t>
            </w:r>
            <w:r w:rsidRPr="00E0488D">
              <w:rPr>
                <w:rStyle w:val="hps"/>
                <w:color w:val="000000" w:themeColor="text1"/>
                <w:lang w:val="ro-RO"/>
              </w:rPr>
              <w:t>lista</w:t>
            </w:r>
            <w:r w:rsidRPr="00E0488D">
              <w:rPr>
                <w:color w:val="000000" w:themeColor="text1"/>
                <w:lang w:val="ro-RO"/>
              </w:rPr>
              <w:t xml:space="preserve"> </w:t>
            </w:r>
            <w:r w:rsidRPr="00E0488D">
              <w:rPr>
                <w:rStyle w:val="hps"/>
                <w:color w:val="000000" w:themeColor="text1"/>
                <w:lang w:val="ro-RO"/>
              </w:rPr>
              <w:t>din</w:t>
            </w:r>
            <w:r w:rsidRPr="00E0488D">
              <w:rPr>
                <w:color w:val="000000" w:themeColor="text1"/>
                <w:lang w:val="ro-RO"/>
              </w:rPr>
              <w:t xml:space="preserve"> </w:t>
            </w:r>
            <w:r w:rsidRPr="00E0488D">
              <w:rPr>
                <w:rStyle w:val="hps"/>
                <w:color w:val="000000" w:themeColor="text1"/>
                <w:lang w:val="ro-RO"/>
              </w:rPr>
              <w:t>anexă)</w:t>
            </w:r>
            <w:r w:rsidRPr="00E0488D">
              <w:rPr>
                <w:color w:val="000000" w:themeColor="text1"/>
                <w:lang w:val="ro-RO"/>
              </w:rPr>
              <w:t xml:space="preserve"> </w:t>
            </w:r>
            <w:r w:rsidRPr="00E0488D">
              <w:rPr>
                <w:rStyle w:val="hps"/>
                <w:color w:val="000000" w:themeColor="text1"/>
                <w:lang w:val="ro-RO"/>
              </w:rPr>
              <w:t>și asigură</w:t>
            </w:r>
            <w:r w:rsidRPr="00E0488D">
              <w:rPr>
                <w:color w:val="000000" w:themeColor="text1"/>
                <w:lang w:val="ro-RO"/>
              </w:rPr>
              <w:t xml:space="preserve"> </w:t>
            </w:r>
            <w:r w:rsidRPr="00E0488D">
              <w:rPr>
                <w:rStyle w:val="hps"/>
                <w:color w:val="000000" w:themeColor="text1"/>
                <w:lang w:val="ro-RO"/>
              </w:rPr>
              <w:t>legături</w:t>
            </w:r>
            <w:r w:rsidRPr="00E0488D">
              <w:rPr>
                <w:color w:val="000000" w:themeColor="text1"/>
                <w:lang w:val="ro-RO"/>
              </w:rPr>
              <w:t xml:space="preserve"> </w:t>
            </w:r>
            <w:r w:rsidRPr="00E0488D">
              <w:rPr>
                <w:rStyle w:val="hps"/>
                <w:color w:val="000000" w:themeColor="text1"/>
                <w:lang w:val="ro-RO"/>
              </w:rPr>
              <w:t>cu rețelele</w:t>
            </w:r>
            <w:r w:rsidRPr="00E0488D">
              <w:rPr>
                <w:color w:val="000000" w:themeColor="text1"/>
                <w:lang w:val="ro-RO"/>
              </w:rPr>
              <w:t xml:space="preserve"> </w:t>
            </w:r>
            <w:r w:rsidRPr="00E0488D">
              <w:rPr>
                <w:rStyle w:val="hps"/>
                <w:color w:val="000000" w:themeColor="text1"/>
                <w:lang w:val="ro-RO"/>
              </w:rPr>
              <w:t>de infrastructură de transport</w:t>
            </w:r>
            <w:r w:rsidRPr="00E0488D">
              <w:rPr>
                <w:color w:val="000000" w:themeColor="text1"/>
                <w:lang w:val="ro-RO"/>
              </w:rPr>
              <w:t xml:space="preserve"> </w:t>
            </w:r>
            <w:r w:rsidRPr="00E0488D">
              <w:rPr>
                <w:rStyle w:val="hps"/>
                <w:color w:val="000000" w:themeColor="text1"/>
                <w:lang w:val="ro-RO"/>
              </w:rPr>
              <w:t>din țările</w:t>
            </w:r>
            <w:r w:rsidRPr="00E0488D">
              <w:rPr>
                <w:color w:val="000000" w:themeColor="text1"/>
                <w:lang w:val="ro-RO"/>
              </w:rPr>
              <w:t xml:space="preserve"> </w:t>
            </w:r>
            <w:r w:rsidRPr="00E0488D">
              <w:rPr>
                <w:rStyle w:val="hps"/>
                <w:color w:val="000000" w:themeColor="text1"/>
                <w:lang w:val="ro-RO"/>
              </w:rPr>
              <w:t>vecine</w:t>
            </w:r>
            <w:r w:rsidRPr="00E0488D">
              <w:rPr>
                <w:color w:val="000000" w:themeColor="text1"/>
                <w:lang w:val="ro-RO"/>
              </w:rPr>
              <w:t>.</w:t>
            </w:r>
            <w:r w:rsidRPr="00E0488D">
              <w:rPr>
                <w:rStyle w:val="hps"/>
                <w:color w:val="000000" w:themeColor="text1"/>
                <w:lang w:val="ro-RO"/>
              </w:rPr>
              <w:t>Statul membru</w:t>
            </w:r>
            <w:r w:rsidRPr="00E0488D">
              <w:rPr>
                <w:color w:val="000000" w:themeColor="text1"/>
                <w:lang w:val="ro-RO"/>
              </w:rPr>
              <w:t xml:space="preserve"> </w:t>
            </w:r>
            <w:r w:rsidRPr="00E0488D">
              <w:rPr>
                <w:rStyle w:val="hps"/>
                <w:color w:val="000000" w:themeColor="text1"/>
                <w:lang w:val="ro-RO"/>
              </w:rPr>
              <w:t>trebuie să demonstreze</w:t>
            </w:r>
            <w:r w:rsidRPr="00E0488D">
              <w:rPr>
                <w:color w:val="000000" w:themeColor="text1"/>
                <w:lang w:val="ro-RO"/>
              </w:rPr>
              <w:t xml:space="preserve">, de asemenea, </w:t>
            </w:r>
            <w:r w:rsidRPr="00E0488D">
              <w:rPr>
                <w:rStyle w:val="hps"/>
                <w:color w:val="000000" w:themeColor="text1"/>
                <w:lang w:val="ro-RO"/>
              </w:rPr>
              <w:t>modul în care</w:t>
            </w:r>
            <w:r w:rsidRPr="00E0488D">
              <w:rPr>
                <w:color w:val="000000" w:themeColor="text1"/>
                <w:lang w:val="ro-RO"/>
              </w:rPr>
              <w:t xml:space="preserve"> </w:t>
            </w:r>
            <w:r w:rsidRPr="00E0488D">
              <w:rPr>
                <w:rStyle w:val="hps"/>
                <w:color w:val="000000" w:themeColor="text1"/>
                <w:lang w:val="ro-RO"/>
              </w:rPr>
              <w:t>investițiile sale</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conectivitatea secundară</w:t>
            </w:r>
            <w:r w:rsidRPr="00E0488D">
              <w:rPr>
                <w:color w:val="000000" w:themeColor="text1"/>
                <w:lang w:val="ro-RO"/>
              </w:rPr>
              <w:t xml:space="preserve"> </w:t>
            </w:r>
            <w:r w:rsidRPr="00E0488D">
              <w:rPr>
                <w:rStyle w:val="hps"/>
                <w:color w:val="000000" w:themeColor="text1"/>
                <w:lang w:val="ro-RO"/>
              </w:rPr>
              <w:t>vor</w:t>
            </w:r>
            <w:r w:rsidRPr="00E0488D">
              <w:rPr>
                <w:color w:val="000000" w:themeColor="text1"/>
                <w:lang w:val="ro-RO"/>
              </w:rPr>
              <w:t xml:space="preserve"> </w:t>
            </w:r>
            <w:r w:rsidRPr="00E0488D">
              <w:rPr>
                <w:rStyle w:val="hps"/>
                <w:color w:val="000000" w:themeColor="text1"/>
                <w:lang w:val="ro-RO"/>
              </w:rPr>
              <w:t>contribui</w:t>
            </w:r>
            <w:r w:rsidRPr="00E0488D">
              <w:rPr>
                <w:color w:val="000000" w:themeColor="text1"/>
                <w:lang w:val="ro-RO"/>
              </w:rPr>
              <w:t xml:space="preserve"> </w:t>
            </w:r>
            <w:r w:rsidRPr="00E0488D">
              <w:rPr>
                <w:rStyle w:val="hps"/>
                <w:color w:val="000000" w:themeColor="text1"/>
                <w:lang w:val="ro-RO"/>
              </w:rPr>
              <w:t>la</w:t>
            </w:r>
            <w:r w:rsidRPr="00E0488D">
              <w:rPr>
                <w:color w:val="000000" w:themeColor="text1"/>
                <w:lang w:val="ro-RO"/>
              </w:rPr>
              <w:t xml:space="preserve"> </w:t>
            </w:r>
            <w:r w:rsidRPr="00E0488D">
              <w:rPr>
                <w:rStyle w:val="hps"/>
                <w:color w:val="000000" w:themeColor="text1"/>
                <w:lang w:val="ro-RO"/>
              </w:rPr>
              <w:t>zona de transport unic la nivel european</w:t>
            </w:r>
            <w:r w:rsidRPr="00E0488D">
              <w:rPr>
                <w:position w:val="9"/>
                <w:lang w:val="ro-RO"/>
              </w:rPr>
              <w:t>57</w:t>
            </w:r>
            <w:r w:rsidRPr="00E0488D">
              <w:rPr>
                <w:lang w:val="ro-RO"/>
              </w:rPr>
              <w:t>.</w:t>
            </w:r>
          </w:p>
        </w:tc>
        <w:tc>
          <w:tcPr>
            <w:tcW w:w="364" w:type="pct"/>
            <w:vAlign w:val="center"/>
          </w:tcPr>
          <w:p w:rsidR="00B4550A" w:rsidRPr="00E0488D" w:rsidRDefault="00B4550A" w:rsidP="003C7FC8">
            <w:pPr>
              <w:tabs>
                <w:tab w:val="left" w:pos="800"/>
              </w:tabs>
              <w:spacing w:before="60"/>
              <w:jc w:val="center"/>
              <w:rPr>
                <w:rFonts w:eastAsia="Wingdings" w:cs="Arial"/>
                <w:sz w:val="20"/>
                <w:szCs w:val="20"/>
                <w:lang w:val="ro-RO"/>
              </w:rPr>
            </w:pPr>
            <w:r w:rsidRPr="00E0488D">
              <w:rPr>
                <w:rFonts w:eastAsia="Wingdings" w:cs="Arial"/>
                <w:sz w:val="20"/>
                <w:szCs w:val="20"/>
                <w:lang w:val="ro-RO"/>
              </w:rPr>
              <w:t>DA</w:t>
            </w:r>
          </w:p>
        </w:tc>
        <w:tc>
          <w:tcPr>
            <w:tcW w:w="1588" w:type="pct"/>
            <w:vAlign w:val="center"/>
          </w:tcPr>
          <w:p w:rsidR="00B4550A" w:rsidRPr="00E0488D" w:rsidRDefault="00B4550A" w:rsidP="003C7FC8">
            <w:pPr>
              <w:tabs>
                <w:tab w:val="left" w:pos="800"/>
              </w:tabs>
              <w:spacing w:before="60"/>
              <w:rPr>
                <w:rFonts w:eastAsia="Wingdings" w:cs="Arial"/>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1"/>
              </w:numPr>
              <w:tabs>
                <w:tab w:val="left" w:pos="820"/>
              </w:tabs>
              <w:spacing w:before="57" w:line="240" w:lineRule="auto"/>
              <w:contextualSpacing/>
              <w:jc w:val="left"/>
              <w:rPr>
                <w:lang w:val="ro-RO"/>
              </w:rPr>
            </w:pPr>
            <w:r w:rsidRPr="00E0488D">
              <w:rPr>
                <w:spacing w:val="3"/>
                <w:lang w:val="ro-RO"/>
              </w:rPr>
              <w:t>Planul global de transport sau cadrul cuprinde măsuri necesare pentru</w:t>
            </w:r>
            <w:r w:rsidRPr="00E0488D">
              <w:rPr>
                <w:lang w:val="ro-RO"/>
              </w:rPr>
              <w:t>:</w:t>
            </w:r>
          </w:p>
        </w:tc>
        <w:tc>
          <w:tcPr>
            <w:tcW w:w="364" w:type="pct"/>
            <w:vAlign w:val="center"/>
          </w:tcPr>
          <w:p w:rsidR="00B4550A" w:rsidRPr="00E0488D" w:rsidRDefault="00B4550A" w:rsidP="003C7FC8">
            <w:pPr>
              <w:tabs>
                <w:tab w:val="left" w:pos="820"/>
              </w:tabs>
              <w:spacing w:before="57"/>
              <w:jc w:val="center"/>
              <w:rPr>
                <w:rFonts w:eastAsia="Wingdings" w:cs="Arial"/>
                <w:sz w:val="20"/>
                <w:szCs w:val="20"/>
                <w:lang w:val="ro-RO"/>
              </w:rPr>
            </w:pPr>
          </w:p>
        </w:tc>
        <w:tc>
          <w:tcPr>
            <w:tcW w:w="1588" w:type="pct"/>
            <w:vAlign w:val="center"/>
          </w:tcPr>
          <w:p w:rsidR="00B4550A" w:rsidRPr="00E0488D" w:rsidRDefault="00B4550A" w:rsidP="003C7FC8">
            <w:pPr>
              <w:tabs>
                <w:tab w:val="left" w:pos="820"/>
              </w:tabs>
              <w:spacing w:before="57"/>
              <w:rPr>
                <w:rFonts w:eastAsia="Wingding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asigurarea accesibilității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sporite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conectivității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toate regiunile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Uniunii</w:t>
            </w:r>
            <w:r w:rsidRPr="00E0488D">
              <w:rPr>
                <w:rFonts w:cs="Arial"/>
                <w:color w:val="000000" w:themeColor="text1"/>
                <w:sz w:val="20"/>
                <w:szCs w:val="20"/>
                <w:lang w:val="ro-RO"/>
              </w:rPr>
              <w:t xml:space="preserve">, luând în </w:t>
            </w:r>
            <w:r w:rsidRPr="00E0488D">
              <w:rPr>
                <w:rStyle w:val="hps"/>
                <w:rFonts w:cs="Arial"/>
                <w:color w:val="000000" w:themeColor="text1"/>
                <w:sz w:val="20"/>
                <w:szCs w:val="20"/>
                <w:lang w:val="ro-RO"/>
              </w:rPr>
              <w:t>considerare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cazul specific 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insulelor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rețelelor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izolate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regiunilor slab</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populate</w:t>
            </w:r>
            <w:r w:rsidRPr="00E0488D">
              <w:rPr>
                <w:rFonts w:cs="Arial"/>
                <w:color w:val="000000" w:themeColor="text1"/>
                <w:sz w:val="20"/>
                <w:szCs w:val="20"/>
                <w:lang w:val="ro-RO"/>
              </w:rPr>
              <w:t xml:space="preserve">, regiunilor îndepărtate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ultraperiferice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asigurarea integrării optime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modurilor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transport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interoperabilității în cadrul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modurilor de transport</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construirea legăturilor lipsă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eliminarea blocajelor</w:t>
            </w:r>
            <w:r w:rsidRPr="00E0488D">
              <w:rPr>
                <w:rFonts w:cs="Arial"/>
                <w:color w:val="000000" w:themeColor="text1"/>
                <w:sz w:val="20"/>
                <w:szCs w:val="20"/>
                <w:lang w:val="ro-RO"/>
              </w:rPr>
              <w:t xml:space="preserve">, în special </w:t>
            </w: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secțiunile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transfrontaliere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lastRenderedPageBreak/>
              <w:tab/>
            </w:r>
            <w:r w:rsidRPr="00E0488D">
              <w:rPr>
                <w:rStyle w:val="hps"/>
                <w:rFonts w:cs="Arial"/>
                <w:color w:val="000000" w:themeColor="text1"/>
                <w:sz w:val="20"/>
                <w:szCs w:val="20"/>
                <w:lang w:val="ro-RO"/>
              </w:rPr>
              <w:t>promovarea utilizării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eficiente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durabile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 infrastructurii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dacă este necesar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creșterea capacității</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îmbunătățirea sau menținerea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calității infrastructurii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din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punct de vedere 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siguranței, securității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eficienței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climei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unde este cazul 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rezistenței în fața dezastrelor</w:t>
            </w:r>
            <w:r w:rsidRPr="00E0488D">
              <w:rPr>
                <w:rFonts w:cs="Arial"/>
                <w:color w:val="000000" w:themeColor="text1"/>
                <w:sz w:val="20"/>
                <w:szCs w:val="20"/>
                <w:lang w:val="ro-RO"/>
              </w:rPr>
              <w:t xml:space="preserve">, performanțelor de mediu, </w:t>
            </w:r>
            <w:r w:rsidRPr="00E0488D">
              <w:rPr>
                <w:rStyle w:val="hps"/>
                <w:rFonts w:cs="Arial"/>
                <w:color w:val="000000" w:themeColor="text1"/>
                <w:sz w:val="20"/>
                <w:szCs w:val="20"/>
                <w:lang w:val="ro-RO"/>
              </w:rPr>
              <w:t>a condițiilor sociale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al accesibilității pentru toți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utilizatorii</w:t>
            </w:r>
            <w:r w:rsidRPr="00E0488D">
              <w:rPr>
                <w:rFonts w:cs="Arial"/>
                <w:color w:val="000000" w:themeColor="text1"/>
                <w:sz w:val="20"/>
                <w:szCs w:val="20"/>
                <w:lang w:val="ro-RO"/>
              </w:rPr>
              <w:t xml:space="preserve">, inclusiv pentru persoanele </w:t>
            </w:r>
            <w:r w:rsidRPr="00E0488D">
              <w:rPr>
                <w:rStyle w:val="hps"/>
                <w:rFonts w:cs="Arial"/>
                <w:color w:val="000000" w:themeColor="text1"/>
                <w:sz w:val="20"/>
                <w:szCs w:val="20"/>
                <w:lang w:val="ro-RO"/>
              </w:rPr>
              <w:t>în vârstă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persoanele cu mobilitate redusă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călătorii cu handicap</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precum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calitatea serviciilor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continuitatea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fluxurilor de trafic</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implementarea și punerea în aplicare a aplicațiilor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telematice</w:t>
            </w:r>
            <w:r w:rsidRPr="00E0488D">
              <w:rPr>
                <w:rFonts w:cs="Arial"/>
                <w:color w:val="000000" w:themeColor="text1"/>
                <w:sz w:val="20"/>
                <w:szCs w:val="20"/>
                <w:lang w:val="ro-RO"/>
              </w:rPr>
              <w:t xml:space="preserve">, precum și </w:t>
            </w:r>
            <w:r w:rsidRPr="00E0488D">
              <w:rPr>
                <w:rStyle w:val="hps"/>
                <w:rFonts w:cs="Arial"/>
                <w:color w:val="000000" w:themeColor="text1"/>
                <w:sz w:val="20"/>
                <w:szCs w:val="20"/>
                <w:lang w:val="ro-RO"/>
              </w:rPr>
              <w:t>promovarea dezvoltării tehnologice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inovatoare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2"/>
              </w:numPr>
              <w:tabs>
                <w:tab w:val="left" w:pos="820"/>
              </w:tabs>
              <w:spacing w:before="57" w:line="240" w:lineRule="auto"/>
              <w:contextualSpacing/>
              <w:jc w:val="left"/>
              <w:rPr>
                <w:lang w:val="ro-RO"/>
              </w:rPr>
            </w:pPr>
            <w:r w:rsidRPr="00E0488D">
              <w:rPr>
                <w:rStyle w:val="hps"/>
                <w:color w:val="000000" w:themeColor="text1"/>
                <w:lang w:val="ro-RO"/>
              </w:rPr>
              <w:t>O atenție deosebită trebuie</w:t>
            </w:r>
            <w:r w:rsidRPr="00E0488D">
              <w:rPr>
                <w:color w:val="000000" w:themeColor="text1"/>
                <w:lang w:val="ro-RO"/>
              </w:rPr>
              <w:t xml:space="preserve"> </w:t>
            </w:r>
            <w:r w:rsidRPr="00E0488D">
              <w:rPr>
                <w:rStyle w:val="hps"/>
                <w:color w:val="000000" w:themeColor="text1"/>
                <w:lang w:val="ro-RO"/>
              </w:rPr>
              <w:t>acordată</w:t>
            </w:r>
            <w:r w:rsidRPr="00E0488D">
              <w:rPr>
                <w:color w:val="000000" w:themeColor="text1"/>
                <w:lang w:val="ro-RO"/>
              </w:rPr>
              <w:t xml:space="preserve"> </w:t>
            </w:r>
            <w:r w:rsidRPr="00E0488D">
              <w:rPr>
                <w:rStyle w:val="hps"/>
                <w:color w:val="000000" w:themeColor="text1"/>
                <w:lang w:val="ro-RO"/>
              </w:rPr>
              <w:t>planului global 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 în ceea ce privește</w:t>
            </w:r>
            <w:r w:rsidRPr="00E0488D">
              <w:rPr>
                <w:color w:val="000000" w:themeColor="text1"/>
                <w:lang w:val="ro-RO"/>
              </w:rPr>
              <w:t xml:space="preserve"> </w:t>
            </w:r>
            <w:r w:rsidRPr="00E0488D">
              <w:rPr>
                <w:rStyle w:val="hps"/>
                <w:color w:val="000000" w:themeColor="text1"/>
                <w:lang w:val="ro-RO"/>
              </w:rPr>
              <w:t>măsurile</w:t>
            </w:r>
            <w:r w:rsidRPr="00E0488D">
              <w:rPr>
                <w:color w:val="000000" w:themeColor="text1"/>
                <w:lang w:val="ro-RO"/>
              </w:rPr>
              <w:t xml:space="preserve">  </w:t>
            </w:r>
            <w:r w:rsidRPr="00E0488D">
              <w:rPr>
                <w:rStyle w:val="hps"/>
                <w:color w:val="000000" w:themeColor="text1"/>
                <w:lang w:val="ro-RO"/>
              </w:rPr>
              <w:t>necesare</w:t>
            </w:r>
            <w:r w:rsidRPr="00E0488D">
              <w:rPr>
                <w:color w:val="000000" w:themeColor="text1"/>
                <w:lang w:val="ro-RO"/>
              </w:rPr>
              <w:t xml:space="preserve"> </w:t>
            </w:r>
            <w:r w:rsidRPr="00E0488D">
              <w:rPr>
                <w:rStyle w:val="hps"/>
                <w:color w:val="000000" w:themeColor="text1"/>
                <w:lang w:val="ro-RO"/>
              </w:rPr>
              <w:t>pentru</w:t>
            </w:r>
            <w:r w:rsidRPr="00E0488D">
              <w:rPr>
                <w:lang w:val="ro-RO"/>
              </w:rPr>
              <w:t>:</w:t>
            </w:r>
          </w:p>
        </w:tc>
        <w:tc>
          <w:tcPr>
            <w:tcW w:w="364" w:type="pct"/>
            <w:vAlign w:val="center"/>
          </w:tcPr>
          <w:p w:rsidR="00B4550A" w:rsidRPr="00E0488D" w:rsidRDefault="00B4550A" w:rsidP="003C7FC8">
            <w:pPr>
              <w:tabs>
                <w:tab w:val="left" w:pos="820"/>
              </w:tabs>
              <w:spacing w:before="57"/>
              <w:jc w:val="center"/>
              <w:rPr>
                <w:rFonts w:eastAsia="Wingdings" w:cs="Arial"/>
                <w:sz w:val="20"/>
                <w:szCs w:val="20"/>
                <w:lang w:val="ro-RO"/>
              </w:rPr>
            </w:pPr>
          </w:p>
        </w:tc>
        <w:tc>
          <w:tcPr>
            <w:tcW w:w="1588" w:type="pct"/>
            <w:vAlign w:val="center"/>
          </w:tcPr>
          <w:p w:rsidR="00B4550A" w:rsidRPr="00E0488D" w:rsidRDefault="00B4550A" w:rsidP="003C7FC8">
            <w:pPr>
              <w:tabs>
                <w:tab w:val="left" w:pos="820"/>
              </w:tabs>
              <w:spacing w:before="57"/>
              <w:rPr>
                <w:rFonts w:eastAsia="Wingding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asigurarea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securității alimentării cu combustibil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prin creșterea eficienței energetice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promovarea utilizării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alternative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în special, a </w:t>
            </w:r>
            <w:r w:rsidRPr="00E0488D">
              <w:rPr>
                <w:rStyle w:val="hps"/>
                <w:rFonts w:cs="Arial"/>
                <w:color w:val="000000" w:themeColor="text1"/>
                <w:sz w:val="20"/>
                <w:szCs w:val="20"/>
                <w:lang w:val="ro-RO"/>
              </w:rPr>
              <w:t>surselor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energie</w:t>
            </w:r>
            <w:r w:rsidRPr="00E0488D">
              <w:rPr>
                <w:rFonts w:cs="Arial"/>
                <w:color w:val="000000" w:themeColor="text1"/>
                <w:sz w:val="20"/>
                <w:szCs w:val="20"/>
                <w:lang w:val="ro-RO"/>
              </w:rPr>
              <w:t xml:space="preserve"> cu emisii de carbon </w:t>
            </w:r>
            <w:r w:rsidRPr="00E0488D">
              <w:rPr>
                <w:rStyle w:val="hps"/>
                <w:rFonts w:cs="Arial"/>
                <w:color w:val="000000" w:themeColor="text1"/>
                <w:sz w:val="20"/>
                <w:szCs w:val="20"/>
                <w:lang w:val="ro-RO"/>
              </w:rPr>
              <w:t>mici</w:t>
            </w:r>
            <w:r w:rsidRPr="00E0488D">
              <w:rPr>
                <w:rFonts w:cs="Arial"/>
                <w:color w:val="000000" w:themeColor="text1"/>
                <w:sz w:val="20"/>
                <w:szCs w:val="20"/>
                <w:lang w:val="ro-RO"/>
              </w:rPr>
              <w:t xml:space="preserve"> sau zero </w:t>
            </w:r>
            <w:r w:rsidRPr="00E0488D">
              <w:rPr>
                <w:rStyle w:val="hps"/>
                <w:rFonts w:cs="Arial"/>
                <w:color w:val="000000" w:themeColor="text1"/>
                <w:sz w:val="20"/>
                <w:szCs w:val="20"/>
                <w:lang w:val="ro-RO"/>
              </w:rPr>
              <w:t>și a sistemelor de propulsie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atenuarea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expunerii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zonelor urbane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efectele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negative ale</w:t>
            </w:r>
            <w:r w:rsidRPr="00E0488D">
              <w:rPr>
                <w:rFonts w:cs="Arial"/>
                <w:color w:val="000000" w:themeColor="text1"/>
                <w:sz w:val="20"/>
                <w:szCs w:val="20"/>
                <w:lang w:val="ro-RO"/>
              </w:rPr>
              <w:t xml:space="preserve"> liniilor de t</w:t>
            </w:r>
            <w:r w:rsidRPr="00E0488D">
              <w:rPr>
                <w:rStyle w:val="hps"/>
                <w:rFonts w:cs="Arial"/>
                <w:color w:val="000000" w:themeColor="text1"/>
                <w:sz w:val="20"/>
                <w:szCs w:val="20"/>
                <w:lang w:val="ro-RO"/>
              </w:rPr>
              <w:t>ransport feroviar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rutier de tranzit</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eliminarea barierelor administrative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tehnice</w:t>
            </w:r>
            <w:r w:rsidRPr="00E0488D">
              <w:rPr>
                <w:rFonts w:cs="Arial"/>
                <w:color w:val="000000" w:themeColor="text1"/>
                <w:sz w:val="20"/>
                <w:szCs w:val="20"/>
                <w:lang w:val="ro-RO"/>
              </w:rPr>
              <w:t xml:space="preserve">, în special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interoperabilitatea rețelei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transeuropene de transport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concurenței</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b/>
                <w:i/>
                <w:color w:val="000000" w:themeColor="text1"/>
                <w:lang w:val="ro-RO"/>
              </w:rPr>
            </w:pPr>
            <w:r w:rsidRPr="00E0488D">
              <w:rPr>
                <w:rStyle w:val="hps"/>
                <w:b/>
                <w:i/>
                <w:color w:val="000000" w:themeColor="text1"/>
                <w:lang w:val="ro-RO"/>
              </w:rPr>
              <w:t>Stabilește</w:t>
            </w:r>
            <w:r w:rsidRPr="00E0488D">
              <w:rPr>
                <w:b/>
                <w:i/>
                <w:color w:val="000000" w:themeColor="text1"/>
                <w:lang w:val="ro-RO"/>
              </w:rPr>
              <w:t xml:space="preserve"> </w:t>
            </w:r>
            <w:r w:rsidRPr="00E0488D">
              <w:rPr>
                <w:rStyle w:val="hps"/>
                <w:b/>
                <w:i/>
                <w:color w:val="000000" w:themeColor="text1"/>
                <w:lang w:val="ro-RO"/>
              </w:rPr>
              <w:t>un</w:t>
            </w:r>
            <w:r w:rsidRPr="00E0488D">
              <w:rPr>
                <w:b/>
                <w:i/>
                <w:color w:val="000000" w:themeColor="text1"/>
                <w:lang w:val="ro-RO"/>
              </w:rPr>
              <w:t xml:space="preserve"> </w:t>
            </w:r>
            <w:r w:rsidRPr="00E0488D">
              <w:rPr>
                <w:rStyle w:val="hps"/>
                <w:b/>
                <w:i/>
                <w:color w:val="000000" w:themeColor="text1"/>
                <w:lang w:val="ro-RO"/>
              </w:rPr>
              <w:t>flux de proiecte realiste</w:t>
            </w:r>
            <w:r w:rsidRPr="00E0488D">
              <w:rPr>
                <w:b/>
                <w:i/>
                <w:color w:val="000000" w:themeColor="text1"/>
                <w:lang w:val="ro-RO"/>
              </w:rPr>
              <w:t xml:space="preserve"> </w:t>
            </w:r>
            <w:r w:rsidRPr="00E0488D">
              <w:rPr>
                <w:rStyle w:val="hps"/>
                <w:b/>
                <w:i/>
                <w:color w:val="000000" w:themeColor="text1"/>
                <w:lang w:val="ro-RO"/>
              </w:rPr>
              <w:t>și</w:t>
            </w:r>
            <w:r w:rsidRPr="00E0488D">
              <w:rPr>
                <w:b/>
                <w:i/>
                <w:color w:val="000000" w:themeColor="text1"/>
                <w:lang w:val="ro-RO"/>
              </w:rPr>
              <w:t xml:space="preserve"> </w:t>
            </w:r>
            <w:r w:rsidRPr="00E0488D">
              <w:rPr>
                <w:rStyle w:val="hps"/>
                <w:b/>
                <w:i/>
                <w:color w:val="000000" w:themeColor="text1"/>
                <w:lang w:val="ro-RO"/>
              </w:rPr>
              <w:t>mature</w:t>
            </w:r>
            <w:r w:rsidRPr="00E0488D">
              <w:rPr>
                <w:b/>
                <w:i/>
                <w:color w:val="000000" w:themeColor="text1"/>
                <w:lang w:val="ro-RO"/>
              </w:rPr>
              <w:t xml:space="preserve"> </w:t>
            </w:r>
            <w:r w:rsidRPr="00E0488D">
              <w:rPr>
                <w:rStyle w:val="hps"/>
                <w:b/>
                <w:i/>
                <w:color w:val="000000" w:themeColor="text1"/>
                <w:lang w:val="ro-RO"/>
              </w:rPr>
              <w:t>pentru</w:t>
            </w:r>
            <w:r w:rsidRPr="00E0488D">
              <w:rPr>
                <w:b/>
                <w:i/>
                <w:color w:val="000000" w:themeColor="text1"/>
                <w:lang w:val="ro-RO"/>
              </w:rPr>
              <w:t xml:space="preserve"> </w:t>
            </w:r>
            <w:r w:rsidRPr="00E0488D">
              <w:rPr>
                <w:rStyle w:val="hps"/>
                <w:b/>
                <w:i/>
                <w:color w:val="000000" w:themeColor="text1"/>
                <w:lang w:val="ro-RO"/>
              </w:rPr>
              <w:t>proiectele</w:t>
            </w:r>
            <w:r w:rsidRPr="00E0488D">
              <w:rPr>
                <w:b/>
                <w:i/>
                <w:color w:val="000000" w:themeColor="text1"/>
                <w:lang w:val="ro-RO"/>
              </w:rPr>
              <w:t xml:space="preserve"> </w:t>
            </w:r>
            <w:r w:rsidRPr="00E0488D">
              <w:rPr>
                <w:rStyle w:val="hps"/>
                <w:b/>
                <w:i/>
                <w:color w:val="000000" w:themeColor="text1"/>
                <w:lang w:val="ro-RO"/>
              </w:rPr>
              <w:t>avute în vedere</w:t>
            </w:r>
            <w:r w:rsidRPr="00E0488D">
              <w:rPr>
                <w:b/>
                <w:i/>
                <w:color w:val="000000" w:themeColor="text1"/>
                <w:lang w:val="ro-RO"/>
              </w:rPr>
              <w:t xml:space="preserve"> </w:t>
            </w:r>
            <w:r w:rsidRPr="00E0488D">
              <w:rPr>
                <w:rStyle w:val="hps"/>
                <w:b/>
                <w:i/>
                <w:color w:val="000000" w:themeColor="text1"/>
                <w:lang w:val="ro-RO"/>
              </w:rPr>
              <w:t>pentru</w:t>
            </w:r>
            <w:r w:rsidRPr="00E0488D">
              <w:rPr>
                <w:b/>
                <w:i/>
                <w:color w:val="000000" w:themeColor="text1"/>
                <w:lang w:val="ro-RO"/>
              </w:rPr>
              <w:t xml:space="preserve"> </w:t>
            </w:r>
            <w:r w:rsidRPr="00E0488D">
              <w:rPr>
                <w:rStyle w:val="hps"/>
                <w:b/>
                <w:i/>
                <w:color w:val="000000" w:themeColor="text1"/>
                <w:lang w:val="ro-RO"/>
              </w:rPr>
              <w:t>sprijin</w:t>
            </w:r>
            <w:r w:rsidRPr="00E0488D">
              <w:rPr>
                <w:b/>
                <w:i/>
                <w:color w:val="000000" w:themeColor="text1"/>
                <w:lang w:val="ro-RO"/>
              </w:rPr>
              <w:t xml:space="preserve"> </w:t>
            </w:r>
            <w:r w:rsidRPr="00E0488D">
              <w:rPr>
                <w:rStyle w:val="hps"/>
                <w:b/>
                <w:i/>
                <w:color w:val="000000" w:themeColor="text1"/>
                <w:lang w:val="ro-RO"/>
              </w:rPr>
              <w:t>din</w:t>
            </w:r>
            <w:r w:rsidRPr="00E0488D">
              <w:rPr>
                <w:b/>
                <w:i/>
                <w:color w:val="000000" w:themeColor="text1"/>
                <w:lang w:val="ro-RO"/>
              </w:rPr>
              <w:t xml:space="preserve"> partea fondurilor </w:t>
            </w:r>
            <w:r w:rsidRPr="00E0488D">
              <w:rPr>
                <w:rStyle w:val="hps"/>
                <w:b/>
                <w:i/>
                <w:color w:val="000000" w:themeColor="text1"/>
                <w:lang w:val="ro-RO"/>
              </w:rPr>
              <w:t>FEDR și FC</w:t>
            </w:r>
          </w:p>
        </w:tc>
        <w:tc>
          <w:tcPr>
            <w:tcW w:w="364" w:type="pct"/>
            <w:vAlign w:val="center"/>
          </w:tcPr>
          <w:p w:rsidR="00B4550A" w:rsidRPr="00E0488D" w:rsidRDefault="00B4550A" w:rsidP="003C7FC8">
            <w:pPr>
              <w:tabs>
                <w:tab w:val="left" w:pos="1120"/>
              </w:tabs>
              <w:spacing w:before="60"/>
              <w:jc w:val="center"/>
              <w:rPr>
                <w:rFonts w:cs="Arial"/>
                <w:b/>
                <w:sz w:val="20"/>
                <w:szCs w:val="20"/>
                <w:lang w:val="ro-RO"/>
              </w:rPr>
            </w:pPr>
          </w:p>
        </w:tc>
        <w:tc>
          <w:tcPr>
            <w:tcW w:w="1588" w:type="pct"/>
            <w:vAlign w:val="center"/>
          </w:tcPr>
          <w:p w:rsidR="00B4550A" w:rsidRPr="00E0488D" w:rsidRDefault="00B4550A" w:rsidP="003C7FC8">
            <w:pPr>
              <w:tabs>
                <w:tab w:val="left" w:pos="1120"/>
              </w:tabs>
              <w:spacing w:before="60"/>
              <w:rPr>
                <w:rFonts w:cs="Arial"/>
                <w:b/>
                <w:sz w:val="20"/>
                <w:szCs w:val="20"/>
                <w:lang w:val="ro-RO"/>
              </w:rPr>
            </w:pP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lang w:val="ro-RO"/>
              </w:rPr>
            </w:pPr>
            <w:r w:rsidRPr="00E0488D">
              <w:rPr>
                <w:rStyle w:val="hps"/>
                <w:color w:val="000000" w:themeColor="text1"/>
                <w:lang w:val="ro-RO"/>
              </w:rPr>
              <w:t>Planul</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pentru</w:t>
            </w:r>
            <w:r w:rsidRPr="00E0488D">
              <w:rPr>
                <w:color w:val="000000" w:themeColor="text1"/>
                <w:lang w:val="ro-RO"/>
              </w:rPr>
              <w:t xml:space="preserve"> </w:t>
            </w:r>
            <w:r w:rsidRPr="00E0488D">
              <w:rPr>
                <w:rStyle w:val="hps"/>
                <w:color w:val="000000" w:themeColor="text1"/>
                <w:lang w:val="ro-RO"/>
              </w:rPr>
              <w:t>investițiile în transporturi</w:t>
            </w:r>
            <w:r w:rsidRPr="00E0488D">
              <w:rPr>
                <w:color w:val="000000" w:themeColor="text1"/>
                <w:lang w:val="ro-RO"/>
              </w:rPr>
              <w:t xml:space="preserve"> </w:t>
            </w:r>
            <w:r w:rsidRPr="00E0488D">
              <w:rPr>
                <w:rStyle w:val="hps"/>
                <w:color w:val="000000" w:themeColor="text1"/>
                <w:lang w:val="ro-RO"/>
              </w:rPr>
              <w:t>include</w:t>
            </w:r>
            <w:r w:rsidRPr="00E0488D">
              <w:rPr>
                <w:color w:val="000000" w:themeColor="text1"/>
                <w:lang w:val="ro-RO"/>
              </w:rPr>
              <w:t xml:space="preserve"> </w:t>
            </w:r>
            <w:r w:rsidRPr="00E0488D">
              <w:rPr>
                <w:rStyle w:val="hps"/>
                <w:color w:val="000000" w:themeColor="text1"/>
                <w:lang w:val="ro-RO"/>
              </w:rPr>
              <w:t>un tabel conținând</w:t>
            </w:r>
            <w:r w:rsidRPr="00E0488D">
              <w:rPr>
                <w:lang w:val="ro-RO"/>
              </w:rPr>
              <w:t xml:space="preserve"> :</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O</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listă de proiecte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prioritare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studii, </w:t>
            </w:r>
            <w:r w:rsidRPr="00E0488D">
              <w:rPr>
                <w:rStyle w:val="hps"/>
                <w:rFonts w:cs="Arial"/>
                <w:color w:val="000000" w:themeColor="text1"/>
                <w:sz w:val="20"/>
                <w:szCs w:val="20"/>
                <w:lang w:val="ro-RO"/>
              </w:rPr>
              <w:t>modernizare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sau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lucrări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 care statul membru</w:t>
            </w:r>
            <w:r w:rsidRPr="00E0488D">
              <w:rPr>
                <w:rFonts w:cs="Arial"/>
                <w:color w:val="000000" w:themeColor="text1"/>
                <w:sz w:val="20"/>
                <w:szCs w:val="20"/>
                <w:lang w:val="ro-RO"/>
              </w:rPr>
              <w:t xml:space="preserve"> le </w:t>
            </w:r>
            <w:r w:rsidRPr="00E0488D">
              <w:rPr>
                <w:rStyle w:val="hps"/>
                <w:rFonts w:cs="Arial"/>
                <w:color w:val="000000" w:themeColor="text1"/>
                <w:sz w:val="20"/>
                <w:szCs w:val="20"/>
                <w:lang w:val="ro-RO"/>
              </w:rPr>
              <w:t>are în vedere</w:t>
            </w:r>
            <w:r w:rsidRPr="00E0488D">
              <w:rPr>
                <w:rFonts w:cs="Arial"/>
                <w:color w:val="000000" w:themeColor="text1"/>
                <w:sz w:val="20"/>
                <w:szCs w:val="20"/>
                <w:lang w:val="ro-RO"/>
              </w:rPr>
              <w:t xml:space="preserve"> să le </w:t>
            </w:r>
            <w:r w:rsidRPr="00E0488D">
              <w:rPr>
                <w:rStyle w:val="hps"/>
                <w:rFonts w:cs="Arial"/>
                <w:color w:val="000000" w:themeColor="text1"/>
                <w:sz w:val="20"/>
                <w:szCs w:val="20"/>
                <w:lang w:val="ro-RO"/>
              </w:rPr>
              <w:t>lanseze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 această perioadă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care solicită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sprijin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din</w:t>
            </w:r>
            <w:r w:rsidRPr="00E0488D">
              <w:rPr>
                <w:rFonts w:cs="Arial"/>
                <w:color w:val="000000" w:themeColor="text1"/>
                <w:sz w:val="20"/>
                <w:szCs w:val="20"/>
                <w:lang w:val="ro-RO"/>
              </w:rPr>
              <w:t xml:space="preserve"> partea fondurilor </w:t>
            </w:r>
            <w:r w:rsidRPr="00E0488D">
              <w:rPr>
                <w:rStyle w:val="hps"/>
                <w:rFonts w:cs="Arial"/>
                <w:color w:val="000000" w:themeColor="text1"/>
                <w:sz w:val="20"/>
                <w:szCs w:val="20"/>
                <w:lang w:val="ro-RO"/>
              </w:rPr>
              <w:t>FEDR și FC</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 xml:space="preserve">Vor fi incluse într-un Raport de Strategie separat care să conțina Planul de Implementare </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Numele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autorităților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a altor părți implicate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conducerea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acestor proiecte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cheltuielile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prevăzute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plan de finanțare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Vor fi incluse într-un Raport de Strategie separat care să conțina Planul de Implementare</w:t>
            </w:r>
          </w:p>
        </w:tc>
      </w:tr>
      <w:tr w:rsidR="00B4550A" w:rsidRPr="00E0488D" w:rsidTr="003C7FC8">
        <w:tc>
          <w:tcPr>
            <w:tcW w:w="3048" w:type="pct"/>
          </w:tcPr>
          <w:p w:rsidR="00B4550A" w:rsidRPr="00E0488D" w:rsidRDefault="00B4550A" w:rsidP="003C7FC8">
            <w:pPr>
              <w:tabs>
                <w:tab w:val="left" w:pos="1120"/>
              </w:tabs>
              <w:spacing w:before="60"/>
              <w:rPr>
                <w:rFonts w:cs="Arial"/>
                <w:color w:val="000000" w:themeColor="text1"/>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calendar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realist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livrare 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proiectelor identificate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care să indice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datele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studiile de fezabilitate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analiza cost-</w:t>
            </w:r>
            <w:r w:rsidRPr="00E0488D">
              <w:rPr>
                <w:rFonts w:cs="Arial"/>
                <w:color w:val="000000" w:themeColor="text1"/>
                <w:sz w:val="20"/>
                <w:szCs w:val="20"/>
                <w:lang w:val="ro-RO"/>
              </w:rPr>
              <w:t xml:space="preserve">beneficiu, procedurile </w:t>
            </w:r>
            <w:r w:rsidRPr="00E0488D">
              <w:rPr>
                <w:rStyle w:val="hps"/>
                <w:rFonts w:cs="Arial"/>
                <w:color w:val="000000" w:themeColor="text1"/>
                <w:sz w:val="20"/>
                <w:szCs w:val="20"/>
                <w:lang w:val="ro-RO"/>
              </w:rPr>
              <w:t>EIA</w:t>
            </w:r>
            <w:r w:rsidRPr="00E0488D">
              <w:rPr>
                <w:rStyle w:val="hps"/>
                <w:rFonts w:cs="Arial"/>
                <w:color w:val="000000" w:themeColor="text1"/>
                <w:sz w:val="28"/>
                <w:szCs w:val="28"/>
                <w:vertAlign w:val="superscript"/>
                <w:lang w:val="ro-RO"/>
              </w:rPr>
              <w:t>58</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grafic</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punere în aplicare</w:t>
            </w:r>
            <w:r w:rsidRPr="00E0488D">
              <w:rPr>
                <w:rFonts w:cs="Arial"/>
                <w:color w:val="000000" w:themeColor="text1"/>
                <w:sz w:val="20"/>
                <w:szCs w:val="20"/>
                <w:lang w:val="ro-RO"/>
              </w:rPr>
              <w:t xml:space="preserve">, inclusiv </w:t>
            </w:r>
            <w:r w:rsidRPr="00E0488D">
              <w:rPr>
                <w:rStyle w:val="hps"/>
                <w:rFonts w:cs="Arial"/>
                <w:color w:val="000000" w:themeColor="text1"/>
                <w:sz w:val="20"/>
                <w:szCs w:val="20"/>
                <w:lang w:val="ro-RO"/>
              </w:rPr>
              <w:t>procedurile de achiziții publice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avize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notificarea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ajutorului de stat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potențial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pe faze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proiecte mai mari</w:t>
            </w:r>
            <w:r w:rsidRPr="00E0488D">
              <w:rPr>
                <w:rFonts w:cs="Arial"/>
                <w:color w:val="000000" w:themeColor="text1"/>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Vor fi incluse într-un Raport de Strategie separat care să conțina Planul de Implementare</w:t>
            </w: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b/>
                <w:i/>
                <w:lang w:val="ro-RO"/>
              </w:rPr>
            </w:pPr>
            <w:r w:rsidRPr="00E0488D">
              <w:rPr>
                <w:rStyle w:val="hps"/>
                <w:b/>
                <w:i/>
                <w:color w:val="000000" w:themeColor="text1"/>
                <w:lang w:val="ro-RO"/>
              </w:rPr>
              <w:t>Măsuri pentru asigurarea</w:t>
            </w:r>
            <w:r w:rsidRPr="00E0488D">
              <w:rPr>
                <w:b/>
                <w:i/>
                <w:color w:val="000000" w:themeColor="text1"/>
                <w:lang w:val="ro-RO"/>
              </w:rPr>
              <w:t xml:space="preserve"> </w:t>
            </w:r>
            <w:r w:rsidRPr="00E0488D">
              <w:rPr>
                <w:rStyle w:val="hps"/>
                <w:b/>
                <w:i/>
                <w:color w:val="000000" w:themeColor="text1"/>
                <w:lang w:val="ro-RO"/>
              </w:rPr>
              <w:t>capacității</w:t>
            </w:r>
            <w:r w:rsidRPr="00E0488D">
              <w:rPr>
                <w:b/>
                <w:i/>
                <w:color w:val="000000" w:themeColor="text1"/>
                <w:lang w:val="ro-RO"/>
              </w:rPr>
              <w:t xml:space="preserve"> unor </w:t>
            </w:r>
            <w:r w:rsidRPr="00E0488D">
              <w:rPr>
                <w:rStyle w:val="hps"/>
                <w:b/>
                <w:i/>
                <w:color w:val="000000" w:themeColor="text1"/>
                <w:lang w:val="ro-RO"/>
              </w:rPr>
              <w:t>organisme intermediare și</w:t>
            </w:r>
            <w:r w:rsidRPr="00E0488D">
              <w:rPr>
                <w:b/>
                <w:i/>
                <w:color w:val="000000" w:themeColor="text1"/>
                <w:lang w:val="ro-RO"/>
              </w:rPr>
              <w:t xml:space="preserve"> </w:t>
            </w:r>
            <w:r w:rsidRPr="00E0488D">
              <w:rPr>
                <w:rStyle w:val="hps"/>
                <w:b/>
                <w:i/>
                <w:color w:val="000000" w:themeColor="text1"/>
                <w:lang w:val="ro-RO"/>
              </w:rPr>
              <w:t>beneficiari pentru a</w:t>
            </w:r>
            <w:r w:rsidRPr="00E0488D">
              <w:rPr>
                <w:b/>
                <w:i/>
                <w:color w:val="000000" w:themeColor="text1"/>
                <w:lang w:val="ro-RO"/>
              </w:rPr>
              <w:t xml:space="preserve"> </w:t>
            </w:r>
            <w:r w:rsidRPr="00E0488D">
              <w:rPr>
                <w:rStyle w:val="hps"/>
                <w:b/>
                <w:i/>
                <w:color w:val="000000" w:themeColor="text1"/>
                <w:lang w:val="ro-RO"/>
              </w:rPr>
              <w:t>asigura fluxul de proiecte</w:t>
            </w:r>
            <w:r w:rsidRPr="00E0488D">
              <w:rPr>
                <w:b/>
                <w:i/>
                <w:lang w:val="ro-RO"/>
              </w:rPr>
              <w:t>.</w:t>
            </w:r>
          </w:p>
        </w:tc>
        <w:tc>
          <w:tcPr>
            <w:tcW w:w="364" w:type="pct"/>
            <w:vAlign w:val="center"/>
          </w:tcPr>
          <w:p w:rsidR="00B4550A" w:rsidRPr="00E0488D" w:rsidRDefault="00B4550A" w:rsidP="003C7FC8">
            <w:pPr>
              <w:tabs>
                <w:tab w:val="left" w:pos="1120"/>
              </w:tabs>
              <w:spacing w:before="60"/>
              <w:jc w:val="center"/>
              <w:rPr>
                <w:rFonts w:cs="Arial"/>
                <w:b/>
                <w:sz w:val="20"/>
                <w:szCs w:val="20"/>
                <w:lang w:val="ro-RO"/>
              </w:rPr>
            </w:pPr>
          </w:p>
        </w:tc>
        <w:tc>
          <w:tcPr>
            <w:tcW w:w="1588" w:type="pct"/>
            <w:vAlign w:val="center"/>
          </w:tcPr>
          <w:p w:rsidR="00B4550A" w:rsidRPr="00E0488D" w:rsidRDefault="00B4550A" w:rsidP="003C7FC8">
            <w:pPr>
              <w:tabs>
                <w:tab w:val="left" w:pos="1120"/>
              </w:tabs>
              <w:spacing w:before="60"/>
              <w:rPr>
                <w:rFonts w:cs="Arial"/>
                <w:b/>
                <w:sz w:val="20"/>
                <w:szCs w:val="20"/>
                <w:lang w:val="ro-RO"/>
              </w:rPr>
            </w:pP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lang w:val="ro-RO"/>
              </w:rPr>
            </w:pPr>
            <w:r w:rsidRPr="00E0488D">
              <w:rPr>
                <w:rStyle w:val="hps"/>
                <w:color w:val="000000" w:themeColor="text1"/>
                <w:lang w:val="ro-RO"/>
              </w:rPr>
              <w:t>Statul</w:t>
            </w:r>
            <w:r w:rsidRPr="00E0488D">
              <w:rPr>
                <w:color w:val="000000" w:themeColor="text1"/>
                <w:lang w:val="ro-RO"/>
              </w:rPr>
              <w:t xml:space="preserve"> </w:t>
            </w:r>
            <w:r w:rsidRPr="00E0488D">
              <w:rPr>
                <w:rStyle w:val="hps"/>
                <w:color w:val="000000" w:themeColor="text1"/>
                <w:lang w:val="ro-RO"/>
              </w:rPr>
              <w:t>membru a</w:t>
            </w:r>
            <w:r w:rsidRPr="00E0488D">
              <w:rPr>
                <w:color w:val="000000" w:themeColor="text1"/>
                <w:lang w:val="ro-RO"/>
              </w:rPr>
              <w:t xml:space="preserve"> </w:t>
            </w:r>
            <w:r w:rsidRPr="00E0488D">
              <w:rPr>
                <w:rStyle w:val="hps"/>
                <w:color w:val="000000" w:themeColor="text1"/>
                <w:lang w:val="ro-RO"/>
              </w:rPr>
              <w:t>furnizat</w:t>
            </w:r>
            <w:r w:rsidRPr="00E0488D">
              <w:rPr>
                <w:color w:val="000000" w:themeColor="text1"/>
                <w:lang w:val="ro-RO"/>
              </w:rPr>
              <w:t xml:space="preserve"> </w:t>
            </w:r>
            <w:r w:rsidRPr="00E0488D">
              <w:rPr>
                <w:rStyle w:val="hps"/>
                <w:color w:val="000000" w:themeColor="text1"/>
                <w:lang w:val="ro-RO"/>
              </w:rPr>
              <w:t>o</w:t>
            </w:r>
            <w:r w:rsidRPr="00E0488D">
              <w:rPr>
                <w:color w:val="000000" w:themeColor="text1"/>
                <w:lang w:val="ro-RO"/>
              </w:rPr>
              <w:t xml:space="preserve"> </w:t>
            </w:r>
            <w:r w:rsidRPr="00E0488D">
              <w:rPr>
                <w:rStyle w:val="hps"/>
                <w:color w:val="000000" w:themeColor="text1"/>
                <w:lang w:val="ro-RO"/>
              </w:rPr>
              <w:t>descriere adecvată</w:t>
            </w:r>
            <w:r w:rsidRPr="00E0488D">
              <w:rPr>
                <w:color w:val="000000" w:themeColor="text1"/>
                <w:lang w:val="ro-RO"/>
              </w:rPr>
              <w:t xml:space="preserve"> </w:t>
            </w:r>
            <w:r w:rsidRPr="00E0488D">
              <w:rPr>
                <w:rStyle w:val="hps"/>
                <w:color w:val="000000" w:themeColor="text1"/>
                <w:lang w:val="ro-RO"/>
              </w:rPr>
              <w:t>a măsurilor</w:t>
            </w:r>
            <w:r w:rsidRPr="00E0488D">
              <w:rPr>
                <w:color w:val="000000" w:themeColor="text1"/>
                <w:lang w:val="ro-RO"/>
              </w:rPr>
              <w:t xml:space="preserve"> </w:t>
            </w:r>
            <w:r w:rsidRPr="00E0488D">
              <w:rPr>
                <w:rStyle w:val="hps"/>
                <w:color w:val="000000" w:themeColor="text1"/>
                <w:lang w:val="ro-RO"/>
              </w:rPr>
              <w:t>deja</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aplicare</w:t>
            </w:r>
            <w:r w:rsidRPr="00E0488D">
              <w:rPr>
                <w:color w:val="000000" w:themeColor="text1"/>
                <w:lang w:val="ro-RO"/>
              </w:rPr>
              <w:t xml:space="preserve"> </w:t>
            </w:r>
            <w:r w:rsidRPr="00E0488D">
              <w:rPr>
                <w:rStyle w:val="hps"/>
                <w:color w:val="000000" w:themeColor="text1"/>
                <w:lang w:val="ro-RO"/>
              </w:rPr>
              <w:t xml:space="preserve">pentru a asigura </w:t>
            </w:r>
            <w:r w:rsidRPr="00E0488D">
              <w:rPr>
                <w:rStyle w:val="hps"/>
                <w:color w:val="000000" w:themeColor="text1"/>
                <w:lang w:val="ro-RO"/>
              </w:rPr>
              <w:lastRenderedPageBreak/>
              <w:t>capacitatea</w:t>
            </w:r>
            <w:r w:rsidRPr="00E0488D">
              <w:rPr>
                <w:color w:val="000000" w:themeColor="text1"/>
                <w:lang w:val="ro-RO"/>
              </w:rPr>
              <w:t xml:space="preserve"> </w:t>
            </w:r>
            <w:r w:rsidRPr="00E0488D">
              <w:rPr>
                <w:rStyle w:val="hps"/>
                <w:color w:val="000000" w:themeColor="text1"/>
                <w:lang w:val="ro-RO"/>
              </w:rPr>
              <w:t>unor organisme intermediare și</w:t>
            </w:r>
            <w:r w:rsidRPr="00E0488D">
              <w:rPr>
                <w:color w:val="000000" w:themeColor="text1"/>
                <w:lang w:val="ro-RO"/>
              </w:rPr>
              <w:t xml:space="preserve"> </w:t>
            </w:r>
            <w:r w:rsidRPr="00E0488D">
              <w:rPr>
                <w:rStyle w:val="hps"/>
                <w:color w:val="000000" w:themeColor="text1"/>
                <w:lang w:val="ro-RO"/>
              </w:rPr>
              <w:t>beneficiari de a</w:t>
            </w:r>
            <w:r w:rsidRPr="00E0488D">
              <w:rPr>
                <w:color w:val="000000" w:themeColor="text1"/>
                <w:lang w:val="ro-RO"/>
              </w:rPr>
              <w:t xml:space="preserve"> </w:t>
            </w:r>
            <w:r w:rsidRPr="00E0488D">
              <w:rPr>
                <w:rStyle w:val="hps"/>
                <w:color w:val="000000" w:themeColor="text1"/>
                <w:lang w:val="ro-RO"/>
              </w:rPr>
              <w:t>asigura fluxul de proiecte</w:t>
            </w:r>
            <w:r w:rsidRPr="00E0488D">
              <w:rPr>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lastRenderedPageBreak/>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lastRenderedPageBreak/>
              <w:tab/>
            </w:r>
            <w:r w:rsidRPr="00E0488D">
              <w:rPr>
                <w:rStyle w:val="hps"/>
                <w:rFonts w:cs="Arial"/>
                <w:color w:val="000000" w:themeColor="text1"/>
                <w:sz w:val="20"/>
                <w:szCs w:val="20"/>
                <w:lang w:val="ro-RO"/>
              </w:rPr>
              <w:t>Aceste măsuri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 bazează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analiza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atât 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blocajelor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punctelor slabe ale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organismelor intermediare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beneficiarilor de a asigura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 timp util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portofoliului de proiecte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 ceea ce privește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r>
            <w:r w:rsidRPr="00E0488D">
              <w:rPr>
                <w:rStyle w:val="hps"/>
                <w:rFonts w:cs="Arial"/>
                <w:color w:val="000000" w:themeColor="text1"/>
                <w:sz w:val="20"/>
                <w:szCs w:val="20"/>
                <w:lang w:val="ro-RO"/>
              </w:rPr>
              <w:t>licitația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inclusiv </w:t>
            </w:r>
            <w:r w:rsidRPr="00E0488D">
              <w:rPr>
                <w:rStyle w:val="hps"/>
                <w:rFonts w:cs="Arial"/>
                <w:color w:val="000000" w:themeColor="text1"/>
                <w:sz w:val="20"/>
                <w:szCs w:val="20"/>
                <w:lang w:val="ro-RO"/>
              </w:rPr>
              <w:t>ofertele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fără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concurență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nereguli</w:t>
            </w:r>
            <w:r w:rsidRPr="00E0488D">
              <w:rPr>
                <w:rFonts w:cs="Arial"/>
                <w:color w:val="000000" w:themeColor="text1"/>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049"/>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implementarea cerințelor de mediu,</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dezvoltarea și prioritizarea unei rezerve de proiecte mature,</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managementul financiar de proiect,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fonduri pentru întreținere și operațiuni,</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sarcini administrative și birocrație,</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r>
            <w:r w:rsidRPr="00E0488D">
              <w:rPr>
                <w:rStyle w:val="hps"/>
                <w:rFonts w:cs="Arial"/>
                <w:color w:val="000000" w:themeColor="text1"/>
                <w:sz w:val="20"/>
                <w:szCs w:val="20"/>
                <w:lang w:val="ro-RO"/>
              </w:rPr>
              <w:t>gestionarea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sistemelor complexe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ITS, cum ar fi </w:t>
            </w:r>
            <w:r w:rsidRPr="00E0488D">
              <w:rPr>
                <w:rStyle w:val="hps"/>
                <w:rFonts w:cs="Arial"/>
                <w:color w:val="000000" w:themeColor="text1"/>
                <w:sz w:val="20"/>
                <w:szCs w:val="20"/>
                <w:lang w:val="ro-RO"/>
              </w:rPr>
              <w:t>ETCS</w:t>
            </w:r>
            <w:r w:rsidRPr="00E0488D">
              <w:rPr>
                <w:rStyle w:val="atn"/>
                <w:rFonts w:cs="Arial"/>
                <w:color w:val="000000" w:themeColor="text1"/>
                <w:sz w:val="20"/>
                <w:szCs w:val="20"/>
                <w:lang w:val="ro-RO"/>
              </w:rPr>
              <w:t>-</w:t>
            </w:r>
            <w:r w:rsidRPr="00E0488D">
              <w:rPr>
                <w:rFonts w:cs="Arial"/>
                <w:color w:val="000000" w:themeColor="text1"/>
                <w:sz w:val="20"/>
                <w:szCs w:val="20"/>
                <w:lang w:val="ro-RO"/>
              </w:rPr>
              <w:t xml:space="preserve">ERTMS, </w:t>
            </w:r>
            <w:r w:rsidRPr="00E0488D">
              <w:rPr>
                <w:rStyle w:val="hps"/>
                <w:rFonts w:cs="Arial"/>
                <w:color w:val="000000" w:themeColor="text1"/>
                <w:sz w:val="20"/>
                <w:szCs w:val="20"/>
                <w:lang w:val="ro-RO"/>
              </w:rPr>
              <w:t>VTMIS</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RIS</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servicii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emaritime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sistemul de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management al traficului aerian</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Acestea includ cursuri de instruire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proceduri interne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corespunzătoare pentru monitorizarea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identificarea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potențialelor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întârzieri</w:t>
            </w:r>
            <w:r w:rsidRPr="00E0488D">
              <w:rPr>
                <w:rFonts w:cs="Arial"/>
                <w:color w:val="000000" w:themeColor="text1"/>
                <w:sz w:val="20"/>
                <w:szCs w:val="20"/>
                <w:lang w:val="ro-RO"/>
              </w:rPr>
              <w:t xml:space="preserve">, dar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 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asigura</w:t>
            </w:r>
            <w:r w:rsidRPr="00E0488D">
              <w:rPr>
                <w:rFonts w:cs="Arial"/>
                <w:color w:val="000000" w:themeColor="text1"/>
                <w:sz w:val="20"/>
                <w:szCs w:val="20"/>
                <w:lang w:val="ro-RO"/>
              </w:rPr>
              <w:t xml:space="preserve"> o bună </w:t>
            </w:r>
            <w:r w:rsidRPr="00E0488D">
              <w:rPr>
                <w:rStyle w:val="hps"/>
                <w:rFonts w:cs="Arial"/>
                <w:color w:val="000000" w:themeColor="text1"/>
                <w:sz w:val="20"/>
                <w:szCs w:val="20"/>
                <w:lang w:val="ro-RO"/>
              </w:rPr>
              <w:t>achiziție publică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eficientă</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MT se află în etapa de a înființa organisme specializate în acest sene</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Este implementat 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sistem de avertizare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timpurie pentru a identifica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rezolva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orice dificultăți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care apar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la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organismele intermediare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beneficiari la livrarea proiectelor</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MT se află în etapa de a înființa organisme specializate în acest sene</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Sunt implementate sisteme corespunzătoare de asistență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ajuta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beneficiarii pe parcursul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procedurii și implementării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 a putea înlocui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repede proiectele,</w:t>
            </w:r>
            <w:r w:rsidRPr="00E0488D">
              <w:rPr>
                <w:rFonts w:cs="Arial"/>
                <w:color w:val="000000" w:themeColor="text1"/>
                <w:sz w:val="20"/>
                <w:szCs w:val="20"/>
                <w:lang w:val="ro-RO"/>
              </w:rPr>
              <w:t xml:space="preserve"> în situația în care apare un blocaj în perioada de implementare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MT se află în etapa de a înființa organisme specializate în acest sene</w:t>
            </w:r>
          </w:p>
        </w:tc>
      </w:tr>
    </w:tbl>
    <w:p w:rsidR="00B4550A" w:rsidRPr="00E0488D" w:rsidRDefault="00B4550A" w:rsidP="00B4550A">
      <w:pPr>
        <w:spacing w:before="9" w:line="130" w:lineRule="exact"/>
        <w:rPr>
          <w:rFonts w:cs="Arial"/>
          <w:sz w:val="20"/>
          <w:szCs w:val="20"/>
          <w:lang w:val="ro-RO"/>
        </w:rPr>
      </w:pPr>
    </w:p>
    <w:p w:rsidR="00B4550A" w:rsidRPr="00E0488D" w:rsidRDefault="00B4550A" w:rsidP="00B4550A">
      <w:pPr>
        <w:rPr>
          <w:caps/>
          <w:sz w:val="21"/>
          <w:szCs w:val="21"/>
          <w:lang w:val="ro-RO"/>
        </w:rPr>
      </w:pPr>
    </w:p>
    <w:p w:rsidR="00B4550A" w:rsidRPr="00E0488D" w:rsidRDefault="00B4550A" w:rsidP="00B4550A">
      <w:pPr>
        <w:rPr>
          <w:caps/>
          <w:sz w:val="21"/>
          <w:szCs w:val="21"/>
          <w:lang w:val="ro-RO"/>
        </w:rPr>
      </w:pPr>
    </w:p>
    <w:p w:rsidR="00B4550A" w:rsidRPr="00E0488D" w:rsidRDefault="00B4550A" w:rsidP="00B4550A">
      <w:pPr>
        <w:rPr>
          <w:caps/>
          <w:sz w:val="21"/>
          <w:szCs w:val="21"/>
          <w:lang w:val="ro-RO"/>
        </w:rPr>
        <w:sectPr w:rsidR="00B4550A" w:rsidRPr="00E0488D" w:rsidSect="00944029">
          <w:pgSz w:w="16840" w:h="11907" w:orient="landscape" w:code="9"/>
          <w:pgMar w:top="907" w:right="1134" w:bottom="709" w:left="1134" w:header="357" w:footer="567" w:gutter="0"/>
          <w:pgBorders w:offsetFrom="page">
            <w:top w:val="single" w:sz="4" w:space="24" w:color="auto"/>
            <w:left w:val="single" w:sz="4" w:space="24" w:color="auto"/>
            <w:bottom w:val="single" w:sz="4" w:space="24" w:color="auto"/>
            <w:right w:val="single" w:sz="4" w:space="24" w:color="auto"/>
          </w:pgBorders>
          <w:cols w:space="187"/>
          <w:docGrid w:linePitch="360"/>
        </w:sectPr>
      </w:pPr>
    </w:p>
    <w:p w:rsidR="00B4550A" w:rsidRPr="00E0488D" w:rsidRDefault="00B4550A" w:rsidP="00B4550A">
      <w:pPr>
        <w:rPr>
          <w:caps/>
          <w:lang w:val="ro-RO"/>
        </w:rPr>
      </w:pPr>
    </w:p>
    <w:p w:rsidR="00B4550A" w:rsidRPr="00E0488D" w:rsidRDefault="00B4550A" w:rsidP="00B4550A">
      <w:pPr>
        <w:rPr>
          <w:caps/>
          <w:lang w:val="ro-RO"/>
        </w:rPr>
      </w:pPr>
    </w:p>
    <w:p w:rsidR="00B4550A" w:rsidRPr="00E0488D" w:rsidRDefault="00B4550A" w:rsidP="00B4550A">
      <w:pPr>
        <w:rPr>
          <w:caps/>
          <w:lang w:val="ro-RO"/>
        </w:rPr>
      </w:pPr>
    </w:p>
    <w:p w:rsidR="00B4550A" w:rsidRPr="00E0488D" w:rsidRDefault="00B4550A" w:rsidP="00B4550A">
      <w:pPr>
        <w:rPr>
          <w:caps/>
          <w:lang w:val="ro-RO"/>
        </w:rPr>
      </w:pPr>
    </w:p>
    <w:p w:rsidR="00B4550A" w:rsidRPr="00E0488D" w:rsidRDefault="00B4550A" w:rsidP="00B4550A">
      <w:pPr>
        <w:rPr>
          <w:caps/>
          <w:lang w:val="ro-RO"/>
        </w:rPr>
      </w:pPr>
    </w:p>
    <w:p w:rsidR="00B4550A" w:rsidRPr="00E0488D" w:rsidRDefault="00B4550A" w:rsidP="00B4550A">
      <w:pPr>
        <w:rPr>
          <w:caps/>
          <w:lang w:val="ro-RO"/>
        </w:rPr>
      </w:pPr>
    </w:p>
    <w:p w:rsidR="00B4550A" w:rsidRPr="00E0488D" w:rsidRDefault="00B4550A" w:rsidP="00B4550A">
      <w:pPr>
        <w:pStyle w:val="Hdg1noTOC"/>
        <w:framePr w:h="961" w:wrap="notBeside" w:y="2911"/>
        <w:rPr>
          <w:color w:val="9E0880"/>
          <w:sz w:val="36"/>
          <w:szCs w:val="36"/>
          <w:lang w:val="ro-RO"/>
        </w:rPr>
      </w:pPr>
      <w:r w:rsidRPr="00E0488D">
        <w:rPr>
          <w:color w:val="9E0880"/>
          <w:sz w:val="36"/>
          <w:szCs w:val="36"/>
          <w:lang w:val="ro-RO"/>
        </w:rPr>
        <w:t>Cuprins</w:t>
      </w:r>
    </w:p>
    <w:p w:rsidR="00B4550A" w:rsidRPr="00E0488D" w:rsidRDefault="00B4550A" w:rsidP="00B4550A">
      <w:pPr>
        <w:tabs>
          <w:tab w:val="left" w:pos="2070"/>
        </w:tabs>
        <w:rPr>
          <w:caps/>
          <w:lang w:val="ro-RO"/>
        </w:rPr>
      </w:pPr>
    </w:p>
    <w:p w:rsidR="00DD3663" w:rsidRDefault="003259E9">
      <w:pPr>
        <w:pStyle w:val="TOC1"/>
        <w:rPr>
          <w:rFonts w:asciiTheme="minorHAnsi" w:eastAsiaTheme="minorEastAsia" w:hAnsiTheme="minorHAnsi" w:cstheme="minorBidi"/>
          <w:b w:val="0"/>
          <w:noProof/>
          <w:sz w:val="22"/>
          <w:szCs w:val="22"/>
          <w:lang w:val="en-US"/>
        </w:rPr>
      </w:pPr>
      <w:r w:rsidRPr="00E0488D">
        <w:rPr>
          <w:caps/>
          <w:color w:val="5F497A" w:themeColor="accent4" w:themeShade="BF"/>
          <w:lang w:val="ro-RO"/>
        </w:rPr>
        <w:fldChar w:fldCharType="begin"/>
      </w:r>
      <w:r w:rsidR="00B4550A" w:rsidRPr="00E0488D">
        <w:rPr>
          <w:caps/>
          <w:color w:val="5F497A" w:themeColor="accent4" w:themeShade="BF"/>
          <w:lang w:val="ro-RO"/>
        </w:rPr>
        <w:instrText xml:space="preserve"> TOC \o "1-2" \h \z \u </w:instrText>
      </w:r>
      <w:r w:rsidRPr="00E0488D">
        <w:rPr>
          <w:caps/>
          <w:color w:val="5F497A" w:themeColor="accent4" w:themeShade="BF"/>
          <w:lang w:val="ro-RO"/>
        </w:rPr>
        <w:fldChar w:fldCharType="separate"/>
      </w:r>
      <w:hyperlink w:anchor="_Toc413060294" w:history="1">
        <w:r w:rsidR="00DD3663" w:rsidRPr="00715797">
          <w:rPr>
            <w:rStyle w:val="Hyperlink"/>
            <w:noProof/>
          </w:rPr>
          <w:t>1</w:t>
        </w:r>
        <w:r w:rsidR="00DD3663">
          <w:rPr>
            <w:rFonts w:asciiTheme="minorHAnsi" w:eastAsiaTheme="minorEastAsia" w:hAnsiTheme="minorHAnsi" w:cstheme="minorBidi"/>
            <w:b w:val="0"/>
            <w:noProof/>
            <w:sz w:val="22"/>
            <w:szCs w:val="22"/>
            <w:lang w:val="en-US"/>
          </w:rPr>
          <w:tab/>
        </w:r>
        <w:r w:rsidR="00DD3663" w:rsidRPr="00715797">
          <w:rPr>
            <w:rStyle w:val="Hyperlink"/>
            <w:noProof/>
          </w:rPr>
          <w:t>Introducere</w:t>
        </w:r>
        <w:r w:rsidR="00DD3663">
          <w:rPr>
            <w:noProof/>
            <w:webHidden/>
          </w:rPr>
          <w:tab/>
        </w:r>
        <w:r>
          <w:rPr>
            <w:noProof/>
            <w:webHidden/>
          </w:rPr>
          <w:fldChar w:fldCharType="begin"/>
        </w:r>
        <w:r w:rsidR="00DD3663">
          <w:rPr>
            <w:noProof/>
            <w:webHidden/>
          </w:rPr>
          <w:instrText xml:space="preserve"> PAGEREF _Toc413060294 \h </w:instrText>
        </w:r>
        <w:r>
          <w:rPr>
            <w:noProof/>
            <w:webHidden/>
          </w:rPr>
        </w:r>
        <w:r>
          <w:rPr>
            <w:noProof/>
            <w:webHidden/>
          </w:rPr>
          <w:fldChar w:fldCharType="separate"/>
        </w:r>
        <w:r w:rsidR="00DD3663">
          <w:rPr>
            <w:noProof/>
            <w:webHidden/>
          </w:rPr>
          <w:t>13</w:t>
        </w:r>
        <w:r>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295" w:history="1">
        <w:r w:rsidR="00DD3663" w:rsidRPr="00715797">
          <w:rPr>
            <w:rStyle w:val="Hyperlink"/>
            <w:noProof/>
          </w:rPr>
          <w:t>2</w:t>
        </w:r>
        <w:r w:rsidR="00DD3663">
          <w:rPr>
            <w:rFonts w:asciiTheme="minorHAnsi" w:eastAsiaTheme="minorEastAsia" w:hAnsiTheme="minorHAnsi" w:cstheme="minorBidi"/>
            <w:b w:val="0"/>
            <w:noProof/>
            <w:sz w:val="22"/>
            <w:szCs w:val="22"/>
            <w:lang w:val="en-US"/>
          </w:rPr>
          <w:tab/>
        </w:r>
        <w:r w:rsidR="00DD3663" w:rsidRPr="00715797">
          <w:rPr>
            <w:rStyle w:val="Hyperlink"/>
            <w:noProof/>
          </w:rPr>
          <w:t>Metodologia de elaborare a Master Planului General de Transport</w:t>
        </w:r>
        <w:r w:rsidR="00DD3663">
          <w:rPr>
            <w:noProof/>
            <w:webHidden/>
          </w:rPr>
          <w:tab/>
        </w:r>
        <w:r w:rsidR="003259E9">
          <w:rPr>
            <w:noProof/>
            <w:webHidden/>
          </w:rPr>
          <w:fldChar w:fldCharType="begin"/>
        </w:r>
        <w:r w:rsidR="00DD3663">
          <w:rPr>
            <w:noProof/>
            <w:webHidden/>
          </w:rPr>
          <w:instrText xml:space="preserve"> PAGEREF _Toc413060295 \h </w:instrText>
        </w:r>
        <w:r w:rsidR="003259E9">
          <w:rPr>
            <w:noProof/>
            <w:webHidden/>
          </w:rPr>
        </w:r>
        <w:r w:rsidR="003259E9">
          <w:rPr>
            <w:noProof/>
            <w:webHidden/>
          </w:rPr>
          <w:fldChar w:fldCharType="separate"/>
        </w:r>
        <w:r w:rsidR="00DD3663">
          <w:rPr>
            <w:noProof/>
            <w:webHidden/>
          </w:rPr>
          <w:t>16</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296" w:history="1">
        <w:r w:rsidR="00DD3663" w:rsidRPr="00715797">
          <w:rPr>
            <w:rStyle w:val="Hyperlink"/>
            <w:noProof/>
          </w:rPr>
          <w:t>2.1</w:t>
        </w:r>
        <w:r w:rsidR="00DD3663">
          <w:rPr>
            <w:rFonts w:asciiTheme="minorHAnsi" w:eastAsiaTheme="minorEastAsia" w:hAnsiTheme="minorHAnsi" w:cstheme="minorBidi"/>
            <w:noProof/>
            <w:sz w:val="22"/>
            <w:szCs w:val="22"/>
            <w:lang w:val="en-US"/>
          </w:rPr>
          <w:tab/>
        </w:r>
        <w:r w:rsidR="00DD3663" w:rsidRPr="00715797">
          <w:rPr>
            <w:rStyle w:val="Hyperlink"/>
            <w:noProof/>
          </w:rPr>
          <w:t>Metodologia generală</w:t>
        </w:r>
        <w:r w:rsidR="00DD3663">
          <w:rPr>
            <w:noProof/>
            <w:webHidden/>
          </w:rPr>
          <w:tab/>
        </w:r>
        <w:r w:rsidR="003259E9">
          <w:rPr>
            <w:noProof/>
            <w:webHidden/>
          </w:rPr>
          <w:fldChar w:fldCharType="begin"/>
        </w:r>
        <w:r w:rsidR="00DD3663">
          <w:rPr>
            <w:noProof/>
            <w:webHidden/>
          </w:rPr>
          <w:instrText xml:space="preserve"> PAGEREF _Toc413060296 \h </w:instrText>
        </w:r>
        <w:r w:rsidR="003259E9">
          <w:rPr>
            <w:noProof/>
            <w:webHidden/>
          </w:rPr>
        </w:r>
        <w:r w:rsidR="003259E9">
          <w:rPr>
            <w:noProof/>
            <w:webHidden/>
          </w:rPr>
          <w:fldChar w:fldCharType="separate"/>
        </w:r>
        <w:r w:rsidR="00DD3663">
          <w:rPr>
            <w:noProof/>
            <w:webHidden/>
          </w:rPr>
          <w:t>16</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297" w:history="1">
        <w:r w:rsidR="00DD3663" w:rsidRPr="00715797">
          <w:rPr>
            <w:rStyle w:val="Hyperlink"/>
            <w:noProof/>
          </w:rPr>
          <w:t>2.2</w:t>
        </w:r>
        <w:r w:rsidR="00DD3663">
          <w:rPr>
            <w:rFonts w:asciiTheme="minorHAnsi" w:eastAsiaTheme="minorEastAsia" w:hAnsiTheme="minorHAnsi" w:cstheme="minorBidi"/>
            <w:noProof/>
            <w:sz w:val="22"/>
            <w:szCs w:val="22"/>
            <w:lang w:val="en-US"/>
          </w:rPr>
          <w:tab/>
        </w:r>
        <w:r w:rsidR="00DD3663" w:rsidRPr="00715797">
          <w:rPr>
            <w:rStyle w:val="Hyperlink"/>
            <w:noProof/>
          </w:rPr>
          <w:t>Stabilirea obiectivelor</w:t>
        </w:r>
        <w:r w:rsidR="00DD3663">
          <w:rPr>
            <w:noProof/>
            <w:webHidden/>
          </w:rPr>
          <w:tab/>
        </w:r>
        <w:r w:rsidR="003259E9">
          <w:rPr>
            <w:noProof/>
            <w:webHidden/>
          </w:rPr>
          <w:fldChar w:fldCharType="begin"/>
        </w:r>
        <w:r w:rsidR="00DD3663">
          <w:rPr>
            <w:noProof/>
            <w:webHidden/>
          </w:rPr>
          <w:instrText xml:space="preserve"> PAGEREF _Toc413060297 \h </w:instrText>
        </w:r>
        <w:r w:rsidR="003259E9">
          <w:rPr>
            <w:noProof/>
            <w:webHidden/>
          </w:rPr>
        </w:r>
        <w:r w:rsidR="003259E9">
          <w:rPr>
            <w:noProof/>
            <w:webHidden/>
          </w:rPr>
          <w:fldChar w:fldCharType="separate"/>
        </w:r>
        <w:r w:rsidR="00DD3663">
          <w:rPr>
            <w:noProof/>
            <w:webHidden/>
          </w:rPr>
          <w:t>17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298" w:history="1">
        <w:r w:rsidR="00DD3663" w:rsidRPr="00715797">
          <w:rPr>
            <w:rStyle w:val="Hyperlink"/>
            <w:noProof/>
          </w:rPr>
          <w:t>2.3</w:t>
        </w:r>
        <w:r w:rsidR="00DD3663">
          <w:rPr>
            <w:rFonts w:asciiTheme="minorHAnsi" w:eastAsiaTheme="minorEastAsia" w:hAnsiTheme="minorHAnsi" w:cstheme="minorBidi"/>
            <w:noProof/>
            <w:sz w:val="22"/>
            <w:szCs w:val="22"/>
            <w:lang w:val="en-US"/>
          </w:rPr>
          <w:tab/>
        </w:r>
        <w:r w:rsidR="00DD3663" w:rsidRPr="00715797">
          <w:rPr>
            <w:rStyle w:val="Hyperlink"/>
            <w:noProof/>
          </w:rPr>
          <w:t>Identificarea problemelor și definirea intervențiilor</w:t>
        </w:r>
        <w:r w:rsidR="00DD3663">
          <w:rPr>
            <w:noProof/>
            <w:webHidden/>
          </w:rPr>
          <w:tab/>
        </w:r>
        <w:r w:rsidR="003259E9">
          <w:rPr>
            <w:noProof/>
            <w:webHidden/>
          </w:rPr>
          <w:fldChar w:fldCharType="begin"/>
        </w:r>
        <w:r w:rsidR="00DD3663">
          <w:rPr>
            <w:noProof/>
            <w:webHidden/>
          </w:rPr>
          <w:instrText xml:space="preserve"> PAGEREF _Toc413060298 \h </w:instrText>
        </w:r>
        <w:r w:rsidR="003259E9">
          <w:rPr>
            <w:noProof/>
            <w:webHidden/>
          </w:rPr>
        </w:r>
        <w:r w:rsidR="003259E9">
          <w:rPr>
            <w:noProof/>
            <w:webHidden/>
          </w:rPr>
          <w:fldChar w:fldCharType="separate"/>
        </w:r>
        <w:r w:rsidR="00DD3663">
          <w:rPr>
            <w:noProof/>
            <w:webHidden/>
          </w:rPr>
          <w:t>23</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299" w:history="1">
        <w:r w:rsidR="00DD3663" w:rsidRPr="00715797">
          <w:rPr>
            <w:rStyle w:val="Hyperlink"/>
            <w:noProof/>
          </w:rPr>
          <w:t>2.4</w:t>
        </w:r>
        <w:r w:rsidR="00DD3663">
          <w:rPr>
            <w:rFonts w:asciiTheme="minorHAnsi" w:eastAsiaTheme="minorEastAsia" w:hAnsiTheme="minorHAnsi" w:cstheme="minorBidi"/>
            <w:noProof/>
            <w:sz w:val="22"/>
            <w:szCs w:val="22"/>
            <w:lang w:val="en-US"/>
          </w:rPr>
          <w:tab/>
        </w:r>
        <w:r w:rsidR="00DD3663" w:rsidRPr="00715797">
          <w:rPr>
            <w:rStyle w:val="Hyperlink"/>
            <w:noProof/>
          </w:rPr>
          <w:t>Modelul Național de Transport</w:t>
        </w:r>
        <w:r w:rsidR="00DD3663">
          <w:rPr>
            <w:noProof/>
            <w:webHidden/>
          </w:rPr>
          <w:tab/>
        </w:r>
        <w:r w:rsidR="003259E9">
          <w:rPr>
            <w:noProof/>
            <w:webHidden/>
          </w:rPr>
          <w:fldChar w:fldCharType="begin"/>
        </w:r>
        <w:r w:rsidR="00DD3663">
          <w:rPr>
            <w:noProof/>
            <w:webHidden/>
          </w:rPr>
          <w:instrText xml:space="preserve"> PAGEREF _Toc413060299 \h </w:instrText>
        </w:r>
        <w:r w:rsidR="003259E9">
          <w:rPr>
            <w:noProof/>
            <w:webHidden/>
          </w:rPr>
        </w:r>
        <w:r w:rsidR="003259E9">
          <w:rPr>
            <w:noProof/>
            <w:webHidden/>
          </w:rPr>
          <w:fldChar w:fldCharType="separate"/>
        </w:r>
        <w:r w:rsidR="00DD3663">
          <w:rPr>
            <w:noProof/>
            <w:webHidden/>
          </w:rPr>
          <w:t>27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0" w:history="1">
        <w:r w:rsidR="00DD3663" w:rsidRPr="00715797">
          <w:rPr>
            <w:rStyle w:val="Hyperlink"/>
            <w:noProof/>
          </w:rPr>
          <w:t>2.5</w:t>
        </w:r>
        <w:r w:rsidR="00DD3663">
          <w:rPr>
            <w:rFonts w:asciiTheme="minorHAnsi" w:eastAsiaTheme="minorEastAsia" w:hAnsiTheme="minorHAnsi" w:cstheme="minorBidi"/>
            <w:noProof/>
            <w:sz w:val="22"/>
            <w:szCs w:val="22"/>
            <w:lang w:val="en-US"/>
          </w:rPr>
          <w:tab/>
        </w:r>
        <w:r w:rsidR="00DD3663" w:rsidRPr="00715797">
          <w:rPr>
            <w:rStyle w:val="Hyperlink"/>
            <w:noProof/>
          </w:rPr>
          <w:t>Analiza Cost-Beneficiu</w:t>
        </w:r>
        <w:r w:rsidR="00DD3663">
          <w:rPr>
            <w:noProof/>
            <w:webHidden/>
          </w:rPr>
          <w:tab/>
        </w:r>
        <w:r w:rsidR="003259E9">
          <w:rPr>
            <w:noProof/>
            <w:webHidden/>
          </w:rPr>
          <w:fldChar w:fldCharType="begin"/>
        </w:r>
        <w:r w:rsidR="00DD3663">
          <w:rPr>
            <w:noProof/>
            <w:webHidden/>
          </w:rPr>
          <w:instrText xml:space="preserve"> PAGEREF _Toc413060300 \h </w:instrText>
        </w:r>
        <w:r w:rsidR="003259E9">
          <w:rPr>
            <w:noProof/>
            <w:webHidden/>
          </w:rPr>
        </w:r>
        <w:r w:rsidR="003259E9">
          <w:rPr>
            <w:noProof/>
            <w:webHidden/>
          </w:rPr>
          <w:fldChar w:fldCharType="separate"/>
        </w:r>
        <w:r w:rsidR="00DD3663">
          <w:rPr>
            <w:noProof/>
            <w:webHidden/>
          </w:rPr>
          <w:t>52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1" w:history="1">
        <w:r w:rsidR="00DD3663" w:rsidRPr="00715797">
          <w:rPr>
            <w:rStyle w:val="Hyperlink"/>
            <w:noProof/>
          </w:rPr>
          <w:t>2.6</w:t>
        </w:r>
        <w:r w:rsidR="00DD3663">
          <w:rPr>
            <w:rFonts w:asciiTheme="minorHAnsi" w:eastAsiaTheme="minorEastAsia" w:hAnsiTheme="minorHAnsi" w:cstheme="minorBidi"/>
            <w:noProof/>
            <w:sz w:val="22"/>
            <w:szCs w:val="22"/>
            <w:lang w:val="en-US"/>
          </w:rPr>
          <w:tab/>
        </w:r>
        <w:r w:rsidR="00DD3663" w:rsidRPr="00715797">
          <w:rPr>
            <w:rStyle w:val="Hyperlink"/>
            <w:noProof/>
          </w:rPr>
          <w:t>Prioritizarea proiectelor</w:t>
        </w:r>
        <w:r w:rsidR="00DD3663">
          <w:rPr>
            <w:noProof/>
            <w:webHidden/>
          </w:rPr>
          <w:tab/>
        </w:r>
        <w:r w:rsidR="003259E9">
          <w:rPr>
            <w:noProof/>
            <w:webHidden/>
          </w:rPr>
          <w:fldChar w:fldCharType="begin"/>
        </w:r>
        <w:r w:rsidR="00DD3663">
          <w:rPr>
            <w:noProof/>
            <w:webHidden/>
          </w:rPr>
          <w:instrText xml:space="preserve"> PAGEREF _Toc413060301 \h </w:instrText>
        </w:r>
        <w:r w:rsidR="003259E9">
          <w:rPr>
            <w:noProof/>
            <w:webHidden/>
          </w:rPr>
        </w:r>
        <w:r w:rsidR="003259E9">
          <w:rPr>
            <w:noProof/>
            <w:webHidden/>
          </w:rPr>
          <w:fldChar w:fldCharType="separate"/>
        </w:r>
        <w:r w:rsidR="00DD3663">
          <w:rPr>
            <w:noProof/>
            <w:webHidden/>
          </w:rPr>
          <w:t>57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2" w:history="1">
        <w:r w:rsidR="00DD3663" w:rsidRPr="00715797">
          <w:rPr>
            <w:rStyle w:val="Hyperlink"/>
            <w:noProof/>
          </w:rPr>
          <w:t>2.7</w:t>
        </w:r>
        <w:r w:rsidR="00DD3663">
          <w:rPr>
            <w:rFonts w:asciiTheme="minorHAnsi" w:eastAsiaTheme="minorEastAsia" w:hAnsiTheme="minorHAnsi" w:cstheme="minorBidi"/>
            <w:noProof/>
            <w:sz w:val="22"/>
            <w:szCs w:val="22"/>
            <w:lang w:val="en-US"/>
          </w:rPr>
          <w:tab/>
        </w:r>
        <w:r w:rsidR="00DD3663" w:rsidRPr="00715797">
          <w:rPr>
            <w:rStyle w:val="Hyperlink"/>
            <w:noProof/>
          </w:rPr>
          <w:t>Condiționalitățile Ex-Ante</w:t>
        </w:r>
        <w:r w:rsidR="00DD3663">
          <w:rPr>
            <w:noProof/>
            <w:webHidden/>
          </w:rPr>
          <w:tab/>
        </w:r>
        <w:r w:rsidR="003259E9">
          <w:rPr>
            <w:noProof/>
            <w:webHidden/>
          </w:rPr>
          <w:fldChar w:fldCharType="begin"/>
        </w:r>
        <w:r w:rsidR="00DD3663">
          <w:rPr>
            <w:noProof/>
            <w:webHidden/>
          </w:rPr>
          <w:instrText xml:space="preserve"> PAGEREF _Toc413060302 \h </w:instrText>
        </w:r>
        <w:r w:rsidR="003259E9">
          <w:rPr>
            <w:noProof/>
            <w:webHidden/>
          </w:rPr>
        </w:r>
        <w:r w:rsidR="003259E9">
          <w:rPr>
            <w:noProof/>
            <w:webHidden/>
          </w:rPr>
          <w:fldChar w:fldCharType="separate"/>
        </w:r>
        <w:r w:rsidR="00DD3663">
          <w:rPr>
            <w:noProof/>
            <w:webHidden/>
          </w:rPr>
          <w:t>63</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03" w:history="1">
        <w:r w:rsidR="00DD3663" w:rsidRPr="00715797">
          <w:rPr>
            <w:rStyle w:val="Hyperlink"/>
            <w:noProof/>
          </w:rPr>
          <w:t>3</w:t>
        </w:r>
        <w:r w:rsidR="00DD3663">
          <w:rPr>
            <w:rFonts w:asciiTheme="minorHAnsi" w:eastAsiaTheme="minorEastAsia" w:hAnsiTheme="minorHAnsi" w:cstheme="minorBidi"/>
            <w:b w:val="0"/>
            <w:noProof/>
            <w:sz w:val="22"/>
            <w:szCs w:val="22"/>
            <w:lang w:val="en-US"/>
          </w:rPr>
          <w:tab/>
        </w:r>
        <w:r w:rsidR="00DD3663" w:rsidRPr="00715797">
          <w:rPr>
            <w:rStyle w:val="Hyperlink"/>
            <w:noProof/>
          </w:rPr>
          <w:t>Situația existentă și ultimele tendințe din domeniul transporturilor în România și Europa</w:t>
        </w:r>
        <w:r w:rsidR="00DD3663">
          <w:rPr>
            <w:noProof/>
            <w:webHidden/>
          </w:rPr>
          <w:tab/>
        </w:r>
        <w:r w:rsidR="003259E9">
          <w:rPr>
            <w:noProof/>
            <w:webHidden/>
          </w:rPr>
          <w:fldChar w:fldCharType="begin"/>
        </w:r>
        <w:r w:rsidR="00DD3663">
          <w:rPr>
            <w:noProof/>
            <w:webHidden/>
          </w:rPr>
          <w:instrText xml:space="preserve"> PAGEREF _Toc413060303 \h </w:instrText>
        </w:r>
        <w:r w:rsidR="003259E9">
          <w:rPr>
            <w:noProof/>
            <w:webHidden/>
          </w:rPr>
        </w:r>
        <w:r w:rsidR="003259E9">
          <w:rPr>
            <w:noProof/>
            <w:webHidden/>
          </w:rPr>
          <w:fldChar w:fldCharType="separate"/>
        </w:r>
        <w:r w:rsidR="00DD3663">
          <w:rPr>
            <w:noProof/>
            <w:webHidden/>
          </w:rPr>
          <w:t>69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4" w:history="1">
        <w:r w:rsidR="00DD3663" w:rsidRPr="00715797">
          <w:rPr>
            <w:rStyle w:val="Hyperlink"/>
            <w:noProof/>
          </w:rPr>
          <w:t>3.1</w:t>
        </w:r>
        <w:r w:rsidR="00DD3663">
          <w:rPr>
            <w:rFonts w:asciiTheme="minorHAnsi" w:eastAsiaTheme="minorEastAsia" w:hAnsiTheme="minorHAnsi" w:cstheme="minorBidi"/>
            <w:noProof/>
            <w:sz w:val="22"/>
            <w:szCs w:val="22"/>
            <w:lang w:val="en-US"/>
          </w:rPr>
          <w:tab/>
        </w:r>
        <w:r w:rsidR="00DD3663" w:rsidRPr="00715797">
          <w:rPr>
            <w:rStyle w:val="Hyperlink"/>
            <w:noProof/>
          </w:rPr>
          <w:t>Relația dintre MPGT și documentele relevante de politici de transport din UE</w:t>
        </w:r>
        <w:r w:rsidR="00DD3663">
          <w:rPr>
            <w:noProof/>
            <w:webHidden/>
          </w:rPr>
          <w:tab/>
        </w:r>
        <w:r w:rsidR="003259E9">
          <w:rPr>
            <w:noProof/>
            <w:webHidden/>
          </w:rPr>
          <w:fldChar w:fldCharType="begin"/>
        </w:r>
        <w:r w:rsidR="00DD3663">
          <w:rPr>
            <w:noProof/>
            <w:webHidden/>
          </w:rPr>
          <w:instrText xml:space="preserve"> PAGEREF _Toc413060304 \h </w:instrText>
        </w:r>
        <w:r w:rsidR="003259E9">
          <w:rPr>
            <w:noProof/>
            <w:webHidden/>
          </w:rPr>
        </w:r>
        <w:r w:rsidR="003259E9">
          <w:rPr>
            <w:noProof/>
            <w:webHidden/>
          </w:rPr>
          <w:fldChar w:fldCharType="separate"/>
        </w:r>
        <w:r w:rsidR="00DD3663">
          <w:rPr>
            <w:noProof/>
            <w:webHidden/>
          </w:rPr>
          <w:t>69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5" w:history="1">
        <w:r w:rsidR="00DD3663" w:rsidRPr="00715797">
          <w:rPr>
            <w:rStyle w:val="Hyperlink"/>
            <w:noProof/>
          </w:rPr>
          <w:t>3.2</w:t>
        </w:r>
        <w:r w:rsidR="00DD3663">
          <w:rPr>
            <w:rFonts w:asciiTheme="minorHAnsi" w:eastAsiaTheme="minorEastAsia" w:hAnsiTheme="minorHAnsi" w:cstheme="minorBidi"/>
            <w:noProof/>
            <w:sz w:val="22"/>
            <w:szCs w:val="22"/>
            <w:lang w:val="en-US"/>
          </w:rPr>
          <w:tab/>
        </w:r>
        <w:r w:rsidR="00DD3663" w:rsidRPr="00715797">
          <w:rPr>
            <w:rStyle w:val="Hyperlink"/>
            <w:noProof/>
          </w:rPr>
          <w:t>Tendințe de transport rutier în contextul european</w:t>
        </w:r>
        <w:r w:rsidR="00DD3663">
          <w:rPr>
            <w:noProof/>
            <w:webHidden/>
          </w:rPr>
          <w:tab/>
        </w:r>
        <w:r w:rsidR="003259E9">
          <w:rPr>
            <w:noProof/>
            <w:webHidden/>
          </w:rPr>
          <w:fldChar w:fldCharType="begin"/>
        </w:r>
        <w:r w:rsidR="00DD3663">
          <w:rPr>
            <w:noProof/>
            <w:webHidden/>
          </w:rPr>
          <w:instrText xml:space="preserve"> PAGEREF _Toc413060305 \h </w:instrText>
        </w:r>
        <w:r w:rsidR="003259E9">
          <w:rPr>
            <w:noProof/>
            <w:webHidden/>
          </w:rPr>
        </w:r>
        <w:r w:rsidR="003259E9">
          <w:rPr>
            <w:noProof/>
            <w:webHidden/>
          </w:rPr>
          <w:fldChar w:fldCharType="separate"/>
        </w:r>
        <w:r w:rsidR="00DD3663">
          <w:rPr>
            <w:noProof/>
            <w:webHidden/>
          </w:rPr>
          <w:t>77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6" w:history="1">
        <w:r w:rsidR="00DD3663" w:rsidRPr="00715797">
          <w:rPr>
            <w:rStyle w:val="Hyperlink"/>
            <w:noProof/>
          </w:rPr>
          <w:t>3.3</w:t>
        </w:r>
        <w:r w:rsidR="00DD3663">
          <w:rPr>
            <w:rFonts w:asciiTheme="minorHAnsi" w:eastAsiaTheme="minorEastAsia" w:hAnsiTheme="minorHAnsi" w:cstheme="minorBidi"/>
            <w:noProof/>
            <w:sz w:val="22"/>
            <w:szCs w:val="22"/>
            <w:lang w:val="en-US"/>
          </w:rPr>
          <w:tab/>
        </w:r>
        <w:r w:rsidR="00DD3663" w:rsidRPr="00715797">
          <w:rPr>
            <w:rStyle w:val="Hyperlink"/>
            <w:noProof/>
          </w:rPr>
          <w:t>Tendințele transportului feroviar în contextul european</w:t>
        </w:r>
        <w:r w:rsidR="00DD3663">
          <w:rPr>
            <w:noProof/>
            <w:webHidden/>
          </w:rPr>
          <w:tab/>
        </w:r>
        <w:r w:rsidR="003259E9">
          <w:rPr>
            <w:noProof/>
            <w:webHidden/>
          </w:rPr>
          <w:fldChar w:fldCharType="begin"/>
        </w:r>
        <w:r w:rsidR="00DD3663">
          <w:rPr>
            <w:noProof/>
            <w:webHidden/>
          </w:rPr>
          <w:instrText xml:space="preserve"> PAGEREF _Toc413060306 \h </w:instrText>
        </w:r>
        <w:r w:rsidR="003259E9">
          <w:rPr>
            <w:noProof/>
            <w:webHidden/>
          </w:rPr>
        </w:r>
        <w:r w:rsidR="003259E9">
          <w:rPr>
            <w:noProof/>
            <w:webHidden/>
          </w:rPr>
          <w:fldChar w:fldCharType="separate"/>
        </w:r>
        <w:r w:rsidR="00DD3663">
          <w:rPr>
            <w:noProof/>
            <w:webHidden/>
          </w:rPr>
          <w:t>81</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7" w:history="1">
        <w:r w:rsidR="00DD3663" w:rsidRPr="00715797">
          <w:rPr>
            <w:rStyle w:val="Hyperlink"/>
            <w:noProof/>
          </w:rPr>
          <w:t>3.4</w:t>
        </w:r>
        <w:r w:rsidR="00DD3663">
          <w:rPr>
            <w:rFonts w:asciiTheme="minorHAnsi" w:eastAsiaTheme="minorEastAsia" w:hAnsiTheme="minorHAnsi" w:cstheme="minorBidi"/>
            <w:noProof/>
            <w:sz w:val="22"/>
            <w:szCs w:val="22"/>
            <w:lang w:val="en-US"/>
          </w:rPr>
          <w:tab/>
        </w:r>
        <w:r w:rsidR="00DD3663" w:rsidRPr="00715797">
          <w:rPr>
            <w:rStyle w:val="Hyperlink"/>
            <w:noProof/>
          </w:rPr>
          <w:t>Tendințe în contextul european în porturi și căi navigabile</w:t>
        </w:r>
        <w:r w:rsidR="00DD3663">
          <w:rPr>
            <w:noProof/>
            <w:webHidden/>
          </w:rPr>
          <w:tab/>
        </w:r>
        <w:r w:rsidR="003259E9">
          <w:rPr>
            <w:noProof/>
            <w:webHidden/>
          </w:rPr>
          <w:fldChar w:fldCharType="begin"/>
        </w:r>
        <w:r w:rsidR="00DD3663">
          <w:rPr>
            <w:noProof/>
            <w:webHidden/>
          </w:rPr>
          <w:instrText xml:space="preserve"> PAGEREF _Toc413060307 \h </w:instrText>
        </w:r>
        <w:r w:rsidR="003259E9">
          <w:rPr>
            <w:noProof/>
            <w:webHidden/>
          </w:rPr>
        </w:r>
        <w:r w:rsidR="003259E9">
          <w:rPr>
            <w:noProof/>
            <w:webHidden/>
          </w:rPr>
          <w:fldChar w:fldCharType="separate"/>
        </w:r>
        <w:r w:rsidR="00DD3663">
          <w:rPr>
            <w:noProof/>
            <w:webHidden/>
          </w:rPr>
          <w:t>87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8" w:history="1">
        <w:r w:rsidR="00DD3663" w:rsidRPr="00715797">
          <w:rPr>
            <w:rStyle w:val="Hyperlink"/>
            <w:noProof/>
          </w:rPr>
          <w:t>3.5</w:t>
        </w:r>
        <w:r w:rsidR="00DD3663">
          <w:rPr>
            <w:rFonts w:asciiTheme="minorHAnsi" w:eastAsiaTheme="minorEastAsia" w:hAnsiTheme="minorHAnsi" w:cstheme="minorBidi"/>
            <w:noProof/>
            <w:sz w:val="22"/>
            <w:szCs w:val="22"/>
            <w:lang w:val="en-US"/>
          </w:rPr>
          <w:tab/>
        </w:r>
        <w:r w:rsidR="00DD3663" w:rsidRPr="00715797">
          <w:rPr>
            <w:rStyle w:val="Hyperlink"/>
            <w:noProof/>
          </w:rPr>
          <w:t>Tendințe în transportul aerian în contextul european</w:t>
        </w:r>
        <w:r w:rsidR="00DD3663">
          <w:rPr>
            <w:noProof/>
            <w:webHidden/>
          </w:rPr>
          <w:tab/>
        </w:r>
        <w:r w:rsidR="003259E9">
          <w:rPr>
            <w:noProof/>
            <w:webHidden/>
          </w:rPr>
          <w:fldChar w:fldCharType="begin"/>
        </w:r>
        <w:r w:rsidR="00DD3663">
          <w:rPr>
            <w:noProof/>
            <w:webHidden/>
          </w:rPr>
          <w:instrText xml:space="preserve"> PAGEREF _Toc413060308 \h </w:instrText>
        </w:r>
        <w:r w:rsidR="003259E9">
          <w:rPr>
            <w:noProof/>
            <w:webHidden/>
          </w:rPr>
        </w:r>
        <w:r w:rsidR="003259E9">
          <w:rPr>
            <w:noProof/>
            <w:webHidden/>
          </w:rPr>
          <w:fldChar w:fldCharType="separate"/>
        </w:r>
        <w:r w:rsidR="00DD3663">
          <w:rPr>
            <w:noProof/>
            <w:webHidden/>
          </w:rPr>
          <w:t>90</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09" w:history="1">
        <w:r w:rsidR="00DD3663" w:rsidRPr="00715797">
          <w:rPr>
            <w:rStyle w:val="Hyperlink"/>
            <w:noProof/>
          </w:rPr>
          <w:t>3.6</w:t>
        </w:r>
        <w:r w:rsidR="00DD3663">
          <w:rPr>
            <w:rFonts w:asciiTheme="minorHAnsi" w:eastAsiaTheme="minorEastAsia" w:hAnsiTheme="minorHAnsi" w:cstheme="minorBidi"/>
            <w:noProof/>
            <w:sz w:val="22"/>
            <w:szCs w:val="22"/>
            <w:lang w:val="en-US"/>
          </w:rPr>
          <w:tab/>
        </w:r>
        <w:r w:rsidR="00DD3663" w:rsidRPr="00715797">
          <w:rPr>
            <w:rStyle w:val="Hyperlink"/>
            <w:noProof/>
          </w:rPr>
          <w:t>Tendințe în transportul intermodal</w:t>
        </w:r>
        <w:r w:rsidR="00DD3663">
          <w:rPr>
            <w:noProof/>
            <w:webHidden/>
          </w:rPr>
          <w:tab/>
        </w:r>
        <w:r w:rsidR="003259E9">
          <w:rPr>
            <w:noProof/>
            <w:webHidden/>
          </w:rPr>
          <w:fldChar w:fldCharType="begin"/>
        </w:r>
        <w:r w:rsidR="00DD3663">
          <w:rPr>
            <w:noProof/>
            <w:webHidden/>
          </w:rPr>
          <w:instrText xml:space="preserve"> PAGEREF _Toc413060309 \h </w:instrText>
        </w:r>
        <w:r w:rsidR="003259E9">
          <w:rPr>
            <w:noProof/>
            <w:webHidden/>
          </w:rPr>
        </w:r>
        <w:r w:rsidR="003259E9">
          <w:rPr>
            <w:noProof/>
            <w:webHidden/>
          </w:rPr>
          <w:fldChar w:fldCharType="separate"/>
        </w:r>
        <w:r w:rsidR="00DD3663">
          <w:rPr>
            <w:noProof/>
            <w:webHidden/>
          </w:rPr>
          <w:t>92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0" w:history="1">
        <w:r w:rsidR="00DD3663" w:rsidRPr="00715797">
          <w:rPr>
            <w:rStyle w:val="Hyperlink"/>
            <w:noProof/>
          </w:rPr>
          <w:t>3.7</w:t>
        </w:r>
        <w:r w:rsidR="00DD3663">
          <w:rPr>
            <w:rFonts w:asciiTheme="minorHAnsi" w:eastAsiaTheme="minorEastAsia" w:hAnsiTheme="minorHAnsi" w:cstheme="minorBidi"/>
            <w:noProof/>
            <w:sz w:val="22"/>
            <w:szCs w:val="22"/>
            <w:lang w:val="en-US"/>
          </w:rPr>
          <w:tab/>
        </w:r>
        <w:r w:rsidR="00DD3663" w:rsidRPr="00715797">
          <w:rPr>
            <w:rStyle w:val="Hyperlink"/>
            <w:noProof/>
          </w:rPr>
          <w:t>Transportul și dezvoltarea economică</w:t>
        </w:r>
        <w:r w:rsidR="00DD3663">
          <w:rPr>
            <w:noProof/>
            <w:webHidden/>
          </w:rPr>
          <w:tab/>
        </w:r>
        <w:r w:rsidR="003259E9">
          <w:rPr>
            <w:noProof/>
            <w:webHidden/>
          </w:rPr>
          <w:fldChar w:fldCharType="begin"/>
        </w:r>
        <w:r w:rsidR="00DD3663">
          <w:rPr>
            <w:noProof/>
            <w:webHidden/>
          </w:rPr>
          <w:instrText xml:space="preserve"> PAGEREF _Toc413060310 \h </w:instrText>
        </w:r>
        <w:r w:rsidR="003259E9">
          <w:rPr>
            <w:noProof/>
            <w:webHidden/>
          </w:rPr>
        </w:r>
        <w:r w:rsidR="003259E9">
          <w:rPr>
            <w:noProof/>
            <w:webHidden/>
          </w:rPr>
          <w:fldChar w:fldCharType="separate"/>
        </w:r>
        <w:r w:rsidR="00DD3663">
          <w:rPr>
            <w:noProof/>
            <w:webHidden/>
          </w:rPr>
          <w:t>92</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11" w:history="1">
        <w:r w:rsidR="00DD3663" w:rsidRPr="00715797">
          <w:rPr>
            <w:rStyle w:val="Hyperlink"/>
            <w:noProof/>
          </w:rPr>
          <w:t>4</w:t>
        </w:r>
        <w:r w:rsidR="00DD3663">
          <w:rPr>
            <w:rFonts w:asciiTheme="minorHAnsi" w:eastAsiaTheme="minorEastAsia" w:hAnsiTheme="minorHAnsi" w:cstheme="minorBidi"/>
            <w:b w:val="0"/>
            <w:noProof/>
            <w:sz w:val="22"/>
            <w:szCs w:val="22"/>
            <w:lang w:val="en-US"/>
          </w:rPr>
          <w:tab/>
        </w:r>
        <w:r w:rsidR="00DD3663" w:rsidRPr="00715797">
          <w:rPr>
            <w:rStyle w:val="Hyperlink"/>
            <w:noProof/>
          </w:rPr>
          <w:t>Transport Rutier</w:t>
        </w:r>
        <w:r w:rsidR="00DD3663">
          <w:rPr>
            <w:noProof/>
            <w:webHidden/>
          </w:rPr>
          <w:tab/>
        </w:r>
        <w:r w:rsidR="003259E9">
          <w:rPr>
            <w:noProof/>
            <w:webHidden/>
          </w:rPr>
          <w:fldChar w:fldCharType="begin"/>
        </w:r>
        <w:r w:rsidR="00DD3663">
          <w:rPr>
            <w:noProof/>
            <w:webHidden/>
          </w:rPr>
          <w:instrText xml:space="preserve"> PAGEREF _Toc413060311 \h </w:instrText>
        </w:r>
        <w:r w:rsidR="003259E9">
          <w:rPr>
            <w:noProof/>
            <w:webHidden/>
          </w:rPr>
        </w:r>
        <w:r w:rsidR="003259E9">
          <w:rPr>
            <w:noProof/>
            <w:webHidden/>
          </w:rPr>
          <w:fldChar w:fldCharType="separate"/>
        </w:r>
        <w:r w:rsidR="00DD3663">
          <w:rPr>
            <w:noProof/>
            <w:webHidden/>
          </w:rPr>
          <w:t>95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2" w:history="1">
        <w:r w:rsidR="00DD3663" w:rsidRPr="00715797">
          <w:rPr>
            <w:rStyle w:val="Hyperlink"/>
            <w:noProof/>
          </w:rPr>
          <w:t>4.1</w:t>
        </w:r>
        <w:r w:rsidR="00DD3663">
          <w:rPr>
            <w:rFonts w:asciiTheme="minorHAnsi" w:eastAsiaTheme="minorEastAsia" w:hAnsiTheme="minorHAnsi" w:cstheme="minorBidi"/>
            <w:noProof/>
            <w:sz w:val="22"/>
            <w:szCs w:val="22"/>
            <w:lang w:val="en-US"/>
          </w:rPr>
          <w:tab/>
        </w:r>
        <w:r w:rsidR="00DD3663" w:rsidRPr="00715797">
          <w:rPr>
            <w:rStyle w:val="Hyperlink"/>
            <w:noProof/>
          </w:rPr>
          <w:t>Structura Capitolului</w:t>
        </w:r>
        <w:r w:rsidR="00DD3663">
          <w:rPr>
            <w:noProof/>
            <w:webHidden/>
          </w:rPr>
          <w:tab/>
        </w:r>
        <w:r w:rsidR="003259E9">
          <w:rPr>
            <w:noProof/>
            <w:webHidden/>
          </w:rPr>
          <w:fldChar w:fldCharType="begin"/>
        </w:r>
        <w:r w:rsidR="00DD3663">
          <w:rPr>
            <w:noProof/>
            <w:webHidden/>
          </w:rPr>
          <w:instrText xml:space="preserve"> PAGEREF _Toc413060312 \h </w:instrText>
        </w:r>
        <w:r w:rsidR="003259E9">
          <w:rPr>
            <w:noProof/>
            <w:webHidden/>
          </w:rPr>
        </w:r>
        <w:r w:rsidR="003259E9">
          <w:rPr>
            <w:noProof/>
            <w:webHidden/>
          </w:rPr>
          <w:fldChar w:fldCharType="separate"/>
        </w:r>
        <w:r w:rsidR="00DD3663">
          <w:rPr>
            <w:noProof/>
            <w:webHidden/>
          </w:rPr>
          <w:t>95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3" w:history="1">
        <w:r w:rsidR="00DD3663" w:rsidRPr="00715797">
          <w:rPr>
            <w:rStyle w:val="Hyperlink"/>
            <w:noProof/>
          </w:rPr>
          <w:t>4.2</w:t>
        </w:r>
        <w:r w:rsidR="00DD3663">
          <w:rPr>
            <w:rFonts w:asciiTheme="minorHAnsi" w:eastAsiaTheme="minorEastAsia" w:hAnsiTheme="minorHAnsi" w:cstheme="minorBidi"/>
            <w:noProof/>
            <w:sz w:val="22"/>
            <w:szCs w:val="22"/>
            <w:lang w:val="en-US"/>
          </w:rPr>
          <w:tab/>
        </w:r>
        <w:r w:rsidR="00DD3663" w:rsidRPr="00715797">
          <w:rPr>
            <w:rStyle w:val="Hyperlink"/>
            <w:noProof/>
          </w:rPr>
          <w:t>Situația actuală</w:t>
        </w:r>
        <w:r w:rsidR="00DD3663">
          <w:rPr>
            <w:noProof/>
            <w:webHidden/>
          </w:rPr>
          <w:tab/>
        </w:r>
        <w:r w:rsidR="003259E9">
          <w:rPr>
            <w:noProof/>
            <w:webHidden/>
          </w:rPr>
          <w:fldChar w:fldCharType="begin"/>
        </w:r>
        <w:r w:rsidR="00DD3663">
          <w:rPr>
            <w:noProof/>
            <w:webHidden/>
          </w:rPr>
          <w:instrText xml:space="preserve"> PAGEREF _Toc413060313 \h </w:instrText>
        </w:r>
        <w:r w:rsidR="003259E9">
          <w:rPr>
            <w:noProof/>
            <w:webHidden/>
          </w:rPr>
        </w:r>
        <w:r w:rsidR="003259E9">
          <w:rPr>
            <w:noProof/>
            <w:webHidden/>
          </w:rPr>
          <w:fldChar w:fldCharType="separate"/>
        </w:r>
        <w:r w:rsidR="00DD3663">
          <w:rPr>
            <w:noProof/>
            <w:webHidden/>
          </w:rPr>
          <w:t>95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4" w:history="1">
        <w:r w:rsidR="00DD3663" w:rsidRPr="00715797">
          <w:rPr>
            <w:rStyle w:val="Hyperlink"/>
            <w:noProof/>
          </w:rPr>
          <w:t>4.3</w:t>
        </w:r>
        <w:r w:rsidR="00DD3663">
          <w:rPr>
            <w:rFonts w:asciiTheme="minorHAnsi" w:eastAsiaTheme="minorEastAsia" w:hAnsiTheme="minorHAnsi" w:cstheme="minorBidi"/>
            <w:noProof/>
            <w:sz w:val="22"/>
            <w:szCs w:val="22"/>
            <w:lang w:val="en-US"/>
          </w:rPr>
          <w:tab/>
        </w:r>
        <w:r w:rsidR="00DD3663" w:rsidRPr="00715797">
          <w:rPr>
            <w:rStyle w:val="Hyperlink"/>
            <w:noProof/>
          </w:rPr>
          <w:t>Obiective strategice</w:t>
        </w:r>
        <w:r w:rsidR="00DD3663">
          <w:rPr>
            <w:noProof/>
            <w:webHidden/>
          </w:rPr>
          <w:tab/>
        </w:r>
        <w:r w:rsidR="003259E9">
          <w:rPr>
            <w:noProof/>
            <w:webHidden/>
          </w:rPr>
          <w:fldChar w:fldCharType="begin"/>
        </w:r>
        <w:r w:rsidR="00DD3663">
          <w:rPr>
            <w:noProof/>
            <w:webHidden/>
          </w:rPr>
          <w:instrText xml:space="preserve"> PAGEREF _Toc413060314 \h </w:instrText>
        </w:r>
        <w:r w:rsidR="003259E9">
          <w:rPr>
            <w:noProof/>
            <w:webHidden/>
          </w:rPr>
        </w:r>
        <w:r w:rsidR="003259E9">
          <w:rPr>
            <w:noProof/>
            <w:webHidden/>
          </w:rPr>
          <w:fldChar w:fldCharType="separate"/>
        </w:r>
        <w:r w:rsidR="00DD3663">
          <w:rPr>
            <w:noProof/>
            <w:webHidden/>
          </w:rPr>
          <w:t>109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5" w:history="1">
        <w:r w:rsidR="00DD3663" w:rsidRPr="00715797">
          <w:rPr>
            <w:rStyle w:val="Hyperlink"/>
            <w:noProof/>
          </w:rPr>
          <w:t>4.4</w:t>
        </w:r>
        <w:r w:rsidR="00DD3663">
          <w:rPr>
            <w:rFonts w:asciiTheme="minorHAnsi" w:eastAsiaTheme="minorEastAsia" w:hAnsiTheme="minorHAnsi" w:cstheme="minorBidi"/>
            <w:noProof/>
            <w:sz w:val="22"/>
            <w:szCs w:val="22"/>
            <w:lang w:val="en-US"/>
          </w:rPr>
          <w:tab/>
        </w:r>
        <w:r w:rsidR="00DD3663" w:rsidRPr="00715797">
          <w:rPr>
            <w:rStyle w:val="Hyperlink"/>
            <w:noProof/>
          </w:rPr>
          <w:t>Obiective operaționale</w:t>
        </w:r>
        <w:r w:rsidR="00DD3663">
          <w:rPr>
            <w:noProof/>
            <w:webHidden/>
          </w:rPr>
          <w:tab/>
        </w:r>
        <w:r w:rsidR="003259E9">
          <w:rPr>
            <w:noProof/>
            <w:webHidden/>
          </w:rPr>
          <w:fldChar w:fldCharType="begin"/>
        </w:r>
        <w:r w:rsidR="00DD3663">
          <w:rPr>
            <w:noProof/>
            <w:webHidden/>
          </w:rPr>
          <w:instrText xml:space="preserve"> PAGEREF _Toc413060315 \h </w:instrText>
        </w:r>
        <w:r w:rsidR="003259E9">
          <w:rPr>
            <w:noProof/>
            <w:webHidden/>
          </w:rPr>
        </w:r>
        <w:r w:rsidR="003259E9">
          <w:rPr>
            <w:noProof/>
            <w:webHidden/>
          </w:rPr>
          <w:fldChar w:fldCharType="separate"/>
        </w:r>
        <w:r w:rsidR="00DD3663">
          <w:rPr>
            <w:noProof/>
            <w:webHidden/>
          </w:rPr>
          <w:t>116</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6" w:history="1">
        <w:r w:rsidR="00DD3663" w:rsidRPr="00715797">
          <w:rPr>
            <w:rStyle w:val="Hyperlink"/>
            <w:noProof/>
          </w:rPr>
          <w:t>4.5</w:t>
        </w:r>
        <w:r w:rsidR="00DD3663">
          <w:rPr>
            <w:rFonts w:asciiTheme="minorHAnsi" w:eastAsiaTheme="minorEastAsia" w:hAnsiTheme="minorHAnsi" w:cstheme="minorBidi"/>
            <w:noProof/>
            <w:sz w:val="22"/>
            <w:szCs w:val="22"/>
            <w:lang w:val="en-US"/>
          </w:rPr>
          <w:tab/>
        </w:r>
        <w:r w:rsidR="00DD3663" w:rsidRPr="00715797">
          <w:rPr>
            <w:rStyle w:val="Hyperlink"/>
            <w:noProof/>
          </w:rPr>
          <w:t>Analiza Cost-Beneficiu</w:t>
        </w:r>
        <w:r w:rsidR="00DD3663">
          <w:rPr>
            <w:noProof/>
            <w:webHidden/>
          </w:rPr>
          <w:tab/>
        </w:r>
        <w:r w:rsidR="003259E9">
          <w:rPr>
            <w:noProof/>
            <w:webHidden/>
          </w:rPr>
          <w:fldChar w:fldCharType="begin"/>
        </w:r>
        <w:r w:rsidR="00DD3663">
          <w:rPr>
            <w:noProof/>
            <w:webHidden/>
          </w:rPr>
          <w:instrText xml:space="preserve"> PAGEREF _Toc413060316 \h </w:instrText>
        </w:r>
        <w:r w:rsidR="003259E9">
          <w:rPr>
            <w:noProof/>
            <w:webHidden/>
          </w:rPr>
        </w:r>
        <w:r w:rsidR="003259E9">
          <w:rPr>
            <w:noProof/>
            <w:webHidden/>
          </w:rPr>
          <w:fldChar w:fldCharType="separate"/>
        </w:r>
        <w:r w:rsidR="00DD3663">
          <w:rPr>
            <w:noProof/>
            <w:webHidden/>
          </w:rPr>
          <w:t>142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7" w:history="1">
        <w:r w:rsidR="00DD3663" w:rsidRPr="00715797">
          <w:rPr>
            <w:rStyle w:val="Hyperlink"/>
            <w:noProof/>
          </w:rPr>
          <w:t>4.6</w:t>
        </w:r>
        <w:r w:rsidR="00DD3663">
          <w:rPr>
            <w:rFonts w:asciiTheme="minorHAnsi" w:eastAsiaTheme="minorEastAsia" w:hAnsiTheme="minorHAnsi" w:cstheme="minorBidi"/>
            <w:noProof/>
            <w:sz w:val="22"/>
            <w:szCs w:val="22"/>
            <w:lang w:val="en-US"/>
          </w:rPr>
          <w:tab/>
        </w:r>
        <w:r w:rsidR="00DD3663" w:rsidRPr="00715797">
          <w:rPr>
            <w:rStyle w:val="Hyperlink"/>
            <w:noProof/>
          </w:rPr>
          <w:t>Analiza Multicriterială</w:t>
        </w:r>
        <w:r w:rsidR="00DD3663">
          <w:rPr>
            <w:noProof/>
            <w:webHidden/>
          </w:rPr>
          <w:tab/>
        </w:r>
        <w:r w:rsidR="003259E9">
          <w:rPr>
            <w:noProof/>
            <w:webHidden/>
          </w:rPr>
          <w:fldChar w:fldCharType="begin"/>
        </w:r>
        <w:r w:rsidR="00DD3663">
          <w:rPr>
            <w:noProof/>
            <w:webHidden/>
          </w:rPr>
          <w:instrText xml:space="preserve"> PAGEREF _Toc413060317 \h </w:instrText>
        </w:r>
        <w:r w:rsidR="003259E9">
          <w:rPr>
            <w:noProof/>
            <w:webHidden/>
          </w:rPr>
        </w:r>
        <w:r w:rsidR="003259E9">
          <w:rPr>
            <w:noProof/>
            <w:webHidden/>
          </w:rPr>
          <w:fldChar w:fldCharType="separate"/>
        </w:r>
        <w:r w:rsidR="00DD3663">
          <w:rPr>
            <w:noProof/>
            <w:webHidden/>
          </w:rPr>
          <w:t>185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18" w:history="1">
        <w:r w:rsidR="00DD3663" w:rsidRPr="00715797">
          <w:rPr>
            <w:rStyle w:val="Hyperlink"/>
            <w:noProof/>
          </w:rPr>
          <w:t>4.7</w:t>
        </w:r>
        <w:r w:rsidR="00DD3663">
          <w:rPr>
            <w:rFonts w:asciiTheme="minorHAnsi" w:eastAsiaTheme="minorEastAsia" w:hAnsiTheme="minorHAnsi" w:cstheme="minorBidi"/>
            <w:noProof/>
            <w:sz w:val="22"/>
            <w:szCs w:val="22"/>
            <w:lang w:val="en-US"/>
          </w:rPr>
          <w:tab/>
        </w:r>
        <w:r w:rsidR="00DD3663" w:rsidRPr="00715797">
          <w:rPr>
            <w:rStyle w:val="Hyperlink"/>
            <w:noProof/>
          </w:rPr>
          <w:t>Sinteza intervențiilor</w:t>
        </w:r>
        <w:r w:rsidR="00DD3663">
          <w:rPr>
            <w:noProof/>
            <w:webHidden/>
          </w:rPr>
          <w:tab/>
        </w:r>
        <w:r w:rsidR="003259E9">
          <w:rPr>
            <w:noProof/>
            <w:webHidden/>
          </w:rPr>
          <w:fldChar w:fldCharType="begin"/>
        </w:r>
        <w:r w:rsidR="00DD3663">
          <w:rPr>
            <w:noProof/>
            <w:webHidden/>
          </w:rPr>
          <w:instrText xml:space="preserve"> PAGEREF _Toc413060318 \h </w:instrText>
        </w:r>
        <w:r w:rsidR="003259E9">
          <w:rPr>
            <w:noProof/>
            <w:webHidden/>
          </w:rPr>
        </w:r>
        <w:r w:rsidR="003259E9">
          <w:rPr>
            <w:noProof/>
            <w:webHidden/>
          </w:rPr>
          <w:fldChar w:fldCharType="separate"/>
        </w:r>
        <w:r w:rsidR="00DD3663">
          <w:rPr>
            <w:noProof/>
            <w:webHidden/>
          </w:rPr>
          <w:t>196</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19" w:history="1">
        <w:r w:rsidR="00DD3663" w:rsidRPr="00715797">
          <w:rPr>
            <w:rStyle w:val="Hyperlink"/>
            <w:noProof/>
          </w:rPr>
          <w:t>5</w:t>
        </w:r>
        <w:r w:rsidR="00DD3663">
          <w:rPr>
            <w:rFonts w:asciiTheme="minorHAnsi" w:eastAsiaTheme="minorEastAsia" w:hAnsiTheme="minorHAnsi" w:cstheme="minorBidi"/>
            <w:b w:val="0"/>
            <w:noProof/>
            <w:sz w:val="22"/>
            <w:szCs w:val="22"/>
            <w:lang w:val="en-US"/>
          </w:rPr>
          <w:tab/>
        </w:r>
        <w:r w:rsidR="00DD3663" w:rsidRPr="00715797">
          <w:rPr>
            <w:rStyle w:val="Hyperlink"/>
            <w:noProof/>
          </w:rPr>
          <w:t>Transportul feroviar</w:t>
        </w:r>
        <w:r w:rsidR="00DD3663">
          <w:rPr>
            <w:noProof/>
            <w:webHidden/>
          </w:rPr>
          <w:tab/>
        </w:r>
        <w:r w:rsidR="003259E9">
          <w:rPr>
            <w:noProof/>
            <w:webHidden/>
          </w:rPr>
          <w:fldChar w:fldCharType="begin"/>
        </w:r>
        <w:r w:rsidR="00DD3663">
          <w:rPr>
            <w:noProof/>
            <w:webHidden/>
          </w:rPr>
          <w:instrText xml:space="preserve"> PAGEREF _Toc413060319 \h </w:instrText>
        </w:r>
        <w:r w:rsidR="003259E9">
          <w:rPr>
            <w:noProof/>
            <w:webHidden/>
          </w:rPr>
        </w:r>
        <w:r w:rsidR="003259E9">
          <w:rPr>
            <w:noProof/>
            <w:webHidden/>
          </w:rPr>
          <w:fldChar w:fldCharType="separate"/>
        </w:r>
        <w:r w:rsidR="00DD3663">
          <w:rPr>
            <w:noProof/>
            <w:webHidden/>
          </w:rPr>
          <w:t>201</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0" w:history="1">
        <w:r w:rsidR="00DD3663" w:rsidRPr="00715797">
          <w:rPr>
            <w:rStyle w:val="Hyperlink"/>
            <w:noProof/>
          </w:rPr>
          <w:t>5.1</w:t>
        </w:r>
        <w:r w:rsidR="00DD3663">
          <w:rPr>
            <w:rFonts w:asciiTheme="minorHAnsi" w:eastAsiaTheme="minorEastAsia" w:hAnsiTheme="minorHAnsi" w:cstheme="minorBidi"/>
            <w:noProof/>
            <w:sz w:val="22"/>
            <w:szCs w:val="22"/>
            <w:lang w:val="en-US"/>
          </w:rPr>
          <w:tab/>
        </w:r>
        <w:r w:rsidR="00DD3663" w:rsidRPr="00715797">
          <w:rPr>
            <w:rStyle w:val="Hyperlink"/>
            <w:noProof/>
          </w:rPr>
          <w:t>Situația existentă și tendințe istorice</w:t>
        </w:r>
        <w:r w:rsidR="00DD3663">
          <w:rPr>
            <w:noProof/>
            <w:webHidden/>
          </w:rPr>
          <w:tab/>
        </w:r>
        <w:r w:rsidR="003259E9">
          <w:rPr>
            <w:noProof/>
            <w:webHidden/>
          </w:rPr>
          <w:fldChar w:fldCharType="begin"/>
        </w:r>
        <w:r w:rsidR="00DD3663">
          <w:rPr>
            <w:noProof/>
            <w:webHidden/>
          </w:rPr>
          <w:instrText xml:space="preserve"> PAGEREF _Toc413060320 \h </w:instrText>
        </w:r>
        <w:r w:rsidR="003259E9">
          <w:rPr>
            <w:noProof/>
            <w:webHidden/>
          </w:rPr>
        </w:r>
        <w:r w:rsidR="003259E9">
          <w:rPr>
            <w:noProof/>
            <w:webHidden/>
          </w:rPr>
          <w:fldChar w:fldCharType="separate"/>
        </w:r>
        <w:r w:rsidR="00DD3663">
          <w:rPr>
            <w:noProof/>
            <w:webHidden/>
          </w:rPr>
          <w:t>201</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1" w:history="1">
        <w:r w:rsidR="00DD3663" w:rsidRPr="00715797">
          <w:rPr>
            <w:rStyle w:val="Hyperlink"/>
            <w:noProof/>
          </w:rPr>
          <w:t>5.2</w:t>
        </w:r>
        <w:r w:rsidR="00DD3663">
          <w:rPr>
            <w:rFonts w:asciiTheme="minorHAnsi" w:eastAsiaTheme="minorEastAsia" w:hAnsiTheme="minorHAnsi" w:cstheme="minorBidi"/>
            <w:noProof/>
            <w:sz w:val="22"/>
            <w:szCs w:val="22"/>
            <w:lang w:val="en-US"/>
          </w:rPr>
          <w:tab/>
        </w:r>
        <w:r w:rsidR="00DD3663" w:rsidRPr="00715797">
          <w:rPr>
            <w:rStyle w:val="Hyperlink"/>
            <w:noProof/>
          </w:rPr>
          <w:t>Concurența cu sistemul rutier</w:t>
        </w:r>
        <w:r w:rsidR="00DD3663">
          <w:rPr>
            <w:noProof/>
            <w:webHidden/>
          </w:rPr>
          <w:tab/>
        </w:r>
        <w:r w:rsidR="003259E9">
          <w:rPr>
            <w:noProof/>
            <w:webHidden/>
          </w:rPr>
          <w:fldChar w:fldCharType="begin"/>
        </w:r>
        <w:r w:rsidR="00DD3663">
          <w:rPr>
            <w:noProof/>
            <w:webHidden/>
          </w:rPr>
          <w:instrText xml:space="preserve"> PAGEREF _Toc413060321 \h </w:instrText>
        </w:r>
        <w:r w:rsidR="003259E9">
          <w:rPr>
            <w:noProof/>
            <w:webHidden/>
          </w:rPr>
        </w:r>
        <w:r w:rsidR="003259E9">
          <w:rPr>
            <w:noProof/>
            <w:webHidden/>
          </w:rPr>
          <w:fldChar w:fldCharType="separate"/>
        </w:r>
        <w:r w:rsidR="00DD3663">
          <w:rPr>
            <w:noProof/>
            <w:webHidden/>
          </w:rPr>
          <w:t>225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2" w:history="1">
        <w:r w:rsidR="00DD3663" w:rsidRPr="00715797">
          <w:rPr>
            <w:rStyle w:val="Hyperlink"/>
            <w:noProof/>
          </w:rPr>
          <w:t>5.3</w:t>
        </w:r>
        <w:r w:rsidR="00DD3663">
          <w:rPr>
            <w:rFonts w:asciiTheme="minorHAnsi" w:eastAsiaTheme="minorEastAsia" w:hAnsiTheme="minorHAnsi" w:cstheme="minorBidi"/>
            <w:noProof/>
            <w:sz w:val="22"/>
            <w:szCs w:val="22"/>
            <w:lang w:val="en-US"/>
          </w:rPr>
          <w:tab/>
        </w:r>
        <w:r w:rsidR="00DD3663" w:rsidRPr="00715797">
          <w:rPr>
            <w:rStyle w:val="Hyperlink"/>
            <w:noProof/>
          </w:rPr>
          <w:t>Obiective strategice</w:t>
        </w:r>
        <w:r w:rsidR="00DD3663">
          <w:rPr>
            <w:noProof/>
            <w:webHidden/>
          </w:rPr>
          <w:tab/>
        </w:r>
        <w:r w:rsidR="003259E9">
          <w:rPr>
            <w:noProof/>
            <w:webHidden/>
          </w:rPr>
          <w:fldChar w:fldCharType="begin"/>
        </w:r>
        <w:r w:rsidR="00DD3663">
          <w:rPr>
            <w:noProof/>
            <w:webHidden/>
          </w:rPr>
          <w:instrText xml:space="preserve"> PAGEREF _Toc413060322 \h </w:instrText>
        </w:r>
        <w:r w:rsidR="003259E9">
          <w:rPr>
            <w:noProof/>
            <w:webHidden/>
          </w:rPr>
        </w:r>
        <w:r w:rsidR="003259E9">
          <w:rPr>
            <w:noProof/>
            <w:webHidden/>
          </w:rPr>
          <w:fldChar w:fldCharType="separate"/>
        </w:r>
        <w:r w:rsidR="00DD3663">
          <w:rPr>
            <w:noProof/>
            <w:webHidden/>
          </w:rPr>
          <w:t>228</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3" w:history="1">
        <w:r w:rsidR="00DD3663" w:rsidRPr="00715797">
          <w:rPr>
            <w:rStyle w:val="Hyperlink"/>
            <w:noProof/>
          </w:rPr>
          <w:t>5.4</w:t>
        </w:r>
        <w:r w:rsidR="00DD3663">
          <w:rPr>
            <w:rFonts w:asciiTheme="minorHAnsi" w:eastAsiaTheme="minorEastAsia" w:hAnsiTheme="minorHAnsi" w:cstheme="minorBidi"/>
            <w:noProof/>
            <w:sz w:val="22"/>
            <w:szCs w:val="22"/>
            <w:lang w:val="en-US"/>
          </w:rPr>
          <w:tab/>
        </w:r>
        <w:r w:rsidR="00DD3663" w:rsidRPr="00715797">
          <w:rPr>
            <w:rStyle w:val="Hyperlink"/>
            <w:noProof/>
          </w:rPr>
          <w:t>Îmbunătățiri propuse</w:t>
        </w:r>
        <w:r w:rsidR="00DD3663">
          <w:rPr>
            <w:noProof/>
            <w:webHidden/>
          </w:rPr>
          <w:tab/>
        </w:r>
        <w:r w:rsidR="003259E9">
          <w:rPr>
            <w:noProof/>
            <w:webHidden/>
          </w:rPr>
          <w:fldChar w:fldCharType="begin"/>
        </w:r>
        <w:r w:rsidR="00DD3663">
          <w:rPr>
            <w:noProof/>
            <w:webHidden/>
          </w:rPr>
          <w:instrText xml:space="preserve"> PAGEREF _Toc413060323 \h </w:instrText>
        </w:r>
        <w:r w:rsidR="003259E9">
          <w:rPr>
            <w:noProof/>
            <w:webHidden/>
          </w:rPr>
        </w:r>
        <w:r w:rsidR="003259E9">
          <w:rPr>
            <w:noProof/>
            <w:webHidden/>
          </w:rPr>
          <w:fldChar w:fldCharType="separate"/>
        </w:r>
        <w:r w:rsidR="00DD3663">
          <w:rPr>
            <w:noProof/>
            <w:webHidden/>
          </w:rPr>
          <w:t>238</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4" w:history="1">
        <w:r w:rsidR="00DD3663" w:rsidRPr="00715797">
          <w:rPr>
            <w:rStyle w:val="Hyperlink"/>
            <w:noProof/>
          </w:rPr>
          <w:t>5.5</w:t>
        </w:r>
        <w:r w:rsidR="00DD3663">
          <w:rPr>
            <w:rFonts w:asciiTheme="minorHAnsi" w:eastAsiaTheme="minorEastAsia" w:hAnsiTheme="minorHAnsi" w:cstheme="minorBidi"/>
            <w:noProof/>
            <w:sz w:val="22"/>
            <w:szCs w:val="22"/>
            <w:lang w:val="en-US"/>
          </w:rPr>
          <w:tab/>
        </w:r>
        <w:r w:rsidR="00DD3663" w:rsidRPr="00715797">
          <w:rPr>
            <w:rStyle w:val="Hyperlink"/>
            <w:noProof/>
          </w:rPr>
          <w:t>Descrierea propunerilor</w:t>
        </w:r>
        <w:r w:rsidR="00DD3663">
          <w:rPr>
            <w:noProof/>
            <w:webHidden/>
          </w:rPr>
          <w:tab/>
        </w:r>
        <w:r w:rsidR="003259E9">
          <w:rPr>
            <w:noProof/>
            <w:webHidden/>
          </w:rPr>
          <w:fldChar w:fldCharType="begin"/>
        </w:r>
        <w:r w:rsidR="00DD3663">
          <w:rPr>
            <w:noProof/>
            <w:webHidden/>
          </w:rPr>
          <w:instrText xml:space="preserve"> PAGEREF _Toc413060324 \h </w:instrText>
        </w:r>
        <w:r w:rsidR="003259E9">
          <w:rPr>
            <w:noProof/>
            <w:webHidden/>
          </w:rPr>
        </w:r>
        <w:r w:rsidR="003259E9">
          <w:rPr>
            <w:noProof/>
            <w:webHidden/>
          </w:rPr>
          <w:fldChar w:fldCharType="separate"/>
        </w:r>
        <w:r w:rsidR="00DD3663">
          <w:rPr>
            <w:noProof/>
            <w:webHidden/>
          </w:rPr>
          <w:t>239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5" w:history="1">
        <w:r w:rsidR="00DD3663" w:rsidRPr="00715797">
          <w:rPr>
            <w:rStyle w:val="Hyperlink"/>
            <w:noProof/>
          </w:rPr>
          <w:t>5.6</w:t>
        </w:r>
        <w:r w:rsidR="00DD3663">
          <w:rPr>
            <w:rFonts w:asciiTheme="minorHAnsi" w:eastAsiaTheme="minorEastAsia" w:hAnsiTheme="minorHAnsi" w:cstheme="minorBidi"/>
            <w:noProof/>
            <w:sz w:val="22"/>
            <w:szCs w:val="22"/>
            <w:lang w:val="en-US"/>
          </w:rPr>
          <w:tab/>
        </w:r>
        <w:r w:rsidR="00DD3663" w:rsidRPr="00715797">
          <w:rPr>
            <w:rStyle w:val="Hyperlink"/>
            <w:noProof/>
          </w:rPr>
          <w:t>Opțiuni de testare a serviciilor de transport feroviar</w:t>
        </w:r>
        <w:r w:rsidR="00DD3663">
          <w:rPr>
            <w:noProof/>
            <w:webHidden/>
          </w:rPr>
          <w:tab/>
        </w:r>
        <w:r w:rsidR="003259E9">
          <w:rPr>
            <w:noProof/>
            <w:webHidden/>
          </w:rPr>
          <w:fldChar w:fldCharType="begin"/>
        </w:r>
        <w:r w:rsidR="00DD3663">
          <w:rPr>
            <w:noProof/>
            <w:webHidden/>
          </w:rPr>
          <w:instrText xml:space="preserve"> PAGEREF _Toc413060325 \h </w:instrText>
        </w:r>
        <w:r w:rsidR="003259E9">
          <w:rPr>
            <w:noProof/>
            <w:webHidden/>
          </w:rPr>
        </w:r>
        <w:r w:rsidR="003259E9">
          <w:rPr>
            <w:noProof/>
            <w:webHidden/>
          </w:rPr>
          <w:fldChar w:fldCharType="separate"/>
        </w:r>
        <w:r w:rsidR="00DD3663">
          <w:rPr>
            <w:noProof/>
            <w:webHidden/>
          </w:rPr>
          <w:t>255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6" w:history="1">
        <w:r w:rsidR="00DD3663" w:rsidRPr="00715797">
          <w:rPr>
            <w:rStyle w:val="Hyperlink"/>
            <w:noProof/>
          </w:rPr>
          <w:t>5.7</w:t>
        </w:r>
        <w:r w:rsidR="00DD3663">
          <w:rPr>
            <w:rFonts w:asciiTheme="minorHAnsi" w:eastAsiaTheme="minorEastAsia" w:hAnsiTheme="minorHAnsi" w:cstheme="minorBidi"/>
            <w:noProof/>
            <w:sz w:val="22"/>
            <w:szCs w:val="22"/>
            <w:lang w:val="en-US"/>
          </w:rPr>
          <w:tab/>
        </w:r>
        <w:r w:rsidR="00DD3663" w:rsidRPr="00715797">
          <w:rPr>
            <w:rStyle w:val="Hyperlink"/>
            <w:noProof/>
          </w:rPr>
          <w:t>Rezultatele detaliate ale testării proiectelor de infrastructură feroviară</w:t>
        </w:r>
        <w:r w:rsidR="00DD3663">
          <w:rPr>
            <w:noProof/>
            <w:webHidden/>
          </w:rPr>
          <w:tab/>
        </w:r>
        <w:r w:rsidR="003259E9">
          <w:rPr>
            <w:noProof/>
            <w:webHidden/>
          </w:rPr>
          <w:fldChar w:fldCharType="begin"/>
        </w:r>
        <w:r w:rsidR="00DD3663">
          <w:rPr>
            <w:noProof/>
            <w:webHidden/>
          </w:rPr>
          <w:instrText xml:space="preserve"> PAGEREF _Toc413060326 \h </w:instrText>
        </w:r>
        <w:r w:rsidR="003259E9">
          <w:rPr>
            <w:noProof/>
            <w:webHidden/>
          </w:rPr>
        </w:r>
        <w:r w:rsidR="003259E9">
          <w:rPr>
            <w:noProof/>
            <w:webHidden/>
          </w:rPr>
          <w:fldChar w:fldCharType="separate"/>
        </w:r>
        <w:r w:rsidR="00DD3663">
          <w:rPr>
            <w:noProof/>
            <w:webHidden/>
          </w:rPr>
          <w:t>272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7" w:history="1">
        <w:r w:rsidR="00DD3663" w:rsidRPr="00715797">
          <w:rPr>
            <w:rStyle w:val="Hyperlink"/>
            <w:noProof/>
          </w:rPr>
          <w:t>5.8</w:t>
        </w:r>
        <w:r w:rsidR="00DD3663">
          <w:rPr>
            <w:rFonts w:asciiTheme="minorHAnsi" w:eastAsiaTheme="minorEastAsia" w:hAnsiTheme="minorHAnsi" w:cstheme="minorBidi"/>
            <w:noProof/>
            <w:sz w:val="22"/>
            <w:szCs w:val="22"/>
            <w:lang w:val="en-US"/>
          </w:rPr>
          <w:tab/>
        </w:r>
        <w:r w:rsidR="00DD3663" w:rsidRPr="00715797">
          <w:rPr>
            <w:rStyle w:val="Hyperlink"/>
            <w:noProof/>
          </w:rPr>
          <w:t>Analiza multi-criterială</w:t>
        </w:r>
        <w:r w:rsidR="00DD3663">
          <w:rPr>
            <w:noProof/>
            <w:webHidden/>
          </w:rPr>
          <w:tab/>
        </w:r>
        <w:r w:rsidR="003259E9">
          <w:rPr>
            <w:noProof/>
            <w:webHidden/>
          </w:rPr>
          <w:fldChar w:fldCharType="begin"/>
        </w:r>
        <w:r w:rsidR="00DD3663">
          <w:rPr>
            <w:noProof/>
            <w:webHidden/>
          </w:rPr>
          <w:instrText xml:space="preserve"> PAGEREF _Toc413060327 \h </w:instrText>
        </w:r>
        <w:r w:rsidR="003259E9">
          <w:rPr>
            <w:noProof/>
            <w:webHidden/>
          </w:rPr>
        </w:r>
        <w:r w:rsidR="003259E9">
          <w:rPr>
            <w:noProof/>
            <w:webHidden/>
          </w:rPr>
          <w:fldChar w:fldCharType="separate"/>
        </w:r>
        <w:r w:rsidR="00DD3663">
          <w:rPr>
            <w:noProof/>
            <w:webHidden/>
          </w:rPr>
          <w:t>359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28" w:history="1">
        <w:r w:rsidR="00DD3663" w:rsidRPr="00715797">
          <w:rPr>
            <w:rStyle w:val="Hyperlink"/>
            <w:noProof/>
          </w:rPr>
          <w:t>5.9</w:t>
        </w:r>
        <w:r w:rsidR="00DD3663">
          <w:rPr>
            <w:rFonts w:asciiTheme="minorHAnsi" w:eastAsiaTheme="minorEastAsia" w:hAnsiTheme="minorHAnsi" w:cstheme="minorBidi"/>
            <w:noProof/>
            <w:sz w:val="22"/>
            <w:szCs w:val="22"/>
            <w:lang w:val="en-US"/>
          </w:rPr>
          <w:tab/>
        </w:r>
        <w:r w:rsidR="00DD3663" w:rsidRPr="00715797">
          <w:rPr>
            <w:rStyle w:val="Hyperlink"/>
            <w:noProof/>
          </w:rPr>
          <w:t>Rezumat al intervențiilor</w:t>
        </w:r>
        <w:r w:rsidR="00DD3663">
          <w:rPr>
            <w:noProof/>
            <w:webHidden/>
          </w:rPr>
          <w:tab/>
        </w:r>
        <w:r w:rsidR="003259E9">
          <w:rPr>
            <w:noProof/>
            <w:webHidden/>
          </w:rPr>
          <w:fldChar w:fldCharType="begin"/>
        </w:r>
        <w:r w:rsidR="00DD3663">
          <w:rPr>
            <w:noProof/>
            <w:webHidden/>
          </w:rPr>
          <w:instrText xml:space="preserve"> PAGEREF _Toc413060328 \h </w:instrText>
        </w:r>
        <w:r w:rsidR="003259E9">
          <w:rPr>
            <w:noProof/>
            <w:webHidden/>
          </w:rPr>
        </w:r>
        <w:r w:rsidR="003259E9">
          <w:rPr>
            <w:noProof/>
            <w:webHidden/>
          </w:rPr>
          <w:fldChar w:fldCharType="separate"/>
        </w:r>
        <w:r w:rsidR="00DD3663">
          <w:rPr>
            <w:noProof/>
            <w:webHidden/>
          </w:rPr>
          <w:t>361</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29" w:history="1">
        <w:r w:rsidR="00DD3663" w:rsidRPr="00715797">
          <w:rPr>
            <w:rStyle w:val="Hyperlink"/>
            <w:noProof/>
          </w:rPr>
          <w:t>6</w:t>
        </w:r>
        <w:r w:rsidR="00DD3663">
          <w:rPr>
            <w:rFonts w:asciiTheme="minorHAnsi" w:eastAsiaTheme="minorEastAsia" w:hAnsiTheme="minorHAnsi" w:cstheme="minorBidi"/>
            <w:b w:val="0"/>
            <w:noProof/>
            <w:sz w:val="22"/>
            <w:szCs w:val="22"/>
            <w:lang w:val="en-US"/>
          </w:rPr>
          <w:tab/>
        </w:r>
        <w:r w:rsidR="00DD3663" w:rsidRPr="00715797">
          <w:rPr>
            <w:rStyle w:val="Hyperlink"/>
            <w:noProof/>
          </w:rPr>
          <w:t>Porturi și căi navigabile</w:t>
        </w:r>
        <w:r w:rsidR="00DD3663">
          <w:rPr>
            <w:noProof/>
            <w:webHidden/>
          </w:rPr>
          <w:tab/>
        </w:r>
        <w:r w:rsidR="003259E9">
          <w:rPr>
            <w:noProof/>
            <w:webHidden/>
          </w:rPr>
          <w:fldChar w:fldCharType="begin"/>
        </w:r>
        <w:r w:rsidR="00DD3663">
          <w:rPr>
            <w:noProof/>
            <w:webHidden/>
          </w:rPr>
          <w:instrText xml:space="preserve"> PAGEREF _Toc413060329 \h </w:instrText>
        </w:r>
        <w:r w:rsidR="003259E9">
          <w:rPr>
            <w:noProof/>
            <w:webHidden/>
          </w:rPr>
        </w:r>
        <w:r w:rsidR="003259E9">
          <w:rPr>
            <w:noProof/>
            <w:webHidden/>
          </w:rPr>
          <w:fldChar w:fldCharType="separate"/>
        </w:r>
        <w:r w:rsidR="00DD3663">
          <w:rPr>
            <w:noProof/>
            <w:webHidden/>
          </w:rPr>
          <w:t>364</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0" w:history="1">
        <w:r w:rsidR="00DD3663" w:rsidRPr="00715797">
          <w:rPr>
            <w:rStyle w:val="Hyperlink"/>
            <w:noProof/>
          </w:rPr>
          <w:t>6.1</w:t>
        </w:r>
        <w:r w:rsidR="00DD3663">
          <w:rPr>
            <w:rFonts w:asciiTheme="minorHAnsi" w:eastAsiaTheme="minorEastAsia" w:hAnsiTheme="minorHAnsi" w:cstheme="minorBidi"/>
            <w:noProof/>
            <w:sz w:val="22"/>
            <w:szCs w:val="22"/>
            <w:lang w:val="en-US"/>
          </w:rPr>
          <w:tab/>
        </w:r>
        <w:r w:rsidR="00DD3663" w:rsidRPr="00715797">
          <w:rPr>
            <w:rStyle w:val="Hyperlink"/>
            <w:noProof/>
          </w:rPr>
          <w:t>Situația existentă</w:t>
        </w:r>
        <w:r w:rsidR="00DD3663">
          <w:rPr>
            <w:noProof/>
            <w:webHidden/>
          </w:rPr>
          <w:tab/>
        </w:r>
        <w:r w:rsidR="003259E9">
          <w:rPr>
            <w:noProof/>
            <w:webHidden/>
          </w:rPr>
          <w:fldChar w:fldCharType="begin"/>
        </w:r>
        <w:r w:rsidR="00DD3663">
          <w:rPr>
            <w:noProof/>
            <w:webHidden/>
          </w:rPr>
          <w:instrText xml:space="preserve"> PAGEREF _Toc413060330 \h </w:instrText>
        </w:r>
        <w:r w:rsidR="003259E9">
          <w:rPr>
            <w:noProof/>
            <w:webHidden/>
          </w:rPr>
        </w:r>
        <w:r w:rsidR="003259E9">
          <w:rPr>
            <w:noProof/>
            <w:webHidden/>
          </w:rPr>
          <w:fldChar w:fldCharType="separate"/>
        </w:r>
        <w:r w:rsidR="00DD3663">
          <w:rPr>
            <w:noProof/>
            <w:webHidden/>
          </w:rPr>
          <w:t>364</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1" w:history="1">
        <w:r w:rsidR="00DD3663" w:rsidRPr="00715797">
          <w:rPr>
            <w:rStyle w:val="Hyperlink"/>
            <w:noProof/>
          </w:rPr>
          <w:t>6.2</w:t>
        </w:r>
        <w:r w:rsidR="00DD3663">
          <w:rPr>
            <w:rFonts w:asciiTheme="minorHAnsi" w:eastAsiaTheme="minorEastAsia" w:hAnsiTheme="minorHAnsi" w:cstheme="minorBidi"/>
            <w:noProof/>
            <w:sz w:val="22"/>
            <w:szCs w:val="22"/>
            <w:lang w:val="en-US"/>
          </w:rPr>
          <w:tab/>
        </w:r>
        <w:r w:rsidR="00DD3663" w:rsidRPr="00715797">
          <w:rPr>
            <w:rStyle w:val="Hyperlink"/>
            <w:noProof/>
          </w:rPr>
          <w:t>Obiective strategice</w:t>
        </w:r>
        <w:r w:rsidR="00DD3663">
          <w:rPr>
            <w:noProof/>
            <w:webHidden/>
          </w:rPr>
          <w:tab/>
        </w:r>
        <w:r w:rsidR="003259E9">
          <w:rPr>
            <w:noProof/>
            <w:webHidden/>
          </w:rPr>
          <w:fldChar w:fldCharType="begin"/>
        </w:r>
        <w:r w:rsidR="00DD3663">
          <w:rPr>
            <w:noProof/>
            <w:webHidden/>
          </w:rPr>
          <w:instrText xml:space="preserve"> PAGEREF _Toc413060331 \h </w:instrText>
        </w:r>
        <w:r w:rsidR="003259E9">
          <w:rPr>
            <w:noProof/>
            <w:webHidden/>
          </w:rPr>
        </w:r>
        <w:r w:rsidR="003259E9">
          <w:rPr>
            <w:noProof/>
            <w:webHidden/>
          </w:rPr>
          <w:fldChar w:fldCharType="separate"/>
        </w:r>
        <w:r w:rsidR="00DD3663">
          <w:rPr>
            <w:noProof/>
            <w:webHidden/>
          </w:rPr>
          <w:t>396</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2" w:history="1">
        <w:r w:rsidR="00DD3663" w:rsidRPr="00715797">
          <w:rPr>
            <w:rStyle w:val="Hyperlink"/>
            <w:noProof/>
          </w:rPr>
          <w:t>6.3</w:t>
        </w:r>
        <w:r w:rsidR="00DD3663">
          <w:rPr>
            <w:rFonts w:asciiTheme="minorHAnsi" w:eastAsiaTheme="minorEastAsia" w:hAnsiTheme="minorHAnsi" w:cstheme="minorBidi"/>
            <w:noProof/>
            <w:sz w:val="22"/>
            <w:szCs w:val="22"/>
            <w:lang w:val="en-US"/>
          </w:rPr>
          <w:tab/>
        </w:r>
        <w:r w:rsidR="00DD3663" w:rsidRPr="00715797">
          <w:rPr>
            <w:rStyle w:val="Hyperlink"/>
            <w:noProof/>
          </w:rPr>
          <w:t>Obiective operaționale</w:t>
        </w:r>
        <w:r w:rsidR="00DD3663">
          <w:rPr>
            <w:noProof/>
            <w:webHidden/>
          </w:rPr>
          <w:tab/>
        </w:r>
        <w:r w:rsidR="003259E9">
          <w:rPr>
            <w:noProof/>
            <w:webHidden/>
          </w:rPr>
          <w:fldChar w:fldCharType="begin"/>
        </w:r>
        <w:r w:rsidR="00DD3663">
          <w:rPr>
            <w:noProof/>
            <w:webHidden/>
          </w:rPr>
          <w:instrText xml:space="preserve"> PAGEREF _Toc413060332 \h </w:instrText>
        </w:r>
        <w:r w:rsidR="003259E9">
          <w:rPr>
            <w:noProof/>
            <w:webHidden/>
          </w:rPr>
        </w:r>
        <w:r w:rsidR="003259E9">
          <w:rPr>
            <w:noProof/>
            <w:webHidden/>
          </w:rPr>
          <w:fldChar w:fldCharType="separate"/>
        </w:r>
        <w:r w:rsidR="00DD3663">
          <w:rPr>
            <w:noProof/>
            <w:webHidden/>
          </w:rPr>
          <w:t>397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3" w:history="1">
        <w:r w:rsidR="00DD3663" w:rsidRPr="00715797">
          <w:rPr>
            <w:rStyle w:val="Hyperlink"/>
            <w:noProof/>
          </w:rPr>
          <w:t>6.4</w:t>
        </w:r>
        <w:r w:rsidR="00DD3663">
          <w:rPr>
            <w:rFonts w:asciiTheme="minorHAnsi" w:eastAsiaTheme="minorEastAsia" w:hAnsiTheme="minorHAnsi" w:cstheme="minorBidi"/>
            <w:noProof/>
            <w:sz w:val="22"/>
            <w:szCs w:val="22"/>
            <w:lang w:val="en-US"/>
          </w:rPr>
          <w:tab/>
        </w:r>
        <w:r w:rsidR="00DD3663" w:rsidRPr="00715797">
          <w:rPr>
            <w:rStyle w:val="Hyperlink"/>
            <w:noProof/>
          </w:rPr>
          <w:t>Testarea intervențiilor</w:t>
        </w:r>
        <w:r w:rsidR="00DD3663">
          <w:rPr>
            <w:noProof/>
            <w:webHidden/>
          </w:rPr>
          <w:tab/>
        </w:r>
        <w:r w:rsidR="003259E9">
          <w:rPr>
            <w:noProof/>
            <w:webHidden/>
          </w:rPr>
          <w:fldChar w:fldCharType="begin"/>
        </w:r>
        <w:r w:rsidR="00DD3663">
          <w:rPr>
            <w:noProof/>
            <w:webHidden/>
          </w:rPr>
          <w:instrText xml:space="preserve"> PAGEREF _Toc413060333 \h </w:instrText>
        </w:r>
        <w:r w:rsidR="003259E9">
          <w:rPr>
            <w:noProof/>
            <w:webHidden/>
          </w:rPr>
        </w:r>
        <w:r w:rsidR="003259E9">
          <w:rPr>
            <w:noProof/>
            <w:webHidden/>
          </w:rPr>
          <w:fldChar w:fldCharType="separate"/>
        </w:r>
        <w:r w:rsidR="00DD3663">
          <w:rPr>
            <w:noProof/>
            <w:webHidden/>
          </w:rPr>
          <w:t>398</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4" w:history="1">
        <w:r w:rsidR="00DD3663" w:rsidRPr="00715797">
          <w:rPr>
            <w:rStyle w:val="Hyperlink"/>
            <w:noProof/>
          </w:rPr>
          <w:t>6.5</w:t>
        </w:r>
        <w:r w:rsidR="00DD3663">
          <w:rPr>
            <w:rFonts w:asciiTheme="minorHAnsi" w:eastAsiaTheme="minorEastAsia" w:hAnsiTheme="minorHAnsi" w:cstheme="minorBidi"/>
            <w:noProof/>
            <w:sz w:val="22"/>
            <w:szCs w:val="22"/>
            <w:lang w:val="en-US"/>
          </w:rPr>
          <w:tab/>
        </w:r>
        <w:r w:rsidR="00DD3663" w:rsidRPr="00715797">
          <w:rPr>
            <w:rStyle w:val="Hyperlink"/>
            <w:noProof/>
          </w:rPr>
          <w:t>Reforma instituțională</w:t>
        </w:r>
        <w:r w:rsidR="00DD3663">
          <w:rPr>
            <w:noProof/>
            <w:webHidden/>
          </w:rPr>
          <w:tab/>
        </w:r>
        <w:r w:rsidR="003259E9">
          <w:rPr>
            <w:noProof/>
            <w:webHidden/>
          </w:rPr>
          <w:fldChar w:fldCharType="begin"/>
        </w:r>
        <w:r w:rsidR="00DD3663">
          <w:rPr>
            <w:noProof/>
            <w:webHidden/>
          </w:rPr>
          <w:instrText xml:space="preserve"> PAGEREF _Toc413060334 \h </w:instrText>
        </w:r>
        <w:r w:rsidR="003259E9">
          <w:rPr>
            <w:noProof/>
            <w:webHidden/>
          </w:rPr>
        </w:r>
        <w:r w:rsidR="003259E9">
          <w:rPr>
            <w:noProof/>
            <w:webHidden/>
          </w:rPr>
          <w:fldChar w:fldCharType="separate"/>
        </w:r>
        <w:r w:rsidR="00DD3663">
          <w:rPr>
            <w:noProof/>
            <w:webHidden/>
          </w:rPr>
          <w:t>439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5" w:history="1">
        <w:r w:rsidR="00DD3663" w:rsidRPr="00715797">
          <w:rPr>
            <w:rStyle w:val="Hyperlink"/>
            <w:noProof/>
          </w:rPr>
          <w:t>6.6</w:t>
        </w:r>
        <w:r w:rsidR="00DD3663">
          <w:rPr>
            <w:rFonts w:asciiTheme="minorHAnsi" w:eastAsiaTheme="minorEastAsia" w:hAnsiTheme="minorHAnsi" w:cstheme="minorBidi"/>
            <w:noProof/>
            <w:sz w:val="22"/>
            <w:szCs w:val="22"/>
            <w:lang w:val="en-US"/>
          </w:rPr>
          <w:tab/>
        </w:r>
        <w:r w:rsidR="00DD3663" w:rsidRPr="00715797">
          <w:rPr>
            <w:rStyle w:val="Hyperlink"/>
            <w:noProof/>
          </w:rPr>
          <w:t>Rezumat al intervențiilor</w:t>
        </w:r>
        <w:r w:rsidR="00DD3663">
          <w:rPr>
            <w:noProof/>
            <w:webHidden/>
          </w:rPr>
          <w:tab/>
        </w:r>
        <w:r w:rsidR="003259E9">
          <w:rPr>
            <w:noProof/>
            <w:webHidden/>
          </w:rPr>
          <w:fldChar w:fldCharType="begin"/>
        </w:r>
        <w:r w:rsidR="00DD3663">
          <w:rPr>
            <w:noProof/>
            <w:webHidden/>
          </w:rPr>
          <w:instrText xml:space="preserve"> PAGEREF _Toc413060335 \h </w:instrText>
        </w:r>
        <w:r w:rsidR="003259E9">
          <w:rPr>
            <w:noProof/>
            <w:webHidden/>
          </w:rPr>
        </w:r>
        <w:r w:rsidR="003259E9">
          <w:rPr>
            <w:noProof/>
            <w:webHidden/>
          </w:rPr>
          <w:fldChar w:fldCharType="separate"/>
        </w:r>
        <w:r w:rsidR="00DD3663">
          <w:rPr>
            <w:noProof/>
            <w:webHidden/>
          </w:rPr>
          <w:t>444</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36" w:history="1">
        <w:r w:rsidR="00DD3663" w:rsidRPr="00715797">
          <w:rPr>
            <w:rStyle w:val="Hyperlink"/>
            <w:noProof/>
          </w:rPr>
          <w:t>7</w:t>
        </w:r>
        <w:r w:rsidR="00DD3663">
          <w:rPr>
            <w:rFonts w:asciiTheme="minorHAnsi" w:eastAsiaTheme="minorEastAsia" w:hAnsiTheme="minorHAnsi" w:cstheme="minorBidi"/>
            <w:b w:val="0"/>
            <w:noProof/>
            <w:sz w:val="22"/>
            <w:szCs w:val="22"/>
            <w:lang w:val="en-US"/>
          </w:rPr>
          <w:tab/>
        </w:r>
        <w:r w:rsidR="00DD3663" w:rsidRPr="00715797">
          <w:rPr>
            <w:rStyle w:val="Hyperlink"/>
            <w:noProof/>
          </w:rPr>
          <w:t>Transport aerian</w:t>
        </w:r>
        <w:r w:rsidR="00DD3663">
          <w:rPr>
            <w:noProof/>
            <w:webHidden/>
          </w:rPr>
          <w:tab/>
        </w:r>
        <w:r w:rsidR="003259E9">
          <w:rPr>
            <w:noProof/>
            <w:webHidden/>
          </w:rPr>
          <w:fldChar w:fldCharType="begin"/>
        </w:r>
        <w:r w:rsidR="00DD3663">
          <w:rPr>
            <w:noProof/>
            <w:webHidden/>
          </w:rPr>
          <w:instrText xml:space="preserve"> PAGEREF _Toc413060336 \h </w:instrText>
        </w:r>
        <w:r w:rsidR="003259E9">
          <w:rPr>
            <w:noProof/>
            <w:webHidden/>
          </w:rPr>
        </w:r>
        <w:r w:rsidR="003259E9">
          <w:rPr>
            <w:noProof/>
            <w:webHidden/>
          </w:rPr>
          <w:fldChar w:fldCharType="separate"/>
        </w:r>
        <w:r w:rsidR="00DD3663">
          <w:rPr>
            <w:noProof/>
            <w:webHidden/>
          </w:rPr>
          <w:t>449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7" w:history="1">
        <w:r w:rsidR="00DD3663" w:rsidRPr="00715797">
          <w:rPr>
            <w:rStyle w:val="Hyperlink"/>
            <w:noProof/>
          </w:rPr>
          <w:t>7.1</w:t>
        </w:r>
        <w:r w:rsidR="00DD3663">
          <w:rPr>
            <w:rFonts w:asciiTheme="minorHAnsi" w:eastAsiaTheme="minorEastAsia" w:hAnsiTheme="minorHAnsi" w:cstheme="minorBidi"/>
            <w:noProof/>
            <w:sz w:val="22"/>
            <w:szCs w:val="22"/>
            <w:lang w:val="en-US"/>
          </w:rPr>
          <w:tab/>
        </w:r>
        <w:r w:rsidR="00DD3663" w:rsidRPr="00715797">
          <w:rPr>
            <w:rStyle w:val="Hyperlink"/>
            <w:noProof/>
          </w:rPr>
          <w:t>Introducere</w:t>
        </w:r>
        <w:r w:rsidR="00DD3663">
          <w:rPr>
            <w:noProof/>
            <w:webHidden/>
          </w:rPr>
          <w:tab/>
        </w:r>
        <w:r w:rsidR="003259E9">
          <w:rPr>
            <w:noProof/>
            <w:webHidden/>
          </w:rPr>
          <w:fldChar w:fldCharType="begin"/>
        </w:r>
        <w:r w:rsidR="00DD3663">
          <w:rPr>
            <w:noProof/>
            <w:webHidden/>
          </w:rPr>
          <w:instrText xml:space="preserve"> PAGEREF _Toc413060337 \h </w:instrText>
        </w:r>
        <w:r w:rsidR="003259E9">
          <w:rPr>
            <w:noProof/>
            <w:webHidden/>
          </w:rPr>
        </w:r>
        <w:r w:rsidR="003259E9">
          <w:rPr>
            <w:noProof/>
            <w:webHidden/>
          </w:rPr>
          <w:fldChar w:fldCharType="separate"/>
        </w:r>
        <w:r w:rsidR="00DD3663">
          <w:rPr>
            <w:noProof/>
            <w:webHidden/>
          </w:rPr>
          <w:t>449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8" w:history="1">
        <w:r w:rsidR="00DD3663" w:rsidRPr="00715797">
          <w:rPr>
            <w:rStyle w:val="Hyperlink"/>
            <w:noProof/>
          </w:rPr>
          <w:t>7.2</w:t>
        </w:r>
        <w:r w:rsidR="00DD3663">
          <w:rPr>
            <w:rFonts w:asciiTheme="minorHAnsi" w:eastAsiaTheme="minorEastAsia" w:hAnsiTheme="minorHAnsi" w:cstheme="minorBidi"/>
            <w:noProof/>
            <w:sz w:val="22"/>
            <w:szCs w:val="22"/>
            <w:lang w:val="en-US"/>
          </w:rPr>
          <w:tab/>
        </w:r>
        <w:r w:rsidR="00DD3663" w:rsidRPr="00715797">
          <w:rPr>
            <w:rStyle w:val="Hyperlink"/>
            <w:noProof/>
          </w:rPr>
          <w:t>Situația existentă</w:t>
        </w:r>
        <w:r w:rsidR="00DD3663">
          <w:rPr>
            <w:noProof/>
            <w:webHidden/>
          </w:rPr>
          <w:tab/>
        </w:r>
        <w:r w:rsidR="003259E9">
          <w:rPr>
            <w:noProof/>
            <w:webHidden/>
          </w:rPr>
          <w:fldChar w:fldCharType="begin"/>
        </w:r>
        <w:r w:rsidR="00DD3663">
          <w:rPr>
            <w:noProof/>
            <w:webHidden/>
          </w:rPr>
          <w:instrText xml:space="preserve"> PAGEREF _Toc413060338 \h </w:instrText>
        </w:r>
        <w:r w:rsidR="003259E9">
          <w:rPr>
            <w:noProof/>
            <w:webHidden/>
          </w:rPr>
        </w:r>
        <w:r w:rsidR="003259E9">
          <w:rPr>
            <w:noProof/>
            <w:webHidden/>
          </w:rPr>
          <w:fldChar w:fldCharType="separate"/>
        </w:r>
        <w:r w:rsidR="00DD3663">
          <w:rPr>
            <w:noProof/>
            <w:webHidden/>
          </w:rPr>
          <w:t>449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39" w:history="1">
        <w:r w:rsidR="00DD3663" w:rsidRPr="00715797">
          <w:rPr>
            <w:rStyle w:val="Hyperlink"/>
            <w:noProof/>
          </w:rPr>
          <w:t>7.3</w:t>
        </w:r>
        <w:r w:rsidR="00DD3663">
          <w:rPr>
            <w:rFonts w:asciiTheme="minorHAnsi" w:eastAsiaTheme="minorEastAsia" w:hAnsiTheme="minorHAnsi" w:cstheme="minorBidi"/>
            <w:noProof/>
            <w:sz w:val="22"/>
            <w:szCs w:val="22"/>
            <w:lang w:val="en-US"/>
          </w:rPr>
          <w:tab/>
        </w:r>
        <w:r w:rsidR="00DD3663" w:rsidRPr="00715797">
          <w:rPr>
            <w:rStyle w:val="Hyperlink"/>
            <w:noProof/>
          </w:rPr>
          <w:t>Obiective strategice</w:t>
        </w:r>
        <w:r w:rsidR="00DD3663">
          <w:rPr>
            <w:noProof/>
            <w:webHidden/>
          </w:rPr>
          <w:tab/>
        </w:r>
        <w:r w:rsidR="003259E9">
          <w:rPr>
            <w:noProof/>
            <w:webHidden/>
          </w:rPr>
          <w:fldChar w:fldCharType="begin"/>
        </w:r>
        <w:r w:rsidR="00DD3663">
          <w:rPr>
            <w:noProof/>
            <w:webHidden/>
          </w:rPr>
          <w:instrText xml:space="preserve"> PAGEREF _Toc413060339 \h </w:instrText>
        </w:r>
        <w:r w:rsidR="003259E9">
          <w:rPr>
            <w:noProof/>
            <w:webHidden/>
          </w:rPr>
        </w:r>
        <w:r w:rsidR="003259E9">
          <w:rPr>
            <w:noProof/>
            <w:webHidden/>
          </w:rPr>
          <w:fldChar w:fldCharType="separate"/>
        </w:r>
        <w:r w:rsidR="00DD3663">
          <w:rPr>
            <w:noProof/>
            <w:webHidden/>
          </w:rPr>
          <w:t>468</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0" w:history="1">
        <w:r w:rsidR="00DD3663" w:rsidRPr="00715797">
          <w:rPr>
            <w:rStyle w:val="Hyperlink"/>
            <w:noProof/>
          </w:rPr>
          <w:t>7.4</w:t>
        </w:r>
        <w:r w:rsidR="00DD3663">
          <w:rPr>
            <w:rFonts w:asciiTheme="minorHAnsi" w:eastAsiaTheme="minorEastAsia" w:hAnsiTheme="minorHAnsi" w:cstheme="minorBidi"/>
            <w:noProof/>
            <w:sz w:val="22"/>
            <w:szCs w:val="22"/>
            <w:lang w:val="en-US"/>
          </w:rPr>
          <w:tab/>
        </w:r>
        <w:r w:rsidR="00DD3663" w:rsidRPr="00715797">
          <w:rPr>
            <w:rStyle w:val="Hyperlink"/>
            <w:noProof/>
          </w:rPr>
          <w:t>Obiective operaționale</w:t>
        </w:r>
        <w:r w:rsidR="00DD3663">
          <w:rPr>
            <w:noProof/>
            <w:webHidden/>
          </w:rPr>
          <w:tab/>
        </w:r>
        <w:r w:rsidR="003259E9">
          <w:rPr>
            <w:noProof/>
            <w:webHidden/>
          </w:rPr>
          <w:fldChar w:fldCharType="begin"/>
        </w:r>
        <w:r w:rsidR="00DD3663">
          <w:rPr>
            <w:noProof/>
            <w:webHidden/>
          </w:rPr>
          <w:instrText xml:space="preserve"> PAGEREF _Toc413060340 \h </w:instrText>
        </w:r>
        <w:r w:rsidR="003259E9">
          <w:rPr>
            <w:noProof/>
            <w:webHidden/>
          </w:rPr>
        </w:r>
        <w:r w:rsidR="003259E9">
          <w:rPr>
            <w:noProof/>
            <w:webHidden/>
          </w:rPr>
          <w:fldChar w:fldCharType="separate"/>
        </w:r>
        <w:r w:rsidR="00DD3663">
          <w:rPr>
            <w:noProof/>
            <w:webHidden/>
          </w:rPr>
          <w:t>468</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1" w:history="1">
        <w:r w:rsidR="00DD3663" w:rsidRPr="00715797">
          <w:rPr>
            <w:rStyle w:val="Hyperlink"/>
            <w:noProof/>
          </w:rPr>
          <w:t>7.5</w:t>
        </w:r>
        <w:r w:rsidR="00DD3663">
          <w:rPr>
            <w:rFonts w:asciiTheme="minorHAnsi" w:eastAsiaTheme="minorEastAsia" w:hAnsiTheme="minorHAnsi" w:cstheme="minorBidi"/>
            <w:noProof/>
            <w:sz w:val="22"/>
            <w:szCs w:val="22"/>
            <w:lang w:val="en-US"/>
          </w:rPr>
          <w:tab/>
        </w:r>
        <w:r w:rsidR="00DD3663" w:rsidRPr="00715797">
          <w:rPr>
            <w:rStyle w:val="Hyperlink"/>
            <w:noProof/>
          </w:rPr>
          <w:t>Intervenții</w:t>
        </w:r>
        <w:r w:rsidR="00DD3663">
          <w:rPr>
            <w:noProof/>
            <w:webHidden/>
          </w:rPr>
          <w:tab/>
        </w:r>
        <w:r w:rsidR="003259E9">
          <w:rPr>
            <w:noProof/>
            <w:webHidden/>
          </w:rPr>
          <w:fldChar w:fldCharType="begin"/>
        </w:r>
        <w:r w:rsidR="00DD3663">
          <w:rPr>
            <w:noProof/>
            <w:webHidden/>
          </w:rPr>
          <w:instrText xml:space="preserve"> PAGEREF _Toc413060341 \h </w:instrText>
        </w:r>
        <w:r w:rsidR="003259E9">
          <w:rPr>
            <w:noProof/>
            <w:webHidden/>
          </w:rPr>
        </w:r>
        <w:r w:rsidR="003259E9">
          <w:rPr>
            <w:noProof/>
            <w:webHidden/>
          </w:rPr>
          <w:fldChar w:fldCharType="separate"/>
        </w:r>
        <w:r w:rsidR="00DD3663">
          <w:rPr>
            <w:noProof/>
            <w:webHidden/>
          </w:rPr>
          <w:t>469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2" w:history="1">
        <w:r w:rsidR="00DD3663" w:rsidRPr="00715797">
          <w:rPr>
            <w:rStyle w:val="Hyperlink"/>
            <w:noProof/>
          </w:rPr>
          <w:t>7.6</w:t>
        </w:r>
        <w:r w:rsidR="00DD3663">
          <w:rPr>
            <w:rFonts w:asciiTheme="minorHAnsi" w:eastAsiaTheme="minorEastAsia" w:hAnsiTheme="minorHAnsi" w:cstheme="minorBidi"/>
            <w:noProof/>
            <w:sz w:val="22"/>
            <w:szCs w:val="22"/>
            <w:lang w:val="en-US"/>
          </w:rPr>
          <w:tab/>
        </w:r>
        <w:r w:rsidR="00DD3663" w:rsidRPr="00715797">
          <w:rPr>
            <w:rStyle w:val="Hyperlink"/>
            <w:noProof/>
          </w:rPr>
          <w:t>Rezultatele testării</w:t>
        </w:r>
        <w:r w:rsidR="00DD3663">
          <w:rPr>
            <w:noProof/>
            <w:webHidden/>
          </w:rPr>
          <w:tab/>
        </w:r>
        <w:r w:rsidR="003259E9">
          <w:rPr>
            <w:noProof/>
            <w:webHidden/>
          </w:rPr>
          <w:fldChar w:fldCharType="begin"/>
        </w:r>
        <w:r w:rsidR="00DD3663">
          <w:rPr>
            <w:noProof/>
            <w:webHidden/>
          </w:rPr>
          <w:instrText xml:space="preserve"> PAGEREF _Toc413060342 \h </w:instrText>
        </w:r>
        <w:r w:rsidR="003259E9">
          <w:rPr>
            <w:noProof/>
            <w:webHidden/>
          </w:rPr>
        </w:r>
        <w:r w:rsidR="003259E9">
          <w:rPr>
            <w:noProof/>
            <w:webHidden/>
          </w:rPr>
          <w:fldChar w:fldCharType="separate"/>
        </w:r>
        <w:r w:rsidR="00DD3663">
          <w:rPr>
            <w:noProof/>
            <w:webHidden/>
          </w:rPr>
          <w:t>497</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43" w:history="1">
        <w:r w:rsidR="00DD3663" w:rsidRPr="00715797">
          <w:rPr>
            <w:rStyle w:val="Hyperlink"/>
            <w:noProof/>
          </w:rPr>
          <w:t>8</w:t>
        </w:r>
        <w:r w:rsidR="00DD3663">
          <w:rPr>
            <w:rFonts w:asciiTheme="minorHAnsi" w:eastAsiaTheme="minorEastAsia" w:hAnsiTheme="minorHAnsi" w:cstheme="minorBidi"/>
            <w:b w:val="0"/>
            <w:noProof/>
            <w:sz w:val="22"/>
            <w:szCs w:val="22"/>
            <w:lang w:val="en-US"/>
          </w:rPr>
          <w:tab/>
        </w:r>
        <w:r w:rsidR="00DD3663" w:rsidRPr="00715797">
          <w:rPr>
            <w:rStyle w:val="Hyperlink"/>
            <w:noProof/>
          </w:rPr>
          <w:t>Transport Intermodal</w:t>
        </w:r>
        <w:r w:rsidR="00DD3663">
          <w:rPr>
            <w:noProof/>
            <w:webHidden/>
          </w:rPr>
          <w:tab/>
        </w:r>
        <w:r w:rsidR="003259E9">
          <w:rPr>
            <w:noProof/>
            <w:webHidden/>
          </w:rPr>
          <w:fldChar w:fldCharType="begin"/>
        </w:r>
        <w:r w:rsidR="00DD3663">
          <w:rPr>
            <w:noProof/>
            <w:webHidden/>
          </w:rPr>
          <w:instrText xml:space="preserve"> PAGEREF _Toc413060343 \h </w:instrText>
        </w:r>
        <w:r w:rsidR="003259E9">
          <w:rPr>
            <w:noProof/>
            <w:webHidden/>
          </w:rPr>
        </w:r>
        <w:r w:rsidR="003259E9">
          <w:rPr>
            <w:noProof/>
            <w:webHidden/>
          </w:rPr>
          <w:fldChar w:fldCharType="separate"/>
        </w:r>
        <w:r w:rsidR="00DD3663">
          <w:rPr>
            <w:noProof/>
            <w:webHidden/>
          </w:rPr>
          <w:t>499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4" w:history="1">
        <w:r w:rsidR="00DD3663" w:rsidRPr="00715797">
          <w:rPr>
            <w:rStyle w:val="Hyperlink"/>
            <w:noProof/>
          </w:rPr>
          <w:t>8.1</w:t>
        </w:r>
        <w:r w:rsidR="00DD3663">
          <w:rPr>
            <w:rFonts w:asciiTheme="minorHAnsi" w:eastAsiaTheme="minorEastAsia" w:hAnsiTheme="minorHAnsi" w:cstheme="minorBidi"/>
            <w:noProof/>
            <w:sz w:val="22"/>
            <w:szCs w:val="22"/>
            <w:lang w:val="en-US"/>
          </w:rPr>
          <w:tab/>
        </w:r>
        <w:r w:rsidR="00DD3663" w:rsidRPr="00715797">
          <w:rPr>
            <w:rStyle w:val="Hyperlink"/>
            <w:noProof/>
          </w:rPr>
          <w:t>Analiza situației existente</w:t>
        </w:r>
        <w:r w:rsidR="00DD3663">
          <w:rPr>
            <w:noProof/>
            <w:webHidden/>
          </w:rPr>
          <w:tab/>
        </w:r>
        <w:r w:rsidR="003259E9">
          <w:rPr>
            <w:noProof/>
            <w:webHidden/>
          </w:rPr>
          <w:fldChar w:fldCharType="begin"/>
        </w:r>
        <w:r w:rsidR="00DD3663">
          <w:rPr>
            <w:noProof/>
            <w:webHidden/>
          </w:rPr>
          <w:instrText xml:space="preserve"> PAGEREF _Toc413060344 \h </w:instrText>
        </w:r>
        <w:r w:rsidR="003259E9">
          <w:rPr>
            <w:noProof/>
            <w:webHidden/>
          </w:rPr>
        </w:r>
        <w:r w:rsidR="003259E9">
          <w:rPr>
            <w:noProof/>
            <w:webHidden/>
          </w:rPr>
          <w:fldChar w:fldCharType="separate"/>
        </w:r>
        <w:r w:rsidR="00DD3663">
          <w:rPr>
            <w:noProof/>
            <w:webHidden/>
          </w:rPr>
          <w:t>499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5" w:history="1">
        <w:r w:rsidR="00DD3663" w:rsidRPr="00715797">
          <w:rPr>
            <w:rStyle w:val="Hyperlink"/>
            <w:noProof/>
          </w:rPr>
          <w:t>8.2</w:t>
        </w:r>
        <w:r w:rsidR="00DD3663">
          <w:rPr>
            <w:rFonts w:asciiTheme="minorHAnsi" w:eastAsiaTheme="minorEastAsia" w:hAnsiTheme="minorHAnsi" w:cstheme="minorBidi"/>
            <w:noProof/>
            <w:sz w:val="22"/>
            <w:szCs w:val="22"/>
            <w:lang w:val="en-US"/>
          </w:rPr>
          <w:tab/>
        </w:r>
        <w:r w:rsidR="00DD3663" w:rsidRPr="00715797">
          <w:rPr>
            <w:rStyle w:val="Hyperlink"/>
            <w:noProof/>
          </w:rPr>
          <w:t>Obiective operaționale</w:t>
        </w:r>
        <w:r w:rsidR="00DD3663">
          <w:rPr>
            <w:noProof/>
            <w:webHidden/>
          </w:rPr>
          <w:tab/>
        </w:r>
        <w:r w:rsidR="003259E9">
          <w:rPr>
            <w:noProof/>
            <w:webHidden/>
          </w:rPr>
          <w:fldChar w:fldCharType="begin"/>
        </w:r>
        <w:r w:rsidR="00DD3663">
          <w:rPr>
            <w:noProof/>
            <w:webHidden/>
          </w:rPr>
          <w:instrText xml:space="preserve"> PAGEREF _Toc413060345 \h </w:instrText>
        </w:r>
        <w:r w:rsidR="003259E9">
          <w:rPr>
            <w:noProof/>
            <w:webHidden/>
          </w:rPr>
        </w:r>
        <w:r w:rsidR="003259E9">
          <w:rPr>
            <w:noProof/>
            <w:webHidden/>
          </w:rPr>
          <w:fldChar w:fldCharType="separate"/>
        </w:r>
        <w:r w:rsidR="00DD3663">
          <w:rPr>
            <w:noProof/>
            <w:webHidden/>
          </w:rPr>
          <w:t>522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6" w:history="1">
        <w:r w:rsidR="00DD3663" w:rsidRPr="00715797">
          <w:rPr>
            <w:rStyle w:val="Hyperlink"/>
            <w:noProof/>
          </w:rPr>
          <w:t>8.3</w:t>
        </w:r>
        <w:r w:rsidR="00DD3663">
          <w:rPr>
            <w:rFonts w:asciiTheme="minorHAnsi" w:eastAsiaTheme="minorEastAsia" w:hAnsiTheme="minorHAnsi" w:cstheme="minorBidi"/>
            <w:noProof/>
            <w:sz w:val="22"/>
            <w:szCs w:val="22"/>
            <w:lang w:val="en-US"/>
          </w:rPr>
          <w:tab/>
        </w:r>
        <w:r w:rsidR="00DD3663" w:rsidRPr="00715797">
          <w:rPr>
            <w:rStyle w:val="Hyperlink"/>
            <w:noProof/>
          </w:rPr>
          <w:t>Intervenții</w:t>
        </w:r>
        <w:r w:rsidR="00DD3663">
          <w:rPr>
            <w:noProof/>
            <w:webHidden/>
          </w:rPr>
          <w:tab/>
        </w:r>
        <w:r w:rsidR="003259E9">
          <w:rPr>
            <w:noProof/>
            <w:webHidden/>
          </w:rPr>
          <w:fldChar w:fldCharType="begin"/>
        </w:r>
        <w:r w:rsidR="00DD3663">
          <w:rPr>
            <w:noProof/>
            <w:webHidden/>
          </w:rPr>
          <w:instrText xml:space="preserve"> PAGEREF _Toc413060346 \h </w:instrText>
        </w:r>
        <w:r w:rsidR="003259E9">
          <w:rPr>
            <w:noProof/>
            <w:webHidden/>
          </w:rPr>
        </w:r>
        <w:r w:rsidR="003259E9">
          <w:rPr>
            <w:noProof/>
            <w:webHidden/>
          </w:rPr>
          <w:fldChar w:fldCharType="separate"/>
        </w:r>
        <w:r w:rsidR="00DD3663">
          <w:rPr>
            <w:noProof/>
            <w:webHidden/>
          </w:rPr>
          <w:t>522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7" w:history="1">
        <w:r w:rsidR="00DD3663" w:rsidRPr="00715797">
          <w:rPr>
            <w:rStyle w:val="Hyperlink"/>
            <w:noProof/>
          </w:rPr>
          <w:t>8.4</w:t>
        </w:r>
        <w:r w:rsidR="00DD3663">
          <w:rPr>
            <w:rFonts w:asciiTheme="minorHAnsi" w:eastAsiaTheme="minorEastAsia" w:hAnsiTheme="minorHAnsi" w:cstheme="minorBidi"/>
            <w:noProof/>
            <w:sz w:val="22"/>
            <w:szCs w:val="22"/>
            <w:lang w:val="en-US"/>
          </w:rPr>
          <w:tab/>
        </w:r>
        <w:r w:rsidR="00DD3663" w:rsidRPr="00715797">
          <w:rPr>
            <w:rStyle w:val="Hyperlink"/>
            <w:noProof/>
          </w:rPr>
          <w:t>Testarea intervențiilor</w:t>
        </w:r>
        <w:r w:rsidR="00DD3663">
          <w:rPr>
            <w:noProof/>
            <w:webHidden/>
          </w:rPr>
          <w:tab/>
        </w:r>
        <w:r w:rsidR="003259E9">
          <w:rPr>
            <w:noProof/>
            <w:webHidden/>
          </w:rPr>
          <w:fldChar w:fldCharType="begin"/>
        </w:r>
        <w:r w:rsidR="00DD3663">
          <w:rPr>
            <w:noProof/>
            <w:webHidden/>
          </w:rPr>
          <w:instrText xml:space="preserve"> PAGEREF _Toc413060347 \h </w:instrText>
        </w:r>
        <w:r w:rsidR="003259E9">
          <w:rPr>
            <w:noProof/>
            <w:webHidden/>
          </w:rPr>
        </w:r>
        <w:r w:rsidR="003259E9">
          <w:rPr>
            <w:noProof/>
            <w:webHidden/>
          </w:rPr>
          <w:fldChar w:fldCharType="separate"/>
        </w:r>
        <w:r w:rsidR="00DD3663">
          <w:rPr>
            <w:noProof/>
            <w:webHidden/>
          </w:rPr>
          <w:t>529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48" w:history="1">
        <w:r w:rsidR="00DD3663" w:rsidRPr="00715797">
          <w:rPr>
            <w:rStyle w:val="Hyperlink"/>
            <w:noProof/>
            <w:lang w:eastAsia="en-GB"/>
          </w:rPr>
          <w:t>8.5</w:t>
        </w:r>
        <w:r w:rsidR="00DD3663">
          <w:rPr>
            <w:rFonts w:asciiTheme="minorHAnsi" w:eastAsiaTheme="minorEastAsia" w:hAnsiTheme="minorHAnsi" w:cstheme="minorBidi"/>
            <w:noProof/>
            <w:sz w:val="22"/>
            <w:szCs w:val="22"/>
            <w:lang w:val="en-US"/>
          </w:rPr>
          <w:tab/>
        </w:r>
        <w:r w:rsidR="00DD3663" w:rsidRPr="00715797">
          <w:rPr>
            <w:rStyle w:val="Hyperlink"/>
            <w:noProof/>
            <w:lang w:eastAsia="en-GB"/>
          </w:rPr>
          <w:t>Rezumatul intervențiilor în transportul intermodal</w:t>
        </w:r>
        <w:r w:rsidR="00DD3663">
          <w:rPr>
            <w:noProof/>
            <w:webHidden/>
          </w:rPr>
          <w:tab/>
        </w:r>
        <w:r w:rsidR="003259E9">
          <w:rPr>
            <w:noProof/>
            <w:webHidden/>
          </w:rPr>
          <w:fldChar w:fldCharType="begin"/>
        </w:r>
        <w:r w:rsidR="00DD3663">
          <w:rPr>
            <w:noProof/>
            <w:webHidden/>
          </w:rPr>
          <w:instrText xml:space="preserve"> PAGEREF _Toc413060348 \h </w:instrText>
        </w:r>
        <w:r w:rsidR="003259E9">
          <w:rPr>
            <w:noProof/>
            <w:webHidden/>
          </w:rPr>
        </w:r>
        <w:r w:rsidR="003259E9">
          <w:rPr>
            <w:noProof/>
            <w:webHidden/>
          </w:rPr>
          <w:fldChar w:fldCharType="separate"/>
        </w:r>
        <w:r w:rsidR="00DD3663">
          <w:rPr>
            <w:noProof/>
            <w:webHidden/>
          </w:rPr>
          <w:t>549</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49" w:history="1">
        <w:r w:rsidR="00DD3663" w:rsidRPr="00715797">
          <w:rPr>
            <w:rStyle w:val="Hyperlink"/>
            <w:noProof/>
          </w:rPr>
          <w:t>9</w:t>
        </w:r>
        <w:r w:rsidR="00DD3663">
          <w:rPr>
            <w:rFonts w:asciiTheme="minorHAnsi" w:eastAsiaTheme="minorEastAsia" w:hAnsiTheme="minorHAnsi" w:cstheme="minorBidi"/>
            <w:b w:val="0"/>
            <w:noProof/>
            <w:sz w:val="22"/>
            <w:szCs w:val="22"/>
            <w:lang w:val="en-US"/>
          </w:rPr>
          <w:tab/>
        </w:r>
        <w:r w:rsidR="00DD3663" w:rsidRPr="00715797">
          <w:rPr>
            <w:rStyle w:val="Hyperlink"/>
            <w:noProof/>
          </w:rPr>
          <w:t>Analiza Finanțării</w:t>
        </w:r>
        <w:r w:rsidR="00DD3663">
          <w:rPr>
            <w:noProof/>
            <w:webHidden/>
          </w:rPr>
          <w:tab/>
        </w:r>
        <w:r w:rsidR="003259E9">
          <w:rPr>
            <w:noProof/>
            <w:webHidden/>
          </w:rPr>
          <w:fldChar w:fldCharType="begin"/>
        </w:r>
        <w:r w:rsidR="00DD3663">
          <w:rPr>
            <w:noProof/>
            <w:webHidden/>
          </w:rPr>
          <w:instrText xml:space="preserve"> PAGEREF _Toc413060349 \h </w:instrText>
        </w:r>
        <w:r w:rsidR="003259E9">
          <w:rPr>
            <w:noProof/>
            <w:webHidden/>
          </w:rPr>
        </w:r>
        <w:r w:rsidR="003259E9">
          <w:rPr>
            <w:noProof/>
            <w:webHidden/>
          </w:rPr>
          <w:fldChar w:fldCharType="separate"/>
        </w:r>
        <w:r w:rsidR="00DD3663">
          <w:rPr>
            <w:noProof/>
            <w:webHidden/>
          </w:rPr>
          <w:t>554</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0" w:history="1">
        <w:r w:rsidR="00DD3663" w:rsidRPr="00715797">
          <w:rPr>
            <w:rStyle w:val="Hyperlink"/>
            <w:noProof/>
          </w:rPr>
          <w:t>9.1</w:t>
        </w:r>
        <w:r w:rsidR="00DD3663">
          <w:rPr>
            <w:rFonts w:asciiTheme="minorHAnsi" w:eastAsiaTheme="minorEastAsia" w:hAnsiTheme="minorHAnsi" w:cstheme="minorBidi"/>
            <w:noProof/>
            <w:sz w:val="22"/>
            <w:szCs w:val="22"/>
            <w:lang w:val="en-US"/>
          </w:rPr>
          <w:tab/>
        </w:r>
        <w:r w:rsidR="00DD3663" w:rsidRPr="00715797">
          <w:rPr>
            <w:rStyle w:val="Hyperlink"/>
            <w:noProof/>
          </w:rPr>
          <w:t>Ipoteze de bază</w:t>
        </w:r>
        <w:r w:rsidR="00DD3663">
          <w:rPr>
            <w:noProof/>
            <w:webHidden/>
          </w:rPr>
          <w:tab/>
        </w:r>
        <w:r w:rsidR="003259E9">
          <w:rPr>
            <w:noProof/>
            <w:webHidden/>
          </w:rPr>
          <w:fldChar w:fldCharType="begin"/>
        </w:r>
        <w:r w:rsidR="00DD3663">
          <w:rPr>
            <w:noProof/>
            <w:webHidden/>
          </w:rPr>
          <w:instrText xml:space="preserve"> PAGEREF _Toc413060350 \h </w:instrText>
        </w:r>
        <w:r w:rsidR="003259E9">
          <w:rPr>
            <w:noProof/>
            <w:webHidden/>
          </w:rPr>
        </w:r>
        <w:r w:rsidR="003259E9">
          <w:rPr>
            <w:noProof/>
            <w:webHidden/>
          </w:rPr>
          <w:fldChar w:fldCharType="separate"/>
        </w:r>
        <w:r w:rsidR="00DD3663">
          <w:rPr>
            <w:noProof/>
            <w:webHidden/>
          </w:rPr>
          <w:t>554</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1" w:history="1">
        <w:r w:rsidR="00DD3663" w:rsidRPr="00715797">
          <w:rPr>
            <w:rStyle w:val="Hyperlink"/>
            <w:noProof/>
          </w:rPr>
          <w:t>9.2</w:t>
        </w:r>
        <w:r w:rsidR="00DD3663">
          <w:rPr>
            <w:rFonts w:asciiTheme="minorHAnsi" w:eastAsiaTheme="minorEastAsia" w:hAnsiTheme="minorHAnsi" w:cstheme="minorBidi"/>
            <w:noProof/>
            <w:sz w:val="22"/>
            <w:szCs w:val="22"/>
            <w:lang w:val="en-US"/>
          </w:rPr>
          <w:tab/>
        </w:r>
        <w:r w:rsidR="00DD3663" w:rsidRPr="00715797">
          <w:rPr>
            <w:rStyle w:val="Hyperlink"/>
            <w:noProof/>
          </w:rPr>
          <w:t>Cheltuieli mandatate pentru lucrări de întreținere și reparații capitale</w:t>
        </w:r>
        <w:r w:rsidR="00DD3663">
          <w:rPr>
            <w:noProof/>
            <w:webHidden/>
          </w:rPr>
          <w:tab/>
        </w:r>
        <w:r w:rsidR="003259E9">
          <w:rPr>
            <w:noProof/>
            <w:webHidden/>
          </w:rPr>
          <w:fldChar w:fldCharType="begin"/>
        </w:r>
        <w:r w:rsidR="00DD3663">
          <w:rPr>
            <w:noProof/>
            <w:webHidden/>
          </w:rPr>
          <w:instrText xml:space="preserve"> PAGEREF _Toc413060351 \h </w:instrText>
        </w:r>
        <w:r w:rsidR="003259E9">
          <w:rPr>
            <w:noProof/>
            <w:webHidden/>
          </w:rPr>
        </w:r>
        <w:r w:rsidR="003259E9">
          <w:rPr>
            <w:noProof/>
            <w:webHidden/>
          </w:rPr>
          <w:fldChar w:fldCharType="separate"/>
        </w:r>
        <w:r w:rsidR="00DD3663">
          <w:rPr>
            <w:noProof/>
            <w:webHidden/>
          </w:rPr>
          <w:t>558</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2" w:history="1">
        <w:r w:rsidR="00DD3663" w:rsidRPr="00715797">
          <w:rPr>
            <w:rStyle w:val="Hyperlink"/>
            <w:noProof/>
          </w:rPr>
          <w:t>9.3</w:t>
        </w:r>
        <w:r w:rsidR="00DD3663">
          <w:rPr>
            <w:rFonts w:asciiTheme="minorHAnsi" w:eastAsiaTheme="minorEastAsia" w:hAnsiTheme="minorHAnsi" w:cstheme="minorBidi"/>
            <w:noProof/>
            <w:sz w:val="22"/>
            <w:szCs w:val="22"/>
            <w:lang w:val="en-US"/>
          </w:rPr>
          <w:tab/>
        </w:r>
        <w:r w:rsidR="00DD3663" w:rsidRPr="00715797">
          <w:rPr>
            <w:rStyle w:val="Hyperlink"/>
            <w:noProof/>
          </w:rPr>
          <w:t>Bugetul disponibil pentru investiții</w:t>
        </w:r>
        <w:r w:rsidR="00DD3663">
          <w:rPr>
            <w:noProof/>
            <w:webHidden/>
          </w:rPr>
          <w:tab/>
        </w:r>
        <w:r w:rsidR="003259E9">
          <w:rPr>
            <w:noProof/>
            <w:webHidden/>
          </w:rPr>
          <w:fldChar w:fldCharType="begin"/>
        </w:r>
        <w:r w:rsidR="00DD3663">
          <w:rPr>
            <w:noProof/>
            <w:webHidden/>
          </w:rPr>
          <w:instrText xml:space="preserve"> PAGEREF _Toc413060352 \h </w:instrText>
        </w:r>
        <w:r w:rsidR="003259E9">
          <w:rPr>
            <w:noProof/>
            <w:webHidden/>
          </w:rPr>
        </w:r>
        <w:r w:rsidR="003259E9">
          <w:rPr>
            <w:noProof/>
            <w:webHidden/>
          </w:rPr>
          <w:fldChar w:fldCharType="separate"/>
        </w:r>
        <w:r w:rsidR="00DD3663">
          <w:rPr>
            <w:noProof/>
            <w:webHidden/>
          </w:rPr>
          <w:t>558</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53" w:history="1">
        <w:r w:rsidR="00DD3663" w:rsidRPr="00715797">
          <w:rPr>
            <w:rStyle w:val="Hyperlink"/>
            <w:noProof/>
          </w:rPr>
          <w:t>10</w:t>
        </w:r>
        <w:r w:rsidR="00DD3663">
          <w:rPr>
            <w:rFonts w:asciiTheme="minorHAnsi" w:eastAsiaTheme="minorEastAsia" w:hAnsiTheme="minorHAnsi" w:cstheme="minorBidi"/>
            <w:b w:val="0"/>
            <w:noProof/>
            <w:sz w:val="22"/>
            <w:szCs w:val="22"/>
            <w:lang w:val="en-US"/>
          </w:rPr>
          <w:tab/>
        </w:r>
        <w:r w:rsidR="00DD3663" w:rsidRPr="00715797">
          <w:rPr>
            <w:rStyle w:val="Hyperlink"/>
            <w:noProof/>
          </w:rPr>
          <w:t>Strategia generală pentru anii 2020 și 2030</w:t>
        </w:r>
        <w:r w:rsidR="00DD3663">
          <w:rPr>
            <w:noProof/>
            <w:webHidden/>
          </w:rPr>
          <w:tab/>
        </w:r>
        <w:r w:rsidR="003259E9">
          <w:rPr>
            <w:noProof/>
            <w:webHidden/>
          </w:rPr>
          <w:fldChar w:fldCharType="begin"/>
        </w:r>
        <w:r w:rsidR="00DD3663">
          <w:rPr>
            <w:noProof/>
            <w:webHidden/>
          </w:rPr>
          <w:instrText xml:space="preserve"> PAGEREF _Toc413060353 \h </w:instrText>
        </w:r>
        <w:r w:rsidR="003259E9">
          <w:rPr>
            <w:noProof/>
            <w:webHidden/>
          </w:rPr>
        </w:r>
        <w:r w:rsidR="003259E9">
          <w:rPr>
            <w:noProof/>
            <w:webHidden/>
          </w:rPr>
          <w:fldChar w:fldCharType="separate"/>
        </w:r>
        <w:r w:rsidR="00DD3663">
          <w:rPr>
            <w:noProof/>
            <w:webHidden/>
          </w:rPr>
          <w:t>563</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4" w:history="1">
        <w:r w:rsidR="00DD3663" w:rsidRPr="00715797">
          <w:rPr>
            <w:rStyle w:val="Hyperlink"/>
            <w:noProof/>
          </w:rPr>
          <w:t>10.1</w:t>
        </w:r>
        <w:r w:rsidR="00DD3663">
          <w:rPr>
            <w:rFonts w:asciiTheme="minorHAnsi" w:eastAsiaTheme="minorEastAsia" w:hAnsiTheme="minorHAnsi" w:cstheme="minorBidi"/>
            <w:noProof/>
            <w:sz w:val="22"/>
            <w:szCs w:val="22"/>
            <w:lang w:val="en-US"/>
          </w:rPr>
          <w:tab/>
        </w:r>
        <w:r w:rsidR="00DD3663" w:rsidRPr="00715797">
          <w:rPr>
            <w:rStyle w:val="Hyperlink"/>
            <w:noProof/>
          </w:rPr>
          <w:t>Introducere</w:t>
        </w:r>
        <w:r w:rsidR="00DD3663">
          <w:rPr>
            <w:noProof/>
            <w:webHidden/>
          </w:rPr>
          <w:tab/>
        </w:r>
        <w:r w:rsidR="003259E9">
          <w:rPr>
            <w:noProof/>
            <w:webHidden/>
          </w:rPr>
          <w:fldChar w:fldCharType="begin"/>
        </w:r>
        <w:r w:rsidR="00DD3663">
          <w:rPr>
            <w:noProof/>
            <w:webHidden/>
          </w:rPr>
          <w:instrText xml:space="preserve"> PAGEREF _Toc413060354 \h </w:instrText>
        </w:r>
        <w:r w:rsidR="003259E9">
          <w:rPr>
            <w:noProof/>
            <w:webHidden/>
          </w:rPr>
        </w:r>
        <w:r w:rsidR="003259E9">
          <w:rPr>
            <w:noProof/>
            <w:webHidden/>
          </w:rPr>
          <w:fldChar w:fldCharType="separate"/>
        </w:r>
        <w:r w:rsidR="00DD3663">
          <w:rPr>
            <w:noProof/>
            <w:webHidden/>
          </w:rPr>
          <w:t>563</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5" w:history="1">
        <w:r w:rsidR="00DD3663" w:rsidRPr="00715797">
          <w:rPr>
            <w:rStyle w:val="Hyperlink"/>
            <w:noProof/>
          </w:rPr>
          <w:t>10.2</w:t>
        </w:r>
        <w:r w:rsidR="00DD3663">
          <w:rPr>
            <w:rFonts w:asciiTheme="minorHAnsi" w:eastAsiaTheme="minorEastAsia" w:hAnsiTheme="minorHAnsi" w:cstheme="minorBidi"/>
            <w:noProof/>
            <w:sz w:val="22"/>
            <w:szCs w:val="22"/>
            <w:lang w:val="en-US"/>
          </w:rPr>
          <w:tab/>
        </w:r>
        <w:r w:rsidR="00DD3663" w:rsidRPr="00715797">
          <w:rPr>
            <w:rStyle w:val="Hyperlink"/>
            <w:noProof/>
          </w:rPr>
          <w:t>Situația existentă</w:t>
        </w:r>
        <w:r w:rsidR="00DD3663">
          <w:rPr>
            <w:noProof/>
            <w:webHidden/>
          </w:rPr>
          <w:tab/>
        </w:r>
        <w:r w:rsidR="003259E9">
          <w:rPr>
            <w:noProof/>
            <w:webHidden/>
          </w:rPr>
          <w:fldChar w:fldCharType="begin"/>
        </w:r>
        <w:r w:rsidR="00DD3663">
          <w:rPr>
            <w:noProof/>
            <w:webHidden/>
          </w:rPr>
          <w:instrText xml:space="preserve"> PAGEREF _Toc413060355 \h </w:instrText>
        </w:r>
        <w:r w:rsidR="003259E9">
          <w:rPr>
            <w:noProof/>
            <w:webHidden/>
          </w:rPr>
        </w:r>
        <w:r w:rsidR="003259E9">
          <w:rPr>
            <w:noProof/>
            <w:webHidden/>
          </w:rPr>
          <w:fldChar w:fldCharType="separate"/>
        </w:r>
        <w:r w:rsidR="00DD3663">
          <w:rPr>
            <w:noProof/>
            <w:webHidden/>
          </w:rPr>
          <w:t>565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6" w:history="1">
        <w:r w:rsidR="00DD3663" w:rsidRPr="00715797">
          <w:rPr>
            <w:rStyle w:val="Hyperlink"/>
            <w:noProof/>
          </w:rPr>
          <w:t>10.3</w:t>
        </w:r>
        <w:r w:rsidR="00DD3663">
          <w:rPr>
            <w:rFonts w:asciiTheme="minorHAnsi" w:eastAsiaTheme="minorEastAsia" w:hAnsiTheme="minorHAnsi" w:cstheme="minorBidi"/>
            <w:noProof/>
            <w:sz w:val="22"/>
            <w:szCs w:val="22"/>
            <w:lang w:val="en-US"/>
          </w:rPr>
          <w:tab/>
        </w:r>
        <w:r w:rsidR="00DD3663" w:rsidRPr="00715797">
          <w:rPr>
            <w:rStyle w:val="Hyperlink"/>
            <w:noProof/>
          </w:rPr>
          <w:t>Obiective generale</w:t>
        </w:r>
        <w:r w:rsidR="00DD3663">
          <w:rPr>
            <w:noProof/>
            <w:webHidden/>
          </w:rPr>
          <w:tab/>
        </w:r>
        <w:r w:rsidR="003259E9">
          <w:rPr>
            <w:noProof/>
            <w:webHidden/>
          </w:rPr>
          <w:fldChar w:fldCharType="begin"/>
        </w:r>
        <w:r w:rsidR="00DD3663">
          <w:rPr>
            <w:noProof/>
            <w:webHidden/>
          </w:rPr>
          <w:instrText xml:space="preserve"> PAGEREF _Toc413060356 \h </w:instrText>
        </w:r>
        <w:r w:rsidR="003259E9">
          <w:rPr>
            <w:noProof/>
            <w:webHidden/>
          </w:rPr>
        </w:r>
        <w:r w:rsidR="003259E9">
          <w:rPr>
            <w:noProof/>
            <w:webHidden/>
          </w:rPr>
          <w:fldChar w:fldCharType="separate"/>
        </w:r>
        <w:r w:rsidR="00DD3663">
          <w:rPr>
            <w:noProof/>
            <w:webHidden/>
          </w:rPr>
          <w:t>572</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7" w:history="1">
        <w:r w:rsidR="00DD3663" w:rsidRPr="00715797">
          <w:rPr>
            <w:rStyle w:val="Hyperlink"/>
            <w:noProof/>
          </w:rPr>
          <w:t>10.4</w:t>
        </w:r>
        <w:r w:rsidR="00DD3663">
          <w:rPr>
            <w:rFonts w:asciiTheme="minorHAnsi" w:eastAsiaTheme="minorEastAsia" w:hAnsiTheme="minorHAnsi" w:cstheme="minorBidi"/>
            <w:noProof/>
            <w:sz w:val="22"/>
            <w:szCs w:val="22"/>
            <w:lang w:val="en-US"/>
          </w:rPr>
          <w:tab/>
        </w:r>
        <w:r w:rsidR="00DD3663" w:rsidRPr="00715797">
          <w:rPr>
            <w:rStyle w:val="Hyperlink"/>
            <w:noProof/>
          </w:rPr>
          <w:t>Intervenții</w:t>
        </w:r>
        <w:r w:rsidR="00DD3663">
          <w:rPr>
            <w:noProof/>
            <w:webHidden/>
          </w:rPr>
          <w:tab/>
        </w:r>
        <w:r w:rsidR="003259E9">
          <w:rPr>
            <w:noProof/>
            <w:webHidden/>
          </w:rPr>
          <w:fldChar w:fldCharType="begin"/>
        </w:r>
        <w:r w:rsidR="00DD3663">
          <w:rPr>
            <w:noProof/>
            <w:webHidden/>
          </w:rPr>
          <w:instrText xml:space="preserve"> PAGEREF _Toc413060357 \h </w:instrText>
        </w:r>
        <w:r w:rsidR="003259E9">
          <w:rPr>
            <w:noProof/>
            <w:webHidden/>
          </w:rPr>
        </w:r>
        <w:r w:rsidR="003259E9">
          <w:rPr>
            <w:noProof/>
            <w:webHidden/>
          </w:rPr>
          <w:fldChar w:fldCharType="separate"/>
        </w:r>
        <w:r w:rsidR="00DD3663">
          <w:rPr>
            <w:noProof/>
            <w:webHidden/>
          </w:rPr>
          <w:t>573</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8" w:history="1">
        <w:r w:rsidR="00DD3663" w:rsidRPr="00715797">
          <w:rPr>
            <w:rStyle w:val="Hyperlink"/>
            <w:noProof/>
          </w:rPr>
          <w:t>10.5</w:t>
        </w:r>
        <w:r w:rsidR="00DD3663">
          <w:rPr>
            <w:rFonts w:asciiTheme="minorHAnsi" w:eastAsiaTheme="minorEastAsia" w:hAnsiTheme="minorHAnsi" w:cstheme="minorBidi"/>
            <w:noProof/>
            <w:sz w:val="22"/>
            <w:szCs w:val="22"/>
            <w:lang w:val="en-US"/>
          </w:rPr>
          <w:tab/>
        </w:r>
        <w:r w:rsidR="00DD3663" w:rsidRPr="00715797">
          <w:rPr>
            <w:rStyle w:val="Hyperlink"/>
            <w:noProof/>
          </w:rPr>
          <w:t>Testarea proiectelor</w:t>
        </w:r>
        <w:r w:rsidR="00DD3663">
          <w:rPr>
            <w:noProof/>
            <w:webHidden/>
          </w:rPr>
          <w:tab/>
        </w:r>
        <w:r w:rsidR="003259E9">
          <w:rPr>
            <w:noProof/>
            <w:webHidden/>
          </w:rPr>
          <w:fldChar w:fldCharType="begin"/>
        </w:r>
        <w:r w:rsidR="00DD3663">
          <w:rPr>
            <w:noProof/>
            <w:webHidden/>
          </w:rPr>
          <w:instrText xml:space="preserve"> PAGEREF _Toc413060358 \h </w:instrText>
        </w:r>
        <w:r w:rsidR="003259E9">
          <w:rPr>
            <w:noProof/>
            <w:webHidden/>
          </w:rPr>
        </w:r>
        <w:r w:rsidR="003259E9">
          <w:rPr>
            <w:noProof/>
            <w:webHidden/>
          </w:rPr>
          <w:fldChar w:fldCharType="separate"/>
        </w:r>
        <w:r w:rsidR="00DD3663">
          <w:rPr>
            <w:noProof/>
            <w:webHidden/>
          </w:rPr>
          <w:t>574</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59" w:history="1">
        <w:r w:rsidR="00DD3663" w:rsidRPr="00715797">
          <w:rPr>
            <w:rStyle w:val="Hyperlink"/>
            <w:noProof/>
          </w:rPr>
          <w:t>10.6</w:t>
        </w:r>
        <w:r w:rsidR="00DD3663">
          <w:rPr>
            <w:rFonts w:asciiTheme="minorHAnsi" w:eastAsiaTheme="minorEastAsia" w:hAnsiTheme="minorHAnsi" w:cstheme="minorBidi"/>
            <w:noProof/>
            <w:sz w:val="22"/>
            <w:szCs w:val="22"/>
            <w:lang w:val="en-US"/>
          </w:rPr>
          <w:tab/>
        </w:r>
        <w:r w:rsidR="00DD3663" w:rsidRPr="00715797">
          <w:rPr>
            <w:rStyle w:val="Hyperlink"/>
            <w:noProof/>
          </w:rPr>
          <w:t>Evaluarea Proiectelor. Rolul ACB și al AMC</w:t>
        </w:r>
        <w:r w:rsidR="00DD3663">
          <w:rPr>
            <w:noProof/>
            <w:webHidden/>
          </w:rPr>
          <w:tab/>
        </w:r>
        <w:r w:rsidR="003259E9">
          <w:rPr>
            <w:noProof/>
            <w:webHidden/>
          </w:rPr>
          <w:fldChar w:fldCharType="begin"/>
        </w:r>
        <w:r w:rsidR="00DD3663">
          <w:rPr>
            <w:noProof/>
            <w:webHidden/>
          </w:rPr>
          <w:instrText xml:space="preserve"> PAGEREF _Toc413060359 \h </w:instrText>
        </w:r>
        <w:r w:rsidR="003259E9">
          <w:rPr>
            <w:noProof/>
            <w:webHidden/>
          </w:rPr>
        </w:r>
        <w:r w:rsidR="003259E9">
          <w:rPr>
            <w:noProof/>
            <w:webHidden/>
          </w:rPr>
          <w:fldChar w:fldCharType="separate"/>
        </w:r>
        <w:r w:rsidR="00DD3663">
          <w:rPr>
            <w:noProof/>
            <w:webHidden/>
          </w:rPr>
          <w:t>576</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0" w:history="1">
        <w:r w:rsidR="00DD3663" w:rsidRPr="00715797">
          <w:rPr>
            <w:rStyle w:val="Hyperlink"/>
            <w:noProof/>
          </w:rPr>
          <w:t>10.7</w:t>
        </w:r>
        <w:r w:rsidR="00DD3663">
          <w:rPr>
            <w:rFonts w:asciiTheme="minorHAnsi" w:eastAsiaTheme="minorEastAsia" w:hAnsiTheme="minorHAnsi" w:cstheme="minorBidi"/>
            <w:noProof/>
            <w:sz w:val="22"/>
            <w:szCs w:val="22"/>
            <w:lang w:val="en-US"/>
          </w:rPr>
          <w:tab/>
        </w:r>
        <w:r w:rsidR="00DD3663" w:rsidRPr="00715797">
          <w:rPr>
            <w:rStyle w:val="Hyperlink"/>
            <w:noProof/>
          </w:rPr>
          <w:t>Scenariile ES și EES</w:t>
        </w:r>
        <w:r w:rsidR="00DD3663">
          <w:rPr>
            <w:noProof/>
            <w:webHidden/>
          </w:rPr>
          <w:tab/>
        </w:r>
        <w:r w:rsidR="003259E9">
          <w:rPr>
            <w:noProof/>
            <w:webHidden/>
          </w:rPr>
          <w:fldChar w:fldCharType="begin"/>
        </w:r>
        <w:r w:rsidR="00DD3663">
          <w:rPr>
            <w:noProof/>
            <w:webHidden/>
          </w:rPr>
          <w:instrText xml:space="preserve"> PAGEREF _Toc413060360 \h </w:instrText>
        </w:r>
        <w:r w:rsidR="003259E9">
          <w:rPr>
            <w:noProof/>
            <w:webHidden/>
          </w:rPr>
        </w:r>
        <w:r w:rsidR="003259E9">
          <w:rPr>
            <w:noProof/>
            <w:webHidden/>
          </w:rPr>
          <w:fldChar w:fldCharType="separate"/>
        </w:r>
        <w:r w:rsidR="00DD3663">
          <w:rPr>
            <w:noProof/>
            <w:webHidden/>
          </w:rPr>
          <w:t>579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1" w:history="1">
        <w:r w:rsidR="00DD3663" w:rsidRPr="00715797">
          <w:rPr>
            <w:rStyle w:val="Hyperlink"/>
            <w:noProof/>
          </w:rPr>
          <w:t>10.8</w:t>
        </w:r>
        <w:r w:rsidR="00DD3663">
          <w:rPr>
            <w:rFonts w:asciiTheme="minorHAnsi" w:eastAsiaTheme="minorEastAsia" w:hAnsiTheme="minorHAnsi" w:cstheme="minorBidi"/>
            <w:noProof/>
            <w:sz w:val="22"/>
            <w:szCs w:val="22"/>
            <w:lang w:val="en-US"/>
          </w:rPr>
          <w:tab/>
        </w:r>
        <w:r w:rsidR="00DD3663" w:rsidRPr="00715797">
          <w:rPr>
            <w:rStyle w:val="Hyperlink"/>
            <w:noProof/>
          </w:rPr>
          <w:t>Analiza finanțării</w:t>
        </w:r>
        <w:r w:rsidR="00DD3663">
          <w:rPr>
            <w:noProof/>
            <w:webHidden/>
          </w:rPr>
          <w:tab/>
        </w:r>
        <w:r w:rsidR="003259E9">
          <w:rPr>
            <w:noProof/>
            <w:webHidden/>
          </w:rPr>
          <w:fldChar w:fldCharType="begin"/>
        </w:r>
        <w:r w:rsidR="00DD3663">
          <w:rPr>
            <w:noProof/>
            <w:webHidden/>
          </w:rPr>
          <w:instrText xml:space="preserve"> PAGEREF _Toc413060361 \h </w:instrText>
        </w:r>
        <w:r w:rsidR="003259E9">
          <w:rPr>
            <w:noProof/>
            <w:webHidden/>
          </w:rPr>
        </w:r>
        <w:r w:rsidR="003259E9">
          <w:rPr>
            <w:noProof/>
            <w:webHidden/>
          </w:rPr>
          <w:fldChar w:fldCharType="separate"/>
        </w:r>
        <w:r w:rsidR="00DD3663">
          <w:rPr>
            <w:noProof/>
            <w:webHidden/>
          </w:rPr>
          <w:t>590</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2" w:history="1">
        <w:r w:rsidR="00DD3663" w:rsidRPr="00715797">
          <w:rPr>
            <w:rStyle w:val="Hyperlink"/>
            <w:noProof/>
          </w:rPr>
          <w:t>10.9</w:t>
        </w:r>
        <w:r w:rsidR="00DD3663">
          <w:rPr>
            <w:rFonts w:asciiTheme="minorHAnsi" w:eastAsiaTheme="minorEastAsia" w:hAnsiTheme="minorHAnsi" w:cstheme="minorBidi"/>
            <w:noProof/>
            <w:sz w:val="22"/>
            <w:szCs w:val="22"/>
            <w:lang w:val="en-US"/>
          </w:rPr>
          <w:tab/>
        </w:r>
        <w:r w:rsidR="00DD3663" w:rsidRPr="00715797">
          <w:rPr>
            <w:rStyle w:val="Hyperlink"/>
            <w:noProof/>
          </w:rPr>
          <w:t>Consultări publice</w:t>
        </w:r>
        <w:r w:rsidR="00DD3663">
          <w:rPr>
            <w:noProof/>
            <w:webHidden/>
          </w:rPr>
          <w:tab/>
        </w:r>
        <w:r w:rsidR="003259E9">
          <w:rPr>
            <w:noProof/>
            <w:webHidden/>
          </w:rPr>
          <w:fldChar w:fldCharType="begin"/>
        </w:r>
        <w:r w:rsidR="00DD3663">
          <w:rPr>
            <w:noProof/>
            <w:webHidden/>
          </w:rPr>
          <w:instrText xml:space="preserve"> PAGEREF _Toc413060362 \h </w:instrText>
        </w:r>
        <w:r w:rsidR="003259E9">
          <w:rPr>
            <w:noProof/>
            <w:webHidden/>
          </w:rPr>
        </w:r>
        <w:r w:rsidR="003259E9">
          <w:rPr>
            <w:noProof/>
            <w:webHidden/>
          </w:rPr>
          <w:fldChar w:fldCharType="separate"/>
        </w:r>
        <w:r w:rsidR="00DD3663">
          <w:rPr>
            <w:noProof/>
            <w:webHidden/>
          </w:rPr>
          <w:t>593</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3" w:history="1">
        <w:r w:rsidR="00DD3663" w:rsidRPr="00715797">
          <w:rPr>
            <w:rStyle w:val="Hyperlink"/>
            <w:noProof/>
          </w:rPr>
          <w:t>10.10</w:t>
        </w:r>
        <w:r w:rsidR="00DD3663">
          <w:rPr>
            <w:rFonts w:asciiTheme="minorHAnsi" w:eastAsiaTheme="minorEastAsia" w:hAnsiTheme="minorHAnsi" w:cstheme="minorBidi"/>
            <w:noProof/>
            <w:sz w:val="22"/>
            <w:szCs w:val="22"/>
            <w:lang w:val="en-US"/>
          </w:rPr>
          <w:tab/>
        </w:r>
        <w:r w:rsidR="00DD3663" w:rsidRPr="00715797">
          <w:rPr>
            <w:rStyle w:val="Hyperlink"/>
            <w:noProof/>
          </w:rPr>
          <w:t>Analiza inter-sectorială</w:t>
        </w:r>
        <w:r w:rsidR="00DD3663">
          <w:rPr>
            <w:noProof/>
            <w:webHidden/>
          </w:rPr>
          <w:tab/>
        </w:r>
        <w:r w:rsidR="003259E9">
          <w:rPr>
            <w:noProof/>
            <w:webHidden/>
          </w:rPr>
          <w:fldChar w:fldCharType="begin"/>
        </w:r>
        <w:r w:rsidR="00DD3663">
          <w:rPr>
            <w:noProof/>
            <w:webHidden/>
          </w:rPr>
          <w:instrText xml:space="preserve"> PAGEREF _Toc413060363 \h </w:instrText>
        </w:r>
        <w:r w:rsidR="003259E9">
          <w:rPr>
            <w:noProof/>
            <w:webHidden/>
          </w:rPr>
        </w:r>
        <w:r w:rsidR="003259E9">
          <w:rPr>
            <w:noProof/>
            <w:webHidden/>
          </w:rPr>
          <w:fldChar w:fldCharType="separate"/>
        </w:r>
        <w:r w:rsidR="00DD3663">
          <w:rPr>
            <w:noProof/>
            <w:webHidden/>
          </w:rPr>
          <w:t>593</w:t>
        </w:r>
        <w:r w:rsidR="003259E9">
          <w:rPr>
            <w:noProof/>
            <w:webHidden/>
          </w:rPr>
          <w:fldChar w:fldCharType="end"/>
        </w:r>
      </w:hyperlink>
    </w:p>
    <w:p w:rsidR="00DD3663" w:rsidRDefault="00966D0E">
      <w:pPr>
        <w:pStyle w:val="TOC1"/>
        <w:rPr>
          <w:rFonts w:asciiTheme="minorHAnsi" w:eastAsiaTheme="minorEastAsia" w:hAnsiTheme="minorHAnsi" w:cstheme="minorBidi"/>
          <w:b w:val="0"/>
          <w:noProof/>
          <w:sz w:val="22"/>
          <w:szCs w:val="22"/>
          <w:lang w:val="en-US"/>
        </w:rPr>
      </w:pPr>
      <w:hyperlink w:anchor="_Toc413060364" w:history="1">
        <w:r w:rsidR="00DD3663" w:rsidRPr="00715797">
          <w:rPr>
            <w:rStyle w:val="Hyperlink"/>
            <w:noProof/>
          </w:rPr>
          <w:t>11</w:t>
        </w:r>
        <w:r w:rsidR="00DD3663">
          <w:rPr>
            <w:rFonts w:asciiTheme="minorHAnsi" w:eastAsiaTheme="minorEastAsia" w:hAnsiTheme="minorHAnsi" w:cstheme="minorBidi"/>
            <w:b w:val="0"/>
            <w:noProof/>
            <w:sz w:val="22"/>
            <w:szCs w:val="22"/>
            <w:lang w:val="en-US"/>
          </w:rPr>
          <w:tab/>
        </w:r>
        <w:r w:rsidR="00DD3663" w:rsidRPr="00715797">
          <w:rPr>
            <w:rStyle w:val="Hyperlink"/>
            <w:noProof/>
          </w:rPr>
          <w:t>Anexe</w:t>
        </w:r>
        <w:r w:rsidR="00DD3663">
          <w:rPr>
            <w:noProof/>
            <w:webHidden/>
          </w:rPr>
          <w:tab/>
        </w:r>
        <w:r w:rsidR="003259E9">
          <w:rPr>
            <w:noProof/>
            <w:webHidden/>
          </w:rPr>
          <w:fldChar w:fldCharType="begin"/>
        </w:r>
        <w:r w:rsidR="00DD3663">
          <w:rPr>
            <w:noProof/>
            <w:webHidden/>
          </w:rPr>
          <w:instrText xml:space="preserve"> PAGEREF _Toc413060364 \h </w:instrText>
        </w:r>
        <w:r w:rsidR="003259E9">
          <w:rPr>
            <w:noProof/>
            <w:webHidden/>
          </w:rPr>
        </w:r>
        <w:r w:rsidR="003259E9">
          <w:rPr>
            <w:noProof/>
            <w:webHidden/>
          </w:rPr>
          <w:fldChar w:fldCharType="separate"/>
        </w:r>
        <w:r w:rsidR="00DD3663">
          <w:rPr>
            <w:noProof/>
            <w:webHidden/>
          </w:rPr>
          <w:t>605</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5" w:history="1">
        <w:r w:rsidR="00DD3663" w:rsidRPr="00715797">
          <w:rPr>
            <w:rStyle w:val="Hyperlink"/>
            <w:noProof/>
          </w:rPr>
          <w:t>11.1</w:t>
        </w:r>
        <w:r w:rsidR="00DD3663">
          <w:rPr>
            <w:rFonts w:asciiTheme="minorHAnsi" w:eastAsiaTheme="minorEastAsia" w:hAnsiTheme="minorHAnsi" w:cstheme="minorBidi"/>
            <w:noProof/>
            <w:sz w:val="22"/>
            <w:szCs w:val="22"/>
            <w:lang w:val="en-US"/>
          </w:rPr>
          <w:tab/>
        </w:r>
        <w:r w:rsidR="00DD3663" w:rsidRPr="00715797">
          <w:rPr>
            <w:rStyle w:val="Hyperlink"/>
            <w:noProof/>
          </w:rPr>
          <w:t>Anexa A. Planul financiar MPGT</w:t>
        </w:r>
        <w:r w:rsidR="00DD3663">
          <w:rPr>
            <w:noProof/>
            <w:webHidden/>
          </w:rPr>
          <w:tab/>
        </w:r>
        <w:r w:rsidR="003259E9">
          <w:rPr>
            <w:noProof/>
            <w:webHidden/>
          </w:rPr>
          <w:fldChar w:fldCharType="begin"/>
        </w:r>
        <w:r w:rsidR="00DD3663">
          <w:rPr>
            <w:noProof/>
            <w:webHidden/>
          </w:rPr>
          <w:instrText xml:space="preserve"> PAGEREF _Toc413060365 \h </w:instrText>
        </w:r>
        <w:r w:rsidR="003259E9">
          <w:rPr>
            <w:noProof/>
            <w:webHidden/>
          </w:rPr>
        </w:r>
        <w:r w:rsidR="003259E9">
          <w:rPr>
            <w:noProof/>
            <w:webHidden/>
          </w:rPr>
          <w:fldChar w:fldCharType="separate"/>
        </w:r>
        <w:r w:rsidR="00DD3663">
          <w:rPr>
            <w:noProof/>
            <w:webHidden/>
          </w:rPr>
          <w:t>606</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6" w:history="1">
        <w:r w:rsidR="00DD3663" w:rsidRPr="00715797">
          <w:rPr>
            <w:rStyle w:val="Hyperlink"/>
            <w:noProof/>
          </w:rPr>
          <w:t>11.2</w:t>
        </w:r>
        <w:r w:rsidR="00DD3663">
          <w:rPr>
            <w:rFonts w:asciiTheme="minorHAnsi" w:eastAsiaTheme="minorEastAsia" w:hAnsiTheme="minorHAnsi" w:cstheme="minorBidi"/>
            <w:noProof/>
            <w:sz w:val="22"/>
            <w:szCs w:val="22"/>
            <w:lang w:val="en-US"/>
          </w:rPr>
          <w:tab/>
        </w:r>
        <w:r w:rsidR="00DD3663" w:rsidRPr="00715797">
          <w:rPr>
            <w:rStyle w:val="Hyperlink"/>
            <w:noProof/>
          </w:rPr>
          <w:t>Anexa B. Hărți TEN-T pentru România</w:t>
        </w:r>
        <w:r w:rsidR="00DD3663">
          <w:rPr>
            <w:noProof/>
            <w:webHidden/>
          </w:rPr>
          <w:tab/>
        </w:r>
        <w:r w:rsidR="003259E9">
          <w:rPr>
            <w:noProof/>
            <w:webHidden/>
          </w:rPr>
          <w:fldChar w:fldCharType="begin"/>
        </w:r>
        <w:r w:rsidR="00DD3663">
          <w:rPr>
            <w:noProof/>
            <w:webHidden/>
          </w:rPr>
          <w:instrText xml:space="preserve"> PAGEREF _Toc413060366 \h </w:instrText>
        </w:r>
        <w:r w:rsidR="003259E9">
          <w:rPr>
            <w:noProof/>
            <w:webHidden/>
          </w:rPr>
        </w:r>
        <w:r w:rsidR="003259E9">
          <w:rPr>
            <w:noProof/>
            <w:webHidden/>
          </w:rPr>
          <w:fldChar w:fldCharType="separate"/>
        </w:r>
        <w:r w:rsidR="00DD3663">
          <w:rPr>
            <w:noProof/>
            <w:webHidden/>
          </w:rPr>
          <w:t>607</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7" w:history="1">
        <w:r w:rsidR="00DD3663" w:rsidRPr="00715797">
          <w:rPr>
            <w:rStyle w:val="Hyperlink"/>
            <w:noProof/>
          </w:rPr>
          <w:t>11.3</w:t>
        </w:r>
        <w:r w:rsidR="00DD3663">
          <w:rPr>
            <w:rFonts w:asciiTheme="minorHAnsi" w:eastAsiaTheme="minorEastAsia" w:hAnsiTheme="minorHAnsi" w:cstheme="minorBidi"/>
            <w:noProof/>
            <w:sz w:val="22"/>
            <w:szCs w:val="22"/>
            <w:lang w:val="en-US"/>
          </w:rPr>
          <w:tab/>
        </w:r>
        <w:r w:rsidR="00DD3663" w:rsidRPr="00715797">
          <w:rPr>
            <w:rStyle w:val="Hyperlink"/>
            <w:noProof/>
          </w:rPr>
          <w:t>Anexa D. Proiecte potențiale de electrificare</w:t>
        </w:r>
        <w:r w:rsidR="00DD3663">
          <w:rPr>
            <w:noProof/>
            <w:webHidden/>
          </w:rPr>
          <w:tab/>
        </w:r>
        <w:r w:rsidR="003259E9">
          <w:rPr>
            <w:noProof/>
            <w:webHidden/>
          </w:rPr>
          <w:fldChar w:fldCharType="begin"/>
        </w:r>
        <w:r w:rsidR="00DD3663">
          <w:rPr>
            <w:noProof/>
            <w:webHidden/>
          </w:rPr>
          <w:instrText xml:space="preserve"> PAGEREF _Toc413060367 \h </w:instrText>
        </w:r>
        <w:r w:rsidR="003259E9">
          <w:rPr>
            <w:noProof/>
            <w:webHidden/>
          </w:rPr>
        </w:r>
        <w:r w:rsidR="003259E9">
          <w:rPr>
            <w:noProof/>
            <w:webHidden/>
          </w:rPr>
          <w:fldChar w:fldCharType="separate"/>
        </w:r>
        <w:r w:rsidR="00DD3663">
          <w:rPr>
            <w:noProof/>
            <w:webHidden/>
          </w:rPr>
          <w:t>609</w:t>
        </w:r>
        <w:r w:rsidR="003259E9">
          <w:rPr>
            <w:noProof/>
            <w:webHidden/>
          </w:rPr>
          <w:fldChar w:fldCharType="end"/>
        </w:r>
      </w:hyperlink>
    </w:p>
    <w:p w:rsidR="00DD3663" w:rsidRDefault="00966D0E">
      <w:pPr>
        <w:pStyle w:val="TOC2"/>
        <w:tabs>
          <w:tab w:val="left" w:pos="1360"/>
        </w:tabs>
        <w:rPr>
          <w:rFonts w:asciiTheme="minorHAnsi" w:eastAsiaTheme="minorEastAsia" w:hAnsiTheme="minorHAnsi" w:cstheme="minorBidi"/>
          <w:noProof/>
          <w:sz w:val="22"/>
          <w:szCs w:val="22"/>
          <w:lang w:val="en-US"/>
        </w:rPr>
      </w:pPr>
      <w:hyperlink w:anchor="_Toc413060368" w:history="1">
        <w:r w:rsidR="00DD3663" w:rsidRPr="00715797">
          <w:rPr>
            <w:rStyle w:val="Hyperlink"/>
            <w:noProof/>
          </w:rPr>
          <w:t>11.4</w:t>
        </w:r>
        <w:r w:rsidR="00DD3663">
          <w:rPr>
            <w:rFonts w:asciiTheme="minorHAnsi" w:eastAsiaTheme="minorEastAsia" w:hAnsiTheme="minorHAnsi" w:cstheme="minorBidi"/>
            <w:noProof/>
            <w:sz w:val="22"/>
            <w:szCs w:val="22"/>
            <w:lang w:val="en-US"/>
          </w:rPr>
          <w:tab/>
        </w:r>
        <w:r w:rsidR="00DD3663" w:rsidRPr="00715797">
          <w:rPr>
            <w:rStyle w:val="Hyperlink"/>
            <w:noProof/>
          </w:rPr>
          <w:t>Anexa E. Lista proiectelor incluse în Scenariul de Referință</w:t>
        </w:r>
        <w:r w:rsidR="00DD3663">
          <w:rPr>
            <w:noProof/>
            <w:webHidden/>
          </w:rPr>
          <w:tab/>
        </w:r>
        <w:r w:rsidR="003259E9">
          <w:rPr>
            <w:noProof/>
            <w:webHidden/>
          </w:rPr>
          <w:fldChar w:fldCharType="begin"/>
        </w:r>
        <w:r w:rsidR="00DD3663">
          <w:rPr>
            <w:noProof/>
            <w:webHidden/>
          </w:rPr>
          <w:instrText xml:space="preserve"> PAGEREF _Toc413060368 \h </w:instrText>
        </w:r>
        <w:r w:rsidR="003259E9">
          <w:rPr>
            <w:noProof/>
            <w:webHidden/>
          </w:rPr>
        </w:r>
        <w:r w:rsidR="003259E9">
          <w:rPr>
            <w:noProof/>
            <w:webHidden/>
          </w:rPr>
          <w:fldChar w:fldCharType="separate"/>
        </w:r>
        <w:r w:rsidR="00DD3663">
          <w:rPr>
            <w:noProof/>
            <w:webHidden/>
          </w:rPr>
          <w:t>610</w:t>
        </w:r>
        <w:r w:rsidR="003259E9">
          <w:rPr>
            <w:noProof/>
            <w:webHidden/>
          </w:rPr>
          <w:fldChar w:fldCharType="end"/>
        </w:r>
      </w:hyperlink>
    </w:p>
    <w:p w:rsidR="00B4550A" w:rsidRPr="00E0488D" w:rsidRDefault="003259E9" w:rsidP="00B4550A">
      <w:pPr>
        <w:tabs>
          <w:tab w:val="left" w:pos="2070"/>
        </w:tabs>
        <w:rPr>
          <w:lang w:val="ro-RO"/>
        </w:rPr>
      </w:pPr>
      <w:r w:rsidRPr="00E0488D">
        <w:rPr>
          <w:caps/>
          <w:color w:val="5F497A" w:themeColor="accent4" w:themeShade="BF"/>
          <w:lang w:val="ro-RO"/>
        </w:rPr>
        <w:fldChar w:fldCharType="end"/>
      </w:r>
    </w:p>
    <w:p w:rsidR="00B4550A" w:rsidRPr="00E0488D" w:rsidRDefault="00B4550A" w:rsidP="00B4550A">
      <w:pPr>
        <w:tabs>
          <w:tab w:val="left" w:pos="2070"/>
        </w:tabs>
        <w:rPr>
          <w:vanish/>
          <w:lang w:val="ro-RO"/>
        </w:rPr>
      </w:pPr>
      <w:r w:rsidRPr="00E0488D">
        <w:rPr>
          <w:vanish/>
          <w:lang w:val="ro-RO"/>
        </w:rPr>
        <w:t>Do not delete the line below as you will remove the Bookmark TOA (Table of Appendices)</w:t>
      </w:r>
    </w:p>
    <w:p w:rsidR="00B4550A" w:rsidRPr="00E0488D" w:rsidRDefault="00B4550A" w:rsidP="00B4550A">
      <w:pPr>
        <w:tabs>
          <w:tab w:val="left" w:pos="2070"/>
        </w:tabs>
        <w:rPr>
          <w:vanish/>
          <w:lang w:val="ro-RO"/>
        </w:rPr>
      </w:pPr>
      <w:r w:rsidRPr="00E0488D">
        <w:rPr>
          <w:vanish/>
          <w:lang w:val="ro-RO"/>
        </w:rPr>
        <w:t>Do not delete the line below as you will remove the Bookmark TOT (Table of Tables)</w:t>
      </w:r>
    </w:p>
    <w:p w:rsidR="00B4550A" w:rsidRPr="00E0488D" w:rsidRDefault="00B4550A" w:rsidP="00B4550A">
      <w:pPr>
        <w:tabs>
          <w:tab w:val="left" w:pos="2070"/>
        </w:tabs>
        <w:rPr>
          <w:vanish/>
          <w:lang w:val="ro-RO"/>
        </w:rPr>
      </w:pPr>
      <w:r w:rsidRPr="00E0488D">
        <w:rPr>
          <w:vanish/>
          <w:lang w:val="ro-RO"/>
        </w:rPr>
        <w:t>Do not delete the line below as you will remove the Bookmark TOF (Table of Figures)</w:t>
      </w:r>
    </w:p>
    <w:p w:rsidR="00B4550A" w:rsidRPr="00E0488D" w:rsidRDefault="00B4550A" w:rsidP="00B4550A">
      <w:pPr>
        <w:tabs>
          <w:tab w:val="left" w:pos="2070"/>
        </w:tabs>
        <w:rPr>
          <w:vanish/>
          <w:lang w:val="ro-RO"/>
        </w:rPr>
      </w:pPr>
      <w:r w:rsidRPr="00E0488D">
        <w:rPr>
          <w:vanish/>
          <w:lang w:val="ro-RO"/>
        </w:rPr>
        <w:t>Do not delete the line below as you will remove the Bookmark TOP (Table of Photographs)</w:t>
      </w:r>
    </w:p>
    <w:bookmarkEnd w:id="0"/>
    <w:p w:rsidR="00B4550A" w:rsidRPr="00E0488D" w:rsidRDefault="00B4550A" w:rsidP="00B4550A">
      <w:pPr>
        <w:pStyle w:val="Body"/>
        <w:rPr>
          <w:lang w:val="ro-RO"/>
        </w:rPr>
      </w:pPr>
    </w:p>
    <w:p w:rsidR="00B4550A" w:rsidRPr="00E0488D" w:rsidRDefault="00B4550A" w:rsidP="00B4550A">
      <w:pPr>
        <w:pStyle w:val="Body"/>
        <w:rPr>
          <w:lang w:val="ro-RO"/>
        </w:rPr>
        <w:sectPr w:rsidR="00B4550A" w:rsidRPr="00E0488D" w:rsidSect="00944029">
          <w:headerReference w:type="default" r:id="rId24"/>
          <w:pgSz w:w="11907" w:h="16840" w:code="9"/>
          <w:pgMar w:top="-1134" w:right="709" w:bottom="1729" w:left="907" w:header="357" w:footer="567" w:gutter="0"/>
          <w:cols w:space="187"/>
          <w:docGrid w:linePitch="360"/>
        </w:sectPr>
      </w:pPr>
    </w:p>
    <w:p w:rsidR="00B4550A" w:rsidRPr="00E0488D" w:rsidRDefault="00B4550A" w:rsidP="00B4550A">
      <w:pPr>
        <w:framePr w:w="5052" w:h="1264" w:wrap="notBeside" w:vAnchor="page" w:hAnchor="margin" w:y="2088"/>
        <w:rPr>
          <w:rFonts w:cs="Arial"/>
          <w:b/>
          <w:color w:val="9E0880"/>
          <w:sz w:val="30"/>
          <w:szCs w:val="30"/>
          <w:lang w:val="ro-RO"/>
        </w:rPr>
      </w:pPr>
      <w:bookmarkStart w:id="3" w:name="_Toc382311844"/>
      <w:bookmarkStart w:id="4" w:name="_Toc384054423"/>
      <w:bookmarkStart w:id="5" w:name="_Toc327965369"/>
      <w:bookmarkStart w:id="6" w:name="_Toc327965462"/>
      <w:bookmarkStart w:id="7" w:name="_Toc327965490"/>
      <w:bookmarkStart w:id="8" w:name="_Toc327965559"/>
      <w:bookmarkStart w:id="9" w:name="_Toc327965605"/>
      <w:r w:rsidRPr="00E0488D">
        <w:rPr>
          <w:rFonts w:cs="Arial"/>
          <w:b/>
          <w:color w:val="9E0880"/>
          <w:sz w:val="30"/>
          <w:szCs w:val="30"/>
          <w:lang w:val="ro-RO"/>
        </w:rPr>
        <w:lastRenderedPageBreak/>
        <w:t>Listă de abrevieri și acronime</w:t>
      </w:r>
      <w:bookmarkEnd w:id="3"/>
      <w:bookmarkEnd w:id="4"/>
    </w:p>
    <w:p w:rsidR="00B4550A" w:rsidRPr="00E0488D" w:rsidRDefault="00B4550A" w:rsidP="00B4550A">
      <w:pPr>
        <w:rPr>
          <w:b/>
          <w:sz w:val="20"/>
          <w:szCs w:val="20"/>
          <w:lang w:val="ro-RO"/>
        </w:rPr>
      </w:pPr>
    </w:p>
    <w:p w:rsidR="00B4550A" w:rsidRPr="00E0488D" w:rsidRDefault="00B4550A" w:rsidP="00B4550A">
      <w:pPr>
        <w:rPr>
          <w:b/>
          <w:sz w:val="20"/>
          <w:szCs w:val="20"/>
          <w:lang w:val="ro-RO"/>
        </w:rPr>
      </w:pPr>
    </w:p>
    <w:tbl>
      <w:tblPr>
        <w:tblW w:w="5000" w:type="pct"/>
        <w:tblLook w:val="04A0" w:firstRow="1" w:lastRow="0" w:firstColumn="1" w:lastColumn="0" w:noHBand="0" w:noVBand="1"/>
      </w:tblPr>
      <w:tblGrid>
        <w:gridCol w:w="1950"/>
        <w:gridCol w:w="8557"/>
      </w:tblGrid>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ACN</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Administrația Canalelor Navigabile din România</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AIS</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Sistem Automat de Informare pentru monitorizarea navelor</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APDF</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Administrația Porturilor Dunării Fluviale din România, cu sediul în Galați</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Anul de bază</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2011, anul pentru care Modelul Național de Transport a fost calibrat</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CESTRIN</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Centrul de Studii Tehnice Rutiere și Informatică, parte a CNADNR</w:t>
            </w:r>
          </w:p>
        </w:tc>
      </w:tr>
      <w:tr w:rsidR="00B4550A" w:rsidRPr="00E0488D" w:rsidTr="003C7FC8">
        <w:trPr>
          <w:trHeight w:val="344"/>
        </w:trPr>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CFR Călători</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Operatorul de stat de transport feroviar de călători</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CFR Infrastructură (CFR SA)</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Compania de stat de administrare a infrastructurii feroviare</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CFR Marfă</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Operatorul de stat de transport feroviar de marfă</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CNADNR</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Compania Națională de Administrare a Drumurilor Naționale și Autostrăzilor din România</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Tren Desiro</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Un tren diesel modern, format din mai multe vagoane</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DMU</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Diesel multiple unit: 2 sau 4 vagoane cuplate, care pot fi operate din oricare din capete</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ECR</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AECOM Existing Conditions Report – Raportul privind Condițiile Existente</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EMU</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Electric multiple unit</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EuroRAP</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European Road Assessment Programme, o organizație care are ca obiect de activitate siguranța transportului rutier</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Șenalul navigabil</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Secțiunea navigabilă a unei căi de navigație fluvială</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PIB</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Produsul Intern Brut</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GJT</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Generalised Journey Time – Costul Generalizat de Călătorie. Include timpii de așteptare, de acces, costul deplasării și durata călătoriei (transformate în echivalent de timp)</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GTMP</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General Transport Master Plan – Master Plan General de Transport</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ILS</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Instrument Landing System</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Transport Intermodal</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Transport care utilizează două sau mai multe moduri, de exemplu rutier și feroviar sau naval și rutier</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Inter-Regio</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Tren de pasageri cu număr redus de opriri</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NAPA</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North Adriatic Ports Association</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NTM</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National Transport Model – Modelul Național de Transport</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Pasageri-km</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 xml:space="preserve">Distanța agregată parcursă de pasageri </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PCN</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Pavement Classification Number –indicator care evaluează capacitatea portantă a pistelor și platformelor</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PSC</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Public Service Contract – Contract de Servicii Publice, un contract între Guvern și operatori privind furnizarea de servicii publice de transport feroviar</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Push-pull</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Un tip operațiune de tractare locală a trenurilor în care trenurile pot fi tractate din oricare capăt</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Împingător</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Tipul de navă utilizat pentru operarea barjelor pe Dunăre</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Scenariul de Referință</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Rețelele de transport care ar exista în cazul în care proiectele certe ar fi implementate. Acesta formează un caz de referință față de care vor fi testate proiectele noi</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Regio</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Tren de pasageri cu număr mare de opriri</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Tone-km</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 xml:space="preserve">Distanța agregată parcursă de mărfuri </w:t>
            </w:r>
          </w:p>
        </w:tc>
      </w:tr>
      <w:tr w:rsidR="00B4550A" w:rsidRPr="00E0488D" w:rsidTr="003C7FC8">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UNTRR</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Uniunea Națională a Transportatorilor Rutieri din România</w:t>
            </w:r>
          </w:p>
        </w:tc>
      </w:tr>
      <w:tr w:rsidR="00B4550A" w:rsidRPr="00E0488D" w:rsidTr="003C7FC8">
        <w:trPr>
          <w:trHeight w:val="265"/>
        </w:trPr>
        <w:tc>
          <w:tcPr>
            <w:tcW w:w="928" w:type="pct"/>
          </w:tcPr>
          <w:p w:rsidR="00B4550A" w:rsidRPr="00E0488D" w:rsidRDefault="00B4550A" w:rsidP="003C7FC8">
            <w:pPr>
              <w:pStyle w:val="Body"/>
              <w:spacing w:before="0" w:after="0" w:line="240" w:lineRule="atLeast"/>
              <w:ind w:left="0"/>
              <w:jc w:val="left"/>
              <w:rPr>
                <w:b/>
                <w:i w:val="0"/>
                <w:sz w:val="20"/>
                <w:szCs w:val="20"/>
                <w:lang w:val="ro-RO"/>
              </w:rPr>
            </w:pPr>
            <w:r w:rsidRPr="00E0488D">
              <w:rPr>
                <w:b/>
                <w:i w:val="0"/>
                <w:sz w:val="20"/>
                <w:szCs w:val="20"/>
                <w:lang w:val="ro-RO"/>
              </w:rPr>
              <w:t>UTI</w:t>
            </w:r>
          </w:p>
        </w:tc>
        <w:tc>
          <w:tcPr>
            <w:tcW w:w="4072" w:type="pct"/>
          </w:tcPr>
          <w:p w:rsidR="00B4550A" w:rsidRPr="00E0488D" w:rsidRDefault="00B4550A" w:rsidP="003C7FC8">
            <w:pPr>
              <w:pStyle w:val="Body"/>
              <w:spacing w:before="0" w:after="0" w:line="240" w:lineRule="atLeast"/>
              <w:ind w:left="0"/>
              <w:jc w:val="left"/>
              <w:rPr>
                <w:i w:val="0"/>
                <w:sz w:val="20"/>
                <w:szCs w:val="20"/>
                <w:lang w:val="ro-RO"/>
              </w:rPr>
            </w:pPr>
            <w:r w:rsidRPr="00E0488D">
              <w:rPr>
                <w:i w:val="0"/>
                <w:sz w:val="20"/>
                <w:szCs w:val="20"/>
                <w:lang w:val="ro-RO"/>
              </w:rPr>
              <w:t>Unité du Transport Intermodal, unitatea de măsură pentru transportul containerizat</w:t>
            </w:r>
          </w:p>
        </w:tc>
      </w:tr>
    </w:tbl>
    <w:p w:rsidR="00B4550A" w:rsidRPr="00E0488D" w:rsidRDefault="00B4550A" w:rsidP="00B4550A">
      <w:pPr>
        <w:pStyle w:val="Body"/>
        <w:rPr>
          <w:lang w:val="ro-RO"/>
        </w:rPr>
        <w:sectPr w:rsidR="00B4550A" w:rsidRPr="00E0488D" w:rsidSect="0016213E">
          <w:headerReference w:type="default" r:id="rId25"/>
          <w:pgSz w:w="11907" w:h="16840" w:code="9"/>
          <w:pgMar w:top="-1701" w:right="709" w:bottom="1729" w:left="907" w:header="357" w:footer="567" w:gutter="0"/>
          <w:cols w:space="187"/>
          <w:docGrid w:linePitch="360"/>
        </w:sectPr>
      </w:pPr>
    </w:p>
    <w:p w:rsidR="00B4550A" w:rsidRPr="00E0488D" w:rsidRDefault="00B4550A" w:rsidP="00B4550A">
      <w:pPr>
        <w:pStyle w:val="SecDivider0"/>
        <w:sectPr w:rsidR="00B4550A" w:rsidRPr="00E0488D">
          <w:headerReference w:type="default" r:id="rId26"/>
          <w:footerReference w:type="default" r:id="rId27"/>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lastRenderedPageBreak/>
        <w:t>Introducere</w:t>
      </w:r>
    </w:p>
    <w:p w:rsidR="00B4550A" w:rsidRPr="00E0488D" w:rsidRDefault="00B4550A" w:rsidP="00B4550A">
      <w:pPr>
        <w:pStyle w:val="Body"/>
        <w:rPr>
          <w:lang w:val="ro-RO"/>
        </w:rPr>
      </w:pPr>
    </w:p>
    <w:p w:rsidR="00B4550A" w:rsidRPr="00E0488D" w:rsidRDefault="00B4550A" w:rsidP="00B4550A">
      <w:pPr>
        <w:pStyle w:val="Body"/>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rap="notBeside"/>
        <w:numPr>
          <w:ilvl w:val="0"/>
          <w:numId w:val="2"/>
        </w:numPr>
        <w:tabs>
          <w:tab w:val="clear" w:pos="680"/>
        </w:tabs>
        <w:ind w:left="851" w:hanging="851"/>
      </w:pPr>
      <w:bookmarkStart w:id="10" w:name="_Toc397065228"/>
      <w:bookmarkStart w:id="11" w:name="_Toc413060294"/>
      <w:bookmarkEnd w:id="5"/>
      <w:bookmarkEnd w:id="6"/>
      <w:bookmarkEnd w:id="7"/>
      <w:bookmarkEnd w:id="8"/>
      <w:bookmarkEnd w:id="9"/>
      <w:r w:rsidRPr="00E0488D">
        <w:lastRenderedPageBreak/>
        <w:t>Introduc</w:t>
      </w:r>
      <w:bookmarkEnd w:id="10"/>
      <w:r w:rsidRPr="00E0488D">
        <w:t>ere</w:t>
      </w:r>
      <w:bookmarkEnd w:id="11"/>
    </w:p>
    <w:p w:rsidR="00B4550A" w:rsidRPr="00E0488D" w:rsidRDefault="00B4550A" w:rsidP="00B4550A">
      <w:pPr>
        <w:rPr>
          <w:lang w:val="ro-RO"/>
        </w:rPr>
      </w:pPr>
      <w:bookmarkStart w:id="12" w:name="_Toc334637950"/>
      <w:bookmarkStart w:id="13" w:name="_Toc340208794"/>
      <w:bookmarkStart w:id="14" w:name="_Toc369073224"/>
    </w:p>
    <w:bookmarkEnd w:id="12"/>
    <w:bookmarkEnd w:id="13"/>
    <w:bookmarkEnd w:id="14"/>
    <w:p w:rsidR="00B4550A" w:rsidRPr="00E0488D" w:rsidRDefault="00B4550A" w:rsidP="002B7E09">
      <w:pPr>
        <w:pStyle w:val="NumberedParas"/>
      </w:pPr>
      <w:r w:rsidRPr="00E0488D">
        <w:t xml:space="preserve">Ministerul Transporturilor (MT) a numit în luna aprilie 2012 firma AECOM Ingenieria să elaboreze Master Planului </w:t>
      </w:r>
      <w:r w:rsidRPr="000F50C2">
        <w:t>General</w:t>
      </w:r>
      <w:r w:rsidRPr="00E0488D">
        <w:t xml:space="preserve"> de Transport (MPGT) pentru România.</w:t>
      </w:r>
    </w:p>
    <w:p w:rsidR="00B4550A" w:rsidRPr="00E0488D" w:rsidRDefault="00B4550A" w:rsidP="002B7E09">
      <w:pPr>
        <w:pStyle w:val="NumberedParas"/>
        <w:rPr>
          <w:b/>
          <w:bCs/>
        </w:rPr>
      </w:pPr>
      <w:r w:rsidRPr="00E0488D">
        <w:t xml:space="preserve">Master Planul General de Transport va oferi o strategie clară de dezvoltare a sectorului de transport din România pentru următorii 20 de ani. Pentru a putea fi valorificat, acesta trebuie să ofere soluții aplicabile pentru problemele și cerințele sectorului de transport din România.  </w:t>
      </w:r>
    </w:p>
    <w:p w:rsidR="00B4550A" w:rsidRPr="00E0488D" w:rsidRDefault="00B4550A" w:rsidP="002B7E09">
      <w:pPr>
        <w:pStyle w:val="NumberedParas"/>
      </w:pPr>
      <w:r w:rsidRPr="00E0488D">
        <w:t xml:space="preserve">Master Planul identifică proiectele și politicile care răspund cel mai bine nevoilor de transport ale României în următorii 5 -15 ani, pentru toate modurile de transport, furnizând o bază analitică solidă pentru alegerea unor </w:t>
      </w:r>
      <w:r w:rsidR="000F50C2">
        <w:t>asemenea politici și proiecte.</w:t>
      </w:r>
    </w:p>
    <w:p w:rsidR="00B4550A" w:rsidRPr="00E0488D" w:rsidRDefault="00B4550A" w:rsidP="002B7E09">
      <w:pPr>
        <w:pStyle w:val="NumberedParas"/>
      </w:pPr>
      <w:r w:rsidRPr="00E0488D">
        <w:t>Finalizarea Master Planului General de Transport constituie o condiționalitate pentru aprobarea de către Comisia Europeană a Programului Operațional Strategic pentru Transport (POST) pentru perioada 2014 -2020.</w:t>
      </w:r>
    </w:p>
    <w:p w:rsidR="00B4550A" w:rsidRPr="00E0488D" w:rsidRDefault="00B4550A" w:rsidP="002B7E09">
      <w:pPr>
        <w:pStyle w:val="NumberedParas"/>
      </w:pPr>
      <w:r w:rsidRPr="00E0488D">
        <w:t>Master Planul a fost elaborat în conformitate cu recomandările Comisiei Europene</w:t>
      </w:r>
      <w:r w:rsidRPr="00E0488D">
        <w:rPr>
          <w:rStyle w:val="FootnoteReference"/>
        </w:rPr>
        <w:footnoteReference w:id="1"/>
      </w:r>
      <w:r w:rsidRPr="00E0488D">
        <w:t xml:space="preserve"> și în cooperare cu unitatea JASPERS din București.</w:t>
      </w:r>
    </w:p>
    <w:p w:rsidR="00B4550A" w:rsidRPr="00E0488D" w:rsidRDefault="00B4550A" w:rsidP="002B7E09">
      <w:pPr>
        <w:pStyle w:val="NumberedParas"/>
      </w:pPr>
      <w:r w:rsidRPr="00E0488D">
        <w:t>Un Master Plan de Transport nu este un scop în sine. Master Planul trebuie să contribuie la dezvoltarea economică a României într-un mod durabil. Rezultatele generale ale Master Planului sunt următoarele:</w:t>
      </w:r>
    </w:p>
    <w:p w:rsidR="00B4550A" w:rsidRPr="00E0488D" w:rsidRDefault="00B4550A" w:rsidP="00B4550A">
      <w:pPr>
        <w:pStyle w:val="ListParagraph"/>
        <w:pBdr>
          <w:top w:val="single" w:sz="4" w:space="1" w:color="auto"/>
          <w:left w:val="single" w:sz="4" w:space="4" w:color="auto"/>
          <w:bottom w:val="single" w:sz="4" w:space="2" w:color="auto"/>
          <w:right w:val="single" w:sz="4" w:space="4" w:color="auto"/>
        </w:pBdr>
        <w:shd w:val="clear" w:color="auto" w:fill="C6D9F1" w:themeFill="text2" w:themeFillTint="33"/>
        <w:tabs>
          <w:tab w:val="left" w:pos="851"/>
        </w:tabs>
        <w:spacing w:before="120" w:after="120" w:line="276" w:lineRule="auto"/>
        <w:ind w:left="851" w:hanging="851"/>
        <w:rPr>
          <w:bCs/>
          <w:i/>
          <w:sz w:val="22"/>
          <w:szCs w:val="22"/>
          <w:lang w:val="ro-RO"/>
        </w:rPr>
      </w:pPr>
      <w:r w:rsidRPr="00E0488D">
        <w:rPr>
          <w:b/>
          <w:bCs/>
          <w:i/>
          <w:sz w:val="22"/>
          <w:szCs w:val="22"/>
          <w:lang w:val="ro-RO"/>
        </w:rPr>
        <w:t xml:space="preserve">Rezultatul </w:t>
      </w:r>
      <w:r w:rsidRPr="00E0488D">
        <w:rPr>
          <w:bCs/>
          <w:i/>
          <w:sz w:val="22"/>
          <w:szCs w:val="22"/>
          <w:lang w:val="ro-RO"/>
        </w:rPr>
        <w:t>1: Un plan pe termen lung care va contribui la dezvoltarea economică a României într-un mod durabil</w:t>
      </w:r>
    </w:p>
    <w:p w:rsidR="00B4550A" w:rsidRPr="00E0488D" w:rsidRDefault="00B4550A" w:rsidP="002B7E09">
      <w:pPr>
        <w:pStyle w:val="NumberedParas"/>
      </w:pPr>
      <w:r w:rsidRPr="00E0488D">
        <w:t>Orizontul de timp al planului va fi de 15 ani, dar programul complet de implementare a proiectelor va depăși această perioadă. Acest lucru este firesc, întrucât proiectele mari de transport se desfășoară, de obicei, pe o perioadă de 5-10 ani de la demarare până la finalizare, iar impactul acestora este de peste 50 de ani, deși, în mod convențional, se estimează că durata economică a proiectelor de transport este de 30 de ani</w:t>
      </w:r>
      <w:r w:rsidRPr="00E0488D">
        <w:rPr>
          <w:rStyle w:val="FootnoteReference"/>
          <w:rFonts w:cs="Arial"/>
          <w:bCs/>
        </w:rPr>
        <w:footnoteReference w:id="2"/>
      </w:r>
      <w:r w:rsidRPr="00E0488D">
        <w:t>.</w:t>
      </w:r>
      <w:r w:rsidRPr="00E0488D">
        <w:rPr>
          <w:rFonts w:cs="Arial"/>
        </w:rPr>
        <w:t xml:space="preserve"> Această perspectivă implică, de asemenea, o abordare coerentă a politicilor de transport pe o perioadă mai îndelungată de timp, care transcende oportunitățile politice</w:t>
      </w:r>
      <w:r w:rsidRPr="00E0488D">
        <w:t>.</w:t>
      </w:r>
    </w:p>
    <w:p w:rsidR="00B4550A" w:rsidRPr="00E0488D" w:rsidRDefault="00B4550A" w:rsidP="002B7E09">
      <w:pPr>
        <w:pStyle w:val="NumberedParas"/>
        <w:rPr>
          <w:b/>
        </w:rPr>
      </w:pPr>
      <w:r w:rsidRPr="00E0488D">
        <w:t xml:space="preserve">În al doilea rând, scopul principal al Planului constă în definirea proiectelor și politicilor care vor avea un impact la nivel național și la nivelul coridoarelor europene TEN-T.  </w:t>
      </w:r>
    </w:p>
    <w:p w:rsidR="00B4550A" w:rsidRPr="00E0488D" w:rsidRDefault="00B4550A" w:rsidP="00B4550A">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tabs>
          <w:tab w:val="left" w:pos="851"/>
        </w:tabs>
        <w:spacing w:before="120" w:after="120" w:line="276" w:lineRule="auto"/>
        <w:ind w:left="851" w:hanging="851"/>
        <w:rPr>
          <w:bCs/>
          <w:i/>
          <w:sz w:val="22"/>
          <w:szCs w:val="22"/>
          <w:lang w:val="ro-RO"/>
        </w:rPr>
      </w:pPr>
      <w:r w:rsidRPr="00E0488D">
        <w:rPr>
          <w:b/>
          <w:bCs/>
          <w:i/>
          <w:sz w:val="22"/>
          <w:szCs w:val="22"/>
          <w:lang w:val="ro-RO"/>
        </w:rPr>
        <w:t>Rezultatul 2:</w:t>
      </w:r>
      <w:r w:rsidRPr="00E0488D">
        <w:rPr>
          <w:bCs/>
          <w:i/>
          <w:sz w:val="22"/>
          <w:szCs w:val="22"/>
          <w:lang w:val="ro-RO"/>
        </w:rPr>
        <w:t xml:space="preserve"> Utilizarea mai eficientă a resurselor financiare în sectorul transporturilor</w:t>
      </w:r>
    </w:p>
    <w:p w:rsidR="00B4550A" w:rsidRPr="00E0488D" w:rsidRDefault="00B4550A" w:rsidP="002B7E09">
      <w:pPr>
        <w:pStyle w:val="NumberedParas"/>
      </w:pPr>
      <w:r w:rsidRPr="00E0488D">
        <w:t>Cuvântul cheie al acestui rezultat este “eficient”.</w:t>
      </w:r>
      <w:r w:rsidRPr="00E0488D">
        <w:rPr>
          <w:b/>
        </w:rPr>
        <w:t xml:space="preserve"> </w:t>
      </w:r>
      <w:r w:rsidRPr="00E0488D">
        <w:t>În toate țările</w:t>
      </w:r>
      <w:r w:rsidRPr="00E0488D">
        <w:rPr>
          <w:b/>
        </w:rPr>
        <w:t xml:space="preserve"> </w:t>
      </w:r>
      <w:r w:rsidRPr="00E0488D">
        <w:t>europene nevoia de investiții aferentă dezvoltării transporturilor depășește resursele financiare disponibile iar această situație nu se va schimba în următorii 15-20 de ani. Astfel, având în vedere resursele financiare limitate, trebuie să se pună accentul pe proiectele și politicile cu o mai mare rentabilitate economică și cugrad crescut de utilitate.</w:t>
      </w:r>
    </w:p>
    <w:p w:rsidR="00B4550A" w:rsidRPr="00E0488D" w:rsidRDefault="00B4550A" w:rsidP="00B4550A">
      <w:pPr>
        <w:pStyle w:val="ListParagraph"/>
        <w:pBdr>
          <w:top w:val="single" w:sz="4" w:space="1" w:color="auto"/>
          <w:left w:val="single" w:sz="4" w:space="4" w:color="auto"/>
          <w:bottom w:val="single" w:sz="4" w:space="0" w:color="auto"/>
          <w:right w:val="single" w:sz="4" w:space="4" w:color="auto"/>
        </w:pBdr>
        <w:shd w:val="clear" w:color="auto" w:fill="C6D9F1" w:themeFill="text2" w:themeFillTint="33"/>
        <w:spacing w:before="120" w:after="120" w:line="276" w:lineRule="auto"/>
        <w:ind w:left="0"/>
        <w:rPr>
          <w:bCs/>
          <w:i/>
          <w:sz w:val="22"/>
          <w:szCs w:val="22"/>
          <w:lang w:val="ro-RO"/>
        </w:rPr>
      </w:pPr>
      <w:r w:rsidRPr="00E0488D">
        <w:rPr>
          <w:b/>
          <w:bCs/>
          <w:i/>
          <w:sz w:val="22"/>
          <w:szCs w:val="22"/>
          <w:lang w:val="ro-RO"/>
        </w:rPr>
        <w:t>Rezultatul 3:</w:t>
      </w:r>
      <w:r w:rsidRPr="00E0488D">
        <w:rPr>
          <w:bCs/>
          <w:i/>
          <w:sz w:val="22"/>
          <w:szCs w:val="22"/>
          <w:lang w:val="ro-RO"/>
        </w:rPr>
        <w:t xml:space="preserve"> Conexiuni îmbunătățite și, astfel, un comerț îmbunătățit cu țările vecine</w:t>
      </w:r>
    </w:p>
    <w:p w:rsidR="00B4550A" w:rsidRPr="00E0488D" w:rsidRDefault="00B4550A" w:rsidP="002B7E09">
      <w:pPr>
        <w:pStyle w:val="NumberedParas"/>
      </w:pPr>
      <w:r w:rsidRPr="00E0488D">
        <w:t xml:space="preserve">Planul trebuie să considere nu doar faptul că România face parte din Uniunea Europeană, care în esență este o comunitate economică cu un comerț liber și concurență loială între </w:t>
      </w:r>
      <w:r w:rsidRPr="00E0488D">
        <w:lastRenderedPageBreak/>
        <w:t>membri, ci și faptul că deține piețe importante (relativ slab dezvoltate în prezent) în Ucraina, Rusia și Moldova.</w:t>
      </w:r>
    </w:p>
    <w:p w:rsidR="00B4550A" w:rsidRPr="00E0488D" w:rsidRDefault="00B4550A" w:rsidP="00B4550A">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tabs>
          <w:tab w:val="left" w:pos="851"/>
        </w:tabs>
        <w:spacing w:before="120" w:after="120" w:line="276" w:lineRule="auto"/>
        <w:ind w:left="851" w:hanging="851"/>
        <w:rPr>
          <w:bCs/>
          <w:i/>
          <w:sz w:val="22"/>
          <w:szCs w:val="22"/>
          <w:lang w:val="ro-RO"/>
        </w:rPr>
      </w:pPr>
      <w:r w:rsidRPr="00E0488D">
        <w:rPr>
          <w:b/>
          <w:bCs/>
          <w:i/>
          <w:sz w:val="22"/>
          <w:szCs w:val="22"/>
          <w:lang w:val="ro-RO"/>
        </w:rPr>
        <w:t>Rezultatul 4:</w:t>
      </w:r>
      <w:r w:rsidRPr="00E0488D">
        <w:rPr>
          <w:bCs/>
          <w:sz w:val="22"/>
          <w:szCs w:val="22"/>
          <w:lang w:val="ro-RO"/>
        </w:rPr>
        <w:t xml:space="preserve"> </w:t>
      </w:r>
      <w:r w:rsidRPr="00E0488D">
        <w:rPr>
          <w:bCs/>
          <w:i/>
          <w:sz w:val="22"/>
          <w:szCs w:val="22"/>
          <w:lang w:val="ro-RO"/>
        </w:rPr>
        <w:t>O productivitate crescută pentru industria și serviciile din Romania și, implicit, o creștere economică mai pronunțată și un nivel de trai îmbunătățit</w:t>
      </w:r>
    </w:p>
    <w:p w:rsidR="00B4550A" w:rsidRPr="00E0488D" w:rsidRDefault="00B4550A" w:rsidP="002B7E09">
      <w:pPr>
        <w:pStyle w:val="NumberedParas"/>
      </w:pPr>
      <w:r w:rsidRPr="00E0488D">
        <w:t>Sistemele de transport eficiente reduc costurile atât pentru industrie cât și pentru persoanele fizice. În ceea ce privește industria, aceasta presupune costuri reduse și o productivitate mai mare, mai puține resurse necesare, mai multe produse competitive și piețe mai mari pentru desfacerea produselor. Pentru operatorii de transport, un transport superior presupune costuri mai mici și o mai bună exploatare a vehiculelor și personalului. Pentru persoanele fizice, un transport mai eficient presupune economisire de timp și oportunități crescute pentru alegerea locului de muncă dar și o diversificare a ofertei de bunuri de consum și a posibilităților de petrecere a timpului liber.</w:t>
      </w:r>
    </w:p>
    <w:p w:rsidR="00B4550A" w:rsidRPr="00E0488D" w:rsidRDefault="00B4550A" w:rsidP="002B7E09">
      <w:pPr>
        <w:pStyle w:val="NumberedParas"/>
      </w:pPr>
      <w:r w:rsidRPr="00E0488D">
        <w:t>Analiza Cost-Beneficiu acoperă majoritatea acestor beneficii legate de productivitate.</w:t>
      </w:r>
    </w:p>
    <w:p w:rsidR="00B4550A" w:rsidRPr="00E0488D" w:rsidRDefault="00B4550A" w:rsidP="00B4550A">
      <w:pPr>
        <w:pStyle w:val="ListParagraph"/>
        <w:pBdr>
          <w:top w:val="single" w:sz="4" w:space="1" w:color="auto"/>
          <w:left w:val="single" w:sz="4" w:space="4" w:color="auto"/>
          <w:bottom w:val="single" w:sz="4" w:space="1" w:color="auto"/>
          <w:right w:val="single" w:sz="4" w:space="4" w:color="auto"/>
        </w:pBdr>
        <w:shd w:val="clear" w:color="auto" w:fill="C6D9F1" w:themeFill="text2" w:themeFillTint="33"/>
        <w:tabs>
          <w:tab w:val="left" w:pos="851"/>
        </w:tabs>
        <w:spacing w:before="120" w:after="120" w:line="276" w:lineRule="auto"/>
        <w:ind w:left="851" w:hanging="851"/>
        <w:rPr>
          <w:bCs/>
          <w:i/>
          <w:sz w:val="22"/>
          <w:szCs w:val="22"/>
          <w:lang w:val="ro-RO"/>
        </w:rPr>
      </w:pPr>
      <w:r w:rsidRPr="00E0488D">
        <w:rPr>
          <w:b/>
          <w:bCs/>
          <w:i/>
          <w:sz w:val="22"/>
          <w:szCs w:val="22"/>
          <w:lang w:val="ro-RO"/>
        </w:rPr>
        <w:t>Rezultatul 5:</w:t>
      </w:r>
      <w:r w:rsidRPr="00E0488D">
        <w:rPr>
          <w:bCs/>
          <w:i/>
          <w:sz w:val="22"/>
          <w:szCs w:val="22"/>
          <w:lang w:val="ro-RO"/>
        </w:rPr>
        <w:t xml:space="preserve"> Un sistem de transport durabil (sustenabil)</w:t>
      </w:r>
    </w:p>
    <w:p w:rsidR="00B4550A" w:rsidRPr="00E0488D" w:rsidRDefault="00B4550A" w:rsidP="002B7E09">
      <w:pPr>
        <w:pStyle w:val="NumberedParas"/>
      </w:pPr>
      <w:r w:rsidRPr="00E0488D">
        <w:t>Cuvântul durabil (sustenabil) presupune mai mult decât sustenabilitatea de mediu, deși acesta este contextul în care cuvântul este adesea folosit. Acesta cuprinde concepte de sustenabilitate economică și operațională alături de sustenabilitatea de mediu. Aspectul sustenabilității financiare este relevant în special în cazul finanțării sistemului feroviar din România.</w:t>
      </w:r>
    </w:p>
    <w:p w:rsidR="00B4550A" w:rsidRPr="00E0488D" w:rsidRDefault="00B4550A" w:rsidP="002B7E09">
      <w:pPr>
        <w:pStyle w:val="NumberedParas"/>
      </w:pPr>
      <w:r w:rsidRPr="00E0488D">
        <w:t>Pe scurt, Master Planul va identifica proiectele și politicile care vor satisface cel mai bine nevoile sectorului de transport din România în următorii 5-15 ani, pentru toate modurile de transport, oferind o bază solidă, analitică, în alegerea acelor politici și proiecte.</w:t>
      </w:r>
      <w:r w:rsidRPr="00E0488D">
        <w:rPr>
          <w:rStyle w:val="FootnoteReference"/>
          <w:bCs/>
        </w:rPr>
        <w:footnoteReference w:id="3"/>
      </w:r>
    </w:p>
    <w:p w:rsidR="00B4550A" w:rsidRPr="00E0488D" w:rsidRDefault="00B4550A" w:rsidP="00B4550A">
      <w:pPr>
        <w:rPr>
          <w:lang w:val="ro-RO"/>
        </w:rPr>
      </w:pPr>
    </w:p>
    <w:p w:rsidR="00B4550A" w:rsidRPr="00E0488D" w:rsidRDefault="00B4550A" w:rsidP="00B4550A">
      <w:pPr>
        <w:rPr>
          <w:lang w:val="ro-RO"/>
        </w:rPr>
      </w:pPr>
      <w:bookmarkStart w:id="15" w:name="_Toc374536218"/>
    </w:p>
    <w:p w:rsidR="00B4550A" w:rsidRPr="00E0488D" w:rsidRDefault="00B4550A" w:rsidP="00B4550A">
      <w:pPr>
        <w:rPr>
          <w:lang w:val="ro-RO"/>
        </w:rPr>
        <w:sectPr w:rsidR="00B4550A" w:rsidRPr="00E0488D" w:rsidSect="00933C17">
          <w:headerReference w:type="default" r:id="rId28"/>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29"/>
          <w:footerReference w:type="default" r:id="rId30"/>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lastRenderedPageBreak/>
        <w:t>Metodologia de elaborare a Master Planului General de Transport</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tabs>
          <w:tab w:val="clear" w:pos="680"/>
        </w:tabs>
        <w:ind w:left="851" w:hanging="851"/>
      </w:pPr>
      <w:bookmarkStart w:id="16" w:name="_Toc397065229"/>
      <w:bookmarkStart w:id="17" w:name="_Toc413060295"/>
      <w:bookmarkEnd w:id="15"/>
      <w:r w:rsidRPr="00E0488D">
        <w:lastRenderedPageBreak/>
        <w:t>Metodolo</w:t>
      </w:r>
      <w:bookmarkEnd w:id="16"/>
      <w:r w:rsidRPr="00E0488D">
        <w:t>gia de elaborare a Master Planului General de Transport</w:t>
      </w:r>
      <w:bookmarkEnd w:id="17"/>
    </w:p>
    <w:p w:rsidR="00B4550A" w:rsidRPr="00E0488D" w:rsidRDefault="00B4550A" w:rsidP="00B4550A">
      <w:pPr>
        <w:rPr>
          <w:lang w:val="ro-RO"/>
        </w:rPr>
      </w:pPr>
    </w:p>
    <w:p w:rsidR="00B4550A" w:rsidRPr="00E0488D" w:rsidRDefault="00B4550A" w:rsidP="00BD59B2">
      <w:pPr>
        <w:pStyle w:val="Hdg2"/>
      </w:pPr>
      <w:bookmarkStart w:id="18" w:name="_Toc413060296"/>
      <w:r w:rsidRPr="00E0488D">
        <w:t>Metodologia generală</w:t>
      </w:r>
      <w:bookmarkEnd w:id="18"/>
    </w:p>
    <w:p w:rsidR="00B4550A" w:rsidRPr="00E0488D" w:rsidRDefault="00B4550A" w:rsidP="002B7E09">
      <w:pPr>
        <w:pStyle w:val="NumberedParas"/>
      </w:pPr>
      <w:r w:rsidRPr="00E0488D">
        <w:t>Procesul general de elaborare a Master Planului este ilustrat în Figura 2.1 de mai jos: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Figura 2.1 Procesul general de elaborare a Master Planului General de Transport</w:t>
      </w:r>
    </w:p>
    <w:p w:rsidR="00B4550A" w:rsidRPr="00E0488D" w:rsidRDefault="00B4550A" w:rsidP="00B4550A">
      <w:pPr>
        <w:spacing w:before="120" w:after="120" w:line="276" w:lineRule="auto"/>
        <w:ind w:left="851"/>
        <w:rPr>
          <w:sz w:val="22"/>
          <w:szCs w:val="22"/>
          <w:lang w:val="ro-RO"/>
        </w:rPr>
      </w:pPr>
      <w:r w:rsidRPr="00E0488D">
        <w:rPr>
          <w:noProof/>
          <w:sz w:val="22"/>
          <w:szCs w:val="22"/>
          <w:lang w:val="ro-RO" w:eastAsia="ro-RO"/>
        </w:rPr>
        <w:drawing>
          <wp:inline distT="0" distB="0" distL="0" distR="0">
            <wp:extent cx="5713840" cy="1892410"/>
            <wp:effectExtent l="0" t="19050" r="1270" b="12700"/>
            <wp:docPr id="801"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B4550A" w:rsidRPr="00E0488D" w:rsidRDefault="00B4550A" w:rsidP="00BC2B57">
      <w:pPr>
        <w:pStyle w:val="BulletLevel1"/>
      </w:pPr>
      <w:r w:rsidRPr="00E0488D">
        <w:rPr>
          <w:b/>
        </w:rPr>
        <w:t xml:space="preserve">Pasul 1: Obiectivele strategice </w:t>
      </w:r>
      <w:r w:rsidRPr="00E0488D">
        <w:t>sunt acele obiective definite la nivel guvernamental sau ministerial și care se aplică în general, ca scopuri sau obiective generice ale Guvernului și Ministerului Transporturilor. Pentru Master Plan acestea au fost definite folosind obiectivele din Caietul de Sarcini, strategii ale Ministerului Transporturilor și Cartea Albă a Transporturilor a Uniunii Europene.</w:t>
      </w:r>
    </w:p>
    <w:p w:rsidR="00B4550A" w:rsidRPr="00E0488D" w:rsidRDefault="00B4550A" w:rsidP="00BC2B57">
      <w:pPr>
        <w:pStyle w:val="BulletLevel1"/>
      </w:pPr>
      <w:r w:rsidRPr="00E0488D">
        <w:rPr>
          <w:b/>
        </w:rPr>
        <w:t xml:space="preserve">Pasul 2: Definirea problemelor </w:t>
      </w:r>
      <w:r w:rsidRPr="00E0488D">
        <w:t xml:space="preserve">reprezintă rezultatul unei analize diagnostic a sistemului de transport. Am identificat cauzele care stau la baza și sunt responsabile pentru manifestarea problemelor și am definit problemele la nivel spațial pentru a facilita identificarea obiectivelor specifice și a intervențiilor. </w:t>
      </w:r>
    </w:p>
    <w:p w:rsidR="00B4550A" w:rsidRPr="00E0488D" w:rsidRDefault="00B4550A" w:rsidP="00BC2B57">
      <w:pPr>
        <w:pStyle w:val="BulletLevel1"/>
      </w:pPr>
      <w:r w:rsidRPr="00E0488D">
        <w:rPr>
          <w:b/>
        </w:rPr>
        <w:t>Pasul 3: Obiectivele operaționale</w:t>
      </w:r>
      <w:r w:rsidRPr="00E0488D">
        <w:t>: acestea sunt obiectivele ce țin de problemele specifice identificate și care reprezintă un sub-set al Obiectivelor Strategice.</w:t>
      </w:r>
    </w:p>
    <w:p w:rsidR="00B4550A" w:rsidRPr="00E0488D" w:rsidRDefault="00B4550A" w:rsidP="00BC2B57">
      <w:pPr>
        <w:pStyle w:val="BulletLevel1"/>
      </w:pPr>
      <w:r w:rsidRPr="00E0488D">
        <w:rPr>
          <w:b/>
        </w:rPr>
        <w:t>Pasul 4: Generarea proiectelor</w:t>
      </w:r>
      <w:r w:rsidRPr="00E0488D">
        <w:t xml:space="preserve">: acestea reprezintă intervenții specifice care se adresează obiectivelor operaționale și problemelor. </w:t>
      </w:r>
    </w:p>
    <w:p w:rsidR="00B4550A" w:rsidRPr="00E0488D" w:rsidRDefault="00B4550A" w:rsidP="00BC2B57">
      <w:pPr>
        <w:pStyle w:val="BulletLevel1"/>
      </w:pPr>
      <w:r w:rsidRPr="00E0488D">
        <w:rPr>
          <w:b/>
        </w:rPr>
        <w:t>Pasul 5: Evaluarea și Prioritizarea proiectelor</w:t>
      </w:r>
      <w:r w:rsidRPr="00E0488D">
        <w:t>: este necesar un proces sistematizat de evaluare a proiectelor din două motive principale. În primul rând, pot exista mai multe proiecte care să se adreseze unui anumit obiectiv operațional și astfel devine necesar un proces de selecție. În al doilea rând, un proiect poate rezolva o problemă dar poate avea un slab raport calitate/preț. Într-o situație cum este cea a României, în care fondurile disponibile pentru transport sunt mult inferioare nevoilor identificate, resursele financiare trebuie alocate într-un mod eficient. Astfel, este necesară utilizarea unei metode corecte și independente de evaluare a proiectelor. În acest scop a fost realizată o Analiză Multi Criterială (AMC).</w:t>
      </w:r>
    </w:p>
    <w:p w:rsidR="00B4550A" w:rsidRPr="00E0488D" w:rsidRDefault="00B4550A" w:rsidP="00BC2B57">
      <w:pPr>
        <w:pStyle w:val="BulletLevel1"/>
      </w:pPr>
      <w:r w:rsidRPr="00E0488D">
        <w:rPr>
          <w:b/>
        </w:rPr>
        <w:t>Pasul 6: Elaborarea Scenariilor Master Planului</w:t>
      </w:r>
      <w:r w:rsidRPr="00E0488D">
        <w:t>; În cadrul Caietului de Sarcini se solicită elaborarea a două scenarii, un scenariu de Sustenabilitate Economică și un scenariu de Sustenabilitate Economică și de Mediu. În cadrul analizei multicriteriale fiecare proiect a primit un punctaj în funcție de gradul în care a îndeplinit criteriile de evaluare predefinite. Folosind diferite ponderi pentru punctaje, fiecare proiect a primit două punctaje aparținând câte unui scenariu, rezultând astfel câte un set diferit de proiecte prioritare pentru fiecare scenariu.</w:t>
      </w:r>
    </w:p>
    <w:p w:rsidR="00B4550A" w:rsidRPr="00E0488D" w:rsidRDefault="00B4550A" w:rsidP="002B7E09">
      <w:pPr>
        <w:pStyle w:val="NumberedParas"/>
      </w:pPr>
      <w:r w:rsidRPr="00E0488D">
        <w:lastRenderedPageBreak/>
        <w:t>Master Planul General de Transport al României este, așa cum sugerează și numele, un Plan Național. Se pune astfel problema dimensiunii proiectelor, politicilor și programelor pe care Master Planul le conține. Obiectivele generale vor fi îndeplinite prin intermediul politicilor, programelor și proiectelor suficient de mari astfel încât acestea să aibă efect la nivel național. Acestea includ intervenții precum:</w:t>
      </w:r>
    </w:p>
    <w:p w:rsidR="00B4550A" w:rsidRPr="00E0488D" w:rsidRDefault="00B4550A" w:rsidP="00BC2B57">
      <w:pPr>
        <w:pStyle w:val="BulletLevel1"/>
      </w:pPr>
      <w:r w:rsidRPr="00E0488D">
        <w:t>Proiecte mari de infrastructură</w:t>
      </w:r>
    </w:p>
    <w:p w:rsidR="00B4550A" w:rsidRPr="00E0488D" w:rsidRDefault="00B4550A" w:rsidP="00BC2B57">
      <w:pPr>
        <w:pStyle w:val="BulletLevel1"/>
      </w:pPr>
      <w:r w:rsidRPr="00E0488D">
        <w:t>Programe naționale de întreținere</w:t>
      </w:r>
    </w:p>
    <w:p w:rsidR="00B4550A" w:rsidRPr="00E0488D" w:rsidRDefault="00B4550A" w:rsidP="00BC2B57">
      <w:pPr>
        <w:pStyle w:val="BulletLevel1"/>
      </w:pPr>
      <w:r w:rsidRPr="00E0488D">
        <w:t>Material rulant nou</w:t>
      </w:r>
    </w:p>
    <w:p w:rsidR="00B4550A" w:rsidRPr="00E0488D" w:rsidRDefault="00B4550A" w:rsidP="00BC2B57">
      <w:pPr>
        <w:pStyle w:val="BulletLevel1"/>
      </w:pPr>
      <w:r w:rsidRPr="00E0488D">
        <w:t>Proiecte de reabilitare la scară largă</w:t>
      </w:r>
    </w:p>
    <w:p w:rsidR="00B4550A" w:rsidRPr="00E0488D" w:rsidRDefault="00B4550A" w:rsidP="00BC2B57">
      <w:pPr>
        <w:pStyle w:val="BulletLevel1"/>
      </w:pPr>
      <w:r w:rsidRPr="00E0488D">
        <w:t>Politici naționale, precum Reforma Feroviară</w:t>
      </w:r>
    </w:p>
    <w:p w:rsidR="00B4550A" w:rsidRPr="00E0488D" w:rsidRDefault="00B4550A" w:rsidP="00B4550A">
      <w:pPr>
        <w:rPr>
          <w:lang w:val="ro-RO"/>
        </w:rPr>
      </w:pPr>
    </w:p>
    <w:p w:rsidR="00B4550A" w:rsidRPr="00E0488D" w:rsidRDefault="00B4550A" w:rsidP="00BD59B2">
      <w:pPr>
        <w:pStyle w:val="Hdg2"/>
      </w:pPr>
      <w:bookmarkStart w:id="19" w:name="_Toc397065231"/>
      <w:bookmarkStart w:id="20" w:name="_Toc413060297"/>
      <w:r w:rsidRPr="00E0488D">
        <w:t>Stabilirea obiectivelor</w:t>
      </w:r>
      <w:bookmarkEnd w:id="19"/>
      <w:bookmarkEnd w:id="20"/>
    </w:p>
    <w:p w:rsidR="00B4550A" w:rsidRPr="00E0488D" w:rsidRDefault="00B4550A" w:rsidP="002B7E09">
      <w:pPr>
        <w:pStyle w:val="NumberedParas"/>
      </w:pPr>
      <w:r w:rsidRPr="00E0488D">
        <w:t>Stabilirea obiectivelor este fundamentală pentru dezvoltarea oricărei strategii sau proiect. Obiectivele stabilite se vor axa pe evaluare şi pe rezultatul studiului. În plus, obiectivele vor fi importante in monitorizarea şi evaluarea necesară în timpul etapei de implementare.</w:t>
      </w:r>
    </w:p>
    <w:p w:rsidR="00B4550A" w:rsidRPr="00E0488D" w:rsidRDefault="00B4550A" w:rsidP="002B7E09">
      <w:pPr>
        <w:pStyle w:val="NumberedParas"/>
      </w:pPr>
      <w:r w:rsidRPr="00E0488D">
        <w:t xml:space="preserve">Obiectivele strategice vor prevedea scopuri clare şi concise pe care strategia va trebui să le atingă. Acestea conțin scopul fundamental al Politicii de Transport, Proiectelor și intervențiilor și reprezintă dezideratele și obiectivele generale ale Ministerului Transporturilor și ale Guvernului României în ceea ce privește dezvoltarea sectorului transporturilor. </w:t>
      </w:r>
    </w:p>
    <w:p w:rsidR="00B4550A" w:rsidRPr="00E0488D" w:rsidRDefault="00B4550A" w:rsidP="002B7E09">
      <w:pPr>
        <w:pStyle w:val="NumberedParas"/>
      </w:pPr>
      <w:r w:rsidRPr="00E0488D">
        <w:t xml:space="preserve">Este important să subliniem faptul că Master Planul este o Strategie pe termen lung pentru toată România și nu doar pentru acele zone ale țării localizate pe coridoarele europene. Factorul determinant pentru proiectele și politicile din Master Plan va fi necesitatea națională. Disponibilitatea fondurilor va reprezenta, de asemenea, un factor important al prioritizării și programării. </w:t>
      </w:r>
    </w:p>
    <w:p w:rsidR="00B4550A" w:rsidRPr="00E0488D" w:rsidRDefault="00B4550A" w:rsidP="002B7E09">
      <w:pPr>
        <w:pStyle w:val="NumberedParas"/>
      </w:pPr>
      <w:r w:rsidRPr="00E0488D">
        <w:t>Conceptul obiectivelor strategice și operaționale care sunt definite în urma unei evaluări riguroase a problemelor oferă o ierarhie a obiectivelor. Această structură clarifică logica intervenției și furnizează un cadru pentru evaluări și aprecieri viitoare. Procesul de evaluare pentru Master Plan conține o ierarhie pe două niveluri, constând în:</w:t>
      </w:r>
    </w:p>
    <w:p w:rsidR="00B4550A" w:rsidRPr="00E0488D" w:rsidRDefault="00B4550A" w:rsidP="00BC2B57">
      <w:pPr>
        <w:pStyle w:val="BulletLevel1"/>
      </w:pPr>
      <w:r w:rsidRPr="00E0488D">
        <w:rPr>
          <w:b/>
        </w:rPr>
        <w:t>Obiective generale sau strategice</w:t>
      </w:r>
      <w:r w:rsidRPr="00E0488D">
        <w:t xml:space="preserve"> – pentru o strategie, aceasta poate însemna sprijinirea dezvoltării economice a ţării sau, la nivel de proiect, sprijinirea dezvoltării reţelei trans-europene de transport. Acestea sunt obiective generale la care contribuie transportul, dar nu întotdeauna în mod direct. În plus, aceste obiective pot să fie deja predefinite, de exemplu, în documentele de politică UE sau naţională; și</w:t>
      </w:r>
    </w:p>
    <w:p w:rsidR="00B4550A" w:rsidRPr="00E0488D" w:rsidRDefault="00B4550A" w:rsidP="00BC2B57">
      <w:pPr>
        <w:pStyle w:val="BulletLevel1"/>
      </w:pPr>
      <w:r w:rsidRPr="00E0488D">
        <w:rPr>
          <w:b/>
        </w:rPr>
        <w:t>Obiective operaționale sau specifice</w:t>
      </w:r>
      <w:r w:rsidRPr="00E0488D">
        <w:t xml:space="preserve"> – sunt derivate din analiza detaliată a problemelor și a cauzelor fundamentale ale acestora. Sunt astfel specifice unui anumit coridor, unei anumite rute sau nod de transport (cum ar fi un port sau un aeroport, spre exemplu) și permit intervențiilor să fie proiectate într-o manieră precisă, care să facliteze îndeplinirea obiectivelor. </w:t>
      </w:r>
    </w:p>
    <w:p w:rsidR="00B4550A" w:rsidRPr="00E0488D" w:rsidRDefault="00B4550A" w:rsidP="002B7E09">
      <w:pPr>
        <w:pStyle w:val="NumberedParas"/>
      </w:pPr>
      <w:r w:rsidRPr="00E0488D">
        <w:t xml:space="preserve">Este, de asemenea, important să subliniem faptul că stabilirea obiectivelor implică un angajament de îndeplinire a acestora prin intermediul acțiunilor și proiectelor. Pot exista motive legitime pentru evoluții mai lente ale procesului de implementare față de cele </w:t>
      </w:r>
      <w:r w:rsidRPr="00E0488D">
        <w:lastRenderedPageBreak/>
        <w:t>preconizate dar principalul factor determinant care stă la baza proiectelor din Master Plan trebuie să fie realizarea obiectivelor.</w:t>
      </w:r>
    </w:p>
    <w:p w:rsidR="00B4550A" w:rsidRPr="00E0488D" w:rsidRDefault="00B4550A" w:rsidP="002B7E09">
      <w:pPr>
        <w:pStyle w:val="NumberedParas"/>
      </w:pPr>
      <w:r w:rsidRPr="00E0488D">
        <w:t>Obiectivele strategice ale Master Planului nu sunt specifice unui anumit mod: acțiunile și proiectele pentru care folosim termenul “intervenții”, și care derivă din obiective ar trebui să fie legate de modurile specifice care sunt cele mai potrivite pentru realizarea obiectivelor.</w:t>
      </w:r>
    </w:p>
    <w:p w:rsidR="00B4550A" w:rsidRPr="00E0488D" w:rsidRDefault="00B4550A" w:rsidP="00B4550A">
      <w:pPr>
        <w:pStyle w:val="Hdg3"/>
      </w:pPr>
      <w:r w:rsidRPr="00E0488D">
        <w:t>Obiectivele strategice</w:t>
      </w:r>
    </w:p>
    <w:p w:rsidR="00B4550A" w:rsidRPr="00E0488D" w:rsidRDefault="00B4550A" w:rsidP="002B7E09">
      <w:pPr>
        <w:pStyle w:val="NumberedParas"/>
      </w:pPr>
      <w:r w:rsidRPr="00E0488D">
        <w:t>Documentele relevante pentru procesul de stabilire a obiectivelor strategice sunt următoarele:</w:t>
      </w:r>
    </w:p>
    <w:p w:rsidR="00B4550A" w:rsidRPr="00E0488D" w:rsidRDefault="00B4550A" w:rsidP="00BC2B57">
      <w:pPr>
        <w:pStyle w:val="BulletLevel1"/>
      </w:pPr>
      <w:r w:rsidRPr="00E0488D">
        <w:t>Obiectivele din cadrul Caietului de Sarcini (ToR)</w:t>
      </w:r>
    </w:p>
    <w:p w:rsidR="00B4550A" w:rsidRPr="00E0488D" w:rsidRDefault="00B4550A" w:rsidP="00BC2B57">
      <w:pPr>
        <w:pStyle w:val="BulletLevel1"/>
      </w:pPr>
      <w:r w:rsidRPr="00E0488D">
        <w:t>Misiune: Cuvântul introductiv al Ministrului din cadrul Planului Strategic al Ministerului Transporturilor  și infrastructurii</w:t>
      </w:r>
      <w:r w:rsidRPr="00E0488D">
        <w:rPr>
          <w:rStyle w:val="FootnoteReference"/>
        </w:rPr>
        <w:footnoteReference w:id="4"/>
      </w:r>
    </w:p>
    <w:p w:rsidR="00B4550A" w:rsidRPr="00E0488D" w:rsidRDefault="00B4550A" w:rsidP="00BC2B57">
      <w:pPr>
        <w:pStyle w:val="BulletLevel1"/>
      </w:pPr>
      <w:r w:rsidRPr="00E0488D">
        <w:t xml:space="preserve">Cartea Albă a Transporturilor UE 2011 </w:t>
      </w:r>
    </w:p>
    <w:p w:rsidR="00B4550A" w:rsidRPr="00E0488D" w:rsidRDefault="00B4550A" w:rsidP="00BC2B57">
      <w:pPr>
        <w:pStyle w:val="BulletLevel1"/>
      </w:pPr>
      <w:r w:rsidRPr="00E0488D">
        <w:t>Documentul strategic al Guvernului României privind politicile de transport 2012-20-12-1358430-0 – Program de guvernare 2013 -2016, Secțiunea Transport</w:t>
      </w:r>
    </w:p>
    <w:p w:rsidR="00B4550A" w:rsidRPr="00E0488D" w:rsidRDefault="00B4550A" w:rsidP="00BC2B57">
      <w:pPr>
        <w:pStyle w:val="BulletLevel1"/>
      </w:pPr>
      <w:r w:rsidRPr="00E0488D">
        <w:t>Acordul de Parteneriat 2014 – 2020 (a se consulta paginile 176 – 177)</w:t>
      </w:r>
    </w:p>
    <w:p w:rsidR="00B4550A" w:rsidRPr="00E0488D" w:rsidRDefault="00B4550A" w:rsidP="00BC2B57">
      <w:pPr>
        <w:pStyle w:val="BulletLevel1"/>
      </w:pPr>
      <w:r w:rsidRPr="00E0488D">
        <w:t xml:space="preserve">Raportul privind condițiile existente, AECOM </w:t>
      </w:r>
    </w:p>
    <w:p w:rsidR="00B4550A" w:rsidRPr="00E0488D" w:rsidRDefault="00B4550A" w:rsidP="00BC2B57">
      <w:pPr>
        <w:pStyle w:val="BulletLevel1"/>
      </w:pPr>
      <w:r w:rsidRPr="00E0488D">
        <w:t xml:space="preserve">Planul de Amenajare a Teritoriului Național – Secțiunea 1 – Căi de comunicații </w:t>
      </w:r>
    </w:p>
    <w:p w:rsidR="00B4550A" w:rsidRPr="00E0488D" w:rsidRDefault="00B4550A" w:rsidP="00BC2B57">
      <w:pPr>
        <w:pStyle w:val="BulletLevel1"/>
        <w:rPr>
          <w:rFonts w:ascii="Times New Roman" w:hAnsi="Times New Roman"/>
          <w:sz w:val="24"/>
          <w:szCs w:val="24"/>
        </w:rPr>
      </w:pPr>
      <w:r w:rsidRPr="00E0488D">
        <w:t>Rețelele UE de bază pentru sectorul rutier și feroviar</w:t>
      </w:r>
    </w:p>
    <w:p w:rsidR="00B4550A" w:rsidRPr="00E0488D" w:rsidRDefault="00B4550A" w:rsidP="002B7E09">
      <w:pPr>
        <w:pStyle w:val="NumberedParas"/>
      </w:pPr>
      <w:r w:rsidRPr="00E0488D">
        <w:t xml:space="preserve">Obiectivele cheie stabilite în Caietul de Sarcini pentru Master Planul General de Transport sunt legate de </w:t>
      </w:r>
    </w:p>
    <w:p w:rsidR="00B4550A" w:rsidRPr="00E0488D" w:rsidRDefault="00B4550A" w:rsidP="00BC2B57">
      <w:pPr>
        <w:pStyle w:val="BulletLevel1"/>
      </w:pPr>
      <w:r w:rsidRPr="00E0488D">
        <w:t>Eficiența Economică: sectorul transporturilor trebuie să contribuie la economia națională iar beneficiile economice pe care le generează trebuie să depășească costurile;</w:t>
      </w:r>
    </w:p>
    <w:p w:rsidR="00B4550A" w:rsidRPr="00E0488D" w:rsidRDefault="00B4550A" w:rsidP="00BC2B57">
      <w:pPr>
        <w:pStyle w:val="BulletLevel1"/>
      </w:pPr>
      <w:r w:rsidRPr="00E0488D">
        <w:t>Sustenabilitate: sistemul de transport trebuie să fie eficient din punct de vedere energetic și să lase generațiilor viitoare un sistem viabil;</w:t>
      </w:r>
    </w:p>
    <w:p w:rsidR="00B4550A" w:rsidRPr="00E0488D" w:rsidRDefault="00B4550A" w:rsidP="00BC2B57">
      <w:pPr>
        <w:pStyle w:val="BulletLevel1"/>
      </w:pPr>
      <w:r w:rsidRPr="00E0488D">
        <w:t>Siguranță: sistemul de transport trebuie să fie unul sigur;</w:t>
      </w:r>
    </w:p>
    <w:p w:rsidR="00B4550A" w:rsidRPr="00E0488D" w:rsidRDefault="00B4550A" w:rsidP="00BC2B57">
      <w:pPr>
        <w:pStyle w:val="BulletLevel1"/>
      </w:pPr>
      <w:r w:rsidRPr="00E0488D">
        <w:t>Dezvoltare economică:</w:t>
      </w:r>
      <w:r w:rsidRPr="00E0488D">
        <w:rPr>
          <w:b/>
        </w:rPr>
        <w:t xml:space="preserve"> </w:t>
      </w:r>
      <w:r w:rsidRPr="00E0488D">
        <w:t>sistemul de transport trebuie să faciliteze dezvoltarea economică națională;</w:t>
      </w:r>
    </w:p>
    <w:p w:rsidR="00B4550A" w:rsidRPr="00E0488D" w:rsidRDefault="00B4550A" w:rsidP="00BC2B57">
      <w:pPr>
        <w:pStyle w:val="BulletLevel1"/>
      </w:pPr>
      <w:r w:rsidRPr="00E0488D">
        <w:t>Financiar:</w:t>
      </w:r>
      <w:r w:rsidRPr="00E0488D">
        <w:rPr>
          <w:b/>
        </w:rPr>
        <w:t xml:space="preserve"> </w:t>
      </w:r>
      <w:r w:rsidRPr="00E0488D">
        <w:t>Master Planul trebuie să permită creșterea gradului de absorbție a fondurilor UE.</w:t>
      </w:r>
    </w:p>
    <w:p w:rsidR="00B4550A" w:rsidRPr="00E0488D" w:rsidRDefault="00B4550A" w:rsidP="002B7E09">
      <w:pPr>
        <w:pStyle w:val="NumberedParas"/>
      </w:pPr>
      <w:r w:rsidRPr="00E0488D">
        <w:t>Misiunea Ministerului Transporturilor, așa cum este enunțată în Versiunea Preliminară a Planului Strategic al Ministerului, accentuează următoarele puncte:</w:t>
      </w:r>
    </w:p>
    <w:p w:rsidR="00B4550A" w:rsidRPr="00E0488D" w:rsidRDefault="00B4550A" w:rsidP="00BC2B57">
      <w:pPr>
        <w:pStyle w:val="BulletLevel1"/>
      </w:pPr>
      <w:r w:rsidRPr="00E0488D">
        <w:t xml:space="preserve">Eficiența economică: un sistem de transport care generează beneficii mai mari decât costurile; </w:t>
      </w:r>
    </w:p>
    <w:p w:rsidR="00B4550A" w:rsidRPr="00E0488D" w:rsidRDefault="00B4550A" w:rsidP="00BC2B57">
      <w:pPr>
        <w:pStyle w:val="BulletLevel1"/>
      </w:pPr>
      <w:r w:rsidRPr="00E0488D">
        <w:t>Echitate: costurile și beneficiile sistemului de transport trebuie distribuite în mod egal între cetățeni, domenii de activitate și arii geografice:</w:t>
      </w:r>
    </w:p>
    <w:p w:rsidR="00B4550A" w:rsidRPr="00E0488D" w:rsidRDefault="00B4550A" w:rsidP="00BC2B57">
      <w:pPr>
        <w:pStyle w:val="BulletLevel1"/>
        <w:rPr>
          <w:b/>
        </w:rPr>
      </w:pPr>
      <w:r w:rsidRPr="00E0488D">
        <w:t xml:space="preserve">Siguranță: infrastructura și serviciile de transport trebuie oferite în așa fel încât să ferească oamenii de accidente și deces. </w:t>
      </w:r>
    </w:p>
    <w:p w:rsidR="00B4550A" w:rsidRPr="00E0488D" w:rsidRDefault="00B4550A" w:rsidP="00BC2B57">
      <w:pPr>
        <w:pStyle w:val="BulletLevel1"/>
      </w:pPr>
      <w:r w:rsidRPr="00E0488D">
        <w:lastRenderedPageBreak/>
        <w:t>Integrare:</w:t>
      </w:r>
      <w:r w:rsidRPr="00E0488D">
        <w:rPr>
          <w:b/>
        </w:rPr>
        <w:t xml:space="preserve"> </w:t>
      </w:r>
      <w:r w:rsidRPr="00E0488D">
        <w:t>sistemul de transport ar putea permite oamenilor să facă anumite călătorii mai confortabile și mai eficiente utilizând o combinație de moduri de transport iar pentru transportul de mărfuri ar putea permite minimizarea costurilor.</w:t>
      </w:r>
    </w:p>
    <w:p w:rsidR="00B4550A" w:rsidRPr="00E0488D" w:rsidRDefault="00B4550A" w:rsidP="00BC2B57">
      <w:pPr>
        <w:pStyle w:val="BulletLevel1"/>
      </w:pPr>
      <w:r w:rsidRPr="00E0488D">
        <w:t>Mediu:</w:t>
      </w:r>
      <w:r w:rsidRPr="00E0488D">
        <w:rPr>
          <w:b/>
        </w:rPr>
        <w:t xml:space="preserve"> </w:t>
      </w:r>
      <w:r w:rsidRPr="00E0488D">
        <w:t>sistemul de transport ar trebui să protejeze mediul înconjurător și, prin aceasta, ar trebui să sprijine dezvoltarea socială și economică spre beneficiul generației prezente și celor viitoare.</w:t>
      </w:r>
    </w:p>
    <w:p w:rsidR="00B4550A" w:rsidRPr="00E0488D" w:rsidRDefault="00B4550A" w:rsidP="002B7E09">
      <w:pPr>
        <w:pStyle w:val="NumberedParas"/>
      </w:pPr>
      <w:r w:rsidRPr="00E0488D">
        <w:t>România se bazează pe Fondurile de Coeziune și Fondurile de Dezvoltare Regională UE pentru cea mai mare parte a finanțărilor necesare noii infrastructuri de transport iar Caietul de Sarcini evidențiază  acest fapt. Astfel, obiectivele transportului din România trebuie să acorde atenția cuvenită politicilor actuale ale UE.</w:t>
      </w:r>
    </w:p>
    <w:p w:rsidR="00B4550A" w:rsidRPr="00E0488D" w:rsidRDefault="00B4550A" w:rsidP="002B7E09">
      <w:pPr>
        <w:pStyle w:val="NumberedParas"/>
      </w:pPr>
      <w:r w:rsidRPr="00E0488D">
        <w:t>Cartea Albă a Transporturilor publicată în 2011 stabilește în Anexa I o listă de inițiative, care sunt de fapt acțiuni grupate în câteva categorii și care ar putea fi privite ca obiective. Acestea sunt:</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1.</w:t>
      </w:r>
      <w:r w:rsidRPr="00E0488D">
        <w:rPr>
          <w:i/>
          <w:sz w:val="22"/>
          <w:szCs w:val="22"/>
          <w:lang w:val="ro-RO"/>
        </w:rPr>
        <w:tab/>
        <w:t>Un Sistem de Mobilitate eficient și integrat</w:t>
      </w:r>
    </w:p>
    <w:p w:rsidR="00B4550A" w:rsidRPr="00E0488D" w:rsidRDefault="00B4550A" w:rsidP="00687448">
      <w:pPr>
        <w:pStyle w:val="Body"/>
        <w:numPr>
          <w:ilvl w:val="0"/>
          <w:numId w:val="52"/>
        </w:numPr>
        <w:spacing w:before="0" w:after="120" w:line="240" w:lineRule="atLeast"/>
        <w:ind w:left="1701"/>
        <w:rPr>
          <w:i w:val="0"/>
          <w:lang w:val="ro-RO"/>
        </w:rPr>
      </w:pPr>
      <w:r w:rsidRPr="00E0488D">
        <w:rPr>
          <w:i w:val="0"/>
          <w:lang w:val="ro-RO"/>
        </w:rPr>
        <w:t xml:space="preserve">Un spațiu european unic al transporturilor </w:t>
      </w:r>
    </w:p>
    <w:p w:rsidR="00B4550A" w:rsidRPr="00E0488D" w:rsidRDefault="00B4550A" w:rsidP="00687448">
      <w:pPr>
        <w:pStyle w:val="Body"/>
        <w:numPr>
          <w:ilvl w:val="0"/>
          <w:numId w:val="52"/>
        </w:numPr>
        <w:spacing w:before="0" w:after="120" w:line="240" w:lineRule="atLeast"/>
        <w:ind w:left="1701"/>
        <w:rPr>
          <w:i w:val="0"/>
          <w:lang w:val="ro-RO"/>
        </w:rPr>
      </w:pPr>
      <w:r w:rsidRPr="00E0488D">
        <w:rPr>
          <w:i w:val="0"/>
          <w:lang w:val="ro-RO"/>
        </w:rPr>
        <w:t>Promovarea locurilor și condițiilor de muncă de calitate</w:t>
      </w:r>
    </w:p>
    <w:p w:rsidR="00B4550A" w:rsidRPr="00E0488D" w:rsidRDefault="00B4550A" w:rsidP="00687448">
      <w:pPr>
        <w:pStyle w:val="Body"/>
        <w:numPr>
          <w:ilvl w:val="0"/>
          <w:numId w:val="52"/>
        </w:numPr>
        <w:spacing w:before="0" w:after="120" w:line="240" w:lineRule="atLeast"/>
        <w:ind w:left="1701"/>
        <w:rPr>
          <w:i w:val="0"/>
          <w:lang w:val="ro-RO"/>
        </w:rPr>
      </w:pPr>
      <w:r w:rsidRPr="00E0488D">
        <w:rPr>
          <w:i w:val="0"/>
          <w:lang w:val="ro-RO"/>
        </w:rPr>
        <w:t>Transport sigur</w:t>
      </w:r>
    </w:p>
    <w:p w:rsidR="00B4550A" w:rsidRPr="00E0488D" w:rsidRDefault="00B4550A" w:rsidP="00687448">
      <w:pPr>
        <w:pStyle w:val="Body"/>
        <w:numPr>
          <w:ilvl w:val="0"/>
          <w:numId w:val="52"/>
        </w:numPr>
        <w:spacing w:before="0" w:after="120" w:line="240" w:lineRule="atLeast"/>
        <w:ind w:left="1701"/>
        <w:rPr>
          <w:i w:val="0"/>
          <w:lang w:val="ro-RO"/>
        </w:rPr>
      </w:pPr>
      <w:r w:rsidRPr="00E0488D">
        <w:rPr>
          <w:i w:val="0"/>
          <w:lang w:val="ro-RO"/>
        </w:rPr>
        <w:t>Calitate și fiabilitate a serviciilor</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2.</w:t>
      </w:r>
      <w:r w:rsidRPr="00E0488D">
        <w:rPr>
          <w:i/>
          <w:sz w:val="22"/>
          <w:szCs w:val="22"/>
          <w:lang w:val="ro-RO"/>
        </w:rPr>
        <w:tab/>
        <w:t>Inovare pentru viitor: Tehnologie și comportament</w:t>
      </w:r>
    </w:p>
    <w:p w:rsidR="00B4550A" w:rsidRPr="00E0488D" w:rsidRDefault="00B4550A" w:rsidP="00687448">
      <w:pPr>
        <w:pStyle w:val="Body"/>
        <w:numPr>
          <w:ilvl w:val="0"/>
          <w:numId w:val="53"/>
        </w:numPr>
        <w:spacing w:before="0" w:after="120" w:line="240" w:lineRule="atLeast"/>
        <w:ind w:left="1701"/>
        <w:rPr>
          <w:i w:val="0"/>
          <w:lang w:val="ro-RO"/>
        </w:rPr>
      </w:pPr>
      <w:r w:rsidRPr="00E0488D">
        <w:rPr>
          <w:i w:val="0"/>
          <w:lang w:val="ro-RO"/>
        </w:rPr>
        <w:t xml:space="preserve">O strategie europeană de cercetare, inovare și implementare în domeniul transporturilor  </w:t>
      </w:r>
    </w:p>
    <w:p w:rsidR="00B4550A" w:rsidRPr="00E0488D" w:rsidRDefault="00B4550A" w:rsidP="00687448">
      <w:pPr>
        <w:pStyle w:val="Body"/>
        <w:numPr>
          <w:ilvl w:val="0"/>
          <w:numId w:val="53"/>
        </w:numPr>
        <w:spacing w:before="0" w:after="120" w:line="240" w:lineRule="atLeast"/>
        <w:ind w:left="1701"/>
        <w:rPr>
          <w:i w:val="0"/>
          <w:lang w:val="ro-RO"/>
        </w:rPr>
      </w:pPr>
      <w:r w:rsidRPr="00E0488D">
        <w:rPr>
          <w:i w:val="0"/>
          <w:lang w:val="ro-RO"/>
        </w:rPr>
        <w:t>Promovarea unui comportament mai sustenabil</w:t>
      </w:r>
    </w:p>
    <w:p w:rsidR="00B4550A" w:rsidRPr="00E0488D" w:rsidRDefault="00B4550A" w:rsidP="00687448">
      <w:pPr>
        <w:pStyle w:val="Body"/>
        <w:numPr>
          <w:ilvl w:val="0"/>
          <w:numId w:val="53"/>
        </w:numPr>
        <w:spacing w:before="0" w:after="120" w:line="240" w:lineRule="atLeast"/>
        <w:ind w:left="1701"/>
        <w:rPr>
          <w:lang w:val="ro-RO"/>
        </w:rPr>
      </w:pPr>
      <w:r w:rsidRPr="00E0488D">
        <w:rPr>
          <w:i w:val="0"/>
          <w:lang w:val="ro-RO"/>
        </w:rPr>
        <w:t>Mobilitate urbană integrată</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3.</w:t>
      </w:r>
      <w:r w:rsidRPr="00E0488D">
        <w:rPr>
          <w:i/>
          <w:sz w:val="22"/>
          <w:szCs w:val="22"/>
          <w:lang w:val="ro-RO"/>
        </w:rPr>
        <w:tab/>
        <w:t>Infrastructură modernă și finanțare inteligentă</w:t>
      </w:r>
    </w:p>
    <w:p w:rsidR="00B4550A" w:rsidRPr="00E0488D" w:rsidRDefault="00B4550A" w:rsidP="00687448">
      <w:pPr>
        <w:pStyle w:val="Body"/>
        <w:numPr>
          <w:ilvl w:val="0"/>
          <w:numId w:val="53"/>
        </w:numPr>
        <w:spacing w:before="0" w:after="120" w:line="240" w:lineRule="atLeast"/>
        <w:ind w:left="1701"/>
        <w:rPr>
          <w:i w:val="0"/>
          <w:lang w:val="ro-RO"/>
        </w:rPr>
      </w:pPr>
      <w:r w:rsidRPr="00E0488D">
        <w:rPr>
          <w:i w:val="0"/>
          <w:lang w:val="ro-RO"/>
        </w:rPr>
        <w:t xml:space="preserve">Infrastructura de transport: coeziune teritorială și creștere economică </w:t>
      </w:r>
    </w:p>
    <w:p w:rsidR="00B4550A" w:rsidRPr="00E0488D" w:rsidRDefault="00B4550A" w:rsidP="00687448">
      <w:pPr>
        <w:pStyle w:val="Body"/>
        <w:numPr>
          <w:ilvl w:val="0"/>
          <w:numId w:val="53"/>
        </w:numPr>
        <w:spacing w:before="0" w:after="120" w:line="240" w:lineRule="atLeast"/>
        <w:ind w:left="1701"/>
        <w:rPr>
          <w:i w:val="0"/>
          <w:lang w:val="ro-RO"/>
        </w:rPr>
      </w:pPr>
      <w:r w:rsidRPr="00E0488D">
        <w:rPr>
          <w:i w:val="0"/>
          <w:lang w:val="ro-RO"/>
        </w:rPr>
        <w:t>Un cadru de finanțare coerent</w:t>
      </w:r>
    </w:p>
    <w:p w:rsidR="00B4550A" w:rsidRPr="00E0488D" w:rsidRDefault="00B4550A" w:rsidP="00687448">
      <w:pPr>
        <w:pStyle w:val="Body"/>
        <w:numPr>
          <w:ilvl w:val="0"/>
          <w:numId w:val="53"/>
        </w:numPr>
        <w:spacing w:before="120" w:after="120"/>
        <w:ind w:left="1701" w:hanging="357"/>
        <w:rPr>
          <w:i w:val="0"/>
          <w:lang w:val="ro-RO"/>
        </w:rPr>
      </w:pPr>
      <w:r w:rsidRPr="00E0488D">
        <w:rPr>
          <w:i w:val="0"/>
          <w:lang w:val="ro-RO"/>
        </w:rPr>
        <w:t>Stabilirea prețurilor corecte și evitarea distorsiunilor</w:t>
      </w:r>
    </w:p>
    <w:p w:rsidR="00B4550A" w:rsidRPr="00E0488D" w:rsidRDefault="00B4550A" w:rsidP="00B4550A">
      <w:pPr>
        <w:spacing w:before="120" w:after="120" w:line="276" w:lineRule="auto"/>
        <w:ind w:left="1135" w:hanging="284"/>
        <w:rPr>
          <w:sz w:val="22"/>
          <w:szCs w:val="22"/>
          <w:lang w:val="ro-RO"/>
        </w:rPr>
      </w:pPr>
      <w:r w:rsidRPr="00E0488D">
        <w:rPr>
          <w:i/>
          <w:sz w:val="22"/>
          <w:szCs w:val="22"/>
          <w:lang w:val="ro-RO"/>
        </w:rPr>
        <w:t>4.</w:t>
      </w:r>
      <w:r w:rsidRPr="00E0488D">
        <w:rPr>
          <w:i/>
          <w:sz w:val="22"/>
          <w:szCs w:val="22"/>
          <w:lang w:val="ro-RO"/>
        </w:rPr>
        <w:tab/>
        <w:t>Dimensiunea externă</w:t>
      </w:r>
      <w:r w:rsidRPr="00E0488D">
        <w:rPr>
          <w:sz w:val="22"/>
          <w:szCs w:val="22"/>
          <w:lang w:val="ro-RO"/>
        </w:rPr>
        <w:t>: aceasta se referă predominant la acțiuni la nivelul UE față de acțiunile la nivel național.</w:t>
      </w:r>
    </w:p>
    <w:p w:rsidR="00B4550A" w:rsidRPr="00E0488D" w:rsidRDefault="00B4550A" w:rsidP="002B7E09">
      <w:pPr>
        <w:pStyle w:val="NumberedParas"/>
      </w:pPr>
      <w:r w:rsidRPr="00E0488D">
        <w:t xml:space="preserve">Acordul de Parteneriat 2014-2020 are următoarele obiective tematice (OT 7) cu privire la transport, care sunt relevante pentru Master Plan: </w:t>
      </w:r>
    </w:p>
    <w:p w:rsidR="00B4550A" w:rsidRPr="00E0488D" w:rsidRDefault="00B4550A" w:rsidP="00BC2B57">
      <w:pPr>
        <w:pStyle w:val="BulletLevel1"/>
      </w:pPr>
      <w:r w:rsidRPr="00E0488D">
        <w:t xml:space="preserve">Îmbunătățirea accesibilității României și regiunilor sale precum și conectarea acestora la piețe, reducând în mod semnificativ obstacolele din calea dezvoltării și diversificării lor în contextul MPGT. </w:t>
      </w:r>
    </w:p>
    <w:p w:rsidR="00B4550A" w:rsidRPr="00E0488D" w:rsidRDefault="00B4550A" w:rsidP="00BC2B57">
      <w:pPr>
        <w:pStyle w:val="BulletLevel1"/>
      </w:pPr>
      <w:r w:rsidRPr="00E0488D">
        <w:t>Îmbunătățirea sustenabilității sistemului mixt de transporturi din România și a atractivității alternativelor la transportul rutier.</w:t>
      </w:r>
    </w:p>
    <w:p w:rsidR="00B4550A" w:rsidRPr="00E0488D" w:rsidRDefault="00B4550A" w:rsidP="002B7E09">
      <w:pPr>
        <w:pStyle w:val="NumberedParas"/>
      </w:pPr>
      <w:r w:rsidRPr="00E0488D">
        <w:t>Raportul asupra Condițiilor Existente analizează sistemul de transport pe moduri separate dar apar și unele teme comune:</w:t>
      </w:r>
    </w:p>
    <w:p w:rsidR="00B4550A" w:rsidRPr="00E0488D" w:rsidRDefault="00B4550A" w:rsidP="00BC2B57">
      <w:pPr>
        <w:pStyle w:val="BulletLevel1"/>
      </w:pPr>
      <w:r w:rsidRPr="00E0488D">
        <w:t xml:space="preserve">Economic: Nivelul serviciilor tuturor modurilor de transport este, în general, slab, ceea ce înseamnă că atât transportul de mărfuri cât și cel de persoane este unul lent și ineficient. </w:t>
      </w:r>
      <w:r w:rsidRPr="00E0488D">
        <w:lastRenderedPageBreak/>
        <w:t>Topografia României determină trecerea a multe rute principale peste Munții Carpați; timpii de parcurs pentru modurile rutier și feroviar sunt mari; există foarte puține drumuri de mare capacitate iar rețeaua feroviară a înregistrat viteze tot mai scăzute și o fiabilitate tot mai redusă pe rutele nereabilitate.</w:t>
      </w:r>
    </w:p>
    <w:p w:rsidR="00B4550A" w:rsidRPr="00E0488D" w:rsidRDefault="00B4550A" w:rsidP="00BC2B57">
      <w:pPr>
        <w:pStyle w:val="BulletLevel1"/>
      </w:pPr>
      <w:r w:rsidRPr="00E0488D">
        <w:t>Moduri sustenabile: transportul intermodal de mărfuri este foarte slab dezvoltat iar transportul rutier concurează mai degrabă decât să completeze transportul feroviar. Transportul feroviar de mărfuri și de persoane a înregistrat scăderi semnificative în ultimii ani iar inversarea acestei tendințe va necesita o varietate de intervenții, unele implicând strategii specifice, alături de acelea legate de îmbunătățirea infrastructurii. Fluviul Dunărea este o resursă valoroasă pentru transportul cu consum redus de energie, dar pe sectorul românesc calea navigabilă nu este gestionată corespunzător, având multe puncte în care adâncimea scade frecvent sub limita minimă admisă (2,5m) sau șenalul navigabil nu are lărgimea necesară (180m).</w:t>
      </w:r>
    </w:p>
    <w:p w:rsidR="00B4550A" w:rsidRPr="00E0488D" w:rsidRDefault="00B4550A" w:rsidP="00BC2B57">
      <w:pPr>
        <w:pStyle w:val="BulletLevel1"/>
      </w:pPr>
      <w:r w:rsidRPr="00E0488D">
        <w:t>Mediu:</w:t>
      </w:r>
      <w:r w:rsidRPr="00E0488D">
        <w:rPr>
          <w:b/>
        </w:rPr>
        <w:t xml:space="preserve"> </w:t>
      </w:r>
      <w:r w:rsidRPr="00E0488D">
        <w:t xml:space="preserve">transportul rutier de mărfuri și de persoane a înregistrat o creștere semnificativă. Există un conflict între îmbunătățirile care se doresc aduse sistemului de transport dar care au impacturi serioase asupra mediului. Astfel, în Romania apare de multe ori un conflict între obiectivul de mediu și obiectivul economic. Un exemplu clasic al acestui conflict este Fluviul Dunărea, ale cărui maluri fac parte din siturile Natura 2000, iar lucrările de dragare perturbă hidrologia râului și unele grupuri de pești și mamifere. </w:t>
      </w:r>
    </w:p>
    <w:p w:rsidR="00B4550A" w:rsidRPr="00E0488D" w:rsidRDefault="00B4550A" w:rsidP="00BC2B57">
      <w:pPr>
        <w:pStyle w:val="BulletLevel1"/>
      </w:pPr>
      <w:r w:rsidRPr="00E0488D">
        <w:t>Finanțare:</w:t>
      </w:r>
      <w:r w:rsidRPr="00E0488D">
        <w:rPr>
          <w:b/>
        </w:rPr>
        <w:t xml:space="preserve"> </w:t>
      </w:r>
      <w:r w:rsidRPr="00E0488D">
        <w:t>toate modurile de transport sunt sub-finanțate în termenii infrastructurii</w:t>
      </w:r>
      <w:r w:rsidRPr="00E0488D">
        <w:rPr>
          <w:b/>
        </w:rPr>
        <w:t xml:space="preserve"> </w:t>
      </w:r>
      <w:r w:rsidRPr="00E0488D">
        <w:t>folosite de vehicule și servicii și în termenii serviciilor și vehiculelor ca atare. Aceasta duce la necesitatea unor operațiuni inutil de costisitoare și la un nivel scăzut de servicii oferite utilizatorilor.</w:t>
      </w:r>
    </w:p>
    <w:p w:rsidR="00B4550A" w:rsidRPr="00E0488D" w:rsidRDefault="00B4550A" w:rsidP="002B7E09">
      <w:pPr>
        <w:pStyle w:val="NumberedParas"/>
      </w:pPr>
      <w:r w:rsidRPr="00E0488D">
        <w:t>Există o serie de teme comune care reies din aceste surse. Acestea sunt</w:t>
      </w:r>
    </w:p>
    <w:p w:rsidR="00B4550A" w:rsidRPr="00E0488D" w:rsidRDefault="00B4550A" w:rsidP="00BC2B57">
      <w:pPr>
        <w:pStyle w:val="BulletLevel1"/>
      </w:pPr>
      <w:r w:rsidRPr="00E0488D">
        <w:t>Economic</w:t>
      </w:r>
      <w:r w:rsidRPr="00E0488D">
        <w:rPr>
          <w:b/>
        </w:rPr>
        <w:t xml:space="preserve">: </w:t>
      </w:r>
      <w:r w:rsidRPr="00E0488D">
        <w:t>sistemul de transport trebuie să fie eficient din punct de vedere economic, din perspectiva operațiunilor și utilizatorilor serviciilor de transport. În mod specific, beneficiile sistemului de transport</w:t>
      </w:r>
      <w:r w:rsidRPr="00E0488D">
        <w:rPr>
          <w:b/>
        </w:rPr>
        <w:t xml:space="preserve"> </w:t>
      </w:r>
      <w:r w:rsidRPr="00E0488D">
        <w:t>ar trebui să depășească costurile. În plus, sistemul de transport ar trebui configurat astfel încât să permită dezvoltarea economică atât la nivel național cât și regional. Investiția ar trebui, de asemenea, să favorizeze echitatea în ceea ce privește cetățenii României.</w:t>
      </w:r>
    </w:p>
    <w:p w:rsidR="00B4550A" w:rsidRPr="00E0488D" w:rsidRDefault="00B4550A" w:rsidP="00BC2B57">
      <w:pPr>
        <w:pStyle w:val="BulletLevel1"/>
      </w:pPr>
      <w:r w:rsidRPr="00E0488D">
        <w:t>Mediu:</w:t>
      </w:r>
      <w:r w:rsidRPr="00E0488D">
        <w:rPr>
          <w:b/>
        </w:rPr>
        <w:t xml:space="preserve"> </w:t>
      </w:r>
      <w:r w:rsidRPr="00E0488D">
        <w:t xml:space="preserve">sistemul de transport nu trebuie să aibă un impact negativ asupra mediului. Investițiile în transporturi ar trebui să minimizeze impactul asupra mediului fizic. </w:t>
      </w:r>
    </w:p>
    <w:p w:rsidR="00B4550A" w:rsidRPr="00E0488D" w:rsidRDefault="00B4550A" w:rsidP="00BC2B57">
      <w:pPr>
        <w:pStyle w:val="BulletLevel1"/>
        <w:rPr>
          <w:b/>
        </w:rPr>
      </w:pPr>
      <w:r w:rsidRPr="00E0488D">
        <w:t>Sustenabilitate: modurile de transport așa numite durabile care sunt mai eficiente din punct de vedere energetic și au un nivel mai scăzut de emisii ar trebui dezvoltate în mod prioritar</w:t>
      </w:r>
      <w:r w:rsidRPr="00E0488D">
        <w:rPr>
          <w:b/>
        </w:rPr>
        <w:t>.</w:t>
      </w:r>
    </w:p>
    <w:p w:rsidR="00B4550A" w:rsidRPr="00E0488D" w:rsidRDefault="00B4550A" w:rsidP="00BC2B57">
      <w:pPr>
        <w:pStyle w:val="BulletLevel1"/>
        <w:rPr>
          <w:b/>
        </w:rPr>
      </w:pPr>
      <w:r w:rsidRPr="00E0488D">
        <w:t>Siguranța: investițiile în transporturi ar trebui să producă un sistem de transport mai sigur.</w:t>
      </w:r>
    </w:p>
    <w:p w:rsidR="00B4550A" w:rsidRPr="00E0488D" w:rsidRDefault="00B4550A" w:rsidP="00BC2B57">
      <w:pPr>
        <w:pStyle w:val="BulletLevel1"/>
      </w:pPr>
      <w:r w:rsidRPr="00E0488D">
        <w:t>Finanțare:</w:t>
      </w:r>
      <w:r w:rsidRPr="00E0488D">
        <w:rPr>
          <w:b/>
        </w:rPr>
        <w:t xml:space="preserve"> </w:t>
      </w:r>
      <w:r w:rsidRPr="00E0488D">
        <w:t>există un deficit substanțial înregistrat în finanțarea transporturilor în România.</w:t>
      </w:r>
    </w:p>
    <w:p w:rsidR="00B4550A" w:rsidRPr="00E0488D" w:rsidRDefault="00B4550A" w:rsidP="002B7E09">
      <w:pPr>
        <w:pStyle w:val="NumberedParas"/>
      </w:pPr>
      <w:r w:rsidRPr="00E0488D">
        <w:t>Ținând cont de temele comune din documentele menționate anterior, pentru strategia Master Planului se propun următoarele obiective strategice:</w:t>
      </w:r>
    </w:p>
    <w:p w:rsidR="00B4550A" w:rsidRPr="00E0488D" w:rsidRDefault="00B4550A" w:rsidP="00BC2B57">
      <w:pPr>
        <w:pStyle w:val="BulletLevel1"/>
        <w:rPr>
          <w:rFonts w:cs="Arial"/>
        </w:rPr>
      </w:pPr>
      <w:r w:rsidRPr="00E0488D">
        <w:t>Eficiența economică:</w:t>
      </w:r>
      <w:r w:rsidRPr="00E0488D">
        <w:rPr>
          <w:b/>
        </w:rPr>
        <w:t xml:space="preserve"> </w:t>
      </w:r>
      <w:r w:rsidRPr="00E0488D">
        <w:t>sistemul de transport trebuie să fie eficient în ce privește operațiunile de transport și utilizatorii acestuia. În mod</w:t>
      </w:r>
      <w:r w:rsidRPr="00E0488D">
        <w:rPr>
          <w:b/>
        </w:rPr>
        <w:t xml:space="preserve"> </w:t>
      </w:r>
      <w:r w:rsidRPr="00E0488D">
        <w:t xml:space="preserve">specific, beneficiile sistemului de transport ar trebui să depășească costurile. Acest obiectiv măsoară beneficiul oferit utilizatorilor și furnizorilor de servicii din sistemul de transport iar măsurile cantitaive ale acestuia sunt: </w:t>
      </w:r>
      <w:r w:rsidRPr="00E0488D">
        <w:lastRenderedPageBreak/>
        <w:t>Raportul Beneficiu Cost (RBC), Valoarea Actualizată Netă (VAN) și Rata Internă de Rentabilitate Economică (RIRE).</w:t>
      </w:r>
      <w:r w:rsidRPr="00E0488D">
        <w:rPr>
          <w:rFonts w:cs="Arial"/>
        </w:rPr>
        <w:t xml:space="preserve"> </w:t>
      </w:r>
    </w:p>
    <w:p w:rsidR="00B4550A" w:rsidRPr="00E0488D" w:rsidRDefault="00B4550A" w:rsidP="00BC2B57">
      <w:pPr>
        <w:pStyle w:val="BulletLevel1"/>
      </w:pPr>
      <w:r w:rsidRPr="00E0488D">
        <w:t xml:space="preserve">Sustenabilitate: acest concept include sustenabilitatea financiară, economică și de mediu. Modurile de transport așa numite durabile – feroviar, transport cu autobuzul și transport naval -  care sunt mai eficiente energetic și cu un grad mai scăzut de emisii ar trebui dezvoltate în mod prioritar. În cadrul evaluării economice li se atribuie valori monetare costurilor operaționale și emisiilor, însă înscrierea Sustenabilității ca obiectiv separat respectă atât intențiile Guvernului României și ale Uniunii Europene cât și preocupările generațiilor viitoare. </w:t>
      </w:r>
    </w:p>
    <w:p w:rsidR="00B4550A" w:rsidRPr="00E0488D" w:rsidRDefault="00B4550A" w:rsidP="00BC2B57">
      <w:pPr>
        <w:pStyle w:val="BulletLevel1"/>
      </w:pPr>
      <w:r w:rsidRPr="00E0488D">
        <w:t>Siguranța</w:t>
      </w:r>
      <w:r w:rsidRPr="00E0488D">
        <w:rPr>
          <w:b/>
        </w:rPr>
        <w:t xml:space="preserve">: </w:t>
      </w:r>
      <w:r w:rsidRPr="00E0488D">
        <w:t>investițiile în transporturi ar trebui să producă un sistem de transport mai sigur. Costul economic al accidentelor este transformat în valori monetare în cadrul evaluării economice dar, deoarece unul din obiectivele principale ale Guvernului, ale UE și ale Caietului de Sarcini este reprezentat de reducerea accidentelor din sectorul transporturilor, siguranța trebuie să rămână un obiectiv distinct.</w:t>
      </w:r>
    </w:p>
    <w:p w:rsidR="00B4550A" w:rsidRPr="00E0488D" w:rsidRDefault="00B4550A" w:rsidP="00BC2B57">
      <w:pPr>
        <w:pStyle w:val="BulletLevel1"/>
      </w:pPr>
      <w:r w:rsidRPr="00E0488D">
        <w:rPr>
          <w:rFonts w:cs="Arial"/>
        </w:rPr>
        <w:t>Impactul asupra mediului: sistemul de transport nu t</w:t>
      </w:r>
      <w:r w:rsidRPr="00E0488D">
        <w:t>rebuie să aibă un impact negativ asupra mediului. Nu sunt încă disponibile metode agreate de echivalare în termeni financiari a acestui impact, așadar impactul asupra mediului fizic nu este inclus în evaluarea economică. Majoritatea proiectelor de infrastructură, prin natura lor, au un impact negativ asupra mediului natural și astfel obiectivul este de a selecta proiecte și opțiuni care minimizează dimensiunea impactului negativ.</w:t>
      </w:r>
    </w:p>
    <w:p w:rsidR="00B4550A" w:rsidRPr="00E0488D" w:rsidRDefault="00B4550A" w:rsidP="00BC2B57">
      <w:pPr>
        <w:pStyle w:val="BulletLevel1"/>
      </w:pPr>
      <w:r w:rsidRPr="00E0488D">
        <w:t>Dezvoltarea economică. Sistemul de transport trebuie configurat astfel încât să permită dezvoltarea economică atât la nivel național cât și la nivel regional. Investiția ar trebui, de asemenea, să favorizeze echitatea față de cetățenii României. Transportul eficient nu este un scop în sine ci un mod important de a contribui la dezvoltarea economică generală. Un obiectiv economic pur va tinde să favorizeze proiectele în care nivelul cererii este cel mai mare și care se află în zone în care economia existentă este deja puternică (în general în jurul Bucureștiului și marilor orașe). Acest obiectiv recunoaște, în primul rând, că investițiile în transport au un rol în dezvoltarea regiunilor mai puțin avantajate în termeni economici și, în al doilea rând, că transportul ar trebui să asigure servicii care să fie disponibile tuturor cetățenilor, indiferent de statutul social, venitul sau zona de rezidență a acestora.</w:t>
      </w:r>
    </w:p>
    <w:p w:rsidR="00B4550A" w:rsidRPr="00E0488D" w:rsidRDefault="00B4550A" w:rsidP="00BC2B57">
      <w:pPr>
        <w:pStyle w:val="BulletLevel1"/>
      </w:pPr>
      <w:r w:rsidRPr="00E0488D">
        <w:t>Finanțare: există un deficit substanțial de finanțare a transporturilor în România. Politicile/strategiile care produc în mod eficient venituri pentru sectorul de transporturi, precum introducerea taxei de utilizare a drumurilor în special pentru HGV (Vehicule Grele de Transport Mărfuri) ar trebui avute în vedere. La nivelul proiectelor disponibilitatea fondurilor europene prin intermediul Fondurilor Structurale (FC, FEDR, Connecting Europe Facility (CEF) și PPP) vor afecta oportunitatea implementării acestora dar și prioritizarea lor. Programul general va trebui să se încadreze în limita unor estimări realiste a fondurilor naționale și internaționale disponibile pe perioada planificată.</w:t>
      </w:r>
    </w:p>
    <w:p w:rsidR="00B4550A" w:rsidRPr="00E0488D" w:rsidRDefault="00B4550A" w:rsidP="0030066D">
      <w:pPr>
        <w:pStyle w:val="NumberedParas"/>
      </w:pPr>
      <w:r w:rsidRPr="00E0488D">
        <w:t xml:space="preserve">Obiectivele strategice sunt sintetizate în caseta de </w:t>
      </w:r>
      <w:r w:rsidRPr="0030066D">
        <w:t>mai</w:t>
      </w:r>
      <w:r w:rsidRPr="00E0488D">
        <w:t xml:space="preserve"> jos:</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b/>
          <w:sz w:val="22"/>
          <w:szCs w:val="22"/>
          <w:lang w:val="ro-RO"/>
        </w:rPr>
      </w:pPr>
      <w:r w:rsidRPr="00E0488D">
        <w:rPr>
          <w:b/>
          <w:sz w:val="22"/>
          <w:szCs w:val="22"/>
          <w:lang w:val="ro-RO"/>
        </w:rPr>
        <w:t xml:space="preserve">Obiectivele Strategice ale Master Planului </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lang w:val="ro-RO"/>
        </w:rPr>
      </w:pPr>
      <w:r w:rsidRPr="00E0488D">
        <w:rPr>
          <w:b/>
          <w:sz w:val="22"/>
          <w:szCs w:val="22"/>
          <w:lang w:val="ro-RO"/>
        </w:rPr>
        <w:t>Eficiența economică</w:t>
      </w:r>
      <w:r w:rsidRPr="00E0488D">
        <w:rPr>
          <w:sz w:val="22"/>
          <w:szCs w:val="22"/>
          <w:lang w:val="ro-RO"/>
        </w:rPr>
        <w:t xml:space="preserve">: sistemul de transport trebuie să fie eficient în ce privește operațiunile de transport și utilizatorii acestuia. În mod specific, beneficiile sistemului de transport ar trebui să depășească costurile investițiilor. </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lang w:val="ro-RO"/>
        </w:rPr>
      </w:pPr>
      <w:r w:rsidRPr="00E0488D">
        <w:rPr>
          <w:b/>
          <w:sz w:val="22"/>
          <w:szCs w:val="22"/>
          <w:lang w:val="ro-RO"/>
        </w:rPr>
        <w:lastRenderedPageBreak/>
        <w:t xml:space="preserve">Sustenabilitatea: </w:t>
      </w:r>
      <w:r w:rsidRPr="00E0488D">
        <w:rPr>
          <w:sz w:val="22"/>
          <w:szCs w:val="22"/>
          <w:lang w:val="ro-RO"/>
        </w:rPr>
        <w:t>sistemul de transport trebuie să fie sustenabil din punct de vedere economic, financiar și al mediului.  Modurile de transport așa numite durabile, care sunt mai eficiente energetic și au un grad mai scăzut de emisii ar trebui dezvoltate în mod prioritar.</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lang w:val="ro-RO"/>
        </w:rPr>
      </w:pPr>
      <w:r w:rsidRPr="00E0488D">
        <w:rPr>
          <w:b/>
          <w:sz w:val="22"/>
          <w:szCs w:val="22"/>
          <w:lang w:val="ro-RO"/>
        </w:rPr>
        <w:t>Siguranța</w:t>
      </w:r>
      <w:r w:rsidRPr="00E0488D">
        <w:rPr>
          <w:sz w:val="22"/>
          <w:szCs w:val="22"/>
          <w:lang w:val="ro-RO"/>
        </w:rPr>
        <w:t>: investițiile în transporturi ar trebui să conducă la un sistem de transport mai sigur. Costul economic al accidentelor este transformat în valori monetare în cadrul evaluării economice dar, deoarece unul din obiectivele principale ale Guvernului, ale UE și ale Caietului de Sarcini este reducerea accidentelor din sectorul transporturilor, siguranța trebuie să rămână un obiectiv separat.</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lang w:val="ro-RO"/>
        </w:rPr>
      </w:pPr>
      <w:r w:rsidRPr="00E0488D">
        <w:rPr>
          <w:b/>
          <w:sz w:val="22"/>
          <w:szCs w:val="22"/>
          <w:lang w:val="ro-RO"/>
        </w:rPr>
        <w:t xml:space="preserve">Impactul asupra mediului: </w:t>
      </w:r>
      <w:r w:rsidRPr="00E0488D">
        <w:rPr>
          <w:sz w:val="22"/>
          <w:szCs w:val="22"/>
          <w:lang w:val="ro-RO"/>
        </w:rPr>
        <w:t xml:space="preserve">sistemul de transport nu trebuie să aibă un impact negativ asupra mediului fizic.  </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lang w:val="ro-RO"/>
        </w:rPr>
      </w:pPr>
      <w:r w:rsidRPr="00E0488D">
        <w:rPr>
          <w:b/>
          <w:sz w:val="22"/>
          <w:szCs w:val="22"/>
          <w:lang w:val="ro-RO"/>
        </w:rPr>
        <w:t>Dezvoltare Economică Echilibrată.</w:t>
      </w:r>
      <w:r w:rsidRPr="00E0488D">
        <w:rPr>
          <w:sz w:val="22"/>
          <w:szCs w:val="22"/>
          <w:lang w:val="ro-RO"/>
        </w:rPr>
        <w:t xml:space="preserve"> Sistemul de transport trebuie configurat astfel încât să permită dezvoltarea economică atât la nivel național cât și regional. Investițiile trebuie, de asemenea, să favorizeze echitatea în privința cetățenilor României.</w:t>
      </w:r>
    </w:p>
    <w:p w:rsidR="00B4550A" w:rsidRPr="00E0488D" w:rsidRDefault="00B4550A" w:rsidP="00B4550A">
      <w:pPr>
        <w:pBdr>
          <w:top w:val="single" w:sz="4" w:space="1" w:color="auto"/>
          <w:left w:val="single" w:sz="4" w:space="0" w:color="auto"/>
          <w:bottom w:val="single" w:sz="4" w:space="1" w:color="auto"/>
          <w:right w:val="single" w:sz="4" w:space="4" w:color="auto"/>
        </w:pBdr>
        <w:shd w:val="clear" w:color="auto" w:fill="B6DDE8"/>
        <w:spacing w:before="120" w:after="120" w:line="276" w:lineRule="auto"/>
        <w:rPr>
          <w:sz w:val="22"/>
          <w:szCs w:val="22"/>
          <w:lang w:val="ro-RO"/>
        </w:rPr>
      </w:pPr>
      <w:r w:rsidRPr="00E0488D">
        <w:rPr>
          <w:b/>
          <w:sz w:val="22"/>
          <w:szCs w:val="22"/>
          <w:lang w:val="ro-RO"/>
        </w:rPr>
        <w:t>Finanțare:</w:t>
      </w:r>
      <w:r w:rsidRPr="00E0488D">
        <w:rPr>
          <w:sz w:val="22"/>
          <w:szCs w:val="22"/>
          <w:lang w:val="ro-RO"/>
        </w:rPr>
        <w:t xml:space="preserve">  Disponibilitatea fondurilor europene prin intermediul Fondurilor Structurale (FC, FEDR, Connecting Europe Facility (CEF) și PPP) va afecta oportunitatea implementării proiectelor și prioritizarea lor. Programul general va trebui să se înscrie într-o estimare realistă a fondurilor naționale și a celorlalte surse de finanțare pentru perioada planificată.</w:t>
      </w:r>
    </w:p>
    <w:p w:rsidR="00B4550A" w:rsidRPr="00E0488D" w:rsidRDefault="00B4550A" w:rsidP="00B4550A">
      <w:pPr>
        <w:pStyle w:val="Hdg3"/>
      </w:pPr>
      <w:r w:rsidRPr="00E0488D">
        <w:t>Obiective operaționale</w:t>
      </w:r>
    </w:p>
    <w:p w:rsidR="00B4550A" w:rsidRPr="00E0488D" w:rsidRDefault="00B4550A" w:rsidP="002B7E09">
      <w:pPr>
        <w:pStyle w:val="NumberedParas"/>
      </w:pPr>
      <w:r w:rsidRPr="00E0488D">
        <w:t xml:space="preserve">Obiectivele operaționale reprezintă un sub-set al obiectivelor strategice. Acestea sunt derivate din analiza problemelor și, spre deosebire de obiectivele strategice, sunt specifice fiecărui mod iar în multe cazuri, fiecărei zone. Acestea permit intervențiilor să fie proiectate astfel încât acestea să satisfacă obiectivele. Acest fapt este cel mai bine ilustrat prin intermediul exemplelor specifice. </w:t>
      </w:r>
    </w:p>
    <w:p w:rsidR="00B4550A" w:rsidRPr="00E0488D" w:rsidRDefault="00B4550A" w:rsidP="002B7E09">
      <w:pPr>
        <w:pStyle w:val="NumberedParas"/>
      </w:pPr>
      <w:r w:rsidRPr="00E0488D">
        <w:t xml:space="preserve">În ceea ce privește sectorul feroviar, un aspect important este lipsa unor servicii la intervale regulate (mers cadențat) pe principalele rute de cale ferată care, în combinație cu timpii de parcurs mari, creează inconveniente pentru călători și contribuie la scăderea numărului acestora. Un obiectiv operațional care ar corespunde acestei probleme este: </w:t>
      </w:r>
    </w:p>
    <w:p w:rsidR="00B4550A" w:rsidRPr="00E0488D" w:rsidRDefault="00B4550A" w:rsidP="00B4550A">
      <w:pPr>
        <w:spacing w:before="120" w:after="120" w:line="276" w:lineRule="auto"/>
        <w:ind w:left="964"/>
        <w:jc w:val="both"/>
        <w:rPr>
          <w:i/>
          <w:sz w:val="22"/>
          <w:szCs w:val="22"/>
          <w:lang w:val="ro-RO"/>
        </w:rPr>
      </w:pPr>
      <w:r w:rsidRPr="00E0488D">
        <w:rPr>
          <w:i/>
          <w:sz w:val="22"/>
          <w:szCs w:val="22"/>
          <w:lang w:val="ro-RO"/>
        </w:rPr>
        <w:t>Creșterea competitivității serviciilor de transport feroviar de călători pe ruta București – Ungaria, via Teiuș/Cluj</w:t>
      </w:r>
    </w:p>
    <w:p w:rsidR="00B4550A" w:rsidRPr="00E0488D" w:rsidRDefault="00B4550A" w:rsidP="002B7E09">
      <w:pPr>
        <w:pStyle w:val="NumberedParas"/>
        <w:numPr>
          <w:ilvl w:val="0"/>
          <w:numId w:val="0"/>
        </w:numPr>
        <w:ind w:left="851"/>
      </w:pPr>
      <w:r w:rsidRPr="00E0488D">
        <w:t>Problema specifică identificată pe acest coridor este:</w:t>
      </w:r>
    </w:p>
    <w:p w:rsidR="00B4550A" w:rsidRPr="00E0488D" w:rsidRDefault="00B4550A" w:rsidP="00BC2B57">
      <w:pPr>
        <w:pStyle w:val="BulletLevel1"/>
      </w:pPr>
      <w:r w:rsidRPr="00E0488D">
        <w:t>Servicii cu frecvență scăzută, la un interval de succesiune de 180 minute</w:t>
      </w:r>
    </w:p>
    <w:p w:rsidR="00B4550A" w:rsidRPr="00E0488D" w:rsidRDefault="00B4550A" w:rsidP="00BC2B57">
      <w:pPr>
        <w:pStyle w:val="BulletLevel1"/>
      </w:pPr>
      <w:r w:rsidRPr="00E0488D">
        <w:t>Viteză medie scăzută</w:t>
      </w:r>
    </w:p>
    <w:p w:rsidR="00B4550A" w:rsidRPr="00E0488D" w:rsidRDefault="00B4550A" w:rsidP="00BC2B57">
      <w:pPr>
        <w:pStyle w:val="BulletLevel1"/>
      </w:pPr>
      <w:r w:rsidRPr="00E0488D">
        <w:t>Timpii de parcurs mari în comparație cu sistemul rutier.</w:t>
      </w:r>
    </w:p>
    <w:p w:rsidR="00B4550A" w:rsidRPr="00E0488D" w:rsidRDefault="00B4550A" w:rsidP="002B7E09">
      <w:pPr>
        <w:pStyle w:val="NumberedParas"/>
      </w:pPr>
      <w:r w:rsidRPr="00E0488D">
        <w:t>Intervențiile specifice pe această rută sunt:</w:t>
      </w:r>
    </w:p>
    <w:p w:rsidR="00B4550A" w:rsidRPr="00E0488D" w:rsidRDefault="00B4550A" w:rsidP="00BC2B57">
      <w:pPr>
        <w:pStyle w:val="BulletLevel1"/>
      </w:pPr>
      <w:r w:rsidRPr="00E0488D">
        <w:t>Introducerea unui grafic de mers cadențat cu trenuri la intervale de 2 ore</w:t>
      </w:r>
    </w:p>
    <w:p w:rsidR="00B4550A" w:rsidRPr="00E0488D" w:rsidRDefault="00B4550A" w:rsidP="00BC2B57">
      <w:pPr>
        <w:pStyle w:val="BulletLevel1"/>
      </w:pPr>
      <w:r w:rsidRPr="00E0488D">
        <w:t>Modernizarea infrastructurii, în special între Predeal și Brașov. Revizuirea opțiunilor potențiale de modernizare a anumitor secțiuni pentru a permite o viteză de 160 km/h. Alte proiecte de modernizare a infrastructurii includ tronsoanele Dej-Coșlariu via Apahida și FO39 Brașov – Simeria (în ipoteza că Brașov – Sighișoara este modernizat pentru a permite o viteză de 160 km/h).</w:t>
      </w:r>
    </w:p>
    <w:p w:rsidR="00B4550A" w:rsidRPr="00E0488D" w:rsidRDefault="00B4550A" w:rsidP="00BC2B57">
      <w:pPr>
        <w:pStyle w:val="BulletLevel1"/>
      </w:pPr>
      <w:r w:rsidRPr="00E0488D">
        <w:t>Introducerea trenurilor înclinate pentru permiterea unor viteze mai mari de circulație.</w:t>
      </w:r>
    </w:p>
    <w:p w:rsidR="00B4550A" w:rsidRPr="00E0488D" w:rsidRDefault="00B4550A" w:rsidP="002B7E09">
      <w:pPr>
        <w:pStyle w:val="NumberedParas"/>
      </w:pPr>
      <w:r w:rsidRPr="00E0488D">
        <w:lastRenderedPageBreak/>
        <w:t xml:space="preserve">Problema, obiectivul operațional și intervențiile se leagă direct de eficiența economică și sustenabilitate și indirect de obiectivul siguranței dat fiind faptul că un număr de pasageri vor schimba modul de transport de la rutier la feroviar, acesta din urmă fiind un mod de transport cu un grad de siguranță mai mare. </w:t>
      </w:r>
    </w:p>
    <w:p w:rsidR="00B4550A" w:rsidRPr="00E0488D" w:rsidRDefault="00B4550A" w:rsidP="002B7E09">
      <w:pPr>
        <w:pStyle w:val="NumberedParas"/>
      </w:pPr>
      <w:r w:rsidRPr="00E0488D">
        <w:t>Pentru sectorul rutier siguranța reprezintă o problem majoră. În România se înregistrează 259 de accidente mortale la 10 miliarde pasageri-km (în comparație cu media UE care se cifrează în jurul cifrei de 61 de accidente) și 466 de accidente soldate cu deces la un milion de pasageri-vehicul (față de media europeană de 126), România fiind țara din Uniunea Europeană cu rezultatele cele mai slabe la ambii indicatori. Obiectivul operațional corespunzător este:</w:t>
      </w:r>
    </w:p>
    <w:p w:rsidR="00B4550A" w:rsidRPr="00E0488D" w:rsidRDefault="00B4550A" w:rsidP="00BC2B57">
      <w:pPr>
        <w:pStyle w:val="BulletLevel1"/>
      </w:pPr>
      <w:r w:rsidRPr="00E0488D">
        <w:t xml:space="preserve">Reducerea la jumătate a ratelor accidentelor până în 2020 și la nivelul mediei europene până în 2030. </w:t>
      </w:r>
    </w:p>
    <w:p w:rsidR="00B4550A" w:rsidRPr="00E0488D" w:rsidRDefault="00B4550A" w:rsidP="002B7E09">
      <w:pPr>
        <w:pStyle w:val="NumberedParas"/>
      </w:pPr>
      <w:r w:rsidRPr="00E0488D">
        <w:t xml:space="preserve">De fapt, în acest caz, există șapte obiective operaționale separate care au ca scop atingerea acestei ținte, fiecare dintre aceste obiective propunând o intervenție adecvată. Aceste obiective se înscriu în cadrul obiectivului strategic numit </w:t>
      </w:r>
      <w:r w:rsidRPr="00E0488D">
        <w:rPr>
          <w:i/>
        </w:rPr>
        <w:t>siguranță</w:t>
      </w:r>
      <w:r w:rsidRPr="00E0488D">
        <w:t xml:space="preserve">. </w:t>
      </w:r>
    </w:p>
    <w:p w:rsidR="00B4550A" w:rsidRPr="00E0488D" w:rsidRDefault="00B4550A" w:rsidP="002B7E09">
      <w:pPr>
        <w:pStyle w:val="NumberedParas"/>
      </w:pPr>
      <w:r w:rsidRPr="00E0488D">
        <w:t>Rezultatele Raportului privind Definirea Problemelor prezentate mai sus au asigurat “obiectivele operaționale” esențiale care au ghidat faza de identificare a problemelor. Acestea au fost consolidate în cadrul unor documente de lucru (rapoarte privind problemele/obiectivele/intervențiile,(POI), care au cuprins prezentări în detaliu ale problemelor, obiectivelor și intervențiilor, într-o manieră logică și consecventă. Acestea au fost agreate împreună cu reprezentanții MT și JASPERS.</w:t>
      </w:r>
    </w:p>
    <w:p w:rsidR="00B4550A" w:rsidRPr="00E0488D" w:rsidRDefault="00B4550A" w:rsidP="00B4550A">
      <w:pPr>
        <w:pStyle w:val="Hdg3"/>
      </w:pPr>
      <w:r w:rsidRPr="00E0488D">
        <w:t>Obiective de mediu</w:t>
      </w:r>
    </w:p>
    <w:p w:rsidR="00B4550A" w:rsidRPr="00E0488D" w:rsidRDefault="00B4550A" w:rsidP="00B4550A">
      <w:pPr>
        <w:tabs>
          <w:tab w:val="left" w:pos="6100"/>
        </w:tabs>
        <w:spacing w:before="120" w:after="120" w:line="276" w:lineRule="auto"/>
        <w:rPr>
          <w:b/>
          <w:sz w:val="22"/>
          <w:szCs w:val="22"/>
          <w:lang w:val="ro-RO"/>
        </w:rPr>
      </w:pPr>
      <w:r w:rsidRPr="00E0488D">
        <w:rPr>
          <w:b/>
          <w:sz w:val="22"/>
          <w:szCs w:val="22"/>
          <w:lang w:val="ro-RO"/>
        </w:rPr>
        <w:t>Obiectivul strategic de mediu al MPGT</w:t>
      </w:r>
    </w:p>
    <w:p w:rsidR="00B4550A" w:rsidRPr="00E0488D" w:rsidRDefault="00B4550A" w:rsidP="00BC2B57">
      <w:pPr>
        <w:pStyle w:val="BulletLevel1"/>
      </w:pPr>
      <w:r w:rsidRPr="00E0488D">
        <w:t>OM1: Dezvoltarea unei infrastructuri moderne de transport, cu luarea în considerare a efectelor asupra mediului.</w:t>
      </w:r>
    </w:p>
    <w:p w:rsidR="00B4550A" w:rsidRPr="00E0488D" w:rsidRDefault="00B4550A" w:rsidP="00B4550A">
      <w:pPr>
        <w:spacing w:before="120" w:after="120" w:line="276" w:lineRule="auto"/>
        <w:rPr>
          <w:b/>
          <w:sz w:val="22"/>
          <w:szCs w:val="22"/>
          <w:lang w:val="ro-RO"/>
        </w:rPr>
      </w:pPr>
      <w:r w:rsidRPr="00E0488D">
        <w:rPr>
          <w:b/>
          <w:sz w:val="22"/>
          <w:szCs w:val="22"/>
          <w:lang w:val="ro-RO"/>
        </w:rPr>
        <w:t>Obiective specifice de mediu ale MPGT</w:t>
      </w:r>
    </w:p>
    <w:p w:rsidR="00B4550A" w:rsidRPr="00E0488D" w:rsidRDefault="00B4550A" w:rsidP="00BC2B57">
      <w:pPr>
        <w:pStyle w:val="BulletLevel1"/>
      </w:pPr>
      <w:r w:rsidRPr="00E0488D">
        <w:t xml:space="preserve">OM1-1 Promovarea proiectelor de investiții în transporturi care contribuie la realizarea unui sistem de transport durabil, cu măsuri de evitare și reducere a efectelor adverse, cum sunt, emisiile de poluanți în atmosferă, poluarea fonică în zonele urbane și, pe rutele cu circulație intensă, poluarea apelor și a solului datorată surselor difuze, impactul asupra peisajului și patrimoniului cultural; </w:t>
      </w:r>
    </w:p>
    <w:p w:rsidR="00B4550A" w:rsidRPr="00E0488D" w:rsidRDefault="00B4550A" w:rsidP="00BC2B57">
      <w:pPr>
        <w:pStyle w:val="BulletLevel1"/>
      </w:pPr>
      <w:r w:rsidRPr="00E0488D">
        <w:t>OM1-2 Reducerea emisiilor de gaze cu efect de seră provenite din sectorul transporturilor;</w:t>
      </w:r>
    </w:p>
    <w:p w:rsidR="00B4550A" w:rsidRPr="00E0488D" w:rsidRDefault="00B4550A" w:rsidP="00BC2B57">
      <w:pPr>
        <w:pStyle w:val="BulletLevel1"/>
      </w:pPr>
      <w:r w:rsidRPr="00E0488D">
        <w:t>OM1-3 Protecția sănătății populației prin îmbunătățirea condițiilor de mediu și de siguranță a transportului;</w:t>
      </w:r>
    </w:p>
    <w:p w:rsidR="00B4550A" w:rsidRPr="00E0488D" w:rsidRDefault="00B4550A" w:rsidP="00BC2B57">
      <w:pPr>
        <w:pStyle w:val="BulletLevel1"/>
      </w:pPr>
      <w:r w:rsidRPr="00E0488D">
        <w:t>OM1-4 Reducerea impactului asupra biodiversității cu asigurarea de măsuri pentru protecția și conservarea biodiversității cât și asigurarea coerenței rețelei naționale de arii naturale protejate.</w:t>
      </w:r>
    </w:p>
    <w:p w:rsidR="00B4550A" w:rsidRPr="00E0488D" w:rsidRDefault="00B4550A" w:rsidP="00BD59B2">
      <w:pPr>
        <w:pStyle w:val="Hdg2"/>
      </w:pPr>
      <w:bookmarkStart w:id="21" w:name="_Toc397065232"/>
      <w:bookmarkStart w:id="22" w:name="_Toc413060298"/>
      <w:r w:rsidRPr="00E0488D">
        <w:t>Identificarea problemelor și definirea intervențiilor</w:t>
      </w:r>
      <w:bookmarkEnd w:id="21"/>
      <w:bookmarkEnd w:id="22"/>
    </w:p>
    <w:p w:rsidR="00B4550A" w:rsidRPr="00E0488D" w:rsidRDefault="00B4550A" w:rsidP="002B7E09">
      <w:pPr>
        <w:pStyle w:val="NumberedParas"/>
      </w:pPr>
      <w:r w:rsidRPr="00E0488D">
        <w:t xml:space="preserve">Etapa de identificare a problemelor formează, în cadrul oricărui plan sau strategii, o procedură cheie întrucât identifică și confirmă problemele fundamentale ale sistemului de transport, fără a se limita doar la o simplă descriere a simptomelor. Identificarea problemelor oferă, de asemenea, un fundament pentru dezvoltarea obiectivelor operaționale, ceea ce constituie un </w:t>
      </w:r>
      <w:r w:rsidRPr="00E0488D">
        <w:lastRenderedPageBreak/>
        <w:t>cadru general pentru evaluarea măsurilor propuse pentru îmbunătățirea sistemului actual de transport.</w:t>
      </w:r>
    </w:p>
    <w:p w:rsidR="00B4550A" w:rsidRPr="00E0488D" w:rsidRDefault="00B4550A" w:rsidP="002B7E09">
      <w:pPr>
        <w:pStyle w:val="NumberedParas"/>
      </w:pPr>
      <w:r w:rsidRPr="00E0488D">
        <w:t>Acest pas al procesului are ca scop furnizarea unei imagini asupra nevoii de intervenții în transporturi și asigurarea unei baze de plecare pentru stabilirea obiectivelor prin intermediul identificării problemelor, oportunităților și constrângerilor existente și potențiale din sectorul transporturilor. În cadrul Raportului privind Condițiile Existente, sunt descrise provocările actuale cu care se confruntă fiecare mod de transport. A fost identificată o nevoie de îmbunătățire a infrastructurii și serviciilor de transport și de asemenea, există o listă substanțială cu proiecte restante deja identificate de beneficiari. Aceasta se aplică în special în cazul proiectelor de întreținere a rețelelor rutiere și feroviare.</w:t>
      </w:r>
    </w:p>
    <w:p w:rsidR="00B4550A" w:rsidRPr="00E0488D" w:rsidRDefault="00B4550A" w:rsidP="002B7E09">
      <w:pPr>
        <w:pStyle w:val="NumberedParas"/>
      </w:pPr>
      <w:r w:rsidRPr="00E0488D">
        <w:t>Este crucială investigarea cauzelor problemelor înainte de generarea soluțiilor. Concentrarea pe probleme, mai degrabă decât pe cauzele fundamentale ale acestora, în vederea elaborării opțiunilor, poate duce la soluții care se adresează simptomelor fără a putea rezolva problemele fundamentale reale.</w:t>
      </w:r>
    </w:p>
    <w:p w:rsidR="00B4550A" w:rsidRPr="00E0488D" w:rsidRDefault="00B4550A" w:rsidP="002B7E09">
      <w:pPr>
        <w:pStyle w:val="NumberedParas"/>
        <w:numPr>
          <w:ilvl w:val="0"/>
          <w:numId w:val="0"/>
        </w:numPr>
        <w:ind w:left="851"/>
      </w:pPr>
    </w:p>
    <w:p w:rsidR="00B4550A" w:rsidRPr="00E0488D" w:rsidRDefault="00B4550A" w:rsidP="00B4550A">
      <w:pPr>
        <w:ind w:left="567"/>
        <w:rPr>
          <w:b/>
          <w:sz w:val="22"/>
          <w:szCs w:val="22"/>
          <w:lang w:val="ro-RO"/>
        </w:rPr>
      </w:pPr>
      <w:r w:rsidRPr="00E0488D">
        <w:rPr>
          <w:b/>
          <w:sz w:val="22"/>
          <w:szCs w:val="22"/>
          <w:lang w:val="ro-RO"/>
        </w:rPr>
        <w:t xml:space="preserve">Figura 2.1 Abordarea folosită pentru Identificarea Problemelor </w:t>
      </w:r>
    </w:p>
    <w:p w:rsidR="00B4550A" w:rsidRPr="00E0488D" w:rsidRDefault="00B4550A" w:rsidP="00B4550A">
      <w:pPr>
        <w:rPr>
          <w:lang w:val="ro-RO"/>
        </w:rPr>
      </w:pPr>
      <w:r w:rsidRPr="00E0488D">
        <w:rPr>
          <w:noProof/>
          <w:lang w:val="ro-RO" w:eastAsia="ro-RO"/>
        </w:rPr>
        <w:drawing>
          <wp:inline distT="0" distB="0" distL="0" distR="0">
            <wp:extent cx="6534785" cy="5110068"/>
            <wp:effectExtent l="0" t="0" r="0" b="0"/>
            <wp:docPr id="80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2B7E09">
      <w:pPr>
        <w:pStyle w:val="NumberedParas"/>
      </w:pPr>
      <w:r w:rsidRPr="00E0488D">
        <w:lastRenderedPageBreak/>
        <w:t>La fundamentarea analizei problemelor au fost utilizate mai multe surse de informații, printre care:</w:t>
      </w:r>
    </w:p>
    <w:p w:rsidR="00B4550A" w:rsidRPr="00E0488D" w:rsidRDefault="00B4550A" w:rsidP="00BC2B57">
      <w:pPr>
        <w:pStyle w:val="BulletLevel1"/>
      </w:pPr>
      <w:r w:rsidRPr="00E0488D">
        <w:t>Date statistice cu privire la operarea rețelei actuale;</w:t>
      </w:r>
    </w:p>
    <w:p w:rsidR="00B4550A" w:rsidRPr="00E0488D" w:rsidRDefault="00B4550A" w:rsidP="00BC2B57">
      <w:pPr>
        <w:pStyle w:val="BulletLevel1"/>
      </w:pPr>
      <w:r w:rsidRPr="00E0488D">
        <w:t>Modelarea performanței rețelei actuale de transport;</w:t>
      </w:r>
    </w:p>
    <w:p w:rsidR="00B4550A" w:rsidRPr="00E0488D" w:rsidRDefault="00B4550A" w:rsidP="00BC2B57">
      <w:pPr>
        <w:pStyle w:val="BulletLevel1"/>
      </w:pPr>
      <w:r w:rsidRPr="00E0488D">
        <w:t>Prognoza cererii de transport viitoare și a performanței rețelei de perspectivă; și</w:t>
      </w:r>
    </w:p>
    <w:p w:rsidR="00B4550A" w:rsidRPr="00E0488D" w:rsidRDefault="00B4550A" w:rsidP="00BC2B57">
      <w:pPr>
        <w:pStyle w:val="BulletLevel1"/>
      </w:pPr>
      <w:r w:rsidRPr="00E0488D">
        <w:t>Consultări cu principalele părți interesate.</w:t>
      </w:r>
    </w:p>
    <w:p w:rsidR="00B4550A" w:rsidRPr="00E0488D" w:rsidRDefault="00B4550A" w:rsidP="002B7E09">
      <w:pPr>
        <w:pStyle w:val="NumberedParas"/>
      </w:pPr>
      <w:r w:rsidRPr="00E0488D">
        <w:t>Modelul Național de Transport (MNT) a constituit a componentă principală a analizei problemelor. Modelul de Transport oferă, de asemenea, prognoze ale “Scenariului de Referință“, ceea ce permite analiza rețelelor de transport de perspectivă, identificându-se modalitatea în care problemele se pot amplifica în viitor.</w:t>
      </w:r>
    </w:p>
    <w:p w:rsidR="00B4550A" w:rsidRPr="00E0488D" w:rsidRDefault="00B4550A" w:rsidP="002B7E09">
      <w:pPr>
        <w:pStyle w:val="NumberedParas"/>
      </w:pPr>
      <w:r w:rsidRPr="00E0488D">
        <w:t>MNT include o reprezentare a sistemului de transport ce conține, din perspectiva ofertei, rețelele de transport, capacități și servicii iar din perspectiva cererii, deplasările între origini și destinații pentru fiecare mod de transport. Rezultatele sunt sub forma fluxurilor de trafic pe fiecare link al rețelei, împreună cu statistici sub forma de pasageri-km și vehicule-km, tone marfă-km, timpii de călătorie și costuri pe mod de transport.</w:t>
      </w:r>
    </w:p>
    <w:p w:rsidR="00B4550A" w:rsidRPr="00E0488D" w:rsidRDefault="00B4550A" w:rsidP="002B7E09">
      <w:pPr>
        <w:pStyle w:val="NumberedParas"/>
      </w:pPr>
      <w:r w:rsidRPr="00E0488D">
        <w:t>Consultările cu principalele părți interesate au furnizat informații importante cu privire la problemele existente în legătură cu politicile și aspectele operaționale ale sistemului de transport. Printre părțile interesate consultate au fost:</w:t>
      </w:r>
    </w:p>
    <w:p w:rsidR="00B4550A" w:rsidRPr="00E0488D" w:rsidRDefault="00B4550A" w:rsidP="00BC2B57">
      <w:pPr>
        <w:pStyle w:val="BulletLevel1"/>
        <w:rPr>
          <w:rStyle w:val="Emphasis"/>
          <w:i w:val="0"/>
          <w:iCs w:val="0"/>
          <w:sz w:val="18"/>
          <w:szCs w:val="18"/>
        </w:rPr>
      </w:pPr>
      <w:r w:rsidRPr="00E0488D">
        <w:rPr>
          <w:rStyle w:val="Emphasis"/>
          <w:i w:val="0"/>
          <w:iCs w:val="0"/>
        </w:rPr>
        <w:t>CFR Infrastructură;</w:t>
      </w:r>
    </w:p>
    <w:p w:rsidR="00B4550A" w:rsidRPr="00E0488D" w:rsidRDefault="00B4550A" w:rsidP="00BC2B57">
      <w:pPr>
        <w:pStyle w:val="BulletLevel1"/>
        <w:rPr>
          <w:rStyle w:val="Emphasis"/>
          <w:i w:val="0"/>
          <w:iCs w:val="0"/>
          <w:sz w:val="18"/>
          <w:szCs w:val="18"/>
        </w:rPr>
      </w:pPr>
      <w:r w:rsidRPr="00E0488D">
        <w:rPr>
          <w:rStyle w:val="Emphasis"/>
          <w:i w:val="0"/>
          <w:iCs w:val="0"/>
        </w:rPr>
        <w:t>CFR Călători;</w:t>
      </w:r>
    </w:p>
    <w:p w:rsidR="00B4550A" w:rsidRPr="00E0488D" w:rsidRDefault="00B4550A" w:rsidP="00BC2B57">
      <w:pPr>
        <w:pStyle w:val="BulletLevel1"/>
        <w:rPr>
          <w:rStyle w:val="Emphasis"/>
          <w:i w:val="0"/>
          <w:iCs w:val="0"/>
          <w:sz w:val="18"/>
          <w:szCs w:val="18"/>
        </w:rPr>
      </w:pPr>
      <w:r w:rsidRPr="00E0488D">
        <w:rPr>
          <w:rStyle w:val="Emphasis"/>
          <w:i w:val="0"/>
          <w:iCs w:val="0"/>
        </w:rPr>
        <w:t>CFR Marfă;</w:t>
      </w:r>
    </w:p>
    <w:p w:rsidR="00B4550A" w:rsidRPr="00E0488D" w:rsidRDefault="00B4550A" w:rsidP="00BC2B57">
      <w:pPr>
        <w:pStyle w:val="BulletLevel1"/>
        <w:rPr>
          <w:rStyle w:val="Emphasis"/>
          <w:i w:val="0"/>
          <w:iCs w:val="0"/>
          <w:sz w:val="18"/>
          <w:szCs w:val="18"/>
        </w:rPr>
      </w:pPr>
      <w:r w:rsidRPr="00E0488D">
        <w:rPr>
          <w:rStyle w:val="Emphasis"/>
          <w:i w:val="0"/>
          <w:iCs w:val="0"/>
        </w:rPr>
        <w:t>Direcția Feroviară din cadrul MT;</w:t>
      </w:r>
    </w:p>
    <w:p w:rsidR="00B4550A" w:rsidRPr="00E0488D" w:rsidRDefault="00B4550A" w:rsidP="00BC2B57">
      <w:pPr>
        <w:pStyle w:val="BulletLevel1"/>
        <w:rPr>
          <w:rStyle w:val="Emphasis"/>
          <w:i w:val="0"/>
          <w:iCs w:val="0"/>
          <w:sz w:val="18"/>
          <w:szCs w:val="18"/>
        </w:rPr>
      </w:pPr>
      <w:r w:rsidRPr="00E0488D">
        <w:rPr>
          <w:rStyle w:val="Emphasis"/>
          <w:i w:val="0"/>
          <w:iCs w:val="0"/>
        </w:rPr>
        <w:t>CNADNR;</w:t>
      </w:r>
    </w:p>
    <w:p w:rsidR="00B4550A" w:rsidRPr="00E0488D" w:rsidRDefault="00B4550A" w:rsidP="00BC2B57">
      <w:pPr>
        <w:pStyle w:val="BulletLevel1"/>
        <w:rPr>
          <w:rStyle w:val="Emphasis"/>
          <w:i w:val="0"/>
          <w:iCs w:val="0"/>
          <w:sz w:val="18"/>
          <w:szCs w:val="18"/>
        </w:rPr>
      </w:pPr>
      <w:r w:rsidRPr="00E0488D">
        <w:rPr>
          <w:rStyle w:val="Emphasis"/>
          <w:i w:val="0"/>
          <w:iCs w:val="0"/>
        </w:rPr>
        <w:t>Direcția Navală din cadrul MT;</w:t>
      </w:r>
    </w:p>
    <w:p w:rsidR="00B4550A" w:rsidRPr="00E0488D" w:rsidRDefault="00B4550A" w:rsidP="00BC2B57">
      <w:pPr>
        <w:pStyle w:val="BulletLevel1"/>
        <w:rPr>
          <w:rStyle w:val="Emphasis"/>
          <w:i w:val="0"/>
          <w:iCs w:val="0"/>
          <w:sz w:val="18"/>
          <w:szCs w:val="18"/>
        </w:rPr>
      </w:pPr>
      <w:r w:rsidRPr="00E0488D">
        <w:rPr>
          <w:rStyle w:val="Emphasis"/>
          <w:i w:val="0"/>
          <w:iCs w:val="0"/>
        </w:rPr>
        <w:t>Autoritatea Aeronautică Civilă;</w:t>
      </w:r>
    </w:p>
    <w:p w:rsidR="00B4550A" w:rsidRPr="00E0488D" w:rsidRDefault="00B4550A" w:rsidP="00BC2B57">
      <w:pPr>
        <w:pStyle w:val="BulletLevel1"/>
        <w:rPr>
          <w:rStyle w:val="Emphasis"/>
          <w:i w:val="0"/>
          <w:iCs w:val="0"/>
          <w:sz w:val="18"/>
          <w:szCs w:val="18"/>
        </w:rPr>
      </w:pPr>
      <w:r w:rsidRPr="00E0488D">
        <w:rPr>
          <w:rStyle w:val="Emphasis"/>
          <w:i w:val="0"/>
          <w:iCs w:val="0"/>
        </w:rPr>
        <w:t>Administrații portuare și fluviale, incluzând APDM Galați, APDF Giurgiu, ACN Constanța și APM Constanța;</w:t>
      </w:r>
    </w:p>
    <w:p w:rsidR="00B4550A" w:rsidRPr="00E0488D" w:rsidRDefault="00B4550A" w:rsidP="00BC2B57">
      <w:pPr>
        <w:pStyle w:val="BulletLevel1"/>
        <w:rPr>
          <w:rStyle w:val="Emphasis"/>
          <w:i w:val="0"/>
          <w:iCs w:val="0"/>
          <w:sz w:val="18"/>
          <w:szCs w:val="18"/>
        </w:rPr>
      </w:pPr>
      <w:r w:rsidRPr="00E0488D">
        <w:rPr>
          <w:rStyle w:val="Emphasis"/>
          <w:i w:val="0"/>
          <w:iCs w:val="0"/>
        </w:rPr>
        <w:t>TAROM;</w:t>
      </w:r>
    </w:p>
    <w:p w:rsidR="00B4550A" w:rsidRPr="00E0488D" w:rsidRDefault="00B4550A" w:rsidP="00BC2B57">
      <w:pPr>
        <w:pStyle w:val="BulletLevel1"/>
        <w:rPr>
          <w:rStyle w:val="Emphasis"/>
          <w:i w:val="0"/>
          <w:iCs w:val="0"/>
          <w:sz w:val="18"/>
          <w:szCs w:val="18"/>
        </w:rPr>
      </w:pPr>
      <w:r w:rsidRPr="00E0488D">
        <w:rPr>
          <w:rStyle w:val="Emphasis"/>
          <w:i w:val="0"/>
          <w:iCs w:val="0"/>
        </w:rPr>
        <w:t>Conducerea Aeroportului Internațional Henri Coandă;</w:t>
      </w:r>
    </w:p>
    <w:p w:rsidR="00B4550A" w:rsidRPr="00E0488D" w:rsidRDefault="00B4550A" w:rsidP="00BC2B57">
      <w:pPr>
        <w:pStyle w:val="BulletLevel1"/>
        <w:rPr>
          <w:rStyle w:val="Emphasis"/>
          <w:i w:val="0"/>
          <w:iCs w:val="0"/>
          <w:sz w:val="18"/>
          <w:szCs w:val="18"/>
        </w:rPr>
      </w:pPr>
      <w:r w:rsidRPr="00E0488D">
        <w:rPr>
          <w:rStyle w:val="Emphasis"/>
          <w:i w:val="0"/>
          <w:iCs w:val="0"/>
        </w:rPr>
        <w:t>Companii private, cum ar fi DHL, și</w:t>
      </w:r>
    </w:p>
    <w:p w:rsidR="00B4550A" w:rsidRPr="00E0488D" w:rsidRDefault="00B4550A" w:rsidP="00BC2B57">
      <w:pPr>
        <w:pStyle w:val="BulletLevel1"/>
      </w:pPr>
      <w:r w:rsidRPr="00E0488D">
        <w:rPr>
          <w:rStyle w:val="Emphasis"/>
          <w:i w:val="0"/>
          <w:iCs w:val="0"/>
        </w:rPr>
        <w:t>Organizații reprezentative, cum ar fi UNTRR și Club Feroviar</w:t>
      </w:r>
      <w:r w:rsidRPr="00E0488D">
        <w:t>.</w:t>
      </w:r>
    </w:p>
    <w:p w:rsidR="00B4550A" w:rsidRPr="00E0488D" w:rsidRDefault="00B4550A" w:rsidP="002B7E09">
      <w:pPr>
        <w:pStyle w:val="NumberedParas"/>
      </w:pPr>
      <w:r w:rsidRPr="00E0488D">
        <w:t>Detaliile complete ale analizei privind situația existentă sunt cuprinse în Raportul privind Condițiile Existente (RCE) iar cele referitoare la procesul de identificare a problemelor sunt incluse în Raportul privind Identificarea Problemelor (RDP).</w:t>
      </w:r>
    </w:p>
    <w:p w:rsidR="00B4550A" w:rsidRPr="00E0488D" w:rsidRDefault="00B4550A" w:rsidP="002B7E09">
      <w:pPr>
        <w:pStyle w:val="NumberedParas"/>
      </w:pPr>
      <w:r w:rsidRPr="00E0488D">
        <w:t xml:space="preserve">Evaluarea unei intervenții în transporturi presupune o comparație între situația ‘cu intervenție’ și situația care s-ar obține fără introducerea acelei intervenții. Scenariul ‘fără intervenție’ necesită o analiză atentă și va implica specificarea Scenariului de Referință cu cea mai mare probabilitate de apariție. Acesta este foarte important deoarece va afecta atât identificarea necesităţii unei intervenţii, cât şi evaluarea costurilor şi beneficiilor propunerii. </w:t>
      </w:r>
    </w:p>
    <w:p w:rsidR="00B4550A" w:rsidRPr="00E0488D" w:rsidRDefault="00B4550A" w:rsidP="002B7E09">
      <w:pPr>
        <w:pStyle w:val="NumberedParas"/>
      </w:pPr>
      <w:r w:rsidRPr="00E0488D">
        <w:lastRenderedPageBreak/>
        <w:t>Scenariul de referință oferă o imagine realistă a ceea ce este posibil să se întâmple în absenţa propunerilor de intervenţie. El se bazează pe continuarea regimurilor de întreţinere existente plus a oricăror angajamente de îmbunătăţire a transportului care au aprobarea politică şi de finanţare şi din care retragerea ar fi dificilă.  Corespunde în mod particular menţinerii facilităţilor prezente de transport şi implementării acelor aspecte ale strategiilor de transport naţionale şi judeţene care sunt sigure. Ia în considerare, din seturile de date europene şi naţionale, prognozele care fac referire la schimbările demografice (populaţie, ocuparea forţei de muncă şi gospodării) şi la factorii legaţi de gradul de motorizare și utilizarea serviciilor feroviare.</w:t>
      </w:r>
    </w:p>
    <w:p w:rsidR="00B4550A" w:rsidRPr="00E0488D" w:rsidRDefault="00B4550A" w:rsidP="00B4550A">
      <w:pPr>
        <w:pStyle w:val="Hdg3"/>
      </w:pPr>
      <w:r w:rsidRPr="00E0488D">
        <w:t>Probleme și oportunități</w:t>
      </w:r>
    </w:p>
    <w:p w:rsidR="00B4550A" w:rsidRPr="00E0488D" w:rsidRDefault="00B4550A" w:rsidP="002B7E09">
      <w:pPr>
        <w:pStyle w:val="NumberedParas"/>
      </w:pPr>
      <w:r w:rsidRPr="00E0488D">
        <w:t xml:space="preserve">Identificarea problemelor, constrângerilor şi oportunităţilor de transport care afectează o zonă şi a estimărilor pentru viitor, asigură faptul că intervenţiile legate de transport sunt de perspectivă şi nu reprezintă o simplă reacţie la problemele curente. Astfel, atât problemele de transport care afectează o zonă cât şi prognozele de dezvoltare pentru viitor – care de obicei se extind dincolo de domeniul transporturilor – trebuie să fie factori determinanţi în efectuarea propunerilor pentru o intervenţie în sectorul transporturilor. </w:t>
      </w:r>
    </w:p>
    <w:p w:rsidR="00B4550A" w:rsidRPr="00E0488D" w:rsidRDefault="00B4550A" w:rsidP="002B7E09">
      <w:pPr>
        <w:pStyle w:val="NumberedParas"/>
      </w:pPr>
      <w:r w:rsidRPr="00E0488D">
        <w:t>Intenția Master Planului este de a dezvolta şi evalua propuneri care să contribuie la obiectivele legate de transport sau care să fie utilizate acolo unde oportunităţile de bază sunt legate de transport. Aceasta deoarece, dacă se iau în considerare propuneri de transport care duc la îndeplinirea unui obiectiv ce poate fi atins şi prin alte mijloace (altele decât cele legate de transport), se poatea ajunge la decizii inadecvate.</w:t>
      </w:r>
    </w:p>
    <w:p w:rsidR="00B4550A" w:rsidRPr="00E0488D" w:rsidRDefault="00B4550A" w:rsidP="00B4550A">
      <w:pPr>
        <w:pStyle w:val="Hdg3"/>
      </w:pPr>
      <w:r w:rsidRPr="00E0488D">
        <w:t>Probleme curente și viitoare din sectorul transporturilor</w:t>
      </w:r>
    </w:p>
    <w:p w:rsidR="00B4550A" w:rsidRPr="00E0488D" w:rsidRDefault="00B4550A" w:rsidP="002B7E09">
      <w:pPr>
        <w:pStyle w:val="NumberedParas"/>
      </w:pPr>
      <w:r w:rsidRPr="00E0488D">
        <w:t>Problemele au fost identificate prin mai multe metode, printre care:</w:t>
      </w:r>
    </w:p>
    <w:p w:rsidR="00B4550A" w:rsidRPr="00E0488D" w:rsidRDefault="00B4550A" w:rsidP="00BC2B57">
      <w:pPr>
        <w:pStyle w:val="BulletLevel1"/>
      </w:pPr>
      <w:r w:rsidRPr="00E0488D">
        <w:t>Percepţia problemelor de către utilizatori, atât cele pe care le întâlnesc în timpul deplasărilor proprii, cât şi cele care apar în timpul deplasărilor altora;</w:t>
      </w:r>
    </w:p>
    <w:p w:rsidR="00B4550A" w:rsidRPr="00E0488D" w:rsidRDefault="00B4550A" w:rsidP="00BC2B57">
      <w:pPr>
        <w:pStyle w:val="BulletLevel1"/>
      </w:pPr>
      <w:r w:rsidRPr="00E0488D">
        <w:t>Discuţii cu reprezentanţi ai părţilor interesate pentru a înţelege percepţia specialiștilor din transporturi și planificare asupra problemelor din sistem;</w:t>
      </w:r>
    </w:p>
    <w:p w:rsidR="00B4550A" w:rsidRPr="00E0488D" w:rsidRDefault="00B4550A" w:rsidP="00BC2B57">
      <w:pPr>
        <w:pStyle w:val="BulletLevel1"/>
      </w:pPr>
      <w:r w:rsidRPr="00E0488D">
        <w:t>Auditări ale elementelor specifice ale sistemului de transport pentru a înţelege mai bine rolurile desfăşurate şi pentru a analiza măsura în care obiectivele prevăzute nu sunt îndeplinite;</w:t>
      </w:r>
    </w:p>
    <w:p w:rsidR="00B4550A" w:rsidRPr="00E0488D" w:rsidRDefault="00B4550A" w:rsidP="00BC2B57">
      <w:pPr>
        <w:pStyle w:val="BulletLevel1"/>
      </w:pPr>
      <w:r w:rsidRPr="00E0488D">
        <w:t>Analiza rezultatelor din modelul naţional de transport sau analiza seturilor de date existente pentru a stabili măsura în care sunt îndeplinite obiectivele de transport locale, judeţene şi naţionale şi cele ale politicii extinse; şi</w:t>
      </w:r>
    </w:p>
    <w:p w:rsidR="00B4550A" w:rsidRPr="00E0488D" w:rsidRDefault="00B4550A" w:rsidP="00BC2B57">
      <w:pPr>
        <w:pStyle w:val="BulletLevel1"/>
      </w:pPr>
      <w:r w:rsidRPr="00E0488D">
        <w:t>Analiza comparativă a performanţei locale faţă de situaţiile similare din alte zone ale țării.</w:t>
      </w:r>
    </w:p>
    <w:p w:rsidR="00B4550A" w:rsidRPr="00E0488D" w:rsidRDefault="00B4550A" w:rsidP="002B7E09">
      <w:pPr>
        <w:pStyle w:val="NumberedParas"/>
      </w:pPr>
      <w:r w:rsidRPr="00E0488D">
        <w:t>Problemele viitoare au fost analizate pornind de la analiza cererii și schimbărilor din oferta de servicii de transport  cuprinse în Scenariul de Referință.</w:t>
      </w:r>
    </w:p>
    <w:p w:rsidR="00B4550A" w:rsidRPr="00E0488D" w:rsidRDefault="00B4550A" w:rsidP="00B4550A">
      <w:pPr>
        <w:pStyle w:val="Hdg3"/>
      </w:pPr>
      <w:r w:rsidRPr="00E0488D">
        <w:t>Raportul privind definirea problemelor</w:t>
      </w:r>
    </w:p>
    <w:p w:rsidR="00B4550A" w:rsidRPr="00E0488D" w:rsidRDefault="00B4550A" w:rsidP="002B7E09">
      <w:pPr>
        <w:pStyle w:val="NumberedParas"/>
      </w:pPr>
      <w:r w:rsidRPr="00E0488D">
        <w:t>În cadrul Raportului privind definirea problemelor (RDP) problemele au fost identificate pentru fiecare sector al sistemului de transport, pe baza unei analize a performanței înregistrate în fiecare sector și ținând cont de consultările cu operatorii, furnizorii și utilizatorii de servicii de transport.</w:t>
      </w:r>
    </w:p>
    <w:p w:rsidR="00B4550A" w:rsidRPr="00E0488D" w:rsidRDefault="00B4550A" w:rsidP="002B7E09">
      <w:pPr>
        <w:pStyle w:val="NumberedParas"/>
      </w:pPr>
      <w:r w:rsidRPr="00E0488D">
        <w:lastRenderedPageBreak/>
        <w:t>RDP este construit pe baza următoarelor procese:</w:t>
      </w:r>
    </w:p>
    <w:p w:rsidR="00B4550A" w:rsidRPr="00E0488D" w:rsidRDefault="00B4550A" w:rsidP="00BC2B57">
      <w:pPr>
        <w:pStyle w:val="BulletLevel1"/>
      </w:pPr>
      <w:r w:rsidRPr="00E0488D">
        <w:t xml:space="preserve">Analiza sistemului de transport existent, care conține o analiză a datelor disponibile, a datelor nou colectate și celelalte analize existente </w:t>
      </w:r>
    </w:p>
    <w:p w:rsidR="00B4550A" w:rsidRPr="00E0488D" w:rsidRDefault="00B4550A" w:rsidP="00BC2B57">
      <w:pPr>
        <w:pStyle w:val="BulletLevel1"/>
      </w:pPr>
      <w:r w:rsidRPr="00E0488D">
        <w:t>Utilizarea Modelului Național de Transport pentru a asigura datele aferente Scenariului de Referință pentru anul de bază și anii de prognoză și pentru a asigura o bază solidă de justificare a procesului de identificare a problemelor;</w:t>
      </w:r>
    </w:p>
    <w:p w:rsidR="00B4550A" w:rsidRPr="00E0488D" w:rsidRDefault="00B4550A" w:rsidP="00BC2B57">
      <w:pPr>
        <w:pStyle w:val="BulletLevel1"/>
      </w:pPr>
      <w:r w:rsidRPr="00E0488D">
        <w:t>Rezultatele consultărilor cu părțile interesate, în vederea identificării cauzelor fundamentale ale problemelor;</w:t>
      </w:r>
    </w:p>
    <w:p w:rsidR="00B4550A" w:rsidRPr="00E0488D" w:rsidRDefault="00B4550A" w:rsidP="00BC2B57">
      <w:pPr>
        <w:pStyle w:val="BulletLevel1"/>
      </w:pPr>
      <w:r w:rsidRPr="00E0488D">
        <w:t>Prezentări succinte ale problemelor identificate, în urma consolidării concluziilor din partea tuturor surselor de informații probate, care vor duce la identificarea pe o bază bine justificată a problemelor și provocărilor cu care se confruntă sectorul transporturilor din România.</w:t>
      </w:r>
    </w:p>
    <w:p w:rsidR="00B4550A" w:rsidRPr="00E0488D" w:rsidRDefault="00B4550A" w:rsidP="002B7E09">
      <w:pPr>
        <w:pStyle w:val="NumberedParas"/>
      </w:pPr>
      <w:r w:rsidRPr="00E0488D">
        <w:t>Rezultatele RDP menționate mai sus au asigurat "obiectivele operaționale" esențiale, care au servit drept ghid pentru etapa de identificare a proiectelor. Acestea au fost consolidate în cadrul documentelor de lucru (rapoartele asupra problemelor/obiectivelor/intervențiilor (POI), care au fost agreate împreună cu reprezentanții MT și JASPERS.</w:t>
      </w:r>
    </w:p>
    <w:p w:rsidR="00B4550A" w:rsidRPr="00E0488D" w:rsidRDefault="00B4550A" w:rsidP="00BD59B2">
      <w:pPr>
        <w:pStyle w:val="Hdg2"/>
      </w:pPr>
      <w:bookmarkStart w:id="23" w:name="_Toc413060299"/>
      <w:r w:rsidRPr="00E0488D">
        <w:t>Modelul Național de Transport</w:t>
      </w:r>
      <w:bookmarkEnd w:id="23"/>
    </w:p>
    <w:p w:rsidR="00B4550A" w:rsidRPr="00E0488D" w:rsidRDefault="00B4550A" w:rsidP="00B4550A">
      <w:pPr>
        <w:pStyle w:val="Hdg3"/>
      </w:pPr>
      <w:r w:rsidRPr="00E0488D">
        <w:t>Prezentare generală</w:t>
      </w:r>
    </w:p>
    <w:p w:rsidR="00B4550A" w:rsidRPr="00E0488D" w:rsidRDefault="00B4550A" w:rsidP="002B7E09">
      <w:pPr>
        <w:pStyle w:val="NumberedParas"/>
      </w:pPr>
      <w:r w:rsidRPr="00E0488D">
        <w:t xml:space="preserve">Un model de transport constituie o reprezentare computerizată a circulaţiei persoanelor, mărfurilor (deplasări) şi a vehiculelor în cadrului sistemului de transport. Acesta are rolul de a crea o imagine a modului în care comportamentul de călătorie, modelele de călătorie şi solicitările vor reacţiona, în timp, la schimbări de politică, infrastructură sau servicii. </w:t>
      </w:r>
    </w:p>
    <w:p w:rsidR="00B4550A" w:rsidRPr="00E0488D" w:rsidRDefault="00B4550A" w:rsidP="002B7E09">
      <w:pPr>
        <w:pStyle w:val="NumberedParas"/>
        <w:rPr>
          <w:lang w:eastAsia="en-GB"/>
        </w:rPr>
      </w:pPr>
      <w:r w:rsidRPr="00E0488D">
        <w:rPr>
          <w:bCs/>
        </w:rPr>
        <w:t xml:space="preserve">Un beneficiu major al utilizării unui model de transport este că acesta asigură faptul că </w:t>
      </w:r>
      <w:r w:rsidRPr="00E0488D">
        <w:rPr>
          <w:lang w:eastAsia="en-GB"/>
        </w:rPr>
        <w:t xml:space="preserve">propunerile de proiecte sau variantele de proiect sunt avute în vedere în mod consecvent atât în cadrul studiilor cât şi între acestea. </w:t>
      </w:r>
      <w:r w:rsidRPr="00E0488D">
        <w:rPr>
          <w:bCs/>
        </w:rPr>
        <w:t xml:space="preserve">Un obiectiv al acestui Plan este să asigure faptul că toate evaluările de proiect respectă aceleași principii discutate în acest document </w:t>
      </w:r>
      <w:r w:rsidRPr="00E0488D">
        <w:rPr>
          <w:lang w:eastAsia="en-GB"/>
        </w:rPr>
        <w:t>şi din acest motiv permit organizaţiei evaluatoare să compare proiectele în mod unitar.</w:t>
      </w:r>
    </w:p>
    <w:p w:rsidR="00B4550A" w:rsidRPr="00E0488D" w:rsidRDefault="00B4550A" w:rsidP="002B7E09">
      <w:pPr>
        <w:pStyle w:val="NumberedParas"/>
      </w:pPr>
      <w:r w:rsidRPr="00E0488D">
        <w:t>Există anumiți termeni și concepte cu sensuri specifice atunci când sunt folosiți în procesul de modelare. Acestea sunt:</w:t>
      </w:r>
    </w:p>
    <w:p w:rsidR="00B4550A" w:rsidRPr="00E0488D" w:rsidRDefault="00B4550A" w:rsidP="00BC2B57">
      <w:pPr>
        <w:pStyle w:val="BulletLevel1"/>
      </w:pPr>
      <w:r w:rsidRPr="00E0488D">
        <w:rPr>
          <w:b/>
        </w:rPr>
        <w:t xml:space="preserve">Anul de bază </w:t>
      </w:r>
      <w:r w:rsidRPr="00E0488D">
        <w:t xml:space="preserve"> este anul pentru care un Model este calibrat (sau adecvat datelor). Este cel mai recent an pentru care sunt disponibile date de transport și demografice cuprinzătoare și corecte (relevante pentru proiect). Spre exemplu, Anul de Bază al Modelului Național de Transport este 2011.</w:t>
      </w:r>
    </w:p>
    <w:p w:rsidR="00B4550A" w:rsidRPr="00E0488D" w:rsidRDefault="00B4550A" w:rsidP="00BC2B57">
      <w:pPr>
        <w:pStyle w:val="BulletLevel1"/>
      </w:pPr>
      <w:r w:rsidRPr="00E0488D">
        <w:rPr>
          <w:b/>
        </w:rPr>
        <w:t>Anii de prognoză</w:t>
      </w:r>
      <w:r w:rsidRPr="00E0488D">
        <w:t xml:space="preserve"> sunt anii pentru care Modelul produce prognoze de trafic. Cel puțin doi ani de prognoză ar trebui modelați: anul presupus de deschidere a proiectului care este supus analizei și 15 ani după acesta. Motivul este în primul rând că, de obicei, anii de proiectare indică o perioadă de 15 ani de la lansare iar în al doilea rând, evaluarea economică a unui proiect presupune o viață de 30 de ani a proiectului. Prognoza pe 15 ani după anul de deschidere este un compromis acceptat între nesiguranța prognozelor pe termen lung și extrapolarea excesivă a evaluării economice. De exemplu, anii de prognoză pentru modelul Național sunt 2015, 2020, 2030 și 2040.</w:t>
      </w:r>
    </w:p>
    <w:p w:rsidR="00B4550A" w:rsidRPr="00E0488D" w:rsidRDefault="00B4550A" w:rsidP="00BC2B57">
      <w:pPr>
        <w:pStyle w:val="BulletLevel1"/>
      </w:pPr>
      <w:r w:rsidRPr="00E0488D">
        <w:rPr>
          <w:b/>
        </w:rPr>
        <w:t>Zone</w:t>
      </w:r>
      <w:r w:rsidRPr="00E0488D">
        <w:t xml:space="preserve">: în modelele de transport aria în care proiectul este plasat este divizată în arii geografice numite zone. În cadrul modelului, se presupune că traficul accesează și părăsește </w:t>
      </w:r>
      <w:r w:rsidRPr="00E0488D">
        <w:lastRenderedPageBreak/>
        <w:t>rețelele de transport prin aceste zone. Bineînțeles, în realitate traficul intră și iese din rețeaua de transport prin puncte individuale (adrese personale sau de firme) dar este imposibil să se obțină toate detaliile necesare ale fiecărei călătorii individuale; în acest fel, călătoriile sunt modelate ca deplasări de la zonă la zonă (interzonale). Cu alte cuvinte, zonele reprezintă originile și destinațiile călătoriilor. În Modelul Național există 1160 de zone în interiorul României (zone interne) și 150 de zone în exteriorul României (zone externe).</w:t>
      </w:r>
    </w:p>
    <w:p w:rsidR="00B4550A" w:rsidRPr="00E0488D" w:rsidRDefault="00B4550A" w:rsidP="00BC2B57">
      <w:pPr>
        <w:pStyle w:val="BulletLevel1"/>
      </w:pPr>
      <w:r w:rsidRPr="00E0488D">
        <w:rPr>
          <w:b/>
        </w:rPr>
        <w:t xml:space="preserve">Moduri: </w:t>
      </w:r>
      <w:r w:rsidRPr="00E0488D">
        <w:t xml:space="preserve">în procesul de modelare modul este prescurtarea termenului mod de transport, prin care oamenii sau mărfurile se deplasează între zone. Acestea pot include moduri “ne-mecanizate”, cum ar fi mersul pe jos sau cu bicicleta și moduri „mecanizate”, precum autoturismul privat, autobuzul, tramvaiul, trenul, metroul și mijloacele de transport fluviale, maritime și aeriene. Modelele </w:t>
      </w:r>
      <w:r w:rsidRPr="00E0488D">
        <w:rPr>
          <w:i/>
        </w:rPr>
        <w:t xml:space="preserve">unimodale </w:t>
      </w:r>
      <w:r w:rsidRPr="00E0488D">
        <w:t xml:space="preserve">reprezintă transportul într-un singur mod iar modelele </w:t>
      </w:r>
      <w:r w:rsidRPr="00E0488D">
        <w:rPr>
          <w:i/>
        </w:rPr>
        <w:t>multimodale</w:t>
      </w:r>
      <w:r w:rsidRPr="00E0488D">
        <w:t xml:space="preserve"> reprezintă transportul prin mai multe moduri. Modelul Național este un model multimodal, cu toate modurile mecanizate de transport incluse, alături de transportul multimodal de marfă. </w:t>
      </w:r>
    </w:p>
    <w:p w:rsidR="00B4550A" w:rsidRPr="00E0488D" w:rsidRDefault="00B4550A" w:rsidP="00BC2B57">
      <w:pPr>
        <w:pStyle w:val="BulletLevel1"/>
      </w:pPr>
      <w:r w:rsidRPr="00E0488D">
        <w:rPr>
          <w:b/>
        </w:rPr>
        <w:t xml:space="preserve">Rețele: </w:t>
      </w:r>
      <w:r w:rsidRPr="00E0488D">
        <w:t>în cadrul modelelor de transport, rețelele sunt o reprezentare computerizată a rețelelor de transport. Pentru majoritatea modelelor acestea includ rețeaua rutieră și rețelele de transport public: autobuz, tramvai, metrou și rețele feroviare. Rețelele de transport public includ, de asemenea, detalii referitoare la rute,  frecvențe și tarife.</w:t>
      </w:r>
    </w:p>
    <w:p w:rsidR="00B4550A" w:rsidRPr="00E0488D" w:rsidRDefault="00B4550A" w:rsidP="00BC2B57">
      <w:pPr>
        <w:pStyle w:val="BulletLevel1"/>
      </w:pPr>
      <w:r w:rsidRPr="00E0488D">
        <w:rPr>
          <w:b/>
        </w:rPr>
        <w:t xml:space="preserve">Matricele de călătorii: </w:t>
      </w:r>
      <w:r w:rsidRPr="00E0488D">
        <w:t xml:space="preserve"> sunt tabele ce reprezintă călătoriile între zone. Acestea pot conține numere de vehicule sau număr de persoane, pentru un anumit scop de călătorie sau pentru un anumit moment al zilei sau pentru un anumit mod. Acestea sunt, de obicei, denumite Matrice Origine – Destinație (O-D).</w:t>
      </w:r>
    </w:p>
    <w:p w:rsidR="00B4550A" w:rsidRPr="00E0488D" w:rsidRDefault="00B4550A" w:rsidP="00BC2B57">
      <w:pPr>
        <w:pStyle w:val="BulletLevel1"/>
      </w:pPr>
      <w:r w:rsidRPr="00E0488D">
        <w:rPr>
          <w:b/>
        </w:rPr>
        <w:t xml:space="preserve">Afectare: </w:t>
      </w:r>
      <w:r w:rsidRPr="00E0488D">
        <w:t xml:space="preserve">în timpul procesului de afectare modelul calculează ruta cu costul cel mai mic din cadrul rețelei pentru fiecare pereche O-D din matricele de călătorii și cumulează fluxurile pe fiecare secțiune a rețelei. Între majoritatea originilor și destinațiilor există mai mult decât o singură rută posibilă, astfel modelul repetă această procedură de mai multe ori, până când rețeaua atinge un </w:t>
      </w:r>
      <w:r w:rsidRPr="00E0488D">
        <w:rPr>
          <w:b/>
        </w:rPr>
        <w:t>echilibru.</w:t>
      </w:r>
      <w:r w:rsidRPr="00E0488D">
        <w:t xml:space="preserve"> Fiecare calcul de rută este numit </w:t>
      </w:r>
      <w:r w:rsidRPr="00E0488D">
        <w:rPr>
          <w:b/>
        </w:rPr>
        <w:t xml:space="preserve">iterație. </w:t>
      </w:r>
      <w:r w:rsidRPr="00E0488D">
        <w:t xml:space="preserve">Modelul Național are un total de 1310 zone și calculează 1,7 milioane de rute la fiecare iterație. </w:t>
      </w:r>
    </w:p>
    <w:p w:rsidR="00B4550A" w:rsidRPr="00E0488D" w:rsidRDefault="00B4550A" w:rsidP="00BC2B57">
      <w:pPr>
        <w:pStyle w:val="BulletLevel1"/>
      </w:pPr>
      <w:r w:rsidRPr="00E0488D">
        <w:rPr>
          <w:b/>
        </w:rPr>
        <w:t xml:space="preserve">Calibrare și Validare: </w:t>
      </w:r>
      <w:r w:rsidRPr="00E0488D">
        <w:t>Calibrarea este procesul de ajustare a modelului și a relației acestuia cu datele, în timp ce validarea este procesul de comparare a datelor de ieșire din model cu serii de date independente. Există standarde recunoscute internațional pentru evaluarea gradului de adecvare al modelelor, în funcție de dimensiunea și aria de acoperire a modelului analizat.</w:t>
      </w:r>
    </w:p>
    <w:p w:rsidR="00B4550A" w:rsidRPr="00E0488D" w:rsidRDefault="00B4550A" w:rsidP="00BC2B57">
      <w:pPr>
        <w:pStyle w:val="BulletLevel1"/>
      </w:pPr>
      <w:r w:rsidRPr="00E0488D">
        <w:rPr>
          <w:b/>
        </w:rPr>
        <w:t xml:space="preserve">Software de modelare: </w:t>
      </w:r>
      <w:r w:rsidRPr="00E0488D">
        <w:t>Modelele de transport simple se pot construi cu ajutorul programului Excel, dar utilizarea acestei metode implică unele limitări.  Pentru majoritatea aplicațiilor de modelare există pachete dedicate disponibile și recomandăm folosirea acestora. Modelul Național este construit cu ajutorul programului EMME, un pachet foarte cunoscut și folosit pe scară largă, care oferă flexibilitatea necesară îndeplinirii scopului pentru care modelul a fost conceput.</w:t>
      </w:r>
    </w:p>
    <w:p w:rsidR="00B4550A" w:rsidRPr="00E0488D" w:rsidRDefault="00B4550A" w:rsidP="002B7E09">
      <w:pPr>
        <w:pStyle w:val="NumberedParas"/>
      </w:pPr>
      <w:r w:rsidRPr="00E0488D">
        <w:t>Structura de bază a modelului este prezentată în figura 2.3 de mai jos:</w:t>
      </w:r>
    </w:p>
    <w:p w:rsidR="0030066D" w:rsidRDefault="0030066D">
      <w:pPr>
        <w:rPr>
          <w:b/>
          <w:sz w:val="22"/>
          <w:szCs w:val="22"/>
          <w:lang w:val="ro-RO"/>
        </w:rPr>
      </w:pPr>
      <w:r>
        <w:rPr>
          <w:b/>
          <w:sz w:val="22"/>
          <w:szCs w:val="22"/>
          <w:lang w:val="ro-RO"/>
        </w:rPr>
        <w:br w:type="page"/>
      </w:r>
    </w:p>
    <w:p w:rsidR="00B4550A" w:rsidRPr="00E0488D" w:rsidRDefault="00B4550A" w:rsidP="00B4550A">
      <w:pPr>
        <w:ind w:left="851"/>
        <w:rPr>
          <w:b/>
          <w:sz w:val="22"/>
          <w:szCs w:val="22"/>
          <w:lang w:val="ro-RO"/>
        </w:rPr>
      </w:pPr>
      <w:r w:rsidRPr="00E0488D">
        <w:rPr>
          <w:b/>
          <w:sz w:val="22"/>
          <w:szCs w:val="22"/>
          <w:lang w:val="ro-RO"/>
        </w:rPr>
        <w:lastRenderedPageBreak/>
        <w:t>Figura 2.3 Structura de bază a Modelului Național de Transport</w:t>
      </w:r>
    </w:p>
    <w:p w:rsidR="00B4550A" w:rsidRPr="00E0488D" w:rsidRDefault="00B4550A" w:rsidP="00B4550A">
      <w:pPr>
        <w:ind w:left="851"/>
        <w:rPr>
          <w:b/>
          <w:sz w:val="22"/>
          <w:szCs w:val="22"/>
          <w:lang w:val="ro-RO"/>
        </w:rPr>
      </w:pPr>
    </w:p>
    <w:p w:rsidR="00B4550A" w:rsidRPr="00E0488D" w:rsidRDefault="00B4550A" w:rsidP="00B4550A">
      <w:pPr>
        <w:ind w:left="851"/>
        <w:rPr>
          <w:b/>
          <w:sz w:val="22"/>
          <w:szCs w:val="22"/>
          <w:lang w:val="ro-RO"/>
        </w:rPr>
      </w:pPr>
      <w:r w:rsidRPr="00E0488D">
        <w:rPr>
          <w:noProof/>
          <w:lang w:val="ro-RO" w:eastAsia="ro-RO"/>
        </w:rPr>
        <w:drawing>
          <wp:inline distT="0" distB="0" distL="0" distR="0">
            <wp:extent cx="5949950" cy="3790950"/>
            <wp:effectExtent l="19050" t="0" r="0" b="0"/>
            <wp:docPr id="80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cstate="print"/>
                    <a:srcRect/>
                    <a:stretch>
                      <a:fillRect/>
                    </a:stretch>
                  </pic:blipFill>
                  <pic:spPr bwMode="auto">
                    <a:xfrm>
                      <a:off x="0" y="0"/>
                      <a:ext cx="5949950" cy="3790950"/>
                    </a:xfrm>
                    <a:prstGeom prst="rect">
                      <a:avLst/>
                    </a:prstGeom>
                    <a:noFill/>
                    <a:ln w="9525">
                      <a:noFill/>
                      <a:miter lim="800000"/>
                      <a:headEnd/>
                      <a:tailEnd/>
                    </a:ln>
                  </pic:spPr>
                </pic:pic>
              </a:graphicData>
            </a:graphic>
          </wp:inline>
        </w:drawing>
      </w:r>
    </w:p>
    <w:p w:rsidR="00B4550A" w:rsidRPr="00E0488D" w:rsidRDefault="00B4550A" w:rsidP="002B7E09">
      <w:pPr>
        <w:pStyle w:val="NumberedParas"/>
      </w:pPr>
      <w:r w:rsidRPr="00E0488D">
        <w:t>Următoarele secțiuni oferă detalii suplimentare privind aceste procese.</w:t>
      </w:r>
    </w:p>
    <w:p w:rsidR="00B4550A" w:rsidRPr="00E0488D" w:rsidRDefault="00B4550A" w:rsidP="002B7E09">
      <w:pPr>
        <w:pStyle w:val="NumberedParas"/>
      </w:pPr>
      <w:r w:rsidRPr="00E0488D">
        <w:t xml:space="preserve">Intervențiile specifice pe care Modelul Național de Transport este capabil să le modeleze includ. </w:t>
      </w:r>
    </w:p>
    <w:p w:rsidR="00B4550A" w:rsidRPr="00E0488D" w:rsidRDefault="00B4550A" w:rsidP="00BC2B57">
      <w:pPr>
        <w:pStyle w:val="BulletLevel1"/>
      </w:pPr>
      <w:r w:rsidRPr="00E0488D">
        <w:t xml:space="preserve">Impactul schimbărilor economice (PIB, venit, grad de motorizare) și sociale (nivelul și distribuția populației), variații ale cererii de transport; </w:t>
      </w:r>
    </w:p>
    <w:p w:rsidR="00B4550A" w:rsidRPr="00E0488D" w:rsidRDefault="00B4550A" w:rsidP="00BC2B57">
      <w:pPr>
        <w:pStyle w:val="BulletLevel1"/>
      </w:pPr>
      <w:r w:rsidRPr="00E0488D">
        <w:t>Modificări ale infrastructurii;</w:t>
      </w:r>
    </w:p>
    <w:p w:rsidR="00B4550A" w:rsidRPr="00E0488D" w:rsidRDefault="00B4550A" w:rsidP="00BC2B57">
      <w:pPr>
        <w:pStyle w:val="BulletLevel1"/>
      </w:pPr>
      <w:r w:rsidRPr="00E0488D">
        <w:t>Noi servicii de transport public (TP);</w:t>
      </w:r>
    </w:p>
    <w:p w:rsidR="00B4550A" w:rsidRPr="00E0488D" w:rsidRDefault="00B4550A" w:rsidP="00BC2B57">
      <w:pPr>
        <w:pStyle w:val="BulletLevel1"/>
      </w:pPr>
      <w:r w:rsidRPr="00E0488D">
        <w:t>Politici ce includ:</w:t>
      </w:r>
    </w:p>
    <w:p w:rsidR="00B4550A" w:rsidRPr="00E0488D" w:rsidRDefault="00B4550A" w:rsidP="00B4550A">
      <w:pPr>
        <w:pStyle w:val="Bullet"/>
      </w:pPr>
      <w:r w:rsidRPr="00E0488D">
        <w:t xml:space="preserve">Tarife diferențiate pentru transport feroviar și cel aerian </w:t>
      </w:r>
    </w:p>
    <w:p w:rsidR="00B4550A" w:rsidRPr="00E0488D" w:rsidRDefault="00B4550A" w:rsidP="00B4550A">
      <w:pPr>
        <w:pStyle w:val="Bullet"/>
      </w:pPr>
      <w:r w:rsidRPr="00E0488D">
        <w:t xml:space="preserve">Internalizarea costurilor externe de transport </w:t>
      </w:r>
    </w:p>
    <w:p w:rsidR="00B4550A" w:rsidRPr="00E0488D" w:rsidRDefault="00B4550A" w:rsidP="00B4550A">
      <w:pPr>
        <w:pStyle w:val="Bullet"/>
      </w:pPr>
      <w:r w:rsidRPr="00E0488D">
        <w:t>Politici legate de modificarea climei (subvenții pentru modurile de transport cu emisii reduse)</w:t>
      </w:r>
    </w:p>
    <w:p w:rsidR="00B4550A" w:rsidRPr="00E0488D" w:rsidRDefault="00B4550A" w:rsidP="00B4550A">
      <w:pPr>
        <w:pStyle w:val="Bullet"/>
      </w:pPr>
      <w:r w:rsidRPr="00E0488D">
        <w:t>Introducerea taxelor de drumuri;</w:t>
      </w:r>
    </w:p>
    <w:p w:rsidR="00B4550A" w:rsidRPr="00E0488D" w:rsidRDefault="00B4550A" w:rsidP="00B4550A">
      <w:pPr>
        <w:pStyle w:val="Bullet"/>
      </w:pPr>
      <w:r w:rsidRPr="00E0488D">
        <w:t>Gradul de motorizare și legătura sa cu nivelul de taxare.</w:t>
      </w:r>
    </w:p>
    <w:p w:rsidR="00B4550A" w:rsidRPr="00E0488D" w:rsidRDefault="00B4550A" w:rsidP="002B7E09">
      <w:pPr>
        <w:pStyle w:val="NumberedParas"/>
      </w:pPr>
      <w:r w:rsidRPr="00E0488D">
        <w:t xml:space="preserve">Cererile modelate în MNT vor reacționa la modificări de costuri și timp pentru toate aspectele legate de călătorie. Cele mai întâlnite intervenții în cadrul Master Planului sunt acelea legate de îmbunătățiri ale infrastructurii, cum ar fi construcția de autostrăzi și drumuri expres, reabilitări de cale ferată, creșterea frecvenței serviciilor precum și reabilitarea și modernizarea terminalelor de marfă în porturi și a centrelor intermodale. Dar modelul este construit să poată evalua și intervențiile legate de politici, incluzând măsuri de taxare a utilizatorilor de drum, creșterea accizelor pe combustibil sau impunerea de costuri suplimentare pentru deținerea în proprietate a autoturismelor, prin creșterea impozitelor sau a taxelor de înmatriculare. De exemplu, taxarea vehiculelor grele va conduce la creșterea costurilor de operare și limitarea </w:t>
      </w:r>
      <w:r w:rsidRPr="00E0488D">
        <w:lastRenderedPageBreak/>
        <w:t>distanțelor parcurse de camioane, ceea ce induce transferul către alte moduri (în special către calea ferată) sau la dispariția totală a anumitor călătorii. Structura modelului include toate aceste mecanisme de reacție la modificarea anumitor parametri de politică de transport. Creșterea taxelor de înmatriculare sau a impozitelor pe proprietate vor afecta gradul de motorizare prin intermediul modului specific integrat în cadrul modelului național.</w:t>
      </w:r>
    </w:p>
    <w:p w:rsidR="00B4550A" w:rsidRPr="00E0488D" w:rsidRDefault="00B4550A" w:rsidP="00B4550A">
      <w:pPr>
        <w:pStyle w:val="Hdg3"/>
      </w:pPr>
      <w:r w:rsidRPr="00E0488D">
        <w:t>Aria de studiu</w:t>
      </w:r>
    </w:p>
    <w:p w:rsidR="00B4550A" w:rsidRPr="00E0488D" w:rsidRDefault="00B4550A" w:rsidP="002B7E09">
      <w:pPr>
        <w:pStyle w:val="NumberedParas"/>
      </w:pPr>
      <w:r w:rsidRPr="00E0488D">
        <w:t>MNT include:</w:t>
      </w:r>
    </w:p>
    <w:p w:rsidR="00B4550A" w:rsidRPr="00E0488D" w:rsidRDefault="00B4550A" w:rsidP="00BC2B57">
      <w:pPr>
        <w:pStyle w:val="BulletLevel1"/>
      </w:pPr>
      <w:r w:rsidRPr="00E0488D">
        <w:t xml:space="preserve">Călătorii ce au loc numai pe teritoriul României, în special transport interurban. MNT nu examinează tiparele și cererea referitoare la călătoriile urbane; așadar, colectarea datelor și dezvoltarea modelului au fost structurate potrivit acestor cerințe; </w:t>
      </w:r>
    </w:p>
    <w:p w:rsidR="00B4550A" w:rsidRPr="00E0488D" w:rsidRDefault="00B4550A" w:rsidP="00BC2B57">
      <w:pPr>
        <w:pStyle w:val="BulletLevel1"/>
      </w:pPr>
      <w:r w:rsidRPr="00E0488D">
        <w:t xml:space="preserve">Călătorii internaționale având originea sau destinația în România; și </w:t>
      </w:r>
    </w:p>
    <w:p w:rsidR="00B4550A" w:rsidRPr="00E0488D" w:rsidRDefault="00B4550A" w:rsidP="00BC2B57">
      <w:pPr>
        <w:pStyle w:val="BulletLevel1"/>
      </w:pPr>
      <w:r w:rsidRPr="00E0488D">
        <w:t>Călătorii internaționale cu originea și destinația în afara României.</w:t>
      </w:r>
    </w:p>
    <w:p w:rsidR="00B4550A" w:rsidRPr="00E0488D" w:rsidRDefault="00B4550A" w:rsidP="002B7E09">
      <w:pPr>
        <w:pStyle w:val="NumberedParas"/>
      </w:pPr>
      <w:r w:rsidRPr="00E0488D">
        <w:t>O cerință cheie este înțelegerea modelelor interurbane și internaționale de călătorie, recunoscând în același timp faptul că punctele de congestionare a traficului afectează parte din rețeaua strategică. Astfel, studiul avea nevoie de date calitative privind călătoriile interurbane, considerând datele despre călătorii urbane locale mai puțin importante. Aceste cerințe s-au aplicat similar pentru transportul de pasageri cât și pentru transportul de mărfuri. Cu toate acestea, este important de subliniat faptul că există diferențe importante între ele, în special în ceea ce privește alegerea modului de transport.</w:t>
      </w:r>
    </w:p>
    <w:p w:rsidR="00B4550A" w:rsidRPr="00E0488D" w:rsidRDefault="00B4550A" w:rsidP="002B7E09">
      <w:pPr>
        <w:pStyle w:val="NumberedParas"/>
      </w:pPr>
      <w:r w:rsidRPr="00E0488D">
        <w:t xml:space="preserve">MNT asigură astfel o reprezentare detaliată a tuturor modurilor de transport din România și a conectivității acestora la coridoarele europene de transport TEN-T. Accentul principal în cadrul modelului este pus pe deplasările inter-urbane, astfel, tratamentul călătoriilor urbane incluzând un nivel simplificat de detaliu. </w:t>
      </w:r>
    </w:p>
    <w:p w:rsidR="00B4550A" w:rsidRPr="00E0488D" w:rsidRDefault="00B4550A" w:rsidP="00B4550A">
      <w:pPr>
        <w:pStyle w:val="Hdg3"/>
      </w:pPr>
      <w:r w:rsidRPr="00E0488D">
        <w:t>Sistemul de zonificare</w:t>
      </w:r>
    </w:p>
    <w:p w:rsidR="00B4550A" w:rsidRPr="00E0488D" w:rsidRDefault="00B4550A" w:rsidP="002B7E09">
      <w:pPr>
        <w:pStyle w:val="NumberedParas"/>
      </w:pPr>
      <w:r w:rsidRPr="00E0488D">
        <w:t>Sistemul de zonificare prezintă un nivel de detaliere spațială care să îndeplinească obiectivele modelului național. Principiile aplicate pentru definirea unui sistem de zonificare au avut ca scop asigurarea următoarelor aspecte:</w:t>
      </w:r>
    </w:p>
    <w:p w:rsidR="00B4550A" w:rsidRPr="00E0488D" w:rsidRDefault="00B4550A" w:rsidP="00BC2B57">
      <w:pPr>
        <w:pStyle w:val="BulletLevel1"/>
      </w:pPr>
      <w:r w:rsidRPr="00E0488D">
        <w:t xml:space="preserve">Furnizarea detaliilor spațiale corecte, în ceea ce privește accesul la sistemul feroviar extins; </w:t>
      </w:r>
    </w:p>
    <w:p w:rsidR="00B4550A" w:rsidRPr="00E0488D" w:rsidRDefault="00B4550A" w:rsidP="00BC2B57">
      <w:pPr>
        <w:pStyle w:val="BulletLevel1"/>
      </w:pPr>
      <w:r w:rsidRPr="00E0488D">
        <w:t xml:space="preserve">Zonele au cuprins cel mult un oraș principal, în măsura în care acest lucru a fost posibil; </w:t>
      </w:r>
    </w:p>
    <w:p w:rsidR="00B4550A" w:rsidRPr="00E0488D" w:rsidRDefault="00B4550A" w:rsidP="00BC2B57">
      <w:pPr>
        <w:pStyle w:val="BulletLevel1"/>
      </w:pPr>
      <w:r w:rsidRPr="00E0488D">
        <w:t>Zonele din afara orașelor principale au fost limitate ca și delimitare spațială, astfel încât generarea unor zone foarte mari ca întindere să fie evitată, cu excepția zonelor montane unde media numărului de locuitor pe zonă a fost menținută la cel mult 15.000;</w:t>
      </w:r>
    </w:p>
    <w:p w:rsidR="00B4550A" w:rsidRPr="00E0488D" w:rsidRDefault="00B4550A" w:rsidP="00BC2B57">
      <w:pPr>
        <w:pStyle w:val="BulletLevel1"/>
      </w:pPr>
      <w:r w:rsidRPr="00E0488D">
        <w:t xml:space="preserve">Zonele au respectat granițele naturale; </w:t>
      </w:r>
    </w:p>
    <w:p w:rsidR="00B4550A" w:rsidRPr="00E0488D" w:rsidRDefault="00B4550A" w:rsidP="00BC2B57">
      <w:pPr>
        <w:pStyle w:val="BulletLevel1"/>
      </w:pPr>
      <w:r w:rsidRPr="00E0488D">
        <w:t xml:space="preserve">Granițele zonale au format o agregare a granițelor administrative, astfel încât să poată fi asigurată compatibilitatea cu strategiile existente și cu seturile de date socio-economice disponibile; </w:t>
      </w:r>
    </w:p>
    <w:p w:rsidR="00B4550A" w:rsidRPr="00E0488D" w:rsidRDefault="00B4550A" w:rsidP="00BC2B57">
      <w:pPr>
        <w:pStyle w:val="BulletLevel1"/>
      </w:pPr>
      <w:r w:rsidRPr="00E0488D">
        <w:t xml:space="preserve">Accesul la rețeaua rutieră reprezentat cât mai corespunzător, din punct de vedere al punctele de încărcare și drumurile cheie; </w:t>
      </w:r>
    </w:p>
    <w:p w:rsidR="00B4550A" w:rsidRPr="00E0488D" w:rsidRDefault="00B4550A" w:rsidP="00BC2B57">
      <w:pPr>
        <w:pStyle w:val="BulletLevel1"/>
      </w:pPr>
      <w:r w:rsidRPr="00E0488D">
        <w:t>S-a ținut cont de folosința terenurilor cu regim special, precum Portul Constanța; și</w:t>
      </w:r>
    </w:p>
    <w:p w:rsidR="00B4550A" w:rsidRPr="00E0488D" w:rsidRDefault="00B4550A" w:rsidP="00BC2B57">
      <w:pPr>
        <w:pStyle w:val="BulletLevel1"/>
      </w:pPr>
      <w:r w:rsidRPr="00E0488D">
        <w:t>Sistemul de zonificare a avut în vedere propunerile de dezvoltare viitoare.</w:t>
      </w:r>
    </w:p>
    <w:p w:rsidR="00B4550A" w:rsidRPr="00E0488D" w:rsidRDefault="00B4550A" w:rsidP="002B7E09">
      <w:pPr>
        <w:pStyle w:val="NumberedParas"/>
      </w:pPr>
      <w:r w:rsidRPr="00E0488D">
        <w:lastRenderedPageBreak/>
        <w:t xml:space="preserve">Figura 2.4 prezintă sistemul de zonificare intern, modelul fiind populat cu date referitoare la densitatea populației, populația activă, PIB pe sector și grad de motorizare, toate acestea fiind folosite în procedurile de prognoză ale modelului. </w:t>
      </w:r>
    </w:p>
    <w:p w:rsidR="00B4550A" w:rsidRPr="00E0488D" w:rsidRDefault="00B4550A" w:rsidP="00B4550A">
      <w:pPr>
        <w:pStyle w:val="Body"/>
        <w:spacing w:before="120"/>
        <w:contextualSpacing/>
        <w:rPr>
          <w:rFonts w:cs="Arial"/>
          <w:b/>
          <w:i w:val="0"/>
          <w:lang w:val="ro-RO"/>
        </w:rPr>
      </w:pPr>
      <w:r w:rsidRPr="00E0488D">
        <w:rPr>
          <w:rFonts w:cs="Arial"/>
          <w:b/>
          <w:i w:val="0"/>
          <w:lang w:val="ro-RO"/>
        </w:rPr>
        <w:t>Figura 2.4 Sistemul intern de zonificare al MNT</w:t>
      </w:r>
    </w:p>
    <w:p w:rsidR="00B4550A" w:rsidRPr="00E0488D" w:rsidRDefault="00966D0E" w:rsidP="00B4550A">
      <w:pPr>
        <w:spacing w:before="120" w:after="120" w:line="276" w:lineRule="auto"/>
        <w:ind w:left="680"/>
        <w:contextualSpacing/>
        <w:rPr>
          <w:rFonts w:cs="Arial"/>
          <w:sz w:val="22"/>
          <w:szCs w:val="22"/>
          <w:lang w:val="ro-RO"/>
        </w:rPr>
      </w:pPr>
      <w:r>
        <w:rPr>
          <w:rFonts w:cs="Arial"/>
          <w:sz w:val="22"/>
          <w:szCs w:val="22"/>
          <w:lang w:val="ro-RO"/>
        </w:rPr>
      </w:r>
      <w:r>
        <w:rPr>
          <w:rFonts w:cs="Arial"/>
          <w:sz w:val="22"/>
          <w:szCs w:val="22"/>
          <w:lang w:val="ro-RO"/>
        </w:rPr>
        <w:pict>
          <v:group id="Group 41" o:spid="_x0000_s1848" style="width:366pt;height:262.5pt;mso-position-horizontal-relative:char;mso-position-vertical-relative:line" coordorigin="7467,10164" coordsize="85693,578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6" o:spid="_x0000_s1849" type="#_x0000_t75" alt="internal_zones.jpg" style="position:absolute;left:9626;top:10231;width:83534;height:577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rozXDAAAA3AAAAA8AAABkcnMvZG93bnJldi54bWxEj9GKwjAURN8F/yHchX3TdHelSDWKCIrg&#10;g1j3A+4217ba3JQm1ezfG0HwcZiZM8x8GUwjbtS52rKCr3ECgriwuuZSwe9pM5qCcB5ZY2OZFPyT&#10;g+ViOJhjpu2dj3TLfSkihF2GCirv20xKV1Rk0I1tSxy9s+0M+ii7UuoO7xFuGvmdJKk0WHNcqLCl&#10;dUXFNe+NgtCbn22fh81fWux4e0kPbt+elfr8CKsZCE/Bv8Ov9k4rmCYTeJ6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ujNcMAAADcAAAADwAAAAAAAAAAAAAAAACf&#10;AgAAZHJzL2Rvd25yZXYueG1sUEsFBgAAAAAEAAQA9wAAAI8DAAAAAA==&#10;">
              <v:imagedata r:id="rId42" o:title="internal_zones"/>
              <v:path arrowok="t"/>
            </v:shape>
            <v:line id="Straight Connector 257" o:spid="_x0000_s1850" style="position:absolute;visibility:visible" from="7467,11608" to="14674,1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RL5cQAAADcAAAADwAAAGRycy9kb3ducmV2LnhtbESPQWvCQBSE70L/w/IKvYhuWqiE6CpF&#10;G+jRmhw8PrLPbGz2bchuk7S/3i0UPA4z8w2z2U22FQP1vnGs4HmZgCCunG64VlAW+SIF4QOyxtYx&#10;KfghD7vtw2yDmXYjf9JwCrWIEPYZKjAhdJmUvjJk0S9dRxy9i+sthij7Wuoexwi3rXxJkpW02HBc&#10;MNjR3lD1dfq2Co7Slu/V1Xj+tUU4DPmZ5uiUenqc3tYgAk3hHv5vf2gFafIKf2fiEZ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EvlxAAAANwAAAAPAAAAAAAAAAAA&#10;AAAAAKECAABkcnMvZG93bnJldi54bWxQSwUGAAAAAAQABAD5AAAAkgMAAAAA&#10;" strokecolor="#0070c0" strokeweight="2.5pt"/>
            <v:line id="Straight Connector 258" o:spid="_x0000_s1851" style="position:absolute;visibility:visible" from="7467,14482" to="14674,14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pnOcUAAADcAAAADwAAAGRycy9kb3ducmV2LnhtbESPT2vCQBTE7wW/w/KE3upGwURSVwmC&#10;UOvJf/T6yL4mqdm3YXcb0356Vyj0OMz8ZpjlejCt6Mn5xrKC6SQBQVxa3XCl4HzavixA+ICssbVM&#10;Cn7Iw3o1elpiru2ND9QfQyViCfscFdQhdLmUvqzJoJ/Yjjh6n9YZDFG6SmqHt1huWjlLklQabDgu&#10;1NjRpqbyevw2Chbl+5crsmI3nV+67Lef7dPtR6bU83goXkEEGsJ/+I9+05FLUniciUd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pnOcUAAADcAAAADwAAAAAAAAAA&#10;AAAAAAChAgAAZHJzL2Rvd25yZXYueG1sUEsFBgAAAAAEAAQA+QAAAJMDAAAAAA==&#10;" strokecolor="black [3213]"/>
            <v:shapetype id="_x0000_t202" coordsize="21600,21600" o:spt="202" path="m,l,21600r21600,l21600,xe">
              <v:stroke joinstyle="miter"/>
              <v:path gradientshapeok="t" o:connecttype="rect"/>
            </v:shapetype>
            <v:shape id="TextBox 64" o:spid="_x0000_s1852" type="#_x0000_t202" style="position:absolute;left:16109;top:10164;width:15734;height:8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ROsUA&#10;AADcAAAADwAAAGRycy9kb3ducmV2LnhtbESPS2vDMBCE74X+B7GF3BIpIW0S10oICYWeWuI8oLfF&#10;Wj+ItTKWGrv/vioEehxm5hsm3Qy2ETfqfO1Yw3SiQBDnztRcajgd38ZLED4gG2wck4Yf8rBZPz6k&#10;mBjX84FuWShFhLBPUEMVQptI6fOKLPqJa4mjV7jOYoiyK6XpsI9w28iZUi/SYs1xocKWdhXl1+zb&#10;ajh/FF+Xufos9/a57d2gJNuV1Hr0NGxfQQQawn/43n43GpZqA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tE6xQAAANwAAAAPAAAAAAAAAAAAAAAAAJgCAABkcnMv&#10;ZG93bnJldi54bWxQSwUGAAAAAAQABAD1AAAAigMAAAAA&#10;" filled="f" stroked="f">
              <v:textbox style="mso-next-textbox:#TextBox 64">
                <w:txbxContent>
                  <w:p w:rsidR="001F544B" w:rsidRPr="0017437D" w:rsidRDefault="001F544B" w:rsidP="00B4550A">
                    <w:pPr>
                      <w:pStyle w:val="NormalWeb"/>
                      <w:spacing w:before="0" w:beforeAutospacing="0" w:after="0" w:afterAutospacing="0"/>
                      <w:rPr>
                        <w:sz w:val="20"/>
                        <w:szCs w:val="20"/>
                      </w:rPr>
                    </w:pPr>
                    <w:r w:rsidRPr="0076579A">
                      <w:rPr>
                        <w:rFonts w:ascii="Arial" w:hAnsi="Arial" w:cs="Arial"/>
                        <w:color w:val="000000" w:themeColor="text1"/>
                        <w:kern w:val="24"/>
                        <w:sz w:val="20"/>
                        <w:szCs w:val="20"/>
                        <w:lang w:val="ro-RO"/>
                      </w:rPr>
                      <w:t>Județ</w:t>
                    </w:r>
                  </w:p>
                  <w:p w:rsidR="001F544B" w:rsidRPr="0017437D" w:rsidRDefault="001F544B" w:rsidP="00B4550A">
                    <w:pPr>
                      <w:pStyle w:val="NormalWeb"/>
                      <w:spacing w:before="0" w:beforeAutospacing="0" w:after="0" w:afterAutospacing="0"/>
                      <w:rPr>
                        <w:sz w:val="20"/>
                        <w:szCs w:val="20"/>
                      </w:rPr>
                    </w:pPr>
                    <w:r w:rsidRPr="0017437D">
                      <w:rPr>
                        <w:rFonts w:ascii="Arial" w:hAnsi="Arial" w:cs="Arial"/>
                        <w:color w:val="000000" w:themeColor="text1"/>
                        <w:kern w:val="24"/>
                        <w:sz w:val="20"/>
                        <w:szCs w:val="20"/>
                        <w:lang w:val="en-GB"/>
                      </w:rPr>
                      <w:t>Zone</w:t>
                    </w:r>
                  </w:p>
                </w:txbxContent>
              </v:textbox>
            </v:shape>
            <w10:wrap type="none"/>
            <w10:anchorlock/>
          </v:group>
        </w:pict>
      </w:r>
    </w:p>
    <w:p w:rsidR="00B4550A" w:rsidRPr="00E0488D" w:rsidRDefault="00B4550A" w:rsidP="002B7E09">
      <w:pPr>
        <w:pStyle w:val="NumberedParas"/>
      </w:pPr>
      <w:r w:rsidRPr="00E0488D">
        <w:t>Acesta este suplimentat de zonele externe, specificat la nivelul NUTS relevant, potrivit indicațiilor din sumarul executiv. Gradul de detaliu al zonelor externe este compatibil cu sistemul de zonificare Trans-Tools, fie prin agregare fie prin dezagregare a zonelor Trans-Tool. Figura 2.5 prezintă sistemul extern de zonificare al modelului.</w:t>
      </w:r>
    </w:p>
    <w:p w:rsidR="00B4550A" w:rsidRPr="00E0488D" w:rsidRDefault="00B4550A" w:rsidP="00B4550A">
      <w:pPr>
        <w:pStyle w:val="Body"/>
        <w:spacing w:before="120"/>
        <w:contextualSpacing/>
        <w:rPr>
          <w:rFonts w:cs="Arial"/>
          <w:b/>
          <w:i w:val="0"/>
          <w:lang w:val="ro-RO"/>
        </w:rPr>
      </w:pPr>
      <w:r w:rsidRPr="00E0488D">
        <w:rPr>
          <w:rFonts w:cs="Arial"/>
          <w:b/>
          <w:i w:val="0"/>
          <w:lang w:val="ro-RO"/>
        </w:rPr>
        <w:t>Figura 2.5 Sistemul extern de zonificare al MNT</w:t>
      </w:r>
    </w:p>
    <w:p w:rsidR="00B4550A" w:rsidRPr="00E0488D" w:rsidRDefault="00B4550A" w:rsidP="00B4550A">
      <w:pPr>
        <w:spacing w:before="120" w:after="120" w:line="276" w:lineRule="auto"/>
        <w:ind w:left="680"/>
        <w:contextualSpacing/>
        <w:rPr>
          <w:rFonts w:cs="Arial"/>
          <w:sz w:val="22"/>
          <w:szCs w:val="22"/>
          <w:lang w:val="ro-RO"/>
        </w:rPr>
      </w:pPr>
      <w:r w:rsidRPr="00E0488D">
        <w:rPr>
          <w:rFonts w:cs="Arial"/>
          <w:noProof/>
          <w:sz w:val="22"/>
          <w:szCs w:val="22"/>
          <w:lang w:val="ro-RO" w:eastAsia="ro-RO"/>
        </w:rPr>
        <w:drawing>
          <wp:inline distT="0" distB="0" distL="0" distR="0">
            <wp:extent cx="5456619" cy="3153103"/>
            <wp:effectExtent l="0" t="0" r="0" b="9525"/>
            <wp:docPr id="804" name="Picture 16" descr="external_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_zones.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463750" cy="3157223"/>
                    </a:xfrm>
                    <a:prstGeom prst="rect">
                      <a:avLst/>
                    </a:prstGeom>
                    <a:noFill/>
                    <a:ln w="9525">
                      <a:noFill/>
                      <a:miter lim="800000"/>
                      <a:headEnd/>
                      <a:tailEnd/>
                    </a:ln>
                  </pic:spPr>
                </pic:pic>
              </a:graphicData>
            </a:graphic>
          </wp:inline>
        </w:drawing>
      </w:r>
    </w:p>
    <w:p w:rsidR="00B4550A" w:rsidRPr="00E0488D" w:rsidRDefault="00B4550A" w:rsidP="00B4550A">
      <w:pPr>
        <w:pStyle w:val="Hdg3"/>
      </w:pPr>
      <w:bookmarkStart w:id="24" w:name="_Toc395520242"/>
      <w:r w:rsidRPr="00E0488D">
        <w:lastRenderedPageBreak/>
        <w:t xml:space="preserve">Segmentarea modelului și rețelele de transport din cadrul MNT </w:t>
      </w:r>
      <w:bookmarkEnd w:id="24"/>
    </w:p>
    <w:p w:rsidR="00B4550A" w:rsidRPr="00E0488D" w:rsidRDefault="00B4550A" w:rsidP="002B7E09">
      <w:pPr>
        <w:pStyle w:val="NumberedParas"/>
      </w:pPr>
      <w:r w:rsidRPr="00E0488D">
        <w:t xml:space="preserve">Modelul Național de Transport analizează cererea la următorul nivel de segmentare: </w:t>
      </w:r>
    </w:p>
    <w:p w:rsidR="00B4550A" w:rsidRPr="00E0488D" w:rsidRDefault="00B4550A" w:rsidP="00BC2B57">
      <w:pPr>
        <w:pStyle w:val="BulletLevel1"/>
      </w:pPr>
      <w:r w:rsidRPr="00E0488D">
        <w:t>Cererea de transport călători (Internă și Internațională) prin:</w:t>
      </w:r>
    </w:p>
    <w:p w:rsidR="00B4550A" w:rsidRPr="00E0488D" w:rsidRDefault="00B4550A" w:rsidP="00B4550A">
      <w:pPr>
        <w:pStyle w:val="Bullet"/>
      </w:pPr>
      <w:r w:rsidRPr="00E0488D">
        <w:t>Măsura în care autoturismele sunt disponibile pentru efectuarea călătoriilor (disponibilitatea auto) (CA/NCA);</w:t>
      </w:r>
    </w:p>
    <w:p w:rsidR="00B4550A" w:rsidRPr="00E0488D" w:rsidRDefault="00B4550A" w:rsidP="00B4550A">
      <w:pPr>
        <w:pStyle w:val="Bullet"/>
      </w:pPr>
      <w:r w:rsidRPr="00E0488D">
        <w:t>Scopul călătoriei: Afaceri, Navetă, Personal, și Vacanță/Timp liber, și</w:t>
      </w:r>
    </w:p>
    <w:p w:rsidR="00B4550A" w:rsidRPr="00E0488D" w:rsidRDefault="00B4550A" w:rsidP="00B4550A">
      <w:pPr>
        <w:pStyle w:val="Bullet"/>
      </w:pPr>
      <w:r w:rsidRPr="00E0488D">
        <w:t>Mod de transport: autoturism, autobuz, tren, avion și feribot acolo unde acesta este disponibil.</w:t>
      </w:r>
    </w:p>
    <w:p w:rsidR="00B4550A" w:rsidRPr="00E0488D" w:rsidRDefault="00B4550A" w:rsidP="00BC2B57">
      <w:pPr>
        <w:pStyle w:val="BulletLevel1"/>
      </w:pPr>
      <w:r w:rsidRPr="00E0488D">
        <w:t>Cererea de transport marfă prin:</w:t>
      </w:r>
    </w:p>
    <w:p w:rsidR="00B4550A" w:rsidRPr="00E0488D" w:rsidRDefault="00B4550A" w:rsidP="00B4550A">
      <w:pPr>
        <w:pStyle w:val="Bullet"/>
      </w:pPr>
      <w:r w:rsidRPr="00E0488D">
        <w:t>Tipuri de mărfuri (16 tipuri separate de mărfuri);</w:t>
      </w:r>
    </w:p>
    <w:p w:rsidR="00B4550A" w:rsidRPr="00E0488D" w:rsidRDefault="00B4550A" w:rsidP="00B4550A">
      <w:pPr>
        <w:pStyle w:val="Bullet"/>
      </w:pPr>
      <w:r w:rsidRPr="00E0488D">
        <w:t xml:space="preserve">Containere și mărfuri generale; și </w:t>
      </w:r>
    </w:p>
    <w:p w:rsidR="00B4550A" w:rsidRPr="00E0488D" w:rsidRDefault="00B4550A" w:rsidP="00B4550A">
      <w:pPr>
        <w:pStyle w:val="Bullet"/>
      </w:pPr>
      <w:r w:rsidRPr="00E0488D">
        <w:t xml:space="preserve">Mod: rutier, feroviar, naval și aerian pentru deplasări internaționale </w:t>
      </w:r>
    </w:p>
    <w:p w:rsidR="00B4550A" w:rsidRPr="00E0488D" w:rsidRDefault="00B4550A" w:rsidP="002B7E09">
      <w:pPr>
        <w:pStyle w:val="NumberedParas"/>
      </w:pPr>
      <w:r w:rsidRPr="00E0488D">
        <w:t>MNT include reprezentări ale următoarelor rețele de transport persoane și mărfuri:</w:t>
      </w:r>
    </w:p>
    <w:p w:rsidR="00B4550A" w:rsidRPr="00E0488D" w:rsidRDefault="00B4550A" w:rsidP="00BC2B57">
      <w:pPr>
        <w:pStyle w:val="BulletLevel1"/>
      </w:pPr>
      <w:r w:rsidRPr="00E0488D">
        <w:t xml:space="preserve">Rețeaua rutieră – autoturisme, curse de autobuz, vehicule de transport mărfuri grele și ușoare; </w:t>
      </w:r>
    </w:p>
    <w:p w:rsidR="00B4550A" w:rsidRPr="00E0488D" w:rsidRDefault="00B4550A" w:rsidP="00BC2B57">
      <w:pPr>
        <w:pStyle w:val="BulletLevel1"/>
      </w:pPr>
      <w:r w:rsidRPr="00E0488D">
        <w:t xml:space="preserve">Rețeaua feroviară – trenuri de persoane (Regio,InterRegio și InterCity) și trenuri de mărfuri; </w:t>
      </w:r>
    </w:p>
    <w:p w:rsidR="00B4550A" w:rsidRPr="00E0488D" w:rsidRDefault="00B4550A" w:rsidP="00BC2B57">
      <w:pPr>
        <w:pStyle w:val="BulletLevel1"/>
      </w:pPr>
      <w:r w:rsidRPr="00E0488D">
        <w:t xml:space="preserve">Rețeaua aeriană – servicii de transport aerian de persoane și mărfuri; </w:t>
      </w:r>
    </w:p>
    <w:p w:rsidR="00B4550A" w:rsidRPr="00E0488D" w:rsidRDefault="00B4550A" w:rsidP="00BC2B57">
      <w:pPr>
        <w:pStyle w:val="BulletLevel1"/>
      </w:pPr>
      <w:r w:rsidRPr="00E0488D">
        <w:t>Rețeaua de transport naval – transportul mărfurilor; și</w:t>
      </w:r>
    </w:p>
    <w:p w:rsidR="00B4550A" w:rsidRPr="00E0488D" w:rsidRDefault="00B4550A" w:rsidP="00BC2B57">
      <w:pPr>
        <w:pStyle w:val="BulletLevel1"/>
      </w:pPr>
      <w:r w:rsidRPr="00E0488D">
        <w:t>Facilități de transport intermodal.</w:t>
      </w:r>
    </w:p>
    <w:p w:rsidR="00B4550A" w:rsidRPr="00E0488D" w:rsidRDefault="00B4550A" w:rsidP="002B7E09">
      <w:pPr>
        <w:pStyle w:val="NumberedParas"/>
        <w:rPr>
          <w:b/>
        </w:rPr>
      </w:pPr>
      <w:r w:rsidRPr="00E0488D">
        <w:t xml:space="preserve">Rețeaua rutieră a MNT, Figura 2.6, include toate autostrăzile și drumurile naționale, plus principalele drumuri județene, selectate pe criterii de trafic, împreună cu drumurile locale necesare pentru conectivitatea rețelei. Rețeaua feroviară, Figura 2.7, include toate stațiile și secțiunile unde se operează servicii de transport călători. În final, rețeaua navală, Figura 2.8 este compusă din Dunăre, canalele navigabile dintre Dunăre și Constanța și toate porturile dunărene din România și alte țări pe care acesta le tranzitează. </w:t>
      </w:r>
    </w:p>
    <w:p w:rsidR="00B4550A" w:rsidRPr="00E0488D" w:rsidRDefault="00B4550A" w:rsidP="00B4550A">
      <w:pPr>
        <w:pStyle w:val="Body"/>
        <w:keepNext/>
        <w:spacing w:before="120"/>
        <w:ind w:left="851"/>
        <w:contextualSpacing/>
        <w:rPr>
          <w:rFonts w:cs="Arial"/>
          <w:i w:val="0"/>
          <w:lang w:val="ro-RO"/>
        </w:rPr>
      </w:pPr>
      <w:r w:rsidRPr="00E0488D">
        <w:rPr>
          <w:rFonts w:cs="Arial"/>
          <w:b/>
          <w:i w:val="0"/>
          <w:lang w:val="ro-RO"/>
        </w:rPr>
        <w:lastRenderedPageBreak/>
        <w:t>Figura 2.6 Rețeaua rutieră internă a MNT</w:t>
      </w:r>
    </w:p>
    <w:p w:rsidR="00B4550A" w:rsidRPr="00E0488D" w:rsidRDefault="00B4550A" w:rsidP="002B7E09">
      <w:pPr>
        <w:pStyle w:val="NumberedParas"/>
        <w:numPr>
          <w:ilvl w:val="0"/>
          <w:numId w:val="0"/>
        </w:numPr>
        <w:ind w:left="851"/>
      </w:pPr>
      <w:r w:rsidRPr="00E0488D">
        <w:rPr>
          <w:noProof/>
          <w:lang w:eastAsia="ro-RO"/>
        </w:rPr>
        <w:drawing>
          <wp:inline distT="0" distB="0" distL="0" distR="0">
            <wp:extent cx="4488872" cy="3188946"/>
            <wp:effectExtent l="0" t="0" r="0" b="0"/>
            <wp:docPr id="805" name="Picture 17" descr="Romania_HW_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mania_HW_Network.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508103" cy="3202608"/>
                    </a:xfrm>
                    <a:prstGeom prst="rect">
                      <a:avLst/>
                    </a:prstGeom>
                    <a:noFill/>
                    <a:ln w="9525">
                      <a:noFill/>
                      <a:miter lim="800000"/>
                      <a:headEnd/>
                      <a:tailEnd/>
                    </a:ln>
                  </pic:spPr>
                </pic:pic>
              </a:graphicData>
            </a:graphic>
          </wp:inline>
        </w:drawing>
      </w:r>
    </w:p>
    <w:p w:rsidR="00B4550A" w:rsidRPr="00E0488D" w:rsidRDefault="00B4550A" w:rsidP="00B4550A">
      <w:pPr>
        <w:pStyle w:val="Body"/>
        <w:spacing w:before="120"/>
        <w:ind w:left="851"/>
        <w:contextualSpacing/>
        <w:rPr>
          <w:rFonts w:cs="Arial"/>
          <w:b/>
          <w:i w:val="0"/>
          <w:lang w:val="ro-RO"/>
        </w:rPr>
      </w:pPr>
      <w:bookmarkStart w:id="25" w:name="_Toc395520245"/>
      <w:r w:rsidRPr="00E0488D">
        <w:rPr>
          <w:rFonts w:cs="Arial"/>
          <w:b/>
          <w:i w:val="0"/>
          <w:lang w:val="ro-RO"/>
        </w:rPr>
        <w:t>Figura 2.7 Rețeaua feroviară internă a MNT</w:t>
      </w:r>
    </w:p>
    <w:p w:rsidR="00B4550A" w:rsidRPr="00E0488D" w:rsidRDefault="00966D0E" w:rsidP="00B4550A">
      <w:pPr>
        <w:spacing w:before="120" w:after="120" w:line="276" w:lineRule="auto"/>
        <w:ind w:firstLine="851"/>
        <w:contextualSpacing/>
        <w:rPr>
          <w:rFonts w:cs="Arial"/>
          <w:sz w:val="22"/>
          <w:szCs w:val="22"/>
          <w:lang w:val="ro-RO"/>
        </w:rPr>
      </w:pPr>
      <w:r>
        <w:rPr>
          <w:rFonts w:cs="Arial"/>
          <w:sz w:val="22"/>
          <w:szCs w:val="22"/>
          <w:lang w:val="ro-RO"/>
        </w:rPr>
      </w:r>
      <w:r>
        <w:rPr>
          <w:rFonts w:cs="Arial"/>
          <w:sz w:val="22"/>
          <w:szCs w:val="22"/>
          <w:lang w:val="ro-RO"/>
        </w:rPr>
        <w:pict>
          <v:group id="Group 8" o:spid="_x0000_s1842" style="width:405.1pt;height:303.55pt;mso-position-horizontal-relative:char;mso-position-vertical-relative:line" coordorigin="10450,10189" coordsize="56106,41960">
            <v:shape id="Picture 260" o:spid="_x0000_s1843" type="#_x0000_t75" alt="rail_sts.jpg" style="position:absolute;left:10510;top:10189;width:56046;height:419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uMP/DAAAA3AAAAA8AAABkcnMvZG93bnJldi54bWxET89rwjAUvgv+D+EJu2mqwzk7UymCUMGL&#10;bjt4e2uebbF56ZJMu/315jDw+PH9Xq1704orOd9YVjCdJCCIS6sbrhR8vG/HryB8QNbYWiYFv+Rh&#10;nQ0HK0y1vfGBrsdQiRjCPkUFdQhdKqUvazLoJ7YjjtzZOoMhQldJ7fAWw00rZ0nyIg02HBtq7GhT&#10;U3k5/hgFXwuTsCt2f/nzvN9/br+b/LTfKPU06vM3EIH68BD/uwutYLGMa+OZeARk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4w/8MAAADcAAAADwAAAAAAAAAAAAAAAACf&#10;AgAAZHJzL2Rvd25yZXYueG1sUEsFBgAAAAAEAAQA9wAAAI8DAAAAAA==&#10;" stroked="t" strokecolor="black [3213]">
              <v:imagedata r:id="rId45" o:title="rail_sts"/>
              <v:path arrowok="t"/>
            </v:shape>
            <v:group id="Group 261" o:spid="_x0000_s1844" style="position:absolute;left:10450;top:10287;width:11523;height:6116" coordorigin="10450,10287" coordsize="11522,6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9kvsYAAADcAAAADwAAAGRycy9kb3ducmV2LnhtbESPT2vCQBTE74LfYXlC&#10;b3UTi9WkriKi0oMUqoXS2yP78gezb0N2TeK37xYKHoeZ+Q2z2gymFh21rrKsIJ5GIIgzqysuFHxd&#10;Ds9LEM4ja6wtk4I7Odisx6MVptr2/End2RciQNilqKD0vkmldFlJBt3UNsTBy21r0AfZFlK32Ae4&#10;qeUsil6lwYrDQokN7UrKruebUXDssd++xPvudM1395/L/OP7FJNST5Nh+wbC0+Af4f/2u1awS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v2S+xgAAANwA&#10;AAAPAAAAAAAAAAAAAAAAAKoCAABkcnMvZG93bnJldi54bWxQSwUGAAAAAAQABAD6AAAAnQMAAAAA&#10;">
              <v:shape id="TextBox 2" o:spid="_x0000_s1845" type="#_x0000_t202" style="position:absolute;left:10450;top:10287;width:11523;height:56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7ox78A&#10;AADcAAAADwAAAGRycy9kb3ducmV2LnhtbERPuwrCMBTdBf8hXMFNUx1UqlF8IIjoYBVxvDTXttjc&#10;lCZq/XszCI6H854tGlOKF9WusKxg0I9AEKdWF5wpuJy3vQkI55E1lpZJwYccLObt1gxjbd98olfi&#10;MxFC2MWoIPe+iqV0aU4GXd9WxIG729qgD7DOpK7xHcJNKYdRNJIGCw4NOVa0zil9JE+jYHf+7E/j&#10;9XFk9qvN7XCV7rrdHJTqdprlFISnxv/FP/dOK5hEYX44E46AnH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TujHvwAAANwAAAAPAAAAAAAAAAAAAAAAAJgCAABkcnMvZG93bnJl&#10;di54bWxQSwUGAAAAAAQABAD1AAAAhAMAAAAA&#10;" filled="f" strokecolor="black [3213]">
                <v:textbox style="mso-next-textbox:#TextBox 2">
                  <w:txbxContent>
                    <w:p w:rsidR="001F544B" w:rsidRDefault="001F544B" w:rsidP="00B4550A">
                      <w:pPr>
                        <w:pStyle w:val="NormalWeb"/>
                        <w:spacing w:before="0" w:beforeAutospacing="0" w:after="0" w:afterAutospacing="0"/>
                      </w:pPr>
                      <w:r>
                        <w:rPr>
                          <w:rFonts w:asciiTheme="minorHAnsi" w:hAnsi="Calibri" w:cstheme="minorBidi"/>
                          <w:color w:val="000000" w:themeColor="text1"/>
                          <w:kern w:val="24"/>
                          <w:sz w:val="28"/>
                          <w:szCs w:val="28"/>
                          <w:lang w:val="en-GB"/>
                        </w:rPr>
                        <w:t>Legendă</w:t>
                      </w:r>
                    </w:p>
                    <w:p w:rsidR="001F544B" w:rsidRDefault="001F544B" w:rsidP="00B4550A">
                      <w:pPr>
                        <w:pStyle w:val="NormalWeb"/>
                        <w:spacing w:before="0" w:beforeAutospacing="0" w:after="0" w:afterAutospacing="0"/>
                      </w:pPr>
                      <w:r>
                        <w:rPr>
                          <w:rFonts w:asciiTheme="minorHAnsi" w:hAnsi="Calibri" w:cstheme="minorBidi"/>
                          <w:color w:val="000000" w:themeColor="text1"/>
                          <w:kern w:val="24"/>
                          <w:lang w:val="en-GB"/>
                        </w:rPr>
                        <w:t>Stații</w:t>
                      </w:r>
                    </w:p>
                    <w:p w:rsidR="001F544B" w:rsidRDefault="001F544B" w:rsidP="00B4550A">
                      <w:pPr>
                        <w:pStyle w:val="NormalWeb"/>
                        <w:spacing w:before="0" w:beforeAutospacing="0" w:after="0" w:afterAutospacing="0"/>
                      </w:pPr>
                      <w:r>
                        <w:rPr>
                          <w:rFonts w:asciiTheme="minorHAnsi" w:hAnsi="Calibri" w:cstheme="minorBidi"/>
                          <w:color w:val="000000" w:themeColor="text1"/>
                          <w:kern w:val="24"/>
                          <w:lang w:val="en-GB"/>
                        </w:rPr>
                        <w:t>Rail lines</w:t>
                      </w:r>
                    </w:p>
                  </w:txbxContent>
                </v:textbox>
              </v:shape>
              <v:oval id="Oval 263" o:spid="_x0000_s1846" style="position:absolute;left:19811;top:14742;width:588;height:585;flip: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jy8YA&#10;AADcAAAADwAAAGRycy9kb3ducmV2LnhtbESPzWrDMBCE74G+g9hCb4mcQhPjRjahIT/0EuL20OPW&#10;2tom1spISuy8fVUo5DjMzDfMqhhNJ67kfGtZwXyWgCCurG65VvD5sZ2mIHxA1thZJgU38lDkD5MV&#10;ZtoOfKJrGWoRIewzVNCE0GdS+qohg35me+Lo/VhnMETpaqkdDhFuOvmcJAtpsOW40GBPbw1V5/Ji&#10;FCy/brv024wv5+oYhnd32OzX241ST4/j+hVEoDHcw//tg1aQJn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Gjy8YAAADcAAAADwAAAAAAAAAAAAAAAACYAgAAZHJz&#10;L2Rvd25yZXYueG1sUEsFBgAAAAAEAAQA9QAAAIsDAAAAAA==&#10;" fillcolor="red" strokecolor="red" strokeweight="2pt">
                <v:textbox style="mso-next-textbox:#Oval 263">
                  <w:txbxContent>
                    <w:p w:rsidR="001F544B" w:rsidRDefault="001F544B" w:rsidP="00B4550A"/>
                  </w:txbxContent>
                </v:textbox>
              </v:oval>
              <v:line id="Straight Connector 264" o:spid="_x0000_s1847" style="position:absolute;visibility:visible" from="19296,16403" to="20736,16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Ap88cAAADcAAAADwAAAGRycy9kb3ducmV2LnhtbESPQWvCQBSE74X+h+UVehHdmGIaU1cp&#10;FcGLiGkO9vbIviah2bchuzXpv3cFocdhZr5hVpvRtOJCvWssK5jPIhDEpdUNVwqKz900BeE8ssbW&#10;Min4Iweb9ePDCjNtBz7RJfeVCBB2GSqove8yKV1Zk0E3sx1x8L5tb9AH2VdS9zgEuGllHEWJNNhw&#10;WKixo4+ayp/81yjYFsmQL6vF62T+chiXfIzPXwej1PPT+P4GwtPo/8P39l4rSKMYbmfCEZD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4CnzxwAAANwAAAAPAAAAAAAA&#10;AAAAAAAAAKECAABkcnMvZG93bnJldi54bWxQSwUGAAAAAAQABAD5AAAAlQMAAAAA&#10;" strokecolor="black [3213]" strokeweight="1pt"/>
            </v:group>
            <w10:wrap type="none"/>
            <w10:anchorlock/>
          </v:group>
        </w:pict>
      </w:r>
    </w:p>
    <w:p w:rsidR="00B4550A" w:rsidRPr="00E0488D" w:rsidRDefault="00B4550A" w:rsidP="00B4550A">
      <w:pPr>
        <w:pStyle w:val="Body"/>
        <w:spacing w:before="120"/>
        <w:ind w:left="851"/>
        <w:contextualSpacing/>
        <w:rPr>
          <w:rFonts w:cs="Arial"/>
          <w:b/>
          <w:i w:val="0"/>
          <w:lang w:val="ro-RO"/>
        </w:rPr>
      </w:pPr>
      <w:r w:rsidRPr="00E0488D">
        <w:rPr>
          <w:rFonts w:cs="Arial"/>
          <w:b/>
          <w:i w:val="0"/>
          <w:lang w:val="ro-RO"/>
        </w:rPr>
        <w:t>Figura 2.8 Rețeaua de căi navigabile interne a MNT</w:t>
      </w:r>
    </w:p>
    <w:p w:rsidR="00B4550A" w:rsidRPr="00E0488D" w:rsidRDefault="00966D0E" w:rsidP="002B7E09">
      <w:pPr>
        <w:pStyle w:val="NumberedParas"/>
        <w:numPr>
          <w:ilvl w:val="0"/>
          <w:numId w:val="0"/>
        </w:numPr>
        <w:ind w:left="851"/>
      </w:pPr>
      <w:r>
        <w:pict>
          <v:group id="Group 200" o:spid="_x0000_s1839" style="width:391.5pt;height:267pt;mso-position-horizontal-relative:char;mso-position-vertical-relative:line" coordorigin="10247,9932" coordsize="72679,49503">
            <v:shape id="Picture 265" o:spid="_x0000_s1840" type="#_x0000_t75" alt="danube_ports.jpg" style="position:absolute;left:10324;top:9932;width:72602;height:495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ic4HCAAAA3AAAAA8AAABkcnMvZG93bnJldi54bWxEj0FrAjEUhO8F/0N4Qm81q2Jrt0YRpVC9&#10;VYVeH5vXzeLmJSZRt/56Uyj0OMzMN8xs0dlWXCjExrGC4aAAQVw53XCt4LB/f5qCiAlZY+uYFPxQ&#10;hMW89zDDUrsrf9Jll2qRIRxLVGBS8qWUsTJkMQ6cJ87etwsWU5ahljrgNcNtK0dF8SwtNpwXDHpa&#10;GaqOu7NV4CnQ2ExPN4ph7Uebr62PYavUY79bvoFI1KX/8F/7Qyt4eZ3A75l8BO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InOBwgAAANwAAAAPAAAAAAAAAAAAAAAAAJ8C&#10;AABkcnMvZG93bnJldi54bWxQSwUGAAAAAAQABAD3AAAAjgMAAAAA&#10;" stroked="t" strokecolor="black [3213]">
              <v:imagedata r:id="rId46" o:title="danube_ports"/>
              <v:path arrowok="t"/>
            </v:shape>
            <v:shape id="TextBox 9" o:spid="_x0000_s1841" type="#_x0000_t202" style="position:absolute;left:10247;top:10043;width:21052;height:7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XU+cQA&#10;AADcAAAADwAAAGRycy9kb3ducmV2LnhtbESPS6vCMBSE94L/IRzBnabeRb1Wo/hAEPEufCAuD82x&#10;LTYnpcnV+u+NILgcZuYbZjJrTCnuVLvCsoJBPwJBnFpdcKbgdFz3fkE4j6yxtEwKnuRgNm23Jpho&#10;++A93Q8+EwHCLkEFufdVIqVLczLo+rYiDt7V1gZ9kHUmdY2PADel/ImiWBosOCzkWNEyp/R2+DcK&#10;Nsfndj9c/sVmu1hddmfpzuvVTqlup5mPQXhq/Df8aW+0guEohveZcAT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V1PnEAAAA3AAAAA8AAAAAAAAAAAAAAAAAmAIAAGRycy9k&#10;b3ducmV2LnhtbFBLBQYAAAAABAAEAPUAAACJAwAAAAA=&#10;" filled="f" strokecolor="black [3213]">
              <v:textbox style="mso-next-textbox:#TextBox 9">
                <w:txbxContent>
                  <w:p w:rsidR="001F544B" w:rsidRDefault="001F544B" w:rsidP="00B4550A">
                    <w:pPr>
                      <w:pStyle w:val="NormalWeb"/>
                      <w:spacing w:before="0" w:beforeAutospacing="0" w:after="0" w:afterAutospacing="0"/>
                    </w:pPr>
                    <w:r>
                      <w:rPr>
                        <w:rFonts w:asciiTheme="minorHAnsi" w:hAnsi="Calibri" w:cstheme="minorBidi"/>
                        <w:color w:val="000000" w:themeColor="text1"/>
                        <w:kern w:val="24"/>
                        <w:sz w:val="28"/>
                        <w:szCs w:val="28"/>
                        <w:lang w:val="en-GB"/>
                      </w:rPr>
                      <w:t>Legendă</w:t>
                    </w:r>
                  </w:p>
                  <w:p w:rsidR="001F544B" w:rsidRDefault="001F544B" w:rsidP="00B4550A">
                    <w:pPr>
                      <w:pStyle w:val="NormalWeb"/>
                      <w:spacing w:before="0" w:beforeAutospacing="0" w:after="0" w:afterAutospacing="0"/>
                    </w:pPr>
                    <w:r>
                      <w:rPr>
                        <w:rFonts w:asciiTheme="minorHAnsi" w:hAnsi="Calibri" w:cstheme="minorBidi"/>
                        <w:color w:val="000000" w:themeColor="text1"/>
                        <w:kern w:val="24"/>
                        <w:lang w:val="en-GB"/>
                      </w:rPr>
                      <w:t>Căi navigabile</w:t>
                    </w:r>
                  </w:p>
                </w:txbxContent>
              </v:textbox>
            </v:shape>
            <w10:wrap type="none"/>
            <w10:anchorlock/>
          </v:group>
        </w:pict>
      </w:r>
    </w:p>
    <w:p w:rsidR="00B4550A" w:rsidRPr="00E0488D" w:rsidRDefault="00B4550A" w:rsidP="002B7E09">
      <w:pPr>
        <w:pStyle w:val="NumberedParas"/>
      </w:pPr>
      <w:r w:rsidRPr="00E0488D">
        <w:t xml:space="preserve">MNT include, de asemenea, o reprezentare a deplasărilor efectuate pe o rețea compusă din toate aeroporturile din România și secțiunile reprezentând toate zborurile dinspre fiecare aeroport către toate destinațiile deservite prin zboruri directe. </w:t>
      </w:r>
    </w:p>
    <w:p w:rsidR="00B4550A" w:rsidRPr="00E0488D" w:rsidRDefault="00B4550A" w:rsidP="00B4550A">
      <w:pPr>
        <w:pStyle w:val="Hdg3"/>
      </w:pPr>
      <w:r w:rsidRPr="00E0488D">
        <w:t>Structura MNT</w:t>
      </w:r>
    </w:p>
    <w:p w:rsidR="00B4550A" w:rsidRPr="00E0488D" w:rsidRDefault="00B4550A" w:rsidP="002B7E09">
      <w:pPr>
        <w:pStyle w:val="NumberedParas"/>
      </w:pPr>
      <w:r w:rsidRPr="00E0488D">
        <w:t xml:space="preserve">Figurile 2.9 și 2.10 prezintă principalele componente ale modelului. Acestea sunt modelul cererii interne și internaționale de transport de persoane și modelul cererii de transport marfă (intern/internațional). Modelele aferente transportului de persoane intern și internațional folosesc aceeași structură dar coeficienții pentru modelele cererii sunt diferiți și reflectă caracteristicile diferite ale persoanelor angajate în fiecare tip de deplasare.  </w:t>
      </w:r>
    </w:p>
    <w:p w:rsidR="00B4550A" w:rsidRPr="00E0488D" w:rsidRDefault="00B4550A" w:rsidP="00B4550A">
      <w:pPr>
        <w:pStyle w:val="Body"/>
        <w:spacing w:before="120"/>
        <w:ind w:left="851"/>
        <w:contextualSpacing/>
        <w:rPr>
          <w:rFonts w:cs="Arial"/>
          <w:b/>
          <w:i w:val="0"/>
          <w:lang w:val="ro-RO"/>
        </w:rPr>
      </w:pPr>
      <w:r w:rsidRPr="00E0488D">
        <w:rPr>
          <w:rFonts w:cs="Arial"/>
          <w:b/>
          <w:i w:val="0"/>
          <w:lang w:val="ro-RO"/>
        </w:rPr>
        <w:t>Figura 2.9 Structura modelului pentru transportul de persoane</w:t>
      </w:r>
    </w:p>
    <w:p w:rsidR="00B4550A" w:rsidRPr="00E0488D" w:rsidRDefault="00966D0E" w:rsidP="00B4550A">
      <w:pPr>
        <w:pStyle w:val="Body"/>
        <w:spacing w:before="120"/>
        <w:ind w:left="851"/>
        <w:contextualSpacing/>
        <w:rPr>
          <w:i w:val="0"/>
          <w:lang w:val="ro-RO"/>
        </w:rPr>
      </w:pPr>
      <w:r>
        <w:rPr>
          <w:lang w:val="ro-RO"/>
        </w:rPr>
      </w:r>
      <w:r>
        <w:rPr>
          <w:lang w:val="ro-RO"/>
        </w:rPr>
        <w:pict>
          <v:group id="Group 201" o:spid="_x0000_s1804" style="width:456.3pt;height:537.05pt;mso-position-horizontal-relative:char;mso-position-vertical-relative:line" coordorigin="3897,7760" coordsize="85593,60749">
            <v:roundrect id="Rounded Rectangle 267" o:spid="_x0000_s1805" style="position:absolute;left:3897;top:7760;width:85594;height:55014;visibility:visible;v-text-anchor:middle" arcsize="42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g8EA&#10;AADcAAAADwAAAGRycy9kb3ducmV2LnhtbERPy2rCQBTdF/yH4Ra6aya6sJI6SqkKLm1S+thdMrdJ&#10;SOZOmBlj8vcdQXB5OO/1djSdGMj5xrKCeZKCIC6tbrhS8FkcnlcgfEDW2FkmBRN52G5mD2vMtL3w&#10;Bw15qEQMYZ+hgjqEPpPSlzUZ9IntiSP3Z53BEKGrpHZ4ieGmk4s0XUqDDceGGnt6r6ls87O59rbD&#10;6bervts9f/3I+Wk3HaZCqafH8e0VRKAx3MU391EreFnG+fFMPA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kYIPBAAAA3AAAAA8AAAAAAAAAAAAAAAAAmAIAAGRycy9kb3du&#10;cmV2LnhtbFBLBQYAAAAABAAEAPUAAACGAwAAAAA=&#10;" fillcolor="#63c1df" stroked="f" strokeweight="2pt">
              <v:textbox style="mso-next-textbox:#Rounded Rectangle 267">
                <w:txbxContent>
                  <w:p w:rsidR="001F544B" w:rsidRDefault="001F544B" w:rsidP="00B4550A"/>
                </w:txbxContent>
              </v:textbox>
            </v:roundrect>
            <v:group id="Group 269" o:spid="_x0000_s1806" style="position:absolute;left:19014;top:9690;width:51300;height:52110" coordorigin="19014,9690" coordsize="51845,5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roundrect id="Rounded Rectangle 270" o:spid="_x0000_s1807" style="position:absolute;left:44217;top:16171;width:19442;height:360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5VcYA&#10;AADcAAAADwAAAGRycy9kb3ducmV2LnhtbESPQWvCQBSE70L/w/IKXqRujGBKmo0UUehJTFpKj8/s&#10;axKafRuyq0n/fbcgeBxm5hsm206mE1caXGtZwWoZgSCurG65VvDxfnh6BuE8ssbOMin4JQfb/GGW&#10;YartyAVdS1+LAGGXooLG+z6V0lUNGXRL2xMH79sOBn2QQy31gGOAm07GUbSRBlsOCw32tGuo+ikv&#10;RsFxcXKLKNmfzsX4VXzG6/ZssFRq/ji9voDwNPl7+NZ+0wqSTQz/Z8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o5VcYAAADcAAAADwAAAAAAAAAAAAAAAACYAgAAZHJz&#10;L2Rvd25yZXYueG1sUEsFBgAAAAAEAAQA9QAAAIsDAAAAAA==&#10;" filled="f" strokecolor="white [3212]" strokeweight="2pt">
                <v:textbox style="mso-next-textbox:#Rounded Rectangle 270" inset="0,,0">
                  <w:txbxContent>
                    <w:p w:rsidR="001F544B" w:rsidRDefault="001F544B" w:rsidP="00B4550A">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Generation</w:t>
                      </w:r>
                    </w:p>
                  </w:txbxContent>
                </v:textbox>
              </v:roundrect>
              <v:roundrect id="Rounded Rectangle 271" o:spid="_x0000_s1808" style="position:absolute;left:46377;top:29133;width:15198;height:502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jNMYA&#10;AADcAAAADwAAAGRycy9kb3ducmV2LnhtbESPQWsCMRSE7wX/Q3gFL0WzWrBlaxQRBHsoUm2R3h6b&#10;183i5mVN0t313xuh4HGYmW+Y+bK3tWjJh8qxgsk4A0FcOF1xqeDrsBm9gggRWWPtmBRcKMByMXiY&#10;Y65dx5/U7mMpEoRDjgpMjE0uZSgMWQxj1xAn79d5izFJX0rtsUtwW8tpls2kxYrTgsGG1oaK0/7P&#10;KnC7M32XH0/++G5O0/OEm67tf5QaPvarNxCR+ngP/7e3WsHL7BluZ9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pjNMYAAADcAAAADwAAAAAAAAAAAAAAAACYAgAAZHJz&#10;L2Rvd25yZXYueG1sUEsFBgAAAAAEAAQA9QAAAIsDAAAAAA==&#10;" filled="f" strokecolor="white [3212]" strokeweight="2pt">
                <v:textbox style="mso-next-textbox:#Rounded Rectangle 271" inset="1mm,,1mm">
                  <w:txbxContent>
                    <w:p w:rsidR="001F544B" w:rsidRDefault="001F544B" w:rsidP="00B4550A">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Mode Choice</w:t>
                      </w:r>
                    </w:p>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 Rail / Air / Bus / Ferry</w:t>
                      </w:r>
                    </w:p>
                  </w:txbxContent>
                </v:textbox>
              </v:roundrect>
              <v:roundrect id="Rounded Rectangle 272" o:spid="_x0000_s1809" style="position:absolute;left:46377;top:9690;width:15198;height:3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7QMYA&#10;AADcAAAADwAAAGRycy9kb3ducmV2LnhtbESPQWsCMRSE7wX/Q3gFL0WzSrFlaxQRBHsoUm2R3h6b&#10;183i5mVN0t313xuh4HGYmW+Y+bK3tWjJh8qxgsk4A0FcOF1xqeDrsBm9gggRWWPtmBRcKMByMXiY&#10;Y65dx5/U7mMpEoRDjgpMjE0uZSgMWQxj1xAn79d5izFJX0rtsUtwW8tpls2kxYrTgsGG1oaK0/7P&#10;KnC7M32XH0/++G5O0/OEm67tf5QaPvarNxCR+ngP/7e3WsHL7BluZ9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P7QMYAAADcAAAADwAAAAAAAAAAAAAAAACYAgAAZHJz&#10;L2Rvd25yZXYueG1sUEsFBgAAAAAEAAQA9QAAAIsDAAAAAA==&#10;" filled="f" strokecolor="white [3212]" strokeweight="2pt">
                <v:textbox style="mso-next-textbox:#Rounded Rectangle 272"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Domestic Passenger Demands </w:t>
                      </w:r>
                    </w:p>
                  </w:txbxContent>
                </v:textbox>
              </v:roundrect>
              <v:roundrect id="Rounded Rectangle 273" o:spid="_x0000_s1810" style="position:absolute;left:37016;top:37053;width:15122;height:50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9e28YA&#10;AADcAAAADwAAAGRycy9kb3ducmV2LnhtbESPQWsCMRSE7wX/Q3gFL0WzCrVlaxQRBHsoUm2R3h6b&#10;183i5mVN0t313xuh4HGYmW+Y+bK3tWjJh8qxgsk4A0FcOF1xqeDrsBm9gggRWWPtmBRcKMByMXiY&#10;Y65dx5/U7mMpEoRDjgpMjE0uZSgMWQxj1xAn79d5izFJX0rtsUtwW8tpls2kxYrTgsGG1oaK0/7P&#10;KnC7M32XH0/++G5O0/OEm67tf5QaPvarNxCR+ngP/7e3WsHL7BluZ9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9e28YAAADcAAAADwAAAAAAAAAAAAAAAACYAgAAZHJz&#10;L2Rvd25yZXYueG1sUEsFBgAAAAAEAAQA9QAAAIsDAAAAAA==&#10;" filled="f" strokecolor="white [3212]" strokeweight="2pt">
                <v:textbox style="mso-next-textbox:#Rounded Rectangle 273"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person trips converted Vehicle Trips</w:t>
                      </w:r>
                    </w:p>
                  </w:txbxContent>
                </v:textbox>
              </v:roundrect>
              <v:roundrect id="Rounded Rectangle 274" o:spid="_x0000_s1811" style="position:absolute;left:19014;top:10051;width:9316;height:3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bAsQA&#10;AADcAAAADwAAAGRycy9kb3ducmV2LnhtbESP3WoCMRSE7wu+QzhC72rWXsSyGkWUgvWi4M8DHDZn&#10;fzQ5WTdRt336RhB6OczMN8xs0TsrbtSFxrOG8SgDQVx403Cl4Xj4fPsAESKyQeuZNPxQgMV88DLD&#10;3Pg77+i2j5VIEA45aqhjbHMpQ1GTwzDyLXHySt85jEl2lTQd3hPcWfmeZUo6bDgt1NjSqqbivL86&#10;DbK8qG3s27X9vZTZ8vu0tasvpfXrsF9OQUTq43/42d4YDROl4HEmHQ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A2wLEAAAA3AAAAA8AAAAAAAAAAAAAAAAAmAIAAGRycy9k&#10;b3ducmV2LnhtbFBLBQYAAAAABAAEAPUAAACJAwAAAAA=&#10;" filled="f" strokecolor="white [3212]" strokeweight="2pt">
                <v:textbox style="mso-next-textbox:#Rounded Rectangle 274" inset=",,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Network</w:t>
                      </w:r>
                    </w:p>
                  </w:txbxContent>
                </v:textbox>
              </v:roundrect>
              <v:roundrect id="Rounded Rectangle 275" o:spid="_x0000_s1812" style="position:absolute;left:30895;top:10051;width:9001;height:3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mcQA&#10;AADcAAAADwAAAGRycy9kb3ducmV2LnhtbESPzYoCMRCE7wu+Q2jB25rRw7iMRhFFUA/CuvsAzaTn&#10;R5POOIk6+vRGWNhjUVVfUbNFZ424UetrxwpGwwQEce50zaWC35/N5xcIH5A1Gsek4EEeFvPexwwz&#10;7e78TbdjKEWEsM9QQRVCk0np84os+qFriKNXuNZiiLItpW7xHuHWyHGSpNJizXGhwoZWFeXn49Uq&#10;kMUl3YeuWZvnpUiWh9PerHapUoN+t5yCCNSF//Bfe6sVTNIJvM/EI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MfpnEAAAA3AAAAA8AAAAAAAAAAAAAAAAAmAIAAGRycy9k&#10;b3ducmV2LnhtbFBLBQYAAAAABAAEAPUAAACJAwAAAAA=&#10;" filled="f" strokecolor="white [3212]" strokeweight="2pt">
                <v:textbox style="mso-next-textbox:#Rounded Rectangle 275" inset=",,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Network &amp; Lines</w:t>
                      </w:r>
                    </w:p>
                  </w:txbxContent>
                </v:textbox>
              </v:roundrect>
              <v:roundrect id="Rounded Rectangle 276" o:spid="_x0000_s1813" style="position:absolute;left:21472;top:16171;width:13384;height:367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7xRcMA&#10;AADcAAAADwAAAGRycy9kb3ducmV2LnhtbERPz2vCMBS+D/Y/hDfwMjTVgxvVVMZgoAcZug3x9mje&#10;mtLmpSaxrf/9chB2/Ph+rzejbUVPPtSOFcxnGQji0umaKwXfXx/TVxAhImtsHZOCGwXYFI8Pa8y1&#10;G/hA/TFWIoVwyFGBibHLpQylIYth5jrixP06bzEm6CupPQ4p3LZykWVLabHm1GCwo3dDZXO8WgXu&#10;80I/1f7Zn3amWVzm3A39eFZq8jS+rUBEGuO/+O7eagUvy7Q2nUlH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7xRcMAAADcAAAADwAAAAAAAAAAAAAAAACYAgAAZHJzL2Rv&#10;d25yZXYueG1sUEsFBgAAAAAEAAQA9QAAAIgDAAAAAA==&#10;" filled="f" strokecolor="white [3212]" strokeweight="2pt">
                <v:textbox style="mso-next-textbox:#Rounded Rectangle 276"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Initial Highway</w:t>
                      </w:r>
                    </w:p>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 xml:space="preserve"> &amp;  PT Cost  Skims</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77" o:spid="_x0000_s1814" type="#_x0000_t34" style="position:absolute;left:24644;top:12651;width:2548;height:4492;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m67sQAAADcAAAADwAAAGRycy9kb3ducmV2LnhtbESPT4vCMBTE74LfITzBm6bqoms1iii7&#10;ePDinwWPj+bZFpuXkkTb/fZmYcHjMDO/YZbr1lTiSc6XlhWMhgkI4szqknMFl/PX4BOED8gaK8uk&#10;4Jc8rFfdzhJTbRs+0vMUchEh7FNUUIRQp1L6rCCDfmhr4ujdrDMYonS51A6bCDeVHCfJVBosOS4U&#10;WNO2oOx+ehgFh+uFJs3u8H2cuN1jvgkf9md7VarfazcLEIHa8A7/t/dawWw6h78z8QjI1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bruxAAAANwAAAAPAAAAAAAAAAAA&#10;AAAAAKECAABkcnMvZG93bnJldi54bWxQSwUGAAAAAAQABAD5AAAAkgMAAAAA&#10;" strokecolor="white [3212]">
                <v:stroke endarrow="open"/>
              </v:shape>
              <v:shape id="Elbow Connector 278" o:spid="_x0000_s1815" type="#_x0000_t34" style="position:absolute;left:30506;top:11281;width:2548;height:7231;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pbkMEAAADcAAAADwAAAGRycy9kb3ducmV2LnhtbERPy2oCMRTdF/yHcAV3NTMFa5kaB7EI&#10;rmxr3bi7ndxmhk5uhiTz8O/NotDl4bw35WRbMZAPjWMF+TIDQVw53bBRcPk6PL6ACBFZY+uYFNwo&#10;QLmdPWyw0G7kTxrO0YgUwqFABXWMXSFlqGqyGJauI07cj/MWY4LeSO1xTOG2lU9Z9iwtNpwaauxo&#10;X1P1e+6tgvf87ZSvjOE2uN73drx+08dKqcV82r2CiDTFf/Gf+6gVrNdpfjqTjoDc3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GluQwQAAANwAAAAPAAAAAAAAAAAAAAAA&#10;AKECAABkcnMvZG93bnJldi54bWxQSwUGAAAAAAQABAD5AAAAjwMAAAAA&#10;" strokecolor="white [3212]">
                <v:stroke endarrow="open"/>
              </v:shape>
              <v:shape id="Elbow Connector 279" o:spid="_x0000_s1816" type="#_x0000_t34" style="position:absolute;left:52502;top:14698;width:2909;height:38;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b+C8MAAADcAAAADwAAAGRycy9kb3ducmV2LnhtbESPT2sCMRTE7wW/Q3iCt5rdglVWo4hS&#10;8NQ/6sXbc/PMLm5eliTrbr99Uyj0OMzMb5jVZrCNeJAPtWMF+TQDQVw6XbNRcD69PS9AhIissXFM&#10;Cr4pwGY9elphoV3PX/Q4RiMShEOBCqoY20LKUFZkMUxdS5y8m/MWY5LeSO2xT3DbyJcse5UWa04L&#10;Fba0q6i8Hzur4CPfv+czY7gJrvOd7S9X+pwpNRkP2yWISEP8D/+1D1rBfJ7D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W/gvDAAAA3AAAAA8AAAAAAAAAAAAA&#10;AAAAoQIAAGRycy9kb3ducmV2LnhtbFBLBQYAAAAABAAEAPkAAACRAwAAAAA=&#10;" strokecolor="white [3212]">
                <v:stroke endarrow="open"/>
              </v:shape>
              <v:roundrect id="Rounded Rectangle 280" o:spid="_x0000_s1817" style="position:absolute;left:57178;top:37053;width:13606;height:50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9QcsYA&#10;AADcAAAADwAAAGRycy9kb3ducmV2LnhtbESPzWrDMBCE74W8g9hCLqWR40MS3CihBArtIYT8lNLb&#10;Ym0tE2vlSKrtvH0UKPQ4zMw3zHI92EZ05EPtWMF0koEgLp2uuVJwOr49L0CEiKyxcUwKrhRgvRo9&#10;LLHQruc9dYdYiQThUKACE2NbSBlKQxbDxLXEyftx3mJM0ldSe+wT3DYyz7KZtFhzWjDY0sZQeT78&#10;WgVud6HPavvkvz7MOb9Mue274Vup8ePw+gIi0hD/w3/td61gPs/hfiYd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9QcsYAAADcAAAADwAAAAAAAAAAAAAAAACYAgAAZHJz&#10;L2Rvd25yZXYueG1sUEsFBgAAAAAEAAQA9QAAAIsDAAAAAA==&#10;" filled="f" strokecolor="white [3212]" strokeweight="2pt">
                <v:textbox style="mso-next-textbox:#Rounded Rectangle 280"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Passenger trips</w:t>
                      </w:r>
                    </w:p>
                  </w:txbxContent>
                </v:textbox>
              </v:roundrect>
              <v:shape id="Elbow Connector 281" o:spid="_x0000_s1818" type="#_x0000_t34" style="position:absolute;left:47830;top:30907;width:2893;height:939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jF58QAAADcAAAADwAAAGRycy9kb3ducmV2LnhtbESPQWsCMRSE74X+h/AK3mp2FatsjSKK&#10;4Mm2thdvr5vX7NLNy5Jk3fXfN4LQ4zAz3zDL9WAbcSEfascK8nEGgrh0umaj4Otz/7wAESKyxsYx&#10;KbhSgPXq8WGJhXY9f9DlFI1IEA4FKqhibAspQ1mRxTB2LXHyfpy3GJP0RmqPfYLbRk6y7EVarDkt&#10;VNjStqLy99RZBW/57pjPjOEmuM53tj9/0/tMqdHTsHkFEWmI/+F7+6AVzOdTuJ1JR0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yMXnxAAAANwAAAAPAAAAAAAAAAAA&#10;AAAAAKECAABkcnMvZG93bnJldi54bWxQSwUGAAAAAAQABAD5AAAAkgMAAAAA&#10;" strokecolor="white [3212]">
                <v:stroke endarrow="open"/>
              </v:shape>
              <v:shape id="Elbow Connector 282" o:spid="_x0000_s1819" type="#_x0000_t34" style="position:absolute;left:57532;top:30604;width:2893;height:10005;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GDrcUAAADcAAAADwAAAGRycy9kb3ducmV2LnhtbESPzYvCMBTE7wv7P4S34G1NV8WPahRR&#10;lD148Qs8PppnW7Z5KUm09b83C4LHYWZ+w8wWranEnZwvLSv46SYgiDOrS84VnI6b7zEIH5A1VpZJ&#10;wYM8LOafHzNMtW14T/dDyEWEsE9RQRFCnUrps4IM+q6tiaN3tc5giNLlUjtsItxUspckQ2mw5LhQ&#10;YE2rgrK/w80o2F1O1G/Wu+2+79a3yTIM7Hl1Uarz1S6nIAK14R1+tX+1gtFoAP9n4hG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GDrcUAAADcAAAADwAAAAAAAAAA&#10;AAAAAAChAgAAZHJzL2Rvd25yZXYueG1sUEsFBgAAAAAEAAQA+QAAAJMDAAAAAA==&#10;" strokecolor="white [3212]">
                <v:stroke endarrow="open"/>
              </v:shape>
              <v:roundrect id="Rounded Rectangle 283" o:spid="_x0000_s1820" style="position:absolute;left:57898;top:52175;width:12962;height:3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TqMUA&#10;AADcAAAADwAAAGRycy9kb3ducmV2LnhtbESP3WoCMRSE7wt9h3AK3nWzFVxlaxSxCOpFQe0DHDZn&#10;f9rkZN1EXX16UxC8HGbmG2Y6760RZ+p841jBR5KCIC6cbrhS8HNYvU9A+ICs0TgmBVfyMJ+9vkwx&#10;1+7COzrvQyUihH2OCuoQ2lxKX9Rk0SeuJY5e6TqLIcqukrrDS4RbI4dpmkmLDceFGlta1lT87U9W&#10;gSyP2Tb07Ze5Hct08f27NctNptTgrV98ggjUh2f40V5rBePxCP7P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9OoxQAAANwAAAAPAAAAAAAAAAAAAAAAAJgCAABkcnMv&#10;ZG93bnJldi54bWxQSwUGAAAAAAQABAD1AAAAigMAAAAA&#10;" filled="f" strokecolor="white [3212]" strokeweight="2pt">
                <v:textbox style="mso-next-textbox:#Rounded Rectangle 283" inset=",,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Assignments</w:t>
                      </w:r>
                    </w:p>
                  </w:txbxContent>
                </v:textbox>
              </v:roundrect>
              <v:roundrect id="Rounded Rectangle 284" o:spid="_x0000_s1821" style="position:absolute;left:47097;top:44974;width:14402;height:3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N38QA&#10;AADcAAAADwAAAGRycy9kb3ducmV2LnhtbESPzYoCMRCE7wu+Q2jB25rRw7iMRhFFUA/CuvsAzaTn&#10;R5POOIk6+vRGWNhjUVVfUbNFZ424UetrxwpGwwQEce50zaWC35/N5xcIH5A1Gsek4EEeFvPexwwz&#10;7e78TbdjKEWEsM9QQRVCk0np84os+qFriKNXuNZiiLItpW7xHuHWyHGSpNJizXGhwoZWFeXn49Uq&#10;kMUl3YeuWZvnpUiWh9PerHapUoN+t5yCCNSF//Bfe6sVTCYpvM/EI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ZTd/EAAAA3AAAAA8AAAAAAAAAAAAAAAAAmAIAAGRycy9k&#10;b3ducmV2LnhtbFBLBQYAAAAABAAEAPUAAACJAwAAAAA=&#10;" filled="f" strokecolor="white [3212]" strokeweight="2pt">
                <v:textbox style="mso-next-textbox:#Rounded Rectangle 284" inset=",,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Time Period Factors</w:t>
                      </w:r>
                    </w:p>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24 hr – Period</w:t>
                      </w:r>
                    </w:p>
                  </w:txbxContent>
                </v:textbox>
              </v:roundrect>
              <v:roundrect id="Rounded Rectangle 285" o:spid="_x0000_s1822" style="position:absolute;left:37016;top:52175;width:15122;height:3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oRMUA&#10;AADcAAAADwAAAGRycy9kb3ducmV2LnhtbESPzWrDMBCE74W+g9hCb7WcHuziRDEmpdDmEMjPAyzW&#10;+ieRVo6lJm6fvgoEehxm5htmUU7WiAuNvnesYJakIIhrp3tuFRz2Hy9vIHxA1mgck4If8lAuHx8W&#10;WGh35S1ddqEVEcK+QAVdCEMhpa87sugTNxBHr3GjxRDl2Eo94jXCrZGvaZpJiz3HhQ4HWnVUn3bf&#10;VoFsztk6TMO7+T03abU5rs3qK1Pq+Wmq5iACTeE/fG9/agV5nsPt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ehExQAAANwAAAAPAAAAAAAAAAAAAAAAAJgCAABkcnMv&#10;ZG93bnJldi54bWxQSwUGAAAAAAQABAD1AAAAigMAAAAA&#10;" filled="f" strokecolor="white [3212]" strokeweight="2pt">
                <v:textbox style="mso-next-textbox:#Rounded Rectangle 285" inset=",,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Assignments</w:t>
                      </w:r>
                    </w:p>
                  </w:txbxContent>
                </v:textbox>
              </v:roundrect>
              <v:roundrect id="Rounded Rectangle 286" o:spid="_x0000_s1823" style="position:absolute;left:37016;top:58656;width:15122;height:360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YYsMA&#10;AADcAAAADwAAAGRycy9kb3ducmV2LnhtbERPTWuDQBC9F/Iflgn0EuLaFGow2YRSWugpqCklx9Gd&#10;qMSdFXer5t93D4UeH+97f5xNJ0YaXGtZwVMUgyCurG65VvB1/lhvQTiPrLGzTAru5OB4WDzsMdV2&#10;4pzGwtcihLBLUUHjfZ9K6aqGDLrI9sSBu9rBoA9wqKUecArhppObOH6RBlsODQ329NZQdSt+jILT&#10;KnOrOHnPyny65N+b57Y0WCj1uJxfdyA8zf5f/Of+1AqSJKwNZ8IR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uYYsMAAADcAAAADwAAAAAAAAAAAAAAAACYAgAAZHJzL2Rv&#10;d25yZXYueG1sUEsFBgAAAAAEAAQA9QAAAIgDAAAAAA==&#10;" filled="f" strokecolor="white [3212]" strokeweight="2pt">
                <v:textbox style="mso-next-textbox:#Rounded Rectangle 286" inset="0,,0">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Highway Costs</w:t>
                      </w:r>
                    </w:p>
                  </w:txbxContent>
                </v:textbox>
              </v:roundrect>
              <v:roundrect id="Rounded Rectangle 287" o:spid="_x0000_s1824" style="position:absolute;left:57898;top:58656;width:12962;height:432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vCA8YA&#10;AADcAAAADwAAAGRycy9kb3ducmV2LnhtbESPQWsCMRSE7wX/Q3gFL0Wzeqjt1igiCPZQpNoivT02&#10;r5vFzcuapLvrvzdCweMwM98w82Vva9GSD5VjBZNxBoK4cLriUsHXYTN6AREissbaMSm4UIDlYvAw&#10;x1y7jj+p3cdSJAiHHBWYGJtcylAYshjGriFO3q/zFmOSvpTaY5fgtpbTLHuWFitOCwYbWhsqTvs/&#10;q8DtzvRdfjz547s5Tc8Tbrq2/1Fq+Niv3kBE6uM9/N/eagWz2Svczq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vCA8YAAADcAAAADwAAAAAAAAAAAAAAAACYAgAAZHJz&#10;L2Rvd25yZXYueG1sUEsFBgAAAAAEAAQA9QAAAIsDAAAAAA==&#10;" filled="f" strokecolor="white [3212]" strokeweight="2pt">
                <v:textbox style="mso-next-textbox:#Rounded Rectangle 287"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PT C Costs</w:t>
                      </w:r>
                    </w:p>
                  </w:txbxContent>
                </v:textbox>
              </v:roundrect>
              <v:shape id="Elbow Connector 320" o:spid="_x0000_s1825" type="#_x0000_t34" style="position:absolute;left:47998;top:38673;width:2880;height:972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1icMAAADcAAAADwAAAGRycy9kb3ducmV2LnhtbERPz2vCMBS+C/sfwht4s+nmUNcZRSyO&#10;HbzUdeDx0by1Zc1LSVLb/ffLYeDx4/u93U+mEzdyvrWs4ClJQRBXVrdcKyg/T4sNCB+QNXaWScEv&#10;edjvHmZbzLQduaDbJdQihrDPUEETQp9J6auGDPrE9sSR+7bOYIjQ1VI7HGO46eRzmq6kwZZjQ4M9&#10;HRuqfi6DUXC+lrQc8/N7sXT58HoIL/breFVq/jgd3kAEmsJd/O/+0ArWmzg/nolHQO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v9YnDAAAA3AAAAA8AAAAAAAAAAAAA&#10;AAAAoQIAAGRycy9kb3ducmV2LnhtbFBLBQYAAAAABAAEAPkAAACRAwAAAAA=&#10;" strokecolor="white [3212]">
                <v:stroke endarrow="open"/>
              </v:shape>
              <v:shape id="Elbow Connector 321" o:spid="_x0000_s1826" type="#_x0000_t34" style="position:absolute;left:57700;top:38692;width:2880;height:9683;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OOLMMAAADcAAAADwAAAGRycy9kb3ducmV2LnhtbESPQWsCMRSE7wX/Q3iCt5rdgq2sRhGL&#10;4Mm26sXbc/PMLm5eliTrbv99Uyj0OMzMN8xyPdhGPMiH2rGCfJqBIC6drtkoOJ92z3MQISJrbByT&#10;gm8KsF6NnpZYaNfzFz2O0YgE4VCggirGtpAylBVZDFPXEifv5rzFmKQ3UnvsE9w28iXLXqXFmtNC&#10;hS1tKyrvx84q+MjfD/nMGG6C63xn+8uVPmdKTcbDZgEi0hD/w3/tvVbwNs/h90w6An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DjizDAAAA3AAAAA8AAAAAAAAAAAAA&#10;AAAAoQIAAGRycy9kb3ducmV2LnhtbFBLBQYAAAAABAAEAPkAAACRAwAAAAA=&#10;" strokecolor="white [3212]">
                <v:stroke endarrow="open"/>
              </v:shape>
              <v:shape id="Elbow Connector 322" o:spid="_x0000_s1827" type="#_x0000_t34" style="position:absolute;left:47623;top:45500;width:3629;height:9721;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EQW8MAAADcAAAADwAAAGRycy9kb3ducmV2LnhtbESPQWsCMRSE7wX/Q3iCt5pdwVZWo4hS&#10;6Mm26sXbc/PMLm5eliTrbv99Uyj0OMzMN8xqM9hGPMiH2rGCfJqBIC6drtkoOJ/enhcgQkTW2Dgm&#10;Bd8UYLMePa2w0K7nL3ocoxEJwqFABVWMbSFlKCuyGKauJU7ezXmLMUlvpPbYJ7ht5CzLXqTFmtNC&#10;hS3tKirvx84q+Mj3h3xuDDfBdb6z/eVKn3OlJuNhuwQRaYj/4b/2u1bwupjB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REFvDAAAA3AAAAA8AAAAAAAAAAAAA&#10;AAAAoQIAAGRycy9kb3ducmV2LnhtbFBLBQYAAAAABAAEAPkAAACRAwAAAAA=&#10;" strokecolor="white [3212]">
                <v:stroke endarrow="open"/>
              </v:shape>
              <v:shape id="Elbow Connector 323" o:spid="_x0000_s1828" type="#_x0000_t34" style="position:absolute;left:57524;top:45320;width:3629;height:1008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1r/sUAAADcAAAADwAAAGRycy9kb3ducmV2LnhtbESPT4vCMBTE7wt+h/CEva2pVna1GkWU&#10;lT148R94fDTPtti8lCTa+u3NwsIeh5n5DTNfdqYWD3K+sqxgOEhAEOdWV1woOB2/PyYgfEDWWFsm&#10;BU/ysFz03uaYadvynh6HUIgIYZ+hgjKEJpPS5yUZ9APbEEfvap3BEKUrpHbYRrip5ShJPqXBiuNC&#10;iQ2tS8pvh7tRsLucKG03u+0+dZv7dBXG9ry+KPXe71YzEIG68B/+a/9oBV+T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1r/sUAAADcAAAADwAAAAAAAAAA&#10;AAAAAAChAgAAZHJzL2Rvd25yZXYueG1sUEsFBgAAAAAEAAQA+QAAAJMDAAAAAA==&#10;" strokecolor="white [3212]">
                <v:stroke endarrow="open"/>
              </v:shape>
              <v:shape id="Elbow Connector 324" o:spid="_x0000_s1829" type="#_x0000_t34" style="position:absolute;left:43123;top:57201;width:2908;height:12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ttMQAAADcAAAADwAAAGRycy9kb3ducmV2LnhtbESPzWrDMBCE74G8g9hAb4ns0vzgRgmh&#10;pdBTm6S95LaxtrKJtTKSHLtvXxUCOQ4z8w2z3g62EVfyoXasIJ9lIIhLp2s2Cr6/3qYrECEia2wc&#10;k4JfCrDdjEdrLLTr+UDXYzQiQTgUqKCKsS2kDGVFFsPMtcTJ+3HeYkzSG6k99gluG/mYZQtpsea0&#10;UGFLLxWVl2NnFXzmrx/53Bhugut8Z/vTmfZzpR4mw+4ZRKQh3sO39rtWsFw9wf+Zd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9C20xAAAANwAAAAPAAAAAAAAAAAA&#10;AAAAAKECAABkcnMvZG93bnJldi54bWxQSwUGAAAAAAQABAD5AAAAkgMAAAAA&#10;" strokecolor="white [3212]">
                <v:stroke endarrow="open"/>
              </v:shape>
              <v:shape id="Elbow Connector 325" o:spid="_x0000_s1830" type="#_x0000_t34" style="position:absolute;left:62925;top:57201;width:2908;height:127;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iIL8QAAADcAAAADwAAAGRycy9kb3ducmV2LnhtbESPQWvCQBSE7wX/w/IEb3UTIa2kriJK&#10;oSfbqhdvr9nXTWj2bdjdmPTfdwuCx2FmvmFWm9G24ko+NI4V5PMMBHHldMNGwfn0+rgEESKyxtYx&#10;KfilAJv15GGFpXYDf9L1GI1IEA4lKqhj7EopQ1WTxTB3HXHyvp23GJP0RmqPQ4LbVi6y7ElabDgt&#10;1NjRrqbq59hbBe/5/pAXxnAbXO97O1y+6KNQajYdty8gIo3xHr6137SC52UB/2fSEZ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IgvxAAAANwAAAAPAAAAAAAAAAAA&#10;AAAAAKECAABkcnMvZG93bnJldi54bWxQSwUGAAAAAAQABAD5AAAAkgMAAAAA&#10;" strokecolor="white [3212]">
                <v:stroke endarrow="open"/>
              </v:shape>
              <v:shapetype id="_x0000_t33" coordsize="21600,21600" o:spt="33" o:oned="t" path="m,l21600,r,21600e" filled="f">
                <v:stroke joinstyle="miter"/>
                <v:path arrowok="t" fillok="f" o:connecttype="none"/>
                <o:lock v:ext="edit" shapetype="t"/>
              </v:shapetype>
              <v:shape id="Shape 66" o:spid="_x0000_s1831" type="#_x0000_t33" style="position:absolute;left:28164;top:19850;width:8852;height:40606;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154sQAAADcAAAADwAAAGRycy9kb3ducmV2LnhtbESPzWrDMBCE74G+g9hCb7HcHmLjWglt&#10;IGCCCcQtPS/W1jK1VsZSEqdPHxUKOQ7z8zHlZraDONPke8cKnpMUBHHrdM+dgs+P3TIH4QOyxsEx&#10;KbiSh836YVFiod2Fj3RuQifiCPsCFZgQxkJK3xqy6BM3Ekfv200WQ5RTJ/WElzhuB/mSpitpsedI&#10;MDjS1lD705xshIQ63/1+8V5mzbbur9ocKveu1NPj/PYKItAc7uH/dqUVZPkK/s7E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DXnixAAAANwAAAAPAAAAAAAAAAAA&#10;AAAAAKECAABkcnMvZG93bnJldi54bWxQSwUGAAAAAAQABAD5AAAAkgMAAAAA&#10;" strokecolor="white [3212]">
                <v:stroke endarrow="open"/>
              </v:shape>
              <v:shape id="Elbow Connector 327" o:spid="_x0000_s1832" type="#_x0000_t34" style="position:absolute;left:34856;top:17971;width:9361;height:4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UlD8UAAADcAAAADwAAAGRycy9kb3ducmV2LnhtbESPQWsCMRSE74L/ITyhN83W1mq3RhFB&#10;bPGkttDj281zs7h5WZKo23/fFIQeh5n5hpkvO9uIK/lQO1bwOMpAEJdO11wp+DxuhjMQISJrbByT&#10;gh8KsFz0e3PMtbvxnq6HWIkE4ZCjAhNjm0sZSkMWw8i1xMk7OW8xJukrqT3eEtw2cpxlL9JizWnB&#10;YEtrQ+X5cLEKjuFr+1S0u8nrR2P236fCb56zQqmHQbd6AxGpi//he/tdK5jOpvB3Jh0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UlD8UAAADcAAAADwAAAAAAAAAA&#10;AAAAAAChAgAAZHJzL2Rvd25yZXYueG1sUEsFBgAAAAAEAAQA+QAAAJMDAAAAAA==&#10;" strokecolor="white [3212]">
                <v:stroke endarrow="open"/>
              </v:shape>
              <v:shape id="Elbow Connector 328" o:spid="_x0000_s1833" type="#_x0000_t34" style="position:absolute;left:37016;top:31646;width:9361;height:28810;rotation:18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wJvcUAAADcAAAADwAAAGRycy9kb3ducmV2LnhtbERPTWvCQBC9C/6HZQQvUjfa2qbRTZAW&#10;qSAI1R5yHLNjEszOhuxWY39991Do8fG+V1lvGnGlztWWFcymEQjiwuqaSwVfx81DDMJ5ZI2NZVJw&#10;JwdZOhysMNH2xp90PfhShBB2CSqovG8TKV1RkUE3tS1x4M62M+gD7EqpO7yFcNPIeRQ9S4M1h4YK&#10;W3qrqLgcvo2C1/Pj0+mI7/kmP33s+sXP/r7YTpQaj/r1EoSn3v+L/9xbreAlDmvDmXAEZP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wJvcUAAADcAAAADwAAAAAAAAAA&#10;AAAAAAChAgAAZHJzL2Rvd25yZXYueG1sUEsFBgAAAAAEAAQA+QAAAJMDAAAAAA==&#10;" adj="-5275" strokecolor="white [3212]">
                <v:stroke endarrow="open"/>
              </v:shape>
              <v:shape id="Elbow Connector 329" o:spid="_x0000_s1834" type="#_x0000_t34" style="position:absolute;left:63659;top:17971;width:7201;height:42845;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ryx8MAAADcAAAADwAAAGRycy9kb3ducmV2LnhtbESP3YrCMBCF7wXfIYzgnaaKa7VrFFGE&#10;BS9E3QcYmtm2azOpTdTq0xtB8PJwfj7ObNGYUlypdoVlBYN+BII4tbrgTMHvcdObgHAeWWNpmRTc&#10;ycFi3m7NMNH2xnu6Hnwmwgi7BBXk3leJlC7NyaDr24o4eH+2NuiDrDOpa7yFcVPKYRSNpcGCAyHH&#10;ilY5pafDxQTuLo6n5/94vLZfj+1wWY52zdEq1e00y28Qnhr/Cb/bP1pBPJnC60w4An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a8sfDAAAA3AAAAA8AAAAAAAAAAAAA&#10;AAAAoQIAAGRycy9kb3ducmV2LnhtbFBLBQYAAAAABAAEAPkAAACRAwAAAAA=&#10;" adj="-6857" strokecolor="white [3212]">
                <v:stroke endarrow="open"/>
              </v:shape>
              <v:shape id="Elbow Connector 330" o:spid="_x0000_s1835" type="#_x0000_t34" style="position:absolute;left:61575;top:31646;width:9285;height:29170;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AOEcQAAADcAAAADwAAAGRycy9kb3ducmV2LnhtbERPTWvCQBC9F/oflin0ZjZ6qDa6CcVS&#10;COilsYV6G7JjEs3OhuzWJP5691Do8fG+N9loWnGl3jWWFcyjGARxaXXDlYKvw8dsBcJ5ZI2tZVIw&#10;kYMsfXzYYKLtwJ90LXwlQgi7BBXU3neJlK6syaCLbEccuJPtDfoA+0rqHocQblq5iOMXabDh0FBj&#10;R9uaykvxaxR8N9vFsDvn7/JY7Ce8nfL9NP9R6vlpfFuD8DT6f/GfO9cKlq9hfjgTjoBM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4A4RxAAAANwAAAAPAAAAAAAAAAAA&#10;AAAAAKECAABkcnMvZG93bnJldi54bWxQSwUGAAAAAAQABAD5AAAAkgMAAAAA&#10;" adj="-5318" strokecolor="white [3212]">
                <v:stroke endarrow="open"/>
              </v:shape>
              <v:roundrect id="Rounded Rectangle 331" o:spid="_x0000_s1836" style="position:absolute;left:46377;top:22652;width:15198;height:360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o/8YA&#10;AADcAAAADwAAAGRycy9kb3ducmV2LnhtbESPQWsCMRSE7wX/Q3hCL6Vm14NtV6OUQqE9FKlVxNtj&#10;89wsbl7WJN1d/70pFDwOM/MNs1gNthEd+VA7VpBPMhDEpdM1Vwq2P++PzyBCRNbYOCYFFwqwWo7u&#10;Flho1/M3dZtYiQThUKACE2NbSBlKQxbDxLXEyTs6bzEm6SupPfYJbhs5zbKZtFhzWjDY0puh8rT5&#10;tQrc+ky76uvB7z/NaXrOue274aDU/Xh4nYOINMRb+L/9oRU8veTwdyY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Eo/8YAAADcAAAADwAAAAAAAAAAAAAAAACYAgAAZHJz&#10;L2Rvd25yZXYueG1sUEsFBgAAAAAEAAQA9QAAAIsDAAAAAA==&#10;" filled="f" strokecolor="white [3212]" strokeweight="2pt">
                <v:textbox style="mso-next-textbox:#Rounded Rectangle 331" inset="1mm,,1mm">
                  <w:txbxContent>
                    <w:p w:rsidR="001F544B" w:rsidRDefault="001F544B" w:rsidP="00B4550A">
                      <w:pPr>
                        <w:pStyle w:val="NormalWeb"/>
                        <w:spacing w:before="0" w:beforeAutospacing="0" w:after="0" w:afterAutospacing="0"/>
                        <w:jc w:val="center"/>
                      </w:pPr>
                      <w:r>
                        <w:rPr>
                          <w:rFonts w:asciiTheme="minorHAnsi" w:hAnsi="Calibri" w:cstheme="minorBidi"/>
                          <w:b/>
                          <w:bCs/>
                          <w:color w:val="000000" w:themeColor="text1"/>
                          <w:kern w:val="24"/>
                          <w:sz w:val="20"/>
                          <w:szCs w:val="20"/>
                          <w:lang w:val="en-GB"/>
                        </w:rPr>
                        <w:t>Distribution</w:t>
                      </w:r>
                    </w:p>
                  </w:txbxContent>
                </v:textbox>
              </v:roundrect>
              <v:shape id="Elbow Connector 332" o:spid="_x0000_s1837" type="#_x0000_t34" style="position:absolute;left:37016;top:24452;width:9361;height:36004;rotation:18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2oiscAAADcAAAADwAAAGRycy9kb3ducmV2LnhtbESPQWvCQBSE74L/YXmCl6Kbaq01ukpR&#10;pIIgVHvw+Mw+k2D2bciuGv31bkHwOMzMN8xkVptCXKhyuWUF790IBHFidc6pgr/dsvMFwnlkjYVl&#10;UnAjB7NpszHBWNsr/9Jl61MRIOxiVJB5X8ZSuiQjg65rS+LgHW1l0AdZpVJXeA1wU8heFH1KgzmH&#10;hQxLmmeUnLZno2B07H8cdrjYL/eHn3U9uG9ug9WbUu1W/T0G4an2r/CzvdIKhqMe/J8JR0BO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raiKxwAAANwAAAAPAAAAAAAA&#10;AAAAAAAAAKECAABkcnMvZG93bnJldi54bWxQSwUGAAAAAAQABAD5AAAAlQMAAAAA&#10;" adj="-5275" strokecolor="white [3212]">
                <v:stroke endarrow="open"/>
              </v:shape>
              <v:shape id="Elbow Connector 333" o:spid="_x0000_s1838" type="#_x0000_t34" style="position:absolute;left:61575;top:24452;width:9285;height:36364;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KQZsYAAADcAAAADwAAAGRycy9kb3ducmV2LnhtbESPQWvCQBSE7wX/w/KE3nSjgtbUVUQR&#10;AnoxbcHeHtlnkjb7NmS3Jumv7wpCj8PMfMOsNp2pxI0aV1pWMBlHIIgzq0vOFby/HUYvIJxH1lhZ&#10;JgU9OdisB08rjLVt+Uy31OciQNjFqKDwvo6ldFlBBt3Y1sTBu9rGoA+yyaVusA1wU8lpFM2lwZLD&#10;QoE17QrKvtMfo+Cj3E3b41eyl5/pqcffa3LqJxelnofd9hWEp87/hx/tRCtYLGdw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ykGbGAAAA3AAAAA8AAAAAAAAA&#10;AAAAAAAAoQIAAGRycy9kb3ducmV2LnhtbFBLBQYAAAAABAAEAPkAAACUAwAAAAA=&#10;" adj="-5318" strokecolor="white [3212]">
                <v:stroke endarrow="open"/>
              </v:shape>
            </v:group>
            <w10:wrap type="none"/>
            <w10:anchorlock/>
          </v:group>
        </w:pict>
      </w:r>
      <w:r w:rsidR="00B4550A" w:rsidRPr="00E0488D">
        <w:rPr>
          <w:lang w:val="ro-RO"/>
        </w:rPr>
        <w:br w:type="page"/>
      </w:r>
    </w:p>
    <w:p w:rsidR="00B4550A" w:rsidRPr="00E0488D" w:rsidRDefault="00B4550A" w:rsidP="002B7E09">
      <w:pPr>
        <w:pStyle w:val="NumberedParas"/>
      </w:pPr>
      <w:r w:rsidRPr="00E0488D">
        <w:lastRenderedPageBreak/>
        <w:t>Principalele module incluse în structura modelului de transport călători de mai sus sunt:</w:t>
      </w:r>
    </w:p>
    <w:p w:rsidR="00B4550A" w:rsidRPr="00E0488D" w:rsidRDefault="00B4550A" w:rsidP="00BC2B57">
      <w:pPr>
        <w:pStyle w:val="BulletLevel1"/>
      </w:pPr>
      <w:r w:rsidRPr="00E0488D">
        <w:t>Definirea rețelei rutiere și de transport public:</w:t>
      </w:r>
    </w:p>
    <w:p w:rsidR="00B4550A" w:rsidRPr="00E0488D" w:rsidRDefault="00B4550A" w:rsidP="00B4550A">
      <w:pPr>
        <w:pStyle w:val="Bullet"/>
      </w:pPr>
      <w:r w:rsidRPr="00E0488D">
        <w:t>Rutier (autoturism, autobuz și transport marfă);</w:t>
      </w:r>
    </w:p>
    <w:p w:rsidR="00B4550A" w:rsidRPr="00E0488D" w:rsidRDefault="00B4550A" w:rsidP="00B4550A">
      <w:pPr>
        <w:pStyle w:val="Bullet"/>
      </w:pPr>
      <w:r w:rsidRPr="00E0488D">
        <w:t>Servicii de transport inter-urban cu autobuzul și microbuzul;</w:t>
      </w:r>
    </w:p>
    <w:p w:rsidR="00B4550A" w:rsidRPr="00E0488D" w:rsidRDefault="00B4550A" w:rsidP="00B4550A">
      <w:pPr>
        <w:pStyle w:val="Bullet"/>
      </w:pPr>
      <w:r w:rsidRPr="00E0488D">
        <w:t>Rețeaua feroviară, terminale intermodale și servicii feroviare;</w:t>
      </w:r>
    </w:p>
    <w:p w:rsidR="00B4550A" w:rsidRPr="00E0488D" w:rsidRDefault="00B4550A" w:rsidP="00B4550A">
      <w:pPr>
        <w:pStyle w:val="Bullet"/>
      </w:pPr>
      <w:r w:rsidRPr="00E0488D">
        <w:t>Cai navigabile;</w:t>
      </w:r>
    </w:p>
    <w:p w:rsidR="00B4550A" w:rsidRPr="00E0488D" w:rsidRDefault="00B4550A" w:rsidP="00B4550A">
      <w:pPr>
        <w:pStyle w:val="Bullet"/>
      </w:pPr>
      <w:r w:rsidRPr="00E0488D">
        <w:t>Transport aerian</w:t>
      </w:r>
    </w:p>
    <w:p w:rsidR="00B4550A" w:rsidRPr="00E0488D" w:rsidRDefault="00B4550A" w:rsidP="00BC2B57">
      <w:pPr>
        <w:pStyle w:val="BulletLevel1"/>
      </w:pPr>
      <w:r w:rsidRPr="00E0488D">
        <w:t>Modelul cererii de transport intern de călători</w:t>
      </w:r>
    </w:p>
    <w:p w:rsidR="00B4550A" w:rsidRPr="00E0488D" w:rsidRDefault="00B4550A" w:rsidP="00B4550A">
      <w:pPr>
        <w:pStyle w:val="Bullet"/>
      </w:pPr>
      <w:r w:rsidRPr="00E0488D">
        <w:t>Modelul gradului de motorizare ca funcție a creșterii veniturilor și costurilor proprietății auto;</w:t>
      </w:r>
    </w:p>
    <w:p w:rsidR="00B4550A" w:rsidRPr="00E0488D" w:rsidRDefault="00B4550A" w:rsidP="00B4550A">
      <w:pPr>
        <w:pStyle w:val="Bullet"/>
      </w:pPr>
      <w:r w:rsidRPr="00E0488D">
        <w:t xml:space="preserve">Variații în Generarea/atragerea de călători în funcție de variațiile demografice (populație și grad de ocupare) și schimbări socio-economice (PIB); </w:t>
      </w:r>
    </w:p>
    <w:p w:rsidR="00B4550A" w:rsidRPr="00E0488D" w:rsidRDefault="00B4550A" w:rsidP="00B4550A">
      <w:pPr>
        <w:pStyle w:val="Bullet"/>
      </w:pPr>
      <w:r w:rsidRPr="00E0488D">
        <w:t xml:space="preserve">Distribuția – funcții calibrate în funcție de scopul călătoriei, incluzând capacitatea de răspuns la variații ale costurilor; </w:t>
      </w:r>
    </w:p>
    <w:p w:rsidR="00B4550A" w:rsidRPr="00E0488D" w:rsidRDefault="00B4550A" w:rsidP="00B4550A">
      <w:pPr>
        <w:pStyle w:val="Bullet"/>
      </w:pPr>
      <w:r w:rsidRPr="00E0488D">
        <w:t>Alegerea modală</w:t>
      </w:r>
    </w:p>
    <w:p w:rsidR="00B4550A" w:rsidRPr="00E0488D" w:rsidRDefault="00B4550A" w:rsidP="00BC2B57">
      <w:pPr>
        <w:pStyle w:val="BulletLevel1"/>
      </w:pPr>
      <w:r w:rsidRPr="00E0488D">
        <w:t>Modelul cererii de transport internațional de persoane</w:t>
      </w:r>
    </w:p>
    <w:p w:rsidR="00B4550A" w:rsidRPr="00E0488D" w:rsidRDefault="00B4550A" w:rsidP="00B4550A">
      <w:pPr>
        <w:pStyle w:val="Bullet"/>
      </w:pPr>
      <w:r w:rsidRPr="00E0488D">
        <w:t xml:space="preserve">Modelul cererii directe bazat pe PIB, populație și variații ale gradului de motorizare; </w:t>
      </w:r>
    </w:p>
    <w:p w:rsidR="00B4550A" w:rsidRPr="00E0488D" w:rsidRDefault="00B4550A" w:rsidP="00B4550A">
      <w:pPr>
        <w:pStyle w:val="Bullet"/>
      </w:pPr>
      <w:r w:rsidRPr="00E0488D">
        <w:t>Distribuția în funcție de schimbările intervenite în punctele finale ale călătoriilor</w:t>
      </w:r>
    </w:p>
    <w:p w:rsidR="00B4550A" w:rsidRPr="00E0488D" w:rsidRDefault="00B4550A" w:rsidP="00B4550A">
      <w:pPr>
        <w:pStyle w:val="Bullet"/>
      </w:pPr>
      <w:r w:rsidRPr="00E0488D">
        <w:t>Alegerea modală</w:t>
      </w:r>
    </w:p>
    <w:p w:rsidR="00B4550A" w:rsidRPr="00E0488D" w:rsidRDefault="00B4550A" w:rsidP="00B4550A">
      <w:pPr>
        <w:pStyle w:val="Body"/>
        <w:spacing w:before="120"/>
        <w:ind w:left="851"/>
        <w:contextualSpacing/>
        <w:rPr>
          <w:rFonts w:cs="Arial"/>
          <w:b/>
          <w:i w:val="0"/>
          <w:lang w:val="ro-RO"/>
        </w:rPr>
      </w:pPr>
      <w:r w:rsidRPr="00E0488D">
        <w:rPr>
          <w:rFonts w:cs="Arial"/>
          <w:b/>
          <w:i w:val="0"/>
          <w:lang w:val="ro-RO"/>
        </w:rPr>
        <w:t>Figura 2.10 Modelul transportului de marfă intern și internațional</w:t>
      </w:r>
    </w:p>
    <w:p w:rsidR="00B4550A" w:rsidRPr="00E0488D" w:rsidRDefault="00B4550A" w:rsidP="00B4550A">
      <w:pPr>
        <w:spacing w:before="120" w:after="120" w:line="276" w:lineRule="auto"/>
        <w:ind w:firstLine="567"/>
        <w:contextualSpacing/>
        <w:rPr>
          <w:rFonts w:cs="Arial"/>
          <w:sz w:val="22"/>
          <w:szCs w:val="22"/>
          <w:lang w:val="ro-RO"/>
        </w:rPr>
      </w:pPr>
      <w:r w:rsidRPr="00E0488D">
        <w:rPr>
          <w:rFonts w:cs="Arial"/>
          <w:noProof/>
          <w:sz w:val="22"/>
          <w:szCs w:val="22"/>
          <w:lang w:val="ro-RO" w:eastAsia="ro-RO"/>
        </w:rPr>
        <w:drawing>
          <wp:inline distT="0" distB="0" distL="0" distR="0">
            <wp:extent cx="4588042" cy="4402155"/>
            <wp:effectExtent l="0" t="0" r="0" b="0"/>
            <wp:docPr id="806" name="Picture 23" descr="Pic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5.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588042" cy="4402155"/>
                    </a:xfrm>
                    <a:prstGeom prst="rect">
                      <a:avLst/>
                    </a:prstGeom>
                    <a:noFill/>
                    <a:ln w="9525">
                      <a:noFill/>
                      <a:miter lim="800000"/>
                      <a:headEnd/>
                      <a:tailEnd/>
                    </a:ln>
                  </pic:spPr>
                </pic:pic>
              </a:graphicData>
            </a:graphic>
          </wp:inline>
        </w:drawing>
      </w:r>
    </w:p>
    <w:p w:rsidR="00B4550A" w:rsidRPr="00E0488D" w:rsidRDefault="00B4550A" w:rsidP="002B7E09">
      <w:pPr>
        <w:pStyle w:val="NumberedParas"/>
      </w:pPr>
      <w:r w:rsidRPr="00E0488D">
        <w:t>Principalele module incluse în structura modelului pentru transportul de marfă sunt:</w:t>
      </w:r>
    </w:p>
    <w:p w:rsidR="00B4550A" w:rsidRPr="00E0488D" w:rsidRDefault="00B4550A" w:rsidP="00BC2B57">
      <w:pPr>
        <w:pStyle w:val="BulletLevel1"/>
      </w:pPr>
      <w:r w:rsidRPr="00E0488D">
        <w:lastRenderedPageBreak/>
        <w:t xml:space="preserve">Definirea rețelei rutiere și de transport public: </w:t>
      </w:r>
    </w:p>
    <w:p w:rsidR="00B4550A" w:rsidRPr="00E0488D" w:rsidRDefault="00B4550A" w:rsidP="00B4550A">
      <w:pPr>
        <w:pStyle w:val="Bullet"/>
      </w:pPr>
      <w:r w:rsidRPr="00E0488D">
        <w:t>Rețea Rutieră (marfă);</w:t>
      </w:r>
    </w:p>
    <w:p w:rsidR="00B4550A" w:rsidRPr="00E0488D" w:rsidRDefault="00B4550A" w:rsidP="00B4550A">
      <w:pPr>
        <w:pStyle w:val="Bullet"/>
      </w:pPr>
      <w:r w:rsidRPr="00E0488D">
        <w:t>Rețea feroviară, terminale intermodale și servicii de transport feroviar,</w:t>
      </w:r>
    </w:p>
    <w:p w:rsidR="00B4550A" w:rsidRPr="00E0488D" w:rsidRDefault="00B4550A" w:rsidP="00B4550A">
      <w:pPr>
        <w:pStyle w:val="Bullet"/>
      </w:pPr>
      <w:r w:rsidRPr="00E0488D">
        <w:t xml:space="preserve">Transport naval; </w:t>
      </w:r>
    </w:p>
    <w:p w:rsidR="00B4550A" w:rsidRPr="00E0488D" w:rsidRDefault="00B4550A" w:rsidP="00B4550A">
      <w:pPr>
        <w:pStyle w:val="Bullet"/>
      </w:pPr>
      <w:r w:rsidRPr="00E0488D">
        <w:t>Transport aerian</w:t>
      </w:r>
    </w:p>
    <w:p w:rsidR="00B4550A" w:rsidRPr="00E0488D" w:rsidRDefault="00B4550A" w:rsidP="00BC2B57">
      <w:pPr>
        <w:pStyle w:val="BulletLevel1"/>
      </w:pPr>
      <w:r w:rsidRPr="00E0488D">
        <w:t>Modelul cererii de transport intern și internațional de marfă, pe tipuri de mărfuri în tone și circulația vehiculelor</w:t>
      </w:r>
    </w:p>
    <w:p w:rsidR="00B4550A" w:rsidRPr="00E0488D" w:rsidRDefault="00B4550A" w:rsidP="00BC2B57">
      <w:pPr>
        <w:pStyle w:val="BulletLevel1"/>
      </w:pPr>
      <w:r w:rsidRPr="00E0488D">
        <w:t>Factori de creștere pe baza PIB pentru transportul internațional și pe baza variațiilor PIB și variațiilor demografice pentru transportul intern</w:t>
      </w:r>
    </w:p>
    <w:p w:rsidR="00B4550A" w:rsidRPr="00E0488D" w:rsidRDefault="00B4550A" w:rsidP="00BC2B57">
      <w:pPr>
        <w:pStyle w:val="BulletLevel1"/>
      </w:pPr>
      <w:r w:rsidRPr="00E0488D">
        <w:t>Distribuție</w:t>
      </w:r>
    </w:p>
    <w:p w:rsidR="00B4550A" w:rsidRPr="00E0488D" w:rsidRDefault="00B4550A" w:rsidP="00BC2B57">
      <w:pPr>
        <w:pStyle w:val="BulletLevel1"/>
      </w:pPr>
      <w:r w:rsidRPr="00E0488D">
        <w:t>Alegere modală și modelare intermodală</w:t>
      </w:r>
    </w:p>
    <w:p w:rsidR="00B4550A" w:rsidRPr="00E0488D" w:rsidRDefault="00B4550A" w:rsidP="00BC2B57">
      <w:pPr>
        <w:pStyle w:val="BulletLevel1"/>
      </w:pPr>
      <w:r w:rsidRPr="00E0488D">
        <w:t>Conversia din tone în vehicule pentru afectarea pe rețeaua rutieră (vehicule ușoare (LGV)/vehicule grele (HGV);</w:t>
      </w:r>
    </w:p>
    <w:p w:rsidR="00B4550A" w:rsidRPr="00E0488D" w:rsidRDefault="00B4550A" w:rsidP="00BC2B57">
      <w:pPr>
        <w:pStyle w:val="BulletLevel1"/>
      </w:pPr>
      <w:r w:rsidRPr="00E0488D">
        <w:t>Modelele de afectare pe rețea și derivarea costurilor generalizate</w:t>
      </w:r>
    </w:p>
    <w:p w:rsidR="00B4550A" w:rsidRPr="00E0488D" w:rsidRDefault="00B4550A" w:rsidP="00BC2B57">
      <w:pPr>
        <w:pStyle w:val="BulletLevel1"/>
      </w:pPr>
      <w:r w:rsidRPr="00E0488D">
        <w:t xml:space="preserve">Cererea împărțită în patru perioade de timp (ore de vârf dimineața (AM peak), ore în afara celor de vârf, ore de vârf după-amiaza (MP peak), timp de noapte); </w:t>
      </w:r>
    </w:p>
    <w:p w:rsidR="00B4550A" w:rsidRPr="00E0488D" w:rsidRDefault="00B4550A" w:rsidP="00BC2B57">
      <w:pPr>
        <w:pStyle w:val="BulletLevel1"/>
      </w:pPr>
      <w:r w:rsidRPr="00E0488D">
        <w:t xml:space="preserve">Costuri generalizate combinate pe perioade de timp, moduri și destinații pentru a fi folosite în modelele cererii </w:t>
      </w:r>
    </w:p>
    <w:bookmarkEnd w:id="25"/>
    <w:p w:rsidR="00B4550A" w:rsidRPr="00E0488D" w:rsidRDefault="00B4550A" w:rsidP="00B4550A">
      <w:pPr>
        <w:pStyle w:val="Hdg3"/>
      </w:pPr>
      <w:r w:rsidRPr="00E0488D">
        <w:t xml:space="preserve">Generarea călătoriilor </w:t>
      </w:r>
    </w:p>
    <w:p w:rsidR="00B4550A" w:rsidRPr="00E0488D" w:rsidRDefault="00B4550A" w:rsidP="002B7E09">
      <w:pPr>
        <w:pStyle w:val="NumberedParas"/>
      </w:pPr>
      <w:r w:rsidRPr="00E0488D">
        <w:t>MNT conține un set de cereri calibrate ale anului de bază care sunt folosite ca bază de plecare pentru determinarea prognozelor viitoare ale cererilor de călătorii pe moduri, pe baza variațiilor principalilor factori determinanți ai cererii. Principalii factori determinanți ai cererii folosiți în model sunt densitatea populației, gradul de motorizare, gradul de ocupare a forței de muncă și PIB sectorial. Se folosesc abordări diferite pentru dezvoltarea punctelor finale de călătorie din viitor, în funcție de natura deplasării modelate.</w:t>
      </w:r>
    </w:p>
    <w:p w:rsidR="00B4550A" w:rsidRPr="00E0488D" w:rsidRDefault="00B4550A" w:rsidP="002B7E09">
      <w:pPr>
        <w:pStyle w:val="NumberedParas"/>
      </w:pPr>
      <w:r w:rsidRPr="00E0488D">
        <w:t>Variațiile înregistrate în nivelul cererii sunt, de regulă, determinate de variații ale indicatorilor socio-economici aferenți populației mobile. Aceștia includ indicatori referitori la mărimea grupului potențial care va efectua deplasări, spre exemplu, modificările nivelului populației active vor dicta numărul de călătorii în scop de navetă iar variațiile nivelului activității economice date de PIB, vor avea impact asupra numărului de mișcări de mărfuri. Indicatorii referitori la nivelul bunăstării persoanelor care efectuează călătoriile, cum ar fi, PIB pe cap de locuitor, se reflectă în numărul de călătorii efectuate de aceștia și în gradul de motorizare.</w:t>
      </w:r>
    </w:p>
    <w:p w:rsidR="00B4550A" w:rsidRPr="00E0488D" w:rsidRDefault="00B4550A" w:rsidP="002B7E09">
      <w:pPr>
        <w:pStyle w:val="NumberedParas"/>
      </w:pPr>
      <w:r w:rsidRPr="00E0488D">
        <w:t xml:space="preserve">În model se folosesc factori economici din România și din alte țări și regiuni relevante, pentru determinarea creșterii cererii de trafic între anul de bază și anii viitori. Tabelul de mai jos prezintă pe scurt factorii economici utilizați în model. </w:t>
      </w:r>
    </w:p>
    <w:p w:rsidR="00B4550A" w:rsidRPr="00E0488D" w:rsidRDefault="00B4550A" w:rsidP="00B4550A">
      <w:pPr>
        <w:pStyle w:val="Body"/>
        <w:keepNext/>
        <w:spacing w:before="120"/>
        <w:ind w:left="851"/>
        <w:contextualSpacing/>
        <w:rPr>
          <w:rFonts w:cs="Arial"/>
          <w:b/>
          <w:i w:val="0"/>
          <w:lang w:val="ro-RO"/>
        </w:rPr>
      </w:pPr>
      <w:r w:rsidRPr="00E0488D">
        <w:rPr>
          <w:rFonts w:cs="Arial"/>
          <w:b/>
          <w:i w:val="0"/>
          <w:lang w:val="ro-RO"/>
        </w:rPr>
        <w:lastRenderedPageBreak/>
        <w:t>Tabelul 2.1 Factori economici solicitați de Modelul de creștere al MNT</w:t>
      </w:r>
    </w:p>
    <w:tbl>
      <w:tblPr>
        <w:tblW w:w="4587" w:type="pct"/>
        <w:tblInd w:w="851"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4382"/>
        <w:gridCol w:w="2421"/>
        <w:gridCol w:w="2836"/>
      </w:tblGrid>
      <w:tr w:rsidR="00B4550A" w:rsidRPr="00E0488D" w:rsidTr="003C7FC8">
        <w:tc>
          <w:tcPr>
            <w:tcW w:w="2273" w:type="pct"/>
            <w:tcBorders>
              <w:top w:val="single" w:sz="4" w:space="0" w:color="auto"/>
              <w:bottom w:val="single" w:sz="4" w:space="0" w:color="auto"/>
            </w:tcBorders>
            <w:shd w:val="clear" w:color="auto" w:fill="B8CCE4" w:themeFill="accent1" w:themeFillTint="66"/>
            <w:vAlign w:val="center"/>
          </w:tcPr>
          <w:p w:rsidR="00B4550A" w:rsidRPr="00E0488D" w:rsidRDefault="00B4550A" w:rsidP="003C7FC8">
            <w:pPr>
              <w:keepNext/>
              <w:spacing w:before="120" w:after="120" w:line="276" w:lineRule="auto"/>
              <w:contextualSpacing/>
              <w:rPr>
                <w:rFonts w:cs="Arial"/>
                <w:b/>
                <w:sz w:val="22"/>
                <w:szCs w:val="22"/>
                <w:lang w:val="ro-RO"/>
              </w:rPr>
            </w:pPr>
            <w:r w:rsidRPr="00E0488D">
              <w:rPr>
                <w:rFonts w:cs="Arial"/>
                <w:b/>
                <w:sz w:val="22"/>
                <w:szCs w:val="22"/>
                <w:lang w:val="ro-RO"/>
              </w:rPr>
              <w:t>Factor / Zonă geografică</w:t>
            </w:r>
          </w:p>
        </w:tc>
        <w:tc>
          <w:tcPr>
            <w:tcW w:w="1256" w:type="pct"/>
            <w:tcBorders>
              <w:top w:val="single" w:sz="4" w:space="0" w:color="auto"/>
              <w:bottom w:val="single" w:sz="4" w:space="0" w:color="auto"/>
            </w:tcBorders>
            <w:shd w:val="clear" w:color="auto" w:fill="B8CCE4" w:themeFill="accent1" w:themeFillTint="66"/>
            <w:vAlign w:val="center"/>
          </w:tcPr>
          <w:p w:rsidR="00B4550A" w:rsidRPr="00E0488D" w:rsidRDefault="00B4550A" w:rsidP="003C7FC8">
            <w:pPr>
              <w:keepNext/>
              <w:spacing w:before="120" w:after="120" w:line="276" w:lineRule="auto"/>
              <w:ind w:left="65"/>
              <w:contextualSpacing/>
              <w:jc w:val="center"/>
              <w:rPr>
                <w:rFonts w:cs="Arial"/>
                <w:b/>
                <w:sz w:val="22"/>
                <w:szCs w:val="22"/>
                <w:lang w:val="ro-RO"/>
              </w:rPr>
            </w:pPr>
            <w:r w:rsidRPr="00E0488D">
              <w:rPr>
                <w:rFonts w:cs="Arial"/>
                <w:b/>
                <w:sz w:val="22"/>
                <w:szCs w:val="22"/>
                <w:lang w:val="ro-RO"/>
              </w:rPr>
              <w:t>Romania</w:t>
            </w:r>
          </w:p>
          <w:p w:rsidR="00B4550A" w:rsidRPr="00E0488D" w:rsidRDefault="00B4550A" w:rsidP="003C7FC8">
            <w:pPr>
              <w:keepNext/>
              <w:spacing w:before="120" w:after="120" w:line="276" w:lineRule="auto"/>
              <w:ind w:left="65"/>
              <w:contextualSpacing/>
              <w:jc w:val="center"/>
              <w:rPr>
                <w:rFonts w:cs="Arial"/>
                <w:sz w:val="22"/>
                <w:szCs w:val="22"/>
                <w:lang w:val="ro-RO"/>
              </w:rPr>
            </w:pPr>
            <w:r w:rsidRPr="00E0488D">
              <w:rPr>
                <w:rFonts w:cs="Arial"/>
                <w:sz w:val="22"/>
                <w:szCs w:val="22"/>
                <w:lang w:val="ro-RO"/>
              </w:rPr>
              <w:t>(la nivel regional)</w:t>
            </w:r>
          </w:p>
        </w:tc>
        <w:tc>
          <w:tcPr>
            <w:tcW w:w="1471" w:type="pct"/>
            <w:tcBorders>
              <w:top w:val="single" w:sz="4" w:space="0" w:color="auto"/>
              <w:bottom w:val="single" w:sz="4" w:space="0" w:color="auto"/>
            </w:tcBorders>
            <w:shd w:val="clear" w:color="auto" w:fill="B8CCE4" w:themeFill="accent1" w:themeFillTint="66"/>
            <w:vAlign w:val="center"/>
          </w:tcPr>
          <w:p w:rsidR="00B4550A" w:rsidRPr="00E0488D" w:rsidRDefault="00B4550A" w:rsidP="003C7FC8">
            <w:pPr>
              <w:keepNext/>
              <w:spacing w:before="120" w:after="120" w:line="276" w:lineRule="auto"/>
              <w:contextualSpacing/>
              <w:jc w:val="center"/>
              <w:rPr>
                <w:rFonts w:cs="Arial"/>
                <w:sz w:val="22"/>
                <w:szCs w:val="22"/>
                <w:lang w:val="ro-RO"/>
              </w:rPr>
            </w:pPr>
            <w:r w:rsidRPr="00E0488D">
              <w:rPr>
                <w:rFonts w:cs="Arial"/>
                <w:b/>
                <w:sz w:val="22"/>
                <w:szCs w:val="22"/>
                <w:lang w:val="ro-RO"/>
              </w:rPr>
              <w:t>Alte țări și regiuni cheie</w:t>
            </w:r>
            <w:r w:rsidRPr="00E0488D">
              <w:rPr>
                <w:rFonts w:cs="Arial"/>
                <w:sz w:val="22"/>
                <w:szCs w:val="22"/>
                <w:lang w:val="ro-RO"/>
              </w:rPr>
              <w:t xml:space="preserve"> (la nivel național)</w:t>
            </w:r>
          </w:p>
        </w:tc>
      </w:tr>
      <w:tr w:rsidR="00B4550A" w:rsidRPr="00E0488D" w:rsidTr="003C7FC8">
        <w:tc>
          <w:tcPr>
            <w:tcW w:w="2273" w:type="pct"/>
            <w:tcBorders>
              <w:top w:val="single" w:sz="4" w:space="0" w:color="auto"/>
            </w:tcBorders>
          </w:tcPr>
          <w:p w:rsidR="00B4550A" w:rsidRPr="00E0488D" w:rsidRDefault="00B4550A" w:rsidP="003C7FC8">
            <w:pPr>
              <w:keepNext/>
              <w:spacing w:line="276" w:lineRule="auto"/>
              <w:ind w:left="709" w:hanging="709"/>
              <w:contextualSpacing/>
              <w:rPr>
                <w:rFonts w:cs="Arial"/>
                <w:sz w:val="22"/>
                <w:szCs w:val="22"/>
                <w:lang w:val="ro-RO"/>
              </w:rPr>
            </w:pPr>
            <w:r w:rsidRPr="00E0488D">
              <w:rPr>
                <w:rFonts w:cs="Arial"/>
                <w:sz w:val="22"/>
                <w:szCs w:val="22"/>
                <w:lang w:val="ro-RO"/>
              </w:rPr>
              <w:t>Creștere PIB</w:t>
            </w:r>
          </w:p>
        </w:tc>
        <w:tc>
          <w:tcPr>
            <w:tcW w:w="1256" w:type="pct"/>
            <w:tcBorders>
              <w:top w:val="single" w:sz="4" w:space="0" w:color="auto"/>
            </w:tcBorders>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c>
          <w:tcPr>
            <w:tcW w:w="1471" w:type="pct"/>
            <w:tcBorders>
              <w:top w:val="single" w:sz="4" w:space="0" w:color="auto"/>
            </w:tcBorders>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r>
      <w:tr w:rsidR="00B4550A" w:rsidRPr="00E0488D" w:rsidTr="003C7FC8">
        <w:tc>
          <w:tcPr>
            <w:tcW w:w="2273" w:type="pct"/>
          </w:tcPr>
          <w:p w:rsidR="00B4550A" w:rsidRPr="00E0488D" w:rsidRDefault="00B4550A" w:rsidP="003C7FC8">
            <w:pPr>
              <w:keepNext/>
              <w:spacing w:line="276" w:lineRule="auto"/>
              <w:contextualSpacing/>
              <w:rPr>
                <w:rFonts w:cs="Arial"/>
                <w:sz w:val="22"/>
                <w:szCs w:val="22"/>
                <w:lang w:val="ro-RO"/>
              </w:rPr>
            </w:pPr>
            <w:r w:rsidRPr="00E0488D">
              <w:rPr>
                <w:rFonts w:cs="Arial"/>
                <w:sz w:val="22"/>
                <w:szCs w:val="22"/>
                <w:lang w:val="ro-RO"/>
              </w:rPr>
              <w:t>Creștere PIB pe activitate economică</w:t>
            </w:r>
          </w:p>
        </w:tc>
        <w:tc>
          <w:tcPr>
            <w:tcW w:w="1256" w:type="pct"/>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c>
          <w:tcPr>
            <w:tcW w:w="1471" w:type="pct"/>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r>
      <w:tr w:rsidR="00B4550A" w:rsidRPr="00E0488D" w:rsidTr="003C7FC8">
        <w:tc>
          <w:tcPr>
            <w:tcW w:w="2273" w:type="pct"/>
          </w:tcPr>
          <w:p w:rsidR="00B4550A" w:rsidRPr="00E0488D" w:rsidRDefault="00B4550A" w:rsidP="003C7FC8">
            <w:pPr>
              <w:keepNext/>
              <w:spacing w:line="276" w:lineRule="auto"/>
              <w:contextualSpacing/>
              <w:rPr>
                <w:rFonts w:cs="Arial"/>
                <w:sz w:val="22"/>
                <w:szCs w:val="22"/>
                <w:lang w:val="ro-RO"/>
              </w:rPr>
            </w:pPr>
            <w:r w:rsidRPr="00E0488D">
              <w:rPr>
                <w:rFonts w:cs="Arial"/>
                <w:sz w:val="22"/>
                <w:szCs w:val="22"/>
                <w:lang w:val="ro-RO"/>
              </w:rPr>
              <w:t>Creștere populație totale</w:t>
            </w:r>
          </w:p>
        </w:tc>
        <w:tc>
          <w:tcPr>
            <w:tcW w:w="1256" w:type="pct"/>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c>
          <w:tcPr>
            <w:tcW w:w="1471" w:type="pct"/>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r>
      <w:tr w:rsidR="00B4550A" w:rsidRPr="00E0488D" w:rsidTr="003C7FC8">
        <w:tc>
          <w:tcPr>
            <w:tcW w:w="2273" w:type="pct"/>
          </w:tcPr>
          <w:p w:rsidR="00B4550A" w:rsidRPr="00E0488D" w:rsidRDefault="00B4550A" w:rsidP="003C7FC8">
            <w:pPr>
              <w:keepNext/>
              <w:spacing w:line="276" w:lineRule="auto"/>
              <w:contextualSpacing/>
              <w:rPr>
                <w:rFonts w:cs="Arial"/>
                <w:sz w:val="22"/>
                <w:szCs w:val="22"/>
                <w:lang w:val="ro-RO"/>
              </w:rPr>
            </w:pPr>
            <w:r w:rsidRPr="00E0488D">
              <w:rPr>
                <w:rFonts w:cs="Arial"/>
                <w:sz w:val="22"/>
                <w:szCs w:val="22"/>
                <w:lang w:val="ro-RO"/>
              </w:rPr>
              <w:t xml:space="preserve">Creștere populație activă economic </w:t>
            </w:r>
          </w:p>
        </w:tc>
        <w:tc>
          <w:tcPr>
            <w:tcW w:w="1256" w:type="pct"/>
            <w:vAlign w:val="center"/>
          </w:tcPr>
          <w:p w:rsidR="00B4550A" w:rsidRPr="00E0488D" w:rsidRDefault="00B4550A" w:rsidP="003C7FC8">
            <w:pPr>
              <w:keepNext/>
              <w:spacing w:line="276" w:lineRule="auto"/>
              <w:ind w:left="65"/>
              <w:contextualSpacing/>
              <w:jc w:val="center"/>
              <w:rPr>
                <w:rFonts w:cs="Arial"/>
                <w:sz w:val="22"/>
                <w:szCs w:val="22"/>
                <w:lang w:val="ro-RO"/>
              </w:rPr>
            </w:pPr>
            <w:r w:rsidRPr="00E0488D">
              <w:rPr>
                <w:rFonts w:cs="Arial"/>
                <w:sz w:val="22"/>
                <w:szCs w:val="22"/>
                <w:lang w:val="ro-RO"/>
              </w:rPr>
              <w:sym w:font="Wingdings" w:char="F0FC"/>
            </w:r>
          </w:p>
        </w:tc>
        <w:tc>
          <w:tcPr>
            <w:tcW w:w="1471" w:type="pct"/>
            <w:vAlign w:val="center"/>
          </w:tcPr>
          <w:p w:rsidR="00B4550A" w:rsidRPr="00E0488D" w:rsidRDefault="00B4550A" w:rsidP="003C7FC8">
            <w:pPr>
              <w:keepNext/>
              <w:spacing w:line="276" w:lineRule="auto"/>
              <w:ind w:left="65"/>
              <w:contextualSpacing/>
              <w:jc w:val="center"/>
              <w:rPr>
                <w:rFonts w:cs="Arial"/>
                <w:sz w:val="22"/>
                <w:szCs w:val="22"/>
                <w:lang w:val="ro-RO"/>
              </w:rPr>
            </w:pPr>
          </w:p>
        </w:tc>
      </w:tr>
      <w:tr w:rsidR="00B4550A" w:rsidRPr="00E0488D" w:rsidTr="003C7FC8">
        <w:tc>
          <w:tcPr>
            <w:tcW w:w="2273" w:type="pct"/>
          </w:tcPr>
          <w:p w:rsidR="00B4550A" w:rsidRPr="00E0488D" w:rsidRDefault="00B4550A" w:rsidP="003C7FC8">
            <w:pPr>
              <w:keepNext/>
              <w:spacing w:before="120" w:after="120" w:line="276" w:lineRule="auto"/>
              <w:contextualSpacing/>
              <w:rPr>
                <w:rFonts w:cs="Arial"/>
                <w:sz w:val="22"/>
                <w:szCs w:val="22"/>
                <w:lang w:val="ro-RO"/>
              </w:rPr>
            </w:pPr>
            <w:r w:rsidRPr="00E0488D">
              <w:rPr>
                <w:rFonts w:cs="Arial"/>
                <w:sz w:val="22"/>
                <w:szCs w:val="22"/>
                <w:lang w:val="ro-RO"/>
              </w:rPr>
              <w:t>Creștere a gradului de ocupare</w:t>
            </w:r>
          </w:p>
        </w:tc>
        <w:tc>
          <w:tcPr>
            <w:tcW w:w="1256" w:type="pct"/>
            <w:vAlign w:val="center"/>
          </w:tcPr>
          <w:p w:rsidR="00B4550A" w:rsidRPr="00E0488D" w:rsidRDefault="00B4550A" w:rsidP="003C7FC8">
            <w:pPr>
              <w:keepNext/>
              <w:spacing w:before="120" w:after="120" w:line="276" w:lineRule="auto"/>
              <w:ind w:left="65"/>
              <w:contextualSpacing/>
              <w:jc w:val="center"/>
              <w:rPr>
                <w:rFonts w:cs="Arial"/>
                <w:sz w:val="22"/>
                <w:szCs w:val="22"/>
                <w:lang w:val="ro-RO"/>
              </w:rPr>
            </w:pPr>
            <w:r w:rsidRPr="00E0488D">
              <w:rPr>
                <w:rFonts w:cs="Arial"/>
                <w:sz w:val="22"/>
                <w:szCs w:val="22"/>
                <w:lang w:val="ro-RO"/>
              </w:rPr>
              <w:sym w:font="Wingdings" w:char="F0FC"/>
            </w:r>
          </w:p>
        </w:tc>
        <w:tc>
          <w:tcPr>
            <w:tcW w:w="1471" w:type="pct"/>
            <w:vAlign w:val="center"/>
          </w:tcPr>
          <w:p w:rsidR="00B4550A" w:rsidRPr="00E0488D" w:rsidRDefault="00B4550A" w:rsidP="003C7FC8">
            <w:pPr>
              <w:keepNext/>
              <w:spacing w:before="120" w:after="120" w:line="276" w:lineRule="auto"/>
              <w:ind w:left="65"/>
              <w:contextualSpacing/>
              <w:jc w:val="center"/>
              <w:rPr>
                <w:rFonts w:cs="Arial"/>
                <w:sz w:val="22"/>
                <w:szCs w:val="22"/>
                <w:lang w:val="ro-RO"/>
              </w:rPr>
            </w:pPr>
          </w:p>
        </w:tc>
      </w:tr>
      <w:tr w:rsidR="00B4550A" w:rsidRPr="00E0488D" w:rsidTr="003C7FC8">
        <w:tc>
          <w:tcPr>
            <w:tcW w:w="2273" w:type="pct"/>
          </w:tcPr>
          <w:p w:rsidR="00B4550A" w:rsidRPr="00E0488D" w:rsidRDefault="00B4550A" w:rsidP="003C7FC8">
            <w:pPr>
              <w:spacing w:before="120" w:after="120" w:line="276" w:lineRule="auto"/>
              <w:contextualSpacing/>
              <w:rPr>
                <w:rFonts w:cs="Arial"/>
                <w:sz w:val="22"/>
                <w:szCs w:val="22"/>
                <w:lang w:val="ro-RO"/>
              </w:rPr>
            </w:pPr>
            <w:r w:rsidRPr="00E0488D">
              <w:rPr>
                <w:rFonts w:cs="Arial"/>
                <w:sz w:val="22"/>
                <w:szCs w:val="22"/>
                <w:lang w:val="ro-RO"/>
              </w:rPr>
              <w:t>Creștere a gradului de motorizare</w:t>
            </w:r>
          </w:p>
        </w:tc>
        <w:tc>
          <w:tcPr>
            <w:tcW w:w="1256" w:type="pct"/>
            <w:vAlign w:val="center"/>
          </w:tcPr>
          <w:p w:rsidR="00B4550A" w:rsidRPr="00E0488D" w:rsidRDefault="00B4550A" w:rsidP="003C7FC8">
            <w:pPr>
              <w:spacing w:before="120" w:after="120" w:line="276" w:lineRule="auto"/>
              <w:ind w:left="65"/>
              <w:contextualSpacing/>
              <w:jc w:val="center"/>
              <w:rPr>
                <w:rFonts w:cs="Arial"/>
                <w:sz w:val="22"/>
                <w:szCs w:val="22"/>
                <w:lang w:val="ro-RO"/>
              </w:rPr>
            </w:pPr>
            <w:r w:rsidRPr="00E0488D">
              <w:rPr>
                <w:rFonts w:cs="Arial"/>
                <w:sz w:val="22"/>
                <w:szCs w:val="22"/>
                <w:lang w:val="ro-RO"/>
              </w:rPr>
              <w:sym w:font="Wingdings" w:char="F0FC"/>
            </w:r>
          </w:p>
        </w:tc>
        <w:tc>
          <w:tcPr>
            <w:tcW w:w="1471" w:type="pct"/>
            <w:vAlign w:val="center"/>
          </w:tcPr>
          <w:p w:rsidR="00B4550A" w:rsidRPr="00E0488D" w:rsidRDefault="00B4550A" w:rsidP="003C7FC8">
            <w:pPr>
              <w:spacing w:before="120" w:after="120" w:line="276" w:lineRule="auto"/>
              <w:ind w:left="65"/>
              <w:contextualSpacing/>
              <w:jc w:val="center"/>
              <w:rPr>
                <w:rFonts w:cs="Arial"/>
                <w:sz w:val="22"/>
                <w:szCs w:val="22"/>
                <w:lang w:val="ro-RO"/>
              </w:rPr>
            </w:pPr>
            <w:r w:rsidRPr="00E0488D">
              <w:rPr>
                <w:rFonts w:cs="Arial"/>
                <w:sz w:val="22"/>
                <w:szCs w:val="22"/>
                <w:lang w:val="ro-RO"/>
              </w:rPr>
              <w:sym w:font="Wingdings" w:char="F0FC"/>
            </w:r>
          </w:p>
        </w:tc>
      </w:tr>
    </w:tbl>
    <w:p w:rsidR="00B4550A" w:rsidRPr="00E0488D" w:rsidRDefault="00B4550A" w:rsidP="002B7E09">
      <w:pPr>
        <w:pStyle w:val="NumberedParas"/>
      </w:pPr>
      <w:r w:rsidRPr="00E0488D">
        <w:t xml:space="preserve">Prognozele pentru fiecare dintre factorii identificați în tabelul de mai sus au fost determinate, cu excepția gradului de motorizare, care se determină pe baza variațiilor înregistrate în nivelul PIB într-un model al gradului de motorizare calibrat astfel încât să corespundă tendințelor istorice ale evoluției acestuia.  </w:t>
      </w:r>
    </w:p>
    <w:p w:rsidR="00B4550A" w:rsidRPr="00E0488D" w:rsidRDefault="00B4550A" w:rsidP="00B4550A">
      <w:pPr>
        <w:pStyle w:val="Hdg3"/>
      </w:pPr>
      <w:r w:rsidRPr="00E0488D">
        <w:t>Distribuția călătoriilor</w:t>
      </w:r>
    </w:p>
    <w:p w:rsidR="00B4550A" w:rsidRPr="00E0488D" w:rsidRDefault="00B4550A" w:rsidP="002B7E09">
      <w:pPr>
        <w:pStyle w:val="NumberedParas"/>
        <w:rPr>
          <w:rFonts w:eastAsia="SimSun"/>
        </w:rPr>
      </w:pPr>
      <w:r w:rsidRPr="00E0488D">
        <w:rPr>
          <w:rFonts w:eastAsia="SimSun"/>
        </w:rPr>
        <w:t xml:space="preserve">Modelul de distribuție al MNTR leagă deplasările estimate a se produce în fiecare zonă cu deplasările atrase către alte zone. Modelul analizează echilibrul între locul unde încep și se termină aceste deplasări și costul deplasării (generalizat în termenii, duratei, distanței, taxelor de parcare și prețurilor biletelor), pentru toate locațiile identificate în România, spre/dinspre România și prin România. </w:t>
      </w:r>
    </w:p>
    <w:p w:rsidR="00B4550A" w:rsidRPr="00E0488D" w:rsidRDefault="00B4550A" w:rsidP="002B7E09">
      <w:pPr>
        <w:pStyle w:val="NumberedParas"/>
        <w:rPr>
          <w:rFonts w:eastAsia="SimSun"/>
        </w:rPr>
      </w:pPr>
      <w:r w:rsidRPr="00E0488D">
        <w:rPr>
          <w:rFonts w:eastAsia="SimSun"/>
        </w:rPr>
        <w:t xml:space="preserve">Numărul de deplasări dintre două zone este estimat a fi direct proporțional cu numărul de deplasări produse în zona de producție și atrase în zona de atracție, și invers proporțional cu costul deplasării între zone. Rezultatele modelului de distribuție sunt un set de matrice ale cererii care detaliază numărul de deplasări din fiecare zonă către toate celelalte zone, cu diferite scopuri de deplasare, pentru o zi obișnuită de lucru. </w:t>
      </w:r>
    </w:p>
    <w:p w:rsidR="00B4550A" w:rsidRPr="00E0488D" w:rsidRDefault="00B4550A" w:rsidP="002B7E09">
      <w:pPr>
        <w:pStyle w:val="NumberedParas"/>
      </w:pPr>
      <w:r w:rsidRPr="00E0488D">
        <w:rPr>
          <w:rFonts w:eastAsia="SimSun"/>
        </w:rPr>
        <w:t>Modelele de distribuție a deplasărilor din MNT au următoarea formă:</w:t>
      </w:r>
    </w:p>
    <w:p w:rsidR="00B4550A" w:rsidRPr="00E0488D" w:rsidRDefault="00B4550A" w:rsidP="00B4550A">
      <w:pPr>
        <w:pStyle w:val="Body"/>
        <w:spacing w:before="120"/>
        <w:ind w:firstLine="720"/>
        <w:contextualSpacing/>
        <w:rPr>
          <w:rFonts w:cs="Arial"/>
          <w:b/>
          <w:lang w:val="ro-RO"/>
        </w:rPr>
      </w:pPr>
      <w:r w:rsidRPr="00E0488D">
        <w:rPr>
          <w:rFonts w:cs="Arial"/>
          <w:b/>
          <w:lang w:val="ro-RO"/>
        </w:rPr>
        <w:t>T</w:t>
      </w:r>
      <w:r w:rsidRPr="00E0488D">
        <w:rPr>
          <w:rFonts w:cs="Arial"/>
          <w:b/>
          <w:vertAlign w:val="subscript"/>
          <w:lang w:val="ro-RO"/>
        </w:rPr>
        <w:t>ij</w:t>
      </w:r>
      <w:r w:rsidRPr="00E0488D">
        <w:rPr>
          <w:rFonts w:cs="Arial"/>
          <w:b/>
          <w:lang w:val="ro-RO"/>
        </w:rPr>
        <w:t xml:space="preserve"> = A</w:t>
      </w:r>
      <w:r w:rsidRPr="00E0488D">
        <w:rPr>
          <w:rFonts w:cs="Arial"/>
          <w:b/>
          <w:vertAlign w:val="subscript"/>
          <w:lang w:val="ro-RO"/>
        </w:rPr>
        <w:t>i</w:t>
      </w:r>
      <w:r w:rsidRPr="00E0488D">
        <w:rPr>
          <w:rFonts w:cs="Arial"/>
          <w:b/>
          <w:lang w:val="ro-RO"/>
        </w:rPr>
        <w:t xml:space="preserve"> * P</w:t>
      </w:r>
      <w:r w:rsidRPr="00E0488D">
        <w:rPr>
          <w:rFonts w:cs="Arial"/>
          <w:b/>
          <w:vertAlign w:val="subscript"/>
          <w:lang w:val="ro-RO"/>
        </w:rPr>
        <w:t>i</w:t>
      </w:r>
      <w:r w:rsidRPr="00E0488D">
        <w:rPr>
          <w:rFonts w:cs="Arial"/>
          <w:b/>
          <w:lang w:val="ro-RO"/>
        </w:rPr>
        <w:t xml:space="preserve"> * B</w:t>
      </w:r>
      <w:r w:rsidRPr="00E0488D">
        <w:rPr>
          <w:rFonts w:cs="Arial"/>
          <w:b/>
          <w:vertAlign w:val="subscript"/>
          <w:lang w:val="ro-RO"/>
        </w:rPr>
        <w:t xml:space="preserve">j </w:t>
      </w:r>
      <w:r w:rsidRPr="00E0488D">
        <w:rPr>
          <w:rFonts w:cs="Arial"/>
          <w:b/>
          <w:lang w:val="ro-RO"/>
        </w:rPr>
        <w:t>* D</w:t>
      </w:r>
      <w:r w:rsidRPr="00E0488D">
        <w:rPr>
          <w:rFonts w:cs="Arial"/>
          <w:b/>
          <w:vertAlign w:val="subscript"/>
          <w:lang w:val="ro-RO"/>
        </w:rPr>
        <w:t>j</w:t>
      </w:r>
      <w:r w:rsidRPr="00E0488D">
        <w:rPr>
          <w:rFonts w:cs="Arial"/>
          <w:b/>
          <w:lang w:val="ro-RO"/>
        </w:rPr>
        <w:t xml:space="preserve"> * IMP</w:t>
      </w:r>
      <w:r w:rsidRPr="00E0488D">
        <w:rPr>
          <w:rFonts w:cs="Arial"/>
          <w:b/>
          <w:vertAlign w:val="subscript"/>
          <w:lang w:val="ro-RO"/>
        </w:rPr>
        <w:t xml:space="preserve">ij </w:t>
      </w:r>
    </w:p>
    <w:p w:rsidR="00B4550A" w:rsidRPr="00E0488D" w:rsidRDefault="00B4550A" w:rsidP="00B4550A">
      <w:pPr>
        <w:pStyle w:val="Body"/>
        <w:spacing w:before="120"/>
        <w:contextualSpacing/>
        <w:rPr>
          <w:rFonts w:cs="Arial"/>
          <w:lang w:val="ro-RO"/>
        </w:rPr>
      </w:pPr>
      <w:r w:rsidRPr="00E0488D">
        <w:rPr>
          <w:rFonts w:cs="Arial"/>
          <w:lang w:val="ro-RO"/>
        </w:rPr>
        <w:tab/>
        <w:t>Unde:</w:t>
      </w:r>
    </w:p>
    <w:p w:rsidR="00B4550A" w:rsidRPr="00E0488D" w:rsidRDefault="00B4550A" w:rsidP="00B4550A">
      <w:pPr>
        <w:pStyle w:val="Body"/>
        <w:spacing w:before="120"/>
        <w:ind w:firstLine="720"/>
        <w:contextualSpacing/>
        <w:rPr>
          <w:rFonts w:cs="Arial"/>
          <w:lang w:val="ro-RO"/>
        </w:rPr>
      </w:pPr>
      <w:r w:rsidRPr="00E0488D">
        <w:rPr>
          <w:rFonts w:cs="Arial"/>
          <w:b/>
          <w:i w:val="0"/>
          <w:lang w:val="ro-RO"/>
        </w:rPr>
        <w:t>T</w:t>
      </w:r>
      <w:r w:rsidRPr="00E0488D">
        <w:rPr>
          <w:rFonts w:cs="Arial"/>
          <w:b/>
          <w:i w:val="0"/>
          <w:vertAlign w:val="subscript"/>
          <w:lang w:val="ro-RO"/>
        </w:rPr>
        <w:t>ij</w:t>
      </w:r>
      <w:r w:rsidRPr="00E0488D">
        <w:rPr>
          <w:rFonts w:cs="Arial"/>
          <w:lang w:val="ro-RO"/>
        </w:rPr>
        <w:t xml:space="preserve"> = deplasări prognozate;</w:t>
      </w:r>
    </w:p>
    <w:p w:rsidR="00B4550A" w:rsidRPr="00E0488D" w:rsidRDefault="00B4550A" w:rsidP="00B4550A">
      <w:pPr>
        <w:pStyle w:val="Body"/>
        <w:spacing w:before="120"/>
        <w:ind w:firstLine="720"/>
        <w:contextualSpacing/>
        <w:rPr>
          <w:rFonts w:cs="Arial"/>
          <w:lang w:val="ro-RO"/>
        </w:rPr>
      </w:pPr>
      <w:r w:rsidRPr="00E0488D">
        <w:rPr>
          <w:rFonts w:cs="Arial"/>
          <w:b/>
          <w:i w:val="0"/>
          <w:lang w:val="ro-RO"/>
        </w:rPr>
        <w:t>P</w:t>
      </w:r>
      <w:r w:rsidRPr="00E0488D">
        <w:rPr>
          <w:rFonts w:cs="Arial"/>
          <w:b/>
          <w:i w:val="0"/>
          <w:vertAlign w:val="subscript"/>
          <w:lang w:val="ro-RO"/>
        </w:rPr>
        <w:t>i</w:t>
      </w:r>
      <w:r w:rsidRPr="00E0488D">
        <w:rPr>
          <w:rFonts w:cs="Arial"/>
          <w:vertAlign w:val="subscript"/>
          <w:lang w:val="ro-RO"/>
        </w:rPr>
        <w:t xml:space="preserve"> </w:t>
      </w:r>
      <w:r w:rsidRPr="00E0488D">
        <w:rPr>
          <w:rFonts w:cs="Arial"/>
          <w:lang w:val="ro-RO"/>
        </w:rPr>
        <w:t>= total producție;</w:t>
      </w:r>
    </w:p>
    <w:p w:rsidR="00B4550A" w:rsidRPr="00E0488D" w:rsidRDefault="00B4550A" w:rsidP="00B4550A">
      <w:pPr>
        <w:pStyle w:val="Body"/>
        <w:spacing w:before="120"/>
        <w:ind w:firstLine="720"/>
        <w:contextualSpacing/>
        <w:rPr>
          <w:rFonts w:cs="Arial"/>
          <w:lang w:val="ro-RO"/>
        </w:rPr>
      </w:pPr>
      <w:r w:rsidRPr="00E0488D">
        <w:rPr>
          <w:rFonts w:cs="Arial"/>
          <w:b/>
          <w:i w:val="0"/>
          <w:lang w:val="ro-RO"/>
        </w:rPr>
        <w:t>D</w:t>
      </w:r>
      <w:r w:rsidRPr="00E0488D">
        <w:rPr>
          <w:rFonts w:cs="Arial"/>
          <w:b/>
          <w:i w:val="0"/>
          <w:vertAlign w:val="subscript"/>
          <w:lang w:val="ro-RO"/>
        </w:rPr>
        <w:t xml:space="preserve">j </w:t>
      </w:r>
      <w:r w:rsidRPr="00E0488D">
        <w:rPr>
          <w:rFonts w:cs="Arial"/>
          <w:lang w:val="ro-RO"/>
        </w:rPr>
        <w:t>= total atracție;</w:t>
      </w:r>
    </w:p>
    <w:p w:rsidR="00B4550A" w:rsidRPr="00E0488D" w:rsidRDefault="00B4550A" w:rsidP="00B4550A">
      <w:pPr>
        <w:pStyle w:val="Body"/>
        <w:spacing w:before="120"/>
        <w:ind w:firstLine="720"/>
        <w:contextualSpacing/>
        <w:rPr>
          <w:rFonts w:cs="Arial"/>
          <w:lang w:val="ro-RO"/>
        </w:rPr>
      </w:pPr>
      <w:r w:rsidRPr="00E0488D">
        <w:rPr>
          <w:rFonts w:cs="Arial"/>
          <w:b/>
          <w:i w:val="0"/>
          <w:lang w:val="ro-RO"/>
        </w:rPr>
        <w:t>IMP</w:t>
      </w:r>
      <w:r w:rsidRPr="00E0488D">
        <w:rPr>
          <w:rFonts w:cs="Arial"/>
          <w:b/>
          <w:i w:val="0"/>
          <w:vertAlign w:val="subscript"/>
          <w:lang w:val="ro-RO"/>
        </w:rPr>
        <w:t>ij</w:t>
      </w:r>
      <w:r w:rsidRPr="00E0488D">
        <w:rPr>
          <w:rFonts w:cs="Arial"/>
          <w:b/>
          <w:i w:val="0"/>
          <w:lang w:val="ro-RO"/>
        </w:rPr>
        <w:t xml:space="preserve"> </w:t>
      </w:r>
      <w:r w:rsidRPr="00E0488D">
        <w:rPr>
          <w:rFonts w:cs="Arial"/>
          <w:lang w:val="ro-RO"/>
        </w:rPr>
        <w:t xml:space="preserve">este impedanţa între zonele pereche producţie şi atracţie, iar </w:t>
      </w:r>
    </w:p>
    <w:p w:rsidR="00B4550A" w:rsidRPr="00E0488D" w:rsidRDefault="00B4550A" w:rsidP="00B4550A">
      <w:pPr>
        <w:pStyle w:val="Body"/>
        <w:spacing w:before="120"/>
        <w:ind w:firstLine="720"/>
        <w:contextualSpacing/>
        <w:rPr>
          <w:rFonts w:cs="Arial"/>
          <w:b/>
          <w:i w:val="0"/>
          <w:lang w:val="ro-RO"/>
        </w:rPr>
      </w:pPr>
      <w:r w:rsidRPr="00E0488D">
        <w:rPr>
          <w:rFonts w:cs="Arial"/>
          <w:b/>
          <w:i w:val="0"/>
          <w:lang w:val="ro-RO"/>
        </w:rPr>
        <w:t>A</w:t>
      </w:r>
      <w:r w:rsidRPr="00E0488D">
        <w:rPr>
          <w:rFonts w:cs="Arial"/>
          <w:b/>
          <w:i w:val="0"/>
          <w:vertAlign w:val="subscript"/>
          <w:lang w:val="ro-RO"/>
        </w:rPr>
        <w:t>i</w:t>
      </w:r>
      <w:r w:rsidRPr="00E0488D">
        <w:rPr>
          <w:rFonts w:cs="Arial"/>
          <w:b/>
          <w:i w:val="0"/>
          <w:lang w:val="ro-RO"/>
        </w:rPr>
        <w:t xml:space="preserve"> și B</w:t>
      </w:r>
      <w:r w:rsidRPr="00E0488D">
        <w:rPr>
          <w:rFonts w:cs="Arial"/>
          <w:b/>
          <w:i w:val="0"/>
          <w:vertAlign w:val="subscript"/>
          <w:lang w:val="ro-RO"/>
        </w:rPr>
        <w:t>j</w:t>
      </w:r>
      <w:r w:rsidRPr="00E0488D">
        <w:rPr>
          <w:rFonts w:cs="Arial"/>
          <w:lang w:val="ro-RO"/>
        </w:rPr>
        <w:t xml:space="preserve"> sunt factori de ajustare.</w:t>
      </w:r>
    </w:p>
    <w:p w:rsidR="00B4550A" w:rsidRPr="00E0488D" w:rsidRDefault="00B4550A" w:rsidP="002B7E09">
      <w:pPr>
        <w:pStyle w:val="NumberedParas"/>
        <w:rPr>
          <w:b/>
        </w:rPr>
      </w:pPr>
      <w:r w:rsidRPr="00E0488D">
        <w:t xml:space="preserve">Funcțiile de impedanță calibrate în MNT sunt specifice fiecărui scop și combinație de disponibilitate auto. Astfel, un set diferit de parametri: </w:t>
      </w:r>
      <m:oMath>
        <m:sSub>
          <m:sSubPr>
            <m:ctrlPr>
              <w:rPr>
                <w:rFonts w:ascii="Cambria Math" w:hAnsi="Cambria Math"/>
                <w:b/>
              </w:rPr>
            </m:ctrlPr>
          </m:sSubPr>
          <m:e>
            <m:r>
              <m:rPr>
                <m:sty m:val="bi"/>
              </m:rPr>
              <w:rPr>
                <w:rFonts w:ascii="Cambria Math" w:hAnsi="Cambria Math"/>
              </w:rPr>
              <m:t>x</m:t>
            </m:r>
          </m:e>
          <m:sub>
            <m:r>
              <m:rPr>
                <m:sty m:val="b"/>
              </m:rPr>
              <w:rPr>
                <w:rFonts w:ascii="Cambria Math" w:hAnsi="Cambria Math"/>
              </w:rPr>
              <m:t>0</m:t>
            </m:r>
          </m:sub>
        </m:sSub>
      </m:oMath>
      <w:r w:rsidRPr="00E0488D">
        <w:t xml:space="preserve">, </w:t>
      </w:r>
      <m:oMath>
        <m:sSub>
          <m:sSubPr>
            <m:ctrlPr>
              <w:rPr>
                <w:rFonts w:ascii="Cambria Math" w:hAnsi="Cambria Math"/>
                <w:b/>
              </w:rPr>
            </m:ctrlPr>
          </m:sSubPr>
          <m:e>
            <m:r>
              <m:rPr>
                <m:sty m:val="bi"/>
              </m:rPr>
              <w:rPr>
                <w:rFonts w:ascii="Cambria Math" w:hAnsi="Cambria Math"/>
              </w:rPr>
              <m:t>x</m:t>
            </m:r>
          </m:e>
          <m:sub>
            <m:r>
              <m:rPr>
                <m:sty m:val="b"/>
              </m:rPr>
              <w:rPr>
                <w:rFonts w:ascii="Cambria Math" w:hAnsi="Cambria Math"/>
              </w:rPr>
              <m:t>1</m:t>
            </m:r>
          </m:sub>
        </m:sSub>
      </m:oMath>
      <w:r w:rsidRPr="00E0488D">
        <w:t xml:space="preserve"> și </w:t>
      </w:r>
      <m:oMath>
        <m:sSub>
          <m:sSubPr>
            <m:ctrlPr>
              <w:rPr>
                <w:rFonts w:ascii="Cambria Math" w:hAnsi="Cambria Math"/>
                <w:b/>
              </w:rPr>
            </m:ctrlPr>
          </m:sSubPr>
          <m:e>
            <m:r>
              <m:rPr>
                <m:sty m:val="bi"/>
              </m:rPr>
              <w:rPr>
                <w:rFonts w:ascii="Cambria Math" w:hAnsi="Cambria Math"/>
              </w:rPr>
              <m:t>x</m:t>
            </m:r>
          </m:e>
          <m:sub>
            <m:r>
              <m:rPr>
                <m:sty m:val="b"/>
              </m:rPr>
              <w:rPr>
                <w:rFonts w:ascii="Cambria Math" w:hAnsi="Cambria Math"/>
              </w:rPr>
              <m:t>2</m:t>
            </m:r>
          </m:sub>
        </m:sSub>
      </m:oMath>
      <w:r w:rsidRPr="00E0488D">
        <w:t xml:space="preserve"> a fost creat pentru fiecare segment al cererii din MNT.</w:t>
      </w:r>
    </w:p>
    <w:p w:rsidR="00B4550A" w:rsidRPr="00E0488D" w:rsidRDefault="00B4550A" w:rsidP="00B4550A">
      <w:pPr>
        <w:pStyle w:val="Hdg3"/>
      </w:pPr>
      <w:r w:rsidRPr="00E0488D">
        <w:t>Modelele privind alegerea modală</w:t>
      </w:r>
    </w:p>
    <w:p w:rsidR="00B4550A" w:rsidRPr="00E0488D" w:rsidRDefault="00B4550A" w:rsidP="002B7E09">
      <w:pPr>
        <w:pStyle w:val="NumberedParas"/>
      </w:pPr>
      <w:r w:rsidRPr="00E0488D">
        <w:t>Fiecare dintre modelele cererii incluse în studiu adoptă o formulă de model ierarhic pentru alegerea modală dar în fiecare caz există diferenţe specifice care vor reflecta situaţia pieţelor de transport intern şi internaţional de călători şi marfă. Figura 2.11 prezintă structura modelului de alegere modală pentru persoanele care au un autoturism disponibil (cu disponibilitate auto), ca exemplu al formei ierarhice.</w:t>
      </w:r>
    </w:p>
    <w:p w:rsidR="00B4550A" w:rsidRPr="00E0488D" w:rsidRDefault="00B4550A" w:rsidP="00B4550A">
      <w:pPr>
        <w:rPr>
          <w:lang w:val="ro-RO"/>
        </w:rPr>
      </w:pPr>
      <w:r w:rsidRPr="00E0488D">
        <w:rPr>
          <w:lang w:val="ro-RO"/>
        </w:rPr>
        <w:br w:type="page"/>
      </w:r>
    </w:p>
    <w:p w:rsidR="00B4550A" w:rsidRPr="00E0488D" w:rsidRDefault="00B4550A" w:rsidP="00B4550A">
      <w:pPr>
        <w:rPr>
          <w:lang w:val="ro-RO"/>
        </w:rPr>
      </w:pPr>
    </w:p>
    <w:p w:rsidR="00B4550A" w:rsidRPr="00E0488D" w:rsidRDefault="00B4550A" w:rsidP="00B4550A">
      <w:pPr>
        <w:pStyle w:val="Body"/>
        <w:spacing w:before="120"/>
        <w:ind w:left="851"/>
        <w:contextualSpacing/>
        <w:rPr>
          <w:rFonts w:cs="Arial"/>
          <w:i w:val="0"/>
          <w:lang w:val="ro-RO"/>
        </w:rPr>
      </w:pPr>
      <w:r w:rsidRPr="00E0488D">
        <w:rPr>
          <w:rFonts w:cs="Arial"/>
          <w:b/>
          <w:i w:val="0"/>
          <w:lang w:val="ro-RO"/>
        </w:rPr>
        <w:t xml:space="preserve">Figura 2.11 Ierarhia modelului alegerii modale în cadrul MNT </w:t>
      </w:r>
    </w:p>
    <w:p w:rsidR="00B4550A" w:rsidRPr="00E0488D" w:rsidRDefault="00966D0E" w:rsidP="00B4550A">
      <w:pPr>
        <w:spacing w:before="120" w:after="120" w:line="276" w:lineRule="auto"/>
        <w:ind w:firstLine="851"/>
        <w:contextualSpacing/>
        <w:rPr>
          <w:rFonts w:cs="Arial"/>
          <w:sz w:val="22"/>
          <w:szCs w:val="22"/>
          <w:lang w:val="ro-RO"/>
        </w:rPr>
      </w:pPr>
      <w:r>
        <w:rPr>
          <w:rFonts w:cs="Arial"/>
          <w:sz w:val="22"/>
          <w:szCs w:val="22"/>
          <w:lang w:val="ro-RO"/>
        </w:rPr>
      </w:r>
      <w:r>
        <w:rPr>
          <w:rFonts w:cs="Arial"/>
          <w:sz w:val="22"/>
          <w:szCs w:val="22"/>
          <w:lang w:val="ro-RO"/>
        </w:rPr>
        <w:pict>
          <v:group id="Group 52" o:spid="_x0000_s1778" style="width:468pt;height:282pt;mso-position-horizontal-relative:char;mso-position-vertical-relative:line" coordorigin="12236,15389" coordsize="66967,40324">
            <v:roundrect id="Rounded Rectangle 334" o:spid="_x0000_s1779" style="position:absolute;left:12236;top:15389;width:66967;height:4032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Q68QA&#10;AADcAAAADwAAAGRycy9kb3ducmV2LnhtbESPQWvCQBSE7wX/w/IEb3VTLRpSVxFR8OLBtAe9PbOv&#10;SWj2bciuZv33bkHwOMzMN8xiFUwjbtS52rKCj3ECgriwuuZSwc/37j0F4TyyxsYyKbiTg9Vy8LbA&#10;TNuej3TLfSkihF2GCirv20xKV1Rk0I1tSxy9X9sZ9FF2pdQd9hFuGjlJkpk0WHNcqLClTUXFX341&#10;CjaHU9qeUj+758HQ2W7Dpb8clRoNw/oLhKfgX+Fne68VzKef8H8mH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80OvEAAAA3AAAAA8AAAAAAAAAAAAAAAAAmAIAAGRycy9k&#10;b3ducmV2LnhtbFBLBQYAAAAABAAEAPUAAACJAwAAAAA=&#10;" filled="f" strokecolor="red" strokeweight="1pt">
              <v:stroke dashstyle="3 1"/>
              <v:textbox style="mso-next-textbox:#Rounded Rectangle 334">
                <w:txbxContent>
                  <w:p w:rsidR="001F544B" w:rsidRDefault="001F544B" w:rsidP="00B4550A"/>
                </w:txbxContent>
              </v:textbox>
            </v:roundrect>
            <v:roundrect id="Rounded Rectangle 335" o:spid="_x0000_s1780" style="position:absolute;left:28799;top:16826;width:26644;height:283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2z9cUA&#10;AADcAAAADwAAAGRycy9kb3ducmV2LnhtbESPQWvCQBSE74X+h+UVeqsbLVaN2UgaKOix6kFvz+wz&#10;CWbfptltkv77bqHgcZiZb5hkM5pG9NS52rKC6SQCQVxYXXOp4Hj4eFmCcB5ZY2OZFPyQg036+JBg&#10;rO3An9TvfSkChF2MCirv21hKV1Rk0E1sSxy8q+0M+iC7UuoOhwA3jZxF0Zs0WHNYqLClvKLitv82&#10;Ci7vzmWnvLxiv/jarbJ8N8wuZ6Wen8ZsDcLT6O/h//ZWK1i8zu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P1xQAAANwAAAAPAAAAAAAAAAAAAAAAAJgCAABkcnMv&#10;ZG93bnJldi54bWxQSwUGAAAAAAQABAD1AAAAigMAAAAA&#10;" filled="f" strokecolor="black [3213]" strokeweight="2pt">
              <v:textbox style="mso-next-textbox:#Rounded Rectangle 335"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 Available  Mode Choice</w:t>
                    </w:r>
                  </w:p>
                </w:txbxContent>
              </v:textbox>
            </v:roundrect>
            <v:roundrect id="Rounded Rectangle 336" o:spid="_x0000_s1781" style="position:absolute;left:37439;top:21149;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8tgsQA&#10;AADcAAAADwAAAGRycy9kb3ducmV2LnhtbESPQWvCQBSE70L/w/IK3symFrRGV4mBgh6rHurtmX0m&#10;wezbNLsm6b/vFgSPw8x8w6w2g6lFR62rLCt4i2IQxLnVFRcKTsfPyQcI55E11pZJwS852KxfRitM&#10;tO35i7qDL0SAsEtQQel9k0jp8pIMusg2xMG72tagD7ItpG6xD3BTy2kcz6TBisNCiQ1lJeW3w90o&#10;uGydS7+z4ord/Ge/SLN9P72clRq/DukShKfBP8OP9k4rmL/P4P9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PLYLEAAAA3AAAAA8AAAAAAAAAAAAAAAAAmAIAAGRycy9k&#10;b3ducmV2LnhtbFBLBQYAAAAABAAEAPUAAACJAwAAAAA=&#10;" filled="f" strokecolor="black [3213]" strokeweight="2pt">
              <v:textbox style="mso-next-textbox:#Rounded Rectangle 336"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Total CA</w:t>
                    </w:r>
                  </w:p>
                </w:txbxContent>
              </v:textbox>
            </v:roundrect>
            <v:roundrect id="Rounded Rectangle 337" o:spid="_x0000_s1782" style="position:absolute;left:19440;top:29790;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IGcQA&#10;AADcAAAADwAAAGRycy9kb3ducmV2LnhtbESPQWvCQBSE7wX/w/IEb3WjQqPRVWKgUI9VD3p7Zp9J&#10;MPs2ZrdJ+u+7hUKPw8x8w2x2g6lFR62rLCuYTSMQxLnVFRcKzqf31yUI55E11pZJwTc52G1HLxtM&#10;tO35k7qjL0SAsEtQQel9k0jp8pIMuqltiIN3t61BH2RbSN1iH+CmlvMoepMGKw4LJTaUlZQ/jl9G&#10;wW3vXHrJijt28fOwSrNDP79dlZqMh3QNwtPg/8N/7Q+tIF7E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DiBnEAAAA3AAAAA8AAAAAAAAAAAAAAAAAmAIAAGRycy9k&#10;b3ducmV2LnhtbFBLBQYAAAAABAAEAPUAAACJAwAAAAA=&#10;" filled="f" strokecolor="black [3213]" strokeweight="2pt">
              <v:textbox style="mso-next-textbox:#Rounded Rectangle 337"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Car</w:t>
                    </w:r>
                  </w:p>
                </w:txbxContent>
              </v:textbox>
            </v:roundrect>
            <v:roundrect id="Rounded Rectangle 338" o:spid="_x0000_s1783" style="position:absolute;left:47519;top:29790;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wca8IA&#10;AADcAAAADwAAAGRycy9kb3ducmV2LnhtbERPPW+DMBDdK+U/WFepW2OaSCElMYgiRWrG0g7pdsEX&#10;QMFngl0g/74eKnV8et/7bDadGGlwrWUFL8sIBHFldcu1gq/Pw/MWhPPIGjvLpOBODrJ08bDHRNuJ&#10;P2gsfS1CCLsEFTTe94mUrmrIoFvanjhwFzsY9AEOtdQDTiHcdHIVRRtpsOXQ0GBPRUPVtfwxCs5v&#10;zuWnor7gGN+Or3lxnFbnb6WeHud8B8LT7P/Ff+53rSBeh7XhTD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nBxrwgAAANwAAAAPAAAAAAAAAAAAAAAAAJgCAABkcnMvZG93&#10;bnJldi54bWxQSwUGAAAAAAQABAD1AAAAhwMAAAAA&#10;" filled="f" strokecolor="black [3213]" strokeweight="2pt">
              <v:textbox style="mso-next-textbox:#Rounded Rectangle 338"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PT</w:t>
                    </w:r>
                  </w:p>
                </w:txbxContent>
              </v:textbox>
            </v:roundrect>
            <v:roundrect id="Rounded Rectangle 339" o:spid="_x0000_s1784" style="position:absolute;left:36719;top:38431;width:8640;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58MUA&#10;AADcAAAADwAAAGRycy9kb3ducmV2LnhtbESPT2vCQBTE7wW/w/IEb2ZTBf+krhIDhXrU9mBvz+wz&#10;Cc2+jdltkn57VxB6HGbmN8xmN5hadNS6yrKC1ygGQZxbXXGh4OvzfboC4TyyxtoyKfgjB7vt6GWD&#10;ibY9H6k7+UIECLsEFZTeN4mULi/JoItsQxy8q20N+iDbQuoW+wA3tZzF8UIarDgslNhQVlL+c/o1&#10;Ci5759JzVlyxW94O6zQ79LPLt1KT8ZC+gfA0+P/ws/2hFSzna3icCU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LnwxQAAANwAAAAPAAAAAAAAAAAAAAAAAJgCAABkcnMv&#10;ZG93bnJldi54bWxQSwUGAAAAAAQABAD1AAAAigMAAAAA&#10;" filled="f" strokecolor="black [3213]" strokeweight="2pt">
              <v:textbox style="mso-next-textbox:#Rounded Rectangle 339"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Air</w:t>
                    </w:r>
                  </w:p>
                </w:txbxContent>
              </v:textbox>
            </v:roundrect>
            <v:roundrect id="Rounded Rectangle 340" o:spid="_x0000_s1785" style="position:absolute;left:47520;top:38431;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jEMIA&#10;AADcAAAADwAAAGRycy9kb3ducmV2LnhtbERPPW+DMBDdK+U/WFepW2MaRSElMYgiRWrG0g7pdsEX&#10;QMFngl0g/74eKnV8et/7bDadGGlwrWUFL8sIBHFldcu1gq/Pw/MWhPPIGjvLpOBODrJ08bDHRNuJ&#10;P2gsfS1CCLsEFTTe94mUrmrIoFvanjhwFzsY9AEOtdQDTiHcdHIVRRtpsOXQ0GBPRUPVtfwxCs5v&#10;zuWnor7gGN+Or3lxnFbnb6WeHud8B8LT7P/Ff+53rSBeh/nhTD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7GMQwgAAANwAAAAPAAAAAAAAAAAAAAAAAJgCAABkcnMvZG93&#10;bnJldi54bWxQSwUGAAAAAAQABAD1AAAAhwMAAAAA&#10;" filled="f" strokecolor="black [3213]" strokeweight="2pt">
              <v:textbox style="mso-next-textbox:#Rounded Rectangle 340"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Rail</w:t>
                    </w:r>
                  </w:p>
                </w:txbxContent>
              </v:textbox>
            </v:roundrect>
            <v:roundrect id="Rounded Rectangle 341" o:spid="_x0000_s1786" style="position:absolute;left:69122;top:38431;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DGi8UA&#10;AADcAAAADwAAAGRycy9kb3ducmV2LnhtbESPQWvCQBSE7wX/w/IEb3WjSNWYjcRAoR5re9DbM/tM&#10;gtm3MbtN0n/fLRR6HGbmGybZj6YRPXWutqxgMY9AEBdW11wq+Px4fd6AcB5ZY2OZFHyTg306eUow&#10;1nbgd+pPvhQBwi5GBZX3bSylKyoy6Oa2JQ7ezXYGfZBdKXWHQ4CbRi6j6EUarDksVNhSXlFxP30Z&#10;BdeDc9k5L2/Yrx/HbZYfh+X1otRsOmY7EJ5G/x/+a79pBevVAn7PhCM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MaLxQAAANwAAAAPAAAAAAAAAAAAAAAAAJgCAABkcnMv&#10;ZG93bnJldi54bWxQSwUGAAAAAAQABAD1AAAAigMAAAAA&#10;" filled="f" strokecolor="black [3213]" strokeweight="2pt">
              <v:textbox style="mso-next-textbox:#Rounded Rectangle 341"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Ferry</w:t>
                    </w:r>
                  </w:p>
                </w:txbxContent>
              </v:textbox>
            </v:roundrect>
            <v:shape id="Elbow Connector 342" o:spid="_x0000_s1787" type="#_x0000_t34" style="position:absolute;left:30953;top:18984;width:3613;height:1799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P2acUAAADcAAAADwAAAGRycy9kb3ducmV2LnhtbESPT2sCMRTE7wW/Q3iCF9Gs0la7NYoI&#10;gn8uVgWvj83rbujmZd1Ed/vtTUHocZiZ3zCzRWtLcafaG8cKRsMEBHHmtOFcwfm0HkxB+ICssXRM&#10;Cn7Jw2LeeZlhql3DX3Q/hlxECPsUFRQhVKmUPivIoh+6ijh63662GKKsc6lrbCLclnKcJO/SouG4&#10;UGBFq4Kyn+PNKrhu9+Ew4nX10Wzfbhovpr8zK6V63Xb5CSJQG/7Dz/ZGK5i8juHvTD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P2acUAAADcAAAADwAAAAAAAAAA&#10;AAAAAAChAgAAZHJzL2Rvd25yZXYueG1sUEsFBgAAAAAEAAQA+QAAAJMDAAAAAA==&#10;" strokecolor="#4579b8 [3044]">
              <v:stroke endarrow="open"/>
            </v:shape>
            <v:shape id="Elbow Connector 343" o:spid="_x0000_s1788" type="#_x0000_t34" style="position:absolute;left:44993;top:22943;width:3613;height:1008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FmusQAAADcAAAADwAAAGRycy9kb3ducmV2LnhtbESPT2sCMRTE7wW/Q3iCt5pV+4/VKKII&#10;lvVSLdTjY/PcLG5eliS622/fFAo9DjPzG2ax6m0j7uRD7VjBZJyBIC6drrlS8HnaPb6BCBFZY+OY&#10;FHxTgNVy8LDAXLuOP+h+jJVIEA45KjAxtrmUoTRkMYxdS5y8i/MWY5K+ktpjl+C2kdMse5EWa04L&#10;BlvaGCqvx5tV8N7J05aKc702bsaTzcE/fxWFUqNhv56DiNTH//Bfe68VvD7N4P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Wa6xAAAANwAAAAPAAAAAAAAAAAA&#10;AAAAAKECAABkcnMvZG93bnJldi54bWxQSwUGAAAAAAQABAD5AAAAkgMAAAAA&#10;" strokecolor="#4579b8 [3044]">
              <v:stroke endarrow="open"/>
            </v:shape>
            <v:shape id="Elbow Connector 344" o:spid="_x0000_s1789" type="#_x0000_t34" style="position:absolute;left:44633;top:31224;width:3613;height:10801;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bLhsYAAADcAAAADwAAAGRycy9kb3ducmV2LnhtbESPT2vCQBTE70K/w/IKXqTZKNo/aVYp&#10;glD1YlXo9ZF9TZZm36bZ1aTf3hUEj8PM/IbJF72txZlabxwrGCcpCOLCacOlguNh9fQKwgdkjbVj&#10;UvBPHhbzh0GOmXYdf9F5H0oRIewzVFCF0GRS+qIiiz5xDXH0flxrMUTZllK32EW4reUkTZ+lRcNx&#10;ocKGlhUVv/uTVfC33obdmFfNW7eenTR+m9HGLJUaPvYf7yAC9eEevrU/tYKX6RSuZ+IR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my4bGAAAA3AAAAA8AAAAAAAAA&#10;AAAAAAAAoQIAAGRycy9kb3ducmV2LnhtbFBLBQYAAAAABAAEAPkAAACUAwAAAAA=&#10;" strokecolor="#4579b8 [3044]">
              <v:stroke endarrow="open"/>
            </v:shape>
            <v:shape id="Elbow Connector 345" o:spid="_x0000_s1790" type="#_x0000_t34" style="position:absolute;left:50033;top:36625;width:3613;height:0;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RbVcUAAADcAAAADwAAAGRycy9kb3ducmV2LnhtbESPQWsCMRSE7wX/Q3hCbzWrrbasRhFF&#10;aFkvaqEeH5vnZnHzsiTR3f77plDocZiZb5jFqreNuJMPtWMF41EGgrh0uuZKwedp9/QGIkRkjY1j&#10;UvBNAVbLwcMCc+06PtD9GCuRIBxyVGBibHMpQ2nIYhi5ljh5F+ctxiR9JbXHLsFtIydZNpMWa04L&#10;BlvaGCqvx5tV8NHJ05aKc7027pnHm72ffhWFUo/Dfj0HEamP/+G/9rtW8Poyhd8z6Qj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RbVcUAAADcAAAADwAAAAAAAAAA&#10;AAAAAAChAgAAZHJzL2Rvd25yZXYueG1sUEsFBgAAAAAEAAQA+QAAAJMDAAAAAA==&#10;" strokecolor="#4579b8 [3044]">
              <v:stroke endarrow="open"/>
            </v:shape>
            <v:shape id="Elbow Connector 346" o:spid="_x0000_s1791" type="#_x0000_t34" style="position:absolute;left:60835;top:25823;width:3613;height:21603;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bFIsUAAADcAAAADwAAAGRycy9kb3ducmV2LnhtbESPQWsCMRSE70L/Q3hCb5q1Vlu2RhGl&#10;UFkv1UJ7fGxeN4ublyVJ3e2/N4LgcZiZb5jFqreNOJMPtWMFk3EGgrh0uuZKwdfxffQKIkRkjY1j&#10;UvBPAVbLh8ECc+06/qTzIVYiQTjkqMDE2OZShtKQxTB2LXHyfp23GJP0ldQeuwS3jXzKsrm0WHNa&#10;MNjSxlB5OvxZBbtOHrdU/NRr46Y82ez97LsolHoc9us3EJH6eA/f2h9awcvzHK5n0hG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bFIsUAAADcAAAADwAAAAAAAAAA&#10;AAAAAAChAgAAZHJzL2Rvd25yZXYueG1sUEsFBgAAAAAEAAQA+QAAAJMDAAAAAA==&#10;" strokecolor="#4579b8 [3044]">
              <v:stroke endarrow="open"/>
            </v:shape>
            <v:roundrect id="Rounded Rectangle 347" o:spid="_x0000_s1792" style="position:absolute;left:58321;top:38431;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7ZMQA&#10;AADcAAAADwAAAGRycy9kb3ducmV2LnhtbESPQWvCQBSE7wX/w/IEb3WjSKPRVWKgUI9VD3p7Zp9J&#10;MPs2ZrdJ+u+7hUKPw8x8w2x2g6lFR62rLCuYTSMQxLnVFRcKzqf31yUI55E11pZJwTc52G1HLxtM&#10;tO35k7qjL0SAsEtQQel9k0jp8pIMuqltiIN3t61BH2RbSN1iH+CmlvMoepMGKw4LJTaUlZQ/jl9G&#10;wW3vXHrJijt28fOwSrNDP79dlZqMh3QNwtPg/8N/7Q+tIF7E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F+2TEAAAA3AAAAA8AAAAAAAAAAAAAAAAAmAIAAGRycy9k&#10;b3ducmV2LnhtbFBLBQYAAAAABAAEAPUAAACJAwAAAAA=&#10;" filled="f" strokecolor="black [3213]" strokeweight="2pt">
              <v:textbox style="mso-next-textbox:#Rounded Rectangle 347"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Bus</w:t>
                    </w:r>
                  </w:p>
                </w:txbxContent>
              </v:textbox>
            </v:roundrect>
            <v:roundrect id="Rounded Rectangle 348" o:spid="_x0000_s1793" style="position:absolute;left:58321;top:47792;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pvFsIA&#10;AADcAAAADwAAAGRycy9kb3ducmV2LnhtbERPPW+DMBDdK+U/WFepW2MaRSElMYgiRWrG0g7pdsEX&#10;QMFngl0g/74eKnV8et/7bDadGGlwrWUFL8sIBHFldcu1gq/Pw/MWhPPIGjvLpOBODrJ08bDHRNuJ&#10;P2gsfS1CCLsEFTTe94mUrmrIoFvanjhwFzsY9AEOtdQDTiHcdHIVRRtpsOXQ0GBPRUPVtfwxCs5v&#10;zuWnor7gGN+Or3lxnFbnb6WeHud8B8LT7P/Ff+53rSBeh7XhTD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m8WwgAAANwAAAAPAAAAAAAAAAAAAAAAAJgCAABkcnMvZG93&#10;bnJldi54bWxQSwUGAAAAAAQABAD1AAAAhwMAAAAA&#10;" filled="f" strokecolor="black [3213]" strokeweight="2pt">
              <v:textbox style="mso-next-textbox:#Rounded Rectangle 348"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Regional</w:t>
                    </w:r>
                  </w:p>
                </w:txbxContent>
              </v:textbox>
            </v:roundrect>
            <v:roundrect id="Rounded Rectangle 349" o:spid="_x0000_s1794" style="position:absolute;left:37802;top:47792;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KjcUA&#10;AADcAAAADwAAAGRycy9kb3ducmV2LnhtbESPT2vCQBTE7wW/w/IEb2ZTEf+krhIDhXrU9mBvz+wz&#10;Cc2+jdltkn57VxB6HGbmN8xmN5hadNS6yrKC1ygGQZxbXXGh4OvzfboC4TyyxtoyKfgjB7vt6GWD&#10;ibY9H6k7+UIECLsEFZTeN4mULi/JoItsQxy8q20N+iDbQuoW+wA3tZzF8UIarDgslNhQVlL+c/o1&#10;Ci5759JzVlyxW94O6zQ79LPLt1KT8ZC+gfA0+P/ws/2hFSzna3icCU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sqNxQAAANwAAAAPAAAAAAAAAAAAAAAAAJgCAABkcnMv&#10;ZG93bnJldi54bWxQSwUGAAAAAAQABAD1AAAAigMAAAAA&#10;" filled="f" strokecolor="black [3213]" strokeweight="2pt">
              <v:textbox style="mso-next-textbox:#Rounded Rectangle 349"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Inter City</w:t>
                    </w:r>
                  </w:p>
                </w:txbxContent>
              </v:textbox>
            </v:roundrect>
            <v:roundrect id="Rounded Rectangle 350" o:spid="_x0000_s1795" style="position:absolute;left:47882;top:47792;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1zcIA&#10;AADcAAAADwAAAGRycy9kb3ducmV2LnhtbERPPW+DMBDdK+U/WFepW2MaKSElMYgiRWrG0g7pdsEX&#10;QMFngl0g/74eKnV8et/7bDadGGlwrWUFL8sIBHFldcu1gq/Pw/MWhPPIGjvLpOBODrJ08bDHRNuJ&#10;P2gsfS1CCLsEFTTe94mUrmrIoFvanjhwFzsY9AEOtdQDTiHcdHIVRRtpsOXQ0GBPRUPVtfwxCs5v&#10;zuWnor7gGN+Or3lxnFbnb6WeHud8B8LT7P/Ff+53rSBeh/nhTD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fXNwgAAANwAAAAPAAAAAAAAAAAAAAAAAJgCAABkcnMvZG93&#10;bnJldi54bWxQSwUGAAAAAAQABAD1AAAAhwMAAAAA&#10;" filled="f" strokecolor="black [3213]" strokeweight="2pt">
              <v:textbox style="mso-next-textbox:#Rounded Rectangle 350"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Inter Regio</w:t>
                    </w:r>
                  </w:p>
                </w:txbxContent>
              </v:textbox>
            </v:roundrect>
            <v:roundrect id="Rounded Rectangle 351" o:spid="_x0000_s1796" style="position:absolute;left:25197;top:38431;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lQVsUA&#10;AADcAAAADwAAAGRycy9kb3ducmV2LnhtbESPQWvCQBSE7wX/w/IEb3WjYNWYjcRAoR5re9DbM/tM&#10;gtm3MbtN0n/fLRR6HGbmGybZj6YRPXWutqxgMY9AEBdW11wq+Px4fd6AcB5ZY2OZFHyTg306eUow&#10;1nbgd+pPvhQBwi5GBZX3bSylKyoy6Oa2JQ7ezXYGfZBdKXWHQ4CbRi6j6EUarDksVNhSXlFxP30Z&#10;BdeDc9k5L2/Yrx/HbZYfh+X1otRsOmY7EJ5G/x/+a79pBevVAn7PhCM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eVBWxQAAANwAAAAPAAAAAAAAAAAAAAAAAJgCAABkcnMv&#10;ZG93bnJldi54bWxQSwUGAAAAAAQABAD1AAAAigMAAAAA&#10;" filled="f" strokecolor="black [3213]" strokeweight="2pt">
              <v:textbox style="mso-next-textbox:#Rounded Rectangle 351"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Non-Tolled</w:t>
                    </w:r>
                  </w:p>
                </w:txbxContent>
              </v:textbox>
            </v:roundrect>
            <v:roundrect id="Rounded Rectangle 352" o:spid="_x0000_s1797" style="position:absolute;left:13676;top:38431;width:8641;height:50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OIcQA&#10;AADcAAAADwAAAGRycy9kb3ducmV2LnhtbESPQWvCQBSE7wX/w/IEb3VjwKrRVWKgUI9VD3p7Zp9J&#10;MPs2ZrdJ+u+7hUKPw8x8w2x2g6lFR62rLCuYTSMQxLnVFRcKzqf31yUI55E11pZJwTc52G1HLxtM&#10;tO35k7qjL0SAsEtQQel9k0jp8pIMuqltiIN3t61BH2RbSN1iH+CmlnEUvUmDFYeFEhvKSsofxy+j&#10;4LZ3Lr1kxR27xfOwSrNDH9+uSk3GQ7oG4Wnw/+G/9odWsJjH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rziHEAAAA3AAAAA8AAAAAAAAAAAAAAAAAmAIAAGRycy9k&#10;b3ducmV2LnhtbFBLBQYAAAAABAAEAPUAAACJAwAAAAA=&#10;" filled="f" strokecolor="black [3213]" strokeweight="2pt">
              <v:textbox style="mso-next-textbox:#Rounded Rectangle 352" inset="1mm,,1mm">
                <w:txbxContent>
                  <w:p w:rsidR="001F544B" w:rsidRDefault="001F544B" w:rsidP="00B4550A">
                    <w:pPr>
                      <w:pStyle w:val="NormalWeb"/>
                      <w:spacing w:before="0" w:beforeAutospacing="0" w:after="0" w:afterAutospacing="0"/>
                      <w:jc w:val="center"/>
                    </w:pPr>
                    <w:r>
                      <w:rPr>
                        <w:rFonts w:asciiTheme="minorHAnsi" w:hAnsi="Calibri" w:cstheme="minorBidi"/>
                        <w:color w:val="000000" w:themeColor="text1"/>
                        <w:kern w:val="24"/>
                        <w:sz w:val="20"/>
                        <w:szCs w:val="20"/>
                        <w:lang w:val="en-GB"/>
                      </w:rPr>
                      <w:t>Tolled</w:t>
                    </w:r>
                  </w:p>
                </w:txbxContent>
              </v:textbox>
            </v:roundrect>
            <v:shape id="Elbow Connector 353" o:spid="_x0000_s1798" type="#_x0000_t34" style="position:absolute;left:19071;top:33743;width:3613;height:5764;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bFL8YAAADcAAAADwAAAGRycy9kb3ducmV2LnhtbESPT2vCQBTE70K/w/IKXqTZaLF/0qxS&#10;BKHqxarQ6yP7mizNvk2zq4nf3hUEj8PM/IbJ572txYlabxwrGCcpCOLCacOlgsN++fQGwgdkjbVj&#10;UnAmD/PZwyDHTLuOv+m0C6WIEPYZKqhCaDIpfVGRRZ+4hjh6v661GKJsS6lb7CLc1nKSpi/SouG4&#10;UGFDi4qKv93RKvhfbcJ2zMvmvVtNjxp/zGhtFkoNH/vPDxCB+nAP39pfWsHr9BmuZ+IR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WxS/GAAAA3AAAAA8AAAAAAAAA&#10;AAAAAAAAoQIAAGRycy9kb3ducmV2LnhtbFBLBQYAAAAABAAEAPkAAACUAwAAAAA=&#10;" strokecolor="#4579b8 [3044]">
              <v:stroke endarrow="open"/>
            </v:shape>
            <v:shape id="Elbow Connector 354" o:spid="_x0000_s1799" type="#_x0000_t34" style="position:absolute;left:24832;top:33746;width:3613;height:575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FoE8UAAADcAAAADwAAAGRycy9kb3ducmV2LnhtbESPQWsCMRSE7wX/Q3hCbzWrrbasRhFF&#10;aFkvaqEeH5vnZnHzsiTR3f77plDocZiZb5jFqreNuJMPtWMF41EGgrh0uuZKwedp9/QGIkRkjY1j&#10;UvBNAVbLwcMCc+06PtD9GCuRIBxyVGBibHMpQ2nIYhi5ljh5F+ctxiR9JbXHLsFtIydZNpMWa04L&#10;BlvaGCqvx5tV8NHJ05aKc7027pnHm72ffhWFUo/Dfj0HEamP/+G/9rtW8Dp9gd8z6Qj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2FoE8UAAADcAAAADwAAAAAAAAAA&#10;AAAAAAChAgAAZHJzL2Rvd25yZXYueG1sUEsFBgAAAAAEAAQA+QAAAJMDAAAAAA==&#10;" strokecolor="#4579b8 [3044]">
              <v:stroke endarrow="open"/>
            </v:shape>
            <v:shape id="Elbow Connector 355" o:spid="_x0000_s1800" type="#_x0000_t34" style="position:absolute;left:55434;top:31224;width:3613;height:1080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3NiMQAAADcAAAADwAAAGRycy9kb3ducmV2LnhtbESPQWsCMRSE7wX/Q3iF3jSrsrasRhGL&#10;0LJeqgU9PjbPzdLNy5Kk7vbfNwWhx2FmvmFWm8G24kY+NI4VTCcZCOLK6YZrBZ+n/fgFRIjIGlvH&#10;pOCHAmzWo4cVFtr1/EG3Y6xFgnAoUIGJsSukDJUhi2HiOuLkXZ23GJP0tdQe+wS3rZxl2UJabDgt&#10;GOxoZ6j6On5bBe+9PL1SeWm2xs15ujv4/FyWSj09DtsliEhD/A/f229awXOew9+Zd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Lc2IxAAAANwAAAAPAAAAAAAAAAAA&#10;AAAAAKECAABkcnMvZG93bnJldi54bWxQSwUGAAAAAAQABAD5AAAAkgMAAAAA&#10;" strokecolor="#4579b8 [3044]">
              <v:stroke endarrow="open"/>
            </v:shape>
            <v:shape id="Elbow Connector 356" o:spid="_x0000_s1801" type="#_x0000_t34" style="position:absolute;left:44814;top:40767;width:4333;height:9718;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Fmt8UAAADcAAAADwAAAGRycy9kb3ducmV2LnhtbESPQWvCQBSE7wX/w/KEXkrdWFDbNBsR&#10;Qaj20kbB6yP7TBazb2N2Nem/dwuFHoeZ+YbJloNtxI06bxwrmE4SEMSl04YrBYf95vkVhA/IGhvH&#10;pOCHPCzz0UOGqXY9f9OtCJWIEPYpKqhDaFMpfVmTRT9xLXH0Tq6zGKLsKqk77CPcNvIlSebSouG4&#10;UGNL65rKc3G1Ci7bz/A15U371m9nV41H87Qza6Uex8PqHUSgIfyH/9ofWsFiNoffM/EIy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Fmt8UAAADcAAAADwAAAAAAAAAA&#10;AAAAAAChAgAAZHJzL2Rvd25yZXYueG1sUEsFBgAAAAAEAAQA+QAAAJMDAAAAAA==&#10;" strokecolor="#4579b8 [3044]">
              <v:stroke endarrow="open"/>
            </v:shape>
            <v:shape id="Elbow Connector 357" o:spid="_x0000_s1802" type="#_x0000_t34" style="position:absolute;left:49854;top:45445;width:4333;height:362;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P2ZMQAAADcAAAADwAAAGRycy9kb3ducmV2LnhtbESPQWsCMRSE74L/ITzBm2ZV1LI1iiiF&#10;lvVSLbTHx+Z1s3TzsiSpu/33jSB4HGbmG2az620jruRD7VjBbJqBIC6drrlS8HF5mTyBCBFZY+OY&#10;FPxRgN12ONhgrl3H73Q9x0okCIccFZgY21zKUBqyGKauJU7et/MWY5K+ktpjl+C2kfMsW0mLNacF&#10;gy0dDJU/51+r4K2TlyMVX/XeuAXPDie//CwKpcajfv8MIlIfH+F7+1UrWC/XcDu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s/ZkxAAAANwAAAAPAAAAAAAAAAAA&#10;AAAAAKECAABkcnMvZG93bnJldi54bWxQSwUGAAAAAAQABAD5AAAAkgMAAAAA&#10;" strokecolor="#4579b8 [3044]">
              <v:stroke endarrow="open"/>
            </v:shape>
            <v:shape id="Elbow Connector 358" o:spid="_x0000_s1803" type="#_x0000_t34" style="position:absolute;left:55074;top:40225;width:4333;height:1080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xiFsEAAADcAAAADwAAAGRycy9kb3ducmV2LnhtbERPy2oCMRTdF/yHcIXuakaLVUajiCK0&#10;TDc+QJeXyXUyOLkZkuhM/75ZFLo8nPdy3dtGPMmH2rGC8SgDQVw6XXOl4Hzav81BhIissXFMCn4o&#10;wHo1eFlirl3HB3oeYyVSCIccFZgY21zKUBqyGEauJU7czXmLMUFfSe2xS+G2kZMs+5AWa04NBlva&#10;Girvx4dV8NXJ046Ka70x7p3H228/vRSFUq/DfrMAEamP/+I/96dWMJumtelMOgJy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LGIWwQAAANwAAAAPAAAAAAAAAAAAAAAA&#10;AKECAABkcnMvZG93bnJldi54bWxQSwUGAAAAAAQABAD5AAAAjwMAAAAA&#10;" strokecolor="#4579b8 [3044]">
              <v:stroke endarrow="open"/>
            </v:shape>
            <w10:wrap type="none"/>
            <w10:anchorlock/>
          </v:group>
        </w:pict>
      </w:r>
    </w:p>
    <w:p w:rsidR="00B4550A" w:rsidRPr="00E0488D" w:rsidRDefault="00B4550A" w:rsidP="00B4550A">
      <w:pPr>
        <w:rPr>
          <w:lang w:val="ro-RO"/>
        </w:rPr>
      </w:pPr>
      <w:bookmarkStart w:id="26" w:name="_Toc395520248"/>
    </w:p>
    <w:bookmarkEnd w:id="26"/>
    <w:p w:rsidR="00B4550A" w:rsidRPr="00E0488D" w:rsidRDefault="00B4550A" w:rsidP="00B4550A">
      <w:pPr>
        <w:pStyle w:val="Hdg3"/>
      </w:pPr>
      <w:r w:rsidRPr="00E0488D">
        <w:t>Afectarea pe rețeaua rutieră</w:t>
      </w:r>
    </w:p>
    <w:p w:rsidR="00B4550A" w:rsidRPr="00E0488D" w:rsidRDefault="00B4550A" w:rsidP="002B7E09">
      <w:pPr>
        <w:pStyle w:val="NumberedParas"/>
      </w:pPr>
      <w:r w:rsidRPr="00E0488D">
        <w:t>Afectarea pe rețeaua rutieră din cadrul MNT se realizează folosind un proces de restricționare a capacității pe secțiuni (linkuri), cu relațiile viteză/flux reflectând efectul volumului de trafic, numărului de VGTM (HGV), tipul drumului, numărul de benzi de circulație, tipul de aliniere, panta și starea drumului la viteze de parcurs obișnuite. Se efectuează trei afectări pe rețeaua rutieră, pentru a reprezenta momentele efectuării călătoriilor (ore de vârf, în afara orelor de vârf și călătorie pe timp de noapte) pentru generarea costurilor în funcție de momentul zilei, în vederea utilizării acestora în model. Afectările pe trei intervale orare sunt agregate pentru a se determina fluxul de trafic rutier pe o perioadă de 24 de ore.</w:t>
      </w:r>
    </w:p>
    <w:p w:rsidR="00B4550A" w:rsidRPr="00E0488D" w:rsidRDefault="00B4550A" w:rsidP="002B7E09">
      <w:pPr>
        <w:pStyle w:val="NumberedParas"/>
      </w:pPr>
      <w:r w:rsidRPr="00E0488D">
        <w:t>Diferența cheie între perioadele de afectare este dată de magnitudinea și tiparul cererii de deplasări și compoziția scopului deplasării. Cu toate acestea, există variații ale restricțiilor rețelei (ex. interzicerea circulației camioanelor în anumite intervale orare) Tiparele serviciilor de transport public și frecvența acestora pot și ele varia în funcție de intervalele orare. Aceste diferențe sunt aplicabile atât în cazul anului de bază cât și în cazul anilor viitori (de prognoză).</w:t>
      </w:r>
    </w:p>
    <w:p w:rsidR="00B4550A" w:rsidRPr="00E0488D" w:rsidRDefault="00B4550A" w:rsidP="002B7E09">
      <w:pPr>
        <w:pStyle w:val="NumberedParas"/>
      </w:pPr>
      <w:r w:rsidRPr="00E0488D">
        <w:t>Rețelele de transport reprezentate în MNT includ:</w:t>
      </w:r>
    </w:p>
    <w:p w:rsidR="00B4550A" w:rsidRPr="00E0488D" w:rsidRDefault="00B4550A" w:rsidP="00BC2B57">
      <w:pPr>
        <w:pStyle w:val="BulletLevel1"/>
      </w:pPr>
      <w:r w:rsidRPr="00E0488D">
        <w:t xml:space="preserve">Rețeaua rutieră – toate autostrăzile și drumurile naționale, plus principalele drumuri județene având în vedere volumele de trafic, împreună cu drumurile locale necesare pentru conectivitatea rețelei; </w:t>
      </w:r>
    </w:p>
    <w:p w:rsidR="00B4550A" w:rsidRPr="00E0488D" w:rsidRDefault="00B4550A" w:rsidP="00BC2B57">
      <w:pPr>
        <w:pStyle w:val="BulletLevel1"/>
      </w:pPr>
      <w:r w:rsidRPr="00E0488D">
        <w:t xml:space="preserve">Toate rutele și serviciile de transport feroviar; </w:t>
      </w:r>
    </w:p>
    <w:p w:rsidR="00B4550A" w:rsidRPr="00E0488D" w:rsidRDefault="00B4550A" w:rsidP="00BC2B57">
      <w:pPr>
        <w:pStyle w:val="BulletLevel1"/>
      </w:pPr>
      <w:r w:rsidRPr="00E0488D">
        <w:t>Servicii de transport cu autobuzul pe distanțe lungi;</w:t>
      </w:r>
    </w:p>
    <w:p w:rsidR="00B4550A" w:rsidRPr="00E0488D" w:rsidRDefault="00B4550A" w:rsidP="00BC2B57">
      <w:pPr>
        <w:pStyle w:val="BulletLevel1"/>
      </w:pPr>
      <w:r w:rsidRPr="00E0488D">
        <w:t>Aeroporturi și servicii interne de transport aerian și</w:t>
      </w:r>
    </w:p>
    <w:p w:rsidR="00B4550A" w:rsidRPr="00E0488D" w:rsidRDefault="00B4550A" w:rsidP="00BC2B57">
      <w:pPr>
        <w:pStyle w:val="BulletLevel1"/>
      </w:pPr>
      <w:r w:rsidRPr="00E0488D">
        <w:lastRenderedPageBreak/>
        <w:t>Rețeaua navală, incluzând fluviul Dunărea și legăturile existente și propuse ale acestuia cu portul Constanța.</w:t>
      </w:r>
    </w:p>
    <w:p w:rsidR="00B4550A" w:rsidRPr="00E0488D" w:rsidRDefault="00B4550A" w:rsidP="00B4550A">
      <w:pPr>
        <w:pStyle w:val="Hdg3"/>
      </w:pPr>
      <w:bookmarkStart w:id="27" w:name="_Toc395520249"/>
      <w:r w:rsidRPr="00E0488D">
        <w:t xml:space="preserve">Afectarea transportului public </w:t>
      </w:r>
      <w:bookmarkEnd w:id="27"/>
    </w:p>
    <w:p w:rsidR="00B4550A" w:rsidRPr="00E0488D" w:rsidRDefault="00B4550A" w:rsidP="002B7E09">
      <w:pPr>
        <w:pStyle w:val="NumberedParas"/>
      </w:pPr>
      <w:r w:rsidRPr="00E0488D">
        <w:t xml:space="preserve">Afectările de transport public se realizează separat, pe fiecare mod de transport. Afectarea în sistemul feroviar se face în trei părți pentru a reprezenta cele trei mari tipuri de servicii de transport feroviar din România, fiecare dintre acestea având o scară a tarifelor. Se fac apoi afectări separate pentru transportul de călători pe distanțe lungi cu autobuzul și transportul aerian de călători.  </w:t>
      </w:r>
    </w:p>
    <w:p w:rsidR="00B4550A" w:rsidRPr="00E0488D" w:rsidRDefault="00B4550A" w:rsidP="002B7E09">
      <w:pPr>
        <w:pStyle w:val="NumberedParas"/>
      </w:pPr>
      <w:r w:rsidRPr="00E0488D">
        <w:t xml:space="preserve">Sistemul de transport public este descris prin intermediul componentelor următoare: </w:t>
      </w:r>
    </w:p>
    <w:p w:rsidR="00B4550A" w:rsidRPr="00E0488D" w:rsidRDefault="00B4550A" w:rsidP="00BC2B57">
      <w:pPr>
        <w:pStyle w:val="BulletLevel1"/>
      </w:pPr>
      <w:r w:rsidRPr="00E0488D">
        <w:t>Rețea fizică:</w:t>
      </w:r>
    </w:p>
    <w:p w:rsidR="00B4550A" w:rsidRPr="00E0488D" w:rsidRDefault="00B4550A" w:rsidP="00B4550A">
      <w:pPr>
        <w:pStyle w:val="Bullet"/>
      </w:pPr>
      <w:r w:rsidRPr="00E0488D">
        <w:t>Noduri;</w:t>
      </w:r>
    </w:p>
    <w:p w:rsidR="00B4550A" w:rsidRPr="00E0488D" w:rsidRDefault="00B4550A" w:rsidP="00B4550A">
      <w:pPr>
        <w:pStyle w:val="Bullet"/>
      </w:pPr>
      <w:r w:rsidRPr="00E0488D">
        <w:t xml:space="preserve">Segmente/Secțiuni; </w:t>
      </w:r>
    </w:p>
    <w:p w:rsidR="00B4550A" w:rsidRPr="00E0488D" w:rsidRDefault="00B4550A" w:rsidP="00B4550A">
      <w:pPr>
        <w:pStyle w:val="Bullet"/>
      </w:pPr>
      <w:r w:rsidRPr="00E0488D">
        <w:t>Intersecții.</w:t>
      </w:r>
    </w:p>
    <w:p w:rsidR="00B4550A" w:rsidRPr="00E0488D" w:rsidRDefault="00B4550A" w:rsidP="00BC2B57">
      <w:pPr>
        <w:pStyle w:val="BulletLevel1"/>
      </w:pPr>
      <w:r w:rsidRPr="00E0488D">
        <w:t>Servicii de transport public:</w:t>
      </w:r>
    </w:p>
    <w:p w:rsidR="00B4550A" w:rsidRPr="00E0488D" w:rsidRDefault="00B4550A" w:rsidP="00B4550A">
      <w:pPr>
        <w:pStyle w:val="Bullet"/>
      </w:pPr>
      <w:r w:rsidRPr="00E0488D">
        <w:t>Moduri de transport public;</w:t>
      </w:r>
    </w:p>
    <w:p w:rsidR="00B4550A" w:rsidRPr="00E0488D" w:rsidRDefault="00B4550A" w:rsidP="00B4550A">
      <w:pPr>
        <w:pStyle w:val="Bullet"/>
      </w:pPr>
      <w:r w:rsidRPr="00E0488D">
        <w:t>Reprezentarea rutelor de transport public (informații din graficele de mers);</w:t>
      </w:r>
    </w:p>
    <w:p w:rsidR="00B4550A" w:rsidRPr="00E0488D" w:rsidRDefault="00B4550A" w:rsidP="00B4550A">
      <w:pPr>
        <w:pStyle w:val="Bullet"/>
      </w:pPr>
      <w:r w:rsidRPr="00E0488D">
        <w:t>Rute;</w:t>
      </w:r>
    </w:p>
    <w:p w:rsidR="00B4550A" w:rsidRPr="00E0488D" w:rsidRDefault="00B4550A" w:rsidP="00B4550A">
      <w:pPr>
        <w:pStyle w:val="Bullet"/>
      </w:pPr>
      <w:r w:rsidRPr="00E0488D">
        <w:t>Frecvența serviciilor;</w:t>
      </w:r>
    </w:p>
    <w:p w:rsidR="00B4550A" w:rsidRPr="00E0488D" w:rsidRDefault="00B4550A" w:rsidP="00B4550A">
      <w:pPr>
        <w:pStyle w:val="Bullet"/>
      </w:pPr>
      <w:r w:rsidRPr="00E0488D">
        <w:t>Timpul de staționare; și</w:t>
      </w:r>
    </w:p>
    <w:p w:rsidR="00B4550A" w:rsidRPr="00E0488D" w:rsidRDefault="00B4550A" w:rsidP="00B4550A">
      <w:pPr>
        <w:pStyle w:val="Bullet"/>
      </w:pPr>
      <w:r w:rsidRPr="00E0488D">
        <w:t xml:space="preserve">Tiparul de oprire </w:t>
      </w:r>
    </w:p>
    <w:p w:rsidR="00B4550A" w:rsidRPr="00E0488D" w:rsidRDefault="00B4550A" w:rsidP="00B4550A">
      <w:pPr>
        <w:pStyle w:val="Hdg3"/>
      </w:pPr>
      <w:r w:rsidRPr="00E0488D">
        <w:t>Tarifele transportului public</w:t>
      </w:r>
    </w:p>
    <w:p w:rsidR="00B4550A" w:rsidRPr="00E0488D" w:rsidRDefault="00B4550A" w:rsidP="002B7E09">
      <w:pPr>
        <w:pStyle w:val="NumberedParas"/>
      </w:pPr>
      <w:bookmarkStart w:id="28" w:name="_Toc322419451"/>
      <w:bookmarkStart w:id="29" w:name="_Toc322420263"/>
      <w:bookmarkStart w:id="30" w:name="_Toc322422051"/>
      <w:bookmarkEnd w:id="28"/>
      <w:bookmarkEnd w:id="29"/>
      <w:bookmarkEnd w:id="30"/>
      <w:r w:rsidRPr="00E0488D">
        <w:t xml:space="preserve">Stațiile de autobuz și de tren sunt reprezentate ca noduri în rețeaua de transport. În rețeaua feroviară nodurile sunt codificate cu un factor al timpului de urcare (îmbarcare) în minute, care, în cazul de bază este considerat ca reprezentând fiabilitatea (punctualitatea) sistemului feroviar (întârzierea medie a trenurilor), preferința pentru utilizarea stațiilor (ușurința schimbării trenurilor), gama de servicii oferite și calitatea acestora.  În procesul de testare a efectelor propunerilor din sistemul feroviar penalitatea de fiabilitate pentru anul de bază se poate ajusta pentru a reflecta: </w:t>
      </w:r>
    </w:p>
    <w:p w:rsidR="00B4550A" w:rsidRPr="00E0488D" w:rsidRDefault="00B4550A" w:rsidP="00BC2B57">
      <w:pPr>
        <w:pStyle w:val="BulletLevel1"/>
      </w:pPr>
      <w:r w:rsidRPr="00E0488D">
        <w:t>O fiabilitate îmbunătățită modelată prin reducerea elementului penalitate de fiabilitate, legat de întârzierea medie și/sau</w:t>
      </w:r>
    </w:p>
    <w:p w:rsidR="00B4550A" w:rsidRPr="00E0488D" w:rsidRDefault="00B4550A" w:rsidP="00BC2B57">
      <w:pPr>
        <w:pStyle w:val="BulletLevel1"/>
      </w:pPr>
      <w:r w:rsidRPr="00E0488D">
        <w:t xml:space="preserve">Îmbunătățiri ale stațiilor având ca rezultat creșterea atractivității transportului feroviar ca opțiune de transport și care pot fi modelate prin reducerea elementului penalitate de urcare, care reflectă atractivitatea stației </w:t>
      </w:r>
    </w:p>
    <w:p w:rsidR="00B4550A" w:rsidRPr="00E0488D" w:rsidRDefault="00B4550A" w:rsidP="002B7E09">
      <w:pPr>
        <w:pStyle w:val="NumberedParas"/>
      </w:pPr>
      <w:r w:rsidRPr="00E0488D">
        <w:t>Stațiile de cale ferată sunt identificate separat și sunt conectate la rețeaua rutieră adiacentă printr-un segment pietonal. Toate stațiile din România au fost incluse în definirea rețelei feroviare din model.</w:t>
      </w:r>
    </w:p>
    <w:p w:rsidR="00B4550A" w:rsidRPr="00E0488D" w:rsidRDefault="00B4550A" w:rsidP="002B7E09">
      <w:pPr>
        <w:pStyle w:val="NumberedParas"/>
      </w:pPr>
      <w:r w:rsidRPr="00E0488D">
        <w:t xml:space="preserve">Aeroporturile sunt definite ca noduri separate cu conexiune la rețeaua de rute aeriene, la rețeaua rutieră, pentru a permite reprezentarea accesului cu ajutorul autoturismului/taxiului sau autobuzului și la rețeaua feroviară, acolo unde există cale ferată până la aeroport. </w:t>
      </w:r>
    </w:p>
    <w:p w:rsidR="00B4550A" w:rsidRPr="00E0488D" w:rsidRDefault="00B4550A" w:rsidP="002B7E09">
      <w:pPr>
        <w:pStyle w:val="NumberedParas"/>
      </w:pPr>
      <w:r w:rsidRPr="00E0488D">
        <w:t xml:space="preserve">Porturile dunărene sunt reprezentate la nivel individual și au legături cu rețeaua rutieră adiacentă și cu rețeaua de căi navigabile. </w:t>
      </w:r>
    </w:p>
    <w:p w:rsidR="00B4550A" w:rsidRPr="00E0488D" w:rsidRDefault="00B4550A" w:rsidP="00B4550A">
      <w:pPr>
        <w:pStyle w:val="Hdg3"/>
        <w:rPr>
          <w:lang w:eastAsia="en-GB"/>
        </w:rPr>
      </w:pPr>
      <w:bookmarkStart w:id="31" w:name="_Toc395520250"/>
      <w:r w:rsidRPr="00E0488D">
        <w:rPr>
          <w:lang w:eastAsia="en-GB"/>
        </w:rPr>
        <w:lastRenderedPageBreak/>
        <w:t xml:space="preserve">Funcționalitățile MNT </w:t>
      </w:r>
      <w:bookmarkEnd w:id="31"/>
    </w:p>
    <w:p w:rsidR="00B4550A" w:rsidRPr="00E0488D" w:rsidRDefault="00B4550A" w:rsidP="002B7E09">
      <w:pPr>
        <w:pStyle w:val="NumberedParas"/>
      </w:pPr>
      <w:r w:rsidRPr="00E0488D">
        <w:t>Această secțiune prezintă tipul de operațiuni de transport și intervenții specifice pe care MNT are capacitatea să le reprezinte și care sunt ilustrate în Tableul 2.2. În cazul ariilor ce nu pot fi modelate în totalitate în cadrul MNT, cum ar fi aeroporturi noi/modernizate, și servicii de transport pasageri cu feribotul, au fost construite modele separate dedicate acestora..</w:t>
      </w:r>
    </w:p>
    <w:p w:rsidR="00B4550A" w:rsidRPr="00E0488D" w:rsidRDefault="00B4550A" w:rsidP="002B7E09">
      <w:pPr>
        <w:pStyle w:val="NumberedParas"/>
        <w:sectPr w:rsidR="00B4550A" w:rsidRPr="00E0488D" w:rsidSect="00933C17">
          <w:headerReference w:type="default" r:id="rId48"/>
          <w:pgSz w:w="11907" w:h="16840" w:code="9"/>
          <w:pgMar w:top="1418" w:right="709" w:bottom="1418" w:left="907" w:header="357" w:footer="567" w:gutter="0"/>
          <w:cols w:space="187"/>
          <w:docGrid w:linePitch="360"/>
        </w:sectPr>
      </w:pPr>
    </w:p>
    <w:p w:rsidR="00B4550A" w:rsidRPr="00E0488D" w:rsidRDefault="00B4550A" w:rsidP="002B7E09">
      <w:pPr>
        <w:pStyle w:val="NumberedParas"/>
        <w:numPr>
          <w:ilvl w:val="0"/>
          <w:numId w:val="0"/>
        </w:numPr>
        <w:rPr>
          <w:lang w:eastAsia="en-GB"/>
        </w:rPr>
      </w:pPr>
      <w:r w:rsidRPr="00E0488D">
        <w:rPr>
          <w:lang w:eastAsia="en-GB"/>
        </w:rPr>
        <w:lastRenderedPageBreak/>
        <w:t>Tabelul 2.2 Funcționalitățile MNT</w:t>
      </w:r>
    </w:p>
    <w:tbl>
      <w:tblPr>
        <w:tblStyle w:val="TableGrid"/>
        <w:tblW w:w="5000" w:type="pct"/>
        <w:tblLook w:val="04A0" w:firstRow="1" w:lastRow="0" w:firstColumn="1" w:lastColumn="0" w:noHBand="0" w:noVBand="1"/>
      </w:tblPr>
      <w:tblGrid>
        <w:gridCol w:w="1951"/>
        <w:gridCol w:w="5205"/>
        <w:gridCol w:w="1382"/>
        <w:gridCol w:w="1376"/>
        <w:gridCol w:w="1530"/>
        <w:gridCol w:w="1533"/>
        <w:gridCol w:w="1243"/>
      </w:tblGrid>
      <w:tr w:rsidR="00B4550A" w:rsidRPr="00E0488D" w:rsidTr="003C7FC8">
        <w:trPr>
          <w:cantSplit/>
          <w:trHeight w:val="407"/>
          <w:tblHeader/>
        </w:trPr>
        <w:tc>
          <w:tcPr>
            <w:tcW w:w="2516" w:type="pct"/>
            <w:gridSpan w:val="2"/>
            <w:vMerge w:val="restar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Intervenție</w:t>
            </w:r>
          </w:p>
        </w:tc>
        <w:tc>
          <w:tcPr>
            <w:tcW w:w="2484" w:type="pct"/>
            <w:gridSpan w:val="5"/>
            <w:tcBorders>
              <w:bottom w:val="single" w:sz="4" w:space="0" w:color="auto"/>
            </w:tcBorders>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Abordarea în cadrul Modelului</w:t>
            </w:r>
          </w:p>
        </w:tc>
      </w:tr>
      <w:tr w:rsidR="00B4550A" w:rsidRPr="00E0488D" w:rsidTr="003C7FC8">
        <w:trPr>
          <w:trHeight w:val="676"/>
          <w:tblHeader/>
        </w:trPr>
        <w:tc>
          <w:tcPr>
            <w:tcW w:w="2516" w:type="pct"/>
            <w:gridSpan w:val="2"/>
            <w:vMerge/>
          </w:tcPr>
          <w:p w:rsidR="00B4550A" w:rsidRPr="00E0488D" w:rsidRDefault="00B4550A" w:rsidP="003C7FC8">
            <w:pPr>
              <w:rPr>
                <w:rFonts w:cs="Arial"/>
                <w:lang w:val="ro-RO"/>
              </w:rPr>
            </w:pPr>
          </w:p>
        </w:tc>
        <w:tc>
          <w:tcPr>
            <w:tcW w:w="486"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Modelare</w:t>
            </w:r>
          </w:p>
        </w:tc>
        <w:tc>
          <w:tcPr>
            <w:tcW w:w="484"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Frecvență</w:t>
            </w:r>
          </w:p>
        </w:tc>
        <w:tc>
          <w:tcPr>
            <w:tcW w:w="538"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Distribuție</w:t>
            </w:r>
          </w:p>
        </w:tc>
        <w:tc>
          <w:tcPr>
            <w:tcW w:w="539"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Alegere modală</w:t>
            </w:r>
          </w:p>
        </w:tc>
        <w:tc>
          <w:tcPr>
            <w:tcW w:w="437"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Afectare</w:t>
            </w:r>
          </w:p>
        </w:tc>
      </w:tr>
      <w:tr w:rsidR="00B4550A" w:rsidRPr="00E0488D" w:rsidTr="003C7FC8">
        <w:tc>
          <w:tcPr>
            <w:tcW w:w="686" w:type="pct"/>
            <w:vMerge w:val="restart"/>
            <w:vAlign w:val="center"/>
          </w:tcPr>
          <w:p w:rsidR="00B4550A" w:rsidRPr="00E0488D" w:rsidRDefault="00B4550A" w:rsidP="003C7FC8">
            <w:pPr>
              <w:jc w:val="center"/>
              <w:rPr>
                <w:rFonts w:eastAsia="Calibri" w:cs="Arial"/>
                <w:b/>
                <w:sz w:val="22"/>
                <w:szCs w:val="22"/>
                <w:lang w:val="ro-RO"/>
              </w:rPr>
            </w:pPr>
            <w:r w:rsidRPr="00E0488D">
              <w:rPr>
                <w:rFonts w:eastAsia="Calibri" w:cs="Arial"/>
                <w:b/>
                <w:sz w:val="22"/>
                <w:szCs w:val="22"/>
                <w:lang w:val="ro-RO"/>
              </w:rPr>
              <w:t>Proiecte rutiere</w:t>
            </w: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Infrastructură nouă</w:t>
            </w:r>
          </w:p>
        </w:tc>
        <w:tc>
          <w:tcPr>
            <w:tcW w:w="486" w:type="pct"/>
            <w:vAlign w:val="center"/>
          </w:tcPr>
          <w:p w:rsidR="00B4550A" w:rsidRPr="00E0488D" w:rsidRDefault="00B4550A" w:rsidP="003C7FC8">
            <w:pPr>
              <w:jc w:val="center"/>
              <w:rPr>
                <w:rFonts w:eastAsia="Calibri"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Modificări ale vitezelor maxime</w:t>
            </w:r>
          </w:p>
        </w:tc>
        <w:tc>
          <w:tcPr>
            <w:tcW w:w="486" w:type="pct"/>
            <w:vAlign w:val="center"/>
          </w:tcPr>
          <w:p w:rsidR="00B4550A" w:rsidRPr="00E0488D" w:rsidRDefault="00B4550A" w:rsidP="003C7FC8">
            <w:pPr>
              <w:jc w:val="center"/>
              <w:rPr>
                <w:rFonts w:eastAsia="Calibri"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 xml:space="preserve">Restricții pentru vehicule grele </w:t>
            </w:r>
          </w:p>
        </w:tc>
        <w:tc>
          <w:tcPr>
            <w:tcW w:w="486" w:type="pct"/>
            <w:vAlign w:val="center"/>
          </w:tcPr>
          <w:p w:rsidR="00B4550A" w:rsidRPr="00E0488D" w:rsidRDefault="00B4550A" w:rsidP="003C7FC8">
            <w:pPr>
              <w:jc w:val="center"/>
              <w:rPr>
                <w:rFonts w:eastAsia="Calibri"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Taxarea utilizatorilor</w:t>
            </w:r>
          </w:p>
        </w:tc>
        <w:tc>
          <w:tcPr>
            <w:tcW w:w="486" w:type="pct"/>
            <w:vAlign w:val="center"/>
          </w:tcPr>
          <w:p w:rsidR="00B4550A" w:rsidRPr="00E0488D" w:rsidRDefault="00B4550A" w:rsidP="003C7FC8">
            <w:pPr>
              <w:jc w:val="center"/>
              <w:rPr>
                <w:rFonts w:eastAsia="Calibri"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Întreruperi de circulație</w:t>
            </w:r>
          </w:p>
        </w:tc>
        <w:tc>
          <w:tcPr>
            <w:tcW w:w="486" w:type="pct"/>
            <w:vAlign w:val="center"/>
          </w:tcPr>
          <w:p w:rsidR="00B4550A" w:rsidRPr="00E0488D" w:rsidRDefault="00B4550A" w:rsidP="003C7FC8">
            <w:pPr>
              <w:jc w:val="center"/>
              <w:rPr>
                <w:rFonts w:eastAsia="Calibri"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Lucrări de reabilitare</w:t>
            </w:r>
          </w:p>
        </w:tc>
        <w:tc>
          <w:tcPr>
            <w:tcW w:w="486" w:type="pct"/>
            <w:vAlign w:val="center"/>
          </w:tcPr>
          <w:p w:rsidR="00B4550A" w:rsidRPr="00E0488D" w:rsidRDefault="00B4550A" w:rsidP="003C7FC8">
            <w:pPr>
              <w:jc w:val="center"/>
              <w:rPr>
                <w:rFonts w:eastAsia="Calibri" w:cs="Arial"/>
                <w:sz w:val="22"/>
                <w:szCs w:val="22"/>
                <w:vertAlign w:val="superscript"/>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Sisteme de informare</w:t>
            </w:r>
          </w:p>
        </w:tc>
        <w:tc>
          <w:tcPr>
            <w:tcW w:w="486" w:type="pct"/>
            <w:vAlign w:val="center"/>
          </w:tcPr>
          <w:p w:rsidR="00B4550A" w:rsidRPr="00E0488D" w:rsidRDefault="00B4550A" w:rsidP="003C7FC8">
            <w:pPr>
              <w:jc w:val="center"/>
              <w:rPr>
                <w:rFonts w:eastAsia="Calibri" w:cs="Arial"/>
                <w:sz w:val="22"/>
                <w:szCs w:val="22"/>
                <w:lang w:val="ro-RO"/>
              </w:rPr>
            </w:pPr>
            <w:r w:rsidRPr="00E0488D">
              <w:rPr>
                <w:rFonts w:eastAsia="Calibri" w:cs="Arial"/>
                <w:sz w:val="22"/>
                <w:szCs w:val="22"/>
                <w:lang w:val="ro-RO"/>
              </w:rPr>
              <w:t>Nu</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restart"/>
            <w:vAlign w:val="center"/>
          </w:tcPr>
          <w:p w:rsidR="00B4550A" w:rsidRPr="00E0488D" w:rsidRDefault="00B4550A" w:rsidP="003C7FC8">
            <w:pPr>
              <w:jc w:val="center"/>
              <w:rPr>
                <w:rFonts w:eastAsia="Calibri" w:cs="Arial"/>
                <w:b/>
                <w:sz w:val="22"/>
                <w:szCs w:val="22"/>
                <w:lang w:val="ro-RO"/>
              </w:rPr>
            </w:pPr>
            <w:r w:rsidRPr="00E0488D">
              <w:rPr>
                <w:rFonts w:eastAsia="Calibri" w:cs="Arial"/>
                <w:b/>
                <w:sz w:val="22"/>
                <w:szCs w:val="22"/>
                <w:lang w:val="ro-RO"/>
              </w:rPr>
              <w:t>Proiecte feroviare</w:t>
            </w: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Linii de cale ferată noi, convenționale sau de mare viteză</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Electrificări</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Lucrări de îmbunătățire a liniilor existente, inclusiv lucrări de reconstrucție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Curse noi, cum ar fi creșterea frecvenței și conexiuni noi între orașe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Variații ale tarifelor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Material rulant nou: vagoane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rPr>
          <w:trHeight w:val="143"/>
        </w:trPr>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Material rulant nou: locomotive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Da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Reabilitarea podurilor și a tunelurilor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Da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Sisteme de semnalizare/ Telematica avansata</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Nu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b/>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Modernizarea stațiilor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Da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restart"/>
            <w:vAlign w:val="center"/>
          </w:tcPr>
          <w:p w:rsidR="00B4550A" w:rsidRPr="00E0488D" w:rsidRDefault="00B4550A" w:rsidP="003C7FC8">
            <w:pPr>
              <w:jc w:val="center"/>
              <w:rPr>
                <w:rFonts w:eastAsia="Calibri" w:cs="Arial"/>
                <w:b/>
                <w:sz w:val="22"/>
                <w:szCs w:val="22"/>
                <w:lang w:val="ro-RO"/>
              </w:rPr>
            </w:pPr>
            <w:r w:rsidRPr="00E0488D">
              <w:rPr>
                <w:rFonts w:eastAsia="Calibri" w:cs="Arial"/>
                <w:b/>
                <w:sz w:val="22"/>
                <w:szCs w:val="22"/>
                <w:lang w:val="ro-RO"/>
              </w:rPr>
              <w:t>Îmbunătățiri ale curselor interurbane de autobuze</w:t>
            </w: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Îmbunătățiri ale drumurilor care influențează cursele existente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Curse noi - creșterea frecvenței și conexiuni noi între orașe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Variații ale tarifelor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Autobuze noi</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Stații noi</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Da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Modernizarea stațiilor de autobuz existente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Da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Integrarea curselor de autobuz cu trenurile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restart"/>
            <w:vAlign w:val="center"/>
          </w:tcPr>
          <w:p w:rsidR="00B4550A" w:rsidRPr="00E0488D" w:rsidRDefault="00B4550A" w:rsidP="003C7FC8">
            <w:pPr>
              <w:jc w:val="center"/>
              <w:rPr>
                <w:rFonts w:eastAsia="Calibri" w:cs="Arial"/>
                <w:sz w:val="22"/>
                <w:szCs w:val="22"/>
                <w:lang w:val="ro-RO"/>
              </w:rPr>
            </w:pPr>
            <w:r w:rsidRPr="00E0488D">
              <w:rPr>
                <w:rFonts w:eastAsia="Calibri" w:cs="Arial"/>
                <w:b/>
                <w:sz w:val="22"/>
                <w:szCs w:val="22"/>
                <w:lang w:val="ro-RO"/>
              </w:rPr>
              <w:t xml:space="preserve">Transport </w:t>
            </w:r>
            <w:r w:rsidRPr="00E0488D">
              <w:rPr>
                <w:rFonts w:eastAsia="Calibri" w:cs="Arial"/>
                <w:b/>
                <w:sz w:val="22"/>
                <w:szCs w:val="22"/>
                <w:lang w:val="ro-RO"/>
              </w:rPr>
              <w:lastRenderedPageBreak/>
              <w:t>aerian</w:t>
            </w: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lastRenderedPageBreak/>
              <w:t xml:space="preserve">Curse noi - creșterea frecvenței și conexiuni noi </w:t>
            </w:r>
            <w:r w:rsidRPr="00E0488D">
              <w:rPr>
                <w:rFonts w:eastAsia="Calibri" w:cs="Arial"/>
                <w:sz w:val="22"/>
                <w:szCs w:val="22"/>
                <w:lang w:val="ro-RO"/>
              </w:rPr>
              <w:lastRenderedPageBreak/>
              <w:t>între orașe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lastRenderedPageBreak/>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Variații ale tarifelor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Aeronave noi/ Modernizarea aeroporturilor/ Sisteme de control trafic aerian</w:t>
            </w:r>
          </w:p>
        </w:tc>
        <w:tc>
          <w:tcPr>
            <w:tcW w:w="48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Nu</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Integrarea curselor aeriene interne cu sistemul feroviar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restart"/>
            <w:vAlign w:val="center"/>
          </w:tcPr>
          <w:p w:rsidR="00B4550A" w:rsidRPr="00E0488D" w:rsidRDefault="00B4550A" w:rsidP="003C7FC8">
            <w:pPr>
              <w:jc w:val="center"/>
              <w:rPr>
                <w:rFonts w:eastAsia="Calibri" w:cs="Arial"/>
                <w:sz w:val="22"/>
                <w:szCs w:val="22"/>
                <w:lang w:val="ro-RO"/>
              </w:rPr>
            </w:pPr>
            <w:r w:rsidRPr="00E0488D">
              <w:rPr>
                <w:rFonts w:cs="Arial"/>
                <w:b/>
                <w:sz w:val="22"/>
                <w:szCs w:val="22"/>
                <w:lang w:val="ro-RO"/>
              </w:rPr>
              <w:t>Transport de marfă</w:t>
            </w: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Îmbunătățirea drumurilor existente și construcția de drumuri noi</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rPr>
          <w:trHeight w:val="536"/>
        </w:trPr>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tcPr>
          <w:p w:rsidR="00B4550A" w:rsidRPr="00E0488D" w:rsidRDefault="00B4550A" w:rsidP="003C7FC8">
            <w:pPr>
              <w:rPr>
                <w:rFonts w:eastAsia="Calibri" w:cs="Arial"/>
                <w:sz w:val="22"/>
                <w:szCs w:val="22"/>
                <w:lang w:val="ro-RO"/>
              </w:rPr>
            </w:pPr>
            <w:r w:rsidRPr="00E0488D">
              <w:rPr>
                <w:rFonts w:eastAsia="Calibri" w:cs="Arial"/>
                <w:sz w:val="22"/>
                <w:szCs w:val="22"/>
                <w:lang w:val="ro-RO"/>
              </w:rPr>
              <w:t>Variații ale tarifelor, inclusiv ale tarifului de utilizare a infrastructurii feroviare (CFR)</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Taxarea vehiculelor grele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Restricții de circulație pentru camioane, cum ar fi în timpul weekendurilor sau restricții de tonaj</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eastAsia="Calibri" w:cs="Arial"/>
                <w:sz w:val="22"/>
                <w:szCs w:val="22"/>
                <w:lang w:val="ro-RO"/>
              </w:rPr>
            </w:pPr>
            <w:r w:rsidRPr="00E0488D">
              <w:rPr>
                <w:rFonts w:eastAsia="Calibri" w:cs="Arial"/>
                <w:sz w:val="22"/>
                <w:szCs w:val="22"/>
                <w:lang w:val="ro-RO"/>
              </w:rPr>
              <w:t>Îmbunătățirea desfășurării circulației pe Dunăre sau canalele interioare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Modernizarea porturilor dunărene</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 xml:space="preserve">Da </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restart"/>
            <w:vAlign w:val="center"/>
          </w:tcPr>
          <w:p w:rsidR="00B4550A" w:rsidRPr="00E0488D" w:rsidRDefault="00B4550A" w:rsidP="003C7FC8">
            <w:pPr>
              <w:jc w:val="center"/>
              <w:rPr>
                <w:rFonts w:cs="Arial"/>
                <w:sz w:val="22"/>
                <w:szCs w:val="22"/>
                <w:lang w:val="ro-RO"/>
              </w:rPr>
            </w:pPr>
            <w:r w:rsidRPr="00E0488D">
              <w:rPr>
                <w:rFonts w:eastAsia="Calibri" w:cs="Arial"/>
                <w:b/>
                <w:sz w:val="22"/>
                <w:szCs w:val="22"/>
                <w:lang w:val="ro-RO"/>
              </w:rPr>
              <w:t xml:space="preserve">Transport intermodal </w:t>
            </w: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 xml:space="preserve">Terminale intermodale noi sau modernizate, inclusiv centre logistice </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Deplasări noi de containere pe calea ferată</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p>
        </w:tc>
      </w:tr>
      <w:tr w:rsidR="00B4550A" w:rsidRPr="00E0488D" w:rsidTr="003C7FC8">
        <w:tc>
          <w:tcPr>
            <w:tcW w:w="686" w:type="pct"/>
            <w:vMerge/>
            <w:vAlign w:val="center"/>
          </w:tcPr>
          <w:p w:rsidR="00B4550A" w:rsidRPr="00E0488D" w:rsidRDefault="00B4550A" w:rsidP="003C7FC8">
            <w:pPr>
              <w:jc w:val="cente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 xml:space="preserve">Stații noi sau modernizate </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tcPr>
          <w:p w:rsidR="00B4550A" w:rsidRPr="00E0488D" w:rsidRDefault="00B4550A" w:rsidP="003C7FC8">
            <w:pP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 xml:space="preserve">Stații noi sau modernizate de autobuz </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r w:rsidR="00B4550A" w:rsidRPr="00E0488D" w:rsidTr="003C7FC8">
        <w:tc>
          <w:tcPr>
            <w:tcW w:w="686" w:type="pct"/>
            <w:vMerge/>
          </w:tcPr>
          <w:p w:rsidR="00B4550A" w:rsidRPr="00E0488D" w:rsidRDefault="00B4550A" w:rsidP="003C7FC8">
            <w:pPr>
              <w:rPr>
                <w:rFonts w:eastAsia="Calibri" w:cs="Arial"/>
                <w:sz w:val="22"/>
                <w:szCs w:val="22"/>
                <w:lang w:val="ro-RO"/>
              </w:rPr>
            </w:pPr>
          </w:p>
        </w:tc>
        <w:tc>
          <w:tcPr>
            <w:tcW w:w="1830" w:type="pct"/>
            <w:vAlign w:val="center"/>
          </w:tcPr>
          <w:p w:rsidR="00B4550A" w:rsidRPr="00E0488D" w:rsidRDefault="00B4550A" w:rsidP="003C7FC8">
            <w:pPr>
              <w:rPr>
                <w:rFonts w:cs="Arial"/>
                <w:sz w:val="22"/>
                <w:szCs w:val="22"/>
                <w:lang w:val="ro-RO"/>
              </w:rPr>
            </w:pPr>
            <w:r w:rsidRPr="00E0488D">
              <w:rPr>
                <w:rFonts w:eastAsia="Calibri" w:cs="Arial"/>
                <w:sz w:val="22"/>
                <w:szCs w:val="22"/>
                <w:lang w:val="ro-RO"/>
              </w:rPr>
              <w:t xml:space="preserve">Integrarea curselor de autobuz cu trenurile </w:t>
            </w:r>
          </w:p>
        </w:tc>
        <w:tc>
          <w:tcPr>
            <w:tcW w:w="486" w:type="pct"/>
            <w:vAlign w:val="center"/>
          </w:tcPr>
          <w:p w:rsidR="00B4550A" w:rsidRPr="00E0488D" w:rsidRDefault="00B4550A" w:rsidP="003C7FC8">
            <w:pPr>
              <w:jc w:val="center"/>
              <w:rPr>
                <w:rFonts w:cs="Arial"/>
                <w:sz w:val="22"/>
                <w:szCs w:val="22"/>
                <w:lang w:val="ro-RO"/>
              </w:rPr>
            </w:pPr>
            <w:r w:rsidRPr="00E0488D">
              <w:rPr>
                <w:rFonts w:eastAsia="Calibri" w:cs="Arial"/>
                <w:sz w:val="22"/>
                <w:szCs w:val="22"/>
                <w:lang w:val="ro-RO"/>
              </w:rPr>
              <w:t>Da</w:t>
            </w:r>
          </w:p>
        </w:tc>
        <w:tc>
          <w:tcPr>
            <w:tcW w:w="484"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8"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539"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c>
          <w:tcPr>
            <w:tcW w:w="437" w:type="pct"/>
            <w:vAlign w:val="center"/>
          </w:tcPr>
          <w:p w:rsidR="00B4550A" w:rsidRPr="00E0488D" w:rsidRDefault="00B4550A" w:rsidP="003C7FC8">
            <w:pPr>
              <w:spacing w:before="120" w:after="120" w:line="276" w:lineRule="auto"/>
              <w:contextualSpacing/>
              <w:jc w:val="center"/>
              <w:rPr>
                <w:rFonts w:cs="Arial"/>
                <w:sz w:val="22"/>
                <w:szCs w:val="22"/>
                <w:lang w:val="ro-RO"/>
              </w:rPr>
            </w:pPr>
            <w:r w:rsidRPr="00E0488D">
              <w:rPr>
                <w:rFonts w:cs="Arial"/>
                <w:sz w:val="22"/>
                <w:szCs w:val="22"/>
                <w:lang w:val="ro-RO"/>
              </w:rPr>
              <w:t>*</w:t>
            </w:r>
          </w:p>
        </w:tc>
      </w:tr>
    </w:tbl>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2B7E09">
      <w:pPr>
        <w:pStyle w:val="NumberedParas"/>
        <w:sectPr w:rsidR="00B4550A" w:rsidRPr="00E0488D" w:rsidSect="005A341C">
          <w:pgSz w:w="16840" w:h="11907" w:orient="landscape" w:code="9"/>
          <w:pgMar w:top="907" w:right="1418" w:bottom="709" w:left="1418" w:header="357" w:footer="567" w:gutter="0"/>
          <w:cols w:space="187"/>
          <w:docGrid w:linePitch="360"/>
        </w:sectPr>
      </w:pPr>
    </w:p>
    <w:p w:rsidR="00B4550A" w:rsidRPr="00E0488D" w:rsidRDefault="00B4550A" w:rsidP="00B4550A">
      <w:pPr>
        <w:pStyle w:val="Hdg3"/>
      </w:pPr>
      <w:r w:rsidRPr="00E0488D">
        <w:lastRenderedPageBreak/>
        <w:t>Dimensiunile MNT</w:t>
      </w:r>
    </w:p>
    <w:p w:rsidR="00B4550A" w:rsidRPr="00E0488D" w:rsidRDefault="00B4550A" w:rsidP="002B7E09">
      <w:pPr>
        <w:pStyle w:val="NumberedParas"/>
        <w:rPr>
          <w:i/>
        </w:rPr>
      </w:pPr>
      <w:r w:rsidRPr="00E0488D">
        <w:t>Principalele dimensiuni fizice ale MNT în ce privește reprezentarea sistemului de transport în anul de bază sunt prezentate în Tabelul 2.3. MNT conține o reprezentare detaliată a rețelelor de transport interurban și a serviciilor care operează pe aceste rețele.</w:t>
      </w:r>
    </w:p>
    <w:p w:rsidR="00B4550A" w:rsidRPr="00E0488D" w:rsidRDefault="00B4550A" w:rsidP="002B7E09">
      <w:pPr>
        <w:pStyle w:val="NumberedParas"/>
        <w:numPr>
          <w:ilvl w:val="0"/>
          <w:numId w:val="0"/>
        </w:numPr>
        <w:ind w:left="851"/>
        <w:rPr>
          <w:i/>
        </w:rPr>
      </w:pPr>
      <w:r w:rsidRPr="00E0488D">
        <w:rPr>
          <w:i/>
        </w:rPr>
        <w:t xml:space="preserve"> </w:t>
      </w:r>
      <w:r w:rsidRPr="00E0488D">
        <w:t>Tabelul 2.3 Reprezentarea Modelului anului de bază în cadrul MNT (Rețeaua Internă)</w:t>
      </w:r>
    </w:p>
    <w:tbl>
      <w:tblPr>
        <w:tblW w:w="588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1445"/>
        <w:gridCol w:w="1535"/>
        <w:gridCol w:w="1663"/>
      </w:tblGrid>
      <w:tr w:rsidR="00B4550A" w:rsidRPr="00E0488D" w:rsidTr="003C7FC8">
        <w:trPr>
          <w:trHeight w:val="477"/>
        </w:trPr>
        <w:tc>
          <w:tcPr>
            <w:tcW w:w="1244" w:type="dxa"/>
            <w:shd w:val="clear" w:color="000000" w:fill="B8CCE4"/>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Variabilă</w:t>
            </w:r>
          </w:p>
        </w:tc>
        <w:tc>
          <w:tcPr>
            <w:tcW w:w="1445" w:type="dxa"/>
            <w:shd w:val="clear" w:color="000000" w:fill="B8CCE4"/>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Mod de transport</w:t>
            </w:r>
          </w:p>
        </w:tc>
        <w:tc>
          <w:tcPr>
            <w:tcW w:w="3198" w:type="dxa"/>
            <w:gridSpan w:val="2"/>
            <w:shd w:val="clear" w:color="000000" w:fill="B8CCE4"/>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Total</w:t>
            </w:r>
          </w:p>
        </w:tc>
      </w:tr>
      <w:tr w:rsidR="00B4550A" w:rsidRPr="00E0488D" w:rsidTr="003C7FC8">
        <w:trPr>
          <w:trHeight w:val="340"/>
        </w:trPr>
        <w:tc>
          <w:tcPr>
            <w:tcW w:w="1244" w:type="dxa"/>
            <w:shd w:val="clear" w:color="auto" w:fill="auto"/>
            <w:vAlign w:val="center"/>
            <w:hideMark/>
          </w:tcPr>
          <w:p w:rsidR="00B4550A" w:rsidRPr="00E0488D" w:rsidRDefault="00B4550A" w:rsidP="003C7FC8">
            <w:pPr>
              <w:jc w:val="center"/>
              <w:rPr>
                <w:rFonts w:cs="Arial"/>
                <w:b/>
                <w:color w:val="000000"/>
                <w:sz w:val="22"/>
                <w:szCs w:val="22"/>
                <w:lang w:val="ro-RO"/>
              </w:rPr>
            </w:pPr>
            <w:r w:rsidRPr="00E0488D">
              <w:rPr>
                <w:rFonts w:cs="Arial"/>
                <w:b/>
                <w:color w:val="000000"/>
                <w:sz w:val="22"/>
                <w:szCs w:val="22"/>
                <w:lang w:val="ro-RO"/>
              </w:rPr>
              <w:t>Zone</w:t>
            </w:r>
          </w:p>
        </w:tc>
        <w:tc>
          <w:tcPr>
            <w:tcW w:w="144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Toate</w:t>
            </w:r>
          </w:p>
        </w:tc>
        <w:tc>
          <w:tcPr>
            <w:tcW w:w="3198" w:type="dxa"/>
            <w:gridSpan w:val="2"/>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1.169 (134 externe)</w:t>
            </w:r>
          </w:p>
        </w:tc>
      </w:tr>
      <w:tr w:rsidR="00B4550A" w:rsidRPr="00E0488D" w:rsidTr="003C7FC8">
        <w:trPr>
          <w:trHeight w:val="340"/>
        </w:trPr>
        <w:tc>
          <w:tcPr>
            <w:tcW w:w="2689" w:type="dxa"/>
            <w:gridSpan w:val="2"/>
            <w:shd w:val="clear" w:color="auto" w:fill="B8CCE4" w:themeFill="accent1" w:themeFillTint="66"/>
            <w:vAlign w:val="center"/>
            <w:hideMark/>
          </w:tcPr>
          <w:p w:rsidR="00B4550A" w:rsidRPr="00E0488D" w:rsidRDefault="00B4550A" w:rsidP="003C7FC8">
            <w:pPr>
              <w:jc w:val="center"/>
              <w:rPr>
                <w:rFonts w:cs="Arial"/>
                <w:color w:val="000000"/>
                <w:sz w:val="22"/>
                <w:szCs w:val="22"/>
                <w:lang w:val="ro-RO"/>
              </w:rPr>
            </w:pPr>
          </w:p>
        </w:tc>
        <w:tc>
          <w:tcPr>
            <w:tcW w:w="1535" w:type="dxa"/>
            <w:shd w:val="clear" w:color="auto" w:fill="auto"/>
            <w:vAlign w:val="center"/>
            <w:hideMark/>
          </w:tcPr>
          <w:p w:rsidR="00B4550A" w:rsidRPr="00E0488D" w:rsidRDefault="00B4550A" w:rsidP="003C7FC8">
            <w:pPr>
              <w:jc w:val="center"/>
              <w:rPr>
                <w:rFonts w:cs="Arial"/>
                <w:b/>
                <w:color w:val="000000"/>
                <w:sz w:val="22"/>
                <w:szCs w:val="22"/>
                <w:lang w:val="ro-RO"/>
              </w:rPr>
            </w:pPr>
            <w:r w:rsidRPr="00E0488D">
              <w:rPr>
                <w:rFonts w:cs="Arial"/>
                <w:b/>
                <w:color w:val="000000"/>
                <w:sz w:val="22"/>
                <w:szCs w:val="22"/>
                <w:lang w:val="ro-RO"/>
              </w:rPr>
              <w:t>Noduri</w:t>
            </w:r>
          </w:p>
        </w:tc>
        <w:tc>
          <w:tcPr>
            <w:tcW w:w="1663" w:type="dxa"/>
            <w:shd w:val="clear" w:color="auto" w:fill="auto"/>
            <w:vAlign w:val="center"/>
            <w:hideMark/>
          </w:tcPr>
          <w:p w:rsidR="00B4550A" w:rsidRPr="00E0488D" w:rsidRDefault="00B4550A" w:rsidP="003C7FC8">
            <w:pPr>
              <w:jc w:val="center"/>
              <w:rPr>
                <w:rFonts w:cs="Arial"/>
                <w:b/>
                <w:color w:val="000000"/>
                <w:sz w:val="22"/>
                <w:szCs w:val="22"/>
                <w:lang w:val="ro-RO"/>
              </w:rPr>
            </w:pPr>
            <w:r w:rsidRPr="00E0488D">
              <w:rPr>
                <w:rFonts w:cs="Arial"/>
                <w:b/>
                <w:color w:val="000000"/>
                <w:sz w:val="22"/>
                <w:szCs w:val="22"/>
                <w:lang w:val="ro-RO"/>
              </w:rPr>
              <w:t>Segmente</w:t>
            </w:r>
          </w:p>
        </w:tc>
      </w:tr>
      <w:tr w:rsidR="00B4550A" w:rsidRPr="00E0488D" w:rsidTr="003C7FC8">
        <w:trPr>
          <w:trHeight w:val="340"/>
        </w:trPr>
        <w:tc>
          <w:tcPr>
            <w:tcW w:w="1244" w:type="dxa"/>
            <w:vMerge w:val="restart"/>
            <w:shd w:val="clear" w:color="auto" w:fill="auto"/>
            <w:vAlign w:val="center"/>
            <w:hideMark/>
          </w:tcPr>
          <w:p w:rsidR="00B4550A" w:rsidRPr="00E0488D" w:rsidRDefault="00B4550A" w:rsidP="003C7FC8">
            <w:pPr>
              <w:jc w:val="center"/>
              <w:rPr>
                <w:rFonts w:cs="Arial"/>
                <w:b/>
                <w:color w:val="000000"/>
                <w:sz w:val="22"/>
                <w:szCs w:val="22"/>
                <w:lang w:val="ro-RO"/>
              </w:rPr>
            </w:pPr>
            <w:r w:rsidRPr="00E0488D">
              <w:rPr>
                <w:rFonts w:cs="Arial"/>
                <w:b/>
                <w:color w:val="000000"/>
                <w:sz w:val="22"/>
                <w:szCs w:val="22"/>
                <w:lang w:val="ro-RO"/>
              </w:rPr>
              <w:t>Rețele de transport</w:t>
            </w:r>
          </w:p>
        </w:tc>
        <w:tc>
          <w:tcPr>
            <w:tcW w:w="144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Rutier</w:t>
            </w:r>
          </w:p>
        </w:tc>
        <w:tc>
          <w:tcPr>
            <w:tcW w:w="153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9.430</w:t>
            </w:r>
          </w:p>
        </w:tc>
        <w:tc>
          <w:tcPr>
            <w:tcW w:w="1663"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20.882</w:t>
            </w:r>
          </w:p>
        </w:tc>
      </w:tr>
      <w:tr w:rsidR="00B4550A" w:rsidRPr="00E0488D" w:rsidTr="003C7FC8">
        <w:trPr>
          <w:trHeight w:val="340"/>
        </w:trPr>
        <w:tc>
          <w:tcPr>
            <w:tcW w:w="1244" w:type="dxa"/>
            <w:vMerge/>
            <w:shd w:val="clear" w:color="auto" w:fill="auto"/>
            <w:vAlign w:val="center"/>
            <w:hideMark/>
          </w:tcPr>
          <w:p w:rsidR="00B4550A" w:rsidRPr="00E0488D" w:rsidRDefault="00B4550A" w:rsidP="003C7FC8">
            <w:pPr>
              <w:jc w:val="center"/>
              <w:rPr>
                <w:rFonts w:cs="Arial"/>
                <w:b/>
                <w:color w:val="000000"/>
                <w:sz w:val="22"/>
                <w:szCs w:val="22"/>
                <w:lang w:val="ro-RO"/>
              </w:rPr>
            </w:pPr>
          </w:p>
        </w:tc>
        <w:tc>
          <w:tcPr>
            <w:tcW w:w="144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Feroviar</w:t>
            </w:r>
          </w:p>
        </w:tc>
        <w:tc>
          <w:tcPr>
            <w:tcW w:w="153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2.466</w:t>
            </w:r>
          </w:p>
        </w:tc>
        <w:tc>
          <w:tcPr>
            <w:tcW w:w="1663"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5.028</w:t>
            </w:r>
          </w:p>
        </w:tc>
      </w:tr>
      <w:tr w:rsidR="00B4550A" w:rsidRPr="00E0488D" w:rsidTr="003C7FC8">
        <w:trPr>
          <w:trHeight w:val="340"/>
        </w:trPr>
        <w:tc>
          <w:tcPr>
            <w:tcW w:w="1244" w:type="dxa"/>
            <w:vMerge/>
            <w:shd w:val="clear" w:color="auto" w:fill="auto"/>
            <w:vAlign w:val="center"/>
            <w:hideMark/>
          </w:tcPr>
          <w:p w:rsidR="00B4550A" w:rsidRPr="00E0488D" w:rsidRDefault="00B4550A" w:rsidP="003C7FC8">
            <w:pPr>
              <w:jc w:val="center"/>
              <w:rPr>
                <w:rFonts w:cs="Arial"/>
                <w:b/>
                <w:bCs/>
                <w:color w:val="000000"/>
                <w:sz w:val="22"/>
                <w:szCs w:val="22"/>
                <w:lang w:val="ro-RO"/>
              </w:rPr>
            </w:pPr>
          </w:p>
        </w:tc>
        <w:tc>
          <w:tcPr>
            <w:tcW w:w="1445"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Naval</w:t>
            </w:r>
          </w:p>
        </w:tc>
        <w:tc>
          <w:tcPr>
            <w:tcW w:w="153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66</w:t>
            </w:r>
          </w:p>
        </w:tc>
        <w:tc>
          <w:tcPr>
            <w:tcW w:w="1663"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132</w:t>
            </w:r>
          </w:p>
        </w:tc>
      </w:tr>
      <w:tr w:rsidR="00B4550A" w:rsidRPr="00E0488D" w:rsidTr="003C7FC8">
        <w:trPr>
          <w:trHeight w:val="340"/>
        </w:trPr>
        <w:tc>
          <w:tcPr>
            <w:tcW w:w="1244" w:type="dxa"/>
            <w:vMerge/>
            <w:shd w:val="clear" w:color="auto" w:fill="auto"/>
            <w:vAlign w:val="center"/>
            <w:hideMark/>
          </w:tcPr>
          <w:p w:rsidR="00B4550A" w:rsidRPr="00E0488D" w:rsidRDefault="00B4550A" w:rsidP="003C7FC8">
            <w:pPr>
              <w:jc w:val="center"/>
              <w:rPr>
                <w:rFonts w:cs="Arial"/>
                <w:b/>
                <w:bCs/>
                <w:color w:val="000000"/>
                <w:sz w:val="22"/>
                <w:szCs w:val="22"/>
                <w:lang w:val="ro-RO"/>
              </w:rPr>
            </w:pPr>
          </w:p>
        </w:tc>
        <w:tc>
          <w:tcPr>
            <w:tcW w:w="1445"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Aerian</w:t>
            </w:r>
          </w:p>
        </w:tc>
        <w:tc>
          <w:tcPr>
            <w:tcW w:w="1535" w:type="dxa"/>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15</w:t>
            </w:r>
          </w:p>
        </w:tc>
        <w:tc>
          <w:tcPr>
            <w:tcW w:w="1663"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30</w:t>
            </w:r>
          </w:p>
        </w:tc>
      </w:tr>
      <w:tr w:rsidR="00B4550A" w:rsidRPr="00E0488D" w:rsidTr="003C7FC8">
        <w:trPr>
          <w:trHeight w:val="340"/>
        </w:trPr>
        <w:tc>
          <w:tcPr>
            <w:tcW w:w="1244" w:type="dxa"/>
            <w:vMerge w:val="restart"/>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Servicii de transport</w:t>
            </w:r>
          </w:p>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(toate)</w:t>
            </w:r>
          </w:p>
        </w:tc>
        <w:tc>
          <w:tcPr>
            <w:tcW w:w="1445"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Tren</w:t>
            </w:r>
          </w:p>
        </w:tc>
        <w:tc>
          <w:tcPr>
            <w:tcW w:w="3198" w:type="dxa"/>
            <w:gridSpan w:val="2"/>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2.240</w:t>
            </w:r>
          </w:p>
        </w:tc>
      </w:tr>
      <w:tr w:rsidR="00B4550A" w:rsidRPr="00E0488D" w:rsidTr="003C7FC8">
        <w:trPr>
          <w:trHeight w:val="340"/>
        </w:trPr>
        <w:tc>
          <w:tcPr>
            <w:tcW w:w="1244" w:type="dxa"/>
            <w:vMerge/>
            <w:shd w:val="clear" w:color="auto" w:fill="auto"/>
            <w:vAlign w:val="center"/>
            <w:hideMark/>
          </w:tcPr>
          <w:p w:rsidR="00B4550A" w:rsidRPr="00E0488D" w:rsidRDefault="00B4550A" w:rsidP="003C7FC8">
            <w:pPr>
              <w:jc w:val="center"/>
              <w:rPr>
                <w:rFonts w:cs="Arial"/>
                <w:b/>
                <w:bCs/>
                <w:color w:val="000000"/>
                <w:sz w:val="22"/>
                <w:szCs w:val="22"/>
                <w:lang w:val="ro-RO"/>
              </w:rPr>
            </w:pPr>
          </w:p>
        </w:tc>
        <w:tc>
          <w:tcPr>
            <w:tcW w:w="1445"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Autobuz</w:t>
            </w:r>
          </w:p>
        </w:tc>
        <w:tc>
          <w:tcPr>
            <w:tcW w:w="3198" w:type="dxa"/>
            <w:gridSpan w:val="2"/>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4.155</w:t>
            </w:r>
          </w:p>
        </w:tc>
      </w:tr>
      <w:tr w:rsidR="00B4550A" w:rsidRPr="00E0488D" w:rsidTr="003C7FC8">
        <w:trPr>
          <w:trHeight w:val="340"/>
        </w:trPr>
        <w:tc>
          <w:tcPr>
            <w:tcW w:w="1244" w:type="dxa"/>
            <w:vMerge/>
            <w:shd w:val="clear" w:color="auto" w:fill="auto"/>
            <w:vAlign w:val="center"/>
            <w:hideMark/>
          </w:tcPr>
          <w:p w:rsidR="00B4550A" w:rsidRPr="00E0488D" w:rsidRDefault="00B4550A" w:rsidP="003C7FC8">
            <w:pPr>
              <w:jc w:val="center"/>
              <w:rPr>
                <w:rFonts w:cs="Arial"/>
                <w:b/>
                <w:bCs/>
                <w:color w:val="000000"/>
                <w:sz w:val="22"/>
                <w:szCs w:val="22"/>
                <w:lang w:val="ro-RO"/>
              </w:rPr>
            </w:pPr>
          </w:p>
        </w:tc>
        <w:tc>
          <w:tcPr>
            <w:tcW w:w="1445" w:type="dxa"/>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Avion</w:t>
            </w:r>
          </w:p>
        </w:tc>
        <w:tc>
          <w:tcPr>
            <w:tcW w:w="3198" w:type="dxa"/>
            <w:gridSpan w:val="2"/>
            <w:shd w:val="clear" w:color="auto" w:fill="auto"/>
            <w:vAlign w:val="center"/>
            <w:hideMark/>
          </w:tcPr>
          <w:p w:rsidR="00B4550A" w:rsidRPr="00E0488D" w:rsidRDefault="00B4550A" w:rsidP="003C7FC8">
            <w:pPr>
              <w:jc w:val="center"/>
              <w:rPr>
                <w:rFonts w:cs="Arial"/>
                <w:bCs/>
                <w:color w:val="000000"/>
                <w:sz w:val="22"/>
                <w:szCs w:val="22"/>
                <w:lang w:val="ro-RO"/>
              </w:rPr>
            </w:pPr>
            <w:r w:rsidRPr="00E0488D">
              <w:rPr>
                <w:rFonts w:cs="Arial"/>
                <w:bCs/>
                <w:color w:val="000000"/>
                <w:sz w:val="22"/>
                <w:szCs w:val="22"/>
                <w:lang w:val="ro-RO"/>
              </w:rPr>
              <w:t>469</w:t>
            </w:r>
          </w:p>
        </w:tc>
      </w:tr>
    </w:tbl>
    <w:p w:rsidR="00B4550A" w:rsidRPr="00E0488D" w:rsidRDefault="00B4550A" w:rsidP="002B7E09">
      <w:pPr>
        <w:pStyle w:val="NumberedParas"/>
        <w:numPr>
          <w:ilvl w:val="0"/>
          <w:numId w:val="0"/>
        </w:numPr>
        <w:ind w:left="851"/>
      </w:pPr>
      <w:r w:rsidRPr="00E0488D">
        <w:t xml:space="preserve">Sursa:MNT AECOM </w:t>
      </w:r>
    </w:p>
    <w:p w:rsidR="00B4550A" w:rsidRPr="00E0488D" w:rsidRDefault="00B4550A" w:rsidP="00B4550A">
      <w:pPr>
        <w:pStyle w:val="Hdg3"/>
      </w:pPr>
      <w:r w:rsidRPr="00E0488D">
        <w:t>Anul de bază – indicatori generali</w:t>
      </w:r>
    </w:p>
    <w:p w:rsidR="00B4550A" w:rsidRPr="00E0488D" w:rsidRDefault="00B4550A" w:rsidP="002B7E09">
      <w:pPr>
        <w:pStyle w:val="NumberedParas"/>
      </w:pPr>
      <w:r w:rsidRPr="00E0488D">
        <w:t>Cererea de transport călători din anul de referință al Modelului Național de Transport a fost obținută în urma unor sondaje comprehensive efectuate în rândul persoanelor care au călătorit cu autoturismul, autobuzul, trenul și avionul. Din aceste date, împreună cu datele din vânzarea legitimațiilor de transport pentru deplasările cu trenul și avionul, a rezultat cererea de transport călători pe moduri de transport, prezentată în Figura 2.12. În anul de referință s-au efectuat peste trei milioane de deplasări interurbane de persoane într-o zi obișnuită.</w:t>
      </w:r>
    </w:p>
    <w:p w:rsidR="00B4550A" w:rsidRPr="00E0488D" w:rsidRDefault="00B4550A" w:rsidP="00B4550A">
      <w:pPr>
        <w:spacing w:before="120"/>
        <w:ind w:left="851"/>
        <w:rPr>
          <w:b/>
          <w:sz w:val="22"/>
          <w:szCs w:val="22"/>
          <w:lang w:val="ro-RO"/>
        </w:rPr>
      </w:pPr>
      <w:r w:rsidRPr="00E0488D">
        <w:rPr>
          <w:b/>
          <w:sz w:val="22"/>
          <w:szCs w:val="22"/>
          <w:lang w:val="ro-RO"/>
        </w:rPr>
        <w:t>Figura 2.12 Deplasări persoane în anul de bază  - MNT</w:t>
      </w:r>
    </w:p>
    <w:p w:rsidR="00B4550A" w:rsidRPr="00E0488D" w:rsidRDefault="00B4550A" w:rsidP="002B7E09">
      <w:pPr>
        <w:pStyle w:val="NumberedParas"/>
        <w:numPr>
          <w:ilvl w:val="0"/>
          <w:numId w:val="0"/>
        </w:numPr>
        <w:ind w:left="851"/>
        <w:rPr>
          <w:sz w:val="18"/>
          <w:szCs w:val="18"/>
        </w:rPr>
      </w:pPr>
      <w:r w:rsidRPr="00E0488D">
        <w:rPr>
          <w:noProof/>
          <w:lang w:eastAsia="ro-RO"/>
        </w:rPr>
        <w:drawing>
          <wp:inline distT="0" distB="0" distL="0" distR="0">
            <wp:extent cx="5257884" cy="2889849"/>
            <wp:effectExtent l="19050" t="0" r="18966" b="5751"/>
            <wp:docPr id="80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4550A" w:rsidRPr="00E0488D" w:rsidRDefault="00B4550A" w:rsidP="002B7E09">
      <w:pPr>
        <w:pStyle w:val="NumberedParas"/>
        <w:numPr>
          <w:ilvl w:val="0"/>
          <w:numId w:val="0"/>
        </w:numPr>
        <w:ind w:left="851"/>
      </w:pPr>
      <w:r w:rsidRPr="00E0488D">
        <w:t>Sursa: MNT AECOM</w:t>
      </w:r>
    </w:p>
    <w:p w:rsidR="00B4550A" w:rsidRPr="00E0488D" w:rsidRDefault="00B4550A" w:rsidP="00B4550A">
      <w:pPr>
        <w:spacing w:before="120"/>
        <w:ind w:left="851"/>
        <w:rPr>
          <w:b/>
          <w:sz w:val="22"/>
          <w:szCs w:val="22"/>
          <w:lang w:val="ro-RO"/>
        </w:rPr>
      </w:pPr>
    </w:p>
    <w:p w:rsidR="00B4550A" w:rsidRPr="00E0488D" w:rsidRDefault="00B4550A" w:rsidP="002B7E09">
      <w:pPr>
        <w:pStyle w:val="NumberedParas"/>
      </w:pPr>
      <w:r w:rsidRPr="00E0488D">
        <w:t>Ponderile modale în rândul călătoriilor din anul de referință pentru persoanele cu autoturism disponibil și persoanele fără un autoturism disponibil sunt prezentate în Figura 1.8. După cum era de așteptat, un procentaj relativ redus de persoane cu autoturism disponibil optează pentru utilizarea transportului în comun. În cazul deplasărilor în rândul persoanelor fără autoturism disponibil, principalul mijloc de transport utilizat este autobuzul, în proporție de 79%, urmat de tren, în proporție de 21%. Per ansamblu, 77% din călătorii sunt efectuate cu autoturismul, 18% cu autobuzul și doar 5% cu trenul sau avionul.</w:t>
      </w:r>
    </w:p>
    <w:p w:rsidR="00B4550A" w:rsidRPr="00E0488D" w:rsidRDefault="00B4550A" w:rsidP="00B4550A">
      <w:pPr>
        <w:spacing w:before="120"/>
        <w:ind w:left="851"/>
        <w:rPr>
          <w:b/>
          <w:sz w:val="22"/>
          <w:szCs w:val="22"/>
          <w:lang w:val="ro-RO"/>
        </w:rPr>
      </w:pPr>
      <w:r w:rsidRPr="00E0488D">
        <w:rPr>
          <w:b/>
          <w:sz w:val="22"/>
          <w:szCs w:val="22"/>
          <w:lang w:val="ro-RO"/>
        </w:rPr>
        <w:t>Figura 2.13 Ponderi modale, transport călători, în anul de bază al MNT</w:t>
      </w:r>
    </w:p>
    <w:p w:rsidR="00B4550A" w:rsidRPr="00E0488D" w:rsidRDefault="00B4550A" w:rsidP="00B4550A">
      <w:pPr>
        <w:spacing w:before="120" w:after="120" w:line="276" w:lineRule="auto"/>
        <w:ind w:firstLine="284"/>
        <w:rPr>
          <w:b/>
          <w:lang w:val="ro-RO"/>
        </w:rPr>
      </w:pPr>
      <w:r w:rsidRPr="00E0488D">
        <w:rPr>
          <w:b/>
          <w:lang w:val="ro-RO"/>
        </w:rPr>
        <w:object w:dxaOrig="9629" w:dyaOrig="4925">
          <v:shape id="_x0000_i1030" type="#_x0000_t75" style="width:480pt;height:246pt" o:ole="">
            <v:imagedata r:id="rId50" o:title=""/>
          </v:shape>
          <o:OLEObject Type="Embed" ProgID="Word.Document.12" ShapeID="_x0000_i1030" DrawAspect="Content" ObjectID="_1491205391" r:id="rId51">
            <o:FieldCodes>\s</o:FieldCodes>
          </o:OLEObject>
        </w:object>
      </w:r>
      <w:r w:rsidRPr="00E0488D">
        <w:rPr>
          <w:b/>
          <w:lang w:val="ro-RO"/>
        </w:rPr>
        <w:t xml:space="preserve"> </w:t>
      </w:r>
    </w:p>
    <w:p w:rsidR="00B4550A" w:rsidRPr="00E0488D" w:rsidRDefault="00B4550A" w:rsidP="002B7E09">
      <w:pPr>
        <w:pStyle w:val="NumberedParas"/>
        <w:numPr>
          <w:ilvl w:val="0"/>
          <w:numId w:val="0"/>
        </w:numPr>
        <w:ind w:left="851"/>
      </w:pPr>
      <w:r w:rsidRPr="00E0488D">
        <w:t>Sursa: MNT AECOM</w:t>
      </w:r>
    </w:p>
    <w:p w:rsidR="00B4550A" w:rsidRPr="00E0488D" w:rsidRDefault="00B4550A" w:rsidP="002B7E09">
      <w:pPr>
        <w:pStyle w:val="NumberedParas"/>
      </w:pPr>
      <w:r w:rsidRPr="00E0488D">
        <w:t>Cererea de transport marfă din anul de referință al Modelului Național de Transport a fost obținută prin efectuarea unor sondaje comprehensive în rândul transportatorilor rutieri, prin livrete de mers al trenurilor pentru transportul feroviar de marfă și prin detalii referitoare la manevrarea mărfurilor în porturi și aeroporturi, pe tipuri de marfă. Distribuția modală a traficului de mărfuri între principalele moduri de transport este următoarea:</w:t>
      </w:r>
    </w:p>
    <w:p w:rsidR="00B4550A" w:rsidRPr="00E0488D" w:rsidRDefault="00B4550A" w:rsidP="00BC2B57">
      <w:pPr>
        <w:pStyle w:val="BulletLevel1"/>
      </w:pPr>
      <w:r w:rsidRPr="00E0488D">
        <w:t>Tone marfă-km rutier</w:t>
      </w:r>
      <w:r w:rsidRPr="00E0488D">
        <w:tab/>
      </w:r>
      <w:r w:rsidRPr="00E0488D">
        <w:tab/>
      </w:r>
      <w:r w:rsidRPr="00E0488D">
        <w:tab/>
      </w:r>
      <w:r w:rsidRPr="00E0488D">
        <w:tab/>
        <w:t>53.3%</w:t>
      </w:r>
    </w:p>
    <w:p w:rsidR="00B4550A" w:rsidRPr="00E0488D" w:rsidRDefault="00B4550A" w:rsidP="00BC2B57">
      <w:pPr>
        <w:pStyle w:val="BulletLevel1"/>
      </w:pPr>
      <w:r w:rsidRPr="00E0488D">
        <w:t>Tone marfă-km feroviar</w:t>
      </w:r>
      <w:r w:rsidRPr="00E0488D">
        <w:tab/>
      </w:r>
      <w:r w:rsidRPr="00E0488D">
        <w:tab/>
      </w:r>
      <w:r w:rsidRPr="00E0488D">
        <w:tab/>
        <w:t>24.2%</w:t>
      </w:r>
    </w:p>
    <w:p w:rsidR="00B4550A" w:rsidRPr="00E0488D" w:rsidRDefault="00B4550A" w:rsidP="00BC2B57">
      <w:pPr>
        <w:pStyle w:val="BulletLevel1"/>
      </w:pPr>
      <w:r w:rsidRPr="00E0488D">
        <w:t>Tone marfă-km feroviar</w:t>
      </w:r>
      <w:r w:rsidRPr="00E0488D">
        <w:tab/>
      </w:r>
      <w:r w:rsidRPr="00E0488D">
        <w:tab/>
      </w:r>
      <w:r w:rsidRPr="00E0488D">
        <w:tab/>
        <w:t>22.5%</w:t>
      </w:r>
    </w:p>
    <w:p w:rsidR="00B4550A" w:rsidRPr="00E0488D" w:rsidRDefault="00B4550A" w:rsidP="00B4550A">
      <w:pPr>
        <w:pStyle w:val="Caption"/>
        <w:ind w:left="851"/>
        <w:rPr>
          <w:i/>
          <w:lang w:val="ro-RO"/>
        </w:rPr>
      </w:pPr>
      <w:r w:rsidRPr="00E0488D">
        <w:rPr>
          <w:i/>
          <w:lang w:val="ro-RO"/>
        </w:rPr>
        <w:t>Sursa: INS</w:t>
      </w:r>
    </w:p>
    <w:p w:rsidR="00B4550A" w:rsidRPr="00E0488D" w:rsidRDefault="00B4550A" w:rsidP="00B4550A">
      <w:pPr>
        <w:rPr>
          <w:sz w:val="22"/>
          <w:szCs w:val="22"/>
          <w:lang w:val="ro-RO"/>
        </w:rPr>
      </w:pPr>
    </w:p>
    <w:p w:rsidR="00B4550A" w:rsidRPr="00E0488D" w:rsidRDefault="00B4550A" w:rsidP="00B4550A">
      <w:pPr>
        <w:pStyle w:val="Hdg3"/>
      </w:pPr>
      <w:r w:rsidRPr="00E0488D">
        <w:t>Scenariul de referință (2020) din MNT</w:t>
      </w:r>
    </w:p>
    <w:p w:rsidR="00B4550A" w:rsidRPr="00E0488D" w:rsidRDefault="00B4550A" w:rsidP="00B4550A">
      <w:pPr>
        <w:pStyle w:val="Body"/>
        <w:spacing w:before="120"/>
        <w:ind w:left="0"/>
        <w:rPr>
          <w:b/>
          <w:i w:val="0"/>
          <w:lang w:val="ro-RO"/>
        </w:rPr>
      </w:pPr>
      <w:r w:rsidRPr="00E0488D">
        <w:rPr>
          <w:b/>
          <w:i w:val="0"/>
          <w:lang w:val="ro-RO"/>
        </w:rPr>
        <w:t>Creșterea cererii de călătorii</w:t>
      </w:r>
    </w:p>
    <w:p w:rsidR="00B4550A" w:rsidRPr="00E0488D" w:rsidRDefault="00B4550A" w:rsidP="002B7E09">
      <w:pPr>
        <w:pStyle w:val="NumberedParas"/>
      </w:pPr>
      <w:r w:rsidRPr="00E0488D">
        <w:t xml:space="preserve">Modelul Național de Transport utilizează, ca date de intrare în cadrul scenariilor de prognoză, o serie de factori economici și demografici din România și țările vecine, la care se adaugă condițiile și structura corespunzătoare rețelei. Principalii factori de influență ai prognozei </w:t>
      </w:r>
      <w:r w:rsidRPr="00E0488D">
        <w:lastRenderedPageBreak/>
        <w:t>cererii sunt PIB, populație, numărul de locuri de muncă, populația activă și gradul de motorizare.</w:t>
      </w:r>
    </w:p>
    <w:p w:rsidR="00B4550A" w:rsidRPr="00E0488D" w:rsidRDefault="00B4550A" w:rsidP="002B7E09">
      <w:pPr>
        <w:pStyle w:val="NumberedParas"/>
      </w:pPr>
      <w:r w:rsidRPr="00E0488D">
        <w:t>Variațiile factorilor de influență, prognozate în momentul de față pentru cererea de transport, între 2011 și 2020, sunt descrise în continuare:</w:t>
      </w:r>
    </w:p>
    <w:p w:rsidR="00B4550A" w:rsidRPr="00E0488D" w:rsidRDefault="00B4550A" w:rsidP="00BC2B57">
      <w:pPr>
        <w:pStyle w:val="BulletLevel1"/>
      </w:pPr>
      <w:r w:rsidRPr="00E0488D">
        <w:t>PIB crește cu 26,4%;</w:t>
      </w:r>
    </w:p>
    <w:p w:rsidR="00B4550A" w:rsidRPr="00E0488D" w:rsidRDefault="00B4550A" w:rsidP="00BC2B57">
      <w:pPr>
        <w:pStyle w:val="BulletLevel1"/>
      </w:pPr>
      <w:r w:rsidRPr="00E0488D">
        <w:t>Populația se reduce 1,8%;</w:t>
      </w:r>
    </w:p>
    <w:p w:rsidR="00B4550A" w:rsidRPr="00E0488D" w:rsidRDefault="00B4550A" w:rsidP="00BC2B57">
      <w:pPr>
        <w:pStyle w:val="BulletLevel1"/>
      </w:pPr>
      <w:r w:rsidRPr="00E0488D">
        <w:t xml:space="preserve">Numărul de locuri de muncă crește cu 3,6%; </w:t>
      </w:r>
    </w:p>
    <w:p w:rsidR="00B4550A" w:rsidRPr="00E0488D" w:rsidRDefault="00B4550A" w:rsidP="00BC2B57">
      <w:pPr>
        <w:pStyle w:val="BulletLevel1"/>
      </w:pPr>
      <w:r w:rsidRPr="00E0488D">
        <w:t>Populația activă economic scade cu -3,4%; și</w:t>
      </w:r>
    </w:p>
    <w:p w:rsidR="00B4550A" w:rsidRPr="00E0488D" w:rsidRDefault="00B4550A" w:rsidP="00BC2B57">
      <w:pPr>
        <w:pStyle w:val="BulletLevel1"/>
      </w:pPr>
      <w:r w:rsidRPr="00E0488D">
        <w:t>Gradul de motorizare crește cu 29%.</w:t>
      </w:r>
    </w:p>
    <w:p w:rsidR="00B4550A" w:rsidRPr="00E0488D" w:rsidRDefault="00B4550A" w:rsidP="00B4550A">
      <w:pPr>
        <w:pStyle w:val="Caption"/>
        <w:ind w:left="851"/>
        <w:rPr>
          <w:i/>
          <w:lang w:val="ro-RO"/>
        </w:rPr>
      </w:pPr>
      <w:r w:rsidRPr="00E0488D">
        <w:rPr>
          <w:i/>
          <w:lang w:val="ro-RO"/>
        </w:rPr>
        <w:t>Sursa: Comisia Naționala de Prognoza, EIU, FMI, OECD</w:t>
      </w:r>
    </w:p>
    <w:p w:rsidR="00B4550A" w:rsidRPr="00E0488D" w:rsidRDefault="00B4550A" w:rsidP="002B7E09">
      <w:pPr>
        <w:pStyle w:val="NumberedParas"/>
      </w:pPr>
      <w:r w:rsidRPr="00E0488D">
        <w:t>Rezultatele Modelului Național de Transport sunt de forma cererilor absolute de călătorie și a variațiilor între condițiile de bază și cele ale anilor de perspectivă. Figura 1.11 prezintă modificările prognozate la nivelul cererilor modale de pasageri și marfă, între anul de bază 2011 și cel din scenariul de referință - 2020, atât sub forma numărului de deplasări cât și a numărului de kilometri pasageri/marfă.</w:t>
      </w:r>
    </w:p>
    <w:p w:rsidR="00B4550A" w:rsidRPr="00E0488D" w:rsidRDefault="00B4550A" w:rsidP="00B4550A">
      <w:pPr>
        <w:pStyle w:val="Body"/>
        <w:spacing w:before="120"/>
        <w:ind w:left="680"/>
        <w:rPr>
          <w:b/>
          <w:i w:val="0"/>
          <w:lang w:val="ro-RO"/>
        </w:rPr>
      </w:pPr>
      <w:r w:rsidRPr="00E0488D">
        <w:rPr>
          <w:b/>
          <w:i w:val="0"/>
          <w:lang w:val="ro-RO"/>
        </w:rPr>
        <w:t>Figura 2.14 Variația cererii de transport călători și mărfuri între 2011 și Scenariul de Referință  2020</w:t>
      </w:r>
    </w:p>
    <w:p w:rsidR="00B4550A" w:rsidRPr="00E0488D" w:rsidRDefault="00966D0E" w:rsidP="00B4550A">
      <w:pPr>
        <w:ind w:left="993" w:firstLine="284"/>
        <w:rPr>
          <w:i/>
          <w:lang w:val="ro-RO"/>
        </w:rPr>
      </w:pPr>
      <w:r>
        <w:rPr>
          <w:lang w:val="ro-RO"/>
        </w:rPr>
      </w:r>
      <w:r>
        <w:rPr>
          <w:lang w:val="ro-RO"/>
        </w:rPr>
        <w:pict>
          <v:group id="Canvas 278" o:spid="_x0000_s1700" editas="canvas" style="width:455.4pt;height:258.25pt;mso-position-horizontal-relative:char;mso-position-vertical-relative:line" coordsize="57835,32797">
            <v:shape id="_x0000_s1701" type="#_x0000_t75" style="position:absolute;width:57835;height:32797;visibility:visible">
              <v:fill o:detectmouseclick="t"/>
              <v:path o:connecttype="none"/>
            </v:shape>
            <v:rect id="Rectangle 280" o:spid="_x0000_s1702" style="position:absolute;left:30645;top:28886;width:323;height:131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JF8IA&#10;AADcAAAADwAAAGRycy9kb3ducmV2LnhtbESP3WoCMRSE7wu+QziCdzWrY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qMkXwgAAANwAAAAPAAAAAAAAAAAAAAAAAJgCAABkcnMvZG93&#10;bnJldi54bWxQSwUGAAAAAAQABAD1AAAAhwMAAAAA&#10;" filled="f" stroked="f">
              <v:textbox style="mso-next-textbox:#Rectangle 280;mso-fit-shape-to-text:t" inset="0,0,0,0">
                <w:txbxContent>
                  <w:p w:rsidR="001F544B" w:rsidRDefault="001F544B" w:rsidP="00B4550A">
                    <w:r>
                      <w:rPr>
                        <w:rFonts w:cs="Arial"/>
                        <w:color w:val="000000"/>
                      </w:rPr>
                      <w:t xml:space="preserve"> </w:t>
                    </w:r>
                  </w:p>
                </w:txbxContent>
              </v:textbox>
            </v:rect>
            <v:rect id="Rectangle 281" o:spid="_x0000_s1703" style="position:absolute;left:55676;top:28886;width:324;height:131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Qrb4A&#10;AADcAAAADwAAAGRycy9kb3ducmV2LnhtbERPy4rCMBTdD/gP4QruxlTB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5HEK2+AAAA3AAAAA8AAAAAAAAAAAAAAAAAmAIAAGRycy9kb3ducmV2&#10;LnhtbFBLBQYAAAAABAAEAPUAAACDAwAAAAA=&#10;" filled="f" stroked="f">
              <v:textbox style="mso-next-textbox:#Rectangle 281;mso-fit-shape-to-text:t" inset="0,0,0,0">
                <w:txbxContent>
                  <w:p w:rsidR="001F544B" w:rsidRDefault="001F544B" w:rsidP="00B4550A">
                    <w:r>
                      <w:rPr>
                        <w:rFonts w:cs="Arial"/>
                        <w:color w:val="000000"/>
                      </w:rPr>
                      <w:t xml:space="preserve"> </w:t>
                    </w:r>
                  </w:p>
                </w:txbxContent>
              </v:textbox>
            </v:rect>
            <v:rect id="Rectangle 282" o:spid="_x0000_s1704" style="position:absolute;left:4311;top:31191;width:248;height:131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u1NsEA&#10;AADcAAAADwAAAGRycy9kb3ducmV2LnhtbESP3YrCMBSE7xd8h3AE79ZUw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LtTbBAAAA3AAAAA8AAAAAAAAAAAAAAAAAmAIAAGRycy9kb3du&#10;cmV2LnhtbFBLBQYAAAAABAAEAPUAAACGAwAAAAA=&#10;" filled="f" stroked="f">
              <v:textbox style="mso-next-textbox:#Rectangle 282;mso-fit-shape-to-text:t" inset="0,0,0,0">
                <w:txbxContent>
                  <w:p w:rsidR="001F544B" w:rsidRDefault="001F544B" w:rsidP="00B4550A">
                    <w:r>
                      <w:rPr>
                        <w:rFonts w:cs="Arial"/>
                        <w:color w:val="000000"/>
                        <w:sz w:val="14"/>
                        <w:szCs w:val="14"/>
                      </w:rPr>
                      <w:t xml:space="preserve"> </w:t>
                    </w:r>
                  </w:p>
                </w:txbxContent>
              </v:textbox>
            </v:rect>
            <v:rect id="Rectangle 283" o:spid="_x0000_s1705" style="position:absolute;left:8343;top:1416;width:22625;height:28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0n8QA&#10;AADcAAAADwAAAGRycy9kb3ducmV2LnhtbESPW4vCMBSE34X9D+Es7Jsm3opWoyyCsLD64AV8PTTH&#10;tticdJuo3X9vBMHHYWa+YebL1lbiRo0vHWvo9xQI4syZknMNx8O6OwHhA7LByjFp+CcPy8VHZ46p&#10;cXfe0W0fchEh7FPUUIRQp1L6rCCLvudq4uidXWMxRNnk0jR4j3BbyYFSibRYclwosKZVQdllf7Ua&#10;MBmZv+15uDn8XhOc5q1aj09K66/P9nsGIlAb3uFX+8doGE8G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KNJ/EAAAA3AAAAA8AAAAAAAAAAAAAAAAAmAIAAGRycy9k&#10;b3ducmV2LnhtbFBLBQYAAAAABAAEAPUAAACJAwAAAAA=&#10;" stroked="f"/>
            <v:shape id="Picture 284" o:spid="_x0000_s1706" type="#_x0000_t75" style="position:absolute;left:13017;top:2508;width:16427;height:17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Gi+jEAAAA3AAAAA8AAABkcnMvZG93bnJldi54bWxEj0FrAjEUhO8F/0N4ghfR7FZaZWsUUURP&#10;herS8+vmdXdx8xKSVNd/bwqFHoeZ+YZZrnvTiSv50FpWkE8zEMSV1S3XCsrzfrIAESKyxs4yKbhT&#10;gPVq8LTEQtsbf9D1FGuRIBwKVNDE6AopQ9WQwTC1jjh539YbjEn6WmqPtwQ3nXzOsldpsOW00KCj&#10;bUPV5fRjFPjjIc/xXO6+nNtd5uNu/Fniu1KjYb95AxGpj//hv/ZRK3hZzOD3TDo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Gi+jEAAAA3AAAAA8AAAAAAAAAAAAAAAAA&#10;nwIAAGRycy9kb3ducmV2LnhtbFBLBQYAAAAABAAEAPcAAACQAwAAAAA=&#10;">
              <v:imagedata r:id="rId52" o:title=""/>
            </v:shape>
            <v:shape id="Picture 285" o:spid="_x0000_s1707" type="#_x0000_t75" style="position:absolute;left:13017;top:2508;width:16427;height:17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Di7EAAAA3AAAAA8AAABkcnMvZG93bnJldi54bWxEj0+LwjAUxO/CfofwFrxpurKKVKPIiqsH&#10;V/DPxdujebbF5KU00dZvb4QFj8PM/IaZzltrxJ1qXzpW8NVPQBBnTpecKzgdV70xCB+QNRrHpOBB&#10;Huazj84UU+0a3tP9EHIRIexTVFCEUKVS+qwgi77vKuLoXVxtMURZ51LX2ES4NXKQJCNpseS4UGBF&#10;PwVl18PNKthVzXJpzzfJW7n+MxvjL7/nrVLdz3YxARGoDe/wf3ujFQzH3/A6E4+An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Di7EAAAA3AAAAA8AAAAAAAAAAAAAAAAA&#10;nwIAAGRycy9kb3ducmV2LnhtbFBLBQYAAAAABAAEAPcAAACQAwAAAAA=&#10;">
              <v:imagedata r:id="rId53" o:title=""/>
            </v:shape>
            <v:shape id="Freeform 286" o:spid="_x0000_s1708" style="position:absolute;left:13220;top:19754;width:14923;height:1505;visibility:visible;mso-wrap-style:square;v-text-anchor:top" coordsize="2350,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i6MIA&#10;AADcAAAADwAAAGRycy9kb3ducmV2LnhtbESPT4vCMBTE78J+h/CEvWlaoSJdo4ggXfGk1fvb5vUP&#10;Ni/dJqvdb28EweMwM79hluvBtOJGvWssK4inEQjiwuqGKwXnfDdZgHAeWWNrmRT8k4P16mO0xFTb&#10;Ox/pdvKVCBB2KSqove9SKV1Rk0E3tR1x8ErbG/RB9pXUPd4D3LRyFkVzabDhsFBjR9uaiuvpzygo&#10;93S4lkeiX53Hl2aT77PsJ1HqczxsvkB4Gvw7/Gp/awXJIoHnmXA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qLowgAAANwAAAAPAAAAAAAAAAAAAAAAAJgCAABkcnMvZG93&#10;bnJldi54bWxQSwUGAAAAAAQABAD1AAAAhwMAAAAA&#10;" path="m,l,237,,xm,l,237,,xm1167,r,237l1167,xm1167,r,237l1167,xm2350,r,237l2334,237,2334,r16,xm2350,r,237l2334,237,2334,r16,xe" strokecolor="white" strokeweight="0">
              <v:path arrowok="t" o:connecttype="custom" o:connectlocs="0,0;0,95569405;0,95569405;0,0;0,0;0,0;0,95569405;0,95569405;0,0;0,0;470585964,0;470585964,95569405;470585964,95569405;470585964,0;470585964,0;470585964,0;470585964,95569405;470585964,95569405;470585964,0;470585964,0;947623835,0;947623835,95569405;941171928,95569405;941171928,0;947623835,0;947623835,0;947623835,95569405;941171928,95569405;941171928,0;947623835,0" o:connectangles="0,0,0,0,0,0,0,0,0,0,0,0,0,0,0,0,0,0,0,0,0,0,0,0,0,0,0,0,0,0"/>
              <o:lock v:ext="edit" verticies="t"/>
            </v:shape>
            <v:rect id="Rectangle 287" o:spid="_x0000_s1709" style="position:absolute;left:14725;top:20059;width:3467;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QsEA&#10;AADcAAAADwAAAGRycy9kb3ducmV2LnhtbESP3YrCMBSE7xd8h3AE79ZUQ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iLULBAAAA3AAAAA8AAAAAAAAAAAAAAAAAmAIAAGRycy9kb3du&#10;cmV2LnhtbFBLBQYAAAAABAAEAPUAAACGAwAAAAA=&#10;" filled="f" stroked="f">
              <v:textbox style="mso-next-textbox:#Rectangle 287;mso-fit-shape-to-text:t" inset="0,0,0,0">
                <w:txbxContent>
                  <w:p w:rsidR="001F544B" w:rsidRPr="00695A10" w:rsidRDefault="001F544B" w:rsidP="00B4550A">
                    <w:pPr>
                      <w:rPr>
                        <w:lang w:val="ro-RO"/>
                      </w:rPr>
                    </w:pPr>
                    <w:r>
                      <w:rPr>
                        <w:rFonts w:ascii="Calibri" w:hAnsi="Calibri" w:cs="Calibri"/>
                        <w:color w:val="000000"/>
                        <w:sz w:val="16"/>
                        <w:szCs w:val="16"/>
                        <w:lang w:val="ro-RO"/>
                      </w:rPr>
                      <w:t>Pasageri</w:t>
                    </w:r>
                  </w:p>
                </w:txbxContent>
              </v:textbox>
            </v:rect>
            <v:rect id="Rectangle 288" o:spid="_x0000_s1710" style="position:absolute;left:21431;top:20059;width:505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I2cIA&#10;AADcAAAADwAAAGRycy9kb3ducmV2LnhtbESP3WoCMRSE74W+QzgF7zRbQ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ojZwgAAANwAAAAPAAAAAAAAAAAAAAAAAJgCAABkcnMvZG93&#10;bnJldi54bWxQSwUGAAAAAAQABAD1AAAAhwMAAAAA&#10;" filled="f" stroked="f">
              <v:textbox style="mso-next-textbox:#Rectangle 288;mso-fit-shape-to-text:t" inset="0,0,0,0">
                <w:txbxContent>
                  <w:p w:rsidR="001F544B" w:rsidRDefault="001F544B" w:rsidP="00B4550A">
                    <w:r>
                      <w:rPr>
                        <w:rFonts w:ascii="Calibri" w:hAnsi="Calibri" w:cs="Calibri"/>
                        <w:color w:val="000000"/>
                        <w:sz w:val="16"/>
                        <w:szCs w:val="16"/>
                      </w:rPr>
                      <w:t>Pasageri-km</w:t>
                    </w:r>
                  </w:p>
                </w:txbxContent>
              </v:textbox>
            </v:rect>
            <v:shape id="Freeform 289" o:spid="_x0000_s1711" style="position:absolute;left:9512;top:21361;width:18428;height:1606;visibility:visible;mso-wrap-style:square;v-text-anchor:top" coordsize="2902,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ceh8IA&#10;AADcAAAADwAAAGRycy9kb3ducmV2LnhtbERPTUvDQBC9C/6HZQre7KaiUmO3RZSCpwbT9tDbkJ0m&#10;odnZsLsmsb/eOQgeH+97tZlcpwYKsfVsYDHPQBFX3rZcGzjst/dLUDEhW+w8k4EfirBZ396sMLd+&#10;5C8aylQrCeGYo4EmpT7XOlYNOYxz3xMLd/bBYRIYam0DjhLuOv2QZc/aYcvS0GBP7w1Vl/LbGXga&#10;H7f7IgtD3BWH4vqhT8fi5WTM3Wx6ewWVaEr/4j/3pxXfUtbKGTkC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Fx6HwgAAANwAAAAPAAAAAAAAAAAAAAAAAJgCAABkcnMvZG93&#10;bnJldi54bWxQSwUGAAAAAAQABAD1AAAAhwMAAAAA&#10;" path="m,l2902,r,16l,16,,xm,l,253,,xm552,r,253l552,xm552,r,253l552,xm552,r,253l552,xm1719,r,253l1719,xm1719,r,253l1719,xm1719,r,253l1719,xm2902,r,253l2886,253,2886,r16,xm2902,r,253l2886,253,2886,r16,xm2902,r,253l2886,253,2886,r16,xe" strokecolor="white" strokeweight="0">
              <v:path arrowok="t" o:connecttype="custom" o:connectlocs="0,0;1170193875,0;1170193875,6449552;0,6449552;0,0;0,0;0,101983540;0,101983540;0,0;0,0;222586843,0;222586843,101983540;222586843,101983540;222586843,0;222586843,0;222586843,0;222586843,101983540;222586843,101983540;222586843,0;222586843,0;222586843,0;222586843,101983540;222586843,101983540;222586843,0;222586843,0;693164463,0;693164463,101983540;693164463,101983540;693164463,0;693164463,0;693164463,0;693164463,101983540;693164463,101983540;693164463,0;693164463,0;693164463,0;693164463,101983540;693164463,101983540;693164463,0;693164463,0;1170193875,0;1170193875,101983540;1163742082,101983540;1163742082,0;1170193875,0;1170193875,0;1170193875,101983540;1163742082,101983540;1163742082,0;1170193875,0;1170193875,0;1170193875,101983540;1163742082,101983540;1163742082,0;1170193875,0" o:connectangles="0,0,0,0,0,0,0,0,0,0,0,0,0,0,0,0,0,0,0,0,0,0,0,0,0,0,0,0,0,0,0,0,0,0,0,0,0,0,0,0,0,0,0,0,0,0,0,0,0,0,0,0,0,0,0"/>
              <o:lock v:ext="edit" verticies="t"/>
            </v:shape>
            <v:rect id="Rectangle 290" o:spid="_x0000_s1712" style="position:absolute;left:9010;top:21761;width:502;height: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v1ncYA&#10;AADcAAAADwAAAGRycy9kb3ducmV2LnhtbESPQWvCQBSE70L/w/IKvemmQotGN0FKRQsWq/Hg8Zl9&#10;JqHZtyG7JvHfdwuFHoeZ+YZZpoOpRUetqywreJ5EIIhzqysuFJyy9XgGwnlkjbVlUnAnB2nyMFpi&#10;rG3PB+qOvhABwi5GBaX3TSyly0sy6Ca2IQ7e1bYGfZBtIXWLfYCbWk6j6FUarDgslNjQW0n59/Fm&#10;FFyiw9A1u/cvyj6zfn/+MJvL2ij19DisFiA8Df4//NfeagUvsz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v1ncYAAADcAAAADwAAAAAAAAAAAAAAAACYAgAAZHJz&#10;L2Rvd25yZXYueG1sUEsFBgAAAAAEAAQA9QAAAIsDAAAAAA==&#10;" fillcolor="#4f81bd" stroked="f"/>
            <v:rect id="Rectangle 291" o:spid="_x0000_s1713" style="position:absolute;left:10147;top:21361;width:5778;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7LB8IA&#10;AADcAAAADwAAAGRycy9kb3ducmV2LnhtbERPTYvCMBC9C/6HMAteZE0VFO0aRQTBgyBWD7u3oZlt&#10;uttMShNt9debg+Dx8b6X685W4kaNLx0rGI8SEMS50yUXCi7n3ecchA/IGivHpOBOHtarfm+JqXYt&#10;n+iWhULEEPYpKjAh1KmUPjdk0Y9cTRy5X9dYDBE2hdQNtjHcVnKSJDNpseTYYLCmraH8P7taBbvj&#10;d0n8kKfhYt66v3zyk5lDrdTgo9t8gQjUhbf45d5rBdNFnB/PxCM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ssHwgAAANwAAAAPAAAAAAAAAAAAAAAAAJgCAABkcnMvZG93&#10;bnJldi54bWxQSwUGAAAAAAQABAD1AAAAhwMAAAAA&#10;" filled="f" stroked="f">
              <v:textbox style="mso-next-textbox:#Rectangle 291;mso-fit-shape-to-text:t" inset="0,0,0,0">
                <w:txbxContent>
                  <w:p w:rsidR="001F544B" w:rsidRPr="00695A10" w:rsidRDefault="001F544B" w:rsidP="00B4550A">
                    <w:pPr>
                      <w:rPr>
                        <w:rFonts w:asciiTheme="minorHAnsi" w:hAnsiTheme="minorHAnsi"/>
                        <w:sz w:val="16"/>
                        <w:szCs w:val="16"/>
                        <w:lang w:val="ro-RO"/>
                      </w:rPr>
                    </w:pPr>
                    <w:r>
                      <w:rPr>
                        <w:rFonts w:asciiTheme="minorHAnsi" w:hAnsiTheme="minorHAnsi"/>
                        <w:sz w:val="16"/>
                        <w:szCs w:val="16"/>
                        <w:lang w:val="ro-RO"/>
                      </w:rPr>
                      <w:t>Autoturism</w:t>
                    </w:r>
                  </w:p>
                </w:txbxContent>
              </v:textbox>
            </v:rect>
            <v:rect id="Rectangle 292" o:spid="_x0000_s1714" style="position:absolute;left:15722;top:21361;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j68IA&#10;AADcAAAADwAAAGRycy9kb3ducmV2LnhtbESPzYoCMRCE74LvEFrwphkFF3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iPrwgAAANwAAAAPAAAAAAAAAAAAAAAAAJgCAABkcnMvZG93&#10;bnJldi54bWxQSwUGAAAAAAQABAD1AAAAhwMAAAAA&#10;" filled="f" stroked="f">
              <v:textbox style="mso-next-textbox:#Rectangle 292;mso-fit-shape-to-text:t" inset="0,0,0,0">
                <w:txbxContent>
                  <w:p w:rsidR="001F544B" w:rsidRDefault="001F544B" w:rsidP="00B4550A">
                    <w:r>
                      <w:rPr>
                        <w:rFonts w:ascii="Calibri" w:hAnsi="Calibri" w:cs="Calibri"/>
                        <w:color w:val="000000"/>
                        <w:sz w:val="16"/>
                        <w:szCs w:val="16"/>
                      </w:rPr>
                      <w:t>15.1%</w:t>
                    </w:r>
                  </w:p>
                </w:txbxContent>
              </v:textbox>
            </v:rect>
            <v:rect id="Rectangle 293" o:spid="_x0000_s1715" style="position:absolute;left:23133;top:21361;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wYB8IA&#10;AADcAAAADwAAAGRycy9kb3ducmV2LnhtbESP3WoCMRSE7wu+QziCdzWrU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BgHwgAAANwAAAAPAAAAAAAAAAAAAAAAAJgCAABkcnMvZG93&#10;bnJldi54bWxQSwUGAAAAAAQABAD1AAAAhwMAAAAA&#10;" filled="f" stroked="f">
              <v:textbox style="mso-next-textbox:#Rectangle 293;mso-fit-shape-to-text:t" inset="0,0,0,0">
                <w:txbxContent>
                  <w:p w:rsidR="001F544B" w:rsidRDefault="001F544B" w:rsidP="00B4550A">
                    <w:r>
                      <w:rPr>
                        <w:rFonts w:ascii="Calibri" w:hAnsi="Calibri" w:cs="Calibri"/>
                        <w:color w:val="000000"/>
                        <w:sz w:val="16"/>
                        <w:szCs w:val="16"/>
                      </w:rPr>
                      <w:t>43.0%</w:t>
                    </w:r>
                  </w:p>
                </w:txbxContent>
              </v:textbox>
            </v:rect>
            <v:shape id="Freeform 294" o:spid="_x0000_s1716" style="position:absolute;left:9715;top:22866;width:18428;height:1606;visibility:visible;mso-wrap-style:square;v-text-anchor:top" coordsize="2902,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OCX8UA&#10;AADcAAAADwAAAGRycy9kb3ducmV2LnhtbESPT2vCQBTE7wW/w/IEb3VjsUWjq4hF8NRQ/xy8PbLP&#10;JJh9G3bXJPbTdwsFj8PMb4ZZrntTi5acrywrmIwTEMS51RUXCk7H3esMhA/IGmvLpOBBHtarwcsS&#10;U207/qb2EAoRS9inqKAMoUml9HlJBv3YNsTRu1pnMETpCqkddrHc1PItST6kwYrjQokNbUvKb4e7&#10;UfDeTXfHLHGt/8pO2c+nvJyz+UWp0bDfLEAE6sMz/E/vdeTmU/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4JfxQAAANwAAAAPAAAAAAAAAAAAAAAAAJgCAABkcnMv&#10;ZG93bnJldi54bWxQSwUGAAAAAAQABAD1AAAAigMAAAAA&#10;" path="m,l2902,,,xm,l,253,,xm552,r,253l552,xm552,r,253l552,xm552,r,253l552,xm1719,r,253l1719,xm1719,r,253l1719,xm1719,r,253l1719,xm2902,r,253l2886,253,2886,r16,xm2902,r,253l2886,253,2886,r16,xm2902,r,253l2886,253,2886,r16,xe" strokecolor="white" strokeweight="0">
              <v:path arrowok="t" o:connecttype="custom" o:connectlocs="0,0;1170193875,0;1170193875,0;0,0;0,0;0,0;0,101983540;0,101983540;0,0;0,0;222586843,0;222586843,101983540;222586843,101983540;222586843,0;222586843,0;222586843,0;222586843,101983540;222586843,101983540;222586843,0;222586843,0;222586843,0;222586843,101983540;222586843,101983540;222586843,0;222586843,0;693164463,0;693164463,101983540;693164463,101983540;693164463,0;693164463,0;693164463,0;693164463,101983540;693164463,101983540;693164463,0;693164463,0;693164463,0;693164463,101983540;693164463,101983540;693164463,0;693164463,0;1170193875,0;1170193875,101983540;1163742082,101983540;1163742082,0;1170193875,0;1170193875,0;1170193875,101983540;1163742082,101983540;1163742082,0;1170193875,0;1170193875,0;1170193875,101983540;1163742082,101983540;1163742082,0;1170193875,0" o:connectangles="0,0,0,0,0,0,0,0,0,0,0,0,0,0,0,0,0,0,0,0,0,0,0,0,0,0,0,0,0,0,0,0,0,0,0,0,0,0,0,0,0,0,0,0,0,0,0,0,0,0,0,0,0,0,0"/>
              <o:lock v:ext="edit" verticies="t"/>
            </v:shape>
            <v:rect id="Rectangle 295" o:spid="_x0000_s1717" style="position:absolute;left:9010;top:23241;width:502;height: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Y9d8QA&#10;AADcAAAADwAAAGRycy9kb3ducmV2LnhtbESPT2sCMRTE7wW/Q3iF3mrWwlrdGsUWi0JP/j0/N6/J&#10;0s3LkqS6/faNUOhxmJnfMLNF71pxoRAbzwpGwwIEce11w0bBYf/+OAERE7LG1jMp+KEIi/ngboaV&#10;9lfe0mWXjMgQjhUqsCl1lZSxtuQwDn1HnL1PHxymLIOROuA1w10rn4piLB02nBcsdvRmqf7afTsF&#10;Zmrjx6k8vp5XZtTI9bNbFcEp9XDfL19AJOrTf/ivvdEKymkJtzP5CM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2PXfEAAAA3AAAAA8AAAAAAAAAAAAAAAAAmAIAAGRycy9k&#10;b3ducmV2LnhtbFBLBQYAAAAABAAEAPUAAACJAwAAAAA=&#10;" fillcolor="#c0504d" stroked="f"/>
            <v:rect id="Rectangle 296" o:spid="_x0000_s1718" style="position:absolute;left:10147;top:22967;width:4578;height:1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style="mso-next-textbox:#Rectangle 296" inset="0,0,0,0">
                <w:txbxContent>
                  <w:p w:rsidR="001F544B" w:rsidRPr="0084104D" w:rsidRDefault="001F544B" w:rsidP="00B4550A">
                    <w:pPr>
                      <w:rPr>
                        <w:lang w:val="ro-RO"/>
                      </w:rPr>
                    </w:pPr>
                    <w:r>
                      <w:rPr>
                        <w:rFonts w:ascii="Calibri" w:hAnsi="Calibri" w:cs="Calibri"/>
                        <w:color w:val="000000"/>
                        <w:sz w:val="16"/>
                        <w:szCs w:val="16"/>
                        <w:lang w:val="ro-RO"/>
                      </w:rPr>
                      <w:t>Autobuz</w:t>
                    </w:r>
                  </w:p>
                </w:txbxContent>
              </v:textbox>
            </v:rect>
            <v:rect id="Rectangle 297" o:spid="_x0000_s1719" style="position:absolute;left:15925;top:22967;width:2013;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eBMIA&#10;AADcAAAADwAAAGRycy9kb3ducmV2LnhtbESP3WoCMRSE7wu+QziCdzWrYN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x4EwgAAANwAAAAPAAAAAAAAAAAAAAAAAJgCAABkcnMvZG93&#10;bnJldi54bWxQSwUGAAAAAAQABAD1AAAAhwMAAAAA&#10;" filled="f" stroked="f">
              <v:textbox style="mso-next-textbox:#Rectangle 297;mso-fit-shape-to-text:t" inset="0,0,0,0">
                <w:txbxContent>
                  <w:p w:rsidR="001F544B" w:rsidRDefault="001F544B" w:rsidP="00B4550A">
                    <w:r>
                      <w:rPr>
                        <w:rFonts w:ascii="Calibri" w:hAnsi="Calibri" w:cs="Calibri"/>
                        <w:color w:val="000000"/>
                        <w:sz w:val="16"/>
                        <w:szCs w:val="16"/>
                      </w:rPr>
                      <w:t>1.2%</w:t>
                    </w:r>
                  </w:p>
                </w:txbxContent>
              </v:textbox>
            </v:rect>
            <v:rect id="Rectangle 298" o:spid="_x0000_s1720" style="position:absolute;left:23133;top:22967;width:2533;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Kdr4A&#10;AADcAAAADwAAAGRycy9kb3ducmV2LnhtbERPy4rCMBTdC/5DuII7TUdQ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Xoina+AAAA3AAAAA8AAAAAAAAAAAAAAAAAmAIAAGRycy9kb3ducmV2&#10;LnhtbFBLBQYAAAAABAAEAPUAAACDAwAAAAA=&#10;" filled="f" stroked="f">
              <v:textbox style="mso-next-textbox:#Rectangle 298;mso-fit-shape-to-text:t" inset="0,0,0,0">
                <w:txbxContent>
                  <w:p w:rsidR="001F544B" w:rsidRDefault="001F544B" w:rsidP="00B4550A">
                    <w:r>
                      <w:rPr>
                        <w:rFonts w:ascii="Calibri" w:hAnsi="Calibri" w:cs="Calibri"/>
                        <w:color w:val="000000"/>
                        <w:sz w:val="16"/>
                        <w:szCs w:val="16"/>
                      </w:rPr>
                      <w:t>18.7%</w:t>
                    </w:r>
                  </w:p>
                </w:txbxContent>
              </v:textbox>
            </v:rect>
            <v:shape id="Freeform 299" o:spid="_x0000_s1721" style="position:absolute;left:9715;top:24472;width:18428;height:1505;visibility:visible;mso-wrap-style:square;v-text-anchor:top" coordsize="290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AbhsEA&#10;AADcAAAADwAAAGRycy9kb3ducmV2LnhtbESPQYvCMBSE7wv+h/AEb2uqoNhqFF0QepNVDx6fzbMp&#10;Ni+lydb6782C4HGYmW+Y1aa3teio9ZVjBZNxAoK4cLriUsH5tP9egPABWWPtmBQ8ycNmPfhaYabd&#10;g3+pO4ZSRAj7DBWYEJpMSl8YsujHriGO3s21FkOUbSl1i48It7WcJslcWqw4Lhhs6MdQcT/+WQXX&#10;S25Mavw13U26qTxxXh2kU2o07LdLEIH68Am/27lWMEtT+D8Tj4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QG4bBAAAA3AAAAA8AAAAAAAAAAAAAAAAAmAIAAGRycy9kb3du&#10;cmV2LnhtbFBLBQYAAAAABAAEAPUAAACGAwAAAAA=&#10;" path="m,l2902,,,xm,l,237,,xm552,r,237l552,xm552,r,237l552,xm552,r,237l552,xm1719,r,237l1719,xm1719,r,237l1719,xm1719,r,237l1719,xm2902,r,237l2886,237,2886,r16,xm2902,r,237l2886,237,2886,r16,xm2902,r,237l2886,237,2886,r16,xe" strokecolor="white" strokeweight="0">
              <v:path arrowok="t" o:connecttype="custom" o:connectlocs="0,0;1170193875,0;1170193875,0;0,0;0,0;0,0;0,95569405;0,95569405;0,0;0,0;222586843,0;222586843,95569405;222586843,95569405;222586843,0;222586843,0;222586843,0;222586843,95569405;222586843,95569405;222586843,0;222586843,0;222586843,0;222586843,95569405;222586843,95569405;222586843,0;222586843,0;693164463,0;693164463,95569405;693164463,95569405;693164463,0;693164463,0;693164463,0;693164463,95569405;693164463,95569405;693164463,0;693164463,0;693164463,0;693164463,95569405;693164463,95569405;693164463,0;693164463,0;1170193875,0;1170193875,95569405;1163742082,95569405;1163742082,0;1170193875,0;1170193875,0;1170193875,95569405;1163742082,95569405;1163742082,0;1170193875,0;1170193875,0;1170193875,95569405;1163742082,95569405;1163742082,0;1170193875,0" o:connectangles="0,0,0,0,0,0,0,0,0,0,0,0,0,0,0,0,0,0,0,0,0,0,0,0,0,0,0,0,0,0,0,0,0,0,0,0,0,0,0,0,0,0,0,0,0,0,0,0,0,0,0,0,0,0,0"/>
              <o:lock v:ext="edit" verticies="t"/>
            </v:shape>
            <v:rect id="Rectangle 300" o:spid="_x0000_s1722" style="position:absolute;left:9010;top:24872;width:502;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97sEA&#10;AADcAAAADwAAAGRycy9kb3ducmV2LnhtbERPS0sDMRC+C/6HMII3m+0eimybFlsRBU/2AfU2bMZN&#10;cDNZNnEb/fXOQfD48b1XmxJ6NdGYfGQD81kFiriN1nNn4Hh4ursHlTKyxT4yGfimBJv19dUKGxsv&#10;/EbTPndKQjg1aMDlPDRap9ZRwDSLA7FwH3EMmAWOnbYjXiQ89LquqoUO6FkaHA60c9R+7r+ClDz7&#10;8upO23Nhd9hOj+fav//UxtzelIclqEwl/4v/3C/WwKKS+XJGjoB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Pe7BAAAA3AAAAA8AAAAAAAAAAAAAAAAAmAIAAGRycy9kb3du&#10;cmV2LnhtbFBLBQYAAAAABAAEAPUAAACGAwAAAAA=&#10;" fillcolor="#9bbb59" stroked="f"/>
            <v:rect id="Rectangle 301" o:spid="_x0000_s1723" style="position:absolute;left:10147;top:24472;width:3778;height:1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2aZ8QA&#10;AADcAAAADwAAAGRycy9kb3ducmV2LnhtbESPQYvCMBSE7wv+h/AEL4umehCtRhFB2IMgVg96ezTP&#10;ptq8lCZr6/76zcKCx2FmvmGW685W4kmNLx0rGI8SEMS50yUXCs6n3XAGwgdkjZVjUvAiD+tV72OJ&#10;qXYtH+mZhUJECPsUFZgQ6lRKnxuy6EeuJo7ezTUWQ5RNIXWDbYTbSk6SZCotlhwXDNa0NZQ/sm+r&#10;YHe4lMQ/8vg5n7Xunk+umdnXSg363WYBIlAX3uH/9pdWME3G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9mmfEAAAA3AAAAA8AAAAAAAAAAAAAAAAAmAIAAGRycy9k&#10;b3ducmV2LnhtbFBLBQYAAAAABAAEAPUAAACJAwAAAAA=&#10;" filled="f" stroked="f">
              <v:textbox style="mso-next-textbox:#Rectangle 301;mso-fit-shape-to-text:t" inset="0,0,0,0">
                <w:txbxContent>
                  <w:p w:rsidR="001F544B" w:rsidRPr="0084104D" w:rsidRDefault="001F544B" w:rsidP="00B4550A">
                    <w:pPr>
                      <w:rPr>
                        <w:lang w:val="ro-RO"/>
                      </w:rPr>
                    </w:pPr>
                    <w:r>
                      <w:rPr>
                        <w:rFonts w:ascii="Calibri" w:hAnsi="Calibri" w:cs="Calibri"/>
                        <w:color w:val="000000"/>
                        <w:sz w:val="16"/>
                        <w:szCs w:val="16"/>
                        <w:lang w:val="ro-RO"/>
                      </w:rPr>
                      <w:t>Tren</w:t>
                    </w:r>
                  </w:p>
                </w:txbxContent>
              </v:textbox>
            </v:rect>
            <v:rect id="Rectangle 302" o:spid="_x0000_s1724" style="position:absolute;left:15525;top:24472;width:311;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9JZ8IA&#10;AADcAAAADwAAAGRycy9kb3ducmV2LnhtbESPzWrDMBCE74W+g9hCb7VUH0Jwo5gQMKSllzh5gMVa&#10;/1BpZSQ1dt++KhRyHGbmG2ZXr86KG4U4edbwWigQxJ03Ew8arpfmZQsiJmSD1jNp+KEI9f7xYYeV&#10;8Quf6damQWQIxwo1jCnNlZSxG8lhLPxMnL3eB4cpyzBIE3DJcGdlqdRGOpw4L4w403Gk7qv9dhrk&#10;pW2WbWuD8h9l/2nfT+eevNbPT+vhDUSiNd3D/+2T0bBRJfydy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L0lnwgAAANwAAAAPAAAAAAAAAAAAAAAAAJgCAABkcnMvZG93&#10;bnJldi54bWxQSwUGAAAAAAQABAD1AAAAhwMAAAAA&#10;" filled="f" stroked="f">
              <v:textbox style="mso-next-textbox:#Rectangle 302;mso-fit-shape-to-text:t" inset="0,0,0,0">
                <w:txbxContent>
                  <w:p w:rsidR="001F544B" w:rsidRDefault="001F544B" w:rsidP="00B4550A">
                    <w:r>
                      <w:rPr>
                        <w:rFonts w:ascii="Calibri" w:hAnsi="Calibri" w:cs="Calibri"/>
                        <w:color w:val="000000"/>
                        <w:sz w:val="16"/>
                        <w:szCs w:val="16"/>
                      </w:rPr>
                      <w:t>-</w:t>
                    </w:r>
                  </w:p>
                </w:txbxContent>
              </v:textbox>
            </v:rect>
            <v:rect id="Rectangle 303" o:spid="_x0000_s1725" style="position:absolute;left:15824;top:24472;width:2533;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Ps/MEA&#10;AADcAAAADwAAAGRycy9kb3ducmV2LnhtbESP3WoCMRSE74W+QzhC7zTRgs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j7PzBAAAA3AAAAA8AAAAAAAAAAAAAAAAAmAIAAGRycy9kb3du&#10;cmV2LnhtbFBLBQYAAAAABAAEAPUAAACGAwAAAAA=&#10;" filled="f" stroked="f">
              <v:textbox style="mso-next-textbox:#Rectangle 303;mso-fit-shape-to-text:t" inset="0,0,0,0">
                <w:txbxContent>
                  <w:p w:rsidR="001F544B" w:rsidRDefault="001F544B" w:rsidP="00B4550A">
                    <w:r>
                      <w:rPr>
                        <w:rFonts w:ascii="Calibri" w:hAnsi="Calibri" w:cs="Calibri"/>
                        <w:color w:val="000000"/>
                        <w:sz w:val="16"/>
                        <w:szCs w:val="16"/>
                      </w:rPr>
                      <w:t>20.9%</w:t>
                    </w:r>
                  </w:p>
                </w:txbxContent>
              </v:textbox>
            </v:rect>
            <v:rect id="Rectangle 304" o:spid="_x0000_s1726" style="position:absolute;left:23031;top:24472;width:311;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p0iMEA&#10;AADcAAAADwAAAGRycy9kb3ducmV2LnhtbESP3WoCMRSE74W+QzhC7zRRis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KdIjBAAAA3AAAAA8AAAAAAAAAAAAAAAAAmAIAAGRycy9kb3du&#10;cmV2LnhtbFBLBQYAAAAABAAEAPUAAACGAwAAAAA=&#10;" filled="f" stroked="f">
              <v:textbox style="mso-next-textbox:#Rectangle 304;mso-fit-shape-to-text:t" inset="0,0,0,0">
                <w:txbxContent>
                  <w:p w:rsidR="001F544B" w:rsidRDefault="001F544B" w:rsidP="00B4550A">
                    <w:r>
                      <w:rPr>
                        <w:rFonts w:ascii="Calibri" w:hAnsi="Calibri" w:cs="Calibri"/>
                        <w:color w:val="000000"/>
                        <w:sz w:val="16"/>
                        <w:szCs w:val="16"/>
                      </w:rPr>
                      <w:t>-</w:t>
                    </w:r>
                  </w:p>
                </w:txbxContent>
              </v:textbox>
            </v:rect>
            <v:rect id="Rectangle 305" o:spid="_x0000_s1727" style="position:absolute;left:23336;top:24472;width:2533;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bRE8EA&#10;AADcAAAADwAAAGRycy9kb3ducmV2LnhtbESP3WoCMRSE74W+QzhC7zRRqM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G0RPBAAAA3AAAAA8AAAAAAAAAAAAAAAAAmAIAAGRycy9kb3du&#10;cmV2LnhtbFBLBQYAAAAABAAEAPUAAACGAwAAAAA=&#10;" filled="f" stroked="f">
              <v:textbox style="mso-next-textbox:#Rectangle 305;mso-fit-shape-to-text:t" inset="0,0,0,0">
                <w:txbxContent>
                  <w:p w:rsidR="001F544B" w:rsidRDefault="001F544B" w:rsidP="00B4550A">
                    <w:r>
                      <w:rPr>
                        <w:rFonts w:ascii="Calibri" w:hAnsi="Calibri" w:cs="Calibri"/>
                        <w:color w:val="000000"/>
                        <w:sz w:val="16"/>
                        <w:szCs w:val="16"/>
                      </w:rPr>
                      <w:t>21.3%</w:t>
                    </w:r>
                  </w:p>
                </w:txbxContent>
              </v:textbox>
            </v:rect>
            <v:shape id="Freeform 306" o:spid="_x0000_s1728" style="position:absolute;left:9715;top:25977;width:18428;height:1601;visibility:visible;mso-wrap-style:square;v-text-anchor:top" coordsize="290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Cdh8QA&#10;AADcAAAADwAAAGRycy9kb3ducmV2LnhtbESPQWvCQBSE74X+h+UJvRTdWDCW6CpFKPXSg1F6fmSf&#10;STT7NmSfZvvvu4VCj8PMfMOst9F16k5DaD0bmM8yUMSVty3XBk7H9+krqCDIFjvPZOCbAmw3jw9r&#10;LKwf+UD3UmqVIBwKNNCI9IXWoWrIYZj5njh5Zz84lCSHWtsBxwR3nX7Jslw7bDktNNjTrqHqWt6c&#10;ATlIWMbTh4yXsozj/nPxtXteGPM0iW8rUEJR/sN/7b01kGc5/J5JR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AnYfEAAAA3AAAAA8AAAAAAAAAAAAAAAAAmAIAAGRycy9k&#10;b3ducmV2LnhtbFBLBQYAAAAABAAEAPUAAACJAwAAAAA=&#10;" path="m,l2902,,,xm,l,252,,xm552,r,252l552,xm552,r,252l552,xm552,r,252l552,xm1719,r,252l1719,xm1719,r,252l1719,xm1719,r,252l1719,xm2902,r,252l2886,252,2886,r16,xm2902,r,252l2886,252,2886,r16,xm2902,r,252l2886,252,2886,r16,xe" strokecolor="white" strokeweight="0">
              <v:path arrowok="t" o:connecttype="custom" o:connectlocs="0,0;1170193875,0;1170193875,0;0,0;0,0;0,0;0,101666040;0,101666040;0,0;0,0;222586843,0;222586843,101666040;222586843,101666040;222586843,0;222586843,0;222586843,0;222586843,101666040;222586843,101666040;222586843,0;222586843,0;222586843,0;222586843,101666040;222586843,101666040;222586843,0;222586843,0;693164463,0;693164463,101666040;693164463,101666040;693164463,0;693164463,0;693164463,0;693164463,101666040;693164463,101666040;693164463,0;693164463,0;693164463,0;693164463,101666040;693164463,101666040;693164463,0;693164463,0;1170193875,0;1170193875,101666040;1163742082,101666040;1163742082,0;1170193875,0;1170193875,0;1170193875,101666040;1163742082,101666040;1163742082,0;1170193875,0;1170193875,0;1170193875,101666040;1163742082,101666040;1163742082,0;1170193875,0" o:connectangles="0,0,0,0,0,0,0,0,0,0,0,0,0,0,0,0,0,0,0,0,0,0,0,0,0,0,0,0,0,0,0,0,0,0,0,0,0,0,0,0,0,0,0,0,0,0,0,0,0,0,0,0,0,0,0"/>
              <o:lock v:ext="edit" verticies="t"/>
            </v:shape>
            <v:rect id="Rectangle 307" o:spid="_x0000_s1729" style="position:absolute;left:9010;top:26479;width:502;height: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R4MYA&#10;AADcAAAADwAAAGRycy9kb3ducmV2LnhtbESPT2sCMRTE7wW/Q3iF3mpS266yGkUKgtAe/LOgx8fm&#10;uVncvCybqOu3bwoFj8PM/IaZLXrXiCt1ofas4W2oQBCX3tRcaSj2q9cJiBCRDTaeScOdAizmg6cZ&#10;5sbfeEvXXaxEgnDIUYONsc2lDKUlh2HoW+LknXznMCbZVdJ0eEtw18iRUpl0WHNasNjSl6XyvLs4&#10;DeuNvayOhfp8v1ebUXH4/nHZx0Trl+d+OQURqY+P8H97bTRkagx/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gR4MYAAADcAAAADwAAAAAAAAAAAAAAAACYAgAAZHJz&#10;L2Rvd25yZXYueG1sUEsFBgAAAAAEAAQA9QAAAIsDAAAAAA==&#10;" fillcolor="#8064a2" stroked="f"/>
            <v:rect id="Rectangle 308" o:spid="_x0000_s1730" style="position:absolute;left:10147;top:26073;width:3073;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l3bcYA&#10;AADcAAAADwAAAGRycy9kb3ducmV2LnhtbESPQWvCQBSE7wX/w/IEL0U3zcFqzEakIPQgFKMHvT2y&#10;r9nU7NuQ3Zq0v75bKPQ4zMw3TL4dbSvu1PvGsYKnRQKCuHK64VrB+bSfr0D4gKyxdUwKvsjDtpg8&#10;5JhpN/CR7mWoRYSwz1CBCaHLpPSVIYt+4Tri6L273mKIsq+l7nGIcNvKNEmW0mLDccFgRy+Gqlv5&#10;aRXs3y4N8bc8Pq5Xg/uo0mtpDp1Ss+m424AINIb/8F/7VStYPqfweyYeAVn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l3bcYAAADcAAAADwAAAAAAAAAAAAAAAACYAgAAZHJz&#10;L2Rvd25yZXYueG1sUEsFBgAAAAAEAAQA9QAAAIsDAAAAAA==&#10;" filled="f" stroked="f">
              <v:textbox style="mso-next-textbox:#Rectangle 308;mso-fit-shape-to-text:t" inset="0,0,0,0">
                <w:txbxContent>
                  <w:p w:rsidR="001F544B" w:rsidRPr="0084104D" w:rsidRDefault="001F544B" w:rsidP="00B4550A">
                    <w:pPr>
                      <w:rPr>
                        <w:lang w:val="ro-RO"/>
                      </w:rPr>
                    </w:pPr>
                    <w:r>
                      <w:rPr>
                        <w:rFonts w:ascii="Calibri" w:hAnsi="Calibri" w:cs="Calibri"/>
                        <w:color w:val="000000"/>
                        <w:sz w:val="16"/>
                        <w:szCs w:val="16"/>
                        <w:lang w:val="ro-RO"/>
                      </w:rPr>
                      <w:t>Avion</w:t>
                    </w:r>
                  </w:p>
                </w:txbxContent>
              </v:textbox>
            </v:rect>
            <v:rect id="Rectangle 309" o:spid="_x0000_s1731" style="position:absolute;left:15722;top:26073;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WfgcIA&#10;AADcAAAADwAAAGRycy9kb3ducmV2LnhtbESPzYoCMRCE74LvEFrYm2ZUc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Z+BwgAAANwAAAAPAAAAAAAAAAAAAAAAAJgCAABkcnMvZG93&#10;bnJldi54bWxQSwUGAAAAAAQABAD1AAAAhwMAAAAA&#10;" filled="f" stroked="f">
              <v:textbox style="mso-next-textbox:#Rectangle 309;mso-fit-shape-to-text:t" inset="0,0,0,0">
                <w:txbxContent>
                  <w:p w:rsidR="001F544B" w:rsidRDefault="001F544B" w:rsidP="00B4550A">
                    <w:r>
                      <w:rPr>
                        <w:rFonts w:ascii="Calibri" w:hAnsi="Calibri" w:cs="Calibri"/>
                        <w:color w:val="000000"/>
                        <w:sz w:val="16"/>
                        <w:szCs w:val="16"/>
                      </w:rPr>
                      <w:t>18.4%</w:t>
                    </w:r>
                  </w:p>
                </w:txbxContent>
              </v:textbox>
            </v:rect>
            <v:rect id="Rectangle 310" o:spid="_x0000_s1732" style="position:absolute;left:23133;top:26073;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next-textbox:#Rectangle 310;mso-fit-shape-to-text:t" inset="0,0,0,0">
                <w:txbxContent>
                  <w:p w:rsidR="001F544B" w:rsidRDefault="001F544B" w:rsidP="00B4550A">
                    <w:r>
                      <w:rPr>
                        <w:rFonts w:ascii="Calibri" w:hAnsi="Calibri" w:cs="Calibri"/>
                        <w:color w:val="000000"/>
                        <w:sz w:val="16"/>
                        <w:szCs w:val="16"/>
                      </w:rPr>
                      <w:t>18.1%</w:t>
                    </w:r>
                  </w:p>
                </w:txbxContent>
              </v:textbox>
            </v:rect>
            <v:shape id="Freeform 311" o:spid="_x0000_s1733" style="position:absolute;left:9715;top:27578;width:18428;height:1606;visibility:visible;mso-wrap-style:square;v-text-anchor:top" coordsize="2902,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gQsYA&#10;AADcAAAADwAAAGRycy9kb3ducmV2LnhtbESPT2vCQBTE74LfYXlCb3VjqVajq0hF6Kmh/jl4e2Sf&#10;STD7NuyuSdpP3y0UPA4z8xtmtelNLVpyvrKsYDJOQBDnVldcKDgd989zED4ga6wtk4Jv8rBZDwcr&#10;TLXt+IvaQyhEhLBPUUEZQpNK6fOSDPqxbYijd7XOYIjSFVI77CLc1PIlSWbSYMVxocSG3kvKb4e7&#10;UTDtXvfHLHGt/8xO2c9OXs7Z4qLU06jfLkEE6sMj/N/+0Apmb1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agQsYAAADcAAAADwAAAAAAAAAAAAAAAACYAgAAZHJz&#10;L2Rvd25yZXYueG1sUEsFBgAAAAAEAAQA9QAAAIsDAAAAAA==&#10;" path="m,l2902,,,xm,l,237,,xm,237r2902,l2902,253,,253,,237xm552,r,237l552,xm552,r,237l552,xm552,r,237l552,xm1719,r,237l1719,xm1719,r,237l1719,xm1719,r,237l1719,xm2902,r,237l2886,237,2886,r16,xm2902,r,237l2886,237,2886,r16,xm2902,r,237l2886,237,2886,r16,xe" strokecolor="white" strokeweight="0">
              <v:path arrowok="t" o:connecttype="custom" o:connectlocs="0,0;1170193875,0;1170193875,0;0,0;0,0;0,0;0,95533988;0,95533988;0,0;0,0;0,95533988;1170193875,95533988;1170193875,101983540;0,101983540;0,95533988;222586843,0;222586843,95533988;222586843,95533988;222586843,0;222586843,0;222586843,0;222586843,95533988;222586843,95533988;222586843,0;222586843,0;222586843,0;222586843,95533988;222586843,95533988;222586843,0;222586843,0;693164463,0;693164463,95533988;693164463,95533988;693164463,0;693164463,0;693164463,0;693164463,95533988;693164463,95533988;693164463,0;693164463,0;693164463,0;693164463,95533988;693164463,95533988;693164463,0;693164463,0;1170193875,0;1170193875,95533988;1163742082,95533988;1163742082,0;1170193875,0;1170193875,0;1170193875,95533988;1163742082,95533988;1163742082,0;1170193875,0;1170193875,0;1170193875,95533988;1163742082,95533988;1163742082,0;1170193875,0" o:connectangles="0,0,0,0,0,0,0,0,0,0,0,0,0,0,0,0,0,0,0,0,0,0,0,0,0,0,0,0,0,0,0,0,0,0,0,0,0,0,0,0,0,0,0,0,0,0,0,0,0,0,0,0,0,0,0,0,0,0,0,0"/>
              <o:lock v:ext="edit" verticies="t"/>
            </v:shape>
            <v:rect id="Rectangle 312" o:spid="_x0000_s1734" style="position:absolute;left:9010;top:28079;width:502;height:5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micQA&#10;AADcAAAADwAAAGRycy9kb3ducmV2LnhtbESPUWvCMBSF3wX/Q7iDvYimirRSjSKiTNiLdvsBl+ba&#10;liU3pYma/ftlMNjj4ZzzHc5mF60RDxp851jBfJaBIK6d7rhR8Plxmq5A+ICs0TgmBd/kYbcdjzZY&#10;avfkKz2q0IgEYV+igjaEvpTS1y1Z9DPXEyfv5gaLIcmhkXrAZ4JbIxdZlkuLHaeFFns6tFR/VXer&#10;oAsHg8tLLI5VbOZvi9OE3s1EqdeXuF+DCBTDf/ivfdYK8iKH3zPp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cJonEAAAA3AAAAA8AAAAAAAAAAAAAAAAAmAIAAGRycy9k&#10;b3ducmV2LnhtbFBLBQYAAAAABAAEAPUAAACJAwAAAAA=&#10;" fillcolor="#4bacc6" stroked="f"/>
            <v:rect id="Rectangle 313" o:spid="_x0000_s1735" style="position:absolute;left:10147;top:27578;width:2864;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7U9cUA&#10;AADcAAAADwAAAGRycy9kb3ducmV2LnhtbESPQWvCQBSE7wX/w/KEXkQ39aAxdRURhB4EMXpob4/s&#10;azaafRuyWxP99d2C0OMwM98wy3Vva3Gj1leOFbxNEhDEhdMVlwrOp904BeEDssbaMSm4k4f1avCy&#10;xEy7jo90y0MpIoR9hgpMCE0mpS8MWfQT1xBH79u1FkOUbSl1i12E21pOk2QmLVYcFww2tDVUXPMf&#10;q2B3+KyIH/I4WqSduxTTr9zsG6Veh/3mHUSgPvyHn+0PrWA2n8Pf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3tT1xQAAANwAAAAPAAAAAAAAAAAAAAAAAJgCAABkcnMv&#10;ZG93bnJldi54bWxQSwUGAAAAAAQABAD1AAAAigMAAAAA&#10;" filled="f" stroked="f">
              <v:textbox style="mso-next-textbox:#Rectangle 313;mso-fit-shape-to-text:t" inset="0,0,0,0">
                <w:txbxContent>
                  <w:p w:rsidR="001F544B" w:rsidRDefault="001F544B" w:rsidP="00B4550A">
                    <w:r>
                      <w:rPr>
                        <w:rFonts w:ascii="Calibri" w:hAnsi="Calibri" w:cs="Calibri"/>
                        <w:color w:val="000000"/>
                        <w:sz w:val="16"/>
                        <w:szCs w:val="16"/>
                      </w:rPr>
                      <w:t>Total</w:t>
                    </w:r>
                  </w:p>
                </w:txbxContent>
              </v:textbox>
            </v:rect>
            <v:rect id="Rectangle 314" o:spid="_x0000_s1736" style="position:absolute;left:15722;top:27679;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N8MAA&#10;AADcAAAADwAAAGRycy9kb3ducmV2LnhtbERPS2rDMBDdF3IHMYHsGrlZpMa1HEohkIRsYvcAgzX+&#10;UGlkJCV2b18tAl0+3r88LNaIB/kwOlbwts1AELdOj9wr+G6OrzmIEJE1Gsek4JcCHKrVS4mFdjPf&#10;6FHHXqQQDgUqGGKcCilDO5DFsHUTceI65y3GBH0vtcc5hVsjd1m2lxZHTg0DTvQ1UPtT360C2dTH&#10;Oa+Nz9xl113N+XTryCm1WS+fHyAiLfFf/HSftIL9e1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EN8MAAAADcAAAADwAAAAAAAAAAAAAAAACYAgAAZHJzL2Rvd25y&#10;ZXYueG1sUEsFBgAAAAAEAAQA9QAAAIUDAAAAAA==&#10;" filled="f" stroked="f">
              <v:textbox style="mso-next-textbox:#Rectangle 314;mso-fit-shape-to-text:t" inset="0,0,0,0">
                <w:txbxContent>
                  <w:p w:rsidR="001F544B" w:rsidRDefault="001F544B" w:rsidP="00B4550A">
                    <w:r>
                      <w:rPr>
                        <w:rFonts w:ascii="Calibri" w:hAnsi="Calibri" w:cs="Calibri"/>
                        <w:color w:val="000000"/>
                        <w:sz w:val="16"/>
                        <w:szCs w:val="16"/>
                      </w:rPr>
                      <w:t>10.7%</w:t>
                    </w:r>
                  </w:p>
                </w:txbxContent>
              </v:textbox>
            </v:rect>
            <v:rect id="Rectangle 315" o:spid="_x0000_s1737" style="position:absolute;left:23133;top:27679;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2oa8IA&#10;AADcAAAADwAAAGRycy9kb3ducmV2LnhtbESPzYoCMRCE7wu+Q2jB25rRg+uORhFBUNmL4z5AM+n5&#10;waQzJNEZ394IC3ssquorar0drBEP8qF1rGA2zUAQl063XCv4vR4+lyBCRNZoHJOCJwXYbkYfa8y1&#10;6/lCjyLWIkE45KigibHLpQxlQxbD1HXEyauctxiT9LXUHvsEt0bOs2whLbacFhrsaN9QeSvuVoG8&#10;Fod+WRifufO8+jGn46Uip9RkPOxWICIN8T/81z5qBYuvb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ahrwgAAANwAAAAPAAAAAAAAAAAAAAAAAJgCAABkcnMvZG93&#10;bnJldi54bWxQSwUGAAAAAAQABAD1AAAAhwMAAAAA&#10;" filled="f" stroked="f">
              <v:textbox style="mso-next-textbox:#Rectangle 315;mso-fit-shape-to-text:t" inset="0,0,0,0">
                <w:txbxContent>
                  <w:p w:rsidR="001F544B" w:rsidRDefault="001F544B" w:rsidP="00B4550A">
                    <w:r>
                      <w:rPr>
                        <w:rFonts w:ascii="Calibri" w:hAnsi="Calibri" w:cs="Calibri"/>
                        <w:color w:val="000000"/>
                        <w:sz w:val="16"/>
                        <w:szCs w:val="16"/>
                      </w:rPr>
                      <w:t>26.6%</w:t>
                    </w:r>
                  </w:p>
                </w:txbxContent>
              </v:textbox>
            </v:rect>
            <v:rect id="Rectangle 316" o:spid="_x0000_s1738" style="position:absolute;left:9182;top:1803;width:18758;height:37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8psIA&#10;AADcAAAADwAAAGRycy9kb3ducmV2LnhtbERPTYvCMBC9C/sfwix4EU31IN1qlGVB2MOCWD2st6EZ&#10;m2ozKU201V9vDoLHx/terntbixu1vnKsYDpJQBAXTldcKjjsN+MUhA/IGmvHpOBOHtarj8ESM+06&#10;3tEtD6WIIewzVGBCaDIpfWHIop+4hjhyJ9daDBG2pdQtdjHc1nKWJHNpseLYYLChH0PFJb9aBZvt&#10;f0X8kLvRV9q5czE75uavUWr42X8vQATqw1v8cv9qBfM0zo9n4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4jymwgAAANwAAAAPAAAAAAAAAAAAAAAAAJgCAABkcnMvZG93&#10;bnJldi54bWxQSwUGAAAAAAQABAD1AAAAhwMAAAAA&#10;" filled="f" stroked="f">
              <v:textbox style="mso-next-textbox:#Rectangle 316;mso-fit-shape-to-text:t" inset="0,0,0,0">
                <w:txbxContent>
                  <w:p w:rsidR="001F544B" w:rsidRPr="0084104D" w:rsidRDefault="001F544B" w:rsidP="00B4550A">
                    <w:pPr>
                      <w:rPr>
                        <w:rFonts w:ascii="Calibri" w:hAnsi="Calibri" w:cs="Calibri"/>
                        <w:b/>
                        <w:bCs/>
                        <w:color w:val="000000"/>
                        <w:sz w:val="16"/>
                        <w:szCs w:val="16"/>
                        <w:lang w:val="ro-RO"/>
                      </w:rPr>
                    </w:pPr>
                    <w:r w:rsidRPr="0084104D">
                      <w:rPr>
                        <w:rFonts w:ascii="Calibri" w:hAnsi="Calibri" w:cs="Calibri"/>
                        <w:b/>
                        <w:bCs/>
                        <w:color w:val="000000"/>
                        <w:sz w:val="16"/>
                        <w:szCs w:val="16"/>
                        <w:lang w:val="ro-RO"/>
                      </w:rPr>
                      <w:t>Variații ale cererii de transport pasageri</w:t>
                    </w:r>
                  </w:p>
                  <w:p w:rsidR="001F544B" w:rsidRPr="0084104D" w:rsidRDefault="001F544B" w:rsidP="00B4550A">
                    <w:pPr>
                      <w:rPr>
                        <w:rFonts w:ascii="Calibri" w:hAnsi="Calibri" w:cs="Calibri"/>
                        <w:b/>
                        <w:bCs/>
                        <w:color w:val="000000"/>
                        <w:sz w:val="16"/>
                        <w:szCs w:val="16"/>
                        <w:lang w:val="ro-RO"/>
                      </w:rPr>
                    </w:pPr>
                    <w:r w:rsidRPr="0084104D">
                      <w:rPr>
                        <w:rFonts w:ascii="Calibri" w:hAnsi="Calibri" w:cs="Calibri"/>
                        <w:b/>
                        <w:bCs/>
                        <w:color w:val="000000"/>
                        <w:sz w:val="16"/>
                        <w:szCs w:val="16"/>
                        <w:lang w:val="ro-RO"/>
                      </w:rPr>
                      <w:t xml:space="preserve">2011 - 2020 </w:t>
                    </w:r>
                    <w:r>
                      <w:rPr>
                        <w:rFonts w:ascii="Calibri" w:hAnsi="Calibri" w:cs="Calibri"/>
                        <w:b/>
                        <w:bCs/>
                        <w:color w:val="000000"/>
                        <w:sz w:val="16"/>
                        <w:szCs w:val="16"/>
                        <w:lang w:val="ro-RO"/>
                      </w:rPr>
                      <w:t xml:space="preserve">- </w:t>
                    </w:r>
                    <w:r w:rsidRPr="0084104D">
                      <w:rPr>
                        <w:rFonts w:ascii="Calibri" w:hAnsi="Calibri" w:cs="Calibri"/>
                        <w:b/>
                        <w:bCs/>
                        <w:color w:val="000000"/>
                        <w:sz w:val="16"/>
                        <w:szCs w:val="16"/>
                        <w:lang w:val="ro-RO"/>
                      </w:rPr>
                      <w:t>Referinț</w:t>
                    </w:r>
                    <w:r>
                      <w:rPr>
                        <w:rFonts w:ascii="Calibri" w:hAnsi="Calibri" w:cs="Calibri"/>
                        <w:b/>
                        <w:bCs/>
                        <w:color w:val="000000"/>
                        <w:sz w:val="16"/>
                        <w:szCs w:val="16"/>
                        <w:lang w:val="ro-RO"/>
                      </w:rPr>
                      <w:t>ă</w:t>
                    </w:r>
                  </w:p>
                  <w:p w:rsidR="001F544B" w:rsidRPr="0084104D" w:rsidRDefault="001F544B" w:rsidP="00B4550A">
                    <w:pPr>
                      <w:rPr>
                        <w:lang w:val="ro-RO"/>
                      </w:rPr>
                    </w:pPr>
                  </w:p>
                </w:txbxContent>
              </v:textbox>
            </v:rect>
            <v:rect id="Rectangle 317" o:spid="_x0000_s1739" style="position:absolute;left:27336;top:1803;width:311;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7USsEA&#10;AADcAAAADwAAAGRycy9kb3ducmV2LnhtbESPzYoCMRCE78K+Q2jBm2b0IMNoFBEEXbw47gM0k54f&#10;TDpDknXGt98Iwh6LqvqK2u5Ha8STfOgcK1guMhDEldMdNwp+7qd5DiJEZI3GMSl4UYD97muyxUK7&#10;gW/0LGMjEoRDgQraGPtCylC1ZDEsXE+cvNp5izFJ30jtcUhwa+Qqy9bSYsdpocWeji1Vj/LXKpD3&#10;8jTkpfGZ+17VV3M532pySs2m42EDItIY/8Of9lkrWOdL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u1ErBAAAA3AAAAA8AAAAAAAAAAAAAAAAAmAIAAGRycy9kb3du&#10;cmV2LnhtbFBLBQYAAAAABAAEAPUAAACGAwAAAAA=&#10;" filled="f" stroked="f">
              <v:textbox style="mso-next-textbox:#Rectangle 317;mso-fit-shape-to-text:t" inset="0,0,0,0">
                <w:txbxContent>
                  <w:p w:rsidR="001F544B" w:rsidRDefault="001F544B" w:rsidP="00B4550A">
                    <w:r>
                      <w:rPr>
                        <w:rFonts w:ascii="Calibri" w:hAnsi="Calibri" w:cs="Calibri"/>
                        <w:b/>
                        <w:bCs/>
                        <w:color w:val="000000"/>
                        <w:sz w:val="16"/>
                        <w:szCs w:val="16"/>
                      </w:rPr>
                      <w:t>-</w:t>
                    </w:r>
                  </w:p>
                </w:txbxContent>
              </v:textbox>
            </v:rect>
            <v:rect id="Rectangle 318" o:spid="_x0000_s1740" style="position:absolute;left:27940;top:1803;width:615;height:131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KPcEA&#10;AADcAAAADwAAAGRycy9kb3ducmV2LnhtbESP3YrCMBSE7wXfIZwF7zTdXkjpGmVZEFS8se4DHJrT&#10;HzY5KUm09e2NIOzlMDPfMJvdZI24kw+9YwWfqwwEce10z62C3+t+WYAIEVmjcUwKHhRgt53PNlhq&#10;N/KF7lVsRYJwKFFBF+NQShnqjiyGlRuIk9c4bzEm6VupPY4Jbo3Ms2wtLfacFjoc6Kej+q+6WQXy&#10;Wu3HojI+c6e8OZvj4dKQU2rxMX1/gYg0xf/wu33QCtZ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8Sj3BAAAA3AAAAA8AAAAAAAAAAAAAAAAAmAIAAGRycy9kb3du&#10;cmV2LnhtbFBLBQYAAAAABAAEAPUAAACGAwAAAAA=&#10;" filled="f" stroked="f">
              <v:textbox style="mso-next-textbox:#Rectangle 318;mso-fit-shape-to-text:t" inset="0,0,0,0">
                <w:txbxContent>
                  <w:p w:rsidR="001F544B" w:rsidRDefault="001F544B" w:rsidP="00B4550A"/>
                </w:txbxContent>
              </v:textbox>
            </v:rect>
            <v:shape id="Freeform 319" o:spid="_x0000_s1741" style="position:absolute;left:7816;top:1206;width:22727;height:28880;visibility:visible;mso-wrap-style:square;v-text-anchor:top" coordsize="3579,4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0WdcMA&#10;AADcAAAADwAAAGRycy9kb3ducmV2LnhtbESP32rCMBTG7we+QzjC7maqQ5HOKKMgbKgXq3uAQ3Js&#10;6pqT0mS18+mNIOzy4/vz41ttBteInrpQe1YwnWQgiLU3NVcKvo/blyWIEJENNp5JwR8F2KxHTyvM&#10;jb/wF/VlrEQa4ZCjAhtjm0sZtCWHYeJb4uSdfOcwJtlV0nR4SeOukbMsW0iHNSeCxZYKS/qn/HUJ&#10;sp/bYmf07OzO7nAtPvuy1yelnsfD+xuISEP8Dz/aH0bBYvkK9zPpCM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0WdcMAAADcAAAADwAAAAAAAAAAAAAAAACYAgAAZHJzL2Rv&#10;d25yZXYueG1sUEsFBgAAAAAEAAQA9QAAAIgDAAAAAA==&#10;" path="m,l,,3563,r16,l3579,4533r,15l3563,4548,,4548r,-15l,xm15,4533r-15,l3563,4533,3563,,,,15,r,4533xe" fillcolor="#868686" strokecolor="#868686" strokeweight="0">
              <v:path arrowok="t" o:connecttype="custom" o:connectlocs="0,0;0,0;0,0;1436732398,0;1443184185,0;1443184185,0;1443184185,1827873355;1443184185,1833921910;1436732398,1833921910;0,1833921910;0,1833921910;0,1827873355;0,0;6048551,1827873355;0,1827873355;1436732398,1827873355;1436732398,1827873355;1436732398,0;1436732398,0;0,0;6048551,0;6048551,1827873355" o:connectangles="0,0,0,0,0,0,0,0,0,0,0,0,0,0,0,0,0,0,0,0,0,0"/>
              <o:lock v:ext="edit" verticies="t"/>
            </v:shape>
            <v:rect id="Rectangle 320" o:spid="_x0000_s1742" style="position:absolute;left:32943;top:1803;width:23533;height:28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oDMQA&#10;AADcAAAADwAAAGRycy9kb3ducmV2LnhtbESPW4vCMBSE3xf8D+EIvq2Jly1ajSKCIKz74AV8PTTH&#10;ttic1CZq99+bhQUfh5n5hpkvW1uJBzW+dKxh0FcgiDNnSs41nI6bzwkIH5ANVo5Jwy95WC46H3NM&#10;jXvynh6HkIsIYZ+ihiKEOpXSZwVZ9H1XE0fv4hqLIcoml6bBZ4TbSg6VSqTFkuNCgTWtC8quh7vV&#10;gMnY3H4uo93x+57gNG/V5uustO5129UMRKA2vMP/7a3RkEzG8HcmH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KaAzEAAAA3AAAAA8AAAAAAAAAAAAAAAAAmAIAAGRycy9k&#10;b3ducmV2LnhtbFBLBQYAAAAABAAEAPUAAACJAwAAAAA=&#10;" stroked="f"/>
            <v:shape id="Picture 321" o:spid="_x0000_s1743" type="#_x0000_t75" style="position:absolute;left:37655;top:2508;width:16821;height:17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ot8TGAAAA3AAAAA8AAABkcnMvZG93bnJldi54bWxEj0FrwkAUhO8F/8PyBG91Y21FUleRQqEt&#10;XrpKobdH9jWJZt+G7CbG/PquIHgcZuYbZrXpbSU6anzpWMFsmoAgzpwpOVdw2L8/LkH4gGywckwK&#10;LuRhsx49rDA17szf1OmQiwhhn6KCIoQ6ldJnBVn0U1cTR+/PNRZDlE0uTYPnCLeVfEqShbRYclwo&#10;sKa3grKTbq0Cux9+9Lztds9fbX35HY7aDp9aqcm4376CCNSHe/jW/jAKFssXuJ6JR0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2i3xMYAAADcAAAADwAAAAAAAAAAAAAA&#10;AACfAgAAZHJzL2Rvd25yZXYueG1sUEsFBgAAAAAEAAQA9wAAAJIDAAAAAA==&#10;">
              <v:imagedata r:id="rId54" o:title=""/>
            </v:shape>
            <v:shape id="Picture 322" o:spid="_x0000_s1744" type="#_x0000_t75" style="position:absolute;left:37655;top:2508;width:16821;height:17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rNRrFAAAA3AAAAA8AAABkcnMvZG93bnJldi54bWxEj1FLwzAUhd8F/0O4gi/DpW5SS102xkDY&#10;gwxW/QHX5tpEm5uSZGv3781A8PFwzvkOZ7WZXC/OFKL1rOBxXoAgbr223Cn4eH99qEDEhKyx90wK&#10;LhRhs769WWGt/chHOjepExnCsUYFJqWhljK2hhzGuR+Is/flg8OUZeikDjhmuOvloihK6dByXjA4&#10;0M5Q+9OcnIJP18zsaLb26W15lMtQzb4X7UGp+7tp+wIi0ZT+w3/tvVZQVs9wPZ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zUaxQAAANwAAAAPAAAAAAAAAAAAAAAA&#10;AJ8CAABkcnMvZG93bnJldi54bWxQSwUGAAAAAAQABAD3AAAAkQMAAAAA&#10;">
              <v:imagedata r:id="rId55" o:title=""/>
            </v:shape>
            <v:shape id="Freeform 323" o:spid="_x0000_s1745" style="position:absolute;left:37852;top:19754;width:15322;height:1607;visibility:visible;mso-wrap-style:square;v-text-anchor:top" coordsize="2413,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5pr4A&#10;AADcAAAADwAAAGRycy9kb3ducmV2LnhtbERPSwrCMBDdC94hjODOpoqKVKOIIIgLwQ/ocmzGtthM&#10;ahO13t4sBJeP958tGlOKF9WusKygH8UgiFOrC84UnI7r3gSE88gaS8uk4EMOFvN2a4aJtm/e0+vg&#10;MxFC2CWoIPe+SqR0aU4GXWQr4sDdbG3QB1hnUtf4DuGmlIM4HkuDBYeGHCta5ZTeD0+jYKkbx6NL&#10;8aHt8Fg+rtXuch6QUt1Os5yC8NT4v/jn3mgF40lYG86EI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Cfuaa+AAAA3AAAAA8AAAAAAAAAAAAAAAAAmAIAAGRycy9kb3ducmV2&#10;LnhtbFBLBQYAAAAABAAEAPUAAACDAwAAAAA=&#10;" path="m,l,253,,xm1198,r,253l1198,xm2413,r,253l2413,xe" strokecolor="white" strokeweight="0">
              <v:path arrowok="t" o:connecttype="custom" o:connectlocs="0,0;0,102047040;0,102047040;0,0;0,0;483052831,0;483052831,102047040;483052831,102047040;483052831,0;483052831,0;972960335,0;972960335,102047040;972960335,102047040;972960335,0;972960335,0" o:connectangles="0,0,0,0,0,0,0,0,0,0,0,0,0,0,0"/>
              <o:lock v:ext="edit" verticies="t"/>
            </v:shape>
            <v:rect id="Rectangle 324" o:spid="_x0000_s1746" style="position:absolute;left:40259;top:20059;width:2076;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next-textbox:#Rectangle 324;mso-fit-shape-to-text:t" inset="0,0,0,0">
                <w:txbxContent>
                  <w:p w:rsidR="001F544B" w:rsidRDefault="001F544B" w:rsidP="00B4550A">
                    <w:r>
                      <w:rPr>
                        <w:rFonts w:ascii="Calibri" w:hAnsi="Calibri" w:cs="Calibri"/>
                        <w:color w:val="000000"/>
                        <w:sz w:val="16"/>
                        <w:szCs w:val="16"/>
                      </w:rPr>
                      <w:t>Tone</w:t>
                    </w:r>
                  </w:p>
                </w:txbxContent>
              </v:textbox>
            </v:rect>
            <v:rect id="Rectangle 325" o:spid="_x0000_s1747" style="position:absolute;left:47066;top:20059;width:3657;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nDMAA&#10;AADcAAAADwAAAGRycy9kb3ducmV2LnhtbERPS2rDMBDdF3IHMYHsGrlZBNe1HEohkIRsYvcAgzX+&#10;UGlkJCV2b18tAl0+3r88LNaIB/kwOlbwts1AELdOj9wr+G6OrzmIEJE1Gsek4JcCHKrVS4mFdjPf&#10;6FHHXqQQDgUqGGKcCilDO5DFsHUTceI65y3GBH0vtcc5hVsjd1m2lxZHTg0DTvQ1UPtT360C2dTH&#10;Oa+Nz9xl113N+XTryCm1WS+fHyAiLfFf/HSftIL9e5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vnDMAAAADcAAAADwAAAAAAAAAAAAAAAACYAgAAZHJzL2Rvd25y&#10;ZXYueG1sUEsFBgAAAAAEAAQA9QAAAIUDAAAAAA==&#10;" filled="f" stroked="f">
              <v:textbox style="mso-next-textbox:#Rectangle 325;mso-fit-shape-to-text:t" inset="0,0,0,0">
                <w:txbxContent>
                  <w:p w:rsidR="001F544B" w:rsidRDefault="001F544B" w:rsidP="00B4550A">
                    <w:r>
                      <w:rPr>
                        <w:rFonts w:ascii="Calibri" w:hAnsi="Calibri" w:cs="Calibri"/>
                        <w:color w:val="000000"/>
                        <w:sz w:val="16"/>
                        <w:szCs w:val="16"/>
                      </w:rPr>
                      <w:t>Tone-km</w:t>
                    </w:r>
                  </w:p>
                </w:txbxContent>
              </v:textbox>
            </v:rect>
            <v:shape id="Freeform 326" o:spid="_x0000_s1748" style="position:absolute;left:33947;top:21361;width:19227;height:1505;visibility:visible;mso-wrap-style:square;v-text-anchor:top" coordsize="30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UQsMA&#10;AADcAAAADwAAAGRycy9kb3ducmV2LnhtbESP0YrCMBRE34X9h3CFfdPUBWutRllkVxTxYV0/4NJc&#10;22JzU5tU698bQfBxmJkzzHzZmUpcqXGlZQWjYQSCOLO65FzB8f93kIBwHlljZZkU3MnBcvHRm2Oq&#10;7Y3/6HrwuQgQdikqKLyvUyldVpBBN7Q1cfBOtjHog2xyqRu8Bbip5FcUxdJgyWGhwJpWBWXnQ2sU&#10;2PFPG+N9kh23e71Dm6zbycUo9dnvvmcgPHX+HX61N1pBPB3D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IUQsMAAADcAAAADwAAAAAAAAAAAAAAAACYAgAAZHJzL2Rv&#10;d25yZXYueG1sUEsFBgAAAAAEAAQA9QAAAIgDAAAAAA==&#10;" path="m,l3028,,,xm,l,237,,xm615,r,237l615,xm615,r,237l615,xm615,r,237l615,xm1813,r,237l1813,xm1813,r,237l1813,xm1813,r,237l1813,xm3028,r,237l3028,xm3028,r,237l3028,xm3028,r,237l3028,xe" strokecolor="white" strokeweight="0">
              <v:path arrowok="t" o:connecttype="custom" o:connectlocs="0,0;1220931645,0;1220931645,0;0,0;0,0;0,0;0,95569405;0,95569405;0,0;0,0;247976540,0;247976540,95569405;247976540,95569405;247976540,0;247976540,0;247976540,0;247976540,95569405;247976540,95569405;247976540,0;247976540,0;247976540,0;247976540,95569405;247976540,95569405;247976540,0;247976540,0;731026774,0;731026774,95569405;731026774,95569405;731026774,0;731026774,0;731026774,0;731026774,95569405;731026774,95569405;731026774,0;731026774,0;731026774,0;731026774,95569405;731026774,95569405;731026774,0;731026774,0;1220931645,0;1220931645,95569405;1220931645,95569405;1220931645,0;1220931645,0;1220931645,0;1220931645,95569405;1220931645,95569405;1220931645,0;1220931645,0;1220931645,0;1220931645,95569405;1220931645,95569405;1220931645,0;1220931645,0" o:connectangles="0,0,0,0,0,0,0,0,0,0,0,0,0,0,0,0,0,0,0,0,0,0,0,0,0,0,0,0,0,0,0,0,0,0,0,0,0,0,0,0,0,0,0,0,0,0,0,0,0,0,0,0,0,0,0"/>
              <o:lock v:ext="edit" verticies="t"/>
            </v:shape>
            <v:rect id="Rectangle 327" o:spid="_x0000_s1749" style="position:absolute;left:32778;top:21761;width:603;height: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SvzMUA&#10;AADcAAAADwAAAGRycy9kb3ducmV2LnhtbESPQWvCQBSE74L/YXlCb7prC61EVxGptIVK1Xjw+Mw+&#10;k2D2bchuk/Tfd4VCj8PMfMMsVr2tREuNLx1rmE4UCOLMmZJzDad0O56B8AHZYOWYNPyQh9VyOFhg&#10;YlzHB2qPIRcRwj5BDUUIdSKlzwqy6CeuJo7e1TUWQ5RNLk2DXYTbSj4q9SwtlhwXCqxpU1B2O35b&#10;DRd16Nv683VP6S7tvs4f9u2ytVo/jPr1HESgPvyH/9rvRsOLeoL7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K/MxQAAANwAAAAPAAAAAAAAAAAAAAAAAJgCAABkcnMv&#10;ZG93bnJldi54bWxQSwUGAAAAAAQABAD1AAAAigMAAAAA&#10;" fillcolor="#4f81bd" stroked="f"/>
            <v:rect id="Rectangle 328" o:spid="_x0000_s1750" style="position:absolute;left:33947;top:21361;width:3905;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2YsYA&#10;AADcAAAADwAAAGRycy9kb3ducmV2LnhtbESPQWvCQBSE70L/w/IKXkQ3FbGauoZSCPQgFFMPentk&#10;n9m02bchu5q0v75bEDwOM/MNs8kG24grdb52rOBploAgLp2uuVJw+MynKxA+IGtsHJOCH/KQbR9G&#10;G0y163lP1yJUIkLYp6jAhNCmUvrSkEU/cy1x9M6usxii7CqpO+wj3DZyniRLabHmuGCwpTdD5Xdx&#10;sQryj2NN/Cv3k/Wqd1/l/FSYXavU+HF4fQERaAj38K39rhU8Jwv4PxOP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s2YsYAAADcAAAADwAAAAAAAAAAAAAAAACYAgAAZHJz&#10;L2Rvd25yZXYueG1sUEsFBgAAAAAEAAQA9QAAAIsDAAAAAA==&#10;" filled="f" stroked="f">
              <v:textbox style="mso-next-textbox:#Rectangle 328;mso-fit-shape-to-text:t" inset="0,0,0,0">
                <w:txbxContent>
                  <w:p w:rsidR="001F544B" w:rsidRDefault="001F544B" w:rsidP="00B4550A">
                    <w:r>
                      <w:rPr>
                        <w:rFonts w:ascii="Calibri" w:hAnsi="Calibri" w:cs="Calibri"/>
                        <w:color w:val="000000"/>
                        <w:sz w:val="16"/>
                        <w:szCs w:val="16"/>
                      </w:rPr>
                      <w:t>Rutier</w:t>
                    </w:r>
                  </w:p>
                </w:txbxContent>
              </v:textbox>
            </v:rect>
            <v:rect id="Rectangle 329" o:spid="_x0000_s1751" style="position:absolute;left:40455;top:21361;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fejsIA&#10;AADcAAAADwAAAGRycy9kb3ducmV2LnhtbESP3WoCMRSE74W+QziF3mmiUCtbo4ggWPHG1Qc4bM7+&#10;0ORkSaK7fXtTKPRymJlvmPV2dFY8KMTOs4b5TIEgrrzpuNFwux6mKxAxIRu0nknDD0XYbl4mayyM&#10;H/hCjzI1IkM4FqihTakvpIxVSw7jzPfE2at9cJiyDI00AYcMd1YulFpKhx3nhRZ72rdUfZd3p0Fe&#10;y8OwKm1Q/rSoz/breKnJa/32Ou4+QSQa03/4r300Gj7U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96OwgAAANwAAAAPAAAAAAAAAAAAAAAAAJgCAABkcnMvZG93&#10;bnJldi54bWxQSwUGAAAAAAQABAD1AAAAhwMAAAAA&#10;" filled="f" stroked="f">
              <v:textbox style="mso-next-textbox:#Rectangle 329;mso-fit-shape-to-text:t" inset="0,0,0,0">
                <w:txbxContent>
                  <w:p w:rsidR="001F544B" w:rsidRDefault="001F544B" w:rsidP="00B4550A">
                    <w:r>
                      <w:rPr>
                        <w:rFonts w:ascii="Calibri" w:hAnsi="Calibri" w:cs="Calibri"/>
                        <w:color w:val="000000"/>
                        <w:sz w:val="16"/>
                        <w:szCs w:val="16"/>
                      </w:rPr>
                      <w:t>30.8%</w:t>
                    </w:r>
                  </w:p>
                </w:txbxContent>
              </v:textbox>
            </v:rect>
            <v:rect id="Rectangle 330" o:spid="_x0000_s1752" style="position:absolute;left:48063;top:21361;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A+cIA&#10;AADcAAAADwAAAGRycy9kb3ducmV2LnhtbESP3WoCMRSE74W+QzhC7zTRC5WtUUQQrPTG1Qc4bM7+&#10;0ORkSVJ3+/amUPBymJlvmO1+dFY8KMTOs4bFXIEgrrzpuNFwv51mGxAxIRu0nknDL0XY794mWyyM&#10;H/hKjzI1IkM4FqihTakvpIxVSw7j3PfE2at9cJiyDI00AYcMd1YulVpJhx3nhRZ7OrZUfZc/ToO8&#10;ladhU9qg/GVZf9nP87Umr/X7dDx8gEg0plf4v302GtZqBX9n8hG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UD5wgAAANwAAAAPAAAAAAAAAAAAAAAAAJgCAABkcnMvZG93&#10;bnJldi54bWxQSwUGAAAAAAQABAD1AAAAhwMAAAAA&#10;" filled="f" stroked="f">
              <v:textbox style="mso-next-textbox:#Rectangle 330;mso-fit-shape-to-text:t" inset="0,0,0,0">
                <w:txbxContent>
                  <w:p w:rsidR="001F544B" w:rsidRDefault="001F544B" w:rsidP="00B4550A">
                    <w:r>
                      <w:rPr>
                        <w:rFonts w:ascii="Calibri" w:hAnsi="Calibri" w:cs="Calibri"/>
                        <w:color w:val="000000"/>
                        <w:sz w:val="16"/>
                        <w:szCs w:val="16"/>
                      </w:rPr>
                      <w:t>40.1%</w:t>
                    </w:r>
                  </w:p>
                </w:txbxContent>
              </v:textbox>
            </v:rect>
            <v:shape id="Freeform 331" o:spid="_x0000_s1753" style="position:absolute;left:33947;top:22866;width:19227;height:1606;visibility:visible;mso-wrap-style:square;v-text-anchor:top" coordsize="302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FecEA&#10;AADcAAAADwAAAGRycy9kb3ducmV2LnhtbESPQWsCMRSE7wX/Q3hCbzWxSF1WoyxKYa/a9v7YvO4u&#10;bl6WJK7x35uC0OMwM98w232yg5jIh96xhuVCgSBunOm51fD99flWgAgR2eDgmDTcKcB+N3vZYmnc&#10;jU80nWMrMoRDiRq6GMdSytB0ZDEs3EicvV/nLcYsfSuNx1uG20G+K/UhLfacFzoc6dBRczlfrYb6&#10;UhWqSH5I2Bzjig/1z1SttH6dp2oDIlKK/+FnuzYa1moNf2fyEZC7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2hXnBAAAA3AAAAA8AAAAAAAAAAAAAAAAAmAIAAGRycy9kb3du&#10;cmV2LnhtbFBLBQYAAAAABAAEAPUAAACGAwAAAAA=&#10;" path="m,l3028,,,xm,l,253,,xm615,r,253l615,xm615,r,253l615,xm615,r,253l615,xm1813,r,253l1813,xm1813,r,253l1813,xm1813,r,253l1813,xm3028,r,253l3028,xm3028,r,253l3028,xm3028,r,253l3028,xe" strokecolor="white" strokeweight="0">
              <v:path arrowok="t" o:connecttype="custom" o:connectlocs="0,0;1220931645,0;1220931645,0;0,0;0,0;0,0;0,101983540;0,101983540;0,0;0,0;247976540,0;247976540,101983540;247976540,101983540;247976540,0;247976540,0;247976540,0;247976540,101983540;247976540,101983540;247976540,0;247976540,0;247976540,0;247976540,101983540;247976540,101983540;247976540,0;247976540,0;731026774,0;731026774,101983540;731026774,101983540;731026774,0;731026774,0;731026774,0;731026774,101983540;731026774,101983540;731026774,0;731026774,0;731026774,0;731026774,101983540;731026774,101983540;731026774,0;731026774,0;1220931645,0;1220931645,101983540;1220931645,101983540;1220931645,0;1220931645,0;1220931645,0;1220931645,101983540;1220931645,101983540;1220931645,0;1220931645,0;1220931645,0;1220931645,101983540;1220931645,101983540;1220931645,0;1220931645,0" o:connectangles="0,0,0,0,0,0,0,0,0,0,0,0,0,0,0,0,0,0,0,0,0,0,0,0,0,0,0,0,0,0,0,0,0,0,0,0,0,0,0,0,0,0,0,0,0,0,0,0,0,0,0,0,0,0,0"/>
              <o:lock v:ext="edit" verticies="t"/>
            </v:shape>
            <v:rect id="Rectangle 332" o:spid="_x0000_s1754" style="position:absolute;left:32778;top:23368;width:603;height: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lpj8AA&#10;AADcAAAADwAAAGRycy9kb3ducmV2LnhtbERPTU8CMRC9k/AfmiHxBi0kCq4UogQjCSdAPY/bsd24&#10;nW7aCuu/twcSji/ve7nufSvOFFMTWMN0okAQ18E0bDW8n17HCxApIxtsA5OGP0qwXg0HS6xMuPCB&#10;zsdsRQnhVKEGl3NXSZlqRx7TJHTEhfsO0WMuMFppIl5KuG/lTKkH6bHh0uCwo42j+uf46zXYR5f2&#10;n/cfL19bO23k29xvVfRa34365ycQmfp8E1/dO6NhrsracqYcAb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lpj8AAAADcAAAADwAAAAAAAAAAAAAAAACYAgAAZHJzL2Rvd25y&#10;ZXYueG1sUEsFBgAAAAAEAAQA9QAAAIUDAAAAAA==&#10;" fillcolor="#c0504d" stroked="f"/>
            <v:rect id="Rectangle 333" o:spid="_x0000_s1755" style="position:absolute;left:33947;top:22967;width:3594;height:1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YA&#10;AADcAAAADwAAAGRycy9kb3ducmV2LnhtbESPQWvCQBSE70L/w/IKXqRu9FA1ZiOlIHgQitGDvT2y&#10;z2za7NuQXU3sr+8WCh6HmfmGyTaDbcSNOl87VjCbJiCIS6drrhScjtuXJQgfkDU2jknBnTxs8qdR&#10;hql2PR/oVoRKRAj7FBWYENpUSl8asuinriWO3sV1FkOUXSV1h32E20bOk+RVWqw5Lhhs6d1Q+V1c&#10;rYLtx7km/pGHyWrZu69y/lmYfavU+Hl4W4MINIRH+L+90woWyQr+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MYAAADcAAAADwAAAAAAAAAAAAAAAACYAgAAZHJz&#10;L2Rvd25yZXYueG1sUEsFBgAAAAAEAAQA9QAAAIsDAAAAAA==&#10;" filled="f" stroked="f">
              <v:textbox style="mso-next-textbox:#Rectangle 333;mso-fit-shape-to-text:t" inset="0,0,0,0">
                <w:txbxContent>
                  <w:p w:rsidR="001F544B" w:rsidRPr="0084104D" w:rsidRDefault="001F544B" w:rsidP="00B4550A">
                    <w:pPr>
                      <w:rPr>
                        <w:lang w:val="ro-RO"/>
                      </w:rPr>
                    </w:pPr>
                    <w:r>
                      <w:rPr>
                        <w:rFonts w:ascii="Calibri" w:hAnsi="Calibri" w:cs="Calibri"/>
                        <w:color w:val="000000"/>
                        <w:sz w:val="16"/>
                        <w:szCs w:val="16"/>
                        <w:lang w:val="ro-RO"/>
                      </w:rPr>
                      <w:t>Feroviar</w:t>
                    </w:r>
                  </w:p>
                </w:txbxContent>
              </v:textbox>
            </v:rect>
            <v:rect id="Rectangle 334" o:spid="_x0000_s1756" style="position:absolute;left:40455;top:22967;width:2534;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nry8AA&#10;AADcAAAADwAAAGRycy9kb3ducmV2LnhtbERPS2rDMBDdF3IHMYHsGjlZpMaNbEogkJZsYvcAgzX+&#10;UGlkJCV2b18tAl0+3v9YLdaIB/kwOlaw22YgiFunR+4VfDfn1xxEiMgajWNS8EsBqnL1csRCu5lv&#10;9KhjL1IIhwIVDDFOhZShHchi2LqJOHGd8xZjgr6X2uOcwq2R+yw7SIsjp4YBJzoN1P7Ud6tANvV5&#10;zmvjM/e1767m83LryCm1WS8f7yAiLfFf/HRftIK3XZqfzqQjI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4nry8AAAADcAAAADwAAAAAAAAAAAAAAAACYAgAAZHJzL2Rvd25y&#10;ZXYueG1sUEsFBgAAAAAEAAQA9QAAAIUDAAAAAA==&#10;" filled="f" stroked="f">
              <v:textbox style="mso-next-textbox:#Rectangle 334;mso-fit-shape-to-text:t" inset="0,0,0,0">
                <w:txbxContent>
                  <w:p w:rsidR="001F544B" w:rsidRDefault="001F544B" w:rsidP="00B4550A">
                    <w:r>
                      <w:rPr>
                        <w:rFonts w:ascii="Calibri" w:hAnsi="Calibri" w:cs="Calibri"/>
                        <w:color w:val="000000"/>
                        <w:sz w:val="16"/>
                        <w:szCs w:val="16"/>
                      </w:rPr>
                      <w:t>13.9%</w:t>
                    </w:r>
                  </w:p>
                </w:txbxContent>
              </v:textbox>
            </v:rect>
            <v:rect id="Rectangle 335" o:spid="_x0000_s1757" style="position:absolute;left:48063;top:22967;width:2533;height:123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OUMIA&#10;AADcAAAADwAAAGRycy9kb3ducmV2LnhtbESPzYoCMRCE7wu+Q2jB25oZD66MRhFBcGUvjj5AM+n5&#10;waQzJFlnfHsjLOyxqKqvqM1utEY8yIfOsYJ8noEgrpzuuFFwux4/VyBCRNZoHJOCJwXYbScfGyy0&#10;G/hCjzI2IkE4FKigjbEvpAxVSxbD3PXEyaudtxiT9I3UHocEt0YusmwpLXacFlrs6dBSdS9/rQJ5&#10;LY/DqjQ+c+dF/WO+T5eanFKz6bhfg4g0xv/wX/ukFXzlO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xU5QwgAAANwAAAAPAAAAAAAAAAAAAAAAAJgCAABkcnMvZG93&#10;bnJldi54bWxQSwUGAAAAAAQABAD1AAAAhwMAAAAA&#10;" filled="f" stroked="f">
              <v:textbox style="mso-next-textbox:#Rectangle 335;mso-fit-shape-to-text:t" inset="0,0,0,0">
                <w:txbxContent>
                  <w:p w:rsidR="001F544B" w:rsidRDefault="001F544B" w:rsidP="00B4550A">
                    <w:r>
                      <w:rPr>
                        <w:rFonts w:ascii="Calibri" w:hAnsi="Calibri" w:cs="Calibri"/>
                        <w:color w:val="000000"/>
                        <w:sz w:val="16"/>
                        <w:szCs w:val="16"/>
                      </w:rPr>
                      <w:t>26.2%</w:t>
                    </w:r>
                  </w:p>
                </w:txbxContent>
              </v:textbox>
            </v:rect>
            <v:shape id="Freeform 336" o:spid="_x0000_s1758" style="position:absolute;left:33947;top:24472;width:19227;height:1505;visibility:visible;mso-wrap-style:square;v-text-anchor:top" coordsize="30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A8cQA&#10;AADcAAAADwAAAGRycy9kb3ducmV2LnhtbESP3WrCQBSE7wu+w3KE3tWNgRqJriLSFov0wp8HOGSP&#10;STB7Ns1u/t7eLQi9HGbmG2a9HUwlOmpcaVnBfBaBIM6sLjlXcL18vi1BOI+ssbJMCkZysN1MXtaY&#10;atvzibqzz0WAsEtRQeF9nUrpsoIMupmtiYN3s41BH2STS91gH+CmknEULaTBksNCgTXtC8ru59Yo&#10;sO8f7QLHJLt+/+gj2uVXm/wapV6nw24FwtPg/8PP9kErSOYx/J0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JgPHEAAAA3AAAAA8AAAAAAAAAAAAAAAAAmAIAAGRycy9k&#10;b3ducmV2LnhtbFBLBQYAAAAABAAEAPUAAACJAwAAAAA=&#10;" path="m,l3028,,,xm,l,237,,xm615,r,237l615,xm615,r,237l615,xm615,r,237l615,xm1813,r,237l1813,xm1813,r,237l1813,xm1813,r,237l1813,xm3028,r,237l3028,xm3028,r,237l3028,xm3028,r,237l3028,xe" strokecolor="white" strokeweight="0">
              <v:path arrowok="t" o:connecttype="custom" o:connectlocs="0,0;1220931645,0;1220931645,0;0,0;0,0;0,0;0,95569405;0,95569405;0,0;0,0;247976540,0;247976540,95569405;247976540,95569405;247976540,0;247976540,0;247976540,0;247976540,95569405;247976540,95569405;247976540,0;247976540,0;247976540,0;247976540,95569405;247976540,95569405;247976540,0;247976540,0;731026774,0;731026774,95569405;731026774,95569405;731026774,0;731026774,0;731026774,0;731026774,95569405;731026774,95569405;731026774,0;731026774,0;731026774,0;731026774,95569405;731026774,95569405;731026774,0;731026774,0;1220931645,0;1220931645,95569405;1220931645,95569405;1220931645,0;1220931645,0;1220931645,0;1220931645,95569405;1220931645,95569405;1220931645,0;1220931645,0;1220931645,0;1220931645,95569405;1220931645,95569405;1220931645,0;1220931645,0" o:connectangles="0,0,0,0,0,0,0,0,0,0,0,0,0,0,0,0,0,0,0,0,0,0,0,0,0,0,0,0,0,0,0,0,0,0,0,0,0,0,0,0,0,0,0,0,0,0,0,0,0,0,0,0,0,0,0"/>
              <o:lock v:ext="edit" verticies="t"/>
            </v:shape>
            <v:rect id="Rectangle 337" o:spid="_x0000_s1759" style="position:absolute;left:32778;top:24974;width:603;height:5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62cUA&#10;AADcAAAADwAAAGRycy9kb3ducmV2LnhtbESPzUoDMRSF94LvEK7Qnc10ClWmTYtVSguubBXa3WVy&#10;nQQnN8MkTtM+vREEl4fz83EWq+RaMVAfrGcFk3EBgrj22nKj4P2wuX8EESKyxtYzKbhQgNXy9maB&#10;lfZnfqNhHxuRRzhUqMDE2FVShtqQwzD2HXH2Pn3vMGbZN1L3eM7jrpVlUcykQ8uZYLCjZ0P11/7b&#10;ZcjWplfzsT4mNof18HIs7elaKjW6S09zEJFS/A//tXdawcNkCr9n8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zrZxQAAANwAAAAPAAAAAAAAAAAAAAAAAJgCAABkcnMv&#10;ZG93bnJldi54bWxQSwUGAAAAAAQABAD1AAAAigMAAAAA&#10;" fillcolor="#9bbb59" stroked="f"/>
            <v:rect id="Rectangle 338" o:spid="_x0000_s1760" style="position:absolute;left:33947;top:24472;width:3695;height:1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gv8UA&#10;AADcAAAADwAAAGRycy9kb3ducmV2LnhtbESPQWvCQBSE70L/w/IKvYhuFLEaXaUUhB4EMfagt0f2&#10;mY1m34bs1qT99V1B8DjMzDfMct3ZStyo8aVjBaNhAoI4d7rkQsH3YTOYgfABWWPlmBT8kof16qW3&#10;xFS7lvd0y0IhIoR9igpMCHUqpc8NWfRDVxNH7+waiyHKppC6wTbCbSXHSTKVFkuOCwZr+jSUX7Mf&#10;q2CzO5bEf3Lfn89ad8nHp8xsa6XeXruPBYhAXXiGH+0vreB9NIH7mXg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qC/xQAAANwAAAAPAAAAAAAAAAAAAAAAAJgCAABkcnMv&#10;ZG93bnJldi54bWxQSwUGAAAAAAQABAD1AAAAigMAAAAA&#10;" filled="f" stroked="f">
              <v:textbox style="mso-next-textbox:#Rectangle 338;mso-fit-shape-to-text:t" inset="0,0,0,0">
                <w:txbxContent>
                  <w:p w:rsidR="001F544B" w:rsidRPr="0084104D" w:rsidRDefault="001F544B" w:rsidP="00B4550A">
                    <w:pPr>
                      <w:rPr>
                        <w:lang w:val="ro-RO"/>
                      </w:rPr>
                    </w:pPr>
                    <w:r w:rsidRPr="0084104D">
                      <w:rPr>
                        <w:rFonts w:asciiTheme="minorHAnsi" w:hAnsiTheme="minorHAnsi"/>
                        <w:sz w:val="16"/>
                        <w:szCs w:val="16"/>
                        <w:lang w:val="ro-RO"/>
                      </w:rPr>
                      <w:t>Naval</w:t>
                    </w:r>
                  </w:p>
                </w:txbxContent>
              </v:textbox>
            </v:rect>
            <v:rect id="Rectangle 339" o:spid="_x0000_s1761" style="position:absolute;left:40455;top:24574;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IU8IA&#10;AADcAAAADwAAAGRycy9kb3ducmV2LnhtbESPzYoCMRCE74LvEFrwphkFXRmNIoLgLl4cfYBm0vOD&#10;SWdIojP79puFhT0WVfUVtTsM1og3+dA6VrCYZyCIS6dbrhU87ufZBkSIyBqNY1LwTQEO+/Foh7l2&#10;Pd/oXcRaJAiHHBU0MXa5lKFsyGKYu444eZXzFmOSvpbaY5/g1shllq2lxZbTQoMdnRoqn8XLKpD3&#10;4txvCuMz97WsrubzcqvIKTWdDMctiEhD/A//tS9awcd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khTwgAAANwAAAAPAAAAAAAAAAAAAAAAAJgCAABkcnMvZG93&#10;bnJldi54bWxQSwUGAAAAAAQABAD1AAAAhwMAAAAA&#10;" filled="f" stroked="f">
              <v:textbox style="mso-next-textbox:#Rectangle 339;mso-fit-shape-to-text:t" inset="0,0,0,0">
                <w:txbxContent>
                  <w:p w:rsidR="001F544B" w:rsidRDefault="001F544B" w:rsidP="00B4550A">
                    <w:r>
                      <w:rPr>
                        <w:rFonts w:ascii="Calibri" w:hAnsi="Calibri" w:cs="Calibri"/>
                        <w:color w:val="000000"/>
                        <w:sz w:val="16"/>
                        <w:szCs w:val="16"/>
                      </w:rPr>
                      <w:t>22.7%</w:t>
                    </w:r>
                  </w:p>
                </w:txbxContent>
              </v:textbox>
            </v:rect>
            <v:rect id="Rectangle 340" o:spid="_x0000_s1762" style="position:absolute;left:48063;top:24574;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WJMIA&#10;AADcAAAADwAAAGRycy9kb3ducmV2LnhtbESPzYoCMRCE78K+Q2jBm5PRgyuzRlkEQcWL4z5AM+n5&#10;YZPOkGSd8e2NIOyxqKqvqM1utEbcyYfOsYJFloMgrpzuuFHwczvM1yBCRNZoHJOCBwXYbT8mGyy0&#10;G/hK9zI2IkE4FKigjbEvpAxVSxZD5nri5NXOW4xJ+kZqj0OCWyOXeb6SFjtOCy32tG+p+i3/rAJ5&#10;Kw/DujQ+d+dlfTGn47Ump9RsOn5/gYg0xv/wu33UCj4XK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LNYkwgAAANwAAAAPAAAAAAAAAAAAAAAAAJgCAABkcnMvZG93&#10;bnJldi54bWxQSwUGAAAAAAQABAD1AAAAhwMAAAAA&#10;" filled="f" stroked="f">
              <v:textbox style="mso-next-textbox:#Rectangle 340;mso-fit-shape-to-text:t" inset="0,0,0,0">
                <w:txbxContent>
                  <w:p w:rsidR="001F544B" w:rsidRDefault="001F544B" w:rsidP="00B4550A">
                    <w:r>
                      <w:rPr>
                        <w:rFonts w:ascii="Calibri" w:hAnsi="Calibri" w:cs="Calibri"/>
                        <w:color w:val="000000"/>
                        <w:sz w:val="16"/>
                        <w:szCs w:val="16"/>
                      </w:rPr>
                      <w:t>18.7%</w:t>
                    </w:r>
                  </w:p>
                </w:txbxContent>
              </v:textbox>
            </v:rect>
            <v:shape id="Freeform 341" o:spid="_x0000_s1763" style="position:absolute;left:33947;top:25977;width:19227;height:1601;visibility:visible;mso-wrap-style:square;v-text-anchor:top" coordsize="3028,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ac8UA&#10;AADcAAAADwAAAGRycy9kb3ducmV2LnhtbESPT4vCMBTE7wt+h/AEb2uqgn+qUYqwiwf3sOrB46N5&#10;tsXmpSSxrd/eCAt7HGbmN8xm15tatOR8ZVnBZJyAIM6trrhQcDl/fS5B+ICssbZMCp7kYbcdfGww&#10;1bbjX2pPoRARwj5FBWUITSqlz0sy6Me2IY7ezTqDIUpXSO2wi3BTy2mSzKXBiuNCiQ3tS8rvp4dR&#10;0DZ9tr89D7Psfpx230d3Xf3Mr0qNhn22BhGoD//hv/ZBK1hMFvA+E4+A3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lpzxQAAANwAAAAPAAAAAAAAAAAAAAAAAJgCAABkcnMv&#10;ZG93bnJldi54bWxQSwUGAAAAAAQABAD1AAAAigMAAAAA&#10;" path="m,l3028,r,16l,16,,xm,l,252,,xm615,r,252l615,xm615,r,252l615,xm615,r,252l615,xm1813,r,252l1813,xm1813,r,252l1813,xm1813,r,252l1813,xm3028,r,252l3028,xm3028,r,252l3028,xm3028,r,252l3028,xe" strokecolor="white" strokeweight="0">
              <v:path arrowok="t" o:connecttype="custom" o:connectlocs="0,0;1220931645,0;1220931645,6454987;0,6454987;0,0;0,0;0,101666040;0,101666040;0,0;0,0;247976540,0;247976540,101666040;247976540,101666040;247976540,0;247976540,0;247976540,0;247976540,101666040;247976540,101666040;247976540,0;247976540,0;247976540,0;247976540,101666040;247976540,101666040;247976540,0;247976540,0;731026774,0;731026774,101666040;731026774,101666040;731026774,0;731026774,0;731026774,0;731026774,101666040;731026774,101666040;731026774,0;731026774,0;731026774,0;731026774,101666040;731026774,101666040;731026774,0;731026774,0;1220931645,0;1220931645,101666040;1220931645,101666040;1220931645,0;1220931645,0;1220931645,0;1220931645,101666040;1220931645,101666040;1220931645,0;1220931645,0;1220931645,0;1220931645,101666040;1220931645,101666040;1220931645,0;1220931645,0" o:connectangles="0,0,0,0,0,0,0,0,0,0,0,0,0,0,0,0,0,0,0,0,0,0,0,0,0,0,0,0,0,0,0,0,0,0,0,0,0,0,0,0,0,0,0,0,0,0,0,0,0,0,0,0,0,0,0"/>
              <o:lock v:ext="edit" verticies="t"/>
            </v:shape>
            <v:rect id="Rectangle 342" o:spid="_x0000_s1764" style="position:absolute;left:32778;top:26479;width:603;height: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8c0sIA&#10;AADcAAAADwAAAGRycy9kb3ducmV2LnhtbERPy4rCMBTdC/MP4Qqz01RnrFKNMgwIwrjwUdDlpbk2&#10;xeamNFHr308WgsvDeS9Wna3FnVpfOVYwGiYgiAunKy4V5Mf1YAbCB2SNtWNS8CQPq+VHb4GZdg/e&#10;0/0QShFD2GeowITQZFL6wpBFP3QNceQurrUYImxLqVt8xHBby3GSpNJixbHBYEO/horr4WYVbHbm&#10;tj7nyeTrWe7G+elva9PvmVKf/e5nDiJQF97il3ujFUxHcW08E4+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fxzSwgAAANwAAAAPAAAAAAAAAAAAAAAAAJgCAABkcnMvZG93&#10;bnJldi54bWxQSwUGAAAAAAQABAD1AAAAhwMAAAAA&#10;" fillcolor="#8064a2" stroked="f"/>
            <v:rect id="Rectangle 343" o:spid="_x0000_s1765" style="position:absolute;left:33947;top:26073;width:3346;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MPIcYA&#10;AADcAAAADwAAAGRycy9kb3ducmV2LnhtbESPT4vCMBTE78J+h/AW9iKa6sE/1SjLgrAHQezuQW+P&#10;5tnUbV5Kk7XVT28EweMwM79hluvOVuJCjS8dKxgNExDEudMlFwp+fzaDGQgfkDVWjknBlTysV2+9&#10;JabatbynSxYKESHsU1RgQqhTKX1uyKIfupo4eifXWAxRNoXUDbYRbis5TpKJtFhyXDBY05eh/C/7&#10;two2u0NJfJP7/nzWunM+PmZmWyv18d59LkAE6sIr/Gx/awXT0Rwe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MPIcYAAADcAAAADwAAAAAAAAAAAAAAAACYAgAAZHJz&#10;L2Rvd25yZXYueG1sUEsFBgAAAAAEAAQA9QAAAIsDAAAAAA==&#10;" filled="f" stroked="f">
              <v:textbox style="mso-next-textbox:#Rectangle 343;mso-fit-shape-to-text:t" inset="0,0,0,0">
                <w:txbxContent>
                  <w:p w:rsidR="001F544B" w:rsidRDefault="001F544B" w:rsidP="00B4550A">
                    <w:r>
                      <w:rPr>
                        <w:rFonts w:ascii="Calibri" w:hAnsi="Calibri" w:cs="Calibri"/>
                        <w:color w:val="000000"/>
                        <w:sz w:val="16"/>
                        <w:szCs w:val="16"/>
                      </w:rPr>
                      <w:t>Aerian</w:t>
                    </w:r>
                  </w:p>
                </w:txbxContent>
              </v:textbox>
            </v:rect>
            <v:rect id="Rectangle 344" o:spid="_x0000_s1766" style="position:absolute;left:40455;top:26073;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hdr4A&#10;AADcAAAADwAAAGRycy9kb3ducmV2LnhtbERPy4rCMBTdC/5DuMLsNLWLUapRRBAcmY3VD7g0tw9M&#10;bkoSbefvzWLA5eG8t/vRGvEiHzrHCpaLDARx5XTHjYL77TRfgwgRWaNxTAr+KMB+N51ssdBu4Cu9&#10;ytiIFMKhQAVtjH0hZahashgWridOXO28xZigb6T2OKRwa2SeZd/SYsepocWeji1Vj/JpFchbeRrW&#10;pfGZu+T1r/k5X2tySn3NxsMGRKQxfsT/7rNWsMrT/H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XlIXa+AAAA3AAAAA8AAAAAAAAAAAAAAAAAmAIAAGRycy9kb3ducmV2&#10;LnhtbFBLBQYAAAAABAAEAPUAAACDAwAAAAA=&#10;" filled="f" stroked="f">
              <v:textbox style="mso-next-textbox:#Rectangle 344;mso-fit-shape-to-text:t" inset="0,0,0,0">
                <w:txbxContent>
                  <w:p w:rsidR="001F544B" w:rsidRDefault="001F544B" w:rsidP="00B4550A">
                    <w:r>
                      <w:rPr>
                        <w:rFonts w:ascii="Calibri" w:hAnsi="Calibri" w:cs="Calibri"/>
                        <w:color w:val="000000"/>
                        <w:sz w:val="16"/>
                        <w:szCs w:val="16"/>
                      </w:rPr>
                      <w:t>26.6%</w:t>
                    </w:r>
                  </w:p>
                </w:txbxContent>
              </v:textbox>
            </v:rect>
            <v:rect id="Rectangle 345" o:spid="_x0000_s1767" style="position:absolute;left:48063;top:26073;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7cIA&#10;AADcAAAADwAAAGRycy9kb3ducmV2LnhtbESPzYoCMRCE7wu+Q2jB25pxDq7MGmVZEFS8OPoAzaTn&#10;h006QxKd8e2NIOyxqKqvqPV2tEbcyYfOsYLFPANBXDndcaPgetl9rkCEiKzROCYFDwqw3Uw+1lho&#10;N/CZ7mVsRIJwKFBBG2NfSBmqliyGueuJk1c7bzEm6RupPQ4Jbo3Ms2wpLXacFlrs6bel6q+8WQXy&#10;Uu6GVWl85o55fTKH/bkmp9RsOv58g4g0xv/wu73XCr7y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qYTtwgAAANwAAAAPAAAAAAAAAAAAAAAAAJgCAABkcnMvZG93&#10;bnJldi54bWxQSwUGAAAAAAQABAD1AAAAhwMAAAAA&#10;" filled="f" stroked="f">
              <v:textbox style="mso-next-textbox:#Rectangle 345;mso-fit-shape-to-text:t" inset="0,0,0,0">
                <w:txbxContent>
                  <w:p w:rsidR="001F544B" w:rsidRDefault="001F544B" w:rsidP="00B4550A">
                    <w:r>
                      <w:rPr>
                        <w:rFonts w:ascii="Calibri" w:hAnsi="Calibri" w:cs="Calibri"/>
                        <w:color w:val="000000"/>
                        <w:sz w:val="16"/>
                        <w:szCs w:val="16"/>
                      </w:rPr>
                      <w:t>25.7%</w:t>
                    </w:r>
                  </w:p>
                </w:txbxContent>
              </v:textbox>
            </v:rect>
            <v:shape id="Freeform 346" o:spid="_x0000_s1768" style="position:absolute;left:33947;top:27578;width:19227;height:1606;visibility:visible;mso-wrap-style:square;v-text-anchor:top" coordsize="302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6gcAA&#10;AADcAAAADwAAAGRycy9kb3ducmV2LnhtbESPQYvCMBSE7wv7H8Jb8LamW2QtXaMUReh1Xb0/mmdb&#10;bF5KEmv890YQ9jjMzDfMahPNICZyvres4GuegSBurO65VXD8238WIHxA1jhYJgV38rBZv7+tsNT2&#10;xr80HUIrEoR9iQq6EMZSSt90ZNDP7UicvLN1BkOSrpXa4S3BzSDzLPuWBntOCx2OtO2ouRyuRkF9&#10;qYqsiG6I2OzCgrf1aaoWSs0+YvUDIlAM/+FXu9YKlnkOzzPpCM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fR6gcAAAADcAAAADwAAAAAAAAAAAAAAAACYAgAAZHJzL2Rvd25y&#10;ZXYueG1sUEsFBgAAAAAEAAQA9QAAAIUDAAAAAA==&#10;" path="m,l3028,,,xm,l,253,,xm,253r3028,l,253xm615,r,253l615,xm615,r,253l615,xm615,r,253l615,xm1813,r,253l1813,xm1813,r,253l1813,xm1813,r,253l1813,xm3028,r,253l3028,xm3028,r,253l3028,xm3028,r,253l3028,xe" strokecolor="white" strokeweight="0">
              <v:path arrowok="t" o:connecttype="custom" o:connectlocs="0,0;1220931645,0;1220931645,0;0,0;0,0;0,0;0,101983540;0,101983540;0,0;0,0;0,101983540;1220931645,101983540;1220931645,101983540;0,101983540;0,101983540;247976540,0;247976540,101983540;247976540,101983540;247976540,0;247976540,0;247976540,0;247976540,101983540;247976540,101983540;247976540,0;247976540,0;247976540,0;247976540,101983540;247976540,101983540;247976540,0;247976540,0;731026774,0;731026774,101983540;731026774,101983540;731026774,0;731026774,0;731026774,0;731026774,101983540;731026774,101983540;731026774,0;731026774,0;731026774,0;731026774,101983540;731026774,101983540;731026774,0;731026774,0;1220931645,0;1220931645,101983540;1220931645,101983540;1220931645,0;1220931645,0;1220931645,0;1220931645,101983540;1220931645,101983540;1220931645,0;1220931645,0;1220931645,0;1220931645,101983540;1220931645,101983540;1220931645,0;1220931645,0" o:connectangles="0,0,0,0,0,0,0,0,0,0,0,0,0,0,0,0,0,0,0,0,0,0,0,0,0,0,0,0,0,0,0,0,0,0,0,0,0,0,0,0,0,0,0,0,0,0,0,0,0,0,0,0,0,0,0,0,0,0,0,0"/>
              <o:lock v:ext="edit" verticies="t"/>
            </v:shape>
            <v:rect id="Rectangle 347" o:spid="_x0000_s1769" style="position:absolute;left:32778;top:28079;width:603;height:5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mlkcQA&#10;AADcAAAADwAAAGRycy9kb3ducmV2LnhtbESP0WoCMRRE3wv+Q7iCL1KzrkVlaxSRioW+6NYPuGxu&#10;dxeTm2WTavx7IxT6OMzMGWa1idaIK/W+daxgOslAEFdOt1wrOH/vX5cgfEDWaByTgjt52KwHLyss&#10;tLvxia5lqEWCsC9QQRNCV0jpq4Ys+onriJP343qLIcm+lrrHW4JbI/Msm0uLLaeFBjvaNVRdyl+r&#10;oA07g2/HuPgoYz095PsxfZmxUqNh3L6DCBTDf/iv/akVLPIZPM+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5pZHEAAAA3AAAAA8AAAAAAAAAAAAAAAAAmAIAAGRycy9k&#10;b3ducmV2LnhtbFBLBQYAAAAABAAEAPUAAACJAwAAAAA=&#10;" fillcolor="#4bacc6" stroked="f"/>
            <v:rect id="Rectangle 348" o:spid="_x0000_s1770" style="position:absolute;left:33947;top:27578;width:3594;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5qAsYA&#10;AADcAAAADwAAAGRycy9kb3ducmV2LnhtbESPQWvCQBSE74X+h+UJvRTdNEiN0VVKQehBKEYPentk&#10;n9lo9m3Ibk3aX98tFDwOM/MNs1wPthE36nztWMHLJAFBXDpdc6XgsN+MMxA+IGtsHJOCb/KwXj0+&#10;LDHXrucd3YpQiQhhn6MCE0KbS+lLQxb9xLXE0Tu7zmKIsquk7rCPcNvINElepcWa44LBlt4Nldfi&#10;yyrYfB5r4h+5e55nvbuU6akw21app9HwtgARaAj38H/7QyuYpVP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5qAsYAAADcAAAADwAAAAAAAAAAAAAAAACYAgAAZHJz&#10;L2Rvd25yZXYueG1sUEsFBgAAAAAEAAQA9QAAAIsDAAAAAA==&#10;" filled="f" stroked="f">
              <v:textbox style="mso-next-textbox:#Rectangle 348;mso-fit-shape-to-text:t" inset="0,0,0,0">
                <w:txbxContent>
                  <w:p w:rsidR="001F544B" w:rsidRDefault="001F544B" w:rsidP="00B4550A">
                    <w:r>
                      <w:rPr>
                        <w:rFonts w:ascii="Calibri" w:hAnsi="Calibri" w:cs="Calibri"/>
                        <w:color w:val="000000"/>
                        <w:sz w:val="16"/>
                        <w:szCs w:val="16"/>
                      </w:rPr>
                      <w:t>Total</w:t>
                    </w:r>
                  </w:p>
                </w:txbxContent>
              </v:textbox>
            </v:rect>
            <v:rect id="Rectangle 349" o:spid="_x0000_s1771" style="position:absolute;left:40455;top:27679;width:2534;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KC7sIA&#10;AADcAAAADwAAAGRycy9kb3ducmV2LnhtbESP3WoCMRSE7wXfIRzBO826YCurUUQQbOmNqw9w2Jz9&#10;weRkSaK7ffumUOjlMDPfMLvDaI14kQ+dYwWrZQaCuHK640bB/XZebECEiKzROCYF3xTgsJ9Odlho&#10;N/CVXmVsRIJwKFBBG2NfSBmqliyGpeuJk1c7bzEm6RupPQ4Jbo3Ms+xNWuw4LbTY06ml6lE+rQJ5&#10;K8/DpjQ+c595/WU+LteanFLz2Xjcgog0xv/wX/uiFbzn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oLuwgAAANwAAAAPAAAAAAAAAAAAAAAAAJgCAABkcnMvZG93&#10;bnJldi54bWxQSwUGAAAAAAQABAD1AAAAhwMAAAAA&#10;" filled="f" stroked="f">
              <v:textbox style="mso-next-textbox:#Rectangle 349;mso-fit-shape-to-text:t" inset="0,0,0,0">
                <w:txbxContent>
                  <w:p w:rsidR="001F544B" w:rsidRDefault="001F544B" w:rsidP="00B4550A">
                    <w:r>
                      <w:rPr>
                        <w:rFonts w:ascii="Calibri" w:hAnsi="Calibri" w:cs="Calibri"/>
                        <w:color w:val="000000"/>
                        <w:sz w:val="16"/>
                        <w:szCs w:val="16"/>
                      </w:rPr>
                      <w:t>26.1%</w:t>
                    </w:r>
                  </w:p>
                </w:txbxContent>
              </v:textbox>
            </v:rect>
            <v:rect id="Rectangle 350" o:spid="_x0000_s1772" style="position:absolute;left:48063;top:27679;width:2533;height:123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AcmcIA&#10;AADcAAAADwAAAGRycy9kb3ducmV2LnhtbESPzYoCMRCE78K+Q2hhb5pxDq6MRhFBcMWLow/QTHp+&#10;MOkMSdaZfXuzIOyxqKqvqM1utEY8yYfOsYLFPANBXDndcaPgfjvOViBCRNZoHJOCXwqw235MNlho&#10;N/CVnmVsRIJwKFBBG2NfSBmqliyGueuJk1c7bzEm6RupPQ4Jbo3Ms2wpLXacFlrs6dBS9Sh/rAJ5&#10;K4/DqjQ+c+e8vpjv07Ump9TndNyvQUQa43/43T5pBV/5Ev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QByZwgAAANwAAAAPAAAAAAAAAAAAAAAAAJgCAABkcnMvZG93&#10;bnJldi54bWxQSwUGAAAAAAQABAD1AAAAhwMAAAAA&#10;" filled="f" stroked="f">
              <v:textbox style="mso-next-textbox:#Rectangle 350;mso-fit-shape-to-text:t" inset="0,0,0,0">
                <w:txbxContent>
                  <w:p w:rsidR="001F544B" w:rsidRDefault="001F544B" w:rsidP="00B4550A">
                    <w:r>
                      <w:rPr>
                        <w:rFonts w:ascii="Calibri" w:hAnsi="Calibri" w:cs="Calibri"/>
                        <w:color w:val="000000"/>
                        <w:sz w:val="16"/>
                        <w:szCs w:val="16"/>
                      </w:rPr>
                      <w:t>33.8%</w:t>
                    </w:r>
                  </w:p>
                </w:txbxContent>
              </v:textbox>
            </v:rect>
            <v:rect id="Rectangle 351" o:spid="_x0000_s1773" style="position:absolute;left:33381;top:1905;width:19431;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0dcYA&#10;AADcAAAADwAAAGRycy9kb3ducmV2LnhtbESPQWvCQBSE7wX/w/IEL0U3zaFqzEakIPQgFKMHvT2y&#10;r9nU7NuQ3Zq0v75bKPQ4zMw3TL4dbSvu1PvGsYKnRQKCuHK64VrB+bSfr0D4gKyxdUwKvsjDtpg8&#10;5JhpN/CR7mWoRYSwz1CBCaHLpPSVIYt+4Tri6L273mKIsq+l7nGIcNvKNEmepcWG44LBjl4MVbfy&#10;0yrYv10a4m95fFyvBvdRpdfSHDqlZtNxtwERaAz/4b/2q1awTJfweyYeAVn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z0dcYAAADcAAAADwAAAAAAAAAAAAAAAACYAgAAZHJz&#10;L2Rvd25yZXYueG1sUEsFBgAAAAAEAAQA9QAAAIsDAAAAAA==&#10;" filled="f" stroked="f">
              <v:textbox style="mso-next-textbox:#Rectangle 351;mso-fit-shape-to-text:t" inset="0,0,0,0">
                <w:txbxContent>
                  <w:p w:rsidR="001F544B" w:rsidRDefault="001F544B" w:rsidP="00B4550A">
                    <w:r w:rsidRPr="00777755">
                      <w:rPr>
                        <w:rFonts w:ascii="Calibri" w:hAnsi="Calibri" w:cs="Calibri"/>
                        <w:b/>
                        <w:bCs/>
                        <w:color w:val="000000"/>
                        <w:sz w:val="16"/>
                        <w:szCs w:val="16"/>
                        <w:lang w:val="ro-RO"/>
                      </w:rPr>
                      <w:t>V</w:t>
                    </w:r>
                    <w:r>
                      <w:rPr>
                        <w:rFonts w:ascii="Calibri" w:hAnsi="Calibri" w:cs="Calibri"/>
                        <w:b/>
                        <w:bCs/>
                        <w:color w:val="000000"/>
                        <w:sz w:val="16"/>
                        <w:szCs w:val="16"/>
                      </w:rPr>
                      <w:t>ariații ale cererii de transport marfă</w:t>
                    </w:r>
                  </w:p>
                </w:txbxContent>
              </v:textbox>
            </v:rect>
            <v:rect id="Rectangle 352" o:spid="_x0000_s1774" style="position:absolute;left:49364;top:1905;width:616;height:131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MtcL4A&#10;AADcAAAADwAAAGRycy9kb3ducmV2LnhtbERPy4rCMBTdC/5DuMLsNLWLUapRRBAcmY3VD7g0tw9M&#10;bkoSbefvzWLA5eG8t/vRGvEiHzrHCpaLDARx5XTHjYL77TRfgwgRWaNxTAr+KMB+N51ssdBu4Cu9&#10;ytiIFMKhQAVtjH0hZahashgWridOXO28xZigb6T2OKRwa2SeZd/SYsepocWeji1Vj/JpFchbeRrW&#10;pfGZu+T1r/k5X2tySn3NxsMGRKQxfsT/7rNWsMrT2n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uTLXC+AAAA3AAAAA8AAAAAAAAAAAAAAAAAmAIAAGRycy9kb3ducmV2&#10;LnhtbFBLBQYAAAAABAAEAPUAAACDAwAAAAA=&#10;" filled="f" stroked="f">
              <v:textbox style="mso-next-textbox:#Rectangle 352;mso-fit-shape-to-text:t" inset="0,0,0,0">
                <w:txbxContent>
                  <w:p w:rsidR="001F544B" w:rsidRPr="0084104D" w:rsidRDefault="001F544B" w:rsidP="00B4550A"/>
                </w:txbxContent>
              </v:textbox>
            </v:rect>
            <v:rect id="Rectangle 353" o:spid="_x0000_s1775" style="position:absolute;left:49866;top:1905;width:616;height:131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68IA&#10;AADcAAAADwAAAGRycy9kb3ducmV2LnhtbESP3WoCMRSE7wu+QziCdzXrXlhdjSKCoKU3rj7AYXP2&#10;B5OTJUnd7dubQqGXw8x8w2z3ozXiST50jhUs5hkI4srpjhsF99vpfQUiRGSNxjEp+KEA+93kbYuF&#10;dgNf6VnGRiQIhwIVtDH2hZShaslimLueOHm18xZjkr6R2uOQ4NbIPMuW0mLHaaHFno4tVY/y2yqQ&#10;t/I0rErjM/eZ11/mcr7W5JSaTcfDBkSkMf6H/9pnreAjX8P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34jrwgAAANwAAAAPAAAAAAAAAAAAAAAAAJgCAABkcnMvZG93&#10;bnJldi54bWxQSwUGAAAAAAQABAD1AAAAhwMAAAAA&#10;" filled="f" stroked="f">
              <v:textbox style="mso-next-textbox:#Rectangle 353;mso-fit-shape-to-text:t" inset="0,0,0,0">
                <w:txbxContent>
                  <w:p w:rsidR="001F544B" w:rsidRPr="0084104D" w:rsidRDefault="001F544B" w:rsidP="00B4550A"/>
                </w:txbxContent>
              </v:textbox>
            </v:rect>
            <v:rect id="Rectangle 354" o:spid="_x0000_s1776" style="position:absolute;left:33572;top:3111;width:12459;height:1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63MIA&#10;AADcAAAADwAAAGRycy9kb3ducmV2LnhtbERPz2vCMBS+D/wfwhO8DE1VmFqNIgPBw0DsPOjt0Tyb&#10;avNSmsx2/vXmMNjx4/u92nS2Eg9qfOlYwXiUgCDOnS65UHD63g3nIHxA1lg5JgW/5GGz7r2tMNWu&#10;5SM9slCIGMI+RQUmhDqV0ueGLPqRq4kjd3WNxRBhU0jdYBvDbSUnSfIhLZYcGwzW9Gkov2c/VsHu&#10;cC6Jn/L4vpi37pZPLpn5qpUa9LvtEkSgLvyL/9x7rWA2jfPj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vPrcwgAAANwAAAAPAAAAAAAAAAAAAAAAAJgCAABkcnMvZG93&#10;bnJldi54bWxQSwUGAAAAAAQABAD1AAAAhwMAAAAA&#10;" filled="f" stroked="f">
              <v:textbox style="mso-next-textbox:#Rectangle 354;mso-fit-shape-to-text:t" inset="0,0,0,0">
                <w:txbxContent>
                  <w:p w:rsidR="001F544B" w:rsidRPr="0084104D" w:rsidRDefault="001F544B" w:rsidP="00B4550A">
                    <w:pPr>
                      <w:rPr>
                        <w:lang w:val="ro-RO"/>
                      </w:rPr>
                    </w:pPr>
                    <w:r>
                      <w:rPr>
                        <w:rFonts w:ascii="Calibri" w:hAnsi="Calibri" w:cs="Calibri"/>
                        <w:b/>
                        <w:bCs/>
                        <w:color w:val="000000"/>
                        <w:sz w:val="16"/>
                        <w:szCs w:val="16"/>
                        <w:lang w:val="ro-RO"/>
                      </w:rPr>
                      <w:t>2011 – 2020 – Referință</w:t>
                    </w:r>
                  </w:p>
                </w:txbxContent>
              </v:textbox>
            </v:rect>
            <v:shape id="Freeform 355" o:spid="_x0000_s1777" style="position:absolute;left:32042;top:1206;width:23533;height:28880;visibility:visible;mso-wrap-style:square;v-text-anchor:top" coordsize="3706,4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3lecUA&#10;AADcAAAADwAAAGRycy9kb3ducmV2LnhtbESPQWvCQBSE74X+h+UVvNWNCrakWUWqxSJUiDb3x+5r&#10;Epp9G7LbJP33riB4HGbmGyZbj7YRPXW+dqxgNk1AEGtnai4VfJ8/nl9B+IBssHFMCv7Jw3r1+JBh&#10;atzAOfWnUIoIYZ+igiqENpXS64os+qlriaP34zqLIcqulKbDIcJtI+dJspQWa44LFbb0XpH+Pf1Z&#10;BedtUSz9ZtgdXL7V7fFrr5N+r9Tkady8gQg0hnv41v40Cl4WM7ieiUd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eV5xQAAANwAAAAPAAAAAAAAAAAAAAAAAJgCAABkcnMv&#10;ZG93bnJldi54bWxQSwUGAAAAAAQABAD1AAAAigMAAAAA&#10;" path="m,l,,3706,r,4533l3706,4548,,4548r,-15l,xm,4533r,l3706,4533,3706,,,,,4533xe" fillcolor="#868686" strokecolor="#868686" strokeweight="0">
              <v:path arrowok="t" o:connecttype="custom" o:connectlocs="0,0;0,0;0,0;1494366455,0;1494366455,0;1494366455,0;1494366455,1827873355;1494366455,1833921910;1494366455,1833921910;0,1833921910;0,1833921910;0,1827873355;0,0;0,1827873355;0,1827873355;1494366455,1827873355;1494366455,1827873355;1494366455,0;1494366455,0;0,0;0,0;0,1827873355" o:connectangles="0,0,0,0,0,0,0,0,0,0,0,0,0,0,0,0,0,0,0,0,0,0"/>
              <o:lock v:ext="edit" verticies="t"/>
            </v:shape>
            <w10:wrap type="none"/>
            <w10:anchorlock/>
          </v:group>
        </w:pict>
      </w:r>
      <w:r w:rsidR="00B4550A" w:rsidRPr="00E0488D">
        <w:rPr>
          <w:i/>
          <w:lang w:val="ro-RO"/>
        </w:rPr>
        <w:t>Sursa: MNT AECOM</w:t>
      </w:r>
    </w:p>
    <w:p w:rsidR="00B4550A" w:rsidRPr="00E0488D" w:rsidRDefault="00B4550A" w:rsidP="002B7E09">
      <w:pPr>
        <w:pStyle w:val="NumberedParas"/>
      </w:pPr>
      <w:r w:rsidRPr="00E0488D">
        <w:t>Creșterea totală a numărului de călătorii zilnice în Scenariul de Referință 2020 este prognozată a fi de 10,7%, iar numărul de pasageri-km este estimat să crească cu 26,6%. Cererile de marfă prezintă o tendință similară de creștere, dat fiind faptul că numărul tonelor transportate a crescut cu 26%, iar numărul de tone-km cu 34%.</w:t>
      </w:r>
    </w:p>
    <w:p w:rsidR="00B4550A" w:rsidRPr="00E0488D" w:rsidRDefault="00B4550A" w:rsidP="002B7E09">
      <w:pPr>
        <w:pStyle w:val="NumberedParas"/>
      </w:pPr>
      <w:r w:rsidRPr="00E0488D">
        <w:t xml:space="preserve">Gradul de motorizare din România se află încă la niveluri relativ scăzute, ceea ce înseamnă că este de așteptat ca acesta să crească semnificativ în viitor. În anul 2011, 19,3% din populație deținea un autoturism, procent ce crește la 24,9% în anul 2020. Odată cu creșterea </w:t>
      </w:r>
      <w:r w:rsidRPr="00E0488D">
        <w:lastRenderedPageBreak/>
        <w:t>gradului de motorizare, proporția populației „captive” transportului public se reduce. Această reducere a pieței captive modifică dinamica sectorului de transport public, aflat într-o competiție din de în ce mai intensă cu sectorul rutier (transport cu autoturismul propriu) pentru populația cu un autoturism disponibil.</w:t>
      </w:r>
    </w:p>
    <w:p w:rsidR="00B4550A" w:rsidRPr="00E0488D" w:rsidRDefault="00B4550A" w:rsidP="00B4550A">
      <w:pPr>
        <w:pStyle w:val="Body"/>
        <w:spacing w:before="120"/>
        <w:ind w:left="680"/>
        <w:rPr>
          <w:b/>
          <w:i w:val="0"/>
          <w:lang w:val="ro-RO"/>
        </w:rPr>
      </w:pPr>
      <w:r w:rsidRPr="00E0488D">
        <w:rPr>
          <w:b/>
          <w:i w:val="0"/>
          <w:lang w:val="ro-RO"/>
        </w:rPr>
        <w:t>Figura 2.15  Creșterea gradului de motorizare 2011 - 2020</w:t>
      </w:r>
    </w:p>
    <w:p w:rsidR="00B4550A" w:rsidRPr="00E0488D" w:rsidRDefault="00B4550A" w:rsidP="00B4550A">
      <w:pPr>
        <w:pStyle w:val="Body"/>
        <w:spacing w:before="120"/>
        <w:ind w:left="0" w:firstLine="851"/>
        <w:rPr>
          <w:rFonts w:asciiTheme="minorHAnsi" w:hAnsiTheme="minorHAnsi"/>
          <w:sz w:val="16"/>
          <w:szCs w:val="16"/>
          <w:lang w:val="ro-RO"/>
        </w:rPr>
      </w:pPr>
      <w:r w:rsidRPr="00E0488D">
        <w:rPr>
          <w:rFonts w:asciiTheme="minorHAnsi" w:hAnsiTheme="minorHAnsi"/>
          <w:noProof/>
          <w:sz w:val="16"/>
          <w:szCs w:val="16"/>
          <w:lang w:val="ro-RO" w:eastAsia="ro-RO"/>
        </w:rPr>
        <w:drawing>
          <wp:inline distT="0" distB="0" distL="0" distR="0">
            <wp:extent cx="5253639" cy="3056332"/>
            <wp:effectExtent l="19050" t="0" r="23211" b="0"/>
            <wp:docPr id="80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4550A" w:rsidRPr="00E0488D" w:rsidRDefault="00B4550A" w:rsidP="002B7E09">
      <w:pPr>
        <w:pStyle w:val="NumberedParas"/>
        <w:numPr>
          <w:ilvl w:val="0"/>
          <w:numId w:val="0"/>
        </w:numPr>
        <w:ind w:left="851"/>
      </w:pPr>
      <w:r w:rsidRPr="00E0488D">
        <w:t>Sursa: AECOM MNT</w:t>
      </w:r>
    </w:p>
    <w:p w:rsidR="00B4550A" w:rsidRPr="00E0488D" w:rsidRDefault="00B4550A" w:rsidP="002B7E09">
      <w:pPr>
        <w:pStyle w:val="NumberedParas"/>
      </w:pPr>
      <w:r w:rsidRPr="00E0488D">
        <w:t>Scenariul de Referință 2020 conține o serie de proiecte angajate de infrastructură rutieră dar, prin comparație, puține investiții în sistemul feroviar. Reducerea de 20,9% a numărului de călătorii efectuate cu trenul este indusă de creșterea gradului de motorizare și de investițiile aflate în derulare la nivelul rețelei de autostrăzi, ceea ce determină creșterea atractivității pentru călătoriile cu autoturismul. Călătoriile cu autobuzul sunt prognozate a crește ușor cu 1,2%. Ca și calea ferată, sectorul de transport cu autobuzul va fi afectat negativ de creșterea gradului de motorizare, dar va beneficia de investițiile semnificative în dezvoltarea rețelei de autostrăzi, ceea ce conduce la îmbunătățirea timpilor de parcurs. Călătoriile cu autoturismele sunt prognozate a crește cu 15,1%, ceea ce reflectă creșterea gradului de motorizare și amploarea investițiilor în rețeaua rutieră.</w:t>
      </w:r>
    </w:p>
    <w:p w:rsidR="00B4550A" w:rsidRPr="00E0488D" w:rsidRDefault="00B4550A" w:rsidP="002B7E09">
      <w:pPr>
        <w:pStyle w:val="NumberedParas"/>
      </w:pPr>
      <w:r w:rsidRPr="00E0488D">
        <w:t>Creșterea prognozată a numărului total de pasageri-km (de 26,6%) este datorată unei serii de factori, printre care:</w:t>
      </w:r>
    </w:p>
    <w:p w:rsidR="00B4550A" w:rsidRPr="00E0488D" w:rsidRDefault="00B4550A" w:rsidP="00BC2B57">
      <w:pPr>
        <w:pStyle w:val="BulletLevel1"/>
      </w:pPr>
      <w:r w:rsidRPr="00E0488D">
        <w:t>Creșterea semnificativă a vitezelor de circulație pe anumite coridoare, datorită dublării numărului de km autostrăzi până în anul 2020 (de la 550 km la 993 km), ceea ce determină amplificarea interacțiunilor între cele mai importante orașe și conduce la creșterea lungimilor de parcurs; și</w:t>
      </w:r>
    </w:p>
    <w:p w:rsidR="00B4550A" w:rsidRPr="00E0488D" w:rsidRDefault="00B4550A" w:rsidP="00BC2B57">
      <w:pPr>
        <w:pStyle w:val="BulletLevel1"/>
      </w:pPr>
      <w:r w:rsidRPr="00E0488D">
        <w:t>Creșterea veniturilor pe gospodărie cu 29% și reducerea costului de operare a autoturismelor, ceea ce conduce la creșterea tendinței de efectuare a deplasărilor pe distanțe mai mari.</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pPr>
      <w:r w:rsidRPr="00E0488D">
        <w:lastRenderedPageBreak/>
        <w:t>Volumele traficului de pasageri și marfă</w:t>
      </w:r>
    </w:p>
    <w:p w:rsidR="00B4550A" w:rsidRPr="00E0488D" w:rsidRDefault="00B4550A" w:rsidP="002B7E09">
      <w:pPr>
        <w:pStyle w:val="NumberedParas"/>
      </w:pPr>
      <w:r w:rsidRPr="00E0488D">
        <w:t xml:space="preserve"> Următoarele secțiuni oferă o imagine generală a situației din 2011 și 2020 în ceea ce privește fluxurile de pasageri și marfă pe rețeaua rutieră, feroviară și navală. </w:t>
      </w:r>
    </w:p>
    <w:p w:rsidR="00B4550A" w:rsidRPr="00E0488D" w:rsidRDefault="00B4550A" w:rsidP="002B7E09">
      <w:pPr>
        <w:pStyle w:val="NumberedParas"/>
      </w:pPr>
      <w:r w:rsidRPr="00E0488D">
        <w:t>Poziția dominantă în prezent a transportului rutier cu autoturismul este clar evidențiată în 2011, cu ponderi modale semnificative pentru sectorul feroviar doar pe rutele radiale ale Bucureștiului.</w:t>
      </w:r>
    </w:p>
    <w:p w:rsidR="00B4550A" w:rsidRPr="00E0488D" w:rsidRDefault="00B4550A" w:rsidP="00B4550A">
      <w:pPr>
        <w:spacing w:before="120" w:after="120" w:line="276" w:lineRule="auto"/>
        <w:ind w:firstLine="851"/>
        <w:contextualSpacing/>
        <w:rPr>
          <w:sz w:val="22"/>
          <w:szCs w:val="22"/>
          <w:lang w:val="ro-RO"/>
        </w:rPr>
      </w:pPr>
      <w:r w:rsidRPr="00E0488D">
        <w:rPr>
          <w:noProof/>
          <w:sz w:val="22"/>
          <w:szCs w:val="22"/>
          <w:lang w:val="ro-RO" w:eastAsia="ro-RO"/>
        </w:rPr>
        <w:drawing>
          <wp:inline distT="0" distB="0" distL="0" distR="0">
            <wp:extent cx="5949315" cy="5046980"/>
            <wp:effectExtent l="19050" t="0" r="0" b="0"/>
            <wp:docPr id="810" name="Picture 1" descr="Passengers_RoadBusRail_Base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sengers_RoadBusRail_Base2011.pn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9315" cy="5046980"/>
                    </a:xfrm>
                    <a:prstGeom prst="rect">
                      <a:avLst/>
                    </a:prstGeom>
                    <a:noFill/>
                    <a:ln w="9525">
                      <a:noFill/>
                      <a:miter lim="800000"/>
                      <a:headEnd/>
                      <a:tailEnd/>
                    </a:ln>
                  </pic:spPr>
                </pic:pic>
              </a:graphicData>
            </a:graphic>
          </wp:inline>
        </w:drawing>
      </w:r>
    </w:p>
    <w:p w:rsidR="00B4550A" w:rsidRPr="00E0488D" w:rsidRDefault="00B4550A" w:rsidP="002B7E09">
      <w:pPr>
        <w:pStyle w:val="NumberedParas"/>
        <w:numPr>
          <w:ilvl w:val="0"/>
          <w:numId w:val="0"/>
        </w:numPr>
        <w:ind w:left="851"/>
      </w:pPr>
      <w:r w:rsidRPr="00E0488D">
        <w:t xml:space="preserve">Sursa:MNT AECOM </w:t>
      </w:r>
    </w:p>
    <w:p w:rsidR="00B4550A" w:rsidRPr="00E0488D" w:rsidRDefault="00B4550A" w:rsidP="00B4550A">
      <w:pPr>
        <w:spacing w:before="120" w:after="120" w:line="276" w:lineRule="auto"/>
        <w:ind w:left="851"/>
        <w:contextualSpacing/>
        <w:rPr>
          <w:b/>
          <w:sz w:val="22"/>
          <w:szCs w:val="22"/>
          <w:lang w:val="ro-RO"/>
        </w:rPr>
      </w:pPr>
      <w:r w:rsidRPr="00E0488D">
        <w:rPr>
          <w:b/>
          <w:sz w:val="22"/>
          <w:szCs w:val="22"/>
          <w:lang w:val="ro-RO"/>
        </w:rPr>
        <w:t>Figura 2.16 Volume zilnice de pasageri în România, pe moduri, anul 2011</w:t>
      </w:r>
    </w:p>
    <w:p w:rsidR="00B4550A" w:rsidRPr="00E0488D" w:rsidRDefault="00B4550A" w:rsidP="002B7E09">
      <w:pPr>
        <w:pStyle w:val="NumberedParas"/>
      </w:pPr>
      <w:r w:rsidRPr="00E0488D">
        <w:t>Până în anul 2020, contribuția sectorului feroviar la volumul traficului de pasageri scade iar acesta este dominat de sectorul rutier. Aceasta este situația prognozată în lipsa intervențiilor propuse în Master Plan și doar cu proiectele angajate în prezent finalizate. În esență acesta reprezintă un scenariu de tip “business as usual”.</w:t>
      </w:r>
    </w:p>
    <w:p w:rsidR="00B4550A" w:rsidRPr="00E0488D" w:rsidRDefault="00B4550A" w:rsidP="00B4550A">
      <w:pPr>
        <w:spacing w:before="120" w:after="120" w:line="276" w:lineRule="auto"/>
        <w:contextualSpacing/>
        <w:rPr>
          <w:sz w:val="22"/>
          <w:szCs w:val="22"/>
          <w:lang w:val="ro-RO"/>
        </w:rPr>
      </w:pPr>
    </w:p>
    <w:p w:rsidR="00B4550A" w:rsidRPr="00E0488D" w:rsidRDefault="00B4550A" w:rsidP="00B4550A">
      <w:pPr>
        <w:spacing w:before="120" w:after="120" w:line="276" w:lineRule="auto"/>
        <w:ind w:firstLine="851"/>
        <w:contextualSpacing/>
        <w:rPr>
          <w:sz w:val="22"/>
          <w:szCs w:val="22"/>
          <w:lang w:val="ro-RO"/>
        </w:rPr>
      </w:pPr>
      <w:r w:rsidRPr="00E0488D">
        <w:rPr>
          <w:noProof/>
          <w:sz w:val="22"/>
          <w:szCs w:val="22"/>
          <w:lang w:val="ro-RO" w:eastAsia="ro-RO"/>
        </w:rPr>
        <w:lastRenderedPageBreak/>
        <w:drawing>
          <wp:inline distT="0" distB="0" distL="0" distR="0">
            <wp:extent cx="5937885" cy="5059045"/>
            <wp:effectExtent l="19050" t="0" r="5715" b="0"/>
            <wp:docPr id="811" name="Picture 1" descr="PassengerFlows_RoadRailBus_Ref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sengerFlows_RoadRailBus_Ref2020.pn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37885" cy="5059045"/>
                    </a:xfrm>
                    <a:prstGeom prst="rect">
                      <a:avLst/>
                    </a:prstGeom>
                    <a:noFill/>
                    <a:ln w="9525">
                      <a:noFill/>
                      <a:miter lim="800000"/>
                      <a:headEnd/>
                      <a:tailEnd/>
                    </a:ln>
                  </pic:spPr>
                </pic:pic>
              </a:graphicData>
            </a:graphic>
          </wp:inline>
        </w:drawing>
      </w:r>
    </w:p>
    <w:p w:rsidR="00B4550A" w:rsidRPr="00E0488D" w:rsidRDefault="00B4550A" w:rsidP="002B7E09">
      <w:pPr>
        <w:pStyle w:val="NumberedParas"/>
        <w:numPr>
          <w:ilvl w:val="0"/>
          <w:numId w:val="0"/>
        </w:numPr>
        <w:ind w:left="851"/>
      </w:pPr>
      <w:r w:rsidRPr="00E0488D">
        <w:t xml:space="preserve">Sursa: MNT AECOM </w:t>
      </w:r>
    </w:p>
    <w:p w:rsidR="00B4550A" w:rsidRPr="00E0488D" w:rsidRDefault="00B4550A" w:rsidP="00B4550A">
      <w:pPr>
        <w:spacing w:before="120" w:after="120" w:line="276" w:lineRule="auto"/>
        <w:ind w:left="851"/>
        <w:contextualSpacing/>
        <w:rPr>
          <w:b/>
          <w:sz w:val="22"/>
          <w:szCs w:val="22"/>
          <w:lang w:val="ro-RO"/>
        </w:rPr>
      </w:pPr>
      <w:r w:rsidRPr="00E0488D">
        <w:rPr>
          <w:b/>
          <w:sz w:val="22"/>
          <w:szCs w:val="22"/>
          <w:lang w:val="ro-RO"/>
        </w:rPr>
        <w:t>Figura 2.17 Volume zilnice de pasageri în România, pe moduri, anul 2020</w:t>
      </w:r>
    </w:p>
    <w:p w:rsidR="00B4550A" w:rsidRPr="00E0488D" w:rsidRDefault="00B4550A" w:rsidP="002B7E09">
      <w:pPr>
        <w:pStyle w:val="NumberedParas"/>
      </w:pPr>
      <w:r w:rsidRPr="00E0488D">
        <w:t>Există o pondere mult mai mare a deplasărilor de mărfuri pe alte rețele decât cea rutieră față de deplasările de pasageri. Principalele deplasări de mărfuri pe rețeaua rutieră sunt către București iar pe rețeaua feroviară către portul Constanța. Rolul fluviului Dunărea ca arteră fluvială pentru transportul de mărfuri se evidențiază clar. Coridorul IV (N) este un coridor rutier important, alături de fluxurile provenite de la centre industriale precum Craiova și Pitești. Există de asemenea un important flux de marfă pe coridorul Pitești - Ploiești –Buzău - Bacău.</w:t>
      </w:r>
    </w:p>
    <w:p w:rsidR="00B4550A" w:rsidRPr="00E0488D" w:rsidRDefault="00B4550A" w:rsidP="002B7E09">
      <w:pPr>
        <w:pStyle w:val="NumberedParas"/>
      </w:pPr>
      <w:r w:rsidRPr="00E0488D">
        <w:t>Cele mai importante relații transfrontaliere sunt dispuse către granița cu Bulgaria la Giurgiu și la granița cu Ungaria. Pentru rețeaua feroviară sunt importante și trecerile la frontieră către Ucraina (la Siret) și către Rep. Moldova (către Ungheni). Cele mai mari fluxuri transfrontaliere de mărfuri sunt localizate pe Dunăre, la Porțile de Fier.</w:t>
      </w:r>
    </w:p>
    <w:p w:rsidR="00B4550A" w:rsidRPr="00E0488D" w:rsidRDefault="00B4550A" w:rsidP="00B4550A">
      <w:pPr>
        <w:spacing w:before="120" w:after="120" w:line="276" w:lineRule="auto"/>
        <w:ind w:firstLine="851"/>
        <w:contextualSpacing/>
        <w:rPr>
          <w:sz w:val="22"/>
          <w:szCs w:val="22"/>
          <w:lang w:val="ro-RO"/>
        </w:rPr>
      </w:pPr>
      <w:r w:rsidRPr="00E0488D">
        <w:rPr>
          <w:noProof/>
          <w:sz w:val="22"/>
          <w:szCs w:val="22"/>
          <w:lang w:val="ro-RO" w:eastAsia="ro-RO"/>
        </w:rPr>
        <w:lastRenderedPageBreak/>
        <w:drawing>
          <wp:inline distT="0" distB="0" distL="0" distR="0">
            <wp:extent cx="5937885" cy="5046980"/>
            <wp:effectExtent l="19050" t="0" r="5715" b="0"/>
            <wp:docPr id="812" name="Picture 1" descr="FreightTonnes_RoadRailWater_Base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ightTonnes_RoadRailWater_Base2011.pn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37885" cy="5046980"/>
                    </a:xfrm>
                    <a:prstGeom prst="rect">
                      <a:avLst/>
                    </a:prstGeom>
                    <a:noFill/>
                    <a:ln w="9525">
                      <a:noFill/>
                      <a:miter lim="800000"/>
                      <a:headEnd/>
                      <a:tailEnd/>
                    </a:ln>
                  </pic:spPr>
                </pic:pic>
              </a:graphicData>
            </a:graphic>
          </wp:inline>
        </w:drawing>
      </w:r>
    </w:p>
    <w:p w:rsidR="00B4550A" w:rsidRPr="00E0488D" w:rsidRDefault="00B4550A" w:rsidP="002B7E09">
      <w:pPr>
        <w:pStyle w:val="NumberedParas"/>
        <w:numPr>
          <w:ilvl w:val="0"/>
          <w:numId w:val="0"/>
        </w:numPr>
        <w:ind w:left="851"/>
      </w:pPr>
      <w:r w:rsidRPr="00E0488D">
        <w:t>Sursa: AECOM MNT</w:t>
      </w:r>
    </w:p>
    <w:p w:rsidR="00B4550A" w:rsidRPr="00E0488D" w:rsidRDefault="00B4550A" w:rsidP="00B4550A">
      <w:pPr>
        <w:tabs>
          <w:tab w:val="left" w:pos="8640"/>
        </w:tabs>
        <w:spacing w:before="120" w:after="120" w:line="276" w:lineRule="auto"/>
        <w:ind w:left="851"/>
        <w:contextualSpacing/>
        <w:rPr>
          <w:b/>
          <w:sz w:val="22"/>
          <w:szCs w:val="22"/>
          <w:lang w:val="ro-RO"/>
        </w:rPr>
      </w:pPr>
      <w:r w:rsidRPr="00E0488D">
        <w:rPr>
          <w:b/>
          <w:sz w:val="22"/>
          <w:szCs w:val="22"/>
          <w:lang w:val="ro-RO"/>
        </w:rPr>
        <w:t>Figura 2.18 Volume zilnice (tone) de mărfuri în România, pe moduri, anul 2011</w:t>
      </w:r>
      <w:r w:rsidRPr="00E0488D">
        <w:rPr>
          <w:b/>
          <w:sz w:val="22"/>
          <w:szCs w:val="22"/>
          <w:lang w:val="ro-RO"/>
        </w:rPr>
        <w:tab/>
      </w:r>
    </w:p>
    <w:p w:rsidR="00B4550A" w:rsidRPr="00E0488D" w:rsidRDefault="00B4550A" w:rsidP="002B7E09">
      <w:pPr>
        <w:pStyle w:val="NumberedParas"/>
      </w:pPr>
      <w:r w:rsidRPr="00E0488D">
        <w:t>În perioada 2011 – 2020 creșterea observată în cazul numărului de tone-marfă-km se aliniază mai aproape de variațiile înregistrate de volumul de mărfuri transportat în comparație cu dinamica observată în cazul fluxurilor de pasageri. Aceasta deoarece reducerea timpilor de parcurs și a costului de transport al mărfurilor nu va duce în sine la deplasări mai lungi. Pentru transportul de marfă distanța medie a deplasărilor depinde și de modificările intervenite în distribuția activităților economice, mai precis, de locurile unde bunurile se produc, se importă, se consumă sau se exportă.</w:t>
      </w:r>
    </w:p>
    <w:p w:rsidR="00B4550A" w:rsidRPr="00E0488D" w:rsidRDefault="00B4550A" w:rsidP="00B4550A">
      <w:pPr>
        <w:spacing w:before="120" w:after="120" w:line="276" w:lineRule="auto"/>
        <w:contextualSpacing/>
        <w:rPr>
          <w:sz w:val="22"/>
          <w:szCs w:val="22"/>
          <w:lang w:val="ro-RO"/>
        </w:rPr>
      </w:pPr>
      <w:r w:rsidRPr="00E0488D">
        <w:rPr>
          <w:sz w:val="22"/>
          <w:szCs w:val="22"/>
          <w:lang w:val="ro-RO"/>
        </w:rPr>
        <w:t xml:space="preserve"> </w:t>
      </w:r>
    </w:p>
    <w:p w:rsidR="00B4550A" w:rsidRPr="00E0488D" w:rsidRDefault="00B4550A" w:rsidP="00B4550A">
      <w:pPr>
        <w:spacing w:before="120" w:after="120" w:line="276" w:lineRule="auto"/>
        <w:ind w:firstLine="851"/>
        <w:contextualSpacing/>
        <w:rPr>
          <w:sz w:val="22"/>
          <w:szCs w:val="22"/>
          <w:lang w:val="ro-RO"/>
        </w:rPr>
      </w:pPr>
      <w:r w:rsidRPr="00E0488D">
        <w:rPr>
          <w:noProof/>
          <w:sz w:val="22"/>
          <w:szCs w:val="22"/>
          <w:lang w:val="ro-RO" w:eastAsia="ro-RO"/>
        </w:rPr>
        <w:lastRenderedPageBreak/>
        <w:drawing>
          <wp:inline distT="0" distB="0" distL="0" distR="0">
            <wp:extent cx="5937885" cy="5082540"/>
            <wp:effectExtent l="19050" t="0" r="5715" b="0"/>
            <wp:docPr id="813" name="Picture 1" descr="FreightFlows_RoadRailWater_Ref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ightFlows_RoadRailWater_Ref2020.pn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37885" cy="5082540"/>
                    </a:xfrm>
                    <a:prstGeom prst="rect">
                      <a:avLst/>
                    </a:prstGeom>
                    <a:noFill/>
                    <a:ln w="9525">
                      <a:noFill/>
                      <a:miter lim="800000"/>
                      <a:headEnd/>
                      <a:tailEnd/>
                    </a:ln>
                  </pic:spPr>
                </pic:pic>
              </a:graphicData>
            </a:graphic>
          </wp:inline>
        </w:drawing>
      </w:r>
    </w:p>
    <w:p w:rsidR="00B4550A" w:rsidRPr="00E0488D" w:rsidRDefault="00B4550A" w:rsidP="002B7E09">
      <w:pPr>
        <w:pStyle w:val="NumberedParas"/>
        <w:numPr>
          <w:ilvl w:val="0"/>
          <w:numId w:val="0"/>
        </w:numPr>
        <w:ind w:left="851"/>
      </w:pPr>
      <w:r w:rsidRPr="00E0488D">
        <w:t>Sursa: AECOM NTM</w:t>
      </w:r>
    </w:p>
    <w:p w:rsidR="00B4550A" w:rsidRPr="00E0488D" w:rsidRDefault="00B4550A" w:rsidP="00B4550A">
      <w:pPr>
        <w:spacing w:before="120" w:after="120" w:line="276" w:lineRule="auto"/>
        <w:ind w:left="851"/>
        <w:contextualSpacing/>
        <w:rPr>
          <w:b/>
          <w:sz w:val="22"/>
          <w:szCs w:val="22"/>
          <w:lang w:val="ro-RO"/>
        </w:rPr>
      </w:pPr>
      <w:r w:rsidRPr="00E0488D">
        <w:rPr>
          <w:b/>
          <w:sz w:val="22"/>
          <w:szCs w:val="22"/>
          <w:lang w:val="ro-RO"/>
        </w:rPr>
        <w:t>Figura 2.19 Volume zilnice (tone) marfă în România, pe moduri, anul 2020</w:t>
      </w:r>
    </w:p>
    <w:p w:rsidR="00B4550A" w:rsidRPr="00E0488D" w:rsidRDefault="00B4550A" w:rsidP="002B7E09">
      <w:pPr>
        <w:pStyle w:val="NumberedParas"/>
      </w:pPr>
      <w:r w:rsidRPr="00E0488D">
        <w:t xml:space="preserve">Această secțiune a cuprins o prezentare generală a Modelului Național cu unele statistici cheie. Modelul împreună cu aplicația ACB au fost ulterior utilizate pentru testarea și evaluarea unui număr mare de intervenții potențiale. Testele și rezultatele obținute sunt descrise în capitolele 5 – 10 ale raportului. </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D59B2">
      <w:pPr>
        <w:pStyle w:val="Hdg2"/>
      </w:pPr>
      <w:bookmarkStart w:id="32" w:name="_Toc413060300"/>
      <w:r w:rsidRPr="00E0488D">
        <w:lastRenderedPageBreak/>
        <w:t>Analiza Cost-Beneficiu</w:t>
      </w:r>
      <w:bookmarkEnd w:id="32"/>
    </w:p>
    <w:p w:rsidR="00B4550A" w:rsidRPr="00E0488D" w:rsidRDefault="00B4550A" w:rsidP="002B7E09">
      <w:pPr>
        <w:pStyle w:val="NumberedParas"/>
      </w:pPr>
      <w:r w:rsidRPr="00E0488D">
        <w:t>Analiza Cost-Beneficiu (ACB) este o metodă standard folosită pentru evaluarea performanței unui proiect sau a unei intervenții prin măsurarea rentabilității acestuia.</w:t>
      </w:r>
    </w:p>
    <w:p w:rsidR="00B4550A" w:rsidRPr="00E0488D" w:rsidRDefault="00B4550A" w:rsidP="002B7E09">
      <w:pPr>
        <w:pStyle w:val="NumberedParas"/>
      </w:pPr>
      <w:r w:rsidRPr="00E0488D">
        <w:t xml:space="preserve">Abordarea ce trebuie adoptată în realizarea ACB este prezentată în cadrul Ghidului Național de Evaluare a Proiectelor, Volumul 2 Partea C, ghid elaborat ca parte a  Master Planului.  Ghidul a fost dezvoltat astfel încât să fie conform cu cerințele incluse în </w:t>
      </w:r>
      <w:r w:rsidRPr="00E0488D">
        <w:rPr>
          <w:i/>
          <w:color w:val="9E0880"/>
        </w:rPr>
        <w:t>Ghidul Naţional pentru Analiza Cost-Beneficiu a Proiectelor Finanţate din Instrumentele Structurale”</w:t>
      </w:r>
      <w:r w:rsidRPr="00E0488D">
        <w:t>, publicat de Ministerul Economiei şi Finanţelor, Autoritate de Coordonare a Instrumentelor Structurale.</w:t>
      </w:r>
    </w:p>
    <w:p w:rsidR="00B4550A" w:rsidRPr="00E0488D" w:rsidRDefault="00B4550A" w:rsidP="002B7E09">
      <w:pPr>
        <w:pStyle w:val="NumberedParas"/>
      </w:pPr>
      <w:r w:rsidRPr="00E0488D">
        <w:t>Pentru elaborarea acestui Ghid au fost folosite următoarele documente:</w:t>
      </w:r>
    </w:p>
    <w:p w:rsidR="00B4550A" w:rsidRPr="00E0488D" w:rsidRDefault="00B4550A" w:rsidP="00BC2B57">
      <w:pPr>
        <w:pStyle w:val="BulletLevel1"/>
      </w:pPr>
      <w:r w:rsidRPr="00E0488D">
        <w:t xml:space="preserve">Dezvoltarea unor abordări europene armonizate pentru calculul preţurilor şi evaluarea proiectelor în domeniul transporturilor (HEATCO), </w:t>
      </w:r>
      <w:r w:rsidRPr="00E0488D">
        <w:rPr>
          <w:color w:val="9E0880"/>
        </w:rPr>
        <w:t>„Livrabile HEATCO 5. Propunere de Armonizare a Ghidurilor”</w:t>
      </w:r>
      <w:r w:rsidRPr="00E0488D">
        <w:t>, 2006;</w:t>
      </w:r>
    </w:p>
    <w:p w:rsidR="00B4550A" w:rsidRPr="00E0488D" w:rsidRDefault="00B4550A" w:rsidP="00BC2B57">
      <w:pPr>
        <w:pStyle w:val="BulletLevel1"/>
      </w:pPr>
      <w:r w:rsidRPr="00E0488D">
        <w:t>Comisia Europeană (CE), „Ghid privind metodologia pentru elaborarea Analizei Cost-Beneficiu. Documentul de lucru nr. 4”, 2006;</w:t>
      </w:r>
    </w:p>
    <w:p w:rsidR="00B4550A" w:rsidRPr="00E0488D" w:rsidRDefault="00B4550A" w:rsidP="00BC2B57">
      <w:pPr>
        <w:pStyle w:val="BulletLevel1"/>
      </w:pPr>
      <w:r w:rsidRPr="00E0488D">
        <w:t xml:space="preserve">Măsuri şi politici de internalizare a tuturor costurilor externe de transport (IMPACT), </w:t>
      </w:r>
      <w:r w:rsidRPr="00E0488D">
        <w:rPr>
          <w:color w:val="9E0880"/>
        </w:rPr>
        <w:t>„Ghid pentru estimarea costurilor externe în sectorul de transport”</w:t>
      </w:r>
      <w:r w:rsidRPr="00E0488D">
        <w:t>, 2008;</w:t>
      </w:r>
    </w:p>
    <w:p w:rsidR="00B4550A" w:rsidRPr="00E0488D" w:rsidRDefault="00B4550A" w:rsidP="00BC2B57">
      <w:pPr>
        <w:pStyle w:val="BulletLevel1"/>
      </w:pPr>
      <w:r w:rsidRPr="00E0488D">
        <w:t>Ministerul Economiei şi Finanţelor – Autoritatea pentru Coordonarea Instrumentelor Structurale, „Analiza Cost-Beneficiu a proiectelor din sectorul de transport finanţate din Fonduri de Coeziune şi Fondul European de Dezvoltare Regională pentru perioada 2007 - 2013”, 2008;</w:t>
      </w:r>
    </w:p>
    <w:p w:rsidR="00B4550A" w:rsidRPr="00E0488D" w:rsidRDefault="00B4550A" w:rsidP="00BC2B57">
      <w:pPr>
        <w:pStyle w:val="BulletLevel1"/>
      </w:pPr>
      <w:r w:rsidRPr="00E0488D">
        <w:t xml:space="preserve">Noi externalităţi în domeniul energiei dezvoltare pentru sustenabilitate (NEEDS), </w:t>
      </w:r>
      <w:r w:rsidRPr="00E0488D">
        <w:rPr>
          <w:color w:val="9E0880"/>
        </w:rPr>
        <w:t>„Livrabile NEEDS 2.1 Tehnici de transferare a valorii şi incertitudini preconizate”</w:t>
      </w:r>
      <w:r w:rsidRPr="00E0488D">
        <w:t>, 2009;</w:t>
      </w:r>
    </w:p>
    <w:p w:rsidR="00B4550A" w:rsidRPr="00E0488D" w:rsidRDefault="00B4550A" w:rsidP="00BC2B57">
      <w:pPr>
        <w:pStyle w:val="BulletLevel1"/>
      </w:pPr>
      <w:r w:rsidRPr="00E0488D">
        <w:t xml:space="preserve">Unificare de conturi şi costuri marginale pentru eficienţă în domeniul transporturilor (UNITE), </w:t>
      </w:r>
      <w:r w:rsidRPr="00E0488D">
        <w:rPr>
          <w:color w:val="9E0880"/>
        </w:rPr>
        <w:t>„Estimare conversii pentru UNITE”</w:t>
      </w:r>
      <w:r w:rsidRPr="00E0488D">
        <w:t xml:space="preserve">, 2001; </w:t>
      </w:r>
    </w:p>
    <w:p w:rsidR="00B4550A" w:rsidRPr="00E0488D" w:rsidRDefault="00B4550A" w:rsidP="00BC2B57">
      <w:pPr>
        <w:pStyle w:val="BulletLevel1"/>
      </w:pPr>
      <w:r w:rsidRPr="00E0488D">
        <w:t xml:space="preserve">Departamentul pentru Transporturi din Marea Britanie (UK DfT), </w:t>
      </w:r>
      <w:r w:rsidRPr="00E0488D">
        <w:rPr>
          <w:color w:val="9E0880"/>
        </w:rPr>
        <w:t>„Ghid de evaluare în domeniul transporturilor online (WebTAG)”</w:t>
      </w:r>
      <w:r w:rsidRPr="00E0488D">
        <w:t>, 2002, 2010;</w:t>
      </w:r>
    </w:p>
    <w:p w:rsidR="00B4550A" w:rsidRPr="00E0488D" w:rsidRDefault="00B4550A" w:rsidP="00BC2B57">
      <w:pPr>
        <w:pStyle w:val="BulletLevel1"/>
      </w:pPr>
      <w:r w:rsidRPr="00E0488D">
        <w:t>Hotărârii de Guvern nr. 28/2008 privind aprobarea conţinutului-cadru al documentaţiei tehnico-economice aferente investiţiilor publice, precum şi a structurii şi metodologiei de elaborare a devizului general pentru obiective de investiţii şi lucrări de intervenții</w:t>
      </w:r>
    </w:p>
    <w:p w:rsidR="00B4550A" w:rsidRPr="00E0488D" w:rsidRDefault="00B4550A" w:rsidP="002B7E09">
      <w:pPr>
        <w:pStyle w:val="NumberedParas"/>
      </w:pPr>
      <w:r w:rsidRPr="00E0488D">
        <w:t>Analiza Cost-Beneficiu conține 3 etape principale: Analiza Economică, Analiza Financiară și Analiza de Risc. După cum se subliniază în cadrul Ghidului Național de Evaluare a Proiectelor din sectorul Transporturilor, în etapa strategiei este necesară doar analiza economică deoarece aceasta indică ce proiecte oferă societății cel mai bun beneficiu total în raport cu costul investiției. Analiza financiară și analiza riscurilor urmează în etapa mai detaliată a evaluării proiectelor.</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2B7E09">
      <w:pPr>
        <w:pStyle w:val="NumberedParas"/>
      </w:pPr>
      <w:r w:rsidRPr="00E0488D">
        <w:lastRenderedPageBreak/>
        <w:t>Diagrama procesului de desfășurare a ACB este ilustrată mai jos</w:t>
      </w:r>
    </w:p>
    <w:p w:rsidR="00B4550A" w:rsidRPr="00E0488D" w:rsidRDefault="00B4550A" w:rsidP="00B4550A">
      <w:pPr>
        <w:spacing w:before="120" w:after="120" w:line="276" w:lineRule="auto"/>
        <w:rPr>
          <w:sz w:val="22"/>
          <w:szCs w:val="22"/>
          <w:lang w:val="ro-RO"/>
        </w:rPr>
      </w:pPr>
      <w:r w:rsidRPr="00E0488D">
        <w:rPr>
          <w:noProof/>
          <w:sz w:val="22"/>
          <w:szCs w:val="22"/>
          <w:lang w:val="ro-RO" w:eastAsia="ro-RO"/>
        </w:rPr>
        <w:drawing>
          <wp:anchor distT="0" distB="0" distL="114300" distR="114300" simplePos="0" relativeHeight="251662336" behindDoc="0" locked="0" layoutInCell="1" allowOverlap="1">
            <wp:simplePos x="0" y="0"/>
            <wp:positionH relativeFrom="column">
              <wp:posOffset>937895</wp:posOffset>
            </wp:positionH>
            <wp:positionV relativeFrom="paragraph">
              <wp:posOffset>332105</wp:posOffset>
            </wp:positionV>
            <wp:extent cx="4714240" cy="6289040"/>
            <wp:effectExtent l="0" t="0" r="0" b="35560"/>
            <wp:wrapNone/>
            <wp:docPr id="814"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anchor>
        </w:drawing>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pPr>
      <w:r w:rsidRPr="00E0488D">
        <w:lastRenderedPageBreak/>
        <w:t>Scopul analizei cost-beneficiu economice</w:t>
      </w:r>
    </w:p>
    <w:p w:rsidR="00B4550A" w:rsidRPr="00E0488D" w:rsidRDefault="00B4550A" w:rsidP="002B7E09">
      <w:pPr>
        <w:pStyle w:val="NumberedParas"/>
      </w:pPr>
      <w:r w:rsidRPr="00E0488D">
        <w:t>Scopul principal al analizei economice este de a evalua dacă beneficiile proiectului depășesc costurile acestuia și dacă este viabil ca proiectul să fie demarat, dintr-o perspectivă strict economică. Prin aplicarea analizei multicriteriale (AMC), sunt luați în considerare și alți factori. Analiza se realizează din punctul de vedere al întregii societăți și nu doar din punctul de vedere al beneficiarilor proiectelor.</w:t>
      </w:r>
    </w:p>
    <w:p w:rsidR="00B4550A" w:rsidRPr="00E0488D" w:rsidRDefault="00B4550A" w:rsidP="002B7E09">
      <w:pPr>
        <w:pStyle w:val="NumberedParas"/>
      </w:pPr>
      <w:r w:rsidRPr="00E0488D">
        <w:t xml:space="preserve">Pentru a cuprinde întreaga gamă de impacturi economice, analiza include atât elemente cu valoare monetară directă, cum ar fi reduceri ale costurilor de construcție, de întreținere și ale costurilor de operare a vehiculelor, cât și elemente fără valoare de piață imediată, cum ar fi reduceri ale timpilor de parcurs, ale numărului de accidente și ale impacturilor de mediu. În vederea realizării unei comparații consecvente a tuturor costurilor și beneficiilor unui proiect, toate impacturile sunt cuantificate financiar (adică li se asociază o valoare monetară) și apoi sunt agregate pentru determinarea beneficiilor nete ale respectivului proiect. Astfel, se poate determina dacă proiectul este dezirabil şi merită să fie implementat. Cu toate acestea, este important să se recunoască faptul că nu toate efectele proiectului pot fi monetizate şi, de asemenea, este important ca rezultatele ACB să fie corelate cu Analiza Multicriterială (AMC), care include la rândul ei aceste efecte necuantificate în termeni monetari. </w:t>
      </w:r>
    </w:p>
    <w:p w:rsidR="00B4550A" w:rsidRPr="00E0488D" w:rsidRDefault="00B4550A" w:rsidP="00B4550A">
      <w:pPr>
        <w:pStyle w:val="Hdg3"/>
      </w:pPr>
      <w:r w:rsidRPr="00E0488D">
        <w:t>Scopul analizei cost-beneficiu financiare</w:t>
      </w:r>
    </w:p>
    <w:p w:rsidR="00B4550A" w:rsidRPr="00E0488D" w:rsidRDefault="00B4550A" w:rsidP="002B7E09">
      <w:pPr>
        <w:pStyle w:val="NumberedParas"/>
      </w:pPr>
      <w:r w:rsidRPr="00E0488D">
        <w:t>Principalul scop al analizei financiare este de a evalua profitabilitatea financiară şi sustenabilitatea proiectului din punctul de vedere al beneficiarilor acestuia. Acest lucru este realizat prin analizarea fluxului de numerar financiar al proiectului; care include atât ieşirile, exprimate în investiţii, întreţinere şi costuri de operare, cât şi intrările exprimate în surse de finanţare şi tarifele încasate de la utilizatori. Mai simplu spus, această analiză arată dacă proiectul va genera un flux de numerar pozitiv în timpul perioadei de evaluare (profitabilitate) şi dacă fluxul de numerar net cumulat de la începutul proiectului nu este negativ în fiecare an de analiză (sustenabilitate).</w:t>
      </w:r>
    </w:p>
    <w:p w:rsidR="00B4550A" w:rsidRPr="00E0488D" w:rsidRDefault="00B4550A" w:rsidP="002B7E09">
      <w:pPr>
        <w:pStyle w:val="NumberedParas"/>
      </w:pPr>
      <w:r w:rsidRPr="00E0488D">
        <w:t xml:space="preserve">La început, analiza ia în considerare profitabilitatea financiară a proiectului în lipsa fondurilor UE pentru a se vedea dacă este într-adevăr necesar să se solicite fonduri de la Uniunea Europeană pentru acel proiect. În cazul proiectelor pentru care s-a dovedit că sunt necesare fonduri UE, analiza va demonstra faptul că proiectul este eligibil pentru acordarea acestor fonduri. </w:t>
      </w:r>
    </w:p>
    <w:p w:rsidR="00B4550A" w:rsidRPr="00E0488D" w:rsidRDefault="00B4550A" w:rsidP="002B7E09">
      <w:pPr>
        <w:pStyle w:val="NumberedParas"/>
      </w:pPr>
      <w:r w:rsidRPr="00E0488D">
        <w:t>Pentru ca un proiect să fie viabil, analiza financiară trebuie să demonstreze faptul că sursele de finanţare (inclusiv, dacă este relevant, fonduri de la UE) şi venitul generat de proiect sunt suficiente pentru a acoperi costurile proiectului şi că finanţarea şi veniturile sunt estimate în mod adecvat de-a lungul perioadei de evaluare pentru a asigura faptul că, în niciun an, proiectul nu va necesita o finanţare punte externă.</w:t>
      </w:r>
    </w:p>
    <w:p w:rsidR="00B4550A" w:rsidRPr="00E0488D" w:rsidRDefault="00B4550A" w:rsidP="00B4550A">
      <w:pPr>
        <w:pStyle w:val="Hdg3"/>
      </w:pPr>
      <w:r w:rsidRPr="00E0488D">
        <w:t xml:space="preserve">Scopul analizei de risc </w:t>
      </w:r>
    </w:p>
    <w:p w:rsidR="00B4550A" w:rsidRPr="00E0488D" w:rsidRDefault="00B4550A" w:rsidP="002B7E09">
      <w:pPr>
        <w:pStyle w:val="NumberedParas"/>
      </w:pPr>
      <w:r w:rsidRPr="00E0488D">
        <w:t>Evaluarea proiectului constă într-un proces de prognoză care implică anumite incertitudini. Aceste incertitudini provin atât de la caracterul limitat al datelor deţinute în situaţia respectivă, cât şi de la nivelul anumitor aspecte variabile în timp, precum numărul de deplasări, costurile aferente infrastructurii, etc.  Analiza de risc ia în calcul aceste incertitudini şi impactul lor asupra rezultatelor ambelor evaluări, atât economică cât şi financiară.</w:t>
      </w:r>
    </w:p>
    <w:p w:rsidR="00B4550A" w:rsidRPr="00E0488D" w:rsidRDefault="00B4550A" w:rsidP="00B4550A">
      <w:pPr>
        <w:pStyle w:val="Hdg3"/>
      </w:pPr>
      <w:r w:rsidRPr="00E0488D">
        <w:lastRenderedPageBreak/>
        <w:t>Analiza cost-beneficiu în cadrul Master Planului</w:t>
      </w:r>
    </w:p>
    <w:p w:rsidR="00B4550A" w:rsidRPr="00E0488D" w:rsidRDefault="00B4550A" w:rsidP="002B7E09">
      <w:pPr>
        <w:pStyle w:val="NumberedParas"/>
      </w:pPr>
      <w:r w:rsidRPr="00E0488D">
        <w:t xml:space="preserve">Analiza cost-beneficiu economică a fost efectuată ca parte a procesului de selecție și prioritizare a proiectelor pentru Master Plan. În sprijinul efectuării ACB a fost creată o aplicație software numită CBA Tool, care accesează rezultatele Modelului Național de Transport în vederea efectuării unei analize cost-beneficiu multimodale a proiectelor. </w:t>
      </w:r>
    </w:p>
    <w:p w:rsidR="00B4550A" w:rsidRPr="00E0488D" w:rsidRDefault="00B4550A" w:rsidP="002B7E09">
      <w:pPr>
        <w:pStyle w:val="NumberedParas"/>
      </w:pPr>
      <w:r w:rsidRPr="00E0488D">
        <w:t>Aplicația software CBA Tool este un program dezvoltat în Excel folosit pentru estimarea impactului economic al unui proiect sau scenariu (constând în mai multe proiecte) construit pe fundamentele teoretice ale economiei bunăstării. CBA Tool folosește date extrase automat din Modelul Național de Transport împreună cu estimări de cost ale proiectelor pentru a calcula impactul economic al unui proiect într-o manieră consecventă cu cerințele Ghidului Național de Evaluare a Proiectelor din sectorul Transporturilor.</w:t>
      </w:r>
    </w:p>
    <w:p w:rsidR="00B4550A" w:rsidRPr="00E0488D" w:rsidRDefault="00B4550A" w:rsidP="002B7E09">
      <w:pPr>
        <w:pStyle w:val="NumberedParas"/>
      </w:pPr>
      <w:r w:rsidRPr="00E0488D">
        <w:t>Principalele funcții ale aplicației CBA Tool sunt:</w:t>
      </w:r>
    </w:p>
    <w:p w:rsidR="00B4550A" w:rsidRPr="00E0488D" w:rsidRDefault="00B4550A" w:rsidP="00BC2B57">
      <w:pPr>
        <w:pStyle w:val="BulletLevel1"/>
      </w:pPr>
      <w:r w:rsidRPr="00E0488D">
        <w:t>Importă rezultatele din Modelul Național de Transport;</w:t>
      </w:r>
    </w:p>
    <w:p w:rsidR="00B4550A" w:rsidRPr="00E0488D" w:rsidRDefault="00B4550A" w:rsidP="00BC2B57">
      <w:pPr>
        <w:pStyle w:val="BulletLevel1"/>
      </w:pPr>
      <w:r w:rsidRPr="00E0488D">
        <w:t>Folosește valori adecvate pentru a exprima beneficii anticipate, în termeni monetari;</w:t>
      </w:r>
    </w:p>
    <w:p w:rsidR="00B4550A" w:rsidRPr="00E0488D" w:rsidRDefault="00B4550A" w:rsidP="00BC2B57">
      <w:pPr>
        <w:pStyle w:val="BulletLevel1"/>
      </w:pPr>
      <w:r w:rsidRPr="00E0488D">
        <w:t>Analizează valoarea beneficiilor anticipate prin aplicarea ratelor de actualizare și factorilor de conversie, acolo unde este cazul;</w:t>
      </w:r>
    </w:p>
    <w:p w:rsidR="00B4550A" w:rsidRPr="00E0488D" w:rsidRDefault="00B4550A" w:rsidP="00BC2B57">
      <w:pPr>
        <w:pStyle w:val="BulletLevel1"/>
      </w:pPr>
      <w:r w:rsidRPr="00E0488D">
        <w:t>Produce indicatori economici cheie, prin compararea beneficiilor anticipate cu costurile estimate;</w:t>
      </w:r>
    </w:p>
    <w:p w:rsidR="00B4550A" w:rsidRPr="00E0488D" w:rsidRDefault="00B4550A" w:rsidP="002B7E09">
      <w:pPr>
        <w:pStyle w:val="NumberedParas"/>
      </w:pPr>
      <w:r w:rsidRPr="00E0488D">
        <w:t xml:space="preserve">Elementele de cost considerate în analiza multimodală includ: </w:t>
      </w:r>
    </w:p>
    <w:p w:rsidR="00B4550A" w:rsidRPr="00E0488D" w:rsidRDefault="00B4550A" w:rsidP="00BC2B57">
      <w:pPr>
        <w:pStyle w:val="BulletLevel1"/>
      </w:pPr>
      <w:r w:rsidRPr="00E0488D">
        <w:t>Costuri de investiție,</w:t>
      </w:r>
    </w:p>
    <w:p w:rsidR="00B4550A" w:rsidRPr="00E0488D" w:rsidRDefault="00B4550A" w:rsidP="00BC2B57">
      <w:pPr>
        <w:pStyle w:val="BulletLevel1"/>
      </w:pPr>
      <w:r w:rsidRPr="00E0488D">
        <w:t>Variații ale costurilor de întreținere,</w:t>
      </w:r>
    </w:p>
    <w:p w:rsidR="00B4550A" w:rsidRPr="00E0488D" w:rsidRDefault="00B4550A" w:rsidP="00BC2B57">
      <w:pPr>
        <w:pStyle w:val="BulletLevel1"/>
      </w:pPr>
      <w:r w:rsidRPr="00E0488D">
        <w:t>Variații ale costurilor operaționale (pentru infrastructură nouă sau servicii noi).</w:t>
      </w:r>
    </w:p>
    <w:p w:rsidR="00B4550A" w:rsidRPr="00E0488D" w:rsidRDefault="00B4550A" w:rsidP="002B7E09">
      <w:pPr>
        <w:pStyle w:val="NumberedParas"/>
      </w:pPr>
      <w:r w:rsidRPr="00E0488D">
        <w:t xml:space="preserve">Beneficiile considerate în cadrul analizei multimodale includ: </w:t>
      </w:r>
    </w:p>
    <w:p w:rsidR="00B4550A" w:rsidRPr="00E0488D" w:rsidRDefault="00B4550A" w:rsidP="00BC2B57">
      <w:pPr>
        <w:pStyle w:val="BulletLevel1"/>
      </w:pPr>
      <w:r w:rsidRPr="00E0488D">
        <w:t>Variații ale costului de operare al vehiculului pentru utilizatori (transport marfă și pasageri)</w:t>
      </w:r>
    </w:p>
    <w:p w:rsidR="00B4550A" w:rsidRPr="00E0488D" w:rsidRDefault="00B4550A" w:rsidP="00BC2B57">
      <w:pPr>
        <w:pStyle w:val="BulletLevel1"/>
      </w:pPr>
      <w:r w:rsidRPr="00E0488D">
        <w:t>Reduceri ale timpului de parcurs pentru utilizatori,</w:t>
      </w:r>
    </w:p>
    <w:p w:rsidR="00B4550A" w:rsidRPr="00E0488D" w:rsidRDefault="00B4550A" w:rsidP="00BC2B57">
      <w:pPr>
        <w:pStyle w:val="BulletLevel1"/>
      </w:pPr>
      <w:r w:rsidRPr="00E0488D">
        <w:t>Variații ale costurilor externe:</w:t>
      </w:r>
    </w:p>
    <w:p w:rsidR="00B4550A" w:rsidRPr="00E0488D" w:rsidRDefault="00B4550A" w:rsidP="00B4550A">
      <w:pPr>
        <w:pStyle w:val="Bullet"/>
      </w:pPr>
      <w:r w:rsidRPr="00E0488D">
        <w:t xml:space="preserve">Emisii (gaze cu efect de seră și poluare locală), </w:t>
      </w:r>
    </w:p>
    <w:p w:rsidR="00B4550A" w:rsidRPr="00E0488D" w:rsidRDefault="00B4550A" w:rsidP="00B4550A">
      <w:pPr>
        <w:pStyle w:val="Bullet"/>
      </w:pPr>
      <w:r w:rsidRPr="00E0488D">
        <w:t>Zgomot,</w:t>
      </w:r>
    </w:p>
    <w:p w:rsidR="00B4550A" w:rsidRPr="00E0488D" w:rsidRDefault="00B4550A" w:rsidP="00B4550A">
      <w:pPr>
        <w:pStyle w:val="Bullet"/>
      </w:pPr>
      <w:r w:rsidRPr="00E0488D">
        <w:t>Accidente,</w:t>
      </w:r>
    </w:p>
    <w:p w:rsidR="00B4550A" w:rsidRPr="00E0488D" w:rsidRDefault="00B4550A" w:rsidP="00B4550A">
      <w:pPr>
        <w:pStyle w:val="Bullet"/>
      </w:pPr>
      <w:r w:rsidRPr="00E0488D">
        <w:t>Costuri de congestie.</w:t>
      </w:r>
    </w:p>
    <w:p w:rsidR="00B4550A" w:rsidRPr="00E0488D" w:rsidRDefault="00B4550A" w:rsidP="002B7E09">
      <w:pPr>
        <w:pStyle w:val="NumberedParas"/>
      </w:pPr>
      <w:r w:rsidRPr="00E0488D">
        <w:t>Costurile și beneficiile pot fi pozitive sau negative în funcție de natura proiectului aflat în evaluare.</w:t>
      </w:r>
    </w:p>
    <w:p w:rsidR="00B4550A" w:rsidRPr="00E0488D" w:rsidRDefault="00B4550A" w:rsidP="002B7E09">
      <w:pPr>
        <w:pStyle w:val="NumberedParas"/>
      </w:pPr>
      <w:r w:rsidRPr="00E0488D">
        <w:t>Indicatorii cheie rezultați din analiză sunt:</w:t>
      </w:r>
    </w:p>
    <w:p w:rsidR="00B4550A" w:rsidRPr="00E0488D" w:rsidRDefault="00B4550A" w:rsidP="00BC2B57">
      <w:pPr>
        <w:pStyle w:val="BulletLevel1"/>
      </w:pPr>
      <w:r w:rsidRPr="00E0488D">
        <w:t xml:space="preserve">Valoarea </w:t>
      </w:r>
      <w:r w:rsidRPr="00E0488D">
        <w:rPr>
          <w:szCs w:val="22"/>
        </w:rPr>
        <w:t>actualizată</w:t>
      </w:r>
      <w:r w:rsidRPr="00E0488D">
        <w:t xml:space="preserve"> a beneficiilor (PVB/VAB) – total beneficii actualizate pe perioada evaluării</w:t>
      </w:r>
    </w:p>
    <w:p w:rsidR="00B4550A" w:rsidRPr="00E0488D" w:rsidRDefault="00B4550A" w:rsidP="00BC2B57">
      <w:pPr>
        <w:pStyle w:val="BulletLevel1"/>
      </w:pPr>
      <w:r w:rsidRPr="00E0488D">
        <w:t>Valoarea actualizată a costurilor (PVC/VAC) – total costuri economice actualizate pe perioada evaluării</w:t>
      </w:r>
    </w:p>
    <w:p w:rsidR="00B4550A" w:rsidRPr="00E0488D" w:rsidRDefault="00B4550A" w:rsidP="00BC2B57">
      <w:pPr>
        <w:pStyle w:val="BulletLevel1"/>
      </w:pPr>
      <w:r w:rsidRPr="00E0488D">
        <w:t>Valoarea Actualizată Netă Economică (VANE) – dimensiunea economică absolută a beneficiilor nete ale proiectului.</w:t>
      </w:r>
    </w:p>
    <w:p w:rsidR="00B4550A" w:rsidRPr="00E0488D" w:rsidRDefault="00B4550A" w:rsidP="00BC2B57">
      <w:pPr>
        <w:pStyle w:val="BulletLevel1"/>
      </w:pPr>
      <w:r w:rsidRPr="00E0488D">
        <w:lastRenderedPageBreak/>
        <w:t xml:space="preserve">Raportul Beneficiu Cost (RBC) – raportul dintre beneficiile totale și costuri. Acesta oferă o dimensiune relativă a beneficiilor nete ale proiectului și este independent de dimensiunea proiectului </w:t>
      </w:r>
    </w:p>
    <w:p w:rsidR="00B4550A" w:rsidRPr="00E0488D" w:rsidRDefault="00B4550A" w:rsidP="00BC2B57">
      <w:pPr>
        <w:pStyle w:val="BulletLevel1"/>
      </w:pPr>
      <w:r w:rsidRPr="00E0488D">
        <w:t xml:space="preserve">Rata internă a rentabilității economice (RIRE) – Similară RBC, este independentă de dimensiunea proiectului și oferă o indicație asupra scării beneficiilor în raport cu costul de investiție. </w:t>
      </w:r>
    </w:p>
    <w:p w:rsidR="00B4550A" w:rsidRPr="00E0488D" w:rsidRDefault="00B4550A" w:rsidP="002B7E09">
      <w:pPr>
        <w:pStyle w:val="NumberedParas"/>
      </w:pPr>
      <w:r w:rsidRPr="00E0488D">
        <w:t>Aplicația este descrisă pe larg în Volumul 2, Anexa A – a Ghidului de Evaluare. CBA Tool oferă o gamă largă de rezultate și descrie toate date de intrare și de ieșire pentru toate modurile de transport. Figurile de mai jos ilustrează mai multe de ferestre ale acestui program:</w:t>
      </w:r>
    </w:p>
    <w:p w:rsidR="00B4550A" w:rsidRPr="00E0488D" w:rsidRDefault="00B4550A" w:rsidP="00B4550A">
      <w:pPr>
        <w:rPr>
          <w:lang w:val="ro-RO"/>
        </w:rPr>
      </w:pPr>
    </w:p>
    <w:p w:rsidR="00B4550A" w:rsidRPr="00E0488D" w:rsidRDefault="00B4550A" w:rsidP="00B4550A">
      <w:pPr>
        <w:spacing w:before="120" w:after="120" w:line="276" w:lineRule="auto"/>
        <w:rPr>
          <w:sz w:val="22"/>
          <w:szCs w:val="22"/>
          <w:lang w:val="ro-RO"/>
        </w:rPr>
      </w:pPr>
      <w:r w:rsidRPr="00E0488D">
        <w:rPr>
          <w:noProof/>
          <w:lang w:val="ro-RO" w:eastAsia="ro-RO"/>
        </w:rPr>
        <w:drawing>
          <wp:anchor distT="0" distB="0" distL="114300" distR="114300" simplePos="0" relativeHeight="251665408" behindDoc="0" locked="0" layoutInCell="1" allowOverlap="1">
            <wp:simplePos x="0" y="0"/>
            <wp:positionH relativeFrom="margin">
              <wp:posOffset>3046095</wp:posOffset>
            </wp:positionH>
            <wp:positionV relativeFrom="paragraph">
              <wp:posOffset>2618105</wp:posOffset>
            </wp:positionV>
            <wp:extent cx="2694940" cy="730885"/>
            <wp:effectExtent l="57150" t="38100" r="29210" b="12065"/>
            <wp:wrapNone/>
            <wp:docPr id="8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694940" cy="730885"/>
                    </a:xfrm>
                    <a:prstGeom prst="rect">
                      <a:avLst/>
                    </a:prstGeom>
                    <a:noFill/>
                    <a:ln w="28575">
                      <a:solidFill>
                        <a:srgbClr val="000000"/>
                      </a:solidFill>
                      <a:miter lim="800000"/>
                      <a:headEnd/>
                      <a:tailEnd/>
                    </a:ln>
                  </pic:spPr>
                </pic:pic>
              </a:graphicData>
            </a:graphic>
          </wp:anchor>
        </w:drawing>
      </w:r>
      <w:r w:rsidRPr="00E0488D">
        <w:rPr>
          <w:noProof/>
          <w:lang w:val="ro-RO" w:eastAsia="ro-RO"/>
        </w:rPr>
        <w:drawing>
          <wp:anchor distT="0" distB="0" distL="114300" distR="114300" simplePos="0" relativeHeight="251663360" behindDoc="0" locked="0" layoutInCell="1" allowOverlap="1">
            <wp:simplePos x="0" y="0"/>
            <wp:positionH relativeFrom="column">
              <wp:posOffset>3061335</wp:posOffset>
            </wp:positionH>
            <wp:positionV relativeFrom="paragraph">
              <wp:posOffset>34925</wp:posOffset>
            </wp:positionV>
            <wp:extent cx="2679700" cy="2450465"/>
            <wp:effectExtent l="57150" t="38100" r="44450" b="26035"/>
            <wp:wrapNone/>
            <wp:docPr id="8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679700" cy="2450465"/>
                    </a:xfrm>
                    <a:prstGeom prst="rect">
                      <a:avLst/>
                    </a:prstGeom>
                    <a:noFill/>
                    <a:ln w="28575">
                      <a:solidFill>
                        <a:srgbClr val="000000"/>
                      </a:solidFill>
                      <a:miter lim="800000"/>
                      <a:headEnd/>
                      <a:tailEnd/>
                    </a:ln>
                  </pic:spPr>
                </pic:pic>
              </a:graphicData>
            </a:graphic>
          </wp:anchor>
        </w:drawing>
      </w:r>
      <w:r w:rsidRPr="00E0488D">
        <w:rPr>
          <w:noProof/>
          <w:lang w:val="ro-RO" w:eastAsia="ro-RO"/>
        </w:rPr>
        <w:drawing>
          <wp:inline distT="0" distB="0" distL="0" distR="0">
            <wp:extent cx="2895600" cy="2720340"/>
            <wp:effectExtent l="57150" t="38100" r="38100" b="22860"/>
            <wp:docPr id="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895600" cy="2720340"/>
                    </a:xfrm>
                    <a:prstGeom prst="rect">
                      <a:avLst/>
                    </a:prstGeom>
                    <a:noFill/>
                    <a:ln w="28575"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rPr>
          <w:sz w:val="22"/>
          <w:szCs w:val="22"/>
          <w:lang w:val="ro-RO"/>
        </w:rPr>
      </w:pPr>
      <w:r w:rsidRPr="00E0488D">
        <w:rPr>
          <w:noProof/>
          <w:lang w:val="ro-RO" w:eastAsia="ro-RO"/>
        </w:rPr>
        <w:drawing>
          <wp:anchor distT="0" distB="0" distL="114300" distR="114300" simplePos="0" relativeHeight="251666432" behindDoc="0" locked="0" layoutInCell="1" allowOverlap="1">
            <wp:simplePos x="0" y="0"/>
            <wp:positionH relativeFrom="column">
              <wp:posOffset>2698115</wp:posOffset>
            </wp:positionH>
            <wp:positionV relativeFrom="paragraph">
              <wp:posOffset>581154</wp:posOffset>
            </wp:positionV>
            <wp:extent cx="3042920" cy="1420495"/>
            <wp:effectExtent l="57150" t="38100" r="43180" b="27305"/>
            <wp:wrapNone/>
            <wp:docPr id="8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042920" cy="1420495"/>
                    </a:xfrm>
                    <a:prstGeom prst="rect">
                      <a:avLst/>
                    </a:prstGeom>
                    <a:noFill/>
                    <a:ln w="28575">
                      <a:solidFill>
                        <a:srgbClr val="000000"/>
                      </a:solidFill>
                      <a:miter lim="800000"/>
                      <a:headEnd/>
                      <a:tailEnd/>
                    </a:ln>
                  </pic:spPr>
                </pic:pic>
              </a:graphicData>
            </a:graphic>
          </wp:anchor>
        </w:drawing>
      </w:r>
      <w:r w:rsidRPr="00E0488D">
        <w:rPr>
          <w:noProof/>
          <w:lang w:val="ro-RO" w:eastAsia="ro-RO"/>
        </w:rPr>
        <w:drawing>
          <wp:inline distT="0" distB="0" distL="0" distR="0">
            <wp:extent cx="2537460" cy="1958340"/>
            <wp:effectExtent l="57150" t="38100" r="34290" b="22860"/>
            <wp:docPr id="819"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537460" cy="1958340"/>
                    </a:xfrm>
                    <a:prstGeom prst="rect">
                      <a:avLst/>
                    </a:prstGeom>
                    <a:noFill/>
                    <a:ln w="28575" cmpd="sng">
                      <a:solidFill>
                        <a:srgbClr val="000000"/>
                      </a:solidFill>
                      <a:miter lim="800000"/>
                      <a:headEnd/>
                      <a:tailEnd/>
                    </a:ln>
                    <a:effectLst/>
                  </pic:spPr>
                </pic:pic>
              </a:graphicData>
            </a:graphic>
          </wp:inline>
        </w:drawing>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pPr>
      <w:r w:rsidRPr="00E0488D">
        <w:rPr>
          <w:lang w:val="ro-RO"/>
        </w:rPr>
        <w:br w:type="page"/>
      </w:r>
    </w:p>
    <w:p w:rsidR="00B4550A" w:rsidRPr="00E0488D" w:rsidRDefault="00B4550A" w:rsidP="00BD59B2">
      <w:pPr>
        <w:pStyle w:val="Hdg2"/>
      </w:pPr>
      <w:bookmarkStart w:id="33" w:name="_Toc413060301"/>
      <w:r w:rsidRPr="00E0488D">
        <w:lastRenderedPageBreak/>
        <w:t>Prioritizarea proiectelor</w:t>
      </w:r>
      <w:bookmarkEnd w:id="33"/>
    </w:p>
    <w:p w:rsidR="00B4550A" w:rsidRPr="00E0488D" w:rsidRDefault="00B4550A" w:rsidP="00B4550A">
      <w:pPr>
        <w:pStyle w:val="Hdg3"/>
      </w:pPr>
      <w:r w:rsidRPr="00E0488D">
        <w:t>Prezentare generală</w:t>
      </w:r>
    </w:p>
    <w:p w:rsidR="00B4550A" w:rsidRPr="00E0488D" w:rsidRDefault="00B4550A" w:rsidP="002B7E09">
      <w:pPr>
        <w:pStyle w:val="NumberedParas"/>
      </w:pPr>
      <w:r w:rsidRPr="00E0488D">
        <w:t xml:space="preserve">Prioritizarea proiectelor reprezintă un pas critic în definirea programului de investiții din cadrul Master Planului dată fiind situația în care investițiile identificate ca fiind necesare depășesc semnificativ bugetele disponibile. Aceasta implică necesitatea ierarhizării proiectelor potrivit unui set de criterii de evaluare predefinite, care să asigure un proces de prioritizare corect și neutru, elaborat pe baze independente. Adăugarea restricțiilor de finanțare la lista de proiecte ierarhizate va avea ca rezultat obținerea programului de implementare. </w:t>
      </w:r>
    </w:p>
    <w:p w:rsidR="00B4550A" w:rsidRPr="00E0488D" w:rsidRDefault="00B4550A" w:rsidP="002B7E09">
      <w:pPr>
        <w:pStyle w:val="NumberedParas"/>
      </w:pPr>
      <w:r w:rsidRPr="00E0488D">
        <w:t xml:space="preserve">Prima fază a evaluării unei strategii are scopul de a elimina proiectele cu o performanță economică scăzută, având în vedere unul dintre obiectivele generale ale Master Planului, mai precis, Eficiența Economică. Proiectele care rezultă din această etapă vor fi candidate pentru includerea într-unul sau ambele scenarii de dezvoltare bazate pe “Sustenabilitate economică” (ES) sau “Sustenabilitate economică și de mediu” (EES). </w:t>
      </w:r>
    </w:p>
    <w:p w:rsidR="00B4550A" w:rsidRPr="00E0488D" w:rsidRDefault="00B4550A" w:rsidP="002B7E09">
      <w:pPr>
        <w:pStyle w:val="NumberedParas"/>
      </w:pPr>
      <w:r w:rsidRPr="00E0488D">
        <w:t xml:space="preserve">Aceasta necesită o evaluare generală dar pe baze solide a tuturor proiectelor. Evaluarea a fost realizată folosind Analiza Cost-Beneficiu (ACB) și Analiza Multi-Criterială (AMC). </w:t>
      </w:r>
    </w:p>
    <w:p w:rsidR="00B4550A" w:rsidRPr="00E0488D" w:rsidRDefault="00B4550A" w:rsidP="002B7E09">
      <w:pPr>
        <w:pStyle w:val="NumberedParas"/>
      </w:pPr>
      <w:r w:rsidRPr="00E0488D">
        <w:t xml:space="preserve">Procesul general de evaluare a performanțelor este ilustrat în Figura 2.20 de mai jos. </w:t>
      </w:r>
      <w:bookmarkStart w:id="34" w:name="_Toc339635036"/>
      <w:bookmarkStart w:id="35" w:name="_Toc339883944"/>
      <w:bookmarkStart w:id="36" w:name="_Toc340138758"/>
      <w:bookmarkStart w:id="37" w:name="_Toc340139427"/>
      <w:bookmarkStart w:id="38" w:name="_Toc340140094"/>
      <w:bookmarkStart w:id="39" w:name="_Toc340140761"/>
      <w:bookmarkStart w:id="40" w:name="_Toc340141428"/>
      <w:bookmarkStart w:id="41" w:name="_Toc340830254"/>
      <w:bookmarkStart w:id="42" w:name="_Toc340830429"/>
      <w:bookmarkStart w:id="43" w:name="_Toc341083812"/>
      <w:r w:rsidRPr="00E0488D">
        <w:rPr>
          <w:rFonts w:cs="Arial"/>
          <w:noProof/>
          <w:color w:val="1F497D"/>
          <w:sz w:val="20"/>
          <w:szCs w:val="20"/>
          <w:lang w:eastAsia="ro-RO"/>
        </w:rPr>
        <w:drawing>
          <wp:inline distT="0" distB="0" distL="0" distR="0">
            <wp:extent cx="4640246" cy="3937380"/>
            <wp:effectExtent l="19050" t="0" r="7954" b="0"/>
            <wp:docPr id="820" name="Picture 1" descr="cid:image001.png@01CFCC1D.82362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FCC1D.82362C60"/>
                    <pic:cNvPicPr>
                      <a:picLocks noChangeAspect="1" noChangeArrowheads="1"/>
                    </pic:cNvPicPr>
                  </pic:nvPicPr>
                  <pic:blipFill>
                    <a:blip r:embed="rId71" r:link="rId72" cstate="print"/>
                    <a:srcRect/>
                    <a:stretch>
                      <a:fillRect/>
                    </a:stretch>
                  </pic:blipFill>
                  <pic:spPr bwMode="auto">
                    <a:xfrm>
                      <a:off x="0" y="0"/>
                      <a:ext cx="4639945" cy="3937125"/>
                    </a:xfrm>
                    <a:prstGeom prst="rect">
                      <a:avLst/>
                    </a:prstGeom>
                    <a:noFill/>
                    <a:ln w="9525">
                      <a:noFill/>
                      <a:miter lim="800000"/>
                      <a:headEnd/>
                      <a:tailEnd/>
                    </a:ln>
                  </pic:spPr>
                </pic:pic>
              </a:graphicData>
            </a:graphic>
          </wp:inline>
        </w:drawing>
      </w:r>
    </w:p>
    <w:p w:rsidR="00B4550A" w:rsidRPr="00E0488D" w:rsidRDefault="00B4550A" w:rsidP="00B4550A">
      <w:pPr>
        <w:spacing w:before="120" w:after="120" w:line="276" w:lineRule="auto"/>
        <w:ind w:left="851"/>
        <w:jc w:val="both"/>
        <w:rPr>
          <w:rFonts w:cs="Arial"/>
          <w:b/>
          <w:sz w:val="22"/>
          <w:lang w:val="ro-RO"/>
        </w:rPr>
      </w:pPr>
      <w:r w:rsidRPr="00E0488D">
        <w:rPr>
          <w:rFonts w:cs="Arial"/>
          <w:b/>
          <w:sz w:val="22"/>
          <w:lang w:val="ro-RO"/>
        </w:rPr>
        <w:t xml:space="preserve">Figura 2.20 Procesul de evaluare a proiectelor și scenariilor </w:t>
      </w:r>
    </w:p>
    <w:p w:rsidR="00B4550A" w:rsidRPr="00E0488D" w:rsidRDefault="00B4550A" w:rsidP="002B7E09">
      <w:pPr>
        <w:pStyle w:val="NumberedParas"/>
      </w:pPr>
      <w:r w:rsidRPr="00E0488D">
        <w:t xml:space="preserve">Procesul de generare a proiectelor pe baza analizei problemelor și identificării intervențiilor care se adresează cel mai bine problemelor specifice, a fost descris în Secțiunile 2.2 – 2.4. Secțiunile 2.5 și 2.6 cuprind prezentări ale principalelor instrumente folosite în etapa de evaluare, mai precis Modelul Național de Transport și Analiza Cost-Beneficiu. </w:t>
      </w:r>
    </w:p>
    <w:p w:rsidR="00B4550A" w:rsidRPr="00E0488D" w:rsidRDefault="00B4550A" w:rsidP="002B7E09">
      <w:pPr>
        <w:pStyle w:val="NumberedParas"/>
      </w:pPr>
      <w:r w:rsidRPr="00E0488D">
        <w:lastRenderedPageBreak/>
        <w:t xml:space="preserve">În secțiunile următoare este descris modul în care proiectele au fost evaluate la nivel individual și apoi încorporate în cele două scenarii ”Do Something”: Scenariul Sustenabilitate Economică și Scenariul Sustenabilitate Economică și de Mediu.   </w:t>
      </w:r>
    </w:p>
    <w:p w:rsidR="00B4550A" w:rsidRPr="00E0488D" w:rsidRDefault="00B4550A" w:rsidP="002B7E09">
      <w:pPr>
        <w:pStyle w:val="NumberedParas"/>
      </w:pPr>
      <w:r w:rsidRPr="00E0488D">
        <w:t xml:space="preserve">Înainte de a fi incluse în cadrul scenariilor ES și EES proiectele au fost testate la nivel individual. Aceasta deoarece există o cerință cheie a UE ca fiecare dintre proiectele din Master Plan să fie justificat economic înainte de includere în cadrul scenariilor. Dacă scenariile se creează înaintea testării individuale a proiectelor, există pericolul apariției unei </w:t>
      </w:r>
      <w:r w:rsidRPr="00E0488D">
        <w:rPr>
          <w:i/>
        </w:rPr>
        <w:t>subvenționări încrucișate</w:t>
      </w:r>
      <w:r w:rsidRPr="00E0488D">
        <w:t xml:space="preserve">, adică a unei situații în care un scenariu, ca întreg, produce beneficii economice care acoperă cazuri în care beneficiile economice ale anumitor proiecte individuale ascund pierderile altor proiecte. </w:t>
      </w:r>
    </w:p>
    <w:p w:rsidR="00B4550A" w:rsidRPr="00E0488D" w:rsidRDefault="00B4550A" w:rsidP="002B7E09">
      <w:pPr>
        <w:pStyle w:val="NumberedParas"/>
      </w:pPr>
      <w:r w:rsidRPr="00E0488D">
        <w:t xml:space="preserve">Astfel, lista inițială de proiecte a fost procesată folosind valoarea economică drept criteriu unic. Toate proiectele analizate pentru includere în Master Plan au trebuit să îndeplinească acest criteriu (RIRE &gt; 3%), aceasta fiind în concordanță și cu cerințele UE. Valoarea minimă pentru RIRE a fost definită analizând marja de eroare inerentă nivelului ridicat al analizei, ținând cont de faptul că,  pentru următoarea perioadă de programare 2014-2020, rata de actualizare economică este 5% </w:t>
      </w:r>
    </w:p>
    <w:p w:rsidR="00B4550A" w:rsidRPr="00E0488D" w:rsidRDefault="00B4550A" w:rsidP="002B7E09">
      <w:pPr>
        <w:pStyle w:val="NumberedParas"/>
      </w:pPr>
      <w:r w:rsidRPr="00E0488D">
        <w:t>Proiectele care au trecut de criteriul economic au fost combinate și prioritizate în cadrul scenariilor SE și SEM.</w:t>
      </w:r>
    </w:p>
    <w:bookmarkEnd w:id="34"/>
    <w:bookmarkEnd w:id="35"/>
    <w:bookmarkEnd w:id="36"/>
    <w:bookmarkEnd w:id="37"/>
    <w:bookmarkEnd w:id="38"/>
    <w:bookmarkEnd w:id="39"/>
    <w:bookmarkEnd w:id="40"/>
    <w:bookmarkEnd w:id="41"/>
    <w:bookmarkEnd w:id="42"/>
    <w:bookmarkEnd w:id="43"/>
    <w:p w:rsidR="00B4550A" w:rsidRPr="00E0488D" w:rsidRDefault="00B4550A" w:rsidP="00B4550A">
      <w:pPr>
        <w:pStyle w:val="Hdg3"/>
      </w:pPr>
      <w:r w:rsidRPr="00E0488D">
        <w:t>Selectarea proiectelor pentru scenariul ES și EES</w:t>
      </w:r>
    </w:p>
    <w:p w:rsidR="00B4550A" w:rsidRPr="00E0488D" w:rsidRDefault="00B4550A" w:rsidP="002B7E09">
      <w:pPr>
        <w:pStyle w:val="NumberedParas"/>
      </w:pPr>
      <w:r w:rsidRPr="00E0488D">
        <w:t>Datele de ieșire din procesul de evaluare a performanței sunt reprezentate printr-o listă de proiecte pentru care au fost acordate punctaje de până la 100 de puncte, în fiecare Scenariu. Un pas critic este identificarea proiectelor care vor avea prioritate după parcurgerea acestei etape, iar metoda prin care realizează aceasta este alocarea de ponderi pentru fiecare punctaj pentru fiecare criteriu, pentru a oferi un punctaj general al proiectului.</w:t>
      </w:r>
    </w:p>
    <w:p w:rsidR="00B4550A" w:rsidRPr="00E0488D" w:rsidRDefault="00B4550A" w:rsidP="002B7E09">
      <w:pPr>
        <w:pStyle w:val="NumberedParas"/>
      </w:pPr>
      <w:r w:rsidRPr="00E0488D">
        <w:t>Ponderea acordată proiectelor și punctajelor obținute depinde de caracteristicile celor două scenarii. Pentru scenariul ES, proiectele au o pondere mai mare acordată criteriilor economice decât în cazul scenariului EES. Sistemul de ponderare, elaborat în urma unui proces îndelung de consultare cu MT și JASPERS, este prezentat în Tabelul 2.21.</w:t>
      </w:r>
    </w:p>
    <w:p w:rsidR="00B4550A" w:rsidRPr="00E0488D" w:rsidRDefault="00B4550A" w:rsidP="00B4550A">
      <w:pPr>
        <w:spacing w:before="120" w:after="120" w:line="276" w:lineRule="auto"/>
        <w:ind w:left="851"/>
        <w:jc w:val="both"/>
        <w:rPr>
          <w:rFonts w:cs="Arial"/>
          <w:b/>
          <w:sz w:val="22"/>
          <w:lang w:val="ro-RO"/>
        </w:rPr>
      </w:pPr>
      <w:r w:rsidRPr="00E0488D">
        <w:rPr>
          <w:rFonts w:cs="Arial"/>
          <w:b/>
          <w:sz w:val="22"/>
          <w:lang w:val="ro-RO"/>
        </w:rPr>
        <w:t xml:space="preserve">Tabelul 2.21 Criterii și ponderi de evaluare pentru Scenariile SE și SEM. </w:t>
      </w:r>
    </w:p>
    <w:tbl>
      <w:tblPr>
        <w:tblStyle w:val="TableGrid"/>
        <w:tblW w:w="0" w:type="auto"/>
        <w:tblInd w:w="851" w:type="dxa"/>
        <w:tblLook w:val="04A0" w:firstRow="1" w:lastRow="0" w:firstColumn="1" w:lastColumn="0" w:noHBand="0" w:noVBand="1"/>
      </w:tblPr>
      <w:tblGrid>
        <w:gridCol w:w="3369"/>
        <w:gridCol w:w="1913"/>
        <w:gridCol w:w="1914"/>
      </w:tblGrid>
      <w:tr w:rsidR="00B4550A" w:rsidRPr="00E0488D" w:rsidTr="003C7FC8">
        <w:trPr>
          <w:trHeight w:val="764"/>
        </w:trPr>
        <w:tc>
          <w:tcPr>
            <w:tcW w:w="3369" w:type="dxa"/>
            <w:shd w:val="clear" w:color="auto" w:fill="B8CCE4" w:themeFill="accent1" w:themeFillTint="66"/>
            <w:vAlign w:val="center"/>
          </w:tcPr>
          <w:p w:rsidR="00B4550A" w:rsidRPr="00E0488D" w:rsidRDefault="00B4550A" w:rsidP="003C7FC8">
            <w:pPr>
              <w:rPr>
                <w:rFonts w:cs="Arial"/>
                <w:b/>
                <w:color w:val="000000"/>
                <w:sz w:val="22"/>
                <w:szCs w:val="22"/>
                <w:lang w:val="ro-RO"/>
              </w:rPr>
            </w:pPr>
            <w:r w:rsidRPr="00E0488D">
              <w:rPr>
                <w:rFonts w:cs="Arial"/>
                <w:b/>
                <w:color w:val="000000"/>
                <w:sz w:val="22"/>
                <w:szCs w:val="22"/>
                <w:lang w:val="ro-RO"/>
              </w:rPr>
              <w:t>Criterii</w:t>
            </w:r>
          </w:p>
        </w:tc>
        <w:tc>
          <w:tcPr>
            <w:tcW w:w="1913" w:type="dxa"/>
            <w:shd w:val="clear" w:color="auto" w:fill="B8CCE4" w:themeFill="accent1" w:themeFillTint="66"/>
            <w:vAlign w:val="center"/>
          </w:tcPr>
          <w:p w:rsidR="00B4550A" w:rsidRPr="00E0488D" w:rsidRDefault="00B4550A" w:rsidP="003C7FC8">
            <w:pPr>
              <w:jc w:val="center"/>
              <w:rPr>
                <w:rFonts w:cs="Arial"/>
                <w:b/>
                <w:color w:val="000000"/>
                <w:sz w:val="22"/>
                <w:szCs w:val="22"/>
                <w:lang w:val="ro-RO"/>
              </w:rPr>
            </w:pPr>
            <w:r w:rsidRPr="00E0488D">
              <w:rPr>
                <w:rFonts w:cs="Arial"/>
                <w:b/>
                <w:color w:val="000000"/>
                <w:sz w:val="22"/>
                <w:szCs w:val="22"/>
                <w:lang w:val="ro-RO"/>
              </w:rPr>
              <w:t>SE</w:t>
            </w:r>
          </w:p>
        </w:tc>
        <w:tc>
          <w:tcPr>
            <w:tcW w:w="1914" w:type="dxa"/>
            <w:shd w:val="clear" w:color="auto" w:fill="B8CCE4" w:themeFill="accent1" w:themeFillTint="66"/>
            <w:vAlign w:val="center"/>
          </w:tcPr>
          <w:p w:rsidR="00B4550A" w:rsidRPr="00E0488D" w:rsidRDefault="00B4550A" w:rsidP="003C7FC8">
            <w:pPr>
              <w:jc w:val="center"/>
              <w:rPr>
                <w:rFonts w:cs="Arial"/>
                <w:b/>
                <w:color w:val="000000"/>
                <w:sz w:val="22"/>
                <w:szCs w:val="22"/>
                <w:lang w:val="ro-RO"/>
              </w:rPr>
            </w:pPr>
            <w:r w:rsidRPr="00E0488D">
              <w:rPr>
                <w:rFonts w:cs="Arial"/>
                <w:b/>
                <w:color w:val="000000"/>
                <w:sz w:val="22"/>
                <w:szCs w:val="22"/>
                <w:lang w:val="ro-RO"/>
              </w:rPr>
              <w:t>SEM</w:t>
            </w:r>
          </w:p>
        </w:tc>
      </w:tr>
      <w:tr w:rsidR="00B4550A" w:rsidRPr="00E0488D" w:rsidTr="003C7FC8">
        <w:trPr>
          <w:trHeight w:hRule="exact" w:val="567"/>
        </w:trPr>
        <w:tc>
          <w:tcPr>
            <w:tcW w:w="3369" w:type="dxa"/>
            <w:vAlign w:val="center"/>
          </w:tcPr>
          <w:p w:rsidR="00B4550A" w:rsidRPr="00E0488D" w:rsidRDefault="00B4550A" w:rsidP="003C7FC8">
            <w:pPr>
              <w:rPr>
                <w:rFonts w:cs="Arial"/>
                <w:color w:val="000000"/>
                <w:sz w:val="22"/>
                <w:szCs w:val="22"/>
                <w:lang w:val="ro-RO"/>
              </w:rPr>
            </w:pPr>
            <w:r w:rsidRPr="00E0488D">
              <w:rPr>
                <w:rFonts w:cs="Arial"/>
                <w:color w:val="000000"/>
                <w:sz w:val="22"/>
                <w:szCs w:val="22"/>
                <w:lang w:val="ro-RO"/>
              </w:rPr>
              <w:t>Eficiență economică</w:t>
            </w:r>
          </w:p>
        </w:tc>
        <w:tc>
          <w:tcPr>
            <w:tcW w:w="1913" w:type="dxa"/>
            <w:vAlign w:val="center"/>
          </w:tcPr>
          <w:p w:rsidR="00B4550A" w:rsidRPr="00E0488D" w:rsidRDefault="00B4550A" w:rsidP="003C7FC8">
            <w:pPr>
              <w:jc w:val="center"/>
              <w:rPr>
                <w:sz w:val="22"/>
                <w:szCs w:val="22"/>
                <w:lang w:val="ro-RO"/>
              </w:rPr>
            </w:pPr>
            <w:r w:rsidRPr="00E0488D">
              <w:rPr>
                <w:sz w:val="22"/>
                <w:szCs w:val="22"/>
                <w:lang w:val="ro-RO"/>
              </w:rPr>
              <w:t>70%</w:t>
            </w:r>
          </w:p>
        </w:tc>
        <w:tc>
          <w:tcPr>
            <w:tcW w:w="1914" w:type="dxa"/>
            <w:vAlign w:val="center"/>
          </w:tcPr>
          <w:p w:rsidR="00B4550A" w:rsidRPr="00E0488D" w:rsidRDefault="00B4550A" w:rsidP="003C7FC8">
            <w:pPr>
              <w:jc w:val="center"/>
              <w:rPr>
                <w:sz w:val="22"/>
                <w:szCs w:val="22"/>
                <w:lang w:val="ro-RO"/>
              </w:rPr>
            </w:pPr>
            <w:r w:rsidRPr="00E0488D">
              <w:rPr>
                <w:sz w:val="22"/>
                <w:szCs w:val="22"/>
                <w:lang w:val="ro-RO"/>
              </w:rPr>
              <w:t>50%</w:t>
            </w:r>
          </w:p>
        </w:tc>
      </w:tr>
      <w:tr w:rsidR="00B4550A" w:rsidRPr="00E0488D" w:rsidTr="003C7FC8">
        <w:trPr>
          <w:trHeight w:hRule="exact" w:val="567"/>
        </w:trPr>
        <w:tc>
          <w:tcPr>
            <w:tcW w:w="3369" w:type="dxa"/>
            <w:vAlign w:val="center"/>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Integrare Trans-Europeană/Politica TEN-T</w:t>
            </w:r>
          </w:p>
        </w:tc>
        <w:tc>
          <w:tcPr>
            <w:tcW w:w="1913" w:type="dxa"/>
            <w:vAlign w:val="center"/>
          </w:tcPr>
          <w:p w:rsidR="00B4550A" w:rsidRPr="00E0488D" w:rsidRDefault="00B4550A" w:rsidP="003C7FC8">
            <w:pPr>
              <w:jc w:val="center"/>
              <w:rPr>
                <w:sz w:val="22"/>
                <w:szCs w:val="22"/>
                <w:lang w:val="ro-RO"/>
              </w:rPr>
            </w:pPr>
            <w:r w:rsidRPr="00E0488D">
              <w:rPr>
                <w:sz w:val="22"/>
                <w:szCs w:val="22"/>
                <w:lang w:val="ro-RO"/>
              </w:rPr>
              <w:t>30%</w:t>
            </w:r>
          </w:p>
        </w:tc>
        <w:tc>
          <w:tcPr>
            <w:tcW w:w="1914" w:type="dxa"/>
            <w:vAlign w:val="center"/>
          </w:tcPr>
          <w:p w:rsidR="00B4550A" w:rsidRPr="00E0488D" w:rsidRDefault="00B4550A" w:rsidP="003C7FC8">
            <w:pPr>
              <w:jc w:val="center"/>
              <w:rPr>
                <w:sz w:val="22"/>
                <w:szCs w:val="22"/>
                <w:lang w:val="ro-RO"/>
              </w:rPr>
            </w:pPr>
            <w:r w:rsidRPr="00E0488D">
              <w:rPr>
                <w:sz w:val="22"/>
                <w:szCs w:val="22"/>
                <w:lang w:val="ro-RO"/>
              </w:rPr>
              <w:t>20%</w:t>
            </w:r>
          </w:p>
        </w:tc>
      </w:tr>
      <w:tr w:rsidR="00B4550A" w:rsidRPr="00E0488D" w:rsidTr="003C7FC8">
        <w:trPr>
          <w:trHeight w:hRule="exact" w:val="567"/>
        </w:trPr>
        <w:tc>
          <w:tcPr>
            <w:tcW w:w="3369" w:type="dxa"/>
            <w:vAlign w:val="center"/>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Impact de mediu</w:t>
            </w:r>
          </w:p>
        </w:tc>
        <w:tc>
          <w:tcPr>
            <w:tcW w:w="1913" w:type="dxa"/>
            <w:vAlign w:val="center"/>
          </w:tcPr>
          <w:p w:rsidR="00B4550A" w:rsidRPr="00E0488D" w:rsidRDefault="00B4550A" w:rsidP="003C7FC8">
            <w:pPr>
              <w:jc w:val="center"/>
              <w:rPr>
                <w:sz w:val="22"/>
                <w:szCs w:val="22"/>
                <w:lang w:val="ro-RO"/>
              </w:rPr>
            </w:pPr>
            <w:r w:rsidRPr="00E0488D">
              <w:rPr>
                <w:sz w:val="22"/>
                <w:szCs w:val="22"/>
                <w:lang w:val="ro-RO"/>
              </w:rPr>
              <w:t>-</w:t>
            </w:r>
          </w:p>
        </w:tc>
        <w:tc>
          <w:tcPr>
            <w:tcW w:w="1914" w:type="dxa"/>
            <w:vAlign w:val="center"/>
          </w:tcPr>
          <w:p w:rsidR="00B4550A" w:rsidRPr="00E0488D" w:rsidRDefault="00B4550A" w:rsidP="003C7FC8">
            <w:pPr>
              <w:jc w:val="center"/>
              <w:rPr>
                <w:sz w:val="22"/>
                <w:szCs w:val="22"/>
                <w:lang w:val="ro-RO"/>
              </w:rPr>
            </w:pPr>
            <w:r w:rsidRPr="00E0488D">
              <w:rPr>
                <w:sz w:val="22"/>
                <w:szCs w:val="22"/>
                <w:lang w:val="ro-RO"/>
              </w:rPr>
              <w:t>20%</w:t>
            </w:r>
          </w:p>
        </w:tc>
      </w:tr>
      <w:tr w:rsidR="00B4550A" w:rsidRPr="00E0488D" w:rsidTr="003C7FC8">
        <w:trPr>
          <w:trHeight w:hRule="exact" w:val="567"/>
        </w:trPr>
        <w:tc>
          <w:tcPr>
            <w:tcW w:w="3369" w:type="dxa"/>
            <w:vAlign w:val="center"/>
          </w:tcPr>
          <w:p w:rsidR="00B4550A" w:rsidRPr="00E0488D" w:rsidRDefault="00B4550A" w:rsidP="003C7FC8">
            <w:pPr>
              <w:rPr>
                <w:rFonts w:cs="Arial"/>
                <w:color w:val="000000"/>
                <w:sz w:val="22"/>
                <w:szCs w:val="22"/>
                <w:lang w:val="ro-RO"/>
              </w:rPr>
            </w:pPr>
            <w:r w:rsidRPr="00E0488D">
              <w:rPr>
                <w:rFonts w:cs="Arial"/>
                <w:color w:val="000000"/>
                <w:sz w:val="22"/>
                <w:szCs w:val="22"/>
                <w:lang w:val="ro-RO"/>
              </w:rPr>
              <w:t>Sustenabilitate</w:t>
            </w:r>
          </w:p>
        </w:tc>
        <w:tc>
          <w:tcPr>
            <w:tcW w:w="3827" w:type="dxa"/>
            <w:gridSpan w:val="2"/>
            <w:vAlign w:val="center"/>
          </w:tcPr>
          <w:p w:rsidR="00B4550A" w:rsidRPr="00E0488D" w:rsidRDefault="00B4550A" w:rsidP="003C7FC8">
            <w:pPr>
              <w:jc w:val="center"/>
              <w:rPr>
                <w:sz w:val="22"/>
                <w:szCs w:val="22"/>
                <w:lang w:val="ro-RO"/>
              </w:rPr>
            </w:pPr>
            <w:r w:rsidRPr="00E0488D">
              <w:rPr>
                <w:sz w:val="22"/>
                <w:szCs w:val="22"/>
                <w:lang w:val="ro-RO"/>
              </w:rPr>
              <w:t>Nu are un punctaj acordat dar se ia în considerare prin distribuția modală</w:t>
            </w:r>
          </w:p>
        </w:tc>
      </w:tr>
      <w:tr w:rsidR="00B4550A" w:rsidRPr="00E0488D" w:rsidTr="003C7FC8">
        <w:trPr>
          <w:trHeight w:hRule="exact" w:val="567"/>
        </w:trPr>
        <w:tc>
          <w:tcPr>
            <w:tcW w:w="3369" w:type="dxa"/>
            <w:vAlign w:val="center"/>
          </w:tcPr>
          <w:p w:rsidR="00B4550A" w:rsidRPr="00E0488D" w:rsidRDefault="00B4550A" w:rsidP="003C7FC8">
            <w:pPr>
              <w:rPr>
                <w:rFonts w:cs="Arial"/>
                <w:color w:val="000000"/>
                <w:sz w:val="22"/>
                <w:szCs w:val="22"/>
                <w:lang w:val="ro-RO"/>
              </w:rPr>
            </w:pPr>
            <w:r w:rsidRPr="00E0488D">
              <w:rPr>
                <w:rFonts w:cs="Arial"/>
                <w:color w:val="000000"/>
                <w:sz w:val="22"/>
                <w:szCs w:val="22"/>
                <w:lang w:val="ro-RO"/>
              </w:rPr>
              <w:t>Dezvoltare economică echilibrată</w:t>
            </w:r>
          </w:p>
        </w:tc>
        <w:tc>
          <w:tcPr>
            <w:tcW w:w="1913" w:type="dxa"/>
            <w:vAlign w:val="center"/>
          </w:tcPr>
          <w:p w:rsidR="00B4550A" w:rsidRPr="00E0488D" w:rsidRDefault="00B4550A" w:rsidP="003C7FC8">
            <w:pPr>
              <w:jc w:val="center"/>
              <w:rPr>
                <w:sz w:val="22"/>
                <w:szCs w:val="22"/>
                <w:lang w:val="ro-RO"/>
              </w:rPr>
            </w:pPr>
            <w:r w:rsidRPr="00E0488D">
              <w:rPr>
                <w:sz w:val="22"/>
                <w:szCs w:val="22"/>
                <w:lang w:val="ro-RO"/>
              </w:rPr>
              <w:t>-</w:t>
            </w:r>
          </w:p>
        </w:tc>
        <w:tc>
          <w:tcPr>
            <w:tcW w:w="1914" w:type="dxa"/>
            <w:vAlign w:val="center"/>
          </w:tcPr>
          <w:p w:rsidR="00B4550A" w:rsidRPr="00E0488D" w:rsidRDefault="00B4550A" w:rsidP="003C7FC8">
            <w:pPr>
              <w:jc w:val="center"/>
              <w:rPr>
                <w:sz w:val="22"/>
                <w:szCs w:val="22"/>
                <w:lang w:val="ro-RO"/>
              </w:rPr>
            </w:pPr>
            <w:r w:rsidRPr="00E0488D">
              <w:rPr>
                <w:sz w:val="22"/>
                <w:szCs w:val="22"/>
                <w:lang w:val="ro-RO"/>
              </w:rPr>
              <w:t>10%</w:t>
            </w:r>
          </w:p>
        </w:tc>
      </w:tr>
    </w:tbl>
    <w:p w:rsidR="00B4550A" w:rsidRPr="00E0488D" w:rsidRDefault="00B4550A" w:rsidP="00B4550A">
      <w:pPr>
        <w:pStyle w:val="Frspaiere1"/>
        <w:ind w:left="0" w:firstLine="720"/>
        <w:rPr>
          <w:rFonts w:ascii="Arial" w:hAnsi="Arial" w:cs="Arial"/>
          <w:i/>
          <w:sz w:val="18"/>
          <w:szCs w:val="18"/>
          <w:lang w:val="ro-RO"/>
        </w:rPr>
      </w:pPr>
      <w:r w:rsidRPr="00E0488D">
        <w:rPr>
          <w:rFonts w:ascii="Arial" w:hAnsi="Arial" w:cs="Arial"/>
          <w:i/>
          <w:sz w:val="18"/>
          <w:szCs w:val="18"/>
          <w:lang w:val="ro-RO"/>
        </w:rPr>
        <w:t>Sursa: AECOM / MT / Jaspers</w:t>
      </w:r>
    </w:p>
    <w:p w:rsidR="00B4550A" w:rsidRPr="00E0488D" w:rsidRDefault="00B4550A" w:rsidP="002B7E09">
      <w:pPr>
        <w:pStyle w:val="NumberedParas"/>
      </w:pPr>
      <w:r w:rsidRPr="00E0488D">
        <w:t xml:space="preserve">Fiecare proiect a fost punctat pentru fiecare scenariu utilizându-se ponderile de mai sus. Ulterior s-a realizat o ierarhizare a scenariilor. </w:t>
      </w:r>
    </w:p>
    <w:p w:rsidR="00B4550A" w:rsidRPr="00E0488D" w:rsidRDefault="00B4550A" w:rsidP="002B7E09">
      <w:pPr>
        <w:pStyle w:val="NumberedParas"/>
      </w:pPr>
      <w:r w:rsidRPr="00E0488D">
        <w:lastRenderedPageBreak/>
        <w:t>Pe baza rezultatelor evaluării, s-au identificat proiecte care sunt candidate puternice pentru includerea în Master Plan, în cele două scenarii de dezvoltare “sustenabilitate economică” și “sustenabilitate economică și de mediu”. Sistemul de ponderare determină ordinea proiectelor, dar, în mod obișnuit, este de așteptat ca:</w:t>
      </w:r>
    </w:p>
    <w:p w:rsidR="00B4550A" w:rsidRPr="00E0488D" w:rsidRDefault="00B4550A" w:rsidP="00BC2B57">
      <w:pPr>
        <w:pStyle w:val="BulletLevel1"/>
      </w:pPr>
      <w:r w:rsidRPr="00E0488D">
        <w:t>Proiectele care au beneficii economice limitate și contra-beneficii de mediu semnificative, să fie eliminate;</w:t>
      </w:r>
    </w:p>
    <w:p w:rsidR="00B4550A" w:rsidRPr="00E0488D" w:rsidRDefault="00B4550A" w:rsidP="00BC2B57">
      <w:pPr>
        <w:pStyle w:val="BulletLevel1"/>
      </w:pPr>
      <w:r w:rsidRPr="00E0488D">
        <w:t>Proiectele cu beneficii economice mari și contra-beneficii semnificative de mediu să fie incluse în scenariul Sustenabilitate Economică;</w:t>
      </w:r>
    </w:p>
    <w:p w:rsidR="00B4550A" w:rsidRPr="00E0488D" w:rsidRDefault="00B4550A" w:rsidP="00BC2B57">
      <w:pPr>
        <w:pStyle w:val="BulletLevel1"/>
      </w:pPr>
      <w:r w:rsidRPr="00E0488D">
        <w:t>Proiectele cu beneficii economice limitate dar cu beneficii mari de mediu să fie incluse în scenariul Sustenabilitate economică și de mediu și</w:t>
      </w:r>
    </w:p>
    <w:p w:rsidR="00B4550A" w:rsidRPr="00E0488D" w:rsidRDefault="00B4550A" w:rsidP="00BC2B57">
      <w:pPr>
        <w:pStyle w:val="BulletLevel1"/>
      </w:pPr>
      <w:r w:rsidRPr="00E0488D">
        <w:t>Proiectele cu beneficii economice mari și neutre din sau pozitive în ce privește mediul, să fie incluse în ambele scenarii.</w:t>
      </w:r>
    </w:p>
    <w:p w:rsidR="00B4550A" w:rsidRPr="00E0488D" w:rsidRDefault="00B4550A" w:rsidP="00B4550A">
      <w:pPr>
        <w:pStyle w:val="Hdg3"/>
      </w:pPr>
      <w:bookmarkStart w:id="44" w:name="_Toc340830441"/>
      <w:bookmarkStart w:id="45" w:name="_Toc341083825"/>
      <w:r w:rsidRPr="00E0488D">
        <w:t>Evaluarea Scenariilor ES și EES: Aplicarea analizei multicriteriale</w:t>
      </w:r>
      <w:bookmarkEnd w:id="44"/>
      <w:bookmarkEnd w:id="45"/>
    </w:p>
    <w:p w:rsidR="00B4550A" w:rsidRPr="00E0488D" w:rsidRDefault="00B4550A" w:rsidP="002B7E09">
      <w:pPr>
        <w:pStyle w:val="NumberedParas"/>
      </w:pPr>
      <w:r w:rsidRPr="00E0488D">
        <w:t xml:space="preserve">Master Planul reprezintă direcția de dezvoltare a unui sistem de transport al unei țări pentru următorii 15-20 de ani. Este, așadar, important să se realizeze o evaluare la nivel strategic, astfel încât impactul general al Master Planului să fie cunoscut și evaluat. Evaluarea se va face folosind următoarele criterii: </w:t>
      </w:r>
    </w:p>
    <w:p w:rsidR="00B4550A" w:rsidRPr="00E0488D" w:rsidRDefault="00B4550A" w:rsidP="00BC2B57">
      <w:pPr>
        <w:pStyle w:val="BulletLevel1"/>
      </w:pPr>
      <w:r w:rsidRPr="00E0488D">
        <w:t>Impacturi economice</w:t>
      </w:r>
    </w:p>
    <w:p w:rsidR="00B4550A" w:rsidRPr="00E0488D" w:rsidRDefault="00B4550A" w:rsidP="00B4550A">
      <w:pPr>
        <w:pStyle w:val="Bullet"/>
      </w:pPr>
      <w:r w:rsidRPr="00E0488D">
        <w:t>RIRE</w:t>
      </w:r>
    </w:p>
    <w:p w:rsidR="00B4550A" w:rsidRPr="00E0488D" w:rsidRDefault="00B4550A" w:rsidP="00BC2B57">
      <w:pPr>
        <w:pStyle w:val="BulletLevel1"/>
      </w:pPr>
      <w:r w:rsidRPr="00E0488D">
        <w:t>Politici de transport</w:t>
      </w:r>
    </w:p>
    <w:p w:rsidR="00B4550A" w:rsidRPr="00E0488D" w:rsidRDefault="00B4550A" w:rsidP="00B4550A">
      <w:pPr>
        <w:pStyle w:val="Bullet"/>
      </w:pPr>
      <w:r w:rsidRPr="00E0488D">
        <w:t>TEN-T Core/Comprehensive</w:t>
      </w:r>
    </w:p>
    <w:p w:rsidR="00B4550A" w:rsidRPr="00E0488D" w:rsidRDefault="00B4550A" w:rsidP="00BC2B57">
      <w:pPr>
        <w:pStyle w:val="BulletLevel1"/>
      </w:pPr>
      <w:r w:rsidRPr="00E0488D">
        <w:t>Impacturi de mediu</w:t>
      </w:r>
    </w:p>
    <w:p w:rsidR="00B4550A" w:rsidRPr="00E0488D" w:rsidRDefault="00B4550A" w:rsidP="00B4550A">
      <w:pPr>
        <w:pStyle w:val="Bullet"/>
      </w:pPr>
      <w:r w:rsidRPr="00E0488D">
        <w:t>Impact asupra siturilor Natura 2000</w:t>
      </w:r>
    </w:p>
    <w:p w:rsidR="00B4550A" w:rsidRPr="00E0488D" w:rsidRDefault="00B4550A" w:rsidP="00BC2B57">
      <w:pPr>
        <w:pStyle w:val="BulletLevel1"/>
      </w:pPr>
      <w:r w:rsidRPr="00E0488D">
        <w:t>Sustenabilitate</w:t>
      </w:r>
    </w:p>
    <w:p w:rsidR="00B4550A" w:rsidRPr="00E0488D" w:rsidRDefault="00B4550A" w:rsidP="00B4550A">
      <w:pPr>
        <w:pStyle w:val="Bullet"/>
      </w:pPr>
      <w:r w:rsidRPr="00E0488D">
        <w:t>Transfer de trafic către moduri sustenabile</w:t>
      </w:r>
    </w:p>
    <w:p w:rsidR="00B4550A" w:rsidRPr="00E0488D" w:rsidRDefault="00B4550A" w:rsidP="00BC2B57">
      <w:pPr>
        <w:pStyle w:val="BulletLevel1"/>
      </w:pPr>
      <w:r w:rsidRPr="00E0488D">
        <w:t>Dezvoltare economică echilibrată</w:t>
      </w:r>
    </w:p>
    <w:p w:rsidR="00B4550A" w:rsidRPr="00E0488D" w:rsidRDefault="00B4550A" w:rsidP="00B4550A">
      <w:pPr>
        <w:pStyle w:val="Bullet"/>
      </w:pPr>
      <w:r w:rsidRPr="00E0488D">
        <w:t>Accesibilitatea zonelor mai greu accesibile</w:t>
      </w:r>
    </w:p>
    <w:p w:rsidR="00B4550A" w:rsidRPr="00E0488D" w:rsidRDefault="00B4550A" w:rsidP="002B7E09">
      <w:pPr>
        <w:pStyle w:val="NumberedParas"/>
      </w:pPr>
      <w:r w:rsidRPr="00E0488D">
        <w:t>Sistemele de ponderare și punctare pentru scenariile ES și EES sunt prezentate în Tabelele 2.22 și 2.23. Acestea au fost agreate cu Ministerul Transporturilor și reflectă obiectivele generale ale Master Planului așa cum sunt definite acestea în Caietul de Sarcini.</w:t>
      </w:r>
    </w:p>
    <w:p w:rsidR="00B4550A" w:rsidRPr="00E0488D" w:rsidRDefault="00B4550A" w:rsidP="002B7E09">
      <w:pPr>
        <w:pStyle w:val="NumberedParas"/>
        <w:numPr>
          <w:ilvl w:val="0"/>
          <w:numId w:val="0"/>
        </w:numPr>
      </w:pPr>
    </w:p>
    <w:p w:rsidR="00B4550A" w:rsidRPr="00E0488D" w:rsidRDefault="00B4550A" w:rsidP="00B4550A">
      <w:pPr>
        <w:rPr>
          <w:sz w:val="22"/>
          <w:szCs w:val="22"/>
          <w:lang w:val="ro-RO"/>
        </w:rPr>
      </w:pPr>
      <w:r w:rsidRPr="00E0488D">
        <w:rPr>
          <w:lang w:val="ro-RO"/>
        </w:rPr>
        <w:br w:type="page"/>
      </w:r>
    </w:p>
    <w:p w:rsidR="00B4550A" w:rsidRPr="00E0488D" w:rsidRDefault="00B4550A" w:rsidP="00B4550A">
      <w:pPr>
        <w:ind w:left="851"/>
        <w:rPr>
          <w:lang w:val="ro-RO"/>
        </w:rPr>
      </w:pPr>
      <w:r w:rsidRPr="00E0488D">
        <w:rPr>
          <w:rFonts w:cs="Arial"/>
          <w:b/>
          <w:bCs/>
          <w:color w:val="000000"/>
          <w:sz w:val="22"/>
          <w:szCs w:val="22"/>
          <w:lang w:val="ro-RO"/>
        </w:rPr>
        <w:lastRenderedPageBreak/>
        <w:t>Tabelul 2.22 Scenariul Sustenabilitate Economică ES</w:t>
      </w:r>
    </w:p>
    <w:tbl>
      <w:tblPr>
        <w:tblW w:w="5000" w:type="pct"/>
        <w:tblLook w:val="04A0" w:firstRow="1" w:lastRow="0" w:firstColumn="1" w:lastColumn="0" w:noHBand="0" w:noVBand="1"/>
      </w:tblPr>
      <w:tblGrid>
        <w:gridCol w:w="564"/>
        <w:gridCol w:w="1790"/>
        <w:gridCol w:w="1538"/>
        <w:gridCol w:w="1301"/>
        <w:gridCol w:w="1183"/>
        <w:gridCol w:w="1893"/>
        <w:gridCol w:w="2238"/>
      </w:tblGrid>
      <w:tr w:rsidR="00B4550A" w:rsidRPr="00E0488D" w:rsidTr="003C7FC8">
        <w:trPr>
          <w:trHeight w:val="1002"/>
        </w:trPr>
        <w:tc>
          <w:tcPr>
            <w:tcW w:w="268"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Nr.</w:t>
            </w:r>
          </w:p>
        </w:tc>
        <w:tc>
          <w:tcPr>
            <w:tcW w:w="852"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Obiectiv General Master Plan</w:t>
            </w:r>
          </w:p>
        </w:tc>
        <w:tc>
          <w:tcPr>
            <w:tcW w:w="732"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Criterii</w:t>
            </w:r>
          </w:p>
        </w:tc>
        <w:tc>
          <w:tcPr>
            <w:tcW w:w="619"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Indicator/ Referință</w:t>
            </w:r>
          </w:p>
        </w:tc>
        <w:tc>
          <w:tcPr>
            <w:tcW w:w="563"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Pondere</w:t>
            </w:r>
          </w:p>
        </w:tc>
        <w:tc>
          <w:tcPr>
            <w:tcW w:w="901"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Criterii de punctare</w:t>
            </w:r>
          </w:p>
        </w:tc>
        <w:tc>
          <w:tcPr>
            <w:tcW w:w="1065" w:type="pct"/>
            <w:tcBorders>
              <w:top w:val="single" w:sz="8" w:space="0" w:color="auto"/>
              <w:left w:val="nil"/>
              <w:bottom w:val="nil"/>
              <w:right w:val="single" w:sz="8"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Punctaje</w:t>
            </w:r>
          </w:p>
          <w:p w:rsidR="00B4550A" w:rsidRPr="00E0488D" w:rsidRDefault="00B4550A" w:rsidP="003C7FC8">
            <w:pPr>
              <w:jc w:val="center"/>
              <w:rPr>
                <w:rFonts w:cs="Arial"/>
                <w:b/>
                <w:bCs/>
                <w:sz w:val="22"/>
                <w:szCs w:val="22"/>
                <w:lang w:val="ro-RO"/>
              </w:rPr>
            </w:pPr>
            <w:r w:rsidRPr="00E0488D">
              <w:rPr>
                <w:rFonts w:cs="Arial"/>
                <w:b/>
                <w:bCs/>
                <w:sz w:val="22"/>
                <w:szCs w:val="22"/>
                <w:lang w:val="ro-RO"/>
              </w:rPr>
              <w:t>(puncte)</w:t>
            </w:r>
          </w:p>
        </w:tc>
      </w:tr>
      <w:tr w:rsidR="00B4550A" w:rsidRPr="00E0488D" w:rsidTr="003C7FC8">
        <w:trPr>
          <w:trHeight w:val="402"/>
        </w:trPr>
        <w:tc>
          <w:tcPr>
            <w:tcW w:w="268"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w:t>
            </w:r>
          </w:p>
        </w:tc>
        <w:tc>
          <w:tcPr>
            <w:tcW w:w="85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Eficiență economică</w:t>
            </w:r>
          </w:p>
        </w:tc>
        <w:tc>
          <w:tcPr>
            <w:tcW w:w="73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Performanță economică</w:t>
            </w:r>
          </w:p>
        </w:tc>
        <w:tc>
          <w:tcPr>
            <w:tcW w:w="619"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RIRE</w:t>
            </w:r>
          </w:p>
        </w:tc>
        <w:tc>
          <w:tcPr>
            <w:tcW w:w="563"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70%</w:t>
            </w:r>
          </w:p>
        </w:tc>
        <w:tc>
          <w:tcPr>
            <w:tcW w:w="901" w:type="pct"/>
            <w:tcBorders>
              <w:top w:val="single" w:sz="8" w:space="0" w:color="auto"/>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5%</w:t>
            </w:r>
          </w:p>
        </w:tc>
        <w:tc>
          <w:tcPr>
            <w:tcW w:w="1065" w:type="pct"/>
            <w:tcBorders>
              <w:top w:val="single" w:sz="8" w:space="0" w:color="auto"/>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r>
      <w:tr w:rsidR="00B4550A" w:rsidRPr="00E0488D" w:rsidTr="003C7FC8">
        <w:trPr>
          <w:trHeight w:val="402"/>
        </w:trPr>
        <w:tc>
          <w:tcPr>
            <w:tcW w:w="268" w:type="pct"/>
            <w:vMerge/>
            <w:tcBorders>
              <w:top w:val="single" w:sz="8" w:space="0" w:color="auto"/>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52"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32"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619"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63"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01" w:type="pct"/>
            <w:tcBorders>
              <w:top w:val="nil"/>
              <w:left w:val="nil"/>
              <w:bottom w:val="nil"/>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RIRE maxim</w:t>
            </w:r>
          </w:p>
        </w:tc>
        <w:tc>
          <w:tcPr>
            <w:tcW w:w="1065" w:type="pct"/>
            <w:tcBorders>
              <w:top w:val="nil"/>
              <w:left w:val="nil"/>
              <w:bottom w:val="nil"/>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100</w:t>
            </w:r>
          </w:p>
        </w:tc>
      </w:tr>
      <w:tr w:rsidR="00B4550A" w:rsidRPr="00E0488D" w:rsidTr="003C7FC8">
        <w:trPr>
          <w:trHeight w:val="402"/>
        </w:trPr>
        <w:tc>
          <w:tcPr>
            <w:tcW w:w="268" w:type="pct"/>
            <w:vMerge/>
            <w:tcBorders>
              <w:top w:val="single" w:sz="8" w:space="0" w:color="auto"/>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52"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32"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619"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63"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01" w:type="pct"/>
            <w:tcBorders>
              <w:top w:val="single" w:sz="4" w:space="0" w:color="auto"/>
              <w:left w:val="nil"/>
              <w:bottom w:val="single" w:sz="8"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&gt; 5% &lt;  RIRE cea mai mare%</w:t>
            </w:r>
          </w:p>
        </w:tc>
        <w:tc>
          <w:tcPr>
            <w:tcW w:w="1065" w:type="pct"/>
            <w:tcBorders>
              <w:top w:val="single" w:sz="4" w:space="0" w:color="auto"/>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Proporțional din  100 = cea mai mare RIRE</w:t>
            </w:r>
          </w:p>
        </w:tc>
      </w:tr>
      <w:tr w:rsidR="00B4550A" w:rsidRPr="00E0488D" w:rsidTr="003C7FC8">
        <w:trPr>
          <w:trHeight w:val="402"/>
        </w:trPr>
        <w:tc>
          <w:tcPr>
            <w:tcW w:w="268"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B</w:t>
            </w:r>
          </w:p>
        </w:tc>
        <w:tc>
          <w:tcPr>
            <w:tcW w:w="85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Integrare Trans-Europeană</w:t>
            </w:r>
          </w:p>
        </w:tc>
        <w:tc>
          <w:tcPr>
            <w:tcW w:w="73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Relația cu Rețeaua TEN-T</w:t>
            </w:r>
          </w:p>
        </w:tc>
        <w:tc>
          <w:tcPr>
            <w:tcW w:w="61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xml:space="preserve">Reguli TEN-T </w:t>
            </w:r>
          </w:p>
        </w:tc>
        <w:tc>
          <w:tcPr>
            <w:tcW w:w="56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30%</w:t>
            </w:r>
          </w:p>
        </w:tc>
        <w:tc>
          <w:tcPr>
            <w:tcW w:w="90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Segment Core TEN-T </w:t>
            </w:r>
          </w:p>
        </w:tc>
        <w:tc>
          <w:tcPr>
            <w:tcW w:w="1065"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100</w:t>
            </w:r>
          </w:p>
        </w:tc>
      </w:tr>
      <w:tr w:rsidR="00B4550A" w:rsidRPr="00E0488D" w:rsidTr="003C7FC8">
        <w:trPr>
          <w:trHeight w:val="402"/>
        </w:trPr>
        <w:tc>
          <w:tcPr>
            <w:tcW w:w="268"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52"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32"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61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63"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0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Segment TEN-T Comprehensive </w:t>
            </w:r>
          </w:p>
        </w:tc>
        <w:tc>
          <w:tcPr>
            <w:tcW w:w="1065"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30</w:t>
            </w:r>
          </w:p>
        </w:tc>
      </w:tr>
      <w:tr w:rsidR="00B4550A" w:rsidRPr="00E0488D" w:rsidTr="003C7FC8">
        <w:trPr>
          <w:trHeight w:val="402"/>
        </w:trPr>
        <w:tc>
          <w:tcPr>
            <w:tcW w:w="268"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52"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32"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61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63"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01" w:type="pct"/>
            <w:tcBorders>
              <w:top w:val="nil"/>
              <w:left w:val="nil"/>
              <w:bottom w:val="single" w:sz="8"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Alte segmente </w:t>
            </w:r>
          </w:p>
        </w:tc>
        <w:tc>
          <w:tcPr>
            <w:tcW w:w="1065" w:type="pct"/>
            <w:tcBorders>
              <w:top w:val="nil"/>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r>
      <w:tr w:rsidR="00B4550A" w:rsidRPr="00E0488D" w:rsidTr="003C7FC8">
        <w:trPr>
          <w:trHeight w:val="402"/>
        </w:trPr>
        <w:tc>
          <w:tcPr>
            <w:tcW w:w="268" w:type="pct"/>
            <w:tcBorders>
              <w:top w:val="nil"/>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C</w:t>
            </w:r>
          </w:p>
        </w:tc>
        <w:tc>
          <w:tcPr>
            <w:tcW w:w="852" w:type="pc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Sustenabilitate</w:t>
            </w:r>
          </w:p>
        </w:tc>
        <w:tc>
          <w:tcPr>
            <w:tcW w:w="732" w:type="pc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Contribuția la moduri de transport mai curate</w:t>
            </w:r>
          </w:p>
        </w:tc>
        <w:tc>
          <w:tcPr>
            <w:tcW w:w="619" w:type="pc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Cartea albă</w:t>
            </w:r>
          </w:p>
        </w:tc>
        <w:tc>
          <w:tcPr>
            <w:tcW w:w="2529" w:type="pct"/>
            <w:gridSpan w:val="3"/>
            <w:tcBorders>
              <w:top w:val="single" w:sz="8" w:space="0" w:color="auto"/>
              <w:left w:val="single" w:sz="4" w:space="0" w:color="auto"/>
              <w:bottom w:val="single" w:sz="8" w:space="0" w:color="000000"/>
              <w:right w:val="single" w:sz="8" w:space="0" w:color="000000"/>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Nu i s-a acordat punctaj în cadrul AMC dar se ia în considerare prin pre-alocarea fondurilor pe sectoare: în acest scenariu: 51% rutier, 44% feroviar 5% naval, căi navigabile interioare, intermodal și aerian</w:t>
            </w:r>
          </w:p>
        </w:tc>
      </w:tr>
    </w:tbl>
    <w:p w:rsidR="00B4550A" w:rsidRPr="00E0488D" w:rsidRDefault="00B4550A" w:rsidP="00B4550A">
      <w:pPr>
        <w:pStyle w:val="Frspaiere1"/>
        <w:ind w:left="0" w:firstLine="720"/>
        <w:rPr>
          <w:rFonts w:ascii="Arial" w:hAnsi="Arial" w:cs="Arial"/>
          <w:i/>
          <w:sz w:val="18"/>
          <w:szCs w:val="18"/>
          <w:lang w:val="ro-RO"/>
        </w:rPr>
      </w:pPr>
      <w:r w:rsidRPr="00E0488D">
        <w:rPr>
          <w:rFonts w:ascii="Arial" w:hAnsi="Arial" w:cs="Arial"/>
          <w:i/>
          <w:sz w:val="18"/>
          <w:szCs w:val="18"/>
          <w:lang w:val="ro-RO"/>
        </w:rPr>
        <w:t>Sursa: AECOM / MT / Jaspers</w:t>
      </w:r>
    </w:p>
    <w:p w:rsidR="00B4550A" w:rsidRPr="00E0488D" w:rsidRDefault="00B4550A" w:rsidP="00B4550A">
      <w:pPr>
        <w:pStyle w:val="Frspaiere1"/>
        <w:rPr>
          <w:lang w:val="ro-RO"/>
        </w:rPr>
      </w:pPr>
    </w:p>
    <w:p w:rsidR="00B4550A" w:rsidRPr="00E0488D" w:rsidRDefault="00B4550A" w:rsidP="00B4550A">
      <w:pPr>
        <w:ind w:left="851"/>
        <w:rPr>
          <w:lang w:val="ro-RO"/>
        </w:rPr>
      </w:pPr>
      <w:r w:rsidRPr="00E0488D">
        <w:rPr>
          <w:rFonts w:cs="Arial"/>
          <w:b/>
          <w:bCs/>
          <w:color w:val="000000"/>
          <w:sz w:val="22"/>
          <w:szCs w:val="22"/>
          <w:lang w:val="ro-RO"/>
        </w:rPr>
        <w:t>Tabelul  2.23  Scenariul Sustenabilitate Economică și de Mediu EES</w:t>
      </w:r>
    </w:p>
    <w:tbl>
      <w:tblPr>
        <w:tblW w:w="5000" w:type="pct"/>
        <w:tblLook w:val="04A0" w:firstRow="1" w:lastRow="0" w:firstColumn="1" w:lastColumn="0" w:noHBand="0" w:noVBand="1"/>
      </w:tblPr>
      <w:tblGrid>
        <w:gridCol w:w="571"/>
        <w:gridCol w:w="1816"/>
        <w:gridCol w:w="1679"/>
        <w:gridCol w:w="1614"/>
        <w:gridCol w:w="1200"/>
        <w:gridCol w:w="1921"/>
        <w:gridCol w:w="1706"/>
      </w:tblGrid>
      <w:tr w:rsidR="00B4550A" w:rsidRPr="00E0488D" w:rsidTr="003C7FC8">
        <w:trPr>
          <w:trHeight w:val="1002"/>
          <w:tblHeader/>
        </w:trPr>
        <w:tc>
          <w:tcPr>
            <w:tcW w:w="272"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Nr.</w:t>
            </w:r>
          </w:p>
        </w:tc>
        <w:tc>
          <w:tcPr>
            <w:tcW w:w="864"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Obiectiv General Master Plan</w:t>
            </w:r>
          </w:p>
        </w:tc>
        <w:tc>
          <w:tcPr>
            <w:tcW w:w="799"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Criterii</w:t>
            </w:r>
          </w:p>
        </w:tc>
        <w:tc>
          <w:tcPr>
            <w:tcW w:w="768"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Indicator/ Referință</w:t>
            </w:r>
          </w:p>
        </w:tc>
        <w:tc>
          <w:tcPr>
            <w:tcW w:w="571"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Pondere</w:t>
            </w:r>
          </w:p>
        </w:tc>
        <w:tc>
          <w:tcPr>
            <w:tcW w:w="914" w:type="pct"/>
            <w:tcBorders>
              <w:top w:val="single" w:sz="8" w:space="0" w:color="auto"/>
              <w:left w:val="nil"/>
              <w:bottom w:val="nil"/>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Criterii de punctare</w:t>
            </w:r>
          </w:p>
        </w:tc>
        <w:tc>
          <w:tcPr>
            <w:tcW w:w="813" w:type="pct"/>
            <w:tcBorders>
              <w:top w:val="single" w:sz="8" w:space="0" w:color="auto"/>
              <w:left w:val="nil"/>
              <w:bottom w:val="nil"/>
              <w:right w:val="single" w:sz="8" w:space="0" w:color="auto"/>
            </w:tcBorders>
            <w:shd w:val="clear" w:color="auto" w:fill="B8CCE4" w:themeFill="accent1" w:themeFillTint="66"/>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Punctaje</w:t>
            </w:r>
          </w:p>
          <w:p w:rsidR="00B4550A" w:rsidRPr="00E0488D" w:rsidRDefault="00B4550A" w:rsidP="003C7FC8">
            <w:pPr>
              <w:jc w:val="center"/>
              <w:rPr>
                <w:rFonts w:cs="Arial"/>
                <w:b/>
                <w:bCs/>
                <w:sz w:val="22"/>
                <w:szCs w:val="22"/>
                <w:lang w:val="ro-RO"/>
              </w:rPr>
            </w:pPr>
            <w:r w:rsidRPr="00E0488D">
              <w:rPr>
                <w:rFonts w:cs="Arial"/>
                <w:b/>
                <w:bCs/>
                <w:sz w:val="22"/>
                <w:szCs w:val="22"/>
                <w:lang w:val="ro-RO"/>
              </w:rPr>
              <w:t>(puncte)</w:t>
            </w:r>
          </w:p>
        </w:tc>
      </w:tr>
      <w:tr w:rsidR="00B4550A" w:rsidRPr="00E0488D" w:rsidTr="003C7FC8">
        <w:trPr>
          <w:trHeight w:val="402"/>
        </w:trPr>
        <w:tc>
          <w:tcPr>
            <w:tcW w:w="272"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w:t>
            </w:r>
          </w:p>
        </w:tc>
        <w:tc>
          <w:tcPr>
            <w:tcW w:w="864"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Eficiență economică</w:t>
            </w:r>
          </w:p>
        </w:tc>
        <w:tc>
          <w:tcPr>
            <w:tcW w:w="799"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Performanță economică</w:t>
            </w:r>
          </w:p>
        </w:tc>
        <w:tc>
          <w:tcPr>
            <w:tcW w:w="768"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RIRE</w:t>
            </w:r>
          </w:p>
        </w:tc>
        <w:tc>
          <w:tcPr>
            <w:tcW w:w="571"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50%</w:t>
            </w:r>
          </w:p>
        </w:tc>
        <w:tc>
          <w:tcPr>
            <w:tcW w:w="914" w:type="pct"/>
            <w:tcBorders>
              <w:top w:val="single" w:sz="8" w:space="0" w:color="auto"/>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5%</w:t>
            </w:r>
          </w:p>
        </w:tc>
        <w:tc>
          <w:tcPr>
            <w:tcW w:w="813" w:type="pct"/>
            <w:tcBorders>
              <w:top w:val="single" w:sz="8" w:space="0" w:color="auto"/>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r>
      <w:tr w:rsidR="00B4550A" w:rsidRPr="00E0488D" w:rsidTr="003C7FC8">
        <w:trPr>
          <w:trHeight w:val="402"/>
        </w:trPr>
        <w:tc>
          <w:tcPr>
            <w:tcW w:w="272" w:type="pct"/>
            <w:vMerge/>
            <w:tcBorders>
              <w:top w:val="single" w:sz="8" w:space="0" w:color="auto"/>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nil"/>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RIRE Maxim</w:t>
            </w:r>
          </w:p>
        </w:tc>
        <w:tc>
          <w:tcPr>
            <w:tcW w:w="813" w:type="pct"/>
            <w:tcBorders>
              <w:top w:val="nil"/>
              <w:left w:val="nil"/>
              <w:bottom w:val="nil"/>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100</w:t>
            </w:r>
          </w:p>
        </w:tc>
      </w:tr>
      <w:tr w:rsidR="00B4550A" w:rsidRPr="00E0488D" w:rsidTr="003C7FC8">
        <w:trPr>
          <w:trHeight w:val="402"/>
        </w:trPr>
        <w:tc>
          <w:tcPr>
            <w:tcW w:w="272" w:type="pct"/>
            <w:vMerge/>
            <w:tcBorders>
              <w:top w:val="single" w:sz="8" w:space="0" w:color="auto"/>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single" w:sz="4" w:space="0" w:color="auto"/>
              <w:left w:val="nil"/>
              <w:bottom w:val="single" w:sz="8"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&gt; 5% &lt; RIRE cel mai mare%</w:t>
            </w:r>
          </w:p>
        </w:tc>
        <w:tc>
          <w:tcPr>
            <w:tcW w:w="813" w:type="pct"/>
            <w:tcBorders>
              <w:top w:val="single" w:sz="4" w:space="0" w:color="auto"/>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Proporțional din 100 = cel mai mare RIRE</w:t>
            </w:r>
          </w:p>
        </w:tc>
      </w:tr>
      <w:tr w:rsidR="00B4550A" w:rsidRPr="00E0488D" w:rsidTr="003C7FC8">
        <w:trPr>
          <w:trHeight w:val="402"/>
        </w:trPr>
        <w:tc>
          <w:tcPr>
            <w:tcW w:w="272"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B</w:t>
            </w:r>
          </w:p>
        </w:tc>
        <w:tc>
          <w:tcPr>
            <w:tcW w:w="86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Integrare Trans-Europeană</w:t>
            </w:r>
          </w:p>
        </w:tc>
        <w:tc>
          <w:tcPr>
            <w:tcW w:w="79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Relația cu Rețeaua TEN-T</w:t>
            </w:r>
          </w:p>
        </w:tc>
        <w:tc>
          <w:tcPr>
            <w:tcW w:w="768"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xml:space="preserve">Reguli TEN-T </w:t>
            </w:r>
          </w:p>
        </w:tc>
        <w:tc>
          <w:tcPr>
            <w:tcW w:w="571"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20%</w:t>
            </w:r>
          </w:p>
        </w:tc>
        <w:tc>
          <w:tcPr>
            <w:tcW w:w="914"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&gt; 5% &lt;  RIRE cea mai mare%</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Segment Core TEN-T </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nil"/>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Segment TEN-T Comprehensive </w:t>
            </w:r>
          </w:p>
        </w:tc>
        <w:tc>
          <w:tcPr>
            <w:tcW w:w="813" w:type="pct"/>
            <w:tcBorders>
              <w:top w:val="nil"/>
              <w:left w:val="nil"/>
              <w:bottom w:val="nil"/>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single" w:sz="4" w:space="0" w:color="auto"/>
              <w:left w:val="nil"/>
              <w:bottom w:val="single" w:sz="8"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Alte segmente </w:t>
            </w:r>
          </w:p>
        </w:tc>
        <w:tc>
          <w:tcPr>
            <w:tcW w:w="813" w:type="pct"/>
            <w:tcBorders>
              <w:top w:val="single" w:sz="4" w:space="0" w:color="auto"/>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r>
      <w:tr w:rsidR="00B4550A" w:rsidRPr="00E0488D" w:rsidTr="003C7FC8">
        <w:trPr>
          <w:trHeight w:val="402"/>
        </w:trPr>
        <w:tc>
          <w:tcPr>
            <w:tcW w:w="272"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C</w:t>
            </w:r>
          </w:p>
        </w:tc>
        <w:tc>
          <w:tcPr>
            <w:tcW w:w="86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Impactul de mediu</w:t>
            </w:r>
          </w:p>
        </w:tc>
        <w:tc>
          <w:tcPr>
            <w:tcW w:w="79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Impact potențial asupra mediului  (in particular on NATURA mp2000 sites)</w:t>
            </w:r>
          </w:p>
        </w:tc>
        <w:tc>
          <w:tcPr>
            <w:tcW w:w="768"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SEA</w:t>
            </w:r>
          </w:p>
        </w:tc>
        <w:tc>
          <w:tcPr>
            <w:tcW w:w="571"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20%</w:t>
            </w:r>
          </w:p>
        </w:tc>
        <w:tc>
          <w:tcPr>
            <w:tcW w:w="914" w:type="pct"/>
            <w:tcBorders>
              <w:top w:val="nil"/>
              <w:left w:val="single" w:sz="4"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Foarte mare </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single" w:sz="4" w:space="0" w:color="auto"/>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Mare</w:t>
            </w:r>
          </w:p>
        </w:tc>
        <w:tc>
          <w:tcPr>
            <w:tcW w:w="813" w:type="pct"/>
            <w:tcBorders>
              <w:top w:val="single" w:sz="4" w:space="0" w:color="auto"/>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-80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Moderat</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Mic</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-30</w:t>
            </w:r>
          </w:p>
        </w:tc>
      </w:tr>
      <w:tr w:rsidR="00B4550A" w:rsidRPr="00E0488D" w:rsidTr="003C7FC8">
        <w:trPr>
          <w:trHeight w:val="4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8"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Nici unul</w:t>
            </w:r>
          </w:p>
        </w:tc>
        <w:tc>
          <w:tcPr>
            <w:tcW w:w="813" w:type="pct"/>
            <w:tcBorders>
              <w:top w:val="nil"/>
              <w:left w:val="single" w:sz="4" w:space="0" w:color="auto"/>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r>
      <w:tr w:rsidR="00B4550A" w:rsidRPr="00E0488D" w:rsidTr="003C7FC8">
        <w:trPr>
          <w:trHeight w:val="509"/>
        </w:trPr>
        <w:tc>
          <w:tcPr>
            <w:tcW w:w="272"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D</w:t>
            </w:r>
          </w:p>
        </w:tc>
        <w:tc>
          <w:tcPr>
            <w:tcW w:w="86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Sustenabilitate</w:t>
            </w:r>
          </w:p>
        </w:tc>
        <w:tc>
          <w:tcPr>
            <w:tcW w:w="79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Contribuție la moduri de </w:t>
            </w:r>
            <w:r w:rsidRPr="00E0488D">
              <w:rPr>
                <w:rFonts w:cs="Arial"/>
                <w:color w:val="000000"/>
                <w:sz w:val="22"/>
                <w:szCs w:val="22"/>
                <w:lang w:val="ro-RO"/>
              </w:rPr>
              <w:lastRenderedPageBreak/>
              <w:t>transport curate</w:t>
            </w:r>
          </w:p>
        </w:tc>
        <w:tc>
          <w:tcPr>
            <w:tcW w:w="768"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lastRenderedPageBreak/>
              <w:t>Cartea albă</w:t>
            </w:r>
          </w:p>
        </w:tc>
        <w:tc>
          <w:tcPr>
            <w:tcW w:w="2298" w:type="pct"/>
            <w:gridSpan w:val="3"/>
            <w:vMerge w:val="restart"/>
            <w:tcBorders>
              <w:top w:val="single" w:sz="8" w:space="0" w:color="auto"/>
              <w:left w:val="single" w:sz="4" w:space="0" w:color="auto"/>
              <w:bottom w:val="single" w:sz="8" w:space="0" w:color="000000"/>
              <w:right w:val="single" w:sz="8" w:space="0" w:color="000000"/>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xml:space="preserve">Nu i s-a acordat punctaj în cadrul AMC dar se ia în considerare prin pre-alocarea fondurilor </w:t>
            </w:r>
            <w:r w:rsidRPr="00E0488D">
              <w:rPr>
                <w:rFonts w:cs="Arial"/>
                <w:color w:val="000000"/>
                <w:sz w:val="22"/>
                <w:szCs w:val="22"/>
                <w:lang w:val="ro-RO"/>
              </w:rPr>
              <w:lastRenderedPageBreak/>
              <w:t xml:space="preserve">pe sectoare/moduri: </w:t>
            </w:r>
            <w:r w:rsidRPr="00E0488D">
              <w:rPr>
                <w:rFonts w:cs="Arial"/>
                <w:color w:val="000000"/>
                <w:sz w:val="22"/>
                <w:szCs w:val="22"/>
                <w:lang w:val="ro-RO"/>
              </w:rPr>
              <w:br/>
              <w:t>în acest scenariu 51% rutier, 44% feroviar și 5% naval, căi navigabile interioare, intermodal și aerian</w:t>
            </w:r>
          </w:p>
        </w:tc>
      </w:tr>
      <w:tr w:rsidR="00B4550A" w:rsidRPr="00E0488D" w:rsidTr="003C7FC8">
        <w:trPr>
          <w:trHeight w:val="509"/>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2298" w:type="pct"/>
            <w:gridSpan w:val="3"/>
            <w:vMerge/>
            <w:tcBorders>
              <w:top w:val="single" w:sz="8" w:space="0" w:color="auto"/>
              <w:left w:val="single" w:sz="4" w:space="0" w:color="auto"/>
              <w:bottom w:val="single" w:sz="8" w:space="0" w:color="000000"/>
              <w:right w:val="single" w:sz="8" w:space="0" w:color="000000"/>
            </w:tcBorders>
            <w:vAlign w:val="center"/>
            <w:hideMark/>
          </w:tcPr>
          <w:p w:rsidR="00B4550A" w:rsidRPr="00E0488D" w:rsidRDefault="00B4550A" w:rsidP="003C7FC8">
            <w:pPr>
              <w:rPr>
                <w:rFonts w:cs="Arial"/>
                <w:color w:val="000000"/>
                <w:sz w:val="22"/>
                <w:szCs w:val="22"/>
                <w:lang w:val="ro-RO"/>
              </w:rPr>
            </w:pPr>
          </w:p>
        </w:tc>
      </w:tr>
      <w:tr w:rsidR="00B4550A" w:rsidRPr="00E0488D" w:rsidTr="003C7FC8">
        <w:trPr>
          <w:trHeight w:val="702"/>
        </w:trPr>
        <w:tc>
          <w:tcPr>
            <w:tcW w:w="272" w:type="pct"/>
            <w:vMerge w:val="restart"/>
            <w:tcBorders>
              <w:top w:val="nil"/>
              <w:left w:val="single" w:sz="8"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lastRenderedPageBreak/>
              <w:t>E</w:t>
            </w:r>
          </w:p>
        </w:tc>
        <w:tc>
          <w:tcPr>
            <w:tcW w:w="864"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Dezvoltare economică echilibrată</w:t>
            </w:r>
          </w:p>
        </w:tc>
        <w:tc>
          <w:tcPr>
            <w:tcW w:w="79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Creșterea accesibilității zonelor mai greu accesibile</w:t>
            </w:r>
          </w:p>
        </w:tc>
        <w:tc>
          <w:tcPr>
            <w:tcW w:w="768" w:type="pct"/>
            <w:vMerge w:val="restart"/>
            <w:tcBorders>
              <w:top w:val="nil"/>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xml:space="preserve">Hărți accesibilitate MPGT </w:t>
            </w:r>
          </w:p>
        </w:tc>
        <w:tc>
          <w:tcPr>
            <w:tcW w:w="571"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w:t>
            </w:r>
          </w:p>
        </w:tc>
        <w:tc>
          <w:tcPr>
            <w:tcW w:w="914" w:type="pct"/>
            <w:tcBorders>
              <w:top w:val="single" w:sz="8" w:space="0" w:color="auto"/>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Îmbunătățire segment către zonă cu slabă accesibilitate atât pe piețe interne cât și externe </w:t>
            </w:r>
          </w:p>
        </w:tc>
        <w:tc>
          <w:tcPr>
            <w:tcW w:w="813" w:type="pct"/>
            <w:tcBorders>
              <w:top w:val="single" w:sz="8" w:space="0" w:color="auto"/>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100</w:t>
            </w:r>
          </w:p>
        </w:tc>
      </w:tr>
      <w:tr w:rsidR="00B4550A" w:rsidRPr="00E0488D" w:rsidTr="003C7FC8">
        <w:trPr>
          <w:trHeight w:val="7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xml:space="preserve">Îmbunătățire segment către zonă cu slabă accesibilitate pe piețe externe </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70</w:t>
            </w:r>
          </w:p>
        </w:tc>
      </w:tr>
      <w:tr w:rsidR="00B4550A" w:rsidRPr="00E0488D" w:rsidTr="003C7FC8">
        <w:trPr>
          <w:trHeight w:val="7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Îmbunătățire segment către zonă cu slabă accesibilitate pe piețe interne</w:t>
            </w:r>
          </w:p>
        </w:tc>
        <w:tc>
          <w:tcPr>
            <w:tcW w:w="813"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50</w:t>
            </w:r>
          </w:p>
        </w:tc>
      </w:tr>
      <w:tr w:rsidR="00B4550A" w:rsidRPr="00E0488D" w:rsidTr="003C7FC8">
        <w:trPr>
          <w:trHeight w:val="702"/>
        </w:trPr>
        <w:tc>
          <w:tcPr>
            <w:tcW w:w="272" w:type="pct"/>
            <w:vMerge/>
            <w:tcBorders>
              <w:top w:val="nil"/>
              <w:left w:val="single" w:sz="8"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864"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99"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768" w:type="pct"/>
            <w:vMerge/>
            <w:tcBorders>
              <w:top w:val="nil"/>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571" w:type="pct"/>
            <w:vMerge/>
            <w:tcBorders>
              <w:top w:val="single" w:sz="8" w:space="0" w:color="auto"/>
              <w:left w:val="single" w:sz="4" w:space="0" w:color="auto"/>
              <w:bottom w:val="single" w:sz="8" w:space="0" w:color="000000"/>
              <w:right w:val="single" w:sz="4" w:space="0" w:color="auto"/>
            </w:tcBorders>
            <w:vAlign w:val="center"/>
            <w:hideMark/>
          </w:tcPr>
          <w:p w:rsidR="00B4550A" w:rsidRPr="00E0488D" w:rsidRDefault="00B4550A" w:rsidP="003C7FC8">
            <w:pPr>
              <w:rPr>
                <w:rFonts w:cs="Arial"/>
                <w:color w:val="000000"/>
                <w:sz w:val="22"/>
                <w:szCs w:val="22"/>
                <w:lang w:val="ro-RO"/>
              </w:rPr>
            </w:pPr>
          </w:p>
        </w:tc>
        <w:tc>
          <w:tcPr>
            <w:tcW w:w="914" w:type="pct"/>
            <w:tcBorders>
              <w:top w:val="nil"/>
              <w:left w:val="nil"/>
              <w:bottom w:val="single" w:sz="8"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Segmente către zone cu bună accesibilitate</w:t>
            </w:r>
          </w:p>
        </w:tc>
        <w:tc>
          <w:tcPr>
            <w:tcW w:w="813" w:type="pct"/>
            <w:tcBorders>
              <w:top w:val="nil"/>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r>
    </w:tbl>
    <w:p w:rsidR="00B4550A" w:rsidRPr="00E0488D" w:rsidRDefault="00B4550A" w:rsidP="00B4550A">
      <w:pPr>
        <w:pStyle w:val="Frspaiere1"/>
        <w:ind w:left="0" w:firstLine="720"/>
        <w:rPr>
          <w:rFonts w:ascii="Arial" w:hAnsi="Arial" w:cs="Arial"/>
          <w:i/>
          <w:sz w:val="18"/>
          <w:szCs w:val="18"/>
          <w:lang w:val="ro-RO"/>
        </w:rPr>
      </w:pPr>
      <w:r w:rsidRPr="00E0488D">
        <w:rPr>
          <w:rFonts w:ascii="Arial" w:hAnsi="Arial" w:cs="Arial"/>
          <w:i/>
          <w:sz w:val="18"/>
          <w:szCs w:val="18"/>
          <w:lang w:val="ro-RO"/>
        </w:rPr>
        <w:t>Sursa: AECOM / MT / Jaspers</w:t>
      </w:r>
    </w:p>
    <w:p w:rsidR="00B4550A" w:rsidRPr="00E0488D" w:rsidRDefault="00B4550A" w:rsidP="00B4550A">
      <w:pPr>
        <w:pStyle w:val="Hdg3"/>
      </w:pPr>
      <w:r w:rsidRPr="00E0488D">
        <w:t>Descrierea criteriilor de evaluare</w:t>
      </w:r>
    </w:p>
    <w:p w:rsidR="00B4550A" w:rsidRPr="00E0488D" w:rsidRDefault="00B4550A" w:rsidP="00687448">
      <w:pPr>
        <w:pStyle w:val="Body"/>
        <w:numPr>
          <w:ilvl w:val="0"/>
          <w:numId w:val="22"/>
        </w:numPr>
        <w:rPr>
          <w:b/>
          <w:lang w:val="ro-RO"/>
        </w:rPr>
      </w:pPr>
      <w:r w:rsidRPr="00E0488D">
        <w:rPr>
          <w:b/>
          <w:lang w:val="ro-RO"/>
        </w:rPr>
        <w:t>Eficiența economică</w:t>
      </w:r>
    </w:p>
    <w:p w:rsidR="00B4550A" w:rsidRPr="00E0488D" w:rsidRDefault="00B4550A" w:rsidP="002B7E09">
      <w:pPr>
        <w:pStyle w:val="NumberedParas"/>
      </w:pPr>
      <w:r w:rsidRPr="00E0488D">
        <w:t>Criteriul impactului economic în transporturi este legat de impacturile economice directe ale proiectului asupra eficienței sistemului de transport, evaluate prin intermediul RIRE (Rata Internă de Rentabilitate Economică).</w:t>
      </w:r>
    </w:p>
    <w:p w:rsidR="00B4550A" w:rsidRPr="00E0488D" w:rsidRDefault="00B4550A" w:rsidP="00687448">
      <w:pPr>
        <w:pStyle w:val="Body"/>
        <w:numPr>
          <w:ilvl w:val="0"/>
          <w:numId w:val="22"/>
        </w:numPr>
        <w:rPr>
          <w:b/>
          <w:lang w:val="ro-RO"/>
        </w:rPr>
      </w:pPr>
      <w:r w:rsidRPr="00E0488D">
        <w:rPr>
          <w:b/>
          <w:lang w:val="ro-RO"/>
        </w:rPr>
        <w:t xml:space="preserve">Integrarea Trans-Europeană </w:t>
      </w:r>
    </w:p>
    <w:p w:rsidR="00B4550A" w:rsidRPr="00E0488D" w:rsidRDefault="00B4550A" w:rsidP="002B7E09">
      <w:pPr>
        <w:pStyle w:val="NumberedParas"/>
      </w:pPr>
      <w:r w:rsidRPr="00E0488D">
        <w:t xml:space="preserve">În ceea ce privește rețelele TEN-T Centrală și TEN-T Extinsă, acest sub-criteriu reflectă faptul că atât politicile de transport din România cât și cele din UE au rolul de a îmbunătăți calitatea celor mai importante rute de pe teritoriul României. În plus, rutele selectate pentru Rețeaua TEN-T Centrală au făcut obiectul unor memorandumuri semnate de România și Comisia Europeană, astfel este logic ca Master Planul să favorizeze proiecte care vor îmbunătăți aceste rute. Includerea criteriului privind Rețeaua Națională recunoaște faptul că rețeaua TEN-T nu este comprehensivă în totalitate din punct de vedere geografic și că pot exista multe orașe mari sau medii care sunt conectate doar prin intermediul drumurilor naționale și liniilor ferate considerate „centrale” sau „de bază”. </w:t>
      </w:r>
    </w:p>
    <w:p w:rsidR="00B4550A" w:rsidRPr="00E0488D" w:rsidRDefault="00B4550A" w:rsidP="002B7E09">
      <w:pPr>
        <w:pStyle w:val="NumberedParas"/>
      </w:pPr>
      <w:r w:rsidRPr="00E0488D">
        <w:t>Hărțile care conțin rețeaua TEN-T din România sunt incluse în Anexa B.</w:t>
      </w:r>
    </w:p>
    <w:p w:rsidR="00B4550A" w:rsidRPr="00E0488D" w:rsidRDefault="00B4550A" w:rsidP="00687448">
      <w:pPr>
        <w:pStyle w:val="Body"/>
        <w:keepNext/>
        <w:numPr>
          <w:ilvl w:val="0"/>
          <w:numId w:val="22"/>
        </w:numPr>
        <w:ind w:left="924" w:hanging="357"/>
        <w:rPr>
          <w:b/>
          <w:lang w:val="ro-RO"/>
        </w:rPr>
      </w:pPr>
      <w:r w:rsidRPr="00E0488D">
        <w:rPr>
          <w:b/>
          <w:lang w:val="ro-RO"/>
        </w:rPr>
        <w:lastRenderedPageBreak/>
        <w:t>Impactul de mediu</w:t>
      </w:r>
    </w:p>
    <w:p w:rsidR="00B4550A" w:rsidRPr="00E0488D" w:rsidRDefault="00B4550A" w:rsidP="002B7E09">
      <w:pPr>
        <w:pStyle w:val="NumberedParas"/>
      </w:pPr>
      <w:r w:rsidRPr="00E0488D">
        <w:rPr>
          <w:b/>
          <w:i/>
        </w:rPr>
        <w:t xml:space="preserve">Criteriul referitor la Natura 2000 </w:t>
      </w:r>
      <w:r w:rsidRPr="00E0488D">
        <w:t>se leagă de rețeaua de situri Natura 2000 care conțin cele mai importante habitate din Europa. Siturile Natura 2000 se bucură de protecție din partea legislației europene. Acest criteriu va analiza măsura în care strategia sau proiectele majore dintr-o strategie, au probabilitatea de a afecta aceste situri, câte situri vor fi afectate și care va fi magnitudinea impactului. Habitatele și speciile din aceste locații sunt protejate și astfel, orice impact produs are probabilitatea de a fi considerat semnificativ.</w:t>
      </w:r>
    </w:p>
    <w:p w:rsidR="00B4550A" w:rsidRPr="00E0488D" w:rsidRDefault="00B4550A" w:rsidP="002B7E09">
      <w:pPr>
        <w:pStyle w:val="NumberedParas"/>
      </w:pPr>
      <w:r w:rsidRPr="00E0488D">
        <w:t xml:space="preserve">Evaluarea se concentrează, de asemenea, pe măsura în care proiectul poate avea impact asupra trăsăturilor de biodiversitate din afara siturilor Natura 2000, clasificarea importanței acestor caracteristici și inter-relații alături de asigurarea unei descrieri a impactului supra biodiversității, inclusiv efectele asupra calității distinctive și diversității locale. </w:t>
      </w:r>
    </w:p>
    <w:p w:rsidR="00B4550A" w:rsidRPr="00E0488D" w:rsidRDefault="00B4550A" w:rsidP="00687448">
      <w:pPr>
        <w:pStyle w:val="Body"/>
        <w:numPr>
          <w:ilvl w:val="0"/>
          <w:numId w:val="22"/>
        </w:numPr>
        <w:rPr>
          <w:b/>
          <w:lang w:val="ro-RO"/>
        </w:rPr>
      </w:pPr>
      <w:r w:rsidRPr="00E0488D">
        <w:rPr>
          <w:b/>
          <w:lang w:val="ro-RO"/>
        </w:rPr>
        <w:t xml:space="preserve">Transferul de trafic către modurile sustenabile </w:t>
      </w:r>
    </w:p>
    <w:p w:rsidR="00B4550A" w:rsidRPr="00E0488D" w:rsidRDefault="00B4550A" w:rsidP="002B7E09">
      <w:pPr>
        <w:pStyle w:val="NumberedParas"/>
      </w:pPr>
      <w:r w:rsidRPr="00E0488D">
        <w:t>Sustenabilitatea include transferul de trafic către modurile sustenabile de transport și reflectă atât politica națională cât și cea europeană care promovează modurile de transport durabil (sustenabil). Acestea sunt acele moduri care, pe termen lung, produc mai puține emisii și au un consum de energie mai mic pe pasager-km, prezentând, în același timp, un nivel ridicat al siguranței. În practică aceasta înseamnă transport feroviar și naval și, într-o anumită măsură, curse de autobuz pe distanțe lungi. Modelul Național oferă mijloacele de cuantificare pentru transferul de pasageri și marfă către aceste moduri de transport sustenabile, ca bază de evaluare a impactului fiecărui scenariu.</w:t>
      </w:r>
    </w:p>
    <w:p w:rsidR="00B4550A" w:rsidRPr="00E0488D" w:rsidRDefault="00B4550A" w:rsidP="00687448">
      <w:pPr>
        <w:pStyle w:val="Body"/>
        <w:numPr>
          <w:ilvl w:val="0"/>
          <w:numId w:val="22"/>
        </w:numPr>
        <w:rPr>
          <w:b/>
          <w:lang w:val="ro-RO"/>
        </w:rPr>
      </w:pPr>
      <w:r w:rsidRPr="00E0488D">
        <w:rPr>
          <w:b/>
          <w:lang w:val="ro-RO"/>
        </w:rPr>
        <w:t>Dezvoltare economică echilibrată</w:t>
      </w:r>
    </w:p>
    <w:p w:rsidR="00B4550A" w:rsidRPr="00E0488D" w:rsidRDefault="00B4550A" w:rsidP="002B7E09">
      <w:pPr>
        <w:pStyle w:val="NumberedParas"/>
      </w:pPr>
      <w:r w:rsidRPr="00E0488D">
        <w:t>Acesta cuprinde îmbunătățiri îndreptate spre zonele cu accesibilitate mică atât către piețele externe cât și pe piețele interne. O analiză cuprinzătoare referitoare la criteriul accesibilității a fost realizată folosind Modelul Național de Transport iar rezultatele acesteia au fost apoi folosite pentru cuantificarea criteriului.</w:t>
      </w:r>
    </w:p>
    <w:p w:rsidR="00B4550A" w:rsidRPr="00E0488D" w:rsidRDefault="00B4550A" w:rsidP="00B4550A">
      <w:pPr>
        <w:pStyle w:val="Hdg3"/>
      </w:pPr>
      <w:r w:rsidRPr="00E0488D">
        <w:t>Selectarea scenariului preferat</w:t>
      </w:r>
    </w:p>
    <w:p w:rsidR="00B4550A" w:rsidRPr="00E0488D" w:rsidRDefault="00B4550A" w:rsidP="002B7E09">
      <w:pPr>
        <w:pStyle w:val="NumberedParas"/>
      </w:pPr>
      <w:r w:rsidRPr="00E0488D">
        <w:t>La sfârșitul etapei de evaluare, strategiile optimizate pentru dezvoltarea sistemului de transport al României au fost dezvoltate pe baza sustenabilității economice și, respectiv, pe baza sustenabilității economice și de mediu. Etapa finală a procesului a fost identificarea strategiei generale recomandate.</w:t>
      </w:r>
    </w:p>
    <w:p w:rsidR="00B4550A" w:rsidRPr="00E0488D" w:rsidRDefault="00B4550A" w:rsidP="002B7E09">
      <w:pPr>
        <w:pStyle w:val="NumberedParas"/>
      </w:pPr>
      <w:r w:rsidRPr="00E0488D">
        <w:t>Strategia recomandată caută să sintetizeze cele două scenarii prin combinarea celor mai puternice elemente din cele două scenarii, în limitele fondurilor potențial disponibile. Dat fiind faptul că ambele scenarii se referă la sustenabilitatea economică, este probabil să apară suprapuneri substanțiale între acestea. Proiectele care sunt promovate în ambele scenarii au cel mai mare potențial de a fi incluse în strategia finală recomandată, alături de o serie de proiecte care au fost incluse doar într-un singur scenariu.</w:t>
      </w:r>
    </w:p>
    <w:p w:rsidR="00B4550A" w:rsidRPr="00E0488D" w:rsidRDefault="00B4550A" w:rsidP="002B7E09">
      <w:pPr>
        <w:pStyle w:val="NumberedParas"/>
      </w:pPr>
      <w:r w:rsidRPr="00E0488D">
        <w:t xml:space="preserve">Rezultatele analizelor ACB și AMC oferă o evaluare succintă și obiectivă a principalelor impacturi ale fiecărui scenariu. Aceasta permite evaluatorilor să analizeze beneficiile și contra-benficiile fiecărui scenariu pe baza unei abordări consecvente, transparente și auditabile. </w:t>
      </w:r>
    </w:p>
    <w:p w:rsidR="00B4550A" w:rsidRPr="00E0488D" w:rsidRDefault="00B4550A" w:rsidP="002B7E09">
      <w:pPr>
        <w:pStyle w:val="NumberedParas"/>
      </w:pPr>
      <w:r w:rsidRPr="00E0488D">
        <w:t>Capitolul 12 include rezultatele procesului de prioritizare și recomandările scenariului preferat.</w:t>
      </w:r>
    </w:p>
    <w:p w:rsidR="00B4550A" w:rsidRPr="00E0488D" w:rsidRDefault="00B4550A" w:rsidP="00B4550A">
      <w:pPr>
        <w:rPr>
          <w:lang w:val="ro-RO"/>
        </w:rPr>
      </w:pPr>
      <w:r w:rsidRPr="00E0488D">
        <w:rPr>
          <w:lang w:val="ro-RO"/>
        </w:rPr>
        <w:br w:type="page"/>
      </w:r>
    </w:p>
    <w:p w:rsidR="00B4550A" w:rsidRPr="00E0488D" w:rsidRDefault="00B4550A" w:rsidP="00BD59B2">
      <w:pPr>
        <w:pStyle w:val="Hdg2"/>
      </w:pPr>
      <w:bookmarkStart w:id="46" w:name="_Toc413060302"/>
      <w:r w:rsidRPr="00E0488D">
        <w:lastRenderedPageBreak/>
        <w:t>Condiționalitățile Ex-Ante</w:t>
      </w:r>
      <w:bookmarkEnd w:id="46"/>
    </w:p>
    <w:p w:rsidR="00B4550A" w:rsidRPr="00E0488D" w:rsidRDefault="00B4550A" w:rsidP="002B7E09">
      <w:pPr>
        <w:pStyle w:val="NumberedParas"/>
        <w:rPr>
          <w:rFonts w:ascii="Times New Roman" w:hAnsi="Times New Roman"/>
          <w:lang w:eastAsia="en-GB"/>
        </w:rPr>
      </w:pPr>
      <w:r w:rsidRPr="00E0488D">
        <w:rPr>
          <w:lang w:eastAsia="en-GB"/>
        </w:rPr>
        <w:t>În documentul “</w:t>
      </w:r>
      <w:r w:rsidRPr="00E0488D">
        <w:t>Ghid privind Condiționalitățile Ex-Ante pentru Fondurile Structurale și de Investiții Europene PARTEA II</w:t>
      </w:r>
      <w:r w:rsidRPr="00E0488D">
        <w:rPr>
          <w:rStyle w:val="FootnoteReference"/>
          <w:lang w:eastAsia="en-GB"/>
        </w:rPr>
        <w:footnoteReference w:id="5"/>
      </w:r>
      <w:r w:rsidRPr="00E0488D">
        <w:rPr>
          <w:lang w:eastAsia="en-GB"/>
        </w:rPr>
        <w:t xml:space="preserve"> se menționează că </w:t>
      </w:r>
      <w:r w:rsidRPr="00E0488D">
        <w:t>Obiectivul</w:t>
      </w:r>
      <w:r w:rsidRPr="00E0488D">
        <w:rPr>
          <w:lang w:eastAsia="en-GB"/>
        </w:rPr>
        <w:t xml:space="preserve"> Tematic pentru transport este: </w:t>
      </w:r>
    </w:p>
    <w:p w:rsidR="00B4550A" w:rsidRPr="00E0488D" w:rsidRDefault="00B4550A" w:rsidP="00B4550A">
      <w:pPr>
        <w:pStyle w:val="ListParagraph"/>
        <w:pBdr>
          <w:top w:val="single" w:sz="4" w:space="1" w:color="auto"/>
          <w:left w:val="single" w:sz="4" w:space="4" w:color="auto"/>
          <w:bottom w:val="single" w:sz="4" w:space="1" w:color="auto"/>
          <w:right w:val="single" w:sz="4" w:space="4" w:color="auto"/>
        </w:pBdr>
        <w:autoSpaceDE w:val="0"/>
        <w:autoSpaceDN w:val="0"/>
        <w:adjustRightInd w:val="0"/>
        <w:ind w:left="680"/>
        <w:rPr>
          <w:i/>
          <w:sz w:val="22"/>
          <w:szCs w:val="22"/>
          <w:lang w:val="ro-RO" w:eastAsia="en-GB"/>
        </w:rPr>
      </w:pPr>
      <w:r w:rsidRPr="00E0488D">
        <w:rPr>
          <w:i/>
          <w:sz w:val="22"/>
          <w:szCs w:val="22"/>
          <w:lang w:val="ro-RO" w:eastAsia="en-GB"/>
        </w:rPr>
        <w:t>Promovarea transportului durabil și eliminarea congestiilor din infrastructurile rețelelor cheie de transport menționat în articolul 9 (7)</w:t>
      </w:r>
    </w:p>
    <w:p w:rsidR="00B4550A" w:rsidRPr="00E0488D" w:rsidRDefault="00B4550A" w:rsidP="002B7E09">
      <w:pPr>
        <w:pStyle w:val="NumberedParas"/>
        <w:rPr>
          <w:lang w:eastAsia="en-GB"/>
        </w:rPr>
      </w:pPr>
      <w:r w:rsidRPr="00E0488D">
        <w:rPr>
          <w:lang w:eastAsia="en-GB"/>
        </w:rPr>
        <w:t>Condiționalitatea ex-ante corespunzătoare este:</w:t>
      </w:r>
    </w:p>
    <w:p w:rsidR="00B4550A" w:rsidRPr="00E0488D" w:rsidRDefault="00B4550A" w:rsidP="00B4550A">
      <w:pPr>
        <w:pStyle w:val="ListParagraph"/>
        <w:widowControl w:val="0"/>
        <w:pBdr>
          <w:top w:val="single" w:sz="4" w:space="1" w:color="auto"/>
          <w:left w:val="single" w:sz="4" w:space="4" w:color="auto"/>
          <w:bottom w:val="single" w:sz="4" w:space="1" w:color="auto"/>
          <w:right w:val="single" w:sz="4" w:space="4" w:color="auto"/>
        </w:pBdr>
        <w:autoSpaceDE w:val="0"/>
        <w:autoSpaceDN w:val="0"/>
        <w:adjustRightInd w:val="0"/>
        <w:spacing w:before="120" w:after="120" w:line="276" w:lineRule="auto"/>
        <w:ind w:left="680"/>
        <w:rPr>
          <w:b/>
          <w:bCs/>
          <w:i/>
          <w:sz w:val="22"/>
          <w:szCs w:val="22"/>
          <w:lang w:val="ro-RO"/>
        </w:rPr>
      </w:pPr>
      <w:r w:rsidRPr="00E0488D">
        <w:rPr>
          <w:i/>
          <w:sz w:val="22"/>
          <w:szCs w:val="22"/>
          <w:lang w:val="ro-RO" w:eastAsia="en-GB"/>
        </w:rPr>
        <w:t xml:space="preserve">Existența unui plan sau a unor planuri cuprinzătoare sau a unui cadru sau cadre pentru investițiile în transporturi, în concordanță cu organizarea instituțională a statelor membre (inclusiv pentru transport public la nivel regional și local) care să sprijine dezvoltarea infrastructurii și să îmbunătățească conectivitatea la rețelele TEN-T Core și Comprehensive.  </w:t>
      </w:r>
    </w:p>
    <w:p w:rsidR="00B4550A" w:rsidRPr="00E0488D" w:rsidRDefault="00B4550A" w:rsidP="002B7E09">
      <w:pPr>
        <w:pStyle w:val="NumberedParas"/>
      </w:pPr>
      <w:r w:rsidRPr="00E0488D">
        <w:t>Master Planul este un plan cuprinzător pentru toate modurile de transport, dezvoltat cu ajutorul măsurilor cuantificate privind contribuția economică a proiectelor, contribuția acestora la rețeaua TEN-T Core și contribuția la dezvoltarea națională și regională. Principalele instrumente de evaluare sunt Modelul Național de Transport (care evaluează cererea de transport pe baza datelor observate și relațiile privind distribuția modală, analizează nivelul serviciilor oferite, timpii de parcurs și costurile pentru diferitele moduri de transport); procedura ACB (elaborată special pentru Master Plan, care utilizează proceduri recomandate de CE pentru evaluarea beneficiilor economice ale unei investiții, având în vedere beneficiile percepute de pasageri și transportatorii de marfă, traficul redirecționat de pe alte rute și traficul nou generat). Procedura evaluează timpul de parcurs și costurile deplasării pentru călători, costurile de operare ale vehiculului și efectele asupra mediului (emisii și zgomot) și compară aceste valori cu costurile de investiție și operare. Rezultatele sunt structurate în formatul aprobat de CE pentru Cererile de Finanțare din Fonduri Structurale.</w:t>
      </w:r>
    </w:p>
    <w:p w:rsidR="00B4550A" w:rsidRPr="00E0488D" w:rsidRDefault="00B4550A" w:rsidP="002B7E09">
      <w:pPr>
        <w:pStyle w:val="NumberedParas"/>
      </w:pPr>
      <w:r w:rsidRPr="00E0488D">
        <w:t>Tabelul 2.24 detaliază modalitatea în care Master Planul respectă fiecare dintre aceste cerințe.</w:t>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pgSz w:w="11907" w:h="16840" w:code="9"/>
          <w:pgMar w:top="1418" w:right="709" w:bottom="1418" w:left="907" w:header="357" w:footer="567" w:gutter="0"/>
          <w:cols w:space="187"/>
          <w:docGrid w:linePitch="360"/>
        </w:sectPr>
      </w:pPr>
    </w:p>
    <w:p w:rsidR="00B4550A" w:rsidRPr="00E0488D" w:rsidRDefault="00B4550A" w:rsidP="00B4550A">
      <w:pPr>
        <w:ind w:left="851"/>
        <w:rPr>
          <w:rFonts w:cs="Arial"/>
          <w:b/>
          <w:bCs/>
          <w:color w:val="000000"/>
          <w:sz w:val="22"/>
          <w:szCs w:val="22"/>
          <w:lang w:val="ro-RO"/>
        </w:rPr>
      </w:pPr>
      <w:r w:rsidRPr="00E0488D">
        <w:rPr>
          <w:rFonts w:cs="Arial"/>
          <w:b/>
          <w:bCs/>
          <w:color w:val="000000"/>
          <w:sz w:val="22"/>
          <w:szCs w:val="22"/>
          <w:lang w:val="ro-RO"/>
        </w:rPr>
        <w:lastRenderedPageBreak/>
        <w:t>Tabelul 2.24 Condiționalități ex-ante</w:t>
      </w:r>
    </w:p>
    <w:tbl>
      <w:tblPr>
        <w:tblStyle w:val="TableGrid"/>
        <w:tblW w:w="5000" w:type="pct"/>
        <w:tblLook w:val="04A0" w:firstRow="1" w:lastRow="0" w:firstColumn="1" w:lastColumn="0" w:noHBand="0" w:noVBand="1"/>
      </w:tblPr>
      <w:tblGrid>
        <w:gridCol w:w="8669"/>
        <w:gridCol w:w="1035"/>
        <w:gridCol w:w="4516"/>
      </w:tblGrid>
      <w:tr w:rsidR="00B4550A" w:rsidRPr="00E0488D" w:rsidTr="003C7FC8">
        <w:trPr>
          <w:trHeight w:val="544"/>
          <w:tblHeader/>
        </w:trPr>
        <w:tc>
          <w:tcPr>
            <w:tcW w:w="3048" w:type="pct"/>
            <w:vMerge w:val="restart"/>
            <w:shd w:val="clear" w:color="auto" w:fill="B8CCE4" w:themeFill="accent1" w:themeFillTint="66"/>
            <w:vAlign w:val="center"/>
          </w:tcPr>
          <w:p w:rsidR="00B4550A" w:rsidRPr="00E0488D" w:rsidRDefault="00B4550A" w:rsidP="003C7FC8">
            <w:pPr>
              <w:spacing w:line="222" w:lineRule="exact"/>
              <w:jc w:val="center"/>
              <w:rPr>
                <w:rFonts w:cs="Arial"/>
                <w:b/>
                <w:sz w:val="20"/>
                <w:szCs w:val="20"/>
                <w:lang w:val="ro-RO"/>
              </w:rPr>
            </w:pPr>
            <w:r w:rsidRPr="00E0488D">
              <w:rPr>
                <w:rFonts w:cs="Arial"/>
                <w:b/>
                <w:sz w:val="20"/>
                <w:szCs w:val="20"/>
                <w:lang w:val="ro-RO"/>
              </w:rPr>
              <w:t>Criterii de îndeplinit</w:t>
            </w:r>
          </w:p>
        </w:tc>
        <w:tc>
          <w:tcPr>
            <w:tcW w:w="1952" w:type="pct"/>
            <w:gridSpan w:val="2"/>
            <w:shd w:val="clear" w:color="auto" w:fill="B8CCE4" w:themeFill="accent1" w:themeFillTint="66"/>
            <w:vAlign w:val="center"/>
          </w:tcPr>
          <w:p w:rsidR="00B4550A" w:rsidRPr="00E0488D" w:rsidRDefault="00B4550A" w:rsidP="003C7FC8">
            <w:pPr>
              <w:spacing w:before="39"/>
              <w:ind w:left="642" w:right="-20"/>
              <w:jc w:val="center"/>
              <w:rPr>
                <w:rFonts w:cs="Arial"/>
                <w:b/>
                <w:sz w:val="20"/>
                <w:szCs w:val="20"/>
                <w:lang w:val="ro-RO"/>
              </w:rPr>
            </w:pPr>
            <w:r w:rsidRPr="00E0488D">
              <w:rPr>
                <w:rFonts w:cs="Arial"/>
                <w:b/>
                <w:sz w:val="20"/>
                <w:szCs w:val="20"/>
                <w:lang w:val="ro-RO"/>
              </w:rPr>
              <w:t>Criteriu indeplinit?</w:t>
            </w:r>
          </w:p>
        </w:tc>
      </w:tr>
      <w:tr w:rsidR="00B4550A" w:rsidRPr="00E0488D" w:rsidTr="003C7FC8">
        <w:trPr>
          <w:trHeight w:val="759"/>
          <w:tblHeader/>
        </w:trPr>
        <w:tc>
          <w:tcPr>
            <w:tcW w:w="3048" w:type="pct"/>
            <w:vMerge/>
            <w:shd w:val="clear" w:color="auto" w:fill="B8CCE4" w:themeFill="accent1" w:themeFillTint="66"/>
            <w:vAlign w:val="center"/>
          </w:tcPr>
          <w:p w:rsidR="00B4550A" w:rsidRPr="00E0488D" w:rsidRDefault="00B4550A" w:rsidP="003C7FC8">
            <w:pPr>
              <w:spacing w:line="222" w:lineRule="exact"/>
              <w:jc w:val="center"/>
              <w:rPr>
                <w:rFonts w:cs="Arial"/>
                <w:b/>
                <w:sz w:val="20"/>
                <w:szCs w:val="20"/>
                <w:lang w:val="ro-RO"/>
              </w:rPr>
            </w:pPr>
          </w:p>
        </w:tc>
        <w:tc>
          <w:tcPr>
            <w:tcW w:w="364" w:type="pct"/>
            <w:shd w:val="clear" w:color="auto" w:fill="B8CCE4" w:themeFill="accent1" w:themeFillTint="66"/>
            <w:vAlign w:val="center"/>
          </w:tcPr>
          <w:p w:rsidR="00B4550A" w:rsidRPr="00E0488D" w:rsidRDefault="00B4550A" w:rsidP="003C7FC8">
            <w:pPr>
              <w:spacing w:before="39"/>
              <w:ind w:right="-20"/>
              <w:jc w:val="center"/>
              <w:rPr>
                <w:rFonts w:cs="Arial"/>
                <w:b/>
                <w:sz w:val="20"/>
                <w:szCs w:val="20"/>
                <w:lang w:val="ro-RO"/>
              </w:rPr>
            </w:pPr>
            <w:r w:rsidRPr="00E0488D">
              <w:rPr>
                <w:rFonts w:cs="Arial"/>
                <w:b/>
                <w:sz w:val="20"/>
                <w:szCs w:val="20"/>
                <w:lang w:val="ro-RO"/>
              </w:rPr>
              <w:t>DA / NU</w:t>
            </w:r>
          </w:p>
        </w:tc>
        <w:tc>
          <w:tcPr>
            <w:tcW w:w="1588" w:type="pct"/>
            <w:shd w:val="clear" w:color="auto" w:fill="B8CCE4" w:themeFill="accent1" w:themeFillTint="66"/>
            <w:vAlign w:val="center"/>
          </w:tcPr>
          <w:p w:rsidR="00B4550A" w:rsidRPr="00E0488D" w:rsidRDefault="00B4550A" w:rsidP="003C7FC8">
            <w:pPr>
              <w:spacing w:before="39"/>
              <w:ind w:left="642" w:right="-20"/>
              <w:jc w:val="center"/>
              <w:rPr>
                <w:rFonts w:cs="Arial"/>
                <w:b/>
                <w:sz w:val="20"/>
                <w:szCs w:val="20"/>
                <w:lang w:val="ro-RO"/>
              </w:rPr>
            </w:pPr>
            <w:r w:rsidRPr="00E0488D">
              <w:rPr>
                <w:rFonts w:cs="Arial"/>
                <w:b/>
                <w:sz w:val="20"/>
                <w:szCs w:val="20"/>
                <w:lang w:val="ro-RO"/>
              </w:rPr>
              <w:t>Elemente de neîndeplinire</w:t>
            </w:r>
          </w:p>
        </w:tc>
      </w:tr>
      <w:tr w:rsidR="00B4550A" w:rsidRPr="00E0488D" w:rsidTr="003C7FC8">
        <w:tc>
          <w:tcPr>
            <w:tcW w:w="3048" w:type="pct"/>
            <w:vAlign w:val="center"/>
          </w:tcPr>
          <w:p w:rsidR="00B4550A" w:rsidRPr="00E0488D" w:rsidRDefault="00B4550A" w:rsidP="003C7FC8">
            <w:pPr>
              <w:spacing w:line="222" w:lineRule="exact"/>
              <w:rPr>
                <w:rFonts w:cs="Arial"/>
                <w:b/>
                <w:sz w:val="20"/>
                <w:szCs w:val="20"/>
                <w:lang w:val="ro-RO"/>
              </w:rPr>
            </w:pPr>
            <w:r w:rsidRPr="00E0488D">
              <w:rPr>
                <w:rStyle w:val="hps"/>
                <w:rFonts w:cs="Arial"/>
                <w:b/>
                <w:i/>
                <w:color w:val="000000" w:themeColor="text1"/>
                <w:sz w:val="20"/>
                <w:szCs w:val="20"/>
                <w:lang w:val="ro-RO"/>
              </w:rPr>
              <w:t>Existența unui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plan global de transport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sau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planuri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sau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cadru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sau cadre</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pentru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investiții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de transport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care</w:t>
            </w:r>
            <w:r w:rsidRPr="00E0488D">
              <w:rPr>
                <w:rFonts w:cs="Arial"/>
                <w:b/>
                <w:i/>
                <w:sz w:val="20"/>
                <w:szCs w:val="20"/>
                <w:lang w:val="ro-RO"/>
              </w:rPr>
              <w:t>:</w:t>
            </w:r>
          </w:p>
        </w:tc>
        <w:tc>
          <w:tcPr>
            <w:tcW w:w="364" w:type="pct"/>
            <w:vAlign w:val="center"/>
          </w:tcPr>
          <w:p w:rsidR="00B4550A" w:rsidRPr="00E0488D" w:rsidRDefault="00B4550A" w:rsidP="003C7FC8">
            <w:pPr>
              <w:spacing w:line="222" w:lineRule="exact"/>
              <w:jc w:val="center"/>
              <w:rPr>
                <w:rFonts w:cs="Arial"/>
                <w:b/>
                <w:sz w:val="20"/>
                <w:szCs w:val="20"/>
                <w:lang w:val="ro-RO"/>
              </w:rPr>
            </w:pPr>
          </w:p>
        </w:tc>
        <w:tc>
          <w:tcPr>
            <w:tcW w:w="1588" w:type="pct"/>
            <w:vAlign w:val="center"/>
          </w:tcPr>
          <w:p w:rsidR="00B4550A" w:rsidRPr="00E0488D" w:rsidRDefault="00B4550A" w:rsidP="003C7FC8">
            <w:pPr>
              <w:spacing w:line="222" w:lineRule="exact"/>
              <w:rPr>
                <w:rFonts w:cs="Arial"/>
                <w:b/>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820"/>
              </w:tabs>
              <w:spacing w:before="60" w:line="240" w:lineRule="auto"/>
              <w:contextualSpacing/>
              <w:jc w:val="left"/>
              <w:rPr>
                <w:color w:val="000000" w:themeColor="text1"/>
                <w:lang w:val="ro-RO"/>
              </w:rPr>
            </w:pPr>
            <w:r w:rsidRPr="00E0488D">
              <w:rPr>
                <w:rStyle w:val="hps"/>
                <w:color w:val="000000" w:themeColor="text1"/>
                <w:lang w:val="ro-RO"/>
              </w:rPr>
              <w:t>Programul operațional</w:t>
            </w:r>
            <w:r w:rsidRPr="00E0488D">
              <w:rPr>
                <w:color w:val="000000" w:themeColor="text1"/>
                <w:lang w:val="ro-RO"/>
              </w:rPr>
              <w:t xml:space="preserve"> </w:t>
            </w:r>
            <w:r w:rsidRPr="00E0488D">
              <w:rPr>
                <w:rStyle w:val="hps"/>
                <w:color w:val="000000" w:themeColor="text1"/>
                <w:lang w:val="ro-RO"/>
              </w:rPr>
              <w:t>relevant</w:t>
            </w:r>
            <w:r w:rsidRPr="00E0488D">
              <w:rPr>
                <w:color w:val="000000" w:themeColor="text1"/>
                <w:lang w:val="ro-RO"/>
              </w:rPr>
              <w:t xml:space="preserve"> </w:t>
            </w:r>
            <w:r w:rsidRPr="00E0488D">
              <w:rPr>
                <w:rStyle w:val="hps"/>
                <w:color w:val="000000" w:themeColor="text1"/>
                <w:lang w:val="ro-RO"/>
              </w:rPr>
              <w:t>și, după caz,</w:t>
            </w:r>
            <w:r w:rsidRPr="00E0488D">
              <w:rPr>
                <w:color w:val="000000" w:themeColor="text1"/>
                <w:lang w:val="ro-RO"/>
              </w:rPr>
              <w:t xml:space="preserve"> </w:t>
            </w:r>
            <w:r w:rsidRPr="00E0488D">
              <w:rPr>
                <w:rStyle w:val="hps"/>
                <w:color w:val="000000" w:themeColor="text1"/>
                <w:lang w:val="ro-RO"/>
              </w:rPr>
              <w:t>Acordul de Parteneriat</w:t>
            </w:r>
            <w:r w:rsidRPr="00E0488D">
              <w:rPr>
                <w:color w:val="000000" w:themeColor="text1"/>
                <w:lang w:val="ro-RO"/>
              </w:rPr>
              <w:t xml:space="preserve"> </w:t>
            </w:r>
            <w:r w:rsidRPr="00E0488D">
              <w:rPr>
                <w:rStyle w:val="hps"/>
                <w:color w:val="000000" w:themeColor="text1"/>
                <w:lang w:val="ro-RO"/>
              </w:rPr>
              <w:t>conține o</w:t>
            </w:r>
            <w:r w:rsidRPr="00E0488D">
              <w:rPr>
                <w:color w:val="000000" w:themeColor="text1"/>
                <w:lang w:val="ro-RO"/>
              </w:rPr>
              <w:t xml:space="preserve"> </w:t>
            </w:r>
            <w:r w:rsidRPr="00E0488D">
              <w:rPr>
                <w:rStyle w:val="hps"/>
                <w:color w:val="000000" w:themeColor="text1"/>
                <w:lang w:val="ro-RO"/>
              </w:rPr>
              <w:t>referire</w:t>
            </w:r>
            <w:r w:rsidRPr="00E0488D">
              <w:rPr>
                <w:color w:val="000000" w:themeColor="text1"/>
                <w:lang w:val="ro-RO"/>
              </w:rPr>
              <w:t xml:space="preserve"> </w:t>
            </w:r>
            <w:r w:rsidRPr="00E0488D">
              <w:rPr>
                <w:rStyle w:val="hps"/>
                <w:color w:val="000000" w:themeColor="text1"/>
                <w:lang w:val="ro-RO"/>
              </w:rPr>
              <w:t>la</w:t>
            </w:r>
            <w:r w:rsidRPr="00E0488D">
              <w:rPr>
                <w:color w:val="000000" w:themeColor="text1"/>
                <w:lang w:val="ro-RO"/>
              </w:rPr>
              <w:t xml:space="preserve"> </w:t>
            </w:r>
            <w:r w:rsidRPr="00E0488D">
              <w:rPr>
                <w:rStyle w:val="hps"/>
                <w:color w:val="000000" w:themeColor="text1"/>
                <w:lang w:val="ro-RO"/>
              </w:rPr>
              <w:t>denumirea</w:t>
            </w:r>
            <w:r w:rsidRPr="00E0488D">
              <w:rPr>
                <w:color w:val="000000" w:themeColor="text1"/>
                <w:lang w:val="ro-RO"/>
              </w:rPr>
              <w:t xml:space="preserve"> </w:t>
            </w:r>
            <w:r w:rsidRPr="00E0488D">
              <w:rPr>
                <w:rStyle w:val="hps"/>
                <w:color w:val="000000" w:themeColor="text1"/>
                <w:lang w:val="ro-RO"/>
              </w:rPr>
              <w:t>planului</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oferă</w:t>
            </w:r>
            <w:r w:rsidRPr="00E0488D">
              <w:rPr>
                <w:color w:val="000000" w:themeColor="text1"/>
                <w:lang w:val="ro-RO"/>
              </w:rPr>
              <w:t xml:space="preserve"> </w:t>
            </w:r>
            <w:r w:rsidRPr="00E0488D">
              <w:rPr>
                <w:rStyle w:val="hps"/>
                <w:color w:val="000000" w:themeColor="text1"/>
                <w:lang w:val="ro-RO"/>
              </w:rPr>
              <w:t>un</w:t>
            </w:r>
            <w:r w:rsidRPr="00E0488D">
              <w:rPr>
                <w:color w:val="000000" w:themeColor="text1"/>
                <w:lang w:val="ro-RO"/>
              </w:rPr>
              <w:t xml:space="preserve"> </w:t>
            </w:r>
            <w:r w:rsidRPr="00E0488D">
              <w:rPr>
                <w:rStyle w:val="hps"/>
                <w:color w:val="000000" w:themeColor="text1"/>
                <w:lang w:val="ro-RO"/>
              </w:rPr>
              <w:t>hyperlink</w:t>
            </w:r>
            <w:r w:rsidRPr="00E0488D">
              <w:rPr>
                <w:color w:val="000000" w:themeColor="text1"/>
                <w:lang w:val="ro-RO"/>
              </w:rPr>
              <w:t xml:space="preserve"> </w:t>
            </w:r>
            <w:r w:rsidRPr="00E0488D">
              <w:rPr>
                <w:rStyle w:val="hps"/>
                <w:color w:val="000000" w:themeColor="text1"/>
                <w:lang w:val="ro-RO"/>
              </w:rPr>
              <w:t>la document</w:t>
            </w:r>
            <w:r w:rsidRPr="00E0488D">
              <w:rPr>
                <w:color w:val="000000" w:themeColor="text1"/>
                <w:lang w:val="ro-RO"/>
              </w:rPr>
              <w:t xml:space="preserve"> </w:t>
            </w:r>
            <w:r w:rsidRPr="00E0488D">
              <w:rPr>
                <w:rStyle w:val="hps"/>
                <w:color w:val="000000" w:themeColor="text1"/>
                <w:lang w:val="ro-RO"/>
              </w:rPr>
              <w:t>(e)</w:t>
            </w:r>
            <w:r w:rsidRPr="00E0488D">
              <w:rPr>
                <w:color w:val="000000" w:themeColor="text1"/>
                <w:lang w:val="ro-RO"/>
              </w:rPr>
              <w:t>.</w:t>
            </w:r>
          </w:p>
        </w:tc>
        <w:tc>
          <w:tcPr>
            <w:tcW w:w="364" w:type="pct"/>
            <w:vAlign w:val="center"/>
          </w:tcPr>
          <w:p w:rsidR="00B4550A" w:rsidRPr="00E0488D" w:rsidRDefault="00B4550A" w:rsidP="003C7FC8">
            <w:pPr>
              <w:tabs>
                <w:tab w:val="left" w:pos="820"/>
              </w:tabs>
              <w:spacing w:before="60"/>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tabs>
                <w:tab w:val="left" w:pos="820"/>
              </w:tabs>
              <w:spacing w:before="60"/>
              <w:rPr>
                <w:rFonts w:eastAsia="Wingdings" w:cs="Arial"/>
                <w:sz w:val="20"/>
                <w:szCs w:val="20"/>
                <w:lang w:val="ro-RO"/>
              </w:rPr>
            </w:pPr>
            <w:r w:rsidRPr="00E0488D">
              <w:rPr>
                <w:rFonts w:cs="Arial"/>
                <w:sz w:val="20"/>
                <w:szCs w:val="20"/>
                <w:lang w:val="ro-RO"/>
              </w:rPr>
              <w:t xml:space="preserve">Master Planul nu este aprobat încă  </w:t>
            </w:r>
          </w:p>
        </w:tc>
      </w:tr>
      <w:tr w:rsidR="00B4550A" w:rsidRPr="00E0488D" w:rsidTr="003C7FC8">
        <w:tc>
          <w:tcPr>
            <w:tcW w:w="3048" w:type="pct"/>
            <w:vAlign w:val="center"/>
          </w:tcPr>
          <w:p w:rsidR="00B4550A" w:rsidRPr="00E0488D" w:rsidRDefault="00B4550A" w:rsidP="003C7FC8">
            <w:pPr>
              <w:tabs>
                <w:tab w:val="left" w:pos="460"/>
              </w:tabs>
              <w:spacing w:line="222" w:lineRule="exact"/>
              <w:rPr>
                <w:rFonts w:cs="Arial"/>
                <w:b/>
                <w:color w:val="000000" w:themeColor="text1"/>
                <w:sz w:val="20"/>
                <w:szCs w:val="20"/>
                <w:lang w:val="ro-RO"/>
              </w:rPr>
            </w:pPr>
            <w:r w:rsidRPr="00E0488D">
              <w:rPr>
                <w:rFonts w:cs="Arial"/>
                <w:b/>
                <w:color w:val="000000" w:themeColor="text1"/>
                <w:sz w:val="20"/>
                <w:szCs w:val="20"/>
                <w:lang w:val="ro-RO"/>
              </w:rPr>
              <w:t>–</w:t>
            </w:r>
            <w:r w:rsidRPr="00E0488D">
              <w:rPr>
                <w:rFonts w:cs="Arial"/>
                <w:b/>
                <w:color w:val="000000" w:themeColor="text1"/>
                <w:sz w:val="20"/>
                <w:szCs w:val="20"/>
                <w:lang w:val="ro-RO"/>
              </w:rPr>
              <w:tab/>
            </w:r>
            <w:r w:rsidRPr="00E0488D">
              <w:rPr>
                <w:rStyle w:val="hps"/>
                <w:rFonts w:cs="Arial"/>
                <w:b/>
                <w:i/>
                <w:color w:val="000000" w:themeColor="text1"/>
                <w:sz w:val="20"/>
                <w:szCs w:val="20"/>
                <w:lang w:val="ro-RO"/>
              </w:rPr>
              <w:t>respectă cerințele legale pentru evaluarea strategică de mediu</w:t>
            </w:r>
            <w:r w:rsidRPr="00E0488D">
              <w:rPr>
                <w:rFonts w:cs="Arial"/>
                <w:b/>
                <w:i/>
                <w:color w:val="000000" w:themeColor="text1"/>
                <w:sz w:val="20"/>
                <w:szCs w:val="20"/>
                <w:lang w:val="ro-RO"/>
              </w:rPr>
              <w:t>:</w:t>
            </w:r>
          </w:p>
        </w:tc>
        <w:tc>
          <w:tcPr>
            <w:tcW w:w="364" w:type="pct"/>
            <w:vAlign w:val="center"/>
          </w:tcPr>
          <w:p w:rsidR="00B4550A" w:rsidRPr="00E0488D" w:rsidRDefault="00B4550A" w:rsidP="003C7FC8">
            <w:pPr>
              <w:tabs>
                <w:tab w:val="left" w:pos="460"/>
              </w:tabs>
              <w:spacing w:line="222" w:lineRule="exact"/>
              <w:jc w:val="center"/>
              <w:rPr>
                <w:rFonts w:cs="Arial"/>
                <w:b/>
                <w:sz w:val="20"/>
                <w:szCs w:val="20"/>
                <w:lang w:val="ro-RO"/>
              </w:rPr>
            </w:pPr>
          </w:p>
        </w:tc>
        <w:tc>
          <w:tcPr>
            <w:tcW w:w="1588" w:type="pct"/>
            <w:vAlign w:val="center"/>
          </w:tcPr>
          <w:p w:rsidR="00B4550A" w:rsidRPr="00E0488D" w:rsidRDefault="00B4550A" w:rsidP="003C7FC8">
            <w:pPr>
              <w:tabs>
                <w:tab w:val="left" w:pos="460"/>
              </w:tabs>
              <w:spacing w:line="222" w:lineRule="exact"/>
              <w:rPr>
                <w:rFonts w:cs="Arial"/>
                <w:b/>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1" w:line="239" w:lineRule="auto"/>
              <w:contextualSpacing/>
              <w:jc w:val="left"/>
              <w:rPr>
                <w:color w:val="000000" w:themeColor="text1"/>
                <w:lang w:val="ro-RO"/>
              </w:rPr>
            </w:pPr>
            <w:r w:rsidRPr="00E0488D">
              <w:rPr>
                <w:color w:val="000000" w:themeColor="text1"/>
                <w:lang w:val="ro-RO"/>
              </w:rPr>
              <w:t>S-a întocmit u</w:t>
            </w:r>
            <w:r w:rsidRPr="00E0488D">
              <w:rPr>
                <w:rStyle w:val="hps"/>
                <w:color w:val="000000" w:themeColor="text1"/>
                <w:lang w:val="ro-RO"/>
              </w:rPr>
              <w:t>n</w:t>
            </w:r>
            <w:r w:rsidRPr="00E0488D">
              <w:rPr>
                <w:color w:val="000000" w:themeColor="text1"/>
                <w:lang w:val="ro-RO"/>
              </w:rPr>
              <w:t xml:space="preserve"> </w:t>
            </w:r>
            <w:r w:rsidRPr="00E0488D">
              <w:rPr>
                <w:rStyle w:val="hps"/>
                <w:color w:val="000000" w:themeColor="text1"/>
                <w:lang w:val="ro-RO"/>
              </w:rPr>
              <w:t>raport de mediu</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care</w:t>
            </w:r>
            <w:r w:rsidRPr="00E0488D">
              <w:rPr>
                <w:color w:val="000000" w:themeColor="text1"/>
                <w:lang w:val="ro-RO"/>
              </w:rPr>
              <w:t xml:space="preserve"> </w:t>
            </w:r>
            <w:r w:rsidRPr="00E0488D">
              <w:rPr>
                <w:rStyle w:val="hps"/>
                <w:color w:val="000000" w:themeColor="text1"/>
                <w:lang w:val="ro-RO"/>
              </w:rPr>
              <w:t>sunt identificate</w:t>
            </w:r>
            <w:r w:rsidRPr="00E0488D">
              <w:rPr>
                <w:color w:val="000000" w:themeColor="text1"/>
                <w:lang w:val="ro-RO"/>
              </w:rPr>
              <w:t xml:space="preserve">, </w:t>
            </w:r>
            <w:r w:rsidRPr="00E0488D">
              <w:rPr>
                <w:rStyle w:val="hps"/>
                <w:color w:val="000000" w:themeColor="text1"/>
                <w:lang w:val="ro-RO"/>
              </w:rPr>
              <w:t>descrise</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evaluate efectele semnificative probabile</w:t>
            </w:r>
            <w:r w:rsidRPr="00E0488D">
              <w:rPr>
                <w:color w:val="000000" w:themeColor="text1"/>
                <w:lang w:val="ro-RO"/>
              </w:rPr>
              <w:t xml:space="preserve"> </w:t>
            </w:r>
            <w:r w:rsidRPr="00E0488D">
              <w:rPr>
                <w:rStyle w:val="hps"/>
                <w:color w:val="000000" w:themeColor="text1"/>
                <w:lang w:val="ro-RO"/>
              </w:rPr>
              <w:t>asupra mediului</w:t>
            </w:r>
            <w:r w:rsidRPr="00E0488D">
              <w:rPr>
                <w:color w:val="000000" w:themeColor="text1"/>
                <w:lang w:val="ro-RO"/>
              </w:rPr>
              <w:t xml:space="preserve"> </w:t>
            </w:r>
            <w:r w:rsidRPr="00E0488D">
              <w:rPr>
                <w:rStyle w:val="hps"/>
                <w:color w:val="000000" w:themeColor="text1"/>
                <w:lang w:val="ro-RO"/>
              </w:rPr>
              <w:t>ale</w:t>
            </w:r>
            <w:r w:rsidRPr="00E0488D">
              <w:rPr>
                <w:color w:val="000000" w:themeColor="text1"/>
                <w:lang w:val="ro-RO"/>
              </w:rPr>
              <w:t xml:space="preserve"> </w:t>
            </w:r>
            <w:r w:rsidRPr="00E0488D">
              <w:rPr>
                <w:rStyle w:val="hps"/>
                <w:color w:val="000000" w:themeColor="text1"/>
                <w:lang w:val="ro-RO"/>
              </w:rPr>
              <w:t>implementării</w:t>
            </w:r>
            <w:r w:rsidRPr="00E0488D">
              <w:rPr>
                <w:color w:val="000000" w:themeColor="text1"/>
                <w:lang w:val="ro-RO"/>
              </w:rPr>
              <w:t xml:space="preserve"> </w:t>
            </w:r>
            <w:r w:rsidRPr="00E0488D">
              <w:rPr>
                <w:rStyle w:val="hps"/>
                <w:color w:val="000000" w:themeColor="text1"/>
                <w:lang w:val="ro-RO"/>
              </w:rPr>
              <w:t>planului sau</w:t>
            </w:r>
            <w:r w:rsidRPr="00E0488D">
              <w:rPr>
                <w:color w:val="000000" w:themeColor="text1"/>
                <w:lang w:val="ro-RO"/>
              </w:rPr>
              <w:t xml:space="preserve"> </w:t>
            </w:r>
            <w:r w:rsidRPr="00E0488D">
              <w:rPr>
                <w:rStyle w:val="hps"/>
                <w:color w:val="000000" w:themeColor="text1"/>
                <w:lang w:val="ro-RO"/>
              </w:rPr>
              <w:t>cadru</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alternativele rezonabile, ținând</w:t>
            </w:r>
            <w:r w:rsidRPr="00E0488D">
              <w:rPr>
                <w:color w:val="000000" w:themeColor="text1"/>
                <w:lang w:val="ro-RO"/>
              </w:rPr>
              <w:t xml:space="preserve"> </w:t>
            </w:r>
            <w:r w:rsidRPr="00E0488D">
              <w:rPr>
                <w:rStyle w:val="hps"/>
                <w:color w:val="000000" w:themeColor="text1"/>
                <w:lang w:val="ro-RO"/>
              </w:rPr>
              <w:t>cont de obiectivele și</w:t>
            </w:r>
            <w:r w:rsidRPr="00E0488D">
              <w:rPr>
                <w:color w:val="000000" w:themeColor="text1"/>
                <w:lang w:val="ro-RO"/>
              </w:rPr>
              <w:t xml:space="preserve"> </w:t>
            </w:r>
            <w:r w:rsidRPr="00E0488D">
              <w:rPr>
                <w:rStyle w:val="hps"/>
                <w:color w:val="000000" w:themeColor="text1"/>
                <w:lang w:val="ro-RO"/>
              </w:rPr>
              <w:t>aria de acoperire geografic</w:t>
            </w:r>
            <w:r w:rsidRPr="00E0488D">
              <w:rPr>
                <w:color w:val="000000" w:themeColor="text1"/>
                <w:lang w:val="ro-RO"/>
              </w:rPr>
              <w:t xml:space="preserve">ă </w:t>
            </w:r>
            <w:r w:rsidRPr="00E0488D">
              <w:rPr>
                <w:rStyle w:val="hps"/>
                <w:color w:val="000000" w:themeColor="text1"/>
                <w:lang w:val="ro-RO"/>
              </w:rPr>
              <w:t>a planului</w:t>
            </w:r>
            <w:r w:rsidRPr="00E0488D">
              <w:rPr>
                <w:color w:val="000000" w:themeColor="text1"/>
                <w:lang w:val="ro-RO"/>
              </w:rPr>
              <w:t xml:space="preserve"> global </w:t>
            </w:r>
            <w:r w:rsidRPr="00E0488D">
              <w:rPr>
                <w:rStyle w:val="hps"/>
                <w:color w:val="000000" w:themeColor="text1"/>
                <w:lang w:val="ro-RO"/>
              </w:rPr>
              <w:t>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w:t>
            </w:r>
            <w:r w:rsidRPr="00E0488D">
              <w:rPr>
                <w:color w:val="000000" w:themeColor="text1"/>
                <w:lang w:val="ro-RO"/>
              </w:rPr>
              <w:t>.</w:t>
            </w:r>
          </w:p>
        </w:tc>
        <w:tc>
          <w:tcPr>
            <w:tcW w:w="364" w:type="pct"/>
            <w:vAlign w:val="center"/>
          </w:tcPr>
          <w:p w:rsidR="00B4550A" w:rsidRPr="00E0488D" w:rsidRDefault="00B4550A" w:rsidP="003C7FC8">
            <w:pPr>
              <w:tabs>
                <w:tab w:val="left" w:pos="1120"/>
              </w:tabs>
              <w:spacing w:before="61" w:line="239" w:lineRule="auto"/>
              <w:jc w:val="center"/>
              <w:rPr>
                <w:rFonts w:eastAsia="Wingdings" w:cs="Arial"/>
                <w:sz w:val="20"/>
                <w:szCs w:val="20"/>
                <w:lang w:val="ro-RO"/>
              </w:rPr>
            </w:pPr>
            <w:r w:rsidRPr="00E0488D">
              <w:rPr>
                <w:rFonts w:eastAsia="Wingdings" w:cs="Arial"/>
                <w:sz w:val="20"/>
                <w:szCs w:val="20"/>
                <w:lang w:val="ro-RO"/>
              </w:rPr>
              <w:t>DA</w:t>
            </w:r>
          </w:p>
        </w:tc>
        <w:tc>
          <w:tcPr>
            <w:tcW w:w="1588" w:type="pct"/>
            <w:vAlign w:val="center"/>
          </w:tcPr>
          <w:p w:rsidR="00B4550A" w:rsidRPr="00E0488D" w:rsidRDefault="00B4550A" w:rsidP="003C7FC8">
            <w:pPr>
              <w:tabs>
                <w:tab w:val="left" w:pos="1120"/>
              </w:tabs>
              <w:spacing w:before="61" w:line="239" w:lineRule="auto"/>
              <w:rPr>
                <w:rFonts w:eastAsia="Wingdings" w:cs="Arial"/>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1" w:line="239" w:lineRule="auto"/>
              <w:contextualSpacing/>
              <w:jc w:val="left"/>
              <w:rPr>
                <w:lang w:val="ro-RO"/>
              </w:rPr>
            </w:pPr>
            <w:r w:rsidRPr="00E0488D">
              <w:rPr>
                <w:color w:val="000000" w:themeColor="text1"/>
                <w:lang w:val="ro-RO"/>
              </w:rPr>
              <w:t xml:space="preserve">Proiectul de plan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 și</w:t>
            </w:r>
            <w:r w:rsidRPr="00E0488D">
              <w:rPr>
                <w:color w:val="000000" w:themeColor="text1"/>
                <w:lang w:val="ro-RO"/>
              </w:rPr>
              <w:t xml:space="preserve"> </w:t>
            </w:r>
            <w:r w:rsidRPr="00E0488D">
              <w:rPr>
                <w:rStyle w:val="hps"/>
                <w:color w:val="000000" w:themeColor="text1"/>
                <w:lang w:val="ro-RO"/>
              </w:rPr>
              <w:t>raportul de mediu</w:t>
            </w:r>
            <w:r w:rsidRPr="00E0488D">
              <w:rPr>
                <w:color w:val="000000" w:themeColor="text1"/>
                <w:lang w:val="ro-RO"/>
              </w:rPr>
              <w:t xml:space="preserve"> </w:t>
            </w:r>
            <w:r w:rsidRPr="00E0488D">
              <w:rPr>
                <w:rStyle w:val="hps"/>
                <w:color w:val="000000" w:themeColor="text1"/>
                <w:lang w:val="ro-RO"/>
              </w:rPr>
              <w:t>au fost</w:t>
            </w:r>
            <w:r w:rsidRPr="00E0488D">
              <w:rPr>
                <w:color w:val="000000" w:themeColor="text1"/>
                <w:lang w:val="ro-RO"/>
              </w:rPr>
              <w:t xml:space="preserve"> </w:t>
            </w:r>
            <w:r w:rsidRPr="00E0488D">
              <w:rPr>
                <w:rStyle w:val="hps"/>
                <w:color w:val="000000" w:themeColor="text1"/>
                <w:lang w:val="ro-RO"/>
              </w:rPr>
              <w:t>puse la dispoziția</w:t>
            </w:r>
            <w:r w:rsidRPr="00E0488D">
              <w:rPr>
                <w:color w:val="000000" w:themeColor="text1"/>
                <w:lang w:val="ro-RO"/>
              </w:rPr>
              <w:t xml:space="preserve"> </w:t>
            </w:r>
            <w:r w:rsidRPr="00E0488D">
              <w:rPr>
                <w:rStyle w:val="hps"/>
                <w:color w:val="000000" w:themeColor="text1"/>
                <w:lang w:val="ro-RO"/>
              </w:rPr>
              <w:t>publicului și a autorităților</w:t>
            </w:r>
            <w:r w:rsidRPr="00E0488D">
              <w:rPr>
                <w:color w:val="000000" w:themeColor="text1"/>
                <w:lang w:val="ro-RO"/>
              </w:rPr>
              <w:t xml:space="preserve"> </w:t>
            </w:r>
            <w:r w:rsidRPr="00E0488D">
              <w:rPr>
                <w:rStyle w:val="hps"/>
                <w:color w:val="000000" w:themeColor="text1"/>
                <w:lang w:val="ro-RO"/>
              </w:rPr>
              <w:t>cu responsabilități</w:t>
            </w:r>
            <w:r w:rsidRPr="00E0488D">
              <w:rPr>
                <w:color w:val="000000" w:themeColor="text1"/>
                <w:lang w:val="ro-RO"/>
              </w:rPr>
              <w:t xml:space="preserve"> </w:t>
            </w:r>
            <w:r w:rsidRPr="00E0488D">
              <w:rPr>
                <w:rStyle w:val="hps"/>
                <w:color w:val="000000" w:themeColor="text1"/>
                <w:lang w:val="ro-RO"/>
              </w:rPr>
              <w:t>specifice de mediu</w:t>
            </w:r>
            <w:r w:rsidRPr="00E0488D">
              <w:rPr>
                <w:color w:val="000000" w:themeColor="text1"/>
                <w:lang w:val="ro-RO"/>
              </w:rPr>
              <w:t xml:space="preserve"> </w:t>
            </w:r>
            <w:r w:rsidRPr="00E0488D">
              <w:rPr>
                <w:rStyle w:val="hps"/>
                <w:color w:val="000000" w:themeColor="text1"/>
                <w:lang w:val="ro-RO"/>
              </w:rPr>
              <w:t>desemnate de către statele</w:t>
            </w:r>
            <w:r w:rsidRPr="00E0488D">
              <w:rPr>
                <w:color w:val="000000" w:themeColor="text1"/>
                <w:lang w:val="ro-RO"/>
              </w:rPr>
              <w:t xml:space="preserve"> </w:t>
            </w:r>
            <w:r w:rsidRPr="00E0488D">
              <w:rPr>
                <w:rStyle w:val="hps"/>
                <w:color w:val="000000" w:themeColor="text1"/>
                <w:lang w:val="ro-RO"/>
              </w:rPr>
              <w:t>membre,</w:t>
            </w:r>
            <w:r w:rsidRPr="00E0488D">
              <w:rPr>
                <w:color w:val="000000" w:themeColor="text1"/>
                <w:lang w:val="ro-RO"/>
              </w:rPr>
              <w:t xml:space="preserve"> </w:t>
            </w:r>
            <w:r w:rsidRPr="00E0488D">
              <w:rPr>
                <w:rStyle w:val="hps"/>
                <w:color w:val="000000" w:themeColor="text1"/>
                <w:lang w:val="ro-RO"/>
              </w:rPr>
              <w:t>care</w:t>
            </w:r>
            <w:r w:rsidRPr="00E0488D">
              <w:rPr>
                <w:color w:val="000000" w:themeColor="text1"/>
                <w:lang w:val="ro-RO"/>
              </w:rPr>
              <w:t xml:space="preserve"> </w:t>
            </w:r>
            <w:r w:rsidRPr="00E0488D">
              <w:rPr>
                <w:rStyle w:val="hps"/>
                <w:color w:val="000000" w:themeColor="text1"/>
                <w:lang w:val="ro-RO"/>
              </w:rPr>
              <w:t>sunt susceptibile de a</w:t>
            </w:r>
            <w:r w:rsidRPr="00E0488D">
              <w:rPr>
                <w:color w:val="000000" w:themeColor="text1"/>
                <w:lang w:val="ro-RO"/>
              </w:rPr>
              <w:t xml:space="preserve"> </w:t>
            </w:r>
            <w:r w:rsidRPr="00E0488D">
              <w:rPr>
                <w:rStyle w:val="hps"/>
                <w:color w:val="000000" w:themeColor="text1"/>
                <w:lang w:val="ro-RO"/>
              </w:rPr>
              <w:t>fi</w:t>
            </w:r>
            <w:r w:rsidRPr="00E0488D">
              <w:rPr>
                <w:color w:val="000000" w:themeColor="text1"/>
                <w:lang w:val="ro-RO"/>
              </w:rPr>
              <w:t xml:space="preserve"> </w:t>
            </w:r>
            <w:r w:rsidRPr="00E0488D">
              <w:rPr>
                <w:rStyle w:val="hps"/>
                <w:color w:val="000000" w:themeColor="text1"/>
                <w:lang w:val="ro-RO"/>
              </w:rPr>
              <w:t>interesate de efectele asupra</w:t>
            </w:r>
            <w:r w:rsidRPr="00E0488D">
              <w:rPr>
                <w:color w:val="000000" w:themeColor="text1"/>
                <w:lang w:val="ro-RO"/>
              </w:rPr>
              <w:t xml:space="preserve"> </w:t>
            </w:r>
            <w:r w:rsidRPr="00E0488D">
              <w:rPr>
                <w:rStyle w:val="hps"/>
                <w:color w:val="000000" w:themeColor="text1"/>
                <w:lang w:val="ro-RO"/>
              </w:rPr>
              <w:t>mediului inconjurător</w:t>
            </w:r>
            <w:r w:rsidRPr="00E0488D">
              <w:rPr>
                <w:color w:val="000000" w:themeColor="text1"/>
                <w:lang w:val="ro-RO"/>
              </w:rPr>
              <w:t xml:space="preserve"> </w:t>
            </w:r>
            <w:r w:rsidRPr="00E0488D">
              <w:rPr>
                <w:rStyle w:val="hps"/>
                <w:color w:val="000000" w:themeColor="text1"/>
                <w:lang w:val="ro-RO"/>
              </w:rPr>
              <w:t>ale</w:t>
            </w:r>
            <w:r w:rsidRPr="00E0488D">
              <w:rPr>
                <w:color w:val="000000" w:themeColor="text1"/>
                <w:lang w:val="ro-RO"/>
              </w:rPr>
              <w:t xml:space="preserve"> </w:t>
            </w:r>
            <w:r w:rsidRPr="00E0488D">
              <w:rPr>
                <w:rStyle w:val="hps"/>
                <w:color w:val="000000" w:themeColor="text1"/>
                <w:lang w:val="ro-RO"/>
              </w:rPr>
              <w:t>planurilor de implementare</w:t>
            </w:r>
            <w:r w:rsidRPr="00E0488D">
              <w:rPr>
                <w:lang w:val="ro-RO"/>
              </w:rPr>
              <w:t>.</w:t>
            </w:r>
          </w:p>
        </w:tc>
        <w:tc>
          <w:tcPr>
            <w:tcW w:w="364" w:type="pct"/>
            <w:vAlign w:val="center"/>
          </w:tcPr>
          <w:p w:rsidR="00B4550A" w:rsidRPr="00E0488D" w:rsidRDefault="00B4550A" w:rsidP="003C7FC8">
            <w:pPr>
              <w:tabs>
                <w:tab w:val="left" w:pos="1120"/>
              </w:tabs>
              <w:spacing w:before="61" w:line="239" w:lineRule="auto"/>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rPr>
                <w:rFonts w:cs="Arial"/>
                <w:color w:val="000000" w:themeColor="text1"/>
                <w:sz w:val="20"/>
                <w:szCs w:val="20"/>
                <w:lang w:val="ro-RO"/>
              </w:rPr>
            </w:pPr>
            <w:r w:rsidRPr="00E0488D">
              <w:rPr>
                <w:rStyle w:val="hps"/>
                <w:rFonts w:cs="Arial"/>
                <w:color w:val="000000" w:themeColor="text1"/>
                <w:sz w:val="20"/>
                <w:szCs w:val="20"/>
                <w:lang w:val="ro-RO"/>
              </w:rPr>
              <w:t>Proiectul de plan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 fost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pus la dispoziția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publicului și a autorităților</w:t>
            </w:r>
            <w:r w:rsidRPr="00E0488D">
              <w:rPr>
                <w:rFonts w:cs="Arial"/>
                <w:color w:val="000000" w:themeColor="text1"/>
                <w:sz w:val="20"/>
                <w:szCs w:val="20"/>
                <w:lang w:val="ro-RO"/>
              </w:rPr>
              <w:t xml:space="preserve"> în </w:t>
            </w:r>
            <w:r w:rsidRPr="00E0488D">
              <w:rPr>
                <w:rStyle w:val="hps"/>
                <w:rFonts w:cs="Arial"/>
                <w:color w:val="000000" w:themeColor="text1"/>
                <w:sz w:val="20"/>
                <w:szCs w:val="20"/>
                <w:lang w:val="ro-RO"/>
              </w:rPr>
              <w:t>octombrie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2012 și</w:t>
            </w:r>
            <w:r w:rsidRPr="00E0488D">
              <w:rPr>
                <w:rFonts w:cs="Arial"/>
                <w:color w:val="000000" w:themeColor="text1"/>
                <w:sz w:val="20"/>
                <w:szCs w:val="20"/>
                <w:lang w:val="ro-RO"/>
              </w:rPr>
              <w:t xml:space="preserve"> respectiv </w:t>
            </w:r>
            <w:r w:rsidRPr="00E0488D">
              <w:rPr>
                <w:rStyle w:val="hps"/>
                <w:rFonts w:cs="Arial"/>
                <w:color w:val="000000" w:themeColor="text1"/>
                <w:sz w:val="20"/>
                <w:szCs w:val="20"/>
                <w:lang w:val="ro-RO"/>
              </w:rPr>
              <w:t>octombrie 2013</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Fiecare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capitol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din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Raportul de 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 fost prezentat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cadrul grupului de lucru</w:t>
            </w:r>
            <w:r w:rsidRPr="00E0488D">
              <w:rPr>
                <w:rFonts w:cs="Arial"/>
                <w:color w:val="000000" w:themeColor="text1"/>
                <w:sz w:val="20"/>
                <w:szCs w:val="20"/>
                <w:lang w:val="ro-RO"/>
              </w:rPr>
              <w:t xml:space="preserve">. </w:t>
            </w:r>
          </w:p>
          <w:p w:rsidR="00B4550A" w:rsidRPr="00E0488D" w:rsidRDefault="00B4550A" w:rsidP="003C7FC8">
            <w:pPr>
              <w:rPr>
                <w:rFonts w:cs="Arial"/>
                <w:sz w:val="20"/>
                <w:szCs w:val="20"/>
                <w:lang w:val="ro-RO"/>
              </w:rPr>
            </w:pPr>
            <w:r w:rsidRPr="00E0488D">
              <w:rPr>
                <w:rFonts w:cs="Arial"/>
                <w:color w:val="000000" w:themeColor="text1"/>
                <w:sz w:val="20"/>
                <w:szCs w:val="20"/>
                <w:lang w:val="ro-RO"/>
              </w:rPr>
              <w:t xml:space="preserve">Raportul final </w:t>
            </w:r>
            <w:r w:rsidRPr="00E0488D">
              <w:rPr>
                <w:rStyle w:val="hps"/>
                <w:rFonts w:cs="Arial"/>
                <w:color w:val="000000" w:themeColor="text1"/>
                <w:sz w:val="20"/>
                <w:szCs w:val="20"/>
                <w:lang w:val="ro-RO"/>
              </w:rPr>
              <w:t>de 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va fi pus la dispoziție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după ce evaluarea corespunzătoare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va fi aprobată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către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MMSC</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Raportul final de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trebuie să includă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concluzia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evaluării corespunzătoare</w:t>
            </w:r>
            <w:r w:rsidRPr="00E0488D">
              <w:rPr>
                <w:rFonts w:cs="Arial"/>
                <w:color w:val="222222"/>
                <w:sz w:val="20"/>
                <w:szCs w:val="20"/>
                <w:lang w:val="ro-RO"/>
              </w:rPr>
              <w:t>.</w:t>
            </w: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0" w:line="240" w:lineRule="auto"/>
              <w:contextualSpacing/>
              <w:jc w:val="left"/>
              <w:rPr>
                <w:lang w:val="ro-RO"/>
              </w:rPr>
            </w:pP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cazul unor posibile</w:t>
            </w:r>
            <w:r w:rsidRPr="00E0488D">
              <w:rPr>
                <w:color w:val="000000" w:themeColor="text1"/>
                <w:lang w:val="ro-RO"/>
              </w:rPr>
              <w:t xml:space="preserve"> </w:t>
            </w:r>
            <w:r w:rsidRPr="00E0488D">
              <w:rPr>
                <w:rStyle w:val="hps"/>
                <w:color w:val="000000" w:themeColor="text1"/>
                <w:lang w:val="ro-RO"/>
              </w:rPr>
              <w:t>efecte transfrontaliere</w:t>
            </w:r>
            <w:r w:rsidRPr="00E0488D">
              <w:rPr>
                <w:color w:val="000000" w:themeColor="text1"/>
                <w:lang w:val="ro-RO"/>
              </w:rPr>
              <w:t xml:space="preserve"> </w:t>
            </w:r>
            <w:r w:rsidRPr="00E0488D">
              <w:rPr>
                <w:rStyle w:val="hps"/>
                <w:color w:val="000000" w:themeColor="text1"/>
                <w:lang w:val="ro-RO"/>
              </w:rPr>
              <w:t>semnificative</w:t>
            </w:r>
            <w:r w:rsidRPr="00E0488D">
              <w:rPr>
                <w:color w:val="000000" w:themeColor="text1"/>
                <w:lang w:val="ro-RO"/>
              </w:rPr>
              <w:t xml:space="preserve">, </w:t>
            </w:r>
            <w:r w:rsidRPr="00E0488D">
              <w:rPr>
                <w:rStyle w:val="hps"/>
                <w:color w:val="000000" w:themeColor="text1"/>
                <w:lang w:val="ro-RO"/>
              </w:rPr>
              <w:t>proiectul de plan 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raportul de mediu</w:t>
            </w:r>
            <w:r w:rsidRPr="00E0488D">
              <w:rPr>
                <w:color w:val="000000" w:themeColor="text1"/>
                <w:lang w:val="ro-RO"/>
              </w:rPr>
              <w:t xml:space="preserve"> au fost </w:t>
            </w:r>
            <w:r w:rsidRPr="00E0488D">
              <w:rPr>
                <w:rStyle w:val="hps"/>
                <w:color w:val="000000" w:themeColor="text1"/>
                <w:lang w:val="ro-RO"/>
              </w:rPr>
              <w:t>transmise</w:t>
            </w:r>
            <w:r w:rsidRPr="00E0488D">
              <w:rPr>
                <w:color w:val="000000" w:themeColor="text1"/>
                <w:lang w:val="ro-RO"/>
              </w:rPr>
              <w:t xml:space="preserve"> </w:t>
            </w:r>
            <w:r w:rsidRPr="00E0488D">
              <w:rPr>
                <w:rStyle w:val="hps"/>
                <w:color w:val="000000" w:themeColor="text1"/>
                <w:lang w:val="ro-RO"/>
              </w:rPr>
              <w:t>statelor membre relevante</w:t>
            </w:r>
            <w:r w:rsidRPr="00E0488D">
              <w:rPr>
                <w:color w:val="000000" w:themeColor="text1"/>
                <w:lang w:val="ro-RO"/>
              </w:rPr>
              <w:t xml:space="preserve"> </w:t>
            </w:r>
            <w:r w:rsidRPr="00E0488D">
              <w:rPr>
                <w:rStyle w:val="hps"/>
                <w:color w:val="000000" w:themeColor="text1"/>
                <w:lang w:val="ro-RO"/>
              </w:rPr>
              <w:t>/</w:t>
            </w:r>
            <w:r w:rsidRPr="00E0488D">
              <w:rPr>
                <w:color w:val="000000" w:themeColor="text1"/>
                <w:lang w:val="ro-RO"/>
              </w:rPr>
              <w:t xml:space="preserve"> </w:t>
            </w:r>
            <w:r w:rsidRPr="00E0488D">
              <w:rPr>
                <w:rStyle w:val="hps"/>
                <w:color w:val="000000" w:themeColor="text1"/>
                <w:lang w:val="ro-RO"/>
              </w:rPr>
              <w:t>afectate</w:t>
            </w:r>
            <w:r w:rsidRPr="00E0488D">
              <w:rPr>
                <w:lang w:val="ro-RO"/>
              </w:rPr>
              <w:t>.</w:t>
            </w:r>
          </w:p>
        </w:tc>
        <w:tc>
          <w:tcPr>
            <w:tcW w:w="364" w:type="pct"/>
            <w:vAlign w:val="center"/>
          </w:tcPr>
          <w:p w:rsidR="00B4550A" w:rsidRPr="00E0488D" w:rsidRDefault="00B4550A" w:rsidP="003C7FC8">
            <w:pPr>
              <w:tabs>
                <w:tab w:val="left" w:pos="1120"/>
              </w:tabs>
              <w:spacing w:before="60"/>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rPr>
                <w:rFonts w:cs="Arial"/>
                <w:sz w:val="20"/>
                <w:szCs w:val="20"/>
                <w:lang w:val="ro-RO"/>
              </w:rPr>
            </w:pP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cazul unor posibile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efecte transfrontaliere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semnificative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Raportul final de mediu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Master Planul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vor fi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transmise către statele membre relevante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afectate</w:t>
            </w:r>
            <w:r w:rsidRPr="00E0488D">
              <w:rPr>
                <w:rFonts w:cs="Arial"/>
                <w:color w:val="000000" w:themeColor="text1"/>
                <w:sz w:val="20"/>
                <w:szCs w:val="20"/>
                <w:lang w:val="ro-RO"/>
              </w:rPr>
              <w:t xml:space="preserve">. </w:t>
            </w:r>
            <w:r w:rsidRPr="00E0488D">
              <w:rPr>
                <w:rFonts w:cs="Arial"/>
                <w:color w:val="000000" w:themeColor="text1"/>
                <w:sz w:val="20"/>
                <w:szCs w:val="20"/>
                <w:lang w:val="ro-RO"/>
              </w:rPr>
              <w:br/>
            </w:r>
            <w:r w:rsidRPr="00E0488D">
              <w:rPr>
                <w:rStyle w:val="hps"/>
                <w:rFonts w:cs="Arial"/>
                <w:color w:val="000000" w:themeColor="text1"/>
                <w:sz w:val="20"/>
                <w:szCs w:val="20"/>
                <w:lang w:val="ro-RO"/>
              </w:rPr>
              <w:t>Responsabilitatea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informare a statelor membre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relevante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afectate în cauză revine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autorității publice centrale care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promovează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planul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în </w:t>
            </w:r>
            <w:r w:rsidRPr="00E0488D">
              <w:rPr>
                <w:rStyle w:val="hps"/>
                <w:rFonts w:cs="Arial"/>
                <w:color w:val="000000" w:themeColor="text1"/>
                <w:sz w:val="20"/>
                <w:szCs w:val="20"/>
                <w:lang w:val="ro-RO"/>
              </w:rPr>
              <w:t>acest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caz</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Ministerul Transporturilor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la recomandarea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Ministerului Mediului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Schimbărilor climatice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 recomandă ca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stabilirea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statelor notificate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să fie efectuată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către autoritatea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publică centrală</w:t>
            </w:r>
            <w:r w:rsidRPr="00E0488D">
              <w:rPr>
                <w:rFonts w:cs="Arial"/>
                <w:color w:val="000000" w:themeColor="text1"/>
                <w:sz w:val="20"/>
                <w:szCs w:val="20"/>
                <w:lang w:val="ro-RO"/>
              </w:rPr>
              <w:t xml:space="preserve"> care </w:t>
            </w:r>
            <w:r w:rsidRPr="00E0488D">
              <w:rPr>
                <w:rStyle w:val="hps"/>
                <w:rFonts w:cs="Arial"/>
                <w:color w:val="000000" w:themeColor="text1"/>
                <w:sz w:val="20"/>
                <w:szCs w:val="20"/>
                <w:lang w:val="ro-RO"/>
              </w:rPr>
              <w:t>promovează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planul</w:t>
            </w:r>
            <w:r w:rsidRPr="00E0488D">
              <w:rPr>
                <w:rFonts w:cs="Arial"/>
                <w:color w:val="000000" w:themeColor="text1"/>
                <w:sz w:val="20"/>
                <w:szCs w:val="20"/>
                <w:lang w:val="ro-RO"/>
              </w:rPr>
              <w:t xml:space="preserve"> împreună </w:t>
            </w:r>
            <w:r w:rsidRPr="00E0488D">
              <w:rPr>
                <w:rStyle w:val="hps"/>
                <w:rFonts w:cs="Arial"/>
                <w:color w:val="000000" w:themeColor="text1"/>
                <w:sz w:val="20"/>
                <w:szCs w:val="20"/>
                <w:lang w:val="ro-RO"/>
              </w:rPr>
              <w:t>cu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Ministerul Mediului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Schimbărilor Climatice</w:t>
            </w:r>
            <w:r w:rsidRPr="00E0488D">
              <w:rPr>
                <w:rFonts w:cs="Arial"/>
                <w:sz w:val="20"/>
                <w:szCs w:val="20"/>
                <w:lang w:val="ro-RO"/>
              </w:rPr>
              <w:t>.</w:t>
            </w:r>
          </w:p>
          <w:p w:rsidR="00B4550A" w:rsidRPr="00E0488D" w:rsidRDefault="00B4550A" w:rsidP="003C7FC8">
            <w:pPr>
              <w:rPr>
                <w:rFonts w:cs="Arial"/>
                <w:sz w:val="20"/>
                <w:szCs w:val="20"/>
                <w:lang w:val="ro-RO"/>
              </w:rPr>
            </w:pPr>
            <w:r w:rsidRPr="00E0488D">
              <w:rPr>
                <w:rFonts w:cs="Arial"/>
                <w:sz w:val="20"/>
                <w:szCs w:val="20"/>
                <w:lang w:val="ro-RO"/>
              </w:rPr>
              <w:t>În conformitate cu HG nr. 1076/2004 Art. 22 (2) din HG 1076/2004 care menţionează că</w:t>
            </w:r>
            <w:r w:rsidRPr="00E0488D">
              <w:rPr>
                <w:rFonts w:cs="Arial"/>
                <w:i/>
                <w:iCs/>
                <w:sz w:val="20"/>
                <w:szCs w:val="20"/>
                <w:lang w:val="ro-RO"/>
              </w:rPr>
              <w:t xml:space="preserve"> „În cazul în care implementarea planului sau </w:t>
            </w:r>
            <w:r w:rsidRPr="00E0488D">
              <w:rPr>
                <w:rFonts w:cs="Arial"/>
                <w:i/>
                <w:iCs/>
                <w:sz w:val="20"/>
                <w:szCs w:val="20"/>
                <w:lang w:val="ro-RO"/>
              </w:rPr>
              <w:lastRenderedPageBreak/>
              <w:t>programului poate avea efecte semnificative transfrontiere, titularul, prin intermediul autorităţii publice centrale care promovează planul sau programul, este obligat să transmită proiectul de plan sau de program şi raportul de mediu elaborat pentru acesta, în limba engleză, autorităţilor centrale de mediu din statele posibil afectate, în termen de maximum 20 de zile calendaristice de la finalizarea raportului de mediu, conform art. 21 alin. (3)”.</w:t>
            </w: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60" w:line="240" w:lineRule="auto"/>
              <w:contextualSpacing/>
              <w:rPr>
                <w:lang w:val="ro-RO"/>
              </w:rPr>
            </w:pPr>
            <w:r w:rsidRPr="00E0488D">
              <w:rPr>
                <w:rStyle w:val="hps"/>
                <w:color w:val="000000" w:themeColor="text1"/>
                <w:lang w:val="ro-RO"/>
              </w:rPr>
              <w:lastRenderedPageBreak/>
              <w:t>Raportul de mediu</w:t>
            </w:r>
            <w:r w:rsidRPr="00E0488D">
              <w:rPr>
                <w:color w:val="000000" w:themeColor="text1"/>
                <w:lang w:val="ro-RO"/>
              </w:rPr>
              <w:t xml:space="preserve"> </w:t>
            </w:r>
            <w:r w:rsidRPr="00E0488D">
              <w:rPr>
                <w:rStyle w:val="hps"/>
                <w:color w:val="000000" w:themeColor="text1"/>
                <w:lang w:val="ro-RO"/>
              </w:rPr>
              <w:t>și</w:t>
            </w:r>
            <w:r w:rsidRPr="00E0488D">
              <w:rPr>
                <w:color w:val="000000" w:themeColor="text1"/>
                <w:lang w:val="ro-RO"/>
              </w:rPr>
              <w:t xml:space="preserve"> </w:t>
            </w:r>
            <w:r w:rsidRPr="00E0488D">
              <w:rPr>
                <w:rStyle w:val="hps"/>
                <w:color w:val="000000" w:themeColor="text1"/>
                <w:lang w:val="ro-RO"/>
              </w:rPr>
              <w:t>opiniile exprimate</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cadrul consultărilor</w:t>
            </w:r>
            <w:r w:rsidRPr="00E0488D">
              <w:rPr>
                <w:color w:val="000000" w:themeColor="text1"/>
                <w:lang w:val="ro-RO"/>
              </w:rPr>
              <w:t xml:space="preserve"> </w:t>
            </w:r>
            <w:r w:rsidRPr="00E0488D">
              <w:rPr>
                <w:rStyle w:val="hps"/>
                <w:color w:val="000000" w:themeColor="text1"/>
                <w:lang w:val="ro-RO"/>
              </w:rPr>
              <w:t>relevante (</w:t>
            </w:r>
            <w:r w:rsidRPr="00E0488D">
              <w:rPr>
                <w:color w:val="000000" w:themeColor="text1"/>
                <w:lang w:val="ro-RO"/>
              </w:rPr>
              <w:t xml:space="preserve">inclusiv cele </w:t>
            </w:r>
            <w:r w:rsidRPr="00E0488D">
              <w:rPr>
                <w:rStyle w:val="hps"/>
                <w:color w:val="000000" w:themeColor="text1"/>
                <w:lang w:val="ro-RO"/>
              </w:rPr>
              <w:t>transfrontaliere</w:t>
            </w:r>
            <w:r w:rsidRPr="00E0488D">
              <w:rPr>
                <w:color w:val="000000" w:themeColor="text1"/>
                <w:lang w:val="ro-RO"/>
              </w:rPr>
              <w:t xml:space="preserve">, după caz) </w:t>
            </w:r>
            <w:r w:rsidRPr="00E0488D">
              <w:rPr>
                <w:rStyle w:val="hps"/>
                <w:color w:val="000000" w:themeColor="text1"/>
                <w:lang w:val="ro-RO"/>
              </w:rPr>
              <w:t>au fost luate în</w:t>
            </w:r>
            <w:r w:rsidRPr="00E0488D">
              <w:rPr>
                <w:color w:val="000000" w:themeColor="text1"/>
                <w:lang w:val="ro-RO"/>
              </w:rPr>
              <w:t xml:space="preserve"> </w:t>
            </w:r>
            <w:r w:rsidRPr="00E0488D">
              <w:rPr>
                <w:rStyle w:val="hps"/>
                <w:color w:val="000000" w:themeColor="text1"/>
                <w:lang w:val="ro-RO"/>
              </w:rPr>
              <w:t>considerare</w:t>
            </w:r>
            <w:r w:rsidRPr="00E0488D">
              <w:rPr>
                <w:color w:val="000000" w:themeColor="text1"/>
                <w:lang w:val="ro-RO"/>
              </w:rPr>
              <w:t xml:space="preserve"> </w:t>
            </w:r>
            <w:r w:rsidRPr="00E0488D">
              <w:rPr>
                <w:rStyle w:val="hps"/>
                <w:color w:val="000000" w:themeColor="text1"/>
                <w:lang w:val="ro-RO"/>
              </w:rPr>
              <w:t>în mod corespunzător pe parcursul elaborării</w:t>
            </w:r>
            <w:r w:rsidRPr="00E0488D">
              <w:rPr>
                <w:color w:val="000000" w:themeColor="text1"/>
                <w:lang w:val="ro-RO"/>
              </w:rPr>
              <w:t xml:space="preserve"> </w:t>
            </w:r>
            <w:r w:rsidRPr="00E0488D">
              <w:rPr>
                <w:rStyle w:val="hps"/>
                <w:color w:val="000000" w:themeColor="text1"/>
                <w:lang w:val="ro-RO"/>
              </w:rPr>
              <w:t>planului</w:t>
            </w:r>
            <w:r w:rsidRPr="00E0488D">
              <w:rPr>
                <w:color w:val="000000" w:themeColor="text1"/>
                <w:lang w:val="ro-RO"/>
              </w:rPr>
              <w:t xml:space="preserve"> global </w:t>
            </w:r>
            <w:r w:rsidRPr="00E0488D">
              <w:rPr>
                <w:rStyle w:val="hps"/>
                <w:color w:val="000000" w:themeColor="text1"/>
                <w:lang w:val="ro-RO"/>
              </w:rPr>
              <w:t>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w:t>
            </w:r>
            <w:r w:rsidRPr="00E0488D">
              <w:rPr>
                <w:lang w:val="ro-RO"/>
              </w:rPr>
              <w:t>.</w:t>
            </w:r>
          </w:p>
        </w:tc>
        <w:tc>
          <w:tcPr>
            <w:tcW w:w="364" w:type="pct"/>
            <w:vAlign w:val="center"/>
          </w:tcPr>
          <w:p w:rsidR="00B4550A" w:rsidRPr="00E0488D" w:rsidRDefault="00B4550A" w:rsidP="003C7FC8">
            <w:pPr>
              <w:tabs>
                <w:tab w:val="left" w:pos="1120"/>
              </w:tabs>
              <w:spacing w:before="61" w:line="239" w:lineRule="auto"/>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spacing w:before="100" w:beforeAutospacing="1"/>
              <w:rPr>
                <w:rFonts w:eastAsia="Wingdings" w:cs="Arial"/>
                <w:sz w:val="20"/>
                <w:szCs w:val="20"/>
                <w:lang w:val="ro-RO"/>
              </w:rPr>
            </w:pPr>
            <w:r w:rsidRPr="00E0488D">
              <w:rPr>
                <w:rFonts w:eastAsia="Wingdings" w:cs="Arial"/>
                <w:sz w:val="20"/>
                <w:szCs w:val="20"/>
                <w:lang w:val="ro-RO"/>
              </w:rPr>
              <w:t>A se vedea mai sus.</w:t>
            </w:r>
          </w:p>
        </w:tc>
      </w:tr>
      <w:tr w:rsidR="00B4550A" w:rsidRPr="00E0488D" w:rsidTr="003C7FC8">
        <w:tc>
          <w:tcPr>
            <w:tcW w:w="3048" w:type="pct"/>
            <w:vAlign w:val="center"/>
          </w:tcPr>
          <w:p w:rsidR="00B4550A" w:rsidRPr="00E0488D" w:rsidRDefault="00B4550A" w:rsidP="00687448">
            <w:pPr>
              <w:pStyle w:val="ListParagraph"/>
              <w:widowControl w:val="0"/>
              <w:numPr>
                <w:ilvl w:val="0"/>
                <w:numId w:val="60"/>
              </w:numPr>
              <w:tabs>
                <w:tab w:val="left" w:pos="1120"/>
              </w:tabs>
              <w:spacing w:before="57" w:line="240" w:lineRule="auto"/>
              <w:contextualSpacing/>
              <w:jc w:val="left"/>
              <w:rPr>
                <w:lang w:val="ro-RO"/>
              </w:rPr>
            </w:pPr>
            <w:r w:rsidRPr="00E0488D">
              <w:rPr>
                <w:rStyle w:val="hps"/>
                <w:color w:val="000000" w:themeColor="text1"/>
                <w:lang w:val="ro-RO"/>
              </w:rPr>
              <w:t>În momentul adoptării</w:t>
            </w:r>
            <w:r w:rsidRPr="00E0488D">
              <w:rPr>
                <w:color w:val="000000" w:themeColor="text1"/>
                <w:lang w:val="ro-RO"/>
              </w:rPr>
              <w:t xml:space="preserve"> </w:t>
            </w:r>
            <w:r w:rsidRPr="00E0488D">
              <w:rPr>
                <w:rStyle w:val="hps"/>
                <w:color w:val="000000" w:themeColor="text1"/>
                <w:lang w:val="ro-RO"/>
              </w:rPr>
              <w:t>planului</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w:t>
            </w:r>
            <w:r w:rsidRPr="00E0488D">
              <w:rPr>
                <w:color w:val="000000" w:themeColor="text1"/>
                <w:lang w:val="ro-RO"/>
              </w:rPr>
              <w:t xml:space="preserve"> </w:t>
            </w:r>
            <w:r w:rsidRPr="00E0488D">
              <w:rPr>
                <w:rStyle w:val="hps"/>
                <w:color w:val="000000" w:themeColor="text1"/>
                <w:lang w:val="ro-RO"/>
              </w:rPr>
              <w:t>autoritățile cu responsabilități de</w:t>
            </w:r>
            <w:r w:rsidRPr="00E0488D">
              <w:rPr>
                <w:color w:val="000000" w:themeColor="text1"/>
                <w:lang w:val="ro-RO"/>
              </w:rPr>
              <w:t xml:space="preserve"> </w:t>
            </w:r>
            <w:r w:rsidRPr="00E0488D">
              <w:rPr>
                <w:rStyle w:val="hps"/>
                <w:color w:val="000000" w:themeColor="text1"/>
                <w:lang w:val="ro-RO"/>
              </w:rPr>
              <w:t>mediu</w:t>
            </w:r>
            <w:r w:rsidRPr="00E0488D">
              <w:rPr>
                <w:color w:val="000000" w:themeColor="text1"/>
                <w:lang w:val="ro-RO"/>
              </w:rPr>
              <w:t xml:space="preserve">, publice sau </w:t>
            </w:r>
            <w:r w:rsidRPr="00E0488D">
              <w:rPr>
                <w:rStyle w:val="hps"/>
                <w:color w:val="000000" w:themeColor="text1"/>
                <w:lang w:val="ro-RO"/>
              </w:rPr>
              <w:t>oricare stat membru</w:t>
            </w:r>
            <w:r w:rsidRPr="00E0488D">
              <w:rPr>
                <w:color w:val="000000" w:themeColor="text1"/>
                <w:lang w:val="ro-RO"/>
              </w:rPr>
              <w:t xml:space="preserve"> </w:t>
            </w:r>
            <w:r w:rsidRPr="00E0488D">
              <w:rPr>
                <w:rStyle w:val="hps"/>
                <w:color w:val="000000" w:themeColor="text1"/>
                <w:lang w:val="ro-RO"/>
              </w:rPr>
              <w:t>consultat</w:t>
            </w:r>
            <w:r w:rsidRPr="00E0488D">
              <w:rPr>
                <w:color w:val="000000" w:themeColor="text1"/>
                <w:lang w:val="ro-RO"/>
              </w:rPr>
              <w:t xml:space="preserve">, </w:t>
            </w:r>
            <w:r w:rsidRPr="00E0488D">
              <w:rPr>
                <w:rStyle w:val="hps"/>
                <w:color w:val="000000" w:themeColor="text1"/>
                <w:lang w:val="ro-RO"/>
              </w:rPr>
              <w:t>sunt informați</w:t>
            </w:r>
            <w:r w:rsidRPr="00E0488D">
              <w:rPr>
                <w:color w:val="000000" w:themeColor="text1"/>
                <w:lang w:val="ro-RO"/>
              </w:rPr>
              <w:t xml:space="preserve"> </w:t>
            </w:r>
            <w:r w:rsidRPr="00E0488D">
              <w:rPr>
                <w:rStyle w:val="hps"/>
                <w:color w:val="000000" w:themeColor="text1"/>
                <w:lang w:val="ro-RO"/>
              </w:rPr>
              <w:t>iar</w:t>
            </w:r>
            <w:r w:rsidRPr="00E0488D">
              <w:rPr>
                <w:color w:val="000000" w:themeColor="text1"/>
                <w:lang w:val="ro-RO"/>
              </w:rPr>
              <w:t xml:space="preserve"> </w:t>
            </w:r>
            <w:r w:rsidRPr="00E0488D">
              <w:rPr>
                <w:rStyle w:val="hps"/>
                <w:color w:val="000000" w:themeColor="text1"/>
                <w:lang w:val="ro-RO"/>
              </w:rPr>
              <w:t>următoarele elemente</w:t>
            </w:r>
            <w:r w:rsidRPr="00E0488D">
              <w:rPr>
                <w:color w:val="000000" w:themeColor="text1"/>
                <w:lang w:val="ro-RO"/>
              </w:rPr>
              <w:t xml:space="preserve"> </w:t>
            </w:r>
            <w:r w:rsidRPr="00E0488D">
              <w:rPr>
                <w:rStyle w:val="hps"/>
                <w:color w:val="000000" w:themeColor="text1"/>
                <w:lang w:val="ro-RO"/>
              </w:rPr>
              <w:t>au fost</w:t>
            </w:r>
            <w:r w:rsidRPr="00E0488D">
              <w:rPr>
                <w:color w:val="000000" w:themeColor="text1"/>
                <w:lang w:val="ro-RO"/>
              </w:rPr>
              <w:t xml:space="preserve"> </w:t>
            </w:r>
            <w:r w:rsidRPr="00E0488D">
              <w:rPr>
                <w:rStyle w:val="hps"/>
                <w:color w:val="000000" w:themeColor="text1"/>
                <w:lang w:val="ro-RO"/>
              </w:rPr>
              <w:t>puse la dispoziția</w:t>
            </w:r>
            <w:r w:rsidRPr="00E0488D">
              <w:rPr>
                <w:color w:val="000000" w:themeColor="text1"/>
                <w:lang w:val="ro-RO"/>
              </w:rPr>
              <w:t xml:space="preserve"> </w:t>
            </w:r>
            <w:r w:rsidRPr="00E0488D">
              <w:rPr>
                <w:rStyle w:val="hps"/>
                <w:color w:val="000000" w:themeColor="text1"/>
                <w:lang w:val="ro-RO"/>
              </w:rPr>
              <w:t>lor</w:t>
            </w:r>
            <w:r w:rsidRPr="00E0488D">
              <w:rPr>
                <w:color w:val="000000" w:themeColor="text1"/>
                <w:lang w:val="ro-RO"/>
              </w:rPr>
              <w:t xml:space="preserve">: </w:t>
            </w:r>
            <w:r w:rsidRPr="00E0488D">
              <w:rPr>
                <w:rStyle w:val="hps"/>
                <w:color w:val="000000" w:themeColor="text1"/>
                <w:lang w:val="ro-RO"/>
              </w:rPr>
              <w:t>planul</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adoptat</w:t>
            </w:r>
            <w:r w:rsidRPr="00E0488D">
              <w:rPr>
                <w:color w:val="000000" w:themeColor="text1"/>
                <w:lang w:val="ro-RO"/>
              </w:rPr>
              <w:t xml:space="preserve">, </w:t>
            </w:r>
            <w:r w:rsidRPr="00E0488D">
              <w:rPr>
                <w:rStyle w:val="hps"/>
                <w:color w:val="000000" w:themeColor="text1"/>
                <w:lang w:val="ro-RO"/>
              </w:rPr>
              <w:t>declarația</w:t>
            </w:r>
            <w:r w:rsidRPr="00E0488D">
              <w:rPr>
                <w:color w:val="000000" w:themeColor="text1"/>
                <w:lang w:val="ro-RO"/>
              </w:rPr>
              <w:t xml:space="preserve"> </w:t>
            </w:r>
            <w:r w:rsidRPr="00E0488D">
              <w:rPr>
                <w:rStyle w:val="hps"/>
                <w:color w:val="000000" w:themeColor="text1"/>
                <w:lang w:val="ro-RO"/>
              </w:rPr>
              <w:t>menționată la articolul</w:t>
            </w:r>
            <w:r w:rsidRPr="00E0488D">
              <w:rPr>
                <w:color w:val="000000" w:themeColor="text1"/>
                <w:lang w:val="ro-RO"/>
              </w:rPr>
              <w:t xml:space="preserve"> </w:t>
            </w:r>
            <w:r w:rsidRPr="00E0488D">
              <w:rPr>
                <w:rStyle w:val="hps"/>
                <w:color w:val="000000" w:themeColor="text1"/>
                <w:lang w:val="ro-RO"/>
              </w:rPr>
              <w:t>9</w:t>
            </w:r>
            <w:r w:rsidRPr="00E0488D">
              <w:rPr>
                <w:color w:val="000000" w:themeColor="text1"/>
                <w:lang w:val="ro-RO"/>
              </w:rPr>
              <w:t xml:space="preserve"> </w:t>
            </w:r>
            <w:r w:rsidRPr="00E0488D">
              <w:rPr>
                <w:rStyle w:val="hps"/>
                <w:color w:val="000000" w:themeColor="text1"/>
                <w:lang w:val="ro-RO"/>
              </w:rPr>
              <w:t>(</w:t>
            </w:r>
            <w:r w:rsidRPr="00E0488D">
              <w:rPr>
                <w:color w:val="000000" w:themeColor="text1"/>
                <w:lang w:val="ro-RO"/>
              </w:rPr>
              <w:t xml:space="preserve">1) </w:t>
            </w:r>
            <w:r w:rsidRPr="00E0488D">
              <w:rPr>
                <w:rStyle w:val="hps"/>
                <w:color w:val="000000" w:themeColor="text1"/>
                <w:lang w:val="ro-RO"/>
              </w:rPr>
              <w:t>din</w:t>
            </w:r>
            <w:r w:rsidRPr="00E0488D">
              <w:rPr>
                <w:color w:val="000000" w:themeColor="text1"/>
                <w:lang w:val="ro-RO"/>
              </w:rPr>
              <w:t xml:space="preserve"> </w:t>
            </w:r>
            <w:r w:rsidRPr="00E0488D">
              <w:rPr>
                <w:rStyle w:val="hps"/>
                <w:color w:val="000000" w:themeColor="text1"/>
                <w:lang w:val="ro-RO"/>
              </w:rPr>
              <w:t>Directiva ESM (SEA)</w:t>
            </w:r>
            <w:r w:rsidRPr="00E0488D">
              <w:rPr>
                <w:color w:val="000000" w:themeColor="text1"/>
                <w:lang w:val="ro-RO"/>
              </w:rPr>
              <w:t xml:space="preserve">, precum și măsurile </w:t>
            </w:r>
            <w:r w:rsidRPr="00E0488D">
              <w:rPr>
                <w:rStyle w:val="hps"/>
                <w:color w:val="000000" w:themeColor="text1"/>
                <w:lang w:val="ro-RO"/>
              </w:rPr>
              <w:t>privind monitorizarea</w:t>
            </w:r>
            <w:r w:rsidRPr="00E0488D">
              <w:rPr>
                <w:color w:val="000000" w:themeColor="text1"/>
                <w:lang w:val="ro-RO"/>
              </w:rPr>
              <w:t xml:space="preserve"> </w:t>
            </w:r>
            <w:r w:rsidRPr="00E0488D">
              <w:rPr>
                <w:rStyle w:val="hps"/>
                <w:color w:val="000000" w:themeColor="text1"/>
                <w:lang w:val="ro-RO"/>
              </w:rPr>
              <w:t>menționată la articolul</w:t>
            </w:r>
            <w:r w:rsidRPr="00E0488D">
              <w:rPr>
                <w:color w:val="000000" w:themeColor="text1"/>
                <w:lang w:val="ro-RO"/>
              </w:rPr>
              <w:t xml:space="preserve"> </w:t>
            </w:r>
            <w:r w:rsidRPr="00E0488D">
              <w:rPr>
                <w:rStyle w:val="hps"/>
                <w:color w:val="000000" w:themeColor="text1"/>
                <w:lang w:val="ro-RO"/>
              </w:rPr>
              <w:t>10</w:t>
            </w:r>
            <w:r w:rsidRPr="00E0488D">
              <w:rPr>
                <w:color w:val="000000" w:themeColor="text1"/>
                <w:lang w:val="ro-RO"/>
              </w:rPr>
              <w:t xml:space="preserve"> </w:t>
            </w:r>
            <w:r w:rsidRPr="00E0488D">
              <w:rPr>
                <w:rStyle w:val="hps"/>
                <w:color w:val="000000" w:themeColor="text1"/>
                <w:lang w:val="ro-RO"/>
              </w:rPr>
              <w:t>din</w:t>
            </w:r>
            <w:r w:rsidRPr="00E0488D">
              <w:rPr>
                <w:color w:val="000000" w:themeColor="text1"/>
                <w:lang w:val="ro-RO"/>
              </w:rPr>
              <w:t xml:space="preserve"> </w:t>
            </w:r>
            <w:r w:rsidRPr="00E0488D">
              <w:rPr>
                <w:rStyle w:val="hps"/>
                <w:color w:val="000000" w:themeColor="text1"/>
                <w:lang w:val="ro-RO"/>
              </w:rPr>
              <w:t>Directiva ESM (SEA)</w:t>
            </w:r>
            <w:r w:rsidRPr="00E0488D">
              <w:rPr>
                <w:lang w:val="ro-RO"/>
              </w:rPr>
              <w:t>.</w:t>
            </w:r>
          </w:p>
        </w:tc>
        <w:tc>
          <w:tcPr>
            <w:tcW w:w="364" w:type="pct"/>
            <w:vAlign w:val="center"/>
          </w:tcPr>
          <w:p w:rsidR="00B4550A" w:rsidRPr="00E0488D" w:rsidRDefault="00B4550A" w:rsidP="003C7FC8">
            <w:pPr>
              <w:tabs>
                <w:tab w:val="left" w:pos="1120"/>
              </w:tabs>
              <w:spacing w:before="57"/>
              <w:jc w:val="center"/>
              <w:rPr>
                <w:rFonts w:eastAsia="Wingdings" w:cs="Arial"/>
                <w:sz w:val="20"/>
                <w:szCs w:val="20"/>
                <w:lang w:val="ro-RO"/>
              </w:rPr>
            </w:pPr>
            <w:r w:rsidRPr="00E0488D">
              <w:rPr>
                <w:rFonts w:eastAsia="Wingdings" w:cs="Arial"/>
                <w:sz w:val="20"/>
                <w:szCs w:val="20"/>
                <w:lang w:val="ro-RO"/>
              </w:rPr>
              <w:t>NU</w:t>
            </w:r>
          </w:p>
        </w:tc>
        <w:tc>
          <w:tcPr>
            <w:tcW w:w="1588" w:type="pct"/>
            <w:vAlign w:val="center"/>
          </w:tcPr>
          <w:p w:rsidR="00B4550A" w:rsidRPr="00E0488D" w:rsidRDefault="00B4550A" w:rsidP="003C7FC8">
            <w:pPr>
              <w:tabs>
                <w:tab w:val="left" w:pos="1120"/>
              </w:tabs>
              <w:spacing w:before="57"/>
              <w:rPr>
                <w:rFonts w:eastAsia="Wingdings" w:cs="Arial"/>
                <w:sz w:val="20"/>
                <w:szCs w:val="20"/>
                <w:lang w:val="ro-RO"/>
              </w:rPr>
            </w:pPr>
            <w:r w:rsidRPr="00E0488D">
              <w:rPr>
                <w:rFonts w:eastAsia="Wingdings" w:cs="Arial"/>
                <w:sz w:val="20"/>
                <w:szCs w:val="20"/>
                <w:lang w:val="ro-RO"/>
              </w:rPr>
              <w:t>A se vedea mai sus.</w:t>
            </w:r>
          </w:p>
        </w:tc>
      </w:tr>
      <w:tr w:rsidR="00B4550A" w:rsidRPr="00E0488D" w:rsidTr="003C7FC8">
        <w:tc>
          <w:tcPr>
            <w:tcW w:w="3048" w:type="pct"/>
            <w:vAlign w:val="center"/>
          </w:tcPr>
          <w:p w:rsidR="00B4550A" w:rsidRPr="00E0488D" w:rsidRDefault="00B4550A" w:rsidP="003C7FC8">
            <w:pPr>
              <w:tabs>
                <w:tab w:val="left" w:pos="460"/>
              </w:tabs>
              <w:spacing w:line="225" w:lineRule="exact"/>
              <w:rPr>
                <w:rFonts w:cs="Arial"/>
                <w:b/>
                <w:sz w:val="20"/>
                <w:szCs w:val="20"/>
                <w:lang w:val="ro-RO"/>
              </w:rPr>
            </w:pPr>
            <w:r w:rsidRPr="00E0488D">
              <w:rPr>
                <w:rFonts w:cs="Arial"/>
                <w:b/>
                <w:sz w:val="20"/>
                <w:szCs w:val="20"/>
                <w:lang w:val="ro-RO"/>
              </w:rPr>
              <w:t>‒</w:t>
            </w:r>
            <w:r w:rsidRPr="00E0488D">
              <w:rPr>
                <w:rFonts w:cs="Arial"/>
                <w:b/>
                <w:sz w:val="20"/>
                <w:szCs w:val="20"/>
                <w:lang w:val="ro-RO"/>
              </w:rPr>
              <w:tab/>
            </w:r>
            <w:r w:rsidRPr="00E0488D">
              <w:rPr>
                <w:rStyle w:val="hps"/>
                <w:rFonts w:cs="Arial"/>
                <w:b/>
                <w:i/>
                <w:color w:val="000000" w:themeColor="text1"/>
                <w:sz w:val="20"/>
                <w:szCs w:val="20"/>
                <w:lang w:val="ro-RO"/>
              </w:rPr>
              <w:t>stabilește contribuția</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la</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Spațiu Unic</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European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de Transport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în conformitate cu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articolul</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10</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din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Regulamentul</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w:t>
            </w:r>
            <w:r w:rsidRPr="00E0488D">
              <w:rPr>
                <w:rFonts w:cs="Arial"/>
                <w:b/>
                <w:i/>
                <w:color w:val="000000" w:themeColor="text1"/>
                <w:sz w:val="20"/>
                <w:szCs w:val="20"/>
                <w:lang w:val="ro-RO"/>
              </w:rPr>
              <w:t xml:space="preserve">UE) </w:t>
            </w:r>
            <w:r w:rsidRPr="00E0488D">
              <w:rPr>
                <w:rStyle w:val="hps"/>
                <w:rFonts w:cs="Arial"/>
                <w:b/>
                <w:i/>
                <w:color w:val="000000" w:themeColor="text1"/>
                <w:sz w:val="20"/>
                <w:szCs w:val="20"/>
                <w:lang w:val="ro-RO"/>
              </w:rPr>
              <w:t>Nr.1315</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2013</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al Parlamentului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European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și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al Consiliului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inclusiv prioritățile pentru</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investiții în</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rețeaua TEN</w:t>
            </w:r>
            <w:r w:rsidRPr="00E0488D">
              <w:rPr>
                <w:rFonts w:cs="Arial"/>
                <w:b/>
                <w:i/>
                <w:color w:val="000000" w:themeColor="text1"/>
                <w:sz w:val="20"/>
                <w:szCs w:val="20"/>
                <w:lang w:val="ro-RO"/>
              </w:rPr>
              <w:t xml:space="preserve">-T centrală </w:t>
            </w:r>
            <w:r w:rsidRPr="00E0488D">
              <w:rPr>
                <w:rStyle w:val="hps"/>
                <w:rFonts w:cs="Arial"/>
                <w:b/>
                <w:i/>
                <w:color w:val="000000" w:themeColor="text1"/>
                <w:sz w:val="20"/>
                <w:szCs w:val="20"/>
                <w:lang w:val="ro-RO"/>
              </w:rPr>
              <w:t>și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rețeaua globală</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unde</w:t>
            </w:r>
            <w:r w:rsidRPr="00E0488D">
              <w:rPr>
                <w:rFonts w:cs="Arial"/>
                <w:b/>
                <w:i/>
                <w:color w:val="000000" w:themeColor="text1"/>
                <w:sz w:val="20"/>
                <w:szCs w:val="20"/>
                <w:lang w:val="ro-RO"/>
              </w:rPr>
              <w:t xml:space="preserve"> sunt preconizate </w:t>
            </w:r>
            <w:r w:rsidRPr="00E0488D">
              <w:rPr>
                <w:rStyle w:val="hps"/>
                <w:rFonts w:cs="Arial"/>
                <w:b/>
                <w:i/>
                <w:color w:val="000000" w:themeColor="text1"/>
                <w:sz w:val="20"/>
                <w:szCs w:val="20"/>
                <w:lang w:val="ro-RO"/>
              </w:rPr>
              <w:t>investiții de la</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FEDR și FC</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și</w:t>
            </w:r>
            <w:r w:rsidRPr="00E0488D">
              <w:rPr>
                <w:rFonts w:cs="Arial"/>
                <w:b/>
                <w:i/>
                <w:color w:val="000000" w:themeColor="text1"/>
                <w:sz w:val="20"/>
                <w:szCs w:val="20"/>
                <w:lang w:val="ro-RO"/>
              </w:rPr>
              <w:t xml:space="preserve"> </w:t>
            </w:r>
            <w:r w:rsidRPr="00E0488D">
              <w:rPr>
                <w:rStyle w:val="hps"/>
                <w:rFonts w:cs="Arial"/>
                <w:b/>
                <w:i/>
                <w:color w:val="000000" w:themeColor="text1"/>
                <w:sz w:val="20"/>
                <w:szCs w:val="20"/>
                <w:lang w:val="ro-RO"/>
              </w:rPr>
              <w:t>conectivitatea secundară</w:t>
            </w:r>
            <w:r w:rsidRPr="00E0488D">
              <w:rPr>
                <w:rFonts w:cs="Arial"/>
                <w:b/>
                <w:i/>
                <w:sz w:val="20"/>
                <w:szCs w:val="20"/>
                <w:lang w:val="ro-RO"/>
              </w:rPr>
              <w:t>.</w:t>
            </w:r>
          </w:p>
        </w:tc>
        <w:tc>
          <w:tcPr>
            <w:tcW w:w="364" w:type="pct"/>
            <w:vAlign w:val="center"/>
          </w:tcPr>
          <w:p w:rsidR="00B4550A" w:rsidRPr="00E0488D" w:rsidRDefault="00B4550A" w:rsidP="003C7FC8">
            <w:pPr>
              <w:tabs>
                <w:tab w:val="left" w:pos="460"/>
              </w:tabs>
              <w:spacing w:line="225" w:lineRule="exact"/>
              <w:jc w:val="center"/>
              <w:rPr>
                <w:rFonts w:cs="Arial"/>
                <w:b/>
                <w:sz w:val="20"/>
                <w:szCs w:val="20"/>
                <w:lang w:val="ro-RO"/>
              </w:rPr>
            </w:pPr>
            <w:r w:rsidRPr="00E0488D">
              <w:rPr>
                <w:rFonts w:cs="Arial"/>
                <w:b/>
                <w:sz w:val="20"/>
                <w:szCs w:val="20"/>
                <w:lang w:val="ro-RO"/>
              </w:rPr>
              <w:t>DA</w:t>
            </w:r>
          </w:p>
        </w:tc>
        <w:tc>
          <w:tcPr>
            <w:tcW w:w="1588" w:type="pct"/>
            <w:vAlign w:val="center"/>
          </w:tcPr>
          <w:p w:rsidR="00B4550A" w:rsidRPr="00E0488D" w:rsidRDefault="00B4550A" w:rsidP="003C7FC8">
            <w:pPr>
              <w:tabs>
                <w:tab w:val="left" w:pos="460"/>
              </w:tabs>
              <w:spacing w:line="225" w:lineRule="exact"/>
              <w:rPr>
                <w:rFonts w:cs="Arial"/>
                <w:b/>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1"/>
              </w:numPr>
              <w:tabs>
                <w:tab w:val="left" w:pos="800"/>
              </w:tabs>
              <w:spacing w:before="60" w:line="240" w:lineRule="auto"/>
              <w:contextualSpacing/>
              <w:jc w:val="left"/>
              <w:rPr>
                <w:lang w:val="ro-RO"/>
              </w:rPr>
            </w:pPr>
            <w:r w:rsidRPr="00E0488D">
              <w:rPr>
                <w:rStyle w:val="hps"/>
                <w:color w:val="000000" w:themeColor="text1"/>
                <w:lang w:val="ro-RO"/>
              </w:rPr>
              <w:t>Prioritățile</w:t>
            </w:r>
            <w:r w:rsidRPr="00E0488D">
              <w:rPr>
                <w:color w:val="000000" w:themeColor="text1"/>
                <w:lang w:val="ro-RO"/>
              </w:rPr>
              <w:t xml:space="preserve"> </w:t>
            </w:r>
            <w:r w:rsidRPr="00E0488D">
              <w:rPr>
                <w:rStyle w:val="hps"/>
                <w:color w:val="000000" w:themeColor="text1"/>
                <w:lang w:val="ro-RO"/>
              </w:rPr>
              <w:t>de investiții cuprinse</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planul global 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conectează</w:t>
            </w:r>
            <w:r w:rsidRPr="00E0488D">
              <w:rPr>
                <w:color w:val="000000" w:themeColor="text1"/>
                <w:lang w:val="ro-RO"/>
              </w:rPr>
              <w:t xml:space="preserve"> </w:t>
            </w:r>
            <w:r w:rsidRPr="00E0488D">
              <w:rPr>
                <w:rStyle w:val="hps"/>
                <w:color w:val="000000" w:themeColor="text1"/>
                <w:lang w:val="ro-RO"/>
              </w:rPr>
              <w:t>nodurile</w:t>
            </w:r>
            <w:r w:rsidRPr="00E0488D">
              <w:rPr>
                <w:color w:val="000000" w:themeColor="text1"/>
                <w:lang w:val="ro-RO"/>
              </w:rPr>
              <w:t xml:space="preserve"> </w:t>
            </w:r>
            <w:r w:rsidRPr="00E0488D">
              <w:rPr>
                <w:rStyle w:val="hps"/>
                <w:color w:val="000000" w:themeColor="text1"/>
                <w:lang w:val="ro-RO"/>
              </w:rPr>
              <w:t>principale identificate</w:t>
            </w:r>
            <w:r w:rsidRPr="00E0488D">
              <w:rPr>
                <w:color w:val="000000" w:themeColor="text1"/>
                <w:lang w:val="ro-RO"/>
              </w:rPr>
              <w:t xml:space="preserve"> </w:t>
            </w:r>
            <w:r w:rsidRPr="00E0488D">
              <w:rPr>
                <w:rStyle w:val="hps"/>
                <w:color w:val="000000" w:themeColor="text1"/>
                <w:lang w:val="ro-RO"/>
              </w:rPr>
              <w:t>(a se vedea</w:t>
            </w:r>
            <w:r w:rsidRPr="00E0488D">
              <w:rPr>
                <w:color w:val="000000" w:themeColor="text1"/>
                <w:lang w:val="ro-RO"/>
              </w:rPr>
              <w:t xml:space="preserve"> </w:t>
            </w:r>
            <w:r w:rsidRPr="00E0488D">
              <w:rPr>
                <w:rStyle w:val="hps"/>
                <w:color w:val="000000" w:themeColor="text1"/>
                <w:lang w:val="ro-RO"/>
              </w:rPr>
              <w:t>lista</w:t>
            </w:r>
            <w:r w:rsidRPr="00E0488D">
              <w:rPr>
                <w:color w:val="000000" w:themeColor="text1"/>
                <w:lang w:val="ro-RO"/>
              </w:rPr>
              <w:t xml:space="preserve"> </w:t>
            </w:r>
            <w:r w:rsidRPr="00E0488D">
              <w:rPr>
                <w:rStyle w:val="hps"/>
                <w:color w:val="000000" w:themeColor="text1"/>
                <w:lang w:val="ro-RO"/>
              </w:rPr>
              <w:t>din</w:t>
            </w:r>
            <w:r w:rsidRPr="00E0488D">
              <w:rPr>
                <w:color w:val="000000" w:themeColor="text1"/>
                <w:lang w:val="ro-RO"/>
              </w:rPr>
              <w:t xml:space="preserve"> </w:t>
            </w:r>
            <w:r w:rsidRPr="00E0488D">
              <w:rPr>
                <w:rStyle w:val="hps"/>
                <w:color w:val="000000" w:themeColor="text1"/>
                <w:lang w:val="ro-RO"/>
              </w:rPr>
              <w:t>anexă)</w:t>
            </w:r>
            <w:r w:rsidRPr="00E0488D">
              <w:rPr>
                <w:color w:val="000000" w:themeColor="text1"/>
                <w:lang w:val="ro-RO"/>
              </w:rPr>
              <w:t xml:space="preserve"> </w:t>
            </w:r>
            <w:r w:rsidRPr="00E0488D">
              <w:rPr>
                <w:rStyle w:val="hps"/>
                <w:color w:val="000000" w:themeColor="text1"/>
                <w:lang w:val="ro-RO"/>
              </w:rPr>
              <w:t>și asigură</w:t>
            </w:r>
            <w:r w:rsidRPr="00E0488D">
              <w:rPr>
                <w:color w:val="000000" w:themeColor="text1"/>
                <w:lang w:val="ro-RO"/>
              </w:rPr>
              <w:t xml:space="preserve"> </w:t>
            </w:r>
            <w:r w:rsidRPr="00E0488D">
              <w:rPr>
                <w:rStyle w:val="hps"/>
                <w:color w:val="000000" w:themeColor="text1"/>
                <w:lang w:val="ro-RO"/>
              </w:rPr>
              <w:t>legături</w:t>
            </w:r>
            <w:r w:rsidRPr="00E0488D">
              <w:rPr>
                <w:color w:val="000000" w:themeColor="text1"/>
                <w:lang w:val="ro-RO"/>
              </w:rPr>
              <w:t xml:space="preserve"> </w:t>
            </w:r>
            <w:r w:rsidRPr="00E0488D">
              <w:rPr>
                <w:rStyle w:val="hps"/>
                <w:color w:val="000000" w:themeColor="text1"/>
                <w:lang w:val="ro-RO"/>
              </w:rPr>
              <w:t>cu rețelele</w:t>
            </w:r>
            <w:r w:rsidRPr="00E0488D">
              <w:rPr>
                <w:color w:val="000000" w:themeColor="text1"/>
                <w:lang w:val="ro-RO"/>
              </w:rPr>
              <w:t xml:space="preserve"> </w:t>
            </w:r>
            <w:r w:rsidRPr="00E0488D">
              <w:rPr>
                <w:rStyle w:val="hps"/>
                <w:color w:val="000000" w:themeColor="text1"/>
                <w:lang w:val="ro-RO"/>
              </w:rPr>
              <w:t>de infrastructură de transport</w:t>
            </w:r>
            <w:r w:rsidRPr="00E0488D">
              <w:rPr>
                <w:color w:val="000000" w:themeColor="text1"/>
                <w:lang w:val="ro-RO"/>
              </w:rPr>
              <w:t xml:space="preserve"> </w:t>
            </w:r>
            <w:r w:rsidRPr="00E0488D">
              <w:rPr>
                <w:rStyle w:val="hps"/>
                <w:color w:val="000000" w:themeColor="text1"/>
                <w:lang w:val="ro-RO"/>
              </w:rPr>
              <w:t>din țările</w:t>
            </w:r>
            <w:r w:rsidRPr="00E0488D">
              <w:rPr>
                <w:color w:val="000000" w:themeColor="text1"/>
                <w:lang w:val="ro-RO"/>
              </w:rPr>
              <w:t xml:space="preserve"> </w:t>
            </w:r>
            <w:r w:rsidRPr="00E0488D">
              <w:rPr>
                <w:rStyle w:val="hps"/>
                <w:color w:val="000000" w:themeColor="text1"/>
                <w:lang w:val="ro-RO"/>
              </w:rPr>
              <w:t>vecine</w:t>
            </w:r>
            <w:r w:rsidRPr="00E0488D">
              <w:rPr>
                <w:color w:val="000000" w:themeColor="text1"/>
                <w:lang w:val="ro-RO"/>
              </w:rPr>
              <w:t>.</w:t>
            </w:r>
            <w:r w:rsidRPr="00E0488D">
              <w:rPr>
                <w:rStyle w:val="hps"/>
                <w:color w:val="000000" w:themeColor="text1"/>
                <w:lang w:val="ro-RO"/>
              </w:rPr>
              <w:t>Statul membru</w:t>
            </w:r>
            <w:r w:rsidRPr="00E0488D">
              <w:rPr>
                <w:color w:val="000000" w:themeColor="text1"/>
                <w:lang w:val="ro-RO"/>
              </w:rPr>
              <w:t xml:space="preserve"> </w:t>
            </w:r>
            <w:r w:rsidRPr="00E0488D">
              <w:rPr>
                <w:rStyle w:val="hps"/>
                <w:color w:val="000000" w:themeColor="text1"/>
                <w:lang w:val="ro-RO"/>
              </w:rPr>
              <w:t>trebuie să demonstreze</w:t>
            </w:r>
            <w:r w:rsidRPr="00E0488D">
              <w:rPr>
                <w:color w:val="000000" w:themeColor="text1"/>
                <w:lang w:val="ro-RO"/>
              </w:rPr>
              <w:t xml:space="preserve">, de asemenea, </w:t>
            </w:r>
            <w:r w:rsidRPr="00E0488D">
              <w:rPr>
                <w:rStyle w:val="hps"/>
                <w:color w:val="000000" w:themeColor="text1"/>
                <w:lang w:val="ro-RO"/>
              </w:rPr>
              <w:t>modul în care</w:t>
            </w:r>
            <w:r w:rsidRPr="00E0488D">
              <w:rPr>
                <w:color w:val="000000" w:themeColor="text1"/>
                <w:lang w:val="ro-RO"/>
              </w:rPr>
              <w:t xml:space="preserve"> </w:t>
            </w:r>
            <w:r w:rsidRPr="00E0488D">
              <w:rPr>
                <w:rStyle w:val="hps"/>
                <w:color w:val="000000" w:themeColor="text1"/>
                <w:lang w:val="ro-RO"/>
              </w:rPr>
              <w:t>investițiile sale</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conectivitatea secundară</w:t>
            </w:r>
            <w:r w:rsidRPr="00E0488D">
              <w:rPr>
                <w:color w:val="000000" w:themeColor="text1"/>
                <w:lang w:val="ro-RO"/>
              </w:rPr>
              <w:t xml:space="preserve"> </w:t>
            </w:r>
            <w:r w:rsidRPr="00E0488D">
              <w:rPr>
                <w:rStyle w:val="hps"/>
                <w:color w:val="000000" w:themeColor="text1"/>
                <w:lang w:val="ro-RO"/>
              </w:rPr>
              <w:t>vor</w:t>
            </w:r>
            <w:r w:rsidRPr="00E0488D">
              <w:rPr>
                <w:color w:val="000000" w:themeColor="text1"/>
                <w:lang w:val="ro-RO"/>
              </w:rPr>
              <w:t xml:space="preserve"> </w:t>
            </w:r>
            <w:r w:rsidRPr="00E0488D">
              <w:rPr>
                <w:rStyle w:val="hps"/>
                <w:color w:val="000000" w:themeColor="text1"/>
                <w:lang w:val="ro-RO"/>
              </w:rPr>
              <w:t>contribui</w:t>
            </w:r>
            <w:r w:rsidRPr="00E0488D">
              <w:rPr>
                <w:color w:val="000000" w:themeColor="text1"/>
                <w:lang w:val="ro-RO"/>
              </w:rPr>
              <w:t xml:space="preserve"> </w:t>
            </w:r>
            <w:r w:rsidRPr="00E0488D">
              <w:rPr>
                <w:rStyle w:val="hps"/>
                <w:color w:val="000000" w:themeColor="text1"/>
                <w:lang w:val="ro-RO"/>
              </w:rPr>
              <w:t>la</w:t>
            </w:r>
            <w:r w:rsidRPr="00E0488D">
              <w:rPr>
                <w:color w:val="000000" w:themeColor="text1"/>
                <w:lang w:val="ro-RO"/>
              </w:rPr>
              <w:t xml:space="preserve"> </w:t>
            </w:r>
            <w:r w:rsidRPr="00E0488D">
              <w:rPr>
                <w:rStyle w:val="hps"/>
                <w:color w:val="000000" w:themeColor="text1"/>
                <w:lang w:val="ro-RO"/>
              </w:rPr>
              <w:t>zona de transport unic la nivel european</w:t>
            </w:r>
            <w:r w:rsidRPr="00E0488D">
              <w:rPr>
                <w:position w:val="9"/>
                <w:lang w:val="ro-RO"/>
              </w:rPr>
              <w:t>57</w:t>
            </w:r>
            <w:r w:rsidRPr="00E0488D">
              <w:rPr>
                <w:lang w:val="ro-RO"/>
              </w:rPr>
              <w:t>.</w:t>
            </w:r>
          </w:p>
        </w:tc>
        <w:tc>
          <w:tcPr>
            <w:tcW w:w="364" w:type="pct"/>
            <w:vAlign w:val="center"/>
          </w:tcPr>
          <w:p w:rsidR="00B4550A" w:rsidRPr="00E0488D" w:rsidRDefault="00B4550A" w:rsidP="003C7FC8">
            <w:pPr>
              <w:tabs>
                <w:tab w:val="left" w:pos="800"/>
              </w:tabs>
              <w:spacing w:before="60"/>
              <w:jc w:val="center"/>
              <w:rPr>
                <w:rFonts w:eastAsia="Wingdings" w:cs="Arial"/>
                <w:sz w:val="20"/>
                <w:szCs w:val="20"/>
                <w:lang w:val="ro-RO"/>
              </w:rPr>
            </w:pPr>
            <w:r w:rsidRPr="00E0488D">
              <w:rPr>
                <w:rFonts w:eastAsia="Wingdings" w:cs="Arial"/>
                <w:sz w:val="20"/>
                <w:szCs w:val="20"/>
                <w:lang w:val="ro-RO"/>
              </w:rPr>
              <w:t>DA</w:t>
            </w:r>
          </w:p>
        </w:tc>
        <w:tc>
          <w:tcPr>
            <w:tcW w:w="1588" w:type="pct"/>
            <w:vAlign w:val="center"/>
          </w:tcPr>
          <w:p w:rsidR="00B4550A" w:rsidRPr="00E0488D" w:rsidRDefault="00B4550A" w:rsidP="003C7FC8">
            <w:pPr>
              <w:tabs>
                <w:tab w:val="left" w:pos="800"/>
              </w:tabs>
              <w:spacing w:before="60"/>
              <w:rPr>
                <w:rFonts w:eastAsia="Wingdings" w:cs="Arial"/>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1"/>
              </w:numPr>
              <w:tabs>
                <w:tab w:val="left" w:pos="820"/>
              </w:tabs>
              <w:spacing w:before="57" w:line="240" w:lineRule="auto"/>
              <w:contextualSpacing/>
              <w:jc w:val="left"/>
              <w:rPr>
                <w:lang w:val="ro-RO"/>
              </w:rPr>
            </w:pPr>
            <w:r w:rsidRPr="00E0488D">
              <w:rPr>
                <w:spacing w:val="3"/>
                <w:lang w:val="ro-RO"/>
              </w:rPr>
              <w:t>Planul global de transport sau cadrul cuprinde măsuri necesare pentru</w:t>
            </w:r>
            <w:r w:rsidRPr="00E0488D">
              <w:rPr>
                <w:lang w:val="ro-RO"/>
              </w:rPr>
              <w:t>:</w:t>
            </w:r>
          </w:p>
        </w:tc>
        <w:tc>
          <w:tcPr>
            <w:tcW w:w="364" w:type="pct"/>
            <w:vAlign w:val="center"/>
          </w:tcPr>
          <w:p w:rsidR="00B4550A" w:rsidRPr="00E0488D" w:rsidRDefault="00B4550A" w:rsidP="003C7FC8">
            <w:pPr>
              <w:tabs>
                <w:tab w:val="left" w:pos="820"/>
              </w:tabs>
              <w:spacing w:before="57"/>
              <w:jc w:val="center"/>
              <w:rPr>
                <w:rFonts w:eastAsia="Wingdings" w:cs="Arial"/>
                <w:sz w:val="20"/>
                <w:szCs w:val="20"/>
                <w:lang w:val="ro-RO"/>
              </w:rPr>
            </w:pPr>
          </w:p>
        </w:tc>
        <w:tc>
          <w:tcPr>
            <w:tcW w:w="1588" w:type="pct"/>
            <w:vAlign w:val="center"/>
          </w:tcPr>
          <w:p w:rsidR="00B4550A" w:rsidRPr="00E0488D" w:rsidRDefault="00B4550A" w:rsidP="003C7FC8">
            <w:pPr>
              <w:tabs>
                <w:tab w:val="left" w:pos="820"/>
              </w:tabs>
              <w:spacing w:before="57"/>
              <w:rPr>
                <w:rFonts w:eastAsia="Wingding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asigurarea accesibilității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sporite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conectivității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toate regiunile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Uniunii</w:t>
            </w:r>
            <w:r w:rsidRPr="00E0488D">
              <w:rPr>
                <w:rFonts w:cs="Arial"/>
                <w:color w:val="000000" w:themeColor="text1"/>
                <w:sz w:val="20"/>
                <w:szCs w:val="20"/>
                <w:lang w:val="ro-RO"/>
              </w:rPr>
              <w:t xml:space="preserve">, luând în </w:t>
            </w:r>
            <w:r w:rsidRPr="00E0488D">
              <w:rPr>
                <w:rStyle w:val="hps"/>
                <w:rFonts w:cs="Arial"/>
                <w:color w:val="000000" w:themeColor="text1"/>
                <w:sz w:val="20"/>
                <w:szCs w:val="20"/>
                <w:lang w:val="ro-RO"/>
              </w:rPr>
              <w:t>considerare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cazul specific 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insulelor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rețelelor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izolate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regiunilor slab</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populate</w:t>
            </w:r>
            <w:r w:rsidRPr="00E0488D">
              <w:rPr>
                <w:rFonts w:cs="Arial"/>
                <w:color w:val="000000" w:themeColor="text1"/>
                <w:sz w:val="20"/>
                <w:szCs w:val="20"/>
                <w:lang w:val="ro-RO"/>
              </w:rPr>
              <w:t xml:space="preserve">, regiunilor îndepărtate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ultraperiferice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asigurarea integrării optime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modurilor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transport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interoperabilității în cadrul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modurilor de transport</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construirea legăturilor lipsă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eliminarea blocajelor</w:t>
            </w:r>
            <w:r w:rsidRPr="00E0488D">
              <w:rPr>
                <w:rFonts w:cs="Arial"/>
                <w:color w:val="000000" w:themeColor="text1"/>
                <w:sz w:val="20"/>
                <w:szCs w:val="20"/>
                <w:lang w:val="ro-RO"/>
              </w:rPr>
              <w:t xml:space="preserve">, în special </w:t>
            </w: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secțiunile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transfrontaliere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lastRenderedPageBreak/>
              <w:tab/>
            </w:r>
            <w:r w:rsidRPr="00E0488D">
              <w:rPr>
                <w:rStyle w:val="hps"/>
                <w:rFonts w:cs="Arial"/>
                <w:color w:val="000000" w:themeColor="text1"/>
                <w:sz w:val="20"/>
                <w:szCs w:val="20"/>
                <w:lang w:val="ro-RO"/>
              </w:rPr>
              <w:t>promovarea utilizării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eficiente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durabile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 infrastructurii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dacă este necesar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creșterea capacității</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îmbunătățirea sau menținerea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calității infrastructurii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din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punct de vedere 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siguranței, securității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eficienței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climei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unde este cazul 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rezistenței în fața dezastrelor</w:t>
            </w:r>
            <w:r w:rsidRPr="00E0488D">
              <w:rPr>
                <w:rFonts w:cs="Arial"/>
                <w:color w:val="000000" w:themeColor="text1"/>
                <w:sz w:val="20"/>
                <w:szCs w:val="20"/>
                <w:lang w:val="ro-RO"/>
              </w:rPr>
              <w:t xml:space="preserve">, performanțelor de mediu, </w:t>
            </w:r>
            <w:r w:rsidRPr="00E0488D">
              <w:rPr>
                <w:rStyle w:val="hps"/>
                <w:rFonts w:cs="Arial"/>
                <w:color w:val="000000" w:themeColor="text1"/>
                <w:sz w:val="20"/>
                <w:szCs w:val="20"/>
                <w:lang w:val="ro-RO"/>
              </w:rPr>
              <w:t>a condițiilor sociale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al accesibilității pentru toți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utilizatorii</w:t>
            </w:r>
            <w:r w:rsidRPr="00E0488D">
              <w:rPr>
                <w:rFonts w:cs="Arial"/>
                <w:color w:val="000000" w:themeColor="text1"/>
                <w:sz w:val="20"/>
                <w:szCs w:val="20"/>
                <w:lang w:val="ro-RO"/>
              </w:rPr>
              <w:t xml:space="preserve">, inclusiv pentru persoanele </w:t>
            </w:r>
            <w:r w:rsidRPr="00E0488D">
              <w:rPr>
                <w:rStyle w:val="hps"/>
                <w:rFonts w:cs="Arial"/>
                <w:color w:val="000000" w:themeColor="text1"/>
                <w:sz w:val="20"/>
                <w:szCs w:val="20"/>
                <w:lang w:val="ro-RO"/>
              </w:rPr>
              <w:t>în vârstă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persoanele cu mobilitate redusă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călătorii cu handicap</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precum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calitatea serviciilor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continuitatea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fluxurilor de trafic</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implementarea și punerea în aplicare a aplicațiilor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telematice</w:t>
            </w:r>
            <w:r w:rsidRPr="00E0488D">
              <w:rPr>
                <w:rFonts w:cs="Arial"/>
                <w:color w:val="000000" w:themeColor="text1"/>
                <w:sz w:val="20"/>
                <w:szCs w:val="20"/>
                <w:lang w:val="ro-RO"/>
              </w:rPr>
              <w:t xml:space="preserve">, precum și </w:t>
            </w:r>
            <w:r w:rsidRPr="00E0488D">
              <w:rPr>
                <w:rStyle w:val="hps"/>
                <w:rFonts w:cs="Arial"/>
                <w:color w:val="000000" w:themeColor="text1"/>
                <w:sz w:val="20"/>
                <w:szCs w:val="20"/>
                <w:lang w:val="ro-RO"/>
              </w:rPr>
              <w:t>promovarea dezvoltării tehnologice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inovatoare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687448">
            <w:pPr>
              <w:pStyle w:val="ListParagraph"/>
              <w:widowControl w:val="0"/>
              <w:numPr>
                <w:ilvl w:val="0"/>
                <w:numId w:val="62"/>
              </w:numPr>
              <w:tabs>
                <w:tab w:val="left" w:pos="820"/>
              </w:tabs>
              <w:spacing w:before="57" w:line="240" w:lineRule="auto"/>
              <w:contextualSpacing/>
              <w:jc w:val="left"/>
              <w:rPr>
                <w:lang w:val="ro-RO"/>
              </w:rPr>
            </w:pPr>
            <w:r w:rsidRPr="00E0488D">
              <w:rPr>
                <w:rStyle w:val="hps"/>
                <w:color w:val="000000" w:themeColor="text1"/>
                <w:lang w:val="ro-RO"/>
              </w:rPr>
              <w:t>O atenție deosebită trebuie</w:t>
            </w:r>
            <w:r w:rsidRPr="00E0488D">
              <w:rPr>
                <w:color w:val="000000" w:themeColor="text1"/>
                <w:lang w:val="ro-RO"/>
              </w:rPr>
              <w:t xml:space="preserve"> </w:t>
            </w:r>
            <w:r w:rsidRPr="00E0488D">
              <w:rPr>
                <w:rStyle w:val="hps"/>
                <w:color w:val="000000" w:themeColor="text1"/>
                <w:lang w:val="ro-RO"/>
              </w:rPr>
              <w:t>acordată</w:t>
            </w:r>
            <w:r w:rsidRPr="00E0488D">
              <w:rPr>
                <w:color w:val="000000" w:themeColor="text1"/>
                <w:lang w:val="ro-RO"/>
              </w:rPr>
              <w:t xml:space="preserve"> </w:t>
            </w:r>
            <w:r w:rsidRPr="00E0488D">
              <w:rPr>
                <w:rStyle w:val="hps"/>
                <w:color w:val="000000" w:themeColor="text1"/>
                <w:lang w:val="ro-RO"/>
              </w:rPr>
              <w:t>planului global de transport</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cadrului în ceea ce privește</w:t>
            </w:r>
            <w:r w:rsidRPr="00E0488D">
              <w:rPr>
                <w:color w:val="000000" w:themeColor="text1"/>
                <w:lang w:val="ro-RO"/>
              </w:rPr>
              <w:t xml:space="preserve"> </w:t>
            </w:r>
            <w:r w:rsidRPr="00E0488D">
              <w:rPr>
                <w:rStyle w:val="hps"/>
                <w:color w:val="000000" w:themeColor="text1"/>
                <w:lang w:val="ro-RO"/>
              </w:rPr>
              <w:t>măsurile</w:t>
            </w:r>
            <w:r w:rsidRPr="00E0488D">
              <w:rPr>
                <w:color w:val="000000" w:themeColor="text1"/>
                <w:lang w:val="ro-RO"/>
              </w:rPr>
              <w:t xml:space="preserve">  </w:t>
            </w:r>
            <w:r w:rsidRPr="00E0488D">
              <w:rPr>
                <w:rStyle w:val="hps"/>
                <w:color w:val="000000" w:themeColor="text1"/>
                <w:lang w:val="ro-RO"/>
              </w:rPr>
              <w:t>necesare</w:t>
            </w:r>
            <w:r w:rsidRPr="00E0488D">
              <w:rPr>
                <w:color w:val="000000" w:themeColor="text1"/>
                <w:lang w:val="ro-RO"/>
              </w:rPr>
              <w:t xml:space="preserve"> </w:t>
            </w:r>
            <w:r w:rsidRPr="00E0488D">
              <w:rPr>
                <w:rStyle w:val="hps"/>
                <w:color w:val="000000" w:themeColor="text1"/>
                <w:lang w:val="ro-RO"/>
              </w:rPr>
              <w:t>pentru</w:t>
            </w:r>
            <w:r w:rsidRPr="00E0488D">
              <w:rPr>
                <w:lang w:val="ro-RO"/>
              </w:rPr>
              <w:t>:</w:t>
            </w:r>
          </w:p>
        </w:tc>
        <w:tc>
          <w:tcPr>
            <w:tcW w:w="364" w:type="pct"/>
            <w:vAlign w:val="center"/>
          </w:tcPr>
          <w:p w:rsidR="00B4550A" w:rsidRPr="00E0488D" w:rsidRDefault="00B4550A" w:rsidP="003C7FC8">
            <w:pPr>
              <w:tabs>
                <w:tab w:val="left" w:pos="820"/>
              </w:tabs>
              <w:spacing w:before="57"/>
              <w:jc w:val="center"/>
              <w:rPr>
                <w:rFonts w:eastAsia="Wingdings" w:cs="Arial"/>
                <w:sz w:val="20"/>
                <w:szCs w:val="20"/>
                <w:lang w:val="ro-RO"/>
              </w:rPr>
            </w:pPr>
          </w:p>
        </w:tc>
        <w:tc>
          <w:tcPr>
            <w:tcW w:w="1588" w:type="pct"/>
            <w:vAlign w:val="center"/>
          </w:tcPr>
          <w:p w:rsidR="00B4550A" w:rsidRPr="00E0488D" w:rsidRDefault="00B4550A" w:rsidP="003C7FC8">
            <w:pPr>
              <w:tabs>
                <w:tab w:val="left" w:pos="820"/>
              </w:tabs>
              <w:spacing w:before="57"/>
              <w:rPr>
                <w:rFonts w:eastAsia="Wingding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asigurarea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securității alimentării cu combustibil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prin creșterea eficienței energetice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promovarea utilizării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alternative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în special, a </w:t>
            </w:r>
            <w:r w:rsidRPr="00E0488D">
              <w:rPr>
                <w:rStyle w:val="hps"/>
                <w:rFonts w:cs="Arial"/>
                <w:color w:val="000000" w:themeColor="text1"/>
                <w:sz w:val="20"/>
                <w:szCs w:val="20"/>
                <w:lang w:val="ro-RO"/>
              </w:rPr>
              <w:t>surselor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energie</w:t>
            </w:r>
            <w:r w:rsidRPr="00E0488D">
              <w:rPr>
                <w:rFonts w:cs="Arial"/>
                <w:color w:val="000000" w:themeColor="text1"/>
                <w:sz w:val="20"/>
                <w:szCs w:val="20"/>
                <w:lang w:val="ro-RO"/>
              </w:rPr>
              <w:t xml:space="preserve"> cu emisii de carbon </w:t>
            </w:r>
            <w:r w:rsidRPr="00E0488D">
              <w:rPr>
                <w:rStyle w:val="hps"/>
                <w:rFonts w:cs="Arial"/>
                <w:color w:val="000000" w:themeColor="text1"/>
                <w:sz w:val="20"/>
                <w:szCs w:val="20"/>
                <w:lang w:val="ro-RO"/>
              </w:rPr>
              <w:t>mici</w:t>
            </w:r>
            <w:r w:rsidRPr="00E0488D">
              <w:rPr>
                <w:rFonts w:cs="Arial"/>
                <w:color w:val="000000" w:themeColor="text1"/>
                <w:sz w:val="20"/>
                <w:szCs w:val="20"/>
                <w:lang w:val="ro-RO"/>
              </w:rPr>
              <w:t xml:space="preserve"> sau zero </w:t>
            </w:r>
            <w:r w:rsidRPr="00E0488D">
              <w:rPr>
                <w:rStyle w:val="hps"/>
                <w:rFonts w:cs="Arial"/>
                <w:color w:val="000000" w:themeColor="text1"/>
                <w:sz w:val="20"/>
                <w:szCs w:val="20"/>
                <w:lang w:val="ro-RO"/>
              </w:rPr>
              <w:t>și a sistemelor de propulsie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atenuarea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expunerii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zonelor urbane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efectele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negative ale</w:t>
            </w:r>
            <w:r w:rsidRPr="00E0488D">
              <w:rPr>
                <w:rFonts w:cs="Arial"/>
                <w:color w:val="000000" w:themeColor="text1"/>
                <w:sz w:val="20"/>
                <w:szCs w:val="20"/>
                <w:lang w:val="ro-RO"/>
              </w:rPr>
              <w:t xml:space="preserve"> liniilor de t</w:t>
            </w:r>
            <w:r w:rsidRPr="00E0488D">
              <w:rPr>
                <w:rStyle w:val="hps"/>
                <w:rFonts w:cs="Arial"/>
                <w:color w:val="000000" w:themeColor="text1"/>
                <w:sz w:val="20"/>
                <w:szCs w:val="20"/>
                <w:lang w:val="ro-RO"/>
              </w:rPr>
              <w:t>ransport feroviar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rutier de tranzit</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eliminarea barierelor administrative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tehnice</w:t>
            </w:r>
            <w:r w:rsidRPr="00E0488D">
              <w:rPr>
                <w:rFonts w:cs="Arial"/>
                <w:color w:val="000000" w:themeColor="text1"/>
                <w:sz w:val="20"/>
                <w:szCs w:val="20"/>
                <w:lang w:val="ro-RO"/>
              </w:rPr>
              <w:t xml:space="preserve">, în special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interoperabilitatea rețelei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transeuropene de transport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concurenței</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b/>
                <w:i/>
                <w:color w:val="000000" w:themeColor="text1"/>
                <w:lang w:val="ro-RO"/>
              </w:rPr>
            </w:pPr>
            <w:r w:rsidRPr="00E0488D">
              <w:rPr>
                <w:rStyle w:val="hps"/>
                <w:b/>
                <w:i/>
                <w:color w:val="000000" w:themeColor="text1"/>
                <w:lang w:val="ro-RO"/>
              </w:rPr>
              <w:t>Stabilește</w:t>
            </w:r>
            <w:r w:rsidRPr="00E0488D">
              <w:rPr>
                <w:b/>
                <w:i/>
                <w:color w:val="000000" w:themeColor="text1"/>
                <w:lang w:val="ro-RO"/>
              </w:rPr>
              <w:t xml:space="preserve"> </w:t>
            </w:r>
            <w:r w:rsidRPr="00E0488D">
              <w:rPr>
                <w:rStyle w:val="hps"/>
                <w:b/>
                <w:i/>
                <w:color w:val="000000" w:themeColor="text1"/>
                <w:lang w:val="ro-RO"/>
              </w:rPr>
              <w:t>un</w:t>
            </w:r>
            <w:r w:rsidRPr="00E0488D">
              <w:rPr>
                <w:b/>
                <w:i/>
                <w:color w:val="000000" w:themeColor="text1"/>
                <w:lang w:val="ro-RO"/>
              </w:rPr>
              <w:t xml:space="preserve"> </w:t>
            </w:r>
            <w:r w:rsidRPr="00E0488D">
              <w:rPr>
                <w:rStyle w:val="hps"/>
                <w:b/>
                <w:i/>
                <w:color w:val="000000" w:themeColor="text1"/>
                <w:lang w:val="ro-RO"/>
              </w:rPr>
              <w:t>flux de proiecte realiste</w:t>
            </w:r>
            <w:r w:rsidRPr="00E0488D">
              <w:rPr>
                <w:b/>
                <w:i/>
                <w:color w:val="000000" w:themeColor="text1"/>
                <w:lang w:val="ro-RO"/>
              </w:rPr>
              <w:t xml:space="preserve"> </w:t>
            </w:r>
            <w:r w:rsidRPr="00E0488D">
              <w:rPr>
                <w:rStyle w:val="hps"/>
                <w:b/>
                <w:i/>
                <w:color w:val="000000" w:themeColor="text1"/>
                <w:lang w:val="ro-RO"/>
              </w:rPr>
              <w:t>și</w:t>
            </w:r>
            <w:r w:rsidRPr="00E0488D">
              <w:rPr>
                <w:b/>
                <w:i/>
                <w:color w:val="000000" w:themeColor="text1"/>
                <w:lang w:val="ro-RO"/>
              </w:rPr>
              <w:t xml:space="preserve"> </w:t>
            </w:r>
            <w:r w:rsidRPr="00E0488D">
              <w:rPr>
                <w:rStyle w:val="hps"/>
                <w:b/>
                <w:i/>
                <w:color w:val="000000" w:themeColor="text1"/>
                <w:lang w:val="ro-RO"/>
              </w:rPr>
              <w:t>mature</w:t>
            </w:r>
            <w:r w:rsidRPr="00E0488D">
              <w:rPr>
                <w:b/>
                <w:i/>
                <w:color w:val="000000" w:themeColor="text1"/>
                <w:lang w:val="ro-RO"/>
              </w:rPr>
              <w:t xml:space="preserve"> </w:t>
            </w:r>
            <w:r w:rsidRPr="00E0488D">
              <w:rPr>
                <w:rStyle w:val="hps"/>
                <w:b/>
                <w:i/>
                <w:color w:val="000000" w:themeColor="text1"/>
                <w:lang w:val="ro-RO"/>
              </w:rPr>
              <w:t>pentru</w:t>
            </w:r>
            <w:r w:rsidRPr="00E0488D">
              <w:rPr>
                <w:b/>
                <w:i/>
                <w:color w:val="000000" w:themeColor="text1"/>
                <w:lang w:val="ro-RO"/>
              </w:rPr>
              <w:t xml:space="preserve"> </w:t>
            </w:r>
            <w:r w:rsidRPr="00E0488D">
              <w:rPr>
                <w:rStyle w:val="hps"/>
                <w:b/>
                <w:i/>
                <w:color w:val="000000" w:themeColor="text1"/>
                <w:lang w:val="ro-RO"/>
              </w:rPr>
              <w:t>proiectele</w:t>
            </w:r>
            <w:r w:rsidRPr="00E0488D">
              <w:rPr>
                <w:b/>
                <w:i/>
                <w:color w:val="000000" w:themeColor="text1"/>
                <w:lang w:val="ro-RO"/>
              </w:rPr>
              <w:t xml:space="preserve"> </w:t>
            </w:r>
            <w:r w:rsidRPr="00E0488D">
              <w:rPr>
                <w:rStyle w:val="hps"/>
                <w:b/>
                <w:i/>
                <w:color w:val="000000" w:themeColor="text1"/>
                <w:lang w:val="ro-RO"/>
              </w:rPr>
              <w:t>avute în vedere</w:t>
            </w:r>
            <w:r w:rsidRPr="00E0488D">
              <w:rPr>
                <w:b/>
                <w:i/>
                <w:color w:val="000000" w:themeColor="text1"/>
                <w:lang w:val="ro-RO"/>
              </w:rPr>
              <w:t xml:space="preserve"> </w:t>
            </w:r>
            <w:r w:rsidRPr="00E0488D">
              <w:rPr>
                <w:rStyle w:val="hps"/>
                <w:b/>
                <w:i/>
                <w:color w:val="000000" w:themeColor="text1"/>
                <w:lang w:val="ro-RO"/>
              </w:rPr>
              <w:t>pentru</w:t>
            </w:r>
            <w:r w:rsidRPr="00E0488D">
              <w:rPr>
                <w:b/>
                <w:i/>
                <w:color w:val="000000" w:themeColor="text1"/>
                <w:lang w:val="ro-RO"/>
              </w:rPr>
              <w:t xml:space="preserve"> </w:t>
            </w:r>
            <w:r w:rsidRPr="00E0488D">
              <w:rPr>
                <w:rStyle w:val="hps"/>
                <w:b/>
                <w:i/>
                <w:color w:val="000000" w:themeColor="text1"/>
                <w:lang w:val="ro-RO"/>
              </w:rPr>
              <w:t>sprijin</w:t>
            </w:r>
            <w:r w:rsidRPr="00E0488D">
              <w:rPr>
                <w:b/>
                <w:i/>
                <w:color w:val="000000" w:themeColor="text1"/>
                <w:lang w:val="ro-RO"/>
              </w:rPr>
              <w:t xml:space="preserve"> </w:t>
            </w:r>
            <w:r w:rsidRPr="00E0488D">
              <w:rPr>
                <w:rStyle w:val="hps"/>
                <w:b/>
                <w:i/>
                <w:color w:val="000000" w:themeColor="text1"/>
                <w:lang w:val="ro-RO"/>
              </w:rPr>
              <w:t>din</w:t>
            </w:r>
            <w:r w:rsidRPr="00E0488D">
              <w:rPr>
                <w:b/>
                <w:i/>
                <w:color w:val="000000" w:themeColor="text1"/>
                <w:lang w:val="ro-RO"/>
              </w:rPr>
              <w:t xml:space="preserve"> partea fondurilor </w:t>
            </w:r>
            <w:r w:rsidRPr="00E0488D">
              <w:rPr>
                <w:rStyle w:val="hps"/>
                <w:b/>
                <w:i/>
                <w:color w:val="000000" w:themeColor="text1"/>
                <w:lang w:val="ro-RO"/>
              </w:rPr>
              <w:t>FEDR și FC</w:t>
            </w:r>
          </w:p>
        </w:tc>
        <w:tc>
          <w:tcPr>
            <w:tcW w:w="364" w:type="pct"/>
            <w:vAlign w:val="center"/>
          </w:tcPr>
          <w:p w:rsidR="00B4550A" w:rsidRPr="00E0488D" w:rsidRDefault="00B4550A" w:rsidP="003C7FC8">
            <w:pPr>
              <w:tabs>
                <w:tab w:val="left" w:pos="1120"/>
              </w:tabs>
              <w:spacing w:before="60"/>
              <w:jc w:val="center"/>
              <w:rPr>
                <w:rFonts w:cs="Arial"/>
                <w:b/>
                <w:sz w:val="20"/>
                <w:szCs w:val="20"/>
                <w:lang w:val="ro-RO"/>
              </w:rPr>
            </w:pPr>
          </w:p>
        </w:tc>
        <w:tc>
          <w:tcPr>
            <w:tcW w:w="1588" w:type="pct"/>
            <w:vAlign w:val="center"/>
          </w:tcPr>
          <w:p w:rsidR="00B4550A" w:rsidRPr="00E0488D" w:rsidRDefault="00B4550A" w:rsidP="003C7FC8">
            <w:pPr>
              <w:tabs>
                <w:tab w:val="left" w:pos="1120"/>
              </w:tabs>
              <w:spacing w:before="60"/>
              <w:rPr>
                <w:rFonts w:cs="Arial"/>
                <w:b/>
                <w:sz w:val="20"/>
                <w:szCs w:val="20"/>
                <w:lang w:val="ro-RO"/>
              </w:rPr>
            </w:pP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lang w:val="ro-RO"/>
              </w:rPr>
            </w:pPr>
            <w:r w:rsidRPr="00E0488D">
              <w:rPr>
                <w:rStyle w:val="hps"/>
                <w:color w:val="000000" w:themeColor="text1"/>
                <w:lang w:val="ro-RO"/>
              </w:rPr>
              <w:t>Planul</w:t>
            </w:r>
            <w:r w:rsidRPr="00E0488D">
              <w:rPr>
                <w:color w:val="000000" w:themeColor="text1"/>
                <w:lang w:val="ro-RO"/>
              </w:rPr>
              <w:t xml:space="preserve"> </w:t>
            </w:r>
            <w:r w:rsidRPr="00E0488D">
              <w:rPr>
                <w:rStyle w:val="hps"/>
                <w:color w:val="000000" w:themeColor="text1"/>
                <w:lang w:val="ro-RO"/>
              </w:rPr>
              <w:t>sau</w:t>
            </w:r>
            <w:r w:rsidRPr="00E0488D">
              <w:rPr>
                <w:color w:val="000000" w:themeColor="text1"/>
                <w:lang w:val="ro-RO"/>
              </w:rPr>
              <w:t xml:space="preserve"> </w:t>
            </w:r>
            <w:r w:rsidRPr="00E0488D">
              <w:rPr>
                <w:rStyle w:val="hps"/>
                <w:color w:val="000000" w:themeColor="text1"/>
                <w:lang w:val="ro-RO"/>
              </w:rPr>
              <w:t>cadrul</w:t>
            </w:r>
            <w:r w:rsidRPr="00E0488D">
              <w:rPr>
                <w:color w:val="000000" w:themeColor="text1"/>
                <w:lang w:val="ro-RO"/>
              </w:rPr>
              <w:t xml:space="preserve"> </w:t>
            </w:r>
            <w:r w:rsidRPr="00E0488D">
              <w:rPr>
                <w:rStyle w:val="hps"/>
                <w:color w:val="000000" w:themeColor="text1"/>
                <w:lang w:val="ro-RO"/>
              </w:rPr>
              <w:t>pentru</w:t>
            </w:r>
            <w:r w:rsidRPr="00E0488D">
              <w:rPr>
                <w:color w:val="000000" w:themeColor="text1"/>
                <w:lang w:val="ro-RO"/>
              </w:rPr>
              <w:t xml:space="preserve"> </w:t>
            </w:r>
            <w:r w:rsidRPr="00E0488D">
              <w:rPr>
                <w:rStyle w:val="hps"/>
                <w:color w:val="000000" w:themeColor="text1"/>
                <w:lang w:val="ro-RO"/>
              </w:rPr>
              <w:t>investițiile în transporturi</w:t>
            </w:r>
            <w:r w:rsidRPr="00E0488D">
              <w:rPr>
                <w:color w:val="000000" w:themeColor="text1"/>
                <w:lang w:val="ro-RO"/>
              </w:rPr>
              <w:t xml:space="preserve"> </w:t>
            </w:r>
            <w:r w:rsidRPr="00E0488D">
              <w:rPr>
                <w:rStyle w:val="hps"/>
                <w:color w:val="000000" w:themeColor="text1"/>
                <w:lang w:val="ro-RO"/>
              </w:rPr>
              <w:t>include</w:t>
            </w:r>
            <w:r w:rsidRPr="00E0488D">
              <w:rPr>
                <w:color w:val="000000" w:themeColor="text1"/>
                <w:lang w:val="ro-RO"/>
              </w:rPr>
              <w:t xml:space="preserve"> </w:t>
            </w:r>
            <w:r w:rsidRPr="00E0488D">
              <w:rPr>
                <w:rStyle w:val="hps"/>
                <w:color w:val="000000" w:themeColor="text1"/>
                <w:lang w:val="ro-RO"/>
              </w:rPr>
              <w:t>un tabel conținând</w:t>
            </w:r>
            <w:r w:rsidRPr="00E0488D">
              <w:rPr>
                <w:lang w:val="ro-RO"/>
              </w:rPr>
              <w:t xml:space="preserve"> :</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O</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listă de proiecte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prioritare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studii, </w:t>
            </w:r>
            <w:r w:rsidRPr="00E0488D">
              <w:rPr>
                <w:rStyle w:val="hps"/>
                <w:rFonts w:cs="Arial"/>
                <w:color w:val="000000" w:themeColor="text1"/>
                <w:sz w:val="20"/>
                <w:szCs w:val="20"/>
                <w:lang w:val="ro-RO"/>
              </w:rPr>
              <w:t>modernizare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sau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lucrări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 care statul membru</w:t>
            </w:r>
            <w:r w:rsidRPr="00E0488D">
              <w:rPr>
                <w:rFonts w:cs="Arial"/>
                <w:color w:val="000000" w:themeColor="text1"/>
                <w:sz w:val="20"/>
                <w:szCs w:val="20"/>
                <w:lang w:val="ro-RO"/>
              </w:rPr>
              <w:t xml:space="preserve"> le </w:t>
            </w:r>
            <w:r w:rsidRPr="00E0488D">
              <w:rPr>
                <w:rStyle w:val="hps"/>
                <w:rFonts w:cs="Arial"/>
                <w:color w:val="000000" w:themeColor="text1"/>
                <w:sz w:val="20"/>
                <w:szCs w:val="20"/>
                <w:lang w:val="ro-RO"/>
              </w:rPr>
              <w:t>are în vedere</w:t>
            </w:r>
            <w:r w:rsidRPr="00E0488D">
              <w:rPr>
                <w:rFonts w:cs="Arial"/>
                <w:color w:val="000000" w:themeColor="text1"/>
                <w:sz w:val="20"/>
                <w:szCs w:val="20"/>
                <w:lang w:val="ro-RO"/>
              </w:rPr>
              <w:t xml:space="preserve"> să le </w:t>
            </w:r>
            <w:r w:rsidRPr="00E0488D">
              <w:rPr>
                <w:rStyle w:val="hps"/>
                <w:rFonts w:cs="Arial"/>
                <w:color w:val="000000" w:themeColor="text1"/>
                <w:sz w:val="20"/>
                <w:szCs w:val="20"/>
                <w:lang w:val="ro-RO"/>
              </w:rPr>
              <w:t>lanseze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 această perioadă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care solicită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sprijin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din</w:t>
            </w:r>
            <w:r w:rsidRPr="00E0488D">
              <w:rPr>
                <w:rFonts w:cs="Arial"/>
                <w:color w:val="000000" w:themeColor="text1"/>
                <w:sz w:val="20"/>
                <w:szCs w:val="20"/>
                <w:lang w:val="ro-RO"/>
              </w:rPr>
              <w:t xml:space="preserve"> partea fondurilor </w:t>
            </w:r>
            <w:r w:rsidRPr="00E0488D">
              <w:rPr>
                <w:rStyle w:val="hps"/>
                <w:rFonts w:cs="Arial"/>
                <w:color w:val="000000" w:themeColor="text1"/>
                <w:sz w:val="20"/>
                <w:szCs w:val="20"/>
                <w:lang w:val="ro-RO"/>
              </w:rPr>
              <w:t>FEDR și FC</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 xml:space="preserve">Vor fi incluse într-un Raport de Strategie separat care să conțina Planul de Implementare </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Numele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autorităților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a altor părți implicate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conducerea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acestor proiecte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cheltuielile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prevăzute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plan de finanțare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Vor fi incluse într-un Raport de Strategie separat care să conțina Planul de Implementare</w:t>
            </w:r>
          </w:p>
        </w:tc>
      </w:tr>
      <w:tr w:rsidR="00B4550A" w:rsidRPr="00E0488D" w:rsidTr="003C7FC8">
        <w:tc>
          <w:tcPr>
            <w:tcW w:w="3048" w:type="pct"/>
          </w:tcPr>
          <w:p w:rsidR="00B4550A" w:rsidRPr="00E0488D" w:rsidRDefault="00B4550A" w:rsidP="003C7FC8">
            <w:pPr>
              <w:tabs>
                <w:tab w:val="left" w:pos="1120"/>
              </w:tabs>
              <w:spacing w:before="60"/>
              <w:rPr>
                <w:rFonts w:cs="Arial"/>
                <w:color w:val="000000" w:themeColor="text1"/>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calendar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realist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livrare 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proiectelor identificate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care să indice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datele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studiile de fezabilitate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analiza cost-</w:t>
            </w:r>
            <w:r w:rsidRPr="00E0488D">
              <w:rPr>
                <w:rFonts w:cs="Arial"/>
                <w:color w:val="000000" w:themeColor="text1"/>
                <w:sz w:val="20"/>
                <w:szCs w:val="20"/>
                <w:lang w:val="ro-RO"/>
              </w:rPr>
              <w:t xml:space="preserve">beneficiu, procedurile </w:t>
            </w:r>
            <w:r w:rsidRPr="00E0488D">
              <w:rPr>
                <w:rStyle w:val="hps"/>
                <w:rFonts w:cs="Arial"/>
                <w:color w:val="000000" w:themeColor="text1"/>
                <w:sz w:val="20"/>
                <w:szCs w:val="20"/>
                <w:lang w:val="ro-RO"/>
              </w:rPr>
              <w:t>EIA</w:t>
            </w:r>
            <w:r w:rsidRPr="00E0488D">
              <w:rPr>
                <w:rStyle w:val="hps"/>
                <w:rFonts w:cs="Arial"/>
                <w:color w:val="000000" w:themeColor="text1"/>
                <w:sz w:val="28"/>
                <w:szCs w:val="28"/>
                <w:vertAlign w:val="superscript"/>
                <w:lang w:val="ro-RO"/>
              </w:rPr>
              <w:t>58</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grafic</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punere în aplicare</w:t>
            </w:r>
            <w:r w:rsidRPr="00E0488D">
              <w:rPr>
                <w:rFonts w:cs="Arial"/>
                <w:color w:val="000000" w:themeColor="text1"/>
                <w:sz w:val="20"/>
                <w:szCs w:val="20"/>
                <w:lang w:val="ro-RO"/>
              </w:rPr>
              <w:t xml:space="preserve">, inclusiv </w:t>
            </w:r>
            <w:r w:rsidRPr="00E0488D">
              <w:rPr>
                <w:rStyle w:val="hps"/>
                <w:rFonts w:cs="Arial"/>
                <w:color w:val="000000" w:themeColor="text1"/>
                <w:sz w:val="20"/>
                <w:szCs w:val="20"/>
                <w:lang w:val="ro-RO"/>
              </w:rPr>
              <w:t>procedurile de achiziții publice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avize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notificarea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ajutorului de stat</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potențial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pe faze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proiecte mai mari</w:t>
            </w:r>
            <w:r w:rsidRPr="00E0488D">
              <w:rPr>
                <w:rFonts w:cs="Arial"/>
                <w:color w:val="000000" w:themeColor="text1"/>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Vor fi incluse într-un Raport de Strategie separat care să conțina Planul de Implementare</w:t>
            </w: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b/>
                <w:i/>
                <w:lang w:val="ro-RO"/>
              </w:rPr>
            </w:pPr>
            <w:r w:rsidRPr="00E0488D">
              <w:rPr>
                <w:rStyle w:val="hps"/>
                <w:b/>
                <w:i/>
                <w:color w:val="000000" w:themeColor="text1"/>
                <w:lang w:val="ro-RO"/>
              </w:rPr>
              <w:t>Măsuri pentru asigurarea</w:t>
            </w:r>
            <w:r w:rsidRPr="00E0488D">
              <w:rPr>
                <w:b/>
                <w:i/>
                <w:color w:val="000000" w:themeColor="text1"/>
                <w:lang w:val="ro-RO"/>
              </w:rPr>
              <w:t xml:space="preserve"> </w:t>
            </w:r>
            <w:r w:rsidRPr="00E0488D">
              <w:rPr>
                <w:rStyle w:val="hps"/>
                <w:b/>
                <w:i/>
                <w:color w:val="000000" w:themeColor="text1"/>
                <w:lang w:val="ro-RO"/>
              </w:rPr>
              <w:t>capacității</w:t>
            </w:r>
            <w:r w:rsidRPr="00E0488D">
              <w:rPr>
                <w:b/>
                <w:i/>
                <w:color w:val="000000" w:themeColor="text1"/>
                <w:lang w:val="ro-RO"/>
              </w:rPr>
              <w:t xml:space="preserve"> unor </w:t>
            </w:r>
            <w:r w:rsidRPr="00E0488D">
              <w:rPr>
                <w:rStyle w:val="hps"/>
                <w:b/>
                <w:i/>
                <w:color w:val="000000" w:themeColor="text1"/>
                <w:lang w:val="ro-RO"/>
              </w:rPr>
              <w:t>organisme intermediare și</w:t>
            </w:r>
            <w:r w:rsidRPr="00E0488D">
              <w:rPr>
                <w:b/>
                <w:i/>
                <w:color w:val="000000" w:themeColor="text1"/>
                <w:lang w:val="ro-RO"/>
              </w:rPr>
              <w:t xml:space="preserve"> </w:t>
            </w:r>
            <w:r w:rsidRPr="00E0488D">
              <w:rPr>
                <w:rStyle w:val="hps"/>
                <w:b/>
                <w:i/>
                <w:color w:val="000000" w:themeColor="text1"/>
                <w:lang w:val="ro-RO"/>
              </w:rPr>
              <w:t>beneficiari pentru a</w:t>
            </w:r>
            <w:r w:rsidRPr="00E0488D">
              <w:rPr>
                <w:b/>
                <w:i/>
                <w:color w:val="000000" w:themeColor="text1"/>
                <w:lang w:val="ro-RO"/>
              </w:rPr>
              <w:t xml:space="preserve"> </w:t>
            </w:r>
            <w:r w:rsidRPr="00E0488D">
              <w:rPr>
                <w:rStyle w:val="hps"/>
                <w:b/>
                <w:i/>
                <w:color w:val="000000" w:themeColor="text1"/>
                <w:lang w:val="ro-RO"/>
              </w:rPr>
              <w:t>asigura fluxul de proiecte</w:t>
            </w:r>
            <w:r w:rsidRPr="00E0488D">
              <w:rPr>
                <w:b/>
                <w:i/>
                <w:lang w:val="ro-RO"/>
              </w:rPr>
              <w:t>.</w:t>
            </w:r>
          </w:p>
        </w:tc>
        <w:tc>
          <w:tcPr>
            <w:tcW w:w="364" w:type="pct"/>
            <w:vAlign w:val="center"/>
          </w:tcPr>
          <w:p w:rsidR="00B4550A" w:rsidRPr="00E0488D" w:rsidRDefault="00B4550A" w:rsidP="003C7FC8">
            <w:pPr>
              <w:tabs>
                <w:tab w:val="left" w:pos="1120"/>
              </w:tabs>
              <w:spacing w:before="60"/>
              <w:jc w:val="center"/>
              <w:rPr>
                <w:rFonts w:cs="Arial"/>
                <w:b/>
                <w:sz w:val="20"/>
                <w:szCs w:val="20"/>
                <w:lang w:val="ro-RO"/>
              </w:rPr>
            </w:pPr>
          </w:p>
        </w:tc>
        <w:tc>
          <w:tcPr>
            <w:tcW w:w="1588" w:type="pct"/>
            <w:vAlign w:val="center"/>
          </w:tcPr>
          <w:p w:rsidR="00B4550A" w:rsidRPr="00E0488D" w:rsidRDefault="00B4550A" w:rsidP="003C7FC8">
            <w:pPr>
              <w:tabs>
                <w:tab w:val="left" w:pos="1120"/>
              </w:tabs>
              <w:spacing w:before="60"/>
              <w:rPr>
                <w:rFonts w:cs="Arial"/>
                <w:b/>
                <w:sz w:val="20"/>
                <w:szCs w:val="20"/>
                <w:lang w:val="ro-RO"/>
              </w:rPr>
            </w:pPr>
          </w:p>
        </w:tc>
      </w:tr>
      <w:tr w:rsidR="00B4550A" w:rsidRPr="00E0488D" w:rsidTr="003C7FC8">
        <w:tc>
          <w:tcPr>
            <w:tcW w:w="3048" w:type="pct"/>
          </w:tcPr>
          <w:p w:rsidR="00B4550A" w:rsidRPr="00E0488D" w:rsidRDefault="00B4550A" w:rsidP="00687448">
            <w:pPr>
              <w:pStyle w:val="ListParagraph"/>
              <w:widowControl w:val="0"/>
              <w:numPr>
                <w:ilvl w:val="0"/>
                <w:numId w:val="63"/>
              </w:numPr>
              <w:tabs>
                <w:tab w:val="left" w:pos="1120"/>
              </w:tabs>
              <w:spacing w:before="60" w:line="240" w:lineRule="auto"/>
              <w:contextualSpacing/>
              <w:jc w:val="left"/>
              <w:rPr>
                <w:lang w:val="ro-RO"/>
              </w:rPr>
            </w:pPr>
            <w:r w:rsidRPr="00E0488D">
              <w:rPr>
                <w:rStyle w:val="hps"/>
                <w:color w:val="000000" w:themeColor="text1"/>
                <w:lang w:val="ro-RO"/>
              </w:rPr>
              <w:t>Statul</w:t>
            </w:r>
            <w:r w:rsidRPr="00E0488D">
              <w:rPr>
                <w:color w:val="000000" w:themeColor="text1"/>
                <w:lang w:val="ro-RO"/>
              </w:rPr>
              <w:t xml:space="preserve"> </w:t>
            </w:r>
            <w:r w:rsidRPr="00E0488D">
              <w:rPr>
                <w:rStyle w:val="hps"/>
                <w:color w:val="000000" w:themeColor="text1"/>
                <w:lang w:val="ro-RO"/>
              </w:rPr>
              <w:t>membru a</w:t>
            </w:r>
            <w:r w:rsidRPr="00E0488D">
              <w:rPr>
                <w:color w:val="000000" w:themeColor="text1"/>
                <w:lang w:val="ro-RO"/>
              </w:rPr>
              <w:t xml:space="preserve"> </w:t>
            </w:r>
            <w:r w:rsidRPr="00E0488D">
              <w:rPr>
                <w:rStyle w:val="hps"/>
                <w:color w:val="000000" w:themeColor="text1"/>
                <w:lang w:val="ro-RO"/>
              </w:rPr>
              <w:t>furnizat</w:t>
            </w:r>
            <w:r w:rsidRPr="00E0488D">
              <w:rPr>
                <w:color w:val="000000" w:themeColor="text1"/>
                <w:lang w:val="ro-RO"/>
              </w:rPr>
              <w:t xml:space="preserve"> </w:t>
            </w:r>
            <w:r w:rsidRPr="00E0488D">
              <w:rPr>
                <w:rStyle w:val="hps"/>
                <w:color w:val="000000" w:themeColor="text1"/>
                <w:lang w:val="ro-RO"/>
              </w:rPr>
              <w:t>o</w:t>
            </w:r>
            <w:r w:rsidRPr="00E0488D">
              <w:rPr>
                <w:color w:val="000000" w:themeColor="text1"/>
                <w:lang w:val="ro-RO"/>
              </w:rPr>
              <w:t xml:space="preserve"> </w:t>
            </w:r>
            <w:r w:rsidRPr="00E0488D">
              <w:rPr>
                <w:rStyle w:val="hps"/>
                <w:color w:val="000000" w:themeColor="text1"/>
                <w:lang w:val="ro-RO"/>
              </w:rPr>
              <w:t>descriere adecvată</w:t>
            </w:r>
            <w:r w:rsidRPr="00E0488D">
              <w:rPr>
                <w:color w:val="000000" w:themeColor="text1"/>
                <w:lang w:val="ro-RO"/>
              </w:rPr>
              <w:t xml:space="preserve"> </w:t>
            </w:r>
            <w:r w:rsidRPr="00E0488D">
              <w:rPr>
                <w:rStyle w:val="hps"/>
                <w:color w:val="000000" w:themeColor="text1"/>
                <w:lang w:val="ro-RO"/>
              </w:rPr>
              <w:t>a măsurilor</w:t>
            </w:r>
            <w:r w:rsidRPr="00E0488D">
              <w:rPr>
                <w:color w:val="000000" w:themeColor="text1"/>
                <w:lang w:val="ro-RO"/>
              </w:rPr>
              <w:t xml:space="preserve"> </w:t>
            </w:r>
            <w:r w:rsidRPr="00E0488D">
              <w:rPr>
                <w:rStyle w:val="hps"/>
                <w:color w:val="000000" w:themeColor="text1"/>
                <w:lang w:val="ro-RO"/>
              </w:rPr>
              <w:t>deja</w:t>
            </w:r>
            <w:r w:rsidRPr="00E0488D">
              <w:rPr>
                <w:color w:val="000000" w:themeColor="text1"/>
                <w:lang w:val="ro-RO"/>
              </w:rPr>
              <w:t xml:space="preserve"> </w:t>
            </w:r>
            <w:r w:rsidRPr="00E0488D">
              <w:rPr>
                <w:rStyle w:val="hps"/>
                <w:color w:val="000000" w:themeColor="text1"/>
                <w:lang w:val="ro-RO"/>
              </w:rPr>
              <w:t>în</w:t>
            </w:r>
            <w:r w:rsidRPr="00E0488D">
              <w:rPr>
                <w:color w:val="000000" w:themeColor="text1"/>
                <w:lang w:val="ro-RO"/>
              </w:rPr>
              <w:t xml:space="preserve"> </w:t>
            </w:r>
            <w:r w:rsidRPr="00E0488D">
              <w:rPr>
                <w:rStyle w:val="hps"/>
                <w:color w:val="000000" w:themeColor="text1"/>
                <w:lang w:val="ro-RO"/>
              </w:rPr>
              <w:t>aplicare</w:t>
            </w:r>
            <w:r w:rsidRPr="00E0488D">
              <w:rPr>
                <w:color w:val="000000" w:themeColor="text1"/>
                <w:lang w:val="ro-RO"/>
              </w:rPr>
              <w:t xml:space="preserve"> </w:t>
            </w:r>
            <w:r w:rsidRPr="00E0488D">
              <w:rPr>
                <w:rStyle w:val="hps"/>
                <w:color w:val="000000" w:themeColor="text1"/>
                <w:lang w:val="ro-RO"/>
              </w:rPr>
              <w:t>pentru a asigura capacitatea</w:t>
            </w:r>
            <w:r w:rsidRPr="00E0488D">
              <w:rPr>
                <w:color w:val="000000" w:themeColor="text1"/>
                <w:lang w:val="ro-RO"/>
              </w:rPr>
              <w:t xml:space="preserve"> </w:t>
            </w:r>
            <w:r w:rsidRPr="00E0488D">
              <w:rPr>
                <w:rStyle w:val="hps"/>
                <w:color w:val="000000" w:themeColor="text1"/>
                <w:lang w:val="ro-RO"/>
              </w:rPr>
              <w:t>unor organisme intermediare și</w:t>
            </w:r>
            <w:r w:rsidRPr="00E0488D">
              <w:rPr>
                <w:color w:val="000000" w:themeColor="text1"/>
                <w:lang w:val="ro-RO"/>
              </w:rPr>
              <w:t xml:space="preserve"> </w:t>
            </w:r>
            <w:r w:rsidRPr="00E0488D">
              <w:rPr>
                <w:rStyle w:val="hps"/>
                <w:color w:val="000000" w:themeColor="text1"/>
                <w:lang w:val="ro-RO"/>
              </w:rPr>
              <w:t>beneficiari de a</w:t>
            </w:r>
            <w:r w:rsidRPr="00E0488D">
              <w:rPr>
                <w:color w:val="000000" w:themeColor="text1"/>
                <w:lang w:val="ro-RO"/>
              </w:rPr>
              <w:t xml:space="preserve"> </w:t>
            </w:r>
            <w:r w:rsidRPr="00E0488D">
              <w:rPr>
                <w:rStyle w:val="hps"/>
                <w:color w:val="000000" w:themeColor="text1"/>
                <w:lang w:val="ro-RO"/>
              </w:rPr>
              <w:t>asigura fluxul de proiecte</w:t>
            </w:r>
            <w:r w:rsidRPr="00E0488D">
              <w:rPr>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lastRenderedPageBreak/>
              <w:tab/>
            </w:r>
            <w:r w:rsidRPr="00E0488D">
              <w:rPr>
                <w:rStyle w:val="hps"/>
                <w:rFonts w:cs="Arial"/>
                <w:color w:val="000000" w:themeColor="text1"/>
                <w:sz w:val="20"/>
                <w:szCs w:val="20"/>
                <w:lang w:val="ro-RO"/>
              </w:rPr>
              <w:t>Aceste măsuri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 bazează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analiza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atât 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blocajelor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punctelor slabe ale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organismelor intermediare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beneficiarilor de a asigura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 timp util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portofoliului de proiecte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 ceea ce privește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r>
            <w:r w:rsidRPr="00E0488D">
              <w:rPr>
                <w:rStyle w:val="hps"/>
                <w:rFonts w:cs="Arial"/>
                <w:color w:val="000000" w:themeColor="text1"/>
                <w:sz w:val="20"/>
                <w:szCs w:val="20"/>
                <w:lang w:val="ro-RO"/>
              </w:rPr>
              <w:t>licitația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inclusiv </w:t>
            </w:r>
            <w:r w:rsidRPr="00E0488D">
              <w:rPr>
                <w:rStyle w:val="hps"/>
                <w:rFonts w:cs="Arial"/>
                <w:color w:val="000000" w:themeColor="text1"/>
                <w:sz w:val="20"/>
                <w:szCs w:val="20"/>
                <w:lang w:val="ro-RO"/>
              </w:rPr>
              <w:t>ofertele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fără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concurență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nereguli</w:t>
            </w:r>
            <w:r w:rsidRPr="00E0488D">
              <w:rPr>
                <w:rFonts w:cs="Arial"/>
                <w:color w:val="000000" w:themeColor="text1"/>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049"/>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implementarea cerințelor de mediu,</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dezvoltarea și prioritizarea unei rezerve de proiecte mature,</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managementul financiar de proiect,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fonduri pentru întreținere și operațiuni,</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t>sarcini administrative și birocrație,</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Va fi inclus în versiunea finală a Master Planului</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Fonts w:cs="Arial"/>
                <w:sz w:val="20"/>
                <w:szCs w:val="20"/>
                <w:lang w:val="ro-RO"/>
              </w:rPr>
              <w:tab/>
            </w:r>
            <w:r w:rsidRPr="00E0488D">
              <w:rPr>
                <w:rFonts w:cs="Arial"/>
                <w:sz w:val="20"/>
                <w:szCs w:val="20"/>
                <w:lang w:val="ro-RO"/>
              </w:rPr>
              <w:tab/>
            </w:r>
            <w:r w:rsidRPr="00E0488D">
              <w:rPr>
                <w:rStyle w:val="hps"/>
                <w:rFonts w:cs="Arial"/>
                <w:color w:val="000000" w:themeColor="text1"/>
                <w:sz w:val="20"/>
                <w:szCs w:val="20"/>
                <w:lang w:val="ro-RO"/>
              </w:rPr>
              <w:t>gestionarea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sistemelor complexe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w:t>
            </w:r>
            <w:r w:rsidRPr="00E0488D">
              <w:rPr>
                <w:rFonts w:cs="Arial"/>
                <w:color w:val="000000" w:themeColor="text1"/>
                <w:sz w:val="20"/>
                <w:szCs w:val="20"/>
                <w:lang w:val="ro-RO"/>
              </w:rPr>
              <w:t xml:space="preserve">ITS, cum ar fi </w:t>
            </w:r>
            <w:r w:rsidRPr="00E0488D">
              <w:rPr>
                <w:rStyle w:val="hps"/>
                <w:rFonts w:cs="Arial"/>
                <w:color w:val="000000" w:themeColor="text1"/>
                <w:sz w:val="20"/>
                <w:szCs w:val="20"/>
                <w:lang w:val="ro-RO"/>
              </w:rPr>
              <w:t>ETCS</w:t>
            </w:r>
            <w:r w:rsidRPr="00E0488D">
              <w:rPr>
                <w:rStyle w:val="atn"/>
                <w:rFonts w:cs="Arial"/>
                <w:color w:val="000000" w:themeColor="text1"/>
                <w:sz w:val="20"/>
                <w:szCs w:val="20"/>
                <w:lang w:val="ro-RO"/>
              </w:rPr>
              <w:t>-</w:t>
            </w:r>
            <w:r w:rsidRPr="00E0488D">
              <w:rPr>
                <w:rFonts w:cs="Arial"/>
                <w:color w:val="000000" w:themeColor="text1"/>
                <w:sz w:val="20"/>
                <w:szCs w:val="20"/>
                <w:lang w:val="ro-RO"/>
              </w:rPr>
              <w:t xml:space="preserve">ERTMS, </w:t>
            </w:r>
            <w:r w:rsidRPr="00E0488D">
              <w:rPr>
                <w:rStyle w:val="hps"/>
                <w:rFonts w:cs="Arial"/>
                <w:color w:val="000000" w:themeColor="text1"/>
                <w:sz w:val="20"/>
                <w:szCs w:val="20"/>
                <w:lang w:val="ro-RO"/>
              </w:rPr>
              <w:t>VTMIS</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RIS</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servicii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emaritime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sistemul de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management al traficului aerian</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DA</w:t>
            </w:r>
          </w:p>
        </w:tc>
        <w:tc>
          <w:tcPr>
            <w:tcW w:w="1588" w:type="pct"/>
            <w:vAlign w:val="center"/>
          </w:tcPr>
          <w:p w:rsidR="00B4550A" w:rsidRPr="00E0488D" w:rsidRDefault="00B4550A" w:rsidP="003C7FC8">
            <w:pPr>
              <w:tabs>
                <w:tab w:val="left" w:pos="1120"/>
              </w:tabs>
              <w:spacing w:before="60"/>
              <w:rPr>
                <w:rFonts w:cs="Arial"/>
                <w:sz w:val="20"/>
                <w:szCs w:val="20"/>
                <w:lang w:val="ro-RO"/>
              </w:rPr>
            </w:pP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Acestea includ cursuri de instruire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proceduri interne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corespunzătoare pentru monitorizarea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identificarea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potențialelor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întârzieri</w:t>
            </w:r>
            <w:r w:rsidRPr="00E0488D">
              <w:rPr>
                <w:rFonts w:cs="Arial"/>
                <w:color w:val="000000" w:themeColor="text1"/>
                <w:sz w:val="20"/>
                <w:szCs w:val="20"/>
                <w:lang w:val="ro-RO"/>
              </w:rPr>
              <w:t xml:space="preserve">, dar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 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asigura</w:t>
            </w:r>
            <w:r w:rsidRPr="00E0488D">
              <w:rPr>
                <w:rFonts w:cs="Arial"/>
                <w:color w:val="000000" w:themeColor="text1"/>
                <w:sz w:val="20"/>
                <w:szCs w:val="20"/>
                <w:lang w:val="ro-RO"/>
              </w:rPr>
              <w:t xml:space="preserve"> o bună </w:t>
            </w:r>
            <w:r w:rsidRPr="00E0488D">
              <w:rPr>
                <w:rStyle w:val="hps"/>
                <w:rFonts w:cs="Arial"/>
                <w:color w:val="000000" w:themeColor="text1"/>
                <w:sz w:val="20"/>
                <w:szCs w:val="20"/>
                <w:lang w:val="ro-RO"/>
              </w:rPr>
              <w:t>achiziție publică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 eficientă</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MT se află în etapa de a înființa organisme specializate în acest sene</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Este implementat un</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sistem de avertizare</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timpurie pentru a identifica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rezolva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orice dificultăți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care apar</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de la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organismele intermediare și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beneficiari la livrarea proiectelor</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MT se află în etapa de a înființa organisme specializate în acest sene</w:t>
            </w:r>
          </w:p>
        </w:tc>
      </w:tr>
      <w:tr w:rsidR="00B4550A" w:rsidRPr="00E0488D" w:rsidTr="003C7FC8">
        <w:tc>
          <w:tcPr>
            <w:tcW w:w="3048" w:type="pct"/>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ab/>
            </w:r>
            <w:r w:rsidRPr="00E0488D">
              <w:rPr>
                <w:rStyle w:val="hps"/>
                <w:rFonts w:cs="Arial"/>
                <w:color w:val="000000" w:themeColor="text1"/>
                <w:sz w:val="20"/>
                <w:szCs w:val="20"/>
                <w:lang w:val="ro-RO"/>
              </w:rPr>
              <w:t>Sunt implementate sisteme corespunzătoare de asistență</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ajuta</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beneficiarii pe parcursul</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procedurii și implementării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pentru a putea înlocui</w:t>
            </w:r>
            <w:r w:rsidRPr="00E0488D">
              <w:rPr>
                <w:rFonts w:cs="Arial"/>
                <w:color w:val="000000" w:themeColor="text1"/>
                <w:sz w:val="20"/>
                <w:szCs w:val="20"/>
                <w:lang w:val="ro-RO"/>
              </w:rPr>
              <w:t xml:space="preserve"> </w:t>
            </w:r>
            <w:r w:rsidRPr="00E0488D">
              <w:rPr>
                <w:rStyle w:val="hps"/>
                <w:rFonts w:cs="Arial"/>
                <w:color w:val="000000" w:themeColor="text1"/>
                <w:sz w:val="20"/>
                <w:szCs w:val="20"/>
                <w:lang w:val="ro-RO"/>
              </w:rPr>
              <w:t>repede proiectele,</w:t>
            </w:r>
            <w:r w:rsidRPr="00E0488D">
              <w:rPr>
                <w:rFonts w:cs="Arial"/>
                <w:color w:val="000000" w:themeColor="text1"/>
                <w:sz w:val="20"/>
                <w:szCs w:val="20"/>
                <w:lang w:val="ro-RO"/>
              </w:rPr>
              <w:t xml:space="preserve"> în situația în care apare un blocaj în perioada de implementare</w:t>
            </w:r>
            <w:r w:rsidRPr="00E0488D">
              <w:rPr>
                <w:rFonts w:cs="Arial"/>
                <w:sz w:val="20"/>
                <w:szCs w:val="20"/>
                <w:lang w:val="ro-RO"/>
              </w:rPr>
              <w:t>.</w:t>
            </w:r>
          </w:p>
        </w:tc>
        <w:tc>
          <w:tcPr>
            <w:tcW w:w="364" w:type="pct"/>
            <w:vAlign w:val="center"/>
          </w:tcPr>
          <w:p w:rsidR="00B4550A" w:rsidRPr="00E0488D" w:rsidRDefault="00B4550A" w:rsidP="003C7FC8">
            <w:pPr>
              <w:tabs>
                <w:tab w:val="left" w:pos="1120"/>
              </w:tabs>
              <w:spacing w:before="60"/>
              <w:jc w:val="center"/>
              <w:rPr>
                <w:rFonts w:cs="Arial"/>
                <w:sz w:val="20"/>
                <w:szCs w:val="20"/>
                <w:lang w:val="ro-RO"/>
              </w:rPr>
            </w:pPr>
            <w:r w:rsidRPr="00E0488D">
              <w:rPr>
                <w:rFonts w:cs="Arial"/>
                <w:sz w:val="20"/>
                <w:szCs w:val="20"/>
                <w:lang w:val="ro-RO"/>
              </w:rPr>
              <w:t>NU</w:t>
            </w:r>
          </w:p>
        </w:tc>
        <w:tc>
          <w:tcPr>
            <w:tcW w:w="1588" w:type="pct"/>
            <w:vAlign w:val="center"/>
          </w:tcPr>
          <w:p w:rsidR="00B4550A" w:rsidRPr="00E0488D" w:rsidRDefault="00B4550A" w:rsidP="003C7FC8">
            <w:pPr>
              <w:tabs>
                <w:tab w:val="left" w:pos="1120"/>
              </w:tabs>
              <w:spacing w:before="60"/>
              <w:rPr>
                <w:rFonts w:cs="Arial"/>
                <w:sz w:val="20"/>
                <w:szCs w:val="20"/>
                <w:lang w:val="ro-RO"/>
              </w:rPr>
            </w:pPr>
            <w:r w:rsidRPr="00E0488D">
              <w:rPr>
                <w:rFonts w:cs="Arial"/>
                <w:sz w:val="20"/>
                <w:szCs w:val="20"/>
                <w:lang w:val="ro-RO"/>
              </w:rPr>
              <w:t>MT se află în etapa de a înființa organisme specializate în acest sene</w:t>
            </w:r>
          </w:p>
        </w:tc>
      </w:tr>
    </w:tbl>
    <w:p w:rsidR="00B4550A" w:rsidRPr="00E0488D" w:rsidRDefault="00B4550A" w:rsidP="00B4550A">
      <w:pPr>
        <w:spacing w:before="9" w:line="130" w:lineRule="exact"/>
        <w:rPr>
          <w:rFonts w:cs="Arial"/>
          <w:sz w:val="20"/>
          <w:szCs w:val="20"/>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44029">
          <w:pgSz w:w="16840" w:h="11907" w:orient="landscape" w:code="9"/>
          <w:pgMar w:top="907" w:right="1418" w:bottom="709" w:left="1418" w:header="357" w:footer="567" w:gutter="0"/>
          <w:cols w:space="187"/>
          <w:docGrid w:linePitch="360"/>
        </w:sectPr>
      </w:pPr>
    </w:p>
    <w:p w:rsidR="00B4550A" w:rsidRPr="00E0488D" w:rsidRDefault="00B4550A" w:rsidP="00B4550A">
      <w:pPr>
        <w:rPr>
          <w:b/>
          <w:lang w:val="ro-RO"/>
        </w:rPr>
        <w:sectPr w:rsidR="00B4550A" w:rsidRPr="00E0488D">
          <w:headerReference w:type="default" r:id="rId73"/>
          <w:footerReference w:type="default" r:id="rId74"/>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lastRenderedPageBreak/>
        <w:t>Situația existentă și ultimele tendințe în sectorul  transportului din România și Europa</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tabs>
          <w:tab w:val="clear" w:pos="680"/>
        </w:tabs>
        <w:ind w:left="851" w:hanging="851"/>
      </w:pPr>
      <w:bookmarkStart w:id="47" w:name="_Toc398292050"/>
      <w:bookmarkStart w:id="48" w:name="_Toc413060303"/>
      <w:r w:rsidRPr="00E0488D">
        <w:lastRenderedPageBreak/>
        <w:t>Situația existentă și ultimele tendințe din domeniul transporturilor în România și Europa</w:t>
      </w:r>
      <w:bookmarkEnd w:id="47"/>
      <w:bookmarkEnd w:id="48"/>
    </w:p>
    <w:p w:rsidR="00B4550A" w:rsidRPr="00E0488D" w:rsidRDefault="00B4550A" w:rsidP="00B4550A">
      <w:pPr>
        <w:rPr>
          <w:lang w:val="ro-RO"/>
        </w:rPr>
      </w:pPr>
    </w:p>
    <w:p w:rsidR="00B4550A" w:rsidRPr="00E0488D" w:rsidRDefault="00B4550A" w:rsidP="00BD59B2">
      <w:pPr>
        <w:pStyle w:val="Hdg2"/>
      </w:pPr>
      <w:bookmarkStart w:id="49" w:name="_Toc398292051"/>
      <w:bookmarkStart w:id="50" w:name="_Toc396982957"/>
      <w:bookmarkStart w:id="51" w:name="_Toc413060304"/>
      <w:r w:rsidRPr="00E0488D">
        <w:t>Relația dintre MPGT și documentele relevante de politici de transport din UE</w:t>
      </w:r>
      <w:bookmarkEnd w:id="49"/>
      <w:bookmarkEnd w:id="50"/>
      <w:bookmarkEnd w:id="51"/>
    </w:p>
    <w:p w:rsidR="00B4550A" w:rsidRPr="00E0488D" w:rsidRDefault="00B4550A" w:rsidP="002B7E09">
      <w:pPr>
        <w:pStyle w:val="NumberedParas"/>
      </w:pPr>
      <w:r w:rsidRPr="00E0488D">
        <w:t>Orice creștere economică la nivel național sau regional este amplificată de un sistem de transport competitiv și progresiv, care este adaptat nevoilor clienților și funcționează ca o rețea durabilă, oferind servicii accesibile și de înaltă calitate.</w:t>
      </w:r>
    </w:p>
    <w:p w:rsidR="00B4550A" w:rsidRPr="00E0488D" w:rsidRDefault="00B4550A" w:rsidP="002B7E09">
      <w:pPr>
        <w:pStyle w:val="NumberedParas"/>
      </w:pPr>
      <w:r w:rsidRPr="00E0488D">
        <w:t>Pentru realizarea unui astfel de sistem este nevoie de coordonarea și armonizarea politicilor de la toate nivelurile. Această armonizare susține nu doar dezvoltarea economică și a comerțului, dar elimină și costurile suplimentare din sistemul de transport, îmbunătățește capitalul și productivitatea forței de muncă în cadrul Uniunii Europene.</w:t>
      </w:r>
    </w:p>
    <w:p w:rsidR="00B4550A" w:rsidRPr="00E0488D" w:rsidRDefault="00B4550A" w:rsidP="002B7E09">
      <w:pPr>
        <w:pStyle w:val="NumberedParas"/>
      </w:pPr>
      <w:r w:rsidRPr="00E0488D">
        <w:t>Responsabilitatea UE pentru elaborarea politicilor variază enorm în gama sa de interese politice. În unele domenii aranjamentele sunt bine stabilite, iar instrumentele eficiente de politică-juridice și financiare- sunt de obicei disponibile. În alte domenii, implicarea UE este minimă, procesele politice pot fi limitate la ceva mai mult decât schimburi ocazionale de idei și informații.</w:t>
      </w:r>
    </w:p>
    <w:p w:rsidR="00B4550A" w:rsidRPr="00E0488D" w:rsidRDefault="00B4550A" w:rsidP="002B7E09">
      <w:pPr>
        <w:pStyle w:val="NumberedParas"/>
      </w:pPr>
      <w:r w:rsidRPr="00E0488D">
        <w:t xml:space="preserve">Scopul principal al tuturor politicilor UE este de a crea o piață integrată, nu doar de a elimina barierele interne și de a oferi un comerț echitabil, dar și de a oferi acestei piețe multe dintre caracteristicile unei uniuni economice și monetare. </w:t>
      </w:r>
    </w:p>
    <w:p w:rsidR="00B4550A" w:rsidRPr="00E0488D" w:rsidRDefault="00B4550A" w:rsidP="002B7E09">
      <w:pPr>
        <w:pStyle w:val="NumberedParas"/>
      </w:pPr>
      <w:r w:rsidRPr="00E0488D">
        <w:t>Principalele responsabilități politice pot fi împărțite în cinci grupe majore:</w:t>
      </w:r>
    </w:p>
    <w:p w:rsidR="00B4550A" w:rsidRPr="00E0488D" w:rsidRDefault="00B4550A" w:rsidP="00BC2B57">
      <w:pPr>
        <w:pStyle w:val="BulletLevel1"/>
      </w:pPr>
      <w:r w:rsidRPr="00E0488D">
        <w:t>Stabilirea pieței unice europene;</w:t>
      </w:r>
    </w:p>
    <w:p w:rsidR="00B4550A" w:rsidRPr="00E0488D" w:rsidRDefault="00B4550A" w:rsidP="00BC2B57">
      <w:pPr>
        <w:pStyle w:val="BulletLevel1"/>
      </w:pPr>
      <w:r w:rsidRPr="00E0488D">
        <w:t>Politicile macroeconomice și financiare;</w:t>
      </w:r>
    </w:p>
    <w:p w:rsidR="00B4550A" w:rsidRPr="00E0488D" w:rsidRDefault="00B4550A" w:rsidP="00BC2B57">
      <w:pPr>
        <w:pStyle w:val="BulletLevel1"/>
      </w:pPr>
      <w:r w:rsidRPr="00E0488D">
        <w:t>Politicile funcționale;</w:t>
      </w:r>
    </w:p>
    <w:p w:rsidR="00B4550A" w:rsidRPr="00E0488D" w:rsidRDefault="00B4550A" w:rsidP="00BC2B57">
      <w:pPr>
        <w:pStyle w:val="BulletLevel1"/>
      </w:pPr>
      <w:r w:rsidRPr="00E0488D">
        <w:t>Politicile sectoriale; și</w:t>
      </w:r>
    </w:p>
    <w:p w:rsidR="00B4550A" w:rsidRPr="00E0488D" w:rsidRDefault="00B4550A" w:rsidP="00BC2B57">
      <w:pPr>
        <w:pStyle w:val="BulletLevel1"/>
      </w:pPr>
      <w:r w:rsidRPr="00E0488D">
        <w:t>Politicile externe.</w:t>
      </w:r>
    </w:p>
    <w:p w:rsidR="00B4550A" w:rsidRPr="00E0488D" w:rsidRDefault="00B4550A" w:rsidP="002B7E09">
      <w:pPr>
        <w:pStyle w:val="NumberedParas"/>
      </w:pPr>
      <w:r w:rsidRPr="00E0488D">
        <w:t>Politicile funcționale au un scop funcțional bine definit și de natură mai specifică în comparație cu politicile macroeconomice. Cele mai cunoscute politici funcționale sunt justiția și afacerile interne, coeziunea și cercertările și dezvoltarea tehnologică. Alte politici sunt îndreptate spre sectoare economice specifice care acoperă industria cărbunelui și oțelului, energia atomică, agricultura și transportul. Aceste politici sectoriale au fost prevăzute în mod explicit în Tratatele fondatoare.</w:t>
      </w:r>
    </w:p>
    <w:p w:rsidR="00B4550A" w:rsidRPr="00E0488D" w:rsidRDefault="00B4550A" w:rsidP="002B7E09">
      <w:pPr>
        <w:pStyle w:val="NumberedParas"/>
      </w:pPr>
      <w:r w:rsidRPr="00E0488D">
        <w:t>Politica de transport a UE este o componentă a acestui proces de integrare. Aceasta are un accent de reglementare în domeniul condițiilor de muncă și protecției mediului din cauza implicațiilor de piață. De asemenea, se dezvoltă un cadrul pentru o piață integrată de transport nu doar pentru a găsi soluții barierelor interne. În sectorul transporturilor, gradul de implicare politică a UE poate fi privit ca o responsabilitate partajată între UE și statele membre.</w:t>
      </w:r>
    </w:p>
    <w:p w:rsidR="00B4550A" w:rsidRPr="00E0488D" w:rsidRDefault="00B4550A" w:rsidP="002B7E09">
      <w:pPr>
        <w:pStyle w:val="NumberedParas"/>
      </w:pPr>
      <w:r w:rsidRPr="00E0488D">
        <w:t>Din multitudinea de planuri, strategii, programe europene legate de sectorul transporturilor au fost luate în considerare cele mai importante planuri de programe, strategii, politici și convențiile existente pentru identificarea problemelor, aspectelor care pot influența Master Planul General de Transport.</w:t>
      </w:r>
    </w:p>
    <w:p w:rsidR="00B4550A" w:rsidRPr="00E0488D" w:rsidRDefault="00B4550A" w:rsidP="002B7E09">
      <w:pPr>
        <w:pStyle w:val="NumberedParas"/>
        <w:rPr>
          <w:rFonts w:eastAsia="Calibri"/>
        </w:rPr>
      </w:pPr>
      <w:r w:rsidRPr="00E0488D">
        <w:rPr>
          <w:rFonts w:eastAsia="Calibri"/>
        </w:rPr>
        <w:t>În urma acestei analize s-au tras următoarele concluzii:</w:t>
      </w:r>
    </w:p>
    <w:p w:rsidR="00B4550A" w:rsidRPr="00E0488D" w:rsidRDefault="00B4550A" w:rsidP="00BC2B57">
      <w:pPr>
        <w:pStyle w:val="BulletLevel1"/>
        <w:rPr>
          <w:rFonts w:eastAsia="Calibri"/>
        </w:rPr>
      </w:pPr>
      <w:r w:rsidRPr="00E0488D">
        <w:rPr>
          <w:rStyle w:val="hps"/>
          <w:rFonts w:cs="Arial"/>
          <w:color w:val="000000"/>
        </w:rPr>
        <w:lastRenderedPageBreak/>
        <w:t>Principalele obiective naționale de transport sunt comune cu cele din MPGT și urmează cele de mai jos</w:t>
      </w:r>
      <w:r w:rsidRPr="00E0488D">
        <w:rPr>
          <w:rFonts w:eastAsia="Calibri"/>
        </w:rPr>
        <w:t>:</w:t>
      </w:r>
    </w:p>
    <w:p w:rsidR="00B4550A" w:rsidRPr="00E0488D" w:rsidRDefault="00B4550A" w:rsidP="00B4550A">
      <w:pPr>
        <w:pStyle w:val="Bullet"/>
        <w:rPr>
          <w:bCs/>
        </w:rPr>
      </w:pPr>
      <w:r w:rsidRPr="00E0488D">
        <w:rPr>
          <w:rStyle w:val="hps"/>
          <w:rFonts w:cs="Arial"/>
          <w:color w:val="000000"/>
        </w:rPr>
        <w:t>Asigurarea dezvoltării economice</w:t>
      </w:r>
      <w:r w:rsidRPr="00E0488D">
        <w:t xml:space="preserve">: sectorul de </w:t>
      </w:r>
      <w:r w:rsidRPr="00E0488D">
        <w:rPr>
          <w:rStyle w:val="hps"/>
          <w:rFonts w:cs="Arial"/>
          <w:color w:val="000000"/>
        </w:rPr>
        <w:t>transport ar trebui să contribuie la dezvoltarea economiei naționale, iar beneficiile economice ar trebui să depășească costurile sale</w:t>
      </w:r>
      <w:r w:rsidRPr="00E0488D">
        <w:rPr>
          <w:bCs/>
        </w:rPr>
        <w:t>;</w:t>
      </w:r>
    </w:p>
    <w:p w:rsidR="00B4550A" w:rsidRPr="00E0488D" w:rsidRDefault="00B4550A" w:rsidP="00B4550A">
      <w:pPr>
        <w:pStyle w:val="Bullet"/>
        <w:rPr>
          <w:bCs/>
        </w:rPr>
      </w:pPr>
      <w:r w:rsidRPr="00E0488D">
        <w:rPr>
          <w:rStyle w:val="hps"/>
          <w:rFonts w:cs="Arial"/>
          <w:color w:val="000000"/>
        </w:rPr>
        <w:t>Dezvoltarea durabilă</w:t>
      </w:r>
      <w:r w:rsidRPr="00E0488D">
        <w:t xml:space="preserve">: sistemul de </w:t>
      </w:r>
      <w:r w:rsidRPr="00E0488D">
        <w:rPr>
          <w:rStyle w:val="hps"/>
          <w:rFonts w:cs="Arial"/>
          <w:color w:val="000000"/>
        </w:rPr>
        <w:t>transport trebuie să fie eficient din punct de vedere al consumului de energie, furnizând rezerve pentru generațiile viitoare</w:t>
      </w:r>
      <w:r w:rsidRPr="00E0488D">
        <w:rPr>
          <w:bCs/>
        </w:rPr>
        <w:t>;</w:t>
      </w:r>
    </w:p>
    <w:p w:rsidR="00B4550A" w:rsidRPr="00E0488D" w:rsidRDefault="00B4550A" w:rsidP="00B4550A">
      <w:pPr>
        <w:pStyle w:val="Bullet"/>
        <w:rPr>
          <w:bCs/>
        </w:rPr>
      </w:pPr>
      <w:r w:rsidRPr="00E0488D">
        <w:rPr>
          <w:bCs/>
        </w:rPr>
        <w:t xml:space="preserve">Siguranță: sistemul de </w:t>
      </w:r>
      <w:r w:rsidRPr="00E0488D">
        <w:rPr>
          <w:rStyle w:val="hps"/>
          <w:rFonts w:cs="Arial"/>
          <w:color w:val="000000"/>
        </w:rPr>
        <w:t>transport trebuie să furnizeze securitate</w:t>
      </w:r>
      <w:r w:rsidRPr="00E0488D">
        <w:rPr>
          <w:bCs/>
        </w:rPr>
        <w:t>;</w:t>
      </w:r>
    </w:p>
    <w:p w:rsidR="00B4550A" w:rsidRPr="00E0488D" w:rsidRDefault="00B4550A" w:rsidP="00B4550A">
      <w:pPr>
        <w:pStyle w:val="Bullet"/>
        <w:rPr>
          <w:bCs/>
        </w:rPr>
      </w:pPr>
      <w:r w:rsidRPr="00E0488D">
        <w:rPr>
          <w:rStyle w:val="hps"/>
          <w:rFonts w:cs="Arial"/>
          <w:color w:val="000000"/>
        </w:rPr>
        <w:t>Furnizarea fondurilor</w:t>
      </w:r>
      <w:r w:rsidRPr="00E0488D">
        <w:t xml:space="preserve">: Master </w:t>
      </w:r>
      <w:r w:rsidRPr="00E0488D">
        <w:rPr>
          <w:rStyle w:val="hps"/>
          <w:rFonts w:cs="Arial"/>
          <w:color w:val="000000"/>
        </w:rPr>
        <w:t xml:space="preserve">Planul trebuie să poată absorbi fonduri UE. </w:t>
      </w:r>
      <w:r w:rsidRPr="00E0488D">
        <w:t xml:space="preserve"> </w:t>
      </w:r>
    </w:p>
    <w:p w:rsidR="00B4550A" w:rsidRPr="00E0488D" w:rsidRDefault="00B4550A" w:rsidP="00BC2B57">
      <w:pPr>
        <w:pStyle w:val="BulletLevel1"/>
        <w:rPr>
          <w:rFonts w:eastAsia="Calibri"/>
        </w:rPr>
      </w:pPr>
      <w:r w:rsidRPr="00E0488D">
        <w:rPr>
          <w:rStyle w:val="hps"/>
          <w:rFonts w:cs="Arial"/>
          <w:color w:val="000000"/>
        </w:rPr>
        <w:t>MPGT ia în considerare măsurile necesare pentru a se adapta la schimbările climatice</w:t>
      </w:r>
      <w:r w:rsidRPr="00E0488D">
        <w:rPr>
          <w:rFonts w:eastAsia="Calibri"/>
        </w:rPr>
        <w:t>;</w:t>
      </w:r>
    </w:p>
    <w:p w:rsidR="00B4550A" w:rsidRPr="00E0488D" w:rsidRDefault="00B4550A" w:rsidP="00BC2B57">
      <w:pPr>
        <w:pStyle w:val="BulletLevel1"/>
        <w:rPr>
          <w:rStyle w:val="hps"/>
          <w:rFonts w:eastAsia="Calibri"/>
          <w:sz w:val="18"/>
          <w:szCs w:val="18"/>
        </w:rPr>
      </w:pPr>
      <w:r w:rsidRPr="00E0488D">
        <w:rPr>
          <w:rStyle w:val="hps"/>
          <w:rFonts w:cs="Arial"/>
          <w:color w:val="000000"/>
        </w:rPr>
        <w:t>Pe baza strategiilor/ planurilor care au ca scop principal protejarea mediului și având în vedere problemele de mediu existente la nivel național cu privire la sectorul de transport, pentru MPGT au fost propuse o serie de obiective relevante de mediu care să țină seama de obiectivele stabilite la nivel național și european pentru protecția mediului (a se vedea de asemenea Secțiunea 2.3- Stabilirea Obiectivelor).</w:t>
      </w:r>
    </w:p>
    <w:p w:rsidR="00B4550A" w:rsidRPr="00E0488D" w:rsidRDefault="00B4550A" w:rsidP="002B7E09">
      <w:pPr>
        <w:pStyle w:val="NumberedParas"/>
        <w:rPr>
          <w:rFonts w:eastAsia="Calibri"/>
        </w:rPr>
      </w:pPr>
      <w:r w:rsidRPr="00E0488D">
        <w:rPr>
          <w:rStyle w:val="hps"/>
          <w:rFonts w:cs="Arial"/>
          <w:color w:val="000000"/>
        </w:rPr>
        <w:t>Au fost analizate o serie de documente de politici naționale și europene în ceea ce privește relația cu Master Planul, printre care cele mai relevante sunt următoarele:</w:t>
      </w:r>
    </w:p>
    <w:p w:rsidR="00B4550A" w:rsidRPr="00E0488D" w:rsidRDefault="00B4550A" w:rsidP="00BC2B57">
      <w:pPr>
        <w:pStyle w:val="BulletLevel1"/>
        <w:rPr>
          <w:rFonts w:eastAsia="Calibri"/>
        </w:rPr>
      </w:pPr>
      <w:r w:rsidRPr="00E0488D">
        <w:rPr>
          <w:rStyle w:val="hps"/>
          <w:rFonts w:cs="Arial"/>
          <w:color w:val="000000"/>
        </w:rPr>
        <w:t>Politicile europene și naționale</w:t>
      </w:r>
    </w:p>
    <w:p w:rsidR="00B4550A" w:rsidRPr="00E0488D" w:rsidRDefault="00B4550A" w:rsidP="00B4550A">
      <w:pPr>
        <w:pStyle w:val="Bullet"/>
        <w:rPr>
          <w:rFonts w:eastAsia="Calibri"/>
          <w:b/>
        </w:rPr>
      </w:pPr>
      <w:r w:rsidRPr="00E0488D">
        <w:rPr>
          <w:rFonts w:eastAsia="Calibri"/>
          <w:b/>
        </w:rPr>
        <w:t>Reglementări privind rețeaua TEN-T</w:t>
      </w:r>
      <w:r w:rsidRPr="00E0488D">
        <w:rPr>
          <w:rStyle w:val="FootnoteReference"/>
          <w:rFonts w:eastAsia="Calibri"/>
          <w:b/>
        </w:rPr>
        <w:footnoteReference w:id="6"/>
      </w:r>
    </w:p>
    <w:p w:rsidR="00B4550A" w:rsidRPr="00E0488D" w:rsidRDefault="00B4550A" w:rsidP="00B4550A">
      <w:pPr>
        <w:pStyle w:val="Bullet"/>
        <w:rPr>
          <w:rFonts w:eastAsia="Calibri"/>
          <w:b/>
        </w:rPr>
      </w:pPr>
      <w:r w:rsidRPr="00E0488D">
        <w:rPr>
          <w:rFonts w:eastAsia="Calibri"/>
          <w:b/>
        </w:rPr>
        <w:t>Cartea Albă a UE privind transporturile 2011)</w:t>
      </w:r>
      <w:r w:rsidRPr="00E0488D">
        <w:rPr>
          <w:rFonts w:eastAsia="Calibri"/>
          <w:b/>
          <w:vertAlign w:val="superscript"/>
        </w:rPr>
        <w:footnoteReference w:id="7"/>
      </w:r>
    </w:p>
    <w:p w:rsidR="00B4550A" w:rsidRPr="00E0488D" w:rsidRDefault="00B4550A" w:rsidP="00B4550A">
      <w:pPr>
        <w:pStyle w:val="Bullet"/>
        <w:rPr>
          <w:rFonts w:eastAsia="Calibri"/>
        </w:rPr>
      </w:pPr>
      <w:r w:rsidRPr="00E0488D">
        <w:rPr>
          <w:rStyle w:val="hps"/>
          <w:rFonts w:cs="Arial"/>
          <w:color w:val="000000"/>
        </w:rPr>
        <w:t>Programe guvernamentale</w:t>
      </w:r>
      <w:r w:rsidRPr="00E0488D">
        <w:t xml:space="preserve"> </w:t>
      </w:r>
      <w:r w:rsidRPr="00E0488D">
        <w:rPr>
          <w:rStyle w:val="hps"/>
          <w:rFonts w:cs="Arial"/>
          <w:color w:val="000000"/>
        </w:rPr>
        <w:t>2013-2016</w:t>
      </w:r>
      <w:r w:rsidRPr="00E0488D">
        <w:t xml:space="preserve"> </w:t>
      </w:r>
      <w:r w:rsidRPr="00E0488D">
        <w:rPr>
          <w:rStyle w:val="hps"/>
          <w:rFonts w:cs="Arial"/>
          <w:color w:val="000000"/>
        </w:rPr>
        <w:t>–</w:t>
      </w:r>
      <w:r w:rsidRPr="00E0488D">
        <w:t xml:space="preserve"> politici de </w:t>
      </w:r>
      <w:r w:rsidRPr="00E0488D">
        <w:rPr>
          <w:rStyle w:val="hps"/>
          <w:rFonts w:cs="Arial"/>
          <w:color w:val="000000"/>
        </w:rPr>
        <w:t>transport</w:t>
      </w:r>
      <w:r w:rsidRPr="00E0488D">
        <w:t xml:space="preserve"> propuse de Guvernul României</w:t>
      </w:r>
      <w:r w:rsidRPr="00E0488D">
        <w:rPr>
          <w:rFonts w:eastAsia="Calibri"/>
          <w:vertAlign w:val="superscript"/>
        </w:rPr>
        <w:footnoteReference w:id="8"/>
      </w:r>
    </w:p>
    <w:p w:rsidR="00B4550A" w:rsidRPr="00E0488D" w:rsidRDefault="00B4550A" w:rsidP="00B4550A">
      <w:pPr>
        <w:pStyle w:val="Bullet"/>
        <w:rPr>
          <w:rFonts w:eastAsia="Calibri"/>
        </w:rPr>
      </w:pPr>
      <w:r w:rsidRPr="00E0488D">
        <w:rPr>
          <w:rFonts w:eastAsia="Calibri" w:cs="Arial"/>
        </w:rPr>
        <w:t>Planul Strategic Integrat în domeniul transporturilor şi infrastructurii - iunie 2009 (Politica Ministerului Transporturilor</w:t>
      </w:r>
      <w:r w:rsidRPr="00E0488D">
        <w:rPr>
          <w:rFonts w:eastAsia="Calibri"/>
        </w:rPr>
        <w:t>)</w:t>
      </w:r>
      <w:r w:rsidRPr="00E0488D">
        <w:rPr>
          <w:rFonts w:eastAsia="Calibri"/>
          <w:vertAlign w:val="superscript"/>
        </w:rPr>
        <w:footnoteReference w:id="9"/>
      </w:r>
    </w:p>
    <w:p w:rsidR="00B4550A" w:rsidRPr="00E0488D" w:rsidRDefault="00B4550A" w:rsidP="00BC2B57">
      <w:pPr>
        <w:pStyle w:val="BulletLevel1"/>
        <w:rPr>
          <w:rFonts w:eastAsia="Calibri"/>
        </w:rPr>
      </w:pPr>
      <w:r w:rsidRPr="00E0488D">
        <w:rPr>
          <w:rStyle w:val="hps"/>
          <w:rFonts w:cs="Arial"/>
          <w:color w:val="000000"/>
        </w:rPr>
        <w:t>Acorduri de parteneriat</w:t>
      </w:r>
    </w:p>
    <w:p w:rsidR="00B4550A" w:rsidRPr="00E0488D" w:rsidRDefault="00B4550A" w:rsidP="00B4550A">
      <w:pPr>
        <w:pStyle w:val="Bullet"/>
        <w:rPr>
          <w:rFonts w:eastAsia="Calibri"/>
        </w:rPr>
      </w:pPr>
      <w:r w:rsidRPr="00E0488D">
        <w:rPr>
          <w:rFonts w:eastAsia="Calibri" w:cs="Arial"/>
        </w:rPr>
        <w:t>Acord de parteneriat propus de România pentru perioada de programare 2014-2020 (Ministerul Fondurilor Europene</w:t>
      </w:r>
      <w:r w:rsidRPr="00E0488D">
        <w:rPr>
          <w:rFonts w:eastAsia="Calibri"/>
        </w:rPr>
        <w:t>)</w:t>
      </w:r>
      <w:r w:rsidRPr="00E0488D">
        <w:rPr>
          <w:rFonts w:eastAsia="Calibri"/>
          <w:vertAlign w:val="superscript"/>
        </w:rPr>
        <w:footnoteReference w:id="10"/>
      </w:r>
    </w:p>
    <w:p w:rsidR="00B4550A" w:rsidRPr="00E0488D" w:rsidRDefault="00B4550A" w:rsidP="00BC2B57">
      <w:pPr>
        <w:pStyle w:val="BulletLevel1"/>
        <w:rPr>
          <w:rFonts w:eastAsia="Calibri"/>
        </w:rPr>
      </w:pPr>
      <w:r w:rsidRPr="00E0488D">
        <w:rPr>
          <w:rFonts w:eastAsia="Calibri"/>
        </w:rPr>
        <w:t>Programe europene şi naţionale</w:t>
      </w:r>
    </w:p>
    <w:p w:rsidR="00B4550A" w:rsidRPr="00E0488D" w:rsidRDefault="00B4550A" w:rsidP="00B4550A">
      <w:pPr>
        <w:pStyle w:val="Bullet"/>
        <w:rPr>
          <w:rFonts w:eastAsia="Calibri"/>
        </w:rPr>
      </w:pPr>
      <w:r w:rsidRPr="00E0488D">
        <w:rPr>
          <w:rFonts w:eastAsia="Calibri" w:cs="Arial"/>
        </w:rPr>
        <w:t>Program de acțiune european integrat pentru transportul pe căi navigabile interioare</w:t>
      </w:r>
      <w:r w:rsidRPr="00E0488D">
        <w:rPr>
          <w:rFonts w:ascii="Calibri" w:eastAsia="Calibri" w:hAnsi="Calibri"/>
        </w:rPr>
        <w:t xml:space="preserve"> </w:t>
      </w:r>
      <w:r w:rsidRPr="00E0488D">
        <w:rPr>
          <w:rFonts w:eastAsia="Calibri" w:cs="Arial"/>
        </w:rPr>
        <w:t>- NAIADES</w:t>
      </w:r>
      <w:r w:rsidRPr="00E0488D">
        <w:rPr>
          <w:rFonts w:eastAsia="Calibri" w:cs="Arial"/>
          <w:vertAlign w:val="superscript"/>
        </w:rPr>
        <w:t xml:space="preserve"> </w:t>
      </w:r>
      <w:r w:rsidRPr="00E0488D">
        <w:rPr>
          <w:rFonts w:eastAsia="Calibri" w:cs="Arial"/>
        </w:rPr>
        <w:t>I şi II</w:t>
      </w:r>
      <w:r w:rsidRPr="00E0488D">
        <w:rPr>
          <w:rStyle w:val="hps"/>
          <w:rFonts w:cs="Arial"/>
          <w:color w:val="000000"/>
        </w:rPr>
        <w:t xml:space="preserve"> </w:t>
      </w:r>
      <w:r w:rsidRPr="00E0488D">
        <w:rPr>
          <w:rFonts w:eastAsia="Calibri"/>
          <w:vertAlign w:val="superscript"/>
        </w:rPr>
        <w:footnoteReference w:id="11"/>
      </w:r>
    </w:p>
    <w:p w:rsidR="00B4550A" w:rsidRPr="00E0488D" w:rsidRDefault="00B4550A" w:rsidP="00B4550A">
      <w:pPr>
        <w:pStyle w:val="Bullet"/>
        <w:rPr>
          <w:rFonts w:eastAsia="Calibri"/>
        </w:rPr>
      </w:pPr>
      <w:r w:rsidRPr="00E0488D">
        <w:rPr>
          <w:rFonts w:eastAsia="Calibri" w:cs="Arial"/>
        </w:rPr>
        <w:t>Program Operational Sectorial Transport (POST)  2007 – 2013, revizia 2</w:t>
      </w:r>
      <w:r w:rsidRPr="00E0488D">
        <w:rPr>
          <w:rFonts w:eastAsia="Calibri"/>
          <w:vertAlign w:val="superscript"/>
        </w:rPr>
        <w:footnoteReference w:id="12"/>
      </w:r>
    </w:p>
    <w:p w:rsidR="00B4550A" w:rsidRPr="00E0488D" w:rsidRDefault="00B4550A" w:rsidP="00B4550A">
      <w:pPr>
        <w:pStyle w:val="Bullet"/>
        <w:rPr>
          <w:rFonts w:eastAsia="Calibri"/>
        </w:rPr>
      </w:pPr>
      <w:r w:rsidRPr="00E0488D">
        <w:rPr>
          <w:rFonts w:eastAsia="Calibri" w:cs="Arial"/>
        </w:rPr>
        <w:t>Programul strategic de dezvoltare a infrastructurii aeroportuare în Aeroportul International Bucureşti Otopeni (1999-2015) - Legea nr. 220/2002 (MOf. nr. 288/29.04.2002) privind aprobarea OG nr. 64/1999 (MOf. nr. 405/26.08.1999)</w:t>
      </w:r>
    </w:p>
    <w:p w:rsidR="00B4550A" w:rsidRPr="00E0488D" w:rsidRDefault="00B4550A" w:rsidP="00B4550A">
      <w:pPr>
        <w:pStyle w:val="Bullet"/>
        <w:rPr>
          <w:rFonts w:eastAsia="Calibri"/>
        </w:rPr>
      </w:pPr>
      <w:r w:rsidRPr="00E0488D">
        <w:rPr>
          <w:rFonts w:eastAsia="Calibri" w:cs="Arial"/>
        </w:rPr>
        <w:t>Programul strategic de dezvoltare a infrastructurii aeroportuare la SN Aeroportul International Constanţa SA pe perioada 2002-2015 - HG nr. 623/2002 (MOf. nr. 458/27.06.2002)</w:t>
      </w:r>
    </w:p>
    <w:p w:rsidR="00B4550A" w:rsidRPr="00E0488D" w:rsidRDefault="00B4550A" w:rsidP="00B4550A">
      <w:pPr>
        <w:pStyle w:val="Bullet"/>
        <w:rPr>
          <w:rFonts w:eastAsia="Calibri"/>
        </w:rPr>
      </w:pPr>
      <w:r w:rsidRPr="00E0488D">
        <w:rPr>
          <w:rFonts w:eastAsia="Calibri" w:cs="Arial"/>
        </w:rPr>
        <w:lastRenderedPageBreak/>
        <w:t>Programul strategic de dezvoltare a infrastructurii aeroportuare la SN Aeroportul International Timişoara SA pe perioada 2002-2015 - HG nr. 60/2003 (MOf. nr. 76/06.02.2003) pentru modificarea HG 615/2002 (MOf. 488/08.07.2002)</w:t>
      </w:r>
    </w:p>
    <w:p w:rsidR="00B4550A" w:rsidRPr="00E0488D" w:rsidRDefault="00B4550A" w:rsidP="00BC2B57">
      <w:pPr>
        <w:pStyle w:val="BulletLevel1"/>
        <w:rPr>
          <w:rFonts w:eastAsia="Calibri"/>
        </w:rPr>
      </w:pPr>
      <w:r w:rsidRPr="00E0488D">
        <w:rPr>
          <w:rFonts w:eastAsia="Calibri"/>
        </w:rPr>
        <w:t>Planuri naționale</w:t>
      </w:r>
    </w:p>
    <w:p w:rsidR="00B4550A" w:rsidRPr="00E0488D" w:rsidRDefault="00B4550A" w:rsidP="00B4550A">
      <w:pPr>
        <w:pStyle w:val="Bullet"/>
        <w:rPr>
          <w:rFonts w:eastAsia="Calibri"/>
        </w:rPr>
      </w:pPr>
      <w:r w:rsidRPr="00E0488D">
        <w:rPr>
          <w:rFonts w:eastAsia="Calibri" w:cs="Arial"/>
        </w:rPr>
        <w:t>Plan national de actiune in domeniul eficienței energetice (PNAEE) – elaborat în 2007, în curs de revizuire</w:t>
      </w:r>
      <w:r w:rsidRPr="00E0488D">
        <w:rPr>
          <w:rStyle w:val="do1"/>
          <w:rFonts w:cs="Arial"/>
          <w:color w:val="000000"/>
        </w:rPr>
        <w:t xml:space="preserve"> </w:t>
      </w:r>
    </w:p>
    <w:p w:rsidR="00B4550A" w:rsidRPr="00E0488D" w:rsidRDefault="00B4550A" w:rsidP="00B4550A">
      <w:pPr>
        <w:pStyle w:val="Bullet"/>
        <w:rPr>
          <w:rFonts w:eastAsia="Calibri"/>
        </w:rPr>
      </w:pPr>
      <w:r w:rsidRPr="00E0488D">
        <w:rPr>
          <w:rFonts w:eastAsia="Calibri" w:cs="Arial"/>
        </w:rPr>
        <w:t>Planul de Amenajare a Teritoriului Național (PATN) – Secțiunea 1 Rețele de Transport. Rețele cheie de transport feroviar și rutier (Legea 363/2006)</w:t>
      </w:r>
    </w:p>
    <w:p w:rsidR="00B4550A" w:rsidRPr="00E0488D" w:rsidRDefault="00B4550A" w:rsidP="00B4550A">
      <w:pPr>
        <w:pStyle w:val="Bullet"/>
        <w:rPr>
          <w:rFonts w:eastAsia="Calibri"/>
        </w:rPr>
      </w:pPr>
      <w:r w:rsidRPr="00E0488D">
        <w:rPr>
          <w:rFonts w:eastAsia="Calibri" w:cs="Arial"/>
        </w:rPr>
        <w:t xml:space="preserve">LEGEA nr. </w:t>
      </w:r>
      <w:hyperlink r:id="rId75" w:history="1">
        <w:r w:rsidRPr="00E0488D">
          <w:rPr>
            <w:rFonts w:eastAsia="Calibri" w:cs="Arial"/>
          </w:rPr>
          <w:t>203 din 16 mai 2003</w:t>
        </w:r>
      </w:hyperlink>
      <w:r w:rsidRPr="00E0488D">
        <w:rPr>
          <w:rFonts w:eastAsia="Calibri" w:cs="Arial"/>
        </w:rPr>
        <w:t xml:space="preserve"> privind realizarea, dezvoltarea și modernizarea reţelei de transport de interes naţional şi European </w:t>
      </w:r>
    </w:p>
    <w:p w:rsidR="00B4550A" w:rsidRPr="00E0488D" w:rsidRDefault="00B4550A" w:rsidP="00B4550A">
      <w:pPr>
        <w:pStyle w:val="Bullet"/>
        <w:rPr>
          <w:rFonts w:eastAsia="Calibri"/>
        </w:rPr>
      </w:pPr>
      <w:r w:rsidRPr="00E0488D">
        <w:rPr>
          <w:rFonts w:eastAsia="Calibri" w:cs="Arial"/>
        </w:rPr>
        <w:t>Planul de Management aferent Porţiunii Naţionale a Bazinului Hidrografic Internaţional al Fluviului Dunărea -Sinteza planurilor de management la nivel de bazine/spaţii hidrografice</w:t>
      </w:r>
      <w:r w:rsidRPr="00E0488D">
        <w:rPr>
          <w:rStyle w:val="hps"/>
          <w:rFonts w:cs="Arial"/>
          <w:color w:val="000000"/>
          <w:sz w:val="20"/>
          <w:szCs w:val="20"/>
        </w:rPr>
        <w:t xml:space="preserve"> </w:t>
      </w:r>
      <w:r w:rsidRPr="00E0488D" w:rsidDel="00F40950">
        <w:rPr>
          <w:rFonts w:eastAsia="Calibri"/>
        </w:rPr>
        <w:t xml:space="preserve"> </w:t>
      </w:r>
    </w:p>
    <w:p w:rsidR="00B4550A" w:rsidRPr="00E0488D" w:rsidRDefault="00B4550A" w:rsidP="00BC2B57">
      <w:pPr>
        <w:pStyle w:val="BulletLevel1"/>
        <w:rPr>
          <w:rFonts w:eastAsia="Calibri"/>
        </w:rPr>
      </w:pPr>
      <w:r w:rsidRPr="00E0488D">
        <w:rPr>
          <w:rFonts w:eastAsia="Calibri"/>
        </w:rPr>
        <w:t xml:space="preserve">Strategii europene și naționale </w:t>
      </w:r>
    </w:p>
    <w:p w:rsidR="00B4550A" w:rsidRPr="00E0488D" w:rsidRDefault="00B4550A" w:rsidP="00B4550A">
      <w:pPr>
        <w:pStyle w:val="Bullet"/>
        <w:rPr>
          <w:rFonts w:eastAsia="Calibri"/>
          <w:b/>
        </w:rPr>
      </w:pPr>
      <w:r w:rsidRPr="00E0488D">
        <w:rPr>
          <w:rFonts w:eastAsia="Calibri"/>
          <w:b/>
        </w:rPr>
        <w:t>Startegia Europa 2020</w:t>
      </w:r>
      <w:r w:rsidRPr="00E0488D">
        <w:rPr>
          <w:rFonts w:eastAsia="Calibri"/>
          <w:b/>
          <w:vertAlign w:val="superscript"/>
        </w:rPr>
        <w:t xml:space="preserve"> </w:t>
      </w:r>
      <w:r w:rsidRPr="00E0488D">
        <w:rPr>
          <w:rFonts w:eastAsia="Calibri"/>
          <w:b/>
          <w:vertAlign w:val="superscript"/>
        </w:rPr>
        <w:footnoteReference w:id="13"/>
      </w:r>
    </w:p>
    <w:p w:rsidR="00B4550A" w:rsidRPr="00E0488D" w:rsidRDefault="00B4550A" w:rsidP="00B4550A">
      <w:pPr>
        <w:pStyle w:val="Bullet"/>
        <w:rPr>
          <w:rFonts w:eastAsia="Calibri"/>
          <w:b/>
        </w:rPr>
      </w:pPr>
      <w:r w:rsidRPr="00E0488D">
        <w:rPr>
          <w:rFonts w:eastAsia="Calibri" w:cs="Arial"/>
          <w:b/>
        </w:rPr>
        <w:t>Strategia Uniunii Europene pentru Regiunea Dunării</w:t>
      </w:r>
      <w:r w:rsidRPr="00E0488D">
        <w:rPr>
          <w:rFonts w:eastAsia="Calibri"/>
          <w:b/>
          <w:vertAlign w:val="superscript"/>
        </w:rPr>
        <w:t xml:space="preserve"> </w:t>
      </w:r>
      <w:r w:rsidRPr="00E0488D">
        <w:rPr>
          <w:rFonts w:eastAsia="Calibri"/>
          <w:b/>
          <w:vertAlign w:val="superscript"/>
        </w:rPr>
        <w:footnoteReference w:id="14"/>
      </w:r>
    </w:p>
    <w:p w:rsidR="00B4550A" w:rsidRPr="00E0488D" w:rsidRDefault="00B4550A" w:rsidP="00B4550A">
      <w:pPr>
        <w:pStyle w:val="Bullet"/>
        <w:rPr>
          <w:rFonts w:eastAsia="Calibri"/>
          <w:b/>
        </w:rPr>
      </w:pPr>
      <w:r w:rsidRPr="00E0488D">
        <w:rPr>
          <w:rFonts w:eastAsia="Calibri" w:cs="Arial"/>
          <w:b/>
        </w:rPr>
        <w:t>Strategia UE privind adaptarea la schimbările climatice (2013)</w:t>
      </w:r>
      <w:r w:rsidRPr="00E0488D">
        <w:rPr>
          <w:rFonts w:eastAsia="Calibri"/>
          <w:b/>
          <w:vertAlign w:val="superscript"/>
        </w:rPr>
        <w:footnoteReference w:id="15"/>
      </w:r>
    </w:p>
    <w:p w:rsidR="00B4550A" w:rsidRPr="00E0488D" w:rsidRDefault="00B4550A" w:rsidP="00B4550A">
      <w:pPr>
        <w:pStyle w:val="Bullet"/>
        <w:rPr>
          <w:rFonts w:eastAsia="Calibri"/>
        </w:rPr>
      </w:pPr>
      <w:r w:rsidRPr="00E0488D">
        <w:rPr>
          <w:rFonts w:eastAsia="Calibri" w:cs="Arial"/>
        </w:rPr>
        <w:t xml:space="preserve">Strategia pentru mediul marin (Directiva </w:t>
      </w:r>
      <w:hyperlink r:id="rId76" w:tgtFrame="_blank" w:tooltip="2008/56/CE" w:history="1">
        <w:r w:rsidRPr="00E0488D">
          <w:rPr>
            <w:rFonts w:eastAsia="Calibri" w:cs="Arial"/>
          </w:rPr>
          <w:t>2008/56/CE</w:t>
        </w:r>
      </w:hyperlink>
      <w:r w:rsidRPr="00E0488D">
        <w:rPr>
          <w:rFonts w:eastAsia="Calibri" w:cs="Arial"/>
        </w:rPr>
        <w:t xml:space="preserve"> a Parlamentului European şi a Consiliului din 17 iunie 2008 de instituire a unui cadru de acţiune comunitară în domeniul politicii privind mediul marin</w:t>
      </w:r>
      <w:r w:rsidRPr="00E0488D">
        <w:rPr>
          <w:rFonts w:eastAsia="Calibri"/>
        </w:rPr>
        <w:t>)</w:t>
      </w:r>
      <w:r w:rsidRPr="00E0488D">
        <w:rPr>
          <w:rFonts w:eastAsia="Calibri"/>
          <w:vertAlign w:val="superscript"/>
        </w:rPr>
        <w:footnoteReference w:id="16"/>
      </w:r>
    </w:p>
    <w:p w:rsidR="00B4550A" w:rsidRPr="00E0488D" w:rsidRDefault="00B4550A" w:rsidP="00B4550A">
      <w:pPr>
        <w:pStyle w:val="Bullet"/>
        <w:rPr>
          <w:rFonts w:eastAsia="Calibri"/>
          <w:b/>
        </w:rPr>
      </w:pPr>
      <w:r w:rsidRPr="00E0488D">
        <w:rPr>
          <w:rFonts w:eastAsia="Calibri" w:cs="Arial"/>
          <w:b/>
        </w:rPr>
        <w:t>Strategia pentru transport durabil pe perioada 2007-2013 si 2020, 2030</w:t>
      </w:r>
      <w:r w:rsidRPr="00E0488D">
        <w:rPr>
          <w:rFonts w:eastAsia="Calibri"/>
          <w:b/>
          <w:vertAlign w:val="superscript"/>
        </w:rPr>
        <w:footnoteReference w:id="17"/>
      </w:r>
    </w:p>
    <w:p w:rsidR="00B4550A" w:rsidRPr="00E0488D" w:rsidRDefault="00B4550A" w:rsidP="00B4550A">
      <w:pPr>
        <w:pStyle w:val="Bullet"/>
        <w:rPr>
          <w:rFonts w:eastAsia="Calibri"/>
        </w:rPr>
      </w:pPr>
      <w:r w:rsidRPr="00E0488D">
        <w:rPr>
          <w:rFonts w:eastAsia="Calibri" w:cs="Arial"/>
        </w:rPr>
        <w:t>Strategia de transport intermodal în România – 2020</w:t>
      </w:r>
      <w:r w:rsidRPr="00E0488D">
        <w:rPr>
          <w:rFonts w:eastAsia="Calibri"/>
          <w:vertAlign w:val="superscript"/>
        </w:rPr>
        <w:footnoteReference w:id="18"/>
      </w:r>
    </w:p>
    <w:p w:rsidR="00B4550A" w:rsidRPr="00E0488D" w:rsidRDefault="00B4550A" w:rsidP="00B4550A">
      <w:pPr>
        <w:pStyle w:val="Bullet"/>
        <w:rPr>
          <w:rFonts w:eastAsia="Calibri"/>
        </w:rPr>
      </w:pPr>
      <w:r w:rsidRPr="00E0488D">
        <w:rPr>
          <w:rFonts w:eastAsia="Calibri" w:cs="Arial"/>
        </w:rPr>
        <w:t>Strategia naţională a Romaniei privind schimbările climatice 2013 – 2020</w:t>
      </w:r>
      <w:r w:rsidRPr="00E0488D">
        <w:rPr>
          <w:rFonts w:eastAsia="Calibri"/>
          <w:vertAlign w:val="superscript"/>
        </w:rPr>
        <w:footnoteReference w:id="19"/>
      </w:r>
    </w:p>
    <w:p w:rsidR="00B4550A" w:rsidRPr="00E0488D" w:rsidRDefault="00B4550A" w:rsidP="00B4550A">
      <w:pPr>
        <w:pStyle w:val="Bullet"/>
        <w:rPr>
          <w:rFonts w:eastAsia="Calibri"/>
        </w:rPr>
      </w:pPr>
      <w:r w:rsidRPr="00E0488D">
        <w:rPr>
          <w:rFonts w:eastAsia="Calibri" w:cs="Arial"/>
        </w:rPr>
        <w:t xml:space="preserve">Strategia Naţională pentru Dezvoltare Durabilă a Romaniei Orizonturi 2013 – 2020 – 2030 </w:t>
      </w:r>
    </w:p>
    <w:p w:rsidR="00B4550A" w:rsidRPr="00E0488D" w:rsidRDefault="00B4550A" w:rsidP="00B4550A">
      <w:pPr>
        <w:pStyle w:val="Bullet"/>
        <w:rPr>
          <w:rFonts w:eastAsia="Calibri"/>
        </w:rPr>
      </w:pPr>
      <w:r w:rsidRPr="00E0488D">
        <w:rPr>
          <w:rFonts w:eastAsia="Calibri" w:cs="Arial"/>
        </w:rPr>
        <w:t>Strategia Naţională şi Planul de Acţiune pentru conservarea biodivesităţii 2010 -2020</w:t>
      </w:r>
      <w:r w:rsidRPr="00E0488D">
        <w:rPr>
          <w:rFonts w:eastAsia="Calibri"/>
          <w:vertAlign w:val="superscript"/>
        </w:rPr>
        <w:footnoteReference w:id="20"/>
      </w:r>
    </w:p>
    <w:p w:rsidR="00B4550A" w:rsidRPr="00E0488D" w:rsidRDefault="00B4550A" w:rsidP="00B4550A">
      <w:pPr>
        <w:pStyle w:val="Bullet"/>
        <w:rPr>
          <w:rFonts w:eastAsia="Calibri"/>
        </w:rPr>
      </w:pPr>
      <w:r w:rsidRPr="00E0488D">
        <w:rPr>
          <w:rFonts w:eastAsia="Calibri" w:cs="Arial"/>
        </w:rPr>
        <w:t>Strategia Naţională de Siguranţă Rutieră 2011-2020</w:t>
      </w:r>
      <w:r w:rsidRPr="00E0488D">
        <w:rPr>
          <w:rFonts w:eastAsia="Calibri"/>
          <w:vertAlign w:val="superscript"/>
        </w:rPr>
        <w:footnoteReference w:id="21"/>
      </w:r>
      <w:r w:rsidRPr="00E0488D">
        <w:rPr>
          <w:rFonts w:eastAsia="Calibri"/>
        </w:rPr>
        <w:t xml:space="preserve"> -</w:t>
      </w:r>
      <w:r w:rsidRPr="00E0488D">
        <w:rPr>
          <w:rStyle w:val="hps"/>
          <w:rFonts w:cs="Arial"/>
          <w:color w:val="000000"/>
        </w:rPr>
        <w:t>versiune consultativă</w:t>
      </w:r>
    </w:p>
    <w:p w:rsidR="00B4550A" w:rsidRPr="00E0488D" w:rsidRDefault="00B4550A" w:rsidP="00B4550A">
      <w:pPr>
        <w:pStyle w:val="Bullet"/>
        <w:rPr>
          <w:rFonts w:eastAsia="Calibri"/>
        </w:rPr>
      </w:pPr>
      <w:r w:rsidRPr="00E0488D">
        <w:rPr>
          <w:rStyle w:val="hps"/>
          <w:rFonts w:cs="Arial"/>
          <w:color w:val="000000"/>
        </w:rPr>
        <w:t>Strategia Națională de Gestionare a Deșeurilor 2014-2020</w:t>
      </w:r>
      <w:r w:rsidRPr="00E0488D">
        <w:t>, aprobată prin Hotărârea Guvernamentală nr. 870/2013</w:t>
      </w:r>
    </w:p>
    <w:p w:rsidR="00B4550A" w:rsidRPr="00E0488D" w:rsidRDefault="00B4550A" w:rsidP="00BC2B57">
      <w:pPr>
        <w:pStyle w:val="BulletLevel1"/>
        <w:rPr>
          <w:rFonts w:eastAsia="Calibri"/>
        </w:rPr>
      </w:pPr>
      <w:r w:rsidRPr="00E0488D">
        <w:rPr>
          <w:rFonts w:eastAsia="Calibri"/>
        </w:rPr>
        <w:t>Convenții</w:t>
      </w:r>
    </w:p>
    <w:p w:rsidR="00B4550A" w:rsidRPr="00E0488D" w:rsidRDefault="00B4550A" w:rsidP="00B4550A">
      <w:pPr>
        <w:pStyle w:val="Bullet"/>
        <w:rPr>
          <w:rFonts w:eastAsia="Calibri"/>
        </w:rPr>
      </w:pPr>
      <w:r w:rsidRPr="00E0488D">
        <w:rPr>
          <w:rFonts w:eastAsia="Calibri" w:cs="Arial"/>
        </w:rPr>
        <w:t xml:space="preserve">Legea 98/1992 pentru ratificarea Convenţiei privind protecţia Mării Negre impotriva  poluării, semnată la Bucureşti la 21 aprilie 1992 (Cunoscută drept “Convenţia de la Bucureşti”) </w:t>
      </w:r>
    </w:p>
    <w:p w:rsidR="00B4550A" w:rsidRPr="00E0488D" w:rsidRDefault="00B4550A" w:rsidP="00B4550A">
      <w:pPr>
        <w:pStyle w:val="Bullet"/>
        <w:rPr>
          <w:rFonts w:ascii="Arial Bold" w:eastAsia="Calibri" w:hAnsi="Arial Bold"/>
          <w:b/>
        </w:rPr>
      </w:pPr>
      <w:r w:rsidRPr="00E0488D">
        <w:rPr>
          <w:rFonts w:eastAsia="Calibri" w:cs="Arial"/>
          <w:b/>
        </w:rPr>
        <w:t xml:space="preserve">Convenţia privind regimul de navigaţie pe Dunărea (Belgrad, 1948) ratificată prin Decretul nr. 298 din 30 octombrie 1948 PROTOCOL ADIŢIONAL din 26 martie 1998 la Convenţia din </w:t>
      </w:r>
      <w:hyperlink r:id="rId77" w:tooltip="despre regimul navigatiei pe Dunare, semnata la Belgrad la 18 August 1948 impreuna cu cele doua anexe si Protocolul Aditional (act publicat in M.Of. 253 din 30-oct-1948)" w:history="1">
        <w:r w:rsidRPr="00E0488D">
          <w:rPr>
            <w:rFonts w:eastAsia="Calibri" w:cs="Arial"/>
            <w:b/>
          </w:rPr>
          <w:t>18 august 1948</w:t>
        </w:r>
      </w:hyperlink>
      <w:r w:rsidRPr="00E0488D">
        <w:rPr>
          <w:rFonts w:eastAsia="Calibri" w:cs="Arial"/>
          <w:b/>
        </w:rPr>
        <w:t xml:space="preserve"> privind regimul navigaţiei de Dunăre*) </w:t>
      </w:r>
    </w:p>
    <w:p w:rsidR="00B4550A" w:rsidRPr="00E0488D" w:rsidRDefault="00B4550A" w:rsidP="00B4550A">
      <w:pPr>
        <w:pStyle w:val="Bullet"/>
        <w:rPr>
          <w:rFonts w:eastAsia="Calibri"/>
        </w:rPr>
      </w:pPr>
      <w:r w:rsidRPr="00E0488D">
        <w:rPr>
          <w:rFonts w:eastAsia="Calibri" w:cs="Arial"/>
        </w:rPr>
        <w:t>Legea 14/1995 pentru ratificarea Convenţiei pentru protecţia fluviului Dunărea</w:t>
      </w:r>
      <w:r w:rsidRPr="00E0488D">
        <w:rPr>
          <w:rStyle w:val="do1"/>
          <w:rFonts w:cs="Arial"/>
          <w:color w:val="000000"/>
        </w:rPr>
        <w:t xml:space="preserve"> </w:t>
      </w:r>
    </w:p>
    <w:p w:rsidR="00B4550A" w:rsidRPr="00E0488D" w:rsidRDefault="00B4550A" w:rsidP="00BC2B57">
      <w:pPr>
        <w:pStyle w:val="BulletLevel1"/>
        <w:rPr>
          <w:rFonts w:eastAsia="Calibri"/>
        </w:rPr>
      </w:pPr>
      <w:r w:rsidRPr="00E0488D">
        <w:rPr>
          <w:rFonts w:eastAsia="Calibri"/>
        </w:rPr>
        <w:lastRenderedPageBreak/>
        <w:t xml:space="preserve">Alte documente </w:t>
      </w:r>
    </w:p>
    <w:p w:rsidR="00B4550A" w:rsidRPr="00E0488D" w:rsidRDefault="00B4550A" w:rsidP="00B4550A">
      <w:pPr>
        <w:pStyle w:val="Bullet"/>
        <w:rPr>
          <w:rFonts w:eastAsia="Calibri"/>
        </w:rPr>
      </w:pPr>
      <w:r w:rsidRPr="00E0488D">
        <w:rPr>
          <w:rFonts w:eastAsia="Calibri" w:cs="Arial"/>
        </w:rPr>
        <w:t xml:space="preserve">Raportul preliminar în sectorul Transport elaborat în cadrul proiectului: Operaționalizarea strategiei naționale și dezvoltarea componentei climatice a Programelor Operaționale 2014-2020”, proiect derulat de MMSC </w:t>
      </w:r>
    </w:p>
    <w:p w:rsidR="00B4550A" w:rsidRPr="00E0488D" w:rsidRDefault="00B4550A" w:rsidP="00B4550A">
      <w:pPr>
        <w:pStyle w:val="Bullet"/>
        <w:rPr>
          <w:rFonts w:eastAsia="Calibri"/>
        </w:rPr>
      </w:pPr>
      <w:r w:rsidRPr="00E0488D">
        <w:rPr>
          <w:rFonts w:eastAsia="Calibri" w:cs="Arial"/>
        </w:rPr>
        <w:t>Documentul de Lucru al Comisiei  Europene - Adaptarea Infrastructurii la schimbările climatice „Adapting infrastructure to climate change</w:t>
      </w:r>
      <w:r w:rsidRPr="00E0488D">
        <w:rPr>
          <w:rFonts w:eastAsia="Calibri"/>
        </w:rPr>
        <w:t xml:space="preserve">” </w:t>
      </w:r>
      <w:r w:rsidRPr="00E0488D">
        <w:rPr>
          <w:rFonts w:eastAsia="Calibri"/>
          <w:vertAlign w:val="superscript"/>
        </w:rPr>
        <w:footnoteReference w:id="22"/>
      </w:r>
    </w:p>
    <w:p w:rsidR="00B4550A" w:rsidRPr="00E0488D" w:rsidRDefault="00B4550A" w:rsidP="00B4550A">
      <w:pPr>
        <w:pStyle w:val="Bullet"/>
        <w:rPr>
          <w:rFonts w:eastAsia="Calibri"/>
        </w:rPr>
      </w:pPr>
      <w:r w:rsidRPr="00E0488D">
        <w:rPr>
          <w:rFonts w:eastAsia="Calibri" w:cs="Arial"/>
        </w:rPr>
        <w:t>Declaraţia Comună privind principiile directoare de dezvoltare a navigatiei şi de protejare a mediului în bazinul Dunării (Joint Statement on Guiding Principles for the Development of Inland Navigation and Environmental Protection in the Danube River Basin)</w:t>
      </w:r>
      <w:r w:rsidRPr="00E0488D">
        <w:rPr>
          <w:rFonts w:eastAsia="Calibri"/>
        </w:rPr>
        <w:t>”</w:t>
      </w:r>
      <w:r w:rsidRPr="00E0488D">
        <w:rPr>
          <w:rFonts w:eastAsia="Calibri"/>
          <w:vertAlign w:val="superscript"/>
        </w:rPr>
        <w:footnoteReference w:id="23"/>
      </w:r>
      <w:r w:rsidRPr="00E0488D">
        <w:rPr>
          <w:rFonts w:eastAsia="Calibri"/>
        </w:rPr>
        <w:t>.</w:t>
      </w:r>
    </w:p>
    <w:p w:rsidR="00B4550A" w:rsidRPr="00E0488D" w:rsidRDefault="00B4550A" w:rsidP="002B7E09">
      <w:pPr>
        <w:pStyle w:val="NumberedParas"/>
      </w:pPr>
      <w:r w:rsidRPr="00E0488D">
        <w:t xml:space="preserve">Tabelul 3.1 include o scurtă descriere a conținutului celor mai relevante politici ale UE, perioada de referință pentru acțiunile care trebuie intreprinse cât și relația cu Master Planul.  </w:t>
      </w:r>
    </w:p>
    <w:p w:rsidR="00B4550A" w:rsidRPr="00E0488D" w:rsidRDefault="00B4550A" w:rsidP="00B4550A">
      <w:pPr>
        <w:rPr>
          <w:rFonts w:cs="Arial"/>
          <w:b/>
          <w:bCs/>
          <w:color w:val="000000"/>
          <w:sz w:val="22"/>
          <w:szCs w:val="22"/>
          <w:lang w:val="ro-RO"/>
        </w:rPr>
      </w:pPr>
      <w:r w:rsidRPr="00E0488D">
        <w:rPr>
          <w:rFonts w:cs="Arial"/>
          <w:b/>
          <w:bCs/>
          <w:color w:val="000000"/>
          <w:sz w:val="22"/>
          <w:szCs w:val="22"/>
          <w:lang w:val="ro-RO"/>
        </w:rPr>
        <w:t>Tabel 3.</w:t>
      </w:r>
      <w:r w:rsidR="003259E9" w:rsidRPr="00E0488D">
        <w:rPr>
          <w:rFonts w:cs="Arial"/>
          <w:b/>
          <w:bCs/>
          <w:color w:val="000000"/>
          <w:sz w:val="22"/>
          <w:szCs w:val="22"/>
          <w:lang w:val="ro-RO"/>
        </w:rPr>
        <w:fldChar w:fldCharType="begin"/>
      </w:r>
      <w:r w:rsidRPr="00E0488D">
        <w:rPr>
          <w:rFonts w:cs="Arial"/>
          <w:b/>
          <w:bCs/>
          <w:color w:val="000000"/>
          <w:sz w:val="22"/>
          <w:szCs w:val="22"/>
          <w:lang w:val="ro-RO"/>
        </w:rPr>
        <w:instrText xml:space="preserve"> SEQ Tabelul \* ARABIC \s 1 </w:instrText>
      </w:r>
      <w:r w:rsidR="003259E9" w:rsidRPr="00E0488D">
        <w:rPr>
          <w:rFonts w:cs="Arial"/>
          <w:b/>
          <w:bCs/>
          <w:color w:val="000000"/>
          <w:sz w:val="22"/>
          <w:szCs w:val="22"/>
          <w:lang w:val="ro-RO"/>
        </w:rPr>
        <w:fldChar w:fldCharType="separate"/>
      </w:r>
      <w:r w:rsidRPr="00E0488D">
        <w:rPr>
          <w:rFonts w:cs="Arial"/>
          <w:b/>
          <w:bCs/>
          <w:color w:val="000000"/>
          <w:sz w:val="22"/>
          <w:szCs w:val="22"/>
          <w:lang w:val="ro-RO"/>
        </w:rPr>
        <w:t>1</w:t>
      </w:r>
      <w:r w:rsidR="003259E9" w:rsidRPr="00E0488D">
        <w:rPr>
          <w:rFonts w:cs="Arial"/>
          <w:b/>
          <w:bCs/>
          <w:color w:val="000000"/>
          <w:sz w:val="22"/>
          <w:szCs w:val="22"/>
          <w:lang w:val="ro-RO"/>
        </w:rPr>
        <w:fldChar w:fldCharType="end"/>
      </w:r>
      <w:r w:rsidRPr="00E0488D">
        <w:rPr>
          <w:rFonts w:cs="Arial"/>
          <w:b/>
          <w:bCs/>
          <w:color w:val="000000"/>
          <w:sz w:val="22"/>
          <w:szCs w:val="22"/>
          <w:lang w:val="ro-RO"/>
        </w:rPr>
        <w:t xml:space="preserve"> Relația Master Planului General de Transport cu cele mai relevante documente de politici UE din domeniul transporturilor</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9"/>
        <w:gridCol w:w="4861"/>
        <w:gridCol w:w="1463"/>
        <w:gridCol w:w="2354"/>
      </w:tblGrid>
      <w:tr w:rsidR="00B4550A" w:rsidRPr="00E0488D" w:rsidTr="003C7FC8">
        <w:trPr>
          <w:trHeight w:val="1912"/>
          <w:tblHeader/>
          <w:jc w:val="center"/>
        </w:trPr>
        <w:tc>
          <w:tcPr>
            <w:tcW w:w="871"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B4550A" w:rsidRPr="00E0488D" w:rsidRDefault="00B4550A" w:rsidP="003C7FC8">
            <w:pPr>
              <w:rPr>
                <w:rFonts w:eastAsia="Calibri" w:cs="Arial"/>
                <w:b/>
                <w:color w:val="000000"/>
                <w:sz w:val="20"/>
                <w:szCs w:val="20"/>
                <w:lang w:val="ro-RO"/>
              </w:rPr>
            </w:pPr>
            <w:r w:rsidRPr="00E0488D">
              <w:rPr>
                <w:rFonts w:eastAsia="Calibri" w:cs="Arial"/>
                <w:b/>
                <w:color w:val="000000"/>
                <w:sz w:val="20"/>
                <w:szCs w:val="20"/>
                <w:lang w:val="ro-RO"/>
              </w:rPr>
              <w:t xml:space="preserve">Strategie/Plan/ Programe relevante pentru MPGT </w:t>
            </w:r>
          </w:p>
        </w:tc>
        <w:tc>
          <w:tcPr>
            <w:tcW w:w="2313"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B4550A" w:rsidRPr="00E0488D" w:rsidRDefault="00B4550A" w:rsidP="003C7FC8">
            <w:pPr>
              <w:jc w:val="center"/>
              <w:rPr>
                <w:rFonts w:eastAsia="Calibri" w:cs="Arial"/>
                <w:b/>
                <w:color w:val="000000"/>
                <w:sz w:val="20"/>
                <w:szCs w:val="20"/>
                <w:lang w:val="ro-RO"/>
              </w:rPr>
            </w:pPr>
            <w:r w:rsidRPr="00E0488D">
              <w:rPr>
                <w:rFonts w:eastAsia="Calibri" w:cs="Arial"/>
                <w:b/>
                <w:color w:val="000000"/>
                <w:sz w:val="20"/>
                <w:szCs w:val="20"/>
                <w:lang w:val="ro-RO"/>
              </w:rPr>
              <w:t>Prezentarea sumară a documentului</w:t>
            </w:r>
          </w:p>
        </w:tc>
        <w:tc>
          <w:tcPr>
            <w:tcW w:w="69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B4550A" w:rsidRPr="00E0488D" w:rsidRDefault="00B4550A" w:rsidP="003C7FC8">
            <w:pPr>
              <w:jc w:val="center"/>
              <w:rPr>
                <w:rFonts w:eastAsia="Calibri" w:cs="Arial"/>
                <w:b/>
                <w:color w:val="000000"/>
                <w:sz w:val="20"/>
                <w:szCs w:val="20"/>
                <w:lang w:val="ro-RO"/>
              </w:rPr>
            </w:pPr>
            <w:r w:rsidRPr="00E0488D">
              <w:rPr>
                <w:rFonts w:eastAsia="Calibri" w:cs="Arial"/>
                <w:b/>
                <w:color w:val="000000"/>
                <w:sz w:val="20"/>
                <w:szCs w:val="20"/>
                <w:lang w:val="ro-RO"/>
              </w:rPr>
              <w:t>Perioada de referință</w:t>
            </w:r>
          </w:p>
        </w:tc>
        <w:tc>
          <w:tcPr>
            <w:tcW w:w="1121"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tcPr>
          <w:p w:rsidR="00B4550A" w:rsidRPr="00E0488D" w:rsidRDefault="00B4550A" w:rsidP="003C7FC8">
            <w:pPr>
              <w:jc w:val="center"/>
              <w:rPr>
                <w:rFonts w:eastAsia="Calibri" w:cs="Arial"/>
                <w:b/>
                <w:color w:val="000000"/>
                <w:sz w:val="20"/>
                <w:szCs w:val="20"/>
                <w:lang w:val="ro-RO"/>
              </w:rPr>
            </w:pPr>
            <w:r w:rsidRPr="00E0488D">
              <w:rPr>
                <w:rFonts w:eastAsia="Calibri" w:cs="Arial"/>
                <w:b/>
                <w:color w:val="000000"/>
                <w:sz w:val="20"/>
                <w:szCs w:val="20"/>
                <w:lang w:val="ro-RO"/>
              </w:rPr>
              <w:t xml:space="preserve">Legătura cu Master Planul General deTransport </w:t>
            </w:r>
          </w:p>
        </w:tc>
      </w:tr>
      <w:tr w:rsidR="00B4550A" w:rsidRPr="00E0488D" w:rsidTr="003C7FC8">
        <w:trPr>
          <w:trHeight w:val="1912"/>
          <w:jc w:val="center"/>
        </w:trPr>
        <w:tc>
          <w:tcPr>
            <w:tcW w:w="871"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 xml:space="preserve">Reglementări privind rețeaua TEN-T </w:t>
            </w:r>
          </w:p>
        </w:tc>
        <w:tc>
          <w:tcPr>
            <w:tcW w:w="2313"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 xml:space="preserve">Rețeaua TEN-T este formată pe două niveluri: </w:t>
            </w:r>
            <w:r w:rsidRPr="00E0488D">
              <w:rPr>
                <w:rFonts w:eastAsia="Calibri" w:cs="Arial"/>
                <w:b/>
                <w:color w:val="000000"/>
                <w:sz w:val="20"/>
                <w:szCs w:val="20"/>
                <w:lang w:val="ro-RO"/>
              </w:rPr>
              <w:t>rețeaua centrală</w:t>
            </w:r>
            <w:r w:rsidRPr="00E0488D">
              <w:rPr>
                <w:rFonts w:eastAsia="Calibri" w:cs="Arial"/>
                <w:color w:val="000000"/>
                <w:sz w:val="20"/>
                <w:szCs w:val="20"/>
                <w:lang w:val="ro-RO"/>
              </w:rPr>
              <w:t xml:space="preserve"> care urmează a fi finalizată până în 2030 și </w:t>
            </w:r>
            <w:r w:rsidRPr="00E0488D">
              <w:rPr>
                <w:rFonts w:eastAsia="Calibri" w:cs="Arial"/>
                <w:b/>
                <w:color w:val="000000"/>
                <w:sz w:val="20"/>
                <w:szCs w:val="20"/>
                <w:lang w:val="ro-RO"/>
              </w:rPr>
              <w:t>rețeaua globală</w:t>
            </w:r>
            <w:r w:rsidRPr="00E0488D">
              <w:rPr>
                <w:rFonts w:eastAsia="Calibri" w:cs="Arial"/>
                <w:color w:val="000000"/>
                <w:sz w:val="20"/>
                <w:szCs w:val="20"/>
                <w:lang w:val="ro-RO"/>
              </w:rPr>
              <w:t>, care urmează a fi finalizată până în 2050. Rețeaua globală va asigura acoperirea completă a UE și accesibilitatea la toate regiunile. Rețeaua centrală va prioritiza cele mai importante legături și noduri din rețeaua TEN-T, pentru a fi complet funcțională până în 2030. Ambele niveluri includ toate modurile de transport: rutier, feroviar, aerian, naval și maritim, precum și platforme intermodale.</w:t>
            </w:r>
          </w:p>
          <w:p w:rsidR="00B4550A" w:rsidRPr="00E0488D" w:rsidRDefault="00B4550A" w:rsidP="003C7FC8">
            <w:pPr>
              <w:rPr>
                <w:rFonts w:cs="Arial"/>
                <w:sz w:val="20"/>
                <w:szCs w:val="20"/>
                <w:lang w:val="ro-RO"/>
              </w:rPr>
            </w:pPr>
            <w:r w:rsidRPr="00E0488D">
              <w:rPr>
                <w:rFonts w:cs="Arial"/>
                <w:sz w:val="20"/>
                <w:szCs w:val="20"/>
                <w:lang w:val="ro-RO"/>
              </w:rPr>
              <w:t xml:space="preserve">Ghidul privind rețeaua TEN-T stabilește cerințele comune pentru infrastructura TEN-T- cu cerințe mai stricte pentru rețeaua centrală. Acest lucru va asigura operațiuni de transport fluent de-a lungul rețelei. Politica favorizează, de asemenea, implementarea sistemelor de gestionare a traficului, care vor permite optimizarea utilizării infrastructurii, iar prin creșterea eficienței, vor fi reduse emisiile de CO2. </w:t>
            </w:r>
          </w:p>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Sistemele de transport inteligent includ sisteme de gestionare a traficului pentru transportul rutier, feroviar, aerian și pe apă, precum și sisteme de poziționare și navigare.</w:t>
            </w:r>
          </w:p>
          <w:p w:rsidR="00B4550A" w:rsidRPr="00E0488D" w:rsidRDefault="00B4550A" w:rsidP="003C7FC8">
            <w:pPr>
              <w:rPr>
                <w:rFonts w:eastAsia="Calibri"/>
                <w:sz w:val="20"/>
                <w:szCs w:val="20"/>
                <w:lang w:val="ro-RO"/>
              </w:rPr>
            </w:pPr>
          </w:p>
        </w:tc>
        <w:tc>
          <w:tcPr>
            <w:tcW w:w="696"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jc w:val="center"/>
              <w:rPr>
                <w:rFonts w:eastAsia="Calibri" w:cs="Arial"/>
                <w:color w:val="000000"/>
                <w:sz w:val="20"/>
                <w:szCs w:val="20"/>
                <w:lang w:val="ro-RO"/>
              </w:rPr>
            </w:pPr>
            <w:r w:rsidRPr="00E0488D">
              <w:rPr>
                <w:rFonts w:eastAsia="Calibri" w:cs="Arial"/>
                <w:color w:val="000000"/>
                <w:sz w:val="20"/>
                <w:szCs w:val="20"/>
                <w:lang w:val="ro-RO"/>
              </w:rPr>
              <w:t>2030</w:t>
            </w:r>
          </w:p>
        </w:tc>
        <w:tc>
          <w:tcPr>
            <w:tcW w:w="1121"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Relația cu politica UE privind rețeaua TEN-T constă în unul din criteriile de evaluare din procesul de prioritizare a proiectelor.</w:t>
            </w:r>
          </w:p>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 xml:space="preserve">Acesta reflectă faptul că este atât politica României cât și a UE de a îmbunătății calitatea celor mai importante rute din interiorul și de-a lungul țarii. În plus, rutele selectate pentru rețeaua centrală TEN-T au fot supuse deja unei analize atente și evaluări, astfel încât este logic ca Master Planul să favorizeze proiectele care îmbunătățesc aceste rute. Conceptul TEN-T include conectarea nodurilor majore (orașe cu o populație de 1 milion de locuitori sau peste) prin coridoare multi modale. </w:t>
            </w:r>
          </w:p>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 xml:space="preserve">Evaluarea privind îmbunătățirea rețelei </w:t>
            </w:r>
            <w:r w:rsidRPr="00E0488D">
              <w:rPr>
                <w:rFonts w:eastAsia="Calibri" w:cs="Arial"/>
                <w:color w:val="000000"/>
                <w:sz w:val="20"/>
                <w:szCs w:val="20"/>
                <w:lang w:val="ro-RO"/>
              </w:rPr>
              <w:lastRenderedPageBreak/>
              <w:t>utilizată în cadrul Master Planului ia în considerare în mod implicit cererea de călătorie din aceste noduri și alte centre majore.</w:t>
            </w:r>
          </w:p>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t xml:space="preserve">În Anexa B sunt prezentate hărțile rețelei TEN-T din România. </w:t>
            </w:r>
          </w:p>
        </w:tc>
      </w:tr>
      <w:tr w:rsidR="00B4550A" w:rsidRPr="00E0488D" w:rsidTr="003C7FC8">
        <w:trPr>
          <w:trHeight w:val="1912"/>
          <w:jc w:val="center"/>
        </w:trPr>
        <w:tc>
          <w:tcPr>
            <w:tcW w:w="871"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lastRenderedPageBreak/>
              <w:t>Cartea Albă privind Politica Comunitară de Transport</w:t>
            </w:r>
            <w:r w:rsidRPr="00E0488D">
              <w:rPr>
                <w:rFonts w:eastAsia="Calibri" w:cs="Arial"/>
                <w:color w:val="000000"/>
                <w:sz w:val="20"/>
                <w:szCs w:val="20"/>
                <w:lang w:val="ro-RO"/>
              </w:rPr>
              <w:t xml:space="preserve"> (2011) </w:t>
            </w:r>
          </w:p>
        </w:tc>
        <w:tc>
          <w:tcPr>
            <w:tcW w:w="2313"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rPr>
                <w:rStyle w:val="hps"/>
                <w:rFonts w:cs="Arial"/>
                <w:color w:val="000000"/>
                <w:sz w:val="20"/>
                <w:szCs w:val="20"/>
                <w:lang w:val="ro-RO"/>
              </w:rPr>
            </w:pPr>
            <w:r w:rsidRPr="00E0488D">
              <w:rPr>
                <w:rFonts w:eastAsia="Calibri" w:cs="Arial"/>
                <w:sz w:val="20"/>
                <w:szCs w:val="20"/>
                <w:lang w:val="ro-RO"/>
              </w:rPr>
              <w:t>Cartea albă a transporturilor reprezintă foaia de parcurs pentru un spațiu european unic al transporturilor către un sistem de transport  competitiv si un transport eficient</w:t>
            </w:r>
            <w:r w:rsidRPr="00E0488D">
              <w:rPr>
                <w:rStyle w:val="do1"/>
                <w:rFonts w:cs="Arial"/>
                <w:color w:val="000000"/>
                <w:sz w:val="20"/>
                <w:szCs w:val="20"/>
                <w:lang w:val="ro-RO"/>
              </w:rPr>
              <w:t>.</w:t>
            </w:r>
            <w:r w:rsidRPr="00E0488D">
              <w:rPr>
                <w:rStyle w:val="hps"/>
                <w:rFonts w:cs="Arial"/>
                <w:color w:val="000000"/>
                <w:sz w:val="20"/>
                <w:szCs w:val="20"/>
                <w:lang w:val="ro-RO"/>
              </w:rPr>
              <w:t xml:space="preserve"> </w:t>
            </w:r>
          </w:p>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Examinează evoluțiile din sectorul transporturilor, provocările viitoare și inițiativele de politică care trebuie avute în vedere la nivel mondial. Documentul prezintă atât viziunea Comisiei Europene privind transporturile cât și măsurile-cheie care vor permite realizarea viziunii.</w:t>
            </w:r>
          </w:p>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 xml:space="preserve">Viziunea pentru un </w:t>
            </w:r>
            <w:r w:rsidRPr="00E0488D">
              <w:rPr>
                <w:rFonts w:eastAsia="Calibri" w:cs="Arial"/>
                <w:b/>
                <w:sz w:val="20"/>
                <w:szCs w:val="20"/>
                <w:lang w:val="ro-RO"/>
              </w:rPr>
              <w:t>sistem</w:t>
            </w:r>
            <w:r w:rsidRPr="00E0488D">
              <w:rPr>
                <w:rFonts w:eastAsia="Calibri" w:cs="Arial"/>
                <w:sz w:val="20"/>
                <w:szCs w:val="20"/>
                <w:lang w:val="ro-RO"/>
              </w:rPr>
              <w:t xml:space="preserve"> </w:t>
            </w:r>
            <w:r w:rsidRPr="00E0488D">
              <w:rPr>
                <w:rFonts w:eastAsia="Calibri" w:cs="Arial"/>
                <w:b/>
                <w:sz w:val="20"/>
                <w:szCs w:val="20"/>
                <w:lang w:val="ro-RO"/>
              </w:rPr>
              <w:t>de transport competitiv</w:t>
            </w:r>
            <w:r w:rsidRPr="00E0488D">
              <w:rPr>
                <w:rFonts w:eastAsia="Calibri" w:cs="Arial"/>
                <w:sz w:val="20"/>
                <w:szCs w:val="20"/>
                <w:lang w:val="ro-RO"/>
              </w:rPr>
              <w:t xml:space="preserve"> și </w:t>
            </w:r>
            <w:r w:rsidRPr="00E0488D">
              <w:rPr>
                <w:rFonts w:eastAsia="Calibri" w:cs="Arial"/>
                <w:b/>
                <w:sz w:val="20"/>
                <w:szCs w:val="20"/>
                <w:lang w:val="ro-RO"/>
              </w:rPr>
              <w:t>sustenabil</w:t>
            </w:r>
            <w:r w:rsidRPr="00E0488D">
              <w:rPr>
                <w:rFonts w:eastAsia="Calibri" w:cs="Arial"/>
                <w:sz w:val="20"/>
                <w:szCs w:val="20"/>
                <w:lang w:val="ro-RO"/>
              </w:rPr>
              <w:t xml:space="preserve"> se referă la:</w:t>
            </w:r>
          </w:p>
          <w:p w:rsidR="00B4550A" w:rsidRPr="00E0488D" w:rsidRDefault="00B4550A" w:rsidP="00687448">
            <w:pPr>
              <w:numPr>
                <w:ilvl w:val="0"/>
                <w:numId w:val="27"/>
              </w:numPr>
              <w:tabs>
                <w:tab w:val="left" w:pos="565"/>
              </w:tabs>
              <w:autoSpaceDE w:val="0"/>
              <w:autoSpaceDN w:val="0"/>
              <w:adjustRightInd w:val="0"/>
              <w:ind w:left="565" w:hanging="205"/>
              <w:rPr>
                <w:rFonts w:eastAsia="Calibri" w:cs="Arial"/>
                <w:bCs/>
                <w:color w:val="000000"/>
                <w:sz w:val="20"/>
                <w:szCs w:val="20"/>
                <w:lang w:val="ro-RO"/>
              </w:rPr>
            </w:pPr>
            <w:r w:rsidRPr="00E0488D">
              <w:rPr>
                <w:rFonts w:eastAsia="Calibri" w:cs="Arial"/>
                <w:bCs/>
                <w:sz w:val="20"/>
                <w:szCs w:val="20"/>
                <w:lang w:val="ro-RO"/>
              </w:rPr>
              <w:t>Creșterea transporturilor și sprijinirea mobilității, atingând în același timp obiectivul de reducere a emisiilor de gaze cu efect de seră cu 60%. Acest obiectiv poate fi atins prin</w:t>
            </w:r>
            <w:r w:rsidRPr="00E0488D">
              <w:rPr>
                <w:rFonts w:eastAsia="Calibri" w:cs="Arial"/>
                <w:bCs/>
                <w:color w:val="000000"/>
                <w:sz w:val="20"/>
                <w:szCs w:val="20"/>
                <w:lang w:val="ro-RO"/>
              </w:rPr>
              <w:t>:</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i/>
                <w:color w:val="000000"/>
                <w:sz w:val="20"/>
                <w:szCs w:val="20"/>
                <w:lang w:val="ro-RO"/>
              </w:rPr>
            </w:pPr>
            <w:r w:rsidRPr="00E0488D">
              <w:rPr>
                <w:rFonts w:eastAsia="Calibri" w:cs="Arial"/>
                <w:bCs/>
                <w:i/>
                <w:sz w:val="20"/>
                <w:szCs w:val="20"/>
                <w:lang w:val="ro-RO"/>
              </w:rPr>
              <w:t>Dezvoltarea și implementarea combustibililor și a sistemelor de propulsie sustenabile</w:t>
            </w:r>
            <w:r w:rsidRPr="00E0488D">
              <w:rPr>
                <w:rFonts w:eastAsia="Calibri" w:cs="Arial"/>
                <w:bCs/>
                <w:i/>
                <w:color w:val="000000"/>
                <w:sz w:val="20"/>
                <w:szCs w:val="20"/>
                <w:lang w:val="ro-RO"/>
              </w:rPr>
              <w:t xml:space="preserve"> </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i/>
                <w:color w:val="000000"/>
                <w:sz w:val="20"/>
                <w:szCs w:val="20"/>
                <w:lang w:val="ro-RO"/>
              </w:rPr>
            </w:pPr>
            <w:r w:rsidRPr="00E0488D">
              <w:rPr>
                <w:rFonts w:eastAsia="Calibri" w:cs="Arial"/>
                <w:bCs/>
                <w:i/>
                <w:sz w:val="20"/>
                <w:szCs w:val="20"/>
                <w:lang w:val="ro-RO"/>
              </w:rPr>
              <w:t>Optimizarea performanței lanțurilor logistice multimodale, inclusiv prin utilizarea pe scară mai largă a unor moduri de transport mai eficiente din punct de vedere energetic</w:t>
            </w:r>
            <w:r w:rsidRPr="00E0488D">
              <w:rPr>
                <w:rStyle w:val="do1"/>
                <w:rFonts w:cs="Arial"/>
                <w:i/>
                <w:color w:val="000000"/>
                <w:sz w:val="20"/>
                <w:szCs w:val="20"/>
                <w:lang w:val="ro-RO"/>
              </w:rPr>
              <w:t xml:space="preserve"> </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i/>
                <w:color w:val="000000"/>
                <w:sz w:val="20"/>
                <w:szCs w:val="20"/>
                <w:lang w:val="ro-RO"/>
              </w:rPr>
            </w:pPr>
            <w:r w:rsidRPr="00E0488D">
              <w:rPr>
                <w:rFonts w:eastAsia="Calibri" w:cs="Arial"/>
                <w:bCs/>
                <w:i/>
                <w:sz w:val="20"/>
                <w:szCs w:val="20"/>
                <w:lang w:val="ro-RO"/>
              </w:rPr>
              <w:t>Creșterea eficienței transporturilor și a utilizării infrastructurii cu ajutorul sistemelor de informații și al stimulentelor bazate pe piață</w:t>
            </w:r>
            <w:r w:rsidRPr="00E0488D">
              <w:rPr>
                <w:rStyle w:val="do1"/>
                <w:rFonts w:cs="Arial"/>
                <w:i/>
                <w:color w:val="000000"/>
                <w:sz w:val="20"/>
                <w:szCs w:val="20"/>
                <w:lang w:val="ro-RO"/>
              </w:rPr>
              <w:t xml:space="preserve"> </w:t>
            </w:r>
          </w:p>
          <w:p w:rsidR="00B4550A" w:rsidRPr="00E0488D" w:rsidRDefault="00B4550A" w:rsidP="00687448">
            <w:pPr>
              <w:numPr>
                <w:ilvl w:val="0"/>
                <w:numId w:val="27"/>
              </w:numPr>
              <w:tabs>
                <w:tab w:val="left" w:pos="565"/>
              </w:tabs>
              <w:autoSpaceDE w:val="0"/>
              <w:autoSpaceDN w:val="0"/>
              <w:adjustRightInd w:val="0"/>
              <w:ind w:left="565" w:hanging="205"/>
              <w:rPr>
                <w:rStyle w:val="hps"/>
                <w:rFonts w:eastAsia="Calibri" w:cs="Arial"/>
                <w:bCs/>
                <w:color w:val="000000"/>
                <w:sz w:val="20"/>
                <w:szCs w:val="20"/>
                <w:lang w:val="ro-RO"/>
              </w:rPr>
            </w:pPr>
            <w:r w:rsidRPr="00E0488D">
              <w:rPr>
                <w:rFonts w:eastAsia="Calibri" w:cs="Arial"/>
                <w:bCs/>
                <w:sz w:val="20"/>
                <w:szCs w:val="20"/>
                <w:lang w:val="ro-RO"/>
              </w:rPr>
              <w:t>O rețea primară eficientă pentru transportul și călătoriile interurbane</w:t>
            </w:r>
            <w:r w:rsidRPr="00E0488D">
              <w:rPr>
                <w:rStyle w:val="do1"/>
                <w:rFonts w:cs="Arial"/>
                <w:color w:val="000000"/>
                <w:sz w:val="20"/>
                <w:szCs w:val="20"/>
                <w:lang w:val="ro-RO"/>
              </w:rPr>
              <w:t xml:space="preserve"> </w:t>
            </w:r>
          </w:p>
          <w:p w:rsidR="00B4550A" w:rsidRPr="00E0488D" w:rsidRDefault="00B4550A" w:rsidP="00687448">
            <w:pPr>
              <w:numPr>
                <w:ilvl w:val="0"/>
                <w:numId w:val="27"/>
              </w:numPr>
              <w:tabs>
                <w:tab w:val="left" w:pos="565"/>
              </w:tabs>
              <w:autoSpaceDE w:val="0"/>
              <w:autoSpaceDN w:val="0"/>
              <w:adjustRightInd w:val="0"/>
              <w:ind w:left="565" w:hanging="205"/>
              <w:rPr>
                <w:rFonts w:eastAsia="Calibri" w:cs="Arial"/>
                <w:bCs/>
                <w:color w:val="000000"/>
                <w:sz w:val="20"/>
                <w:szCs w:val="20"/>
                <w:lang w:val="ro-RO"/>
              </w:rPr>
            </w:pPr>
            <w:r w:rsidRPr="00E0488D">
              <w:rPr>
                <w:rFonts w:eastAsia="Calibri" w:cs="Arial"/>
                <w:bCs/>
                <w:color w:val="000000"/>
                <w:sz w:val="20"/>
                <w:szCs w:val="20"/>
                <w:lang w:val="ro-RO"/>
              </w:rPr>
              <w:t>Multimodale.</w:t>
            </w:r>
          </w:p>
          <w:p w:rsidR="00B4550A" w:rsidRPr="00E0488D" w:rsidRDefault="00B4550A" w:rsidP="00687448">
            <w:pPr>
              <w:numPr>
                <w:ilvl w:val="0"/>
                <w:numId w:val="27"/>
              </w:numPr>
              <w:tabs>
                <w:tab w:val="left" w:pos="565"/>
              </w:tabs>
              <w:autoSpaceDE w:val="0"/>
              <w:autoSpaceDN w:val="0"/>
              <w:adjustRightInd w:val="0"/>
              <w:ind w:left="565" w:hanging="205"/>
              <w:rPr>
                <w:rFonts w:eastAsia="Calibri" w:cs="Arial"/>
                <w:bCs/>
                <w:color w:val="000000"/>
                <w:sz w:val="20"/>
                <w:szCs w:val="20"/>
                <w:lang w:val="ro-RO"/>
              </w:rPr>
            </w:pPr>
            <w:r w:rsidRPr="00E0488D">
              <w:rPr>
                <w:rFonts w:eastAsia="Calibri" w:cs="Arial"/>
                <w:bCs/>
                <w:sz w:val="20"/>
                <w:szCs w:val="20"/>
                <w:lang w:val="ro-RO"/>
              </w:rPr>
              <w:t>Condiții echitabile la nivel mondial pentru călătoriile pe distanțe lungi și pentru transporturile de marfă intercontinentale</w:t>
            </w:r>
            <w:r w:rsidRPr="00E0488D">
              <w:rPr>
                <w:rFonts w:eastAsia="Calibri" w:cs="Arial"/>
                <w:bCs/>
                <w:color w:val="000000"/>
                <w:sz w:val="20"/>
                <w:szCs w:val="20"/>
                <w:lang w:val="ro-RO"/>
              </w:rPr>
              <w:t xml:space="preserve">. </w:t>
            </w:r>
          </w:p>
          <w:p w:rsidR="00B4550A" w:rsidRPr="00E0488D" w:rsidRDefault="00B4550A" w:rsidP="00687448">
            <w:pPr>
              <w:numPr>
                <w:ilvl w:val="0"/>
                <w:numId w:val="27"/>
              </w:numPr>
              <w:tabs>
                <w:tab w:val="left" w:pos="565"/>
              </w:tabs>
              <w:autoSpaceDE w:val="0"/>
              <w:autoSpaceDN w:val="0"/>
              <w:adjustRightInd w:val="0"/>
              <w:ind w:left="565" w:hanging="205"/>
              <w:rPr>
                <w:rFonts w:eastAsia="Calibri" w:cs="Arial"/>
                <w:bCs/>
                <w:color w:val="000000"/>
                <w:sz w:val="20"/>
                <w:szCs w:val="20"/>
                <w:lang w:val="ro-RO"/>
              </w:rPr>
            </w:pPr>
            <w:r w:rsidRPr="00E0488D">
              <w:rPr>
                <w:rFonts w:eastAsia="Calibri" w:cs="Arial"/>
                <w:bCs/>
                <w:sz w:val="20"/>
                <w:szCs w:val="20"/>
                <w:lang w:val="ro-RO"/>
              </w:rPr>
              <w:t>Un transport urban și o navetă curate</w:t>
            </w:r>
            <w:r w:rsidRPr="00E0488D">
              <w:rPr>
                <w:rFonts w:eastAsia="Calibri" w:cs="Arial"/>
                <w:bCs/>
                <w:color w:val="000000"/>
                <w:sz w:val="20"/>
                <w:szCs w:val="20"/>
                <w:lang w:val="ro-RO"/>
              </w:rPr>
              <w:t xml:space="preserve"> </w:t>
            </w:r>
          </w:p>
          <w:p w:rsidR="00B4550A" w:rsidRPr="00E0488D" w:rsidRDefault="00B4550A" w:rsidP="003C7FC8">
            <w:pPr>
              <w:tabs>
                <w:tab w:val="left" w:pos="565"/>
              </w:tabs>
              <w:autoSpaceDE w:val="0"/>
              <w:autoSpaceDN w:val="0"/>
              <w:adjustRightInd w:val="0"/>
              <w:ind w:left="565" w:hanging="205"/>
              <w:rPr>
                <w:rFonts w:eastAsia="Calibri" w:cs="Arial"/>
                <w:bCs/>
                <w:color w:val="000000"/>
                <w:sz w:val="20"/>
                <w:szCs w:val="20"/>
                <w:lang w:val="ro-RO"/>
              </w:rPr>
            </w:pPr>
            <w:r w:rsidRPr="00E0488D">
              <w:rPr>
                <w:rFonts w:eastAsia="Calibri" w:cs="Arial"/>
                <w:bCs/>
                <w:sz w:val="20"/>
                <w:szCs w:val="20"/>
                <w:lang w:val="ro-RO"/>
              </w:rPr>
              <w:t>Realizarea acestei viziuni implică urmatoarele</w:t>
            </w:r>
            <w:r w:rsidRPr="00E0488D">
              <w:rPr>
                <w:rFonts w:eastAsia="Calibri" w:cs="Arial"/>
                <w:bCs/>
                <w:color w:val="000000"/>
                <w:sz w:val="20"/>
                <w:szCs w:val="20"/>
                <w:lang w:val="ro-RO"/>
              </w:rPr>
              <w:t>:</w:t>
            </w:r>
          </w:p>
          <w:p w:rsidR="00B4550A" w:rsidRPr="00E0488D" w:rsidRDefault="00B4550A" w:rsidP="00687448">
            <w:pPr>
              <w:numPr>
                <w:ilvl w:val="0"/>
                <w:numId w:val="28"/>
              </w:numPr>
              <w:tabs>
                <w:tab w:val="left" w:pos="925"/>
              </w:tabs>
              <w:autoSpaceDE w:val="0"/>
              <w:autoSpaceDN w:val="0"/>
              <w:adjustRightInd w:val="0"/>
              <w:ind w:left="925" w:hanging="270"/>
              <w:rPr>
                <w:rStyle w:val="hps"/>
                <w:rFonts w:eastAsia="Calibri" w:cs="Arial"/>
                <w:bCs/>
                <w:color w:val="000000"/>
                <w:sz w:val="20"/>
                <w:szCs w:val="20"/>
                <w:lang w:val="ro-RO"/>
              </w:rPr>
            </w:pPr>
            <w:r w:rsidRPr="00E0488D">
              <w:rPr>
                <w:rFonts w:eastAsia="Calibri" w:cs="Arial"/>
                <w:bCs/>
                <w:sz w:val="20"/>
                <w:szCs w:val="20"/>
                <w:lang w:val="ro-RO"/>
              </w:rPr>
              <w:t xml:space="preserve">Crearea unui spaţiu unic european al transporturilor: prin dezvoltarea serviciilor feroviare, dezvoltarea serviciilor aeriene inclusiv imbunătăţirea calităţii şi </w:t>
            </w:r>
            <w:r w:rsidRPr="00E0488D">
              <w:rPr>
                <w:rFonts w:eastAsia="Calibri" w:cs="Arial"/>
                <w:bCs/>
                <w:sz w:val="20"/>
                <w:szCs w:val="20"/>
                <w:lang w:val="ro-RO"/>
              </w:rPr>
              <w:lastRenderedPageBreak/>
              <w:t>capacităţii aeroporturilor, transformarea în continuare a spaţiului de transport maritim European, optimizarea pieţei interne a transportului pe căile navigabile interioare, îmbunătăţirea sistemului de  transport rutier de mărfuri, crearea cadrului necesar pentru transportul multimodal de mărfuri</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color w:val="000000"/>
                <w:sz w:val="20"/>
                <w:szCs w:val="20"/>
                <w:lang w:val="ro-RO"/>
              </w:rPr>
            </w:pPr>
            <w:r w:rsidRPr="00E0488D">
              <w:rPr>
                <w:rFonts w:eastAsia="Calibri" w:cs="Arial"/>
                <w:bCs/>
                <w:sz w:val="20"/>
                <w:szCs w:val="20"/>
                <w:lang w:val="ro-RO"/>
              </w:rPr>
              <w:t>Promovarea unor locuri de muncă şi a unor condiţii de muncă de calitate</w:t>
            </w:r>
          </w:p>
          <w:p w:rsidR="00B4550A" w:rsidRPr="00E0488D" w:rsidRDefault="00B4550A" w:rsidP="00687448">
            <w:pPr>
              <w:numPr>
                <w:ilvl w:val="0"/>
                <w:numId w:val="28"/>
              </w:numPr>
              <w:tabs>
                <w:tab w:val="left" w:pos="925"/>
              </w:tabs>
              <w:autoSpaceDE w:val="0"/>
              <w:autoSpaceDN w:val="0"/>
              <w:adjustRightInd w:val="0"/>
              <w:ind w:left="925" w:hanging="270"/>
              <w:rPr>
                <w:rStyle w:val="hps"/>
                <w:rFonts w:eastAsia="Calibri" w:cs="Arial"/>
                <w:bCs/>
                <w:color w:val="000000"/>
                <w:sz w:val="20"/>
                <w:szCs w:val="20"/>
                <w:lang w:val="ro-RO"/>
              </w:rPr>
            </w:pPr>
            <w:r w:rsidRPr="00E0488D">
              <w:rPr>
                <w:rFonts w:eastAsia="Calibri" w:cs="Arial"/>
                <w:bCs/>
                <w:sz w:val="20"/>
                <w:szCs w:val="20"/>
                <w:lang w:val="ro-RO"/>
              </w:rPr>
              <w:t>Siguranţa Transporturilor</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color w:val="000000"/>
                <w:sz w:val="20"/>
                <w:szCs w:val="20"/>
                <w:lang w:val="ro-RO"/>
              </w:rPr>
            </w:pPr>
            <w:r w:rsidRPr="00E0488D">
              <w:rPr>
                <w:rFonts w:eastAsia="Calibri" w:cs="Arial"/>
                <w:bCs/>
                <w:sz w:val="20"/>
                <w:szCs w:val="20"/>
                <w:lang w:val="ro-RO"/>
              </w:rPr>
              <w:t>Calitatea si fiabilitatea serviciilor</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color w:val="000000"/>
                <w:sz w:val="20"/>
                <w:szCs w:val="20"/>
                <w:lang w:val="ro-RO"/>
              </w:rPr>
            </w:pPr>
            <w:r w:rsidRPr="00E0488D">
              <w:rPr>
                <w:rFonts w:eastAsia="Calibri" w:cs="Arial"/>
                <w:bCs/>
                <w:sz w:val="20"/>
                <w:szCs w:val="20"/>
                <w:lang w:val="ro-RO"/>
              </w:rPr>
              <w:t>Strategii pentru inovare şi implementare</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color w:val="000000"/>
                <w:sz w:val="20"/>
                <w:szCs w:val="20"/>
                <w:lang w:val="ro-RO"/>
              </w:rPr>
            </w:pPr>
            <w:r w:rsidRPr="00E0488D">
              <w:rPr>
                <w:rFonts w:eastAsia="Calibri" w:cs="Arial"/>
                <w:bCs/>
                <w:sz w:val="20"/>
                <w:szCs w:val="20"/>
                <w:lang w:val="ro-RO"/>
              </w:rPr>
              <w:t>Promovarea unui comportament mai sustenabil</w:t>
            </w:r>
          </w:p>
          <w:p w:rsidR="00B4550A" w:rsidRPr="00E0488D" w:rsidRDefault="00B4550A" w:rsidP="00687448">
            <w:pPr>
              <w:numPr>
                <w:ilvl w:val="0"/>
                <w:numId w:val="28"/>
              </w:numPr>
              <w:tabs>
                <w:tab w:val="left" w:pos="925"/>
              </w:tabs>
              <w:autoSpaceDE w:val="0"/>
              <w:autoSpaceDN w:val="0"/>
              <w:adjustRightInd w:val="0"/>
              <w:ind w:left="925" w:hanging="270"/>
              <w:rPr>
                <w:rFonts w:eastAsia="Calibri" w:cs="Arial"/>
                <w:bCs/>
                <w:color w:val="000000"/>
                <w:sz w:val="20"/>
                <w:szCs w:val="20"/>
                <w:lang w:val="ro-RO"/>
              </w:rPr>
            </w:pPr>
            <w:r w:rsidRPr="00E0488D">
              <w:rPr>
                <w:rFonts w:eastAsia="Calibri" w:cs="Arial"/>
                <w:bCs/>
                <w:sz w:val="20"/>
                <w:szCs w:val="20"/>
                <w:lang w:val="ro-RO"/>
              </w:rPr>
              <w:t>Infrastructuri moderne şi o finanţare inteligentă</w:t>
            </w:r>
          </w:p>
        </w:tc>
        <w:tc>
          <w:tcPr>
            <w:tcW w:w="696"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jc w:val="center"/>
              <w:rPr>
                <w:rFonts w:eastAsia="Calibri" w:cs="Arial"/>
                <w:color w:val="000000"/>
                <w:sz w:val="20"/>
                <w:szCs w:val="20"/>
                <w:lang w:val="ro-RO"/>
              </w:rPr>
            </w:pPr>
            <w:r w:rsidRPr="00E0488D">
              <w:rPr>
                <w:rFonts w:eastAsia="Calibri" w:cs="Arial"/>
                <w:color w:val="000000"/>
                <w:sz w:val="20"/>
                <w:szCs w:val="20"/>
                <w:lang w:val="ro-RO"/>
              </w:rPr>
              <w:lastRenderedPageBreak/>
              <w:t>2020-2050</w:t>
            </w:r>
          </w:p>
        </w:tc>
        <w:tc>
          <w:tcPr>
            <w:tcW w:w="1121" w:type="pct"/>
            <w:tcBorders>
              <w:top w:val="single" w:sz="4" w:space="0" w:color="000000"/>
              <w:left w:val="single" w:sz="4" w:space="0" w:color="000000"/>
              <w:bottom w:val="single" w:sz="4" w:space="0" w:color="000000"/>
              <w:right w:val="single" w:sz="4" w:space="0" w:color="000000"/>
            </w:tcBorders>
            <w:shd w:val="clear" w:color="auto" w:fill="auto"/>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Obiectivele Master Planului General de Transporturi au la bază prevederile Cărţii Albe şi se axează pe asigurarea unui transport durabil, asigurarea surselor de finantare, siguranţa transportului, dezvoltarea economică dar şi protecţia mediului</w:t>
            </w:r>
            <w:r w:rsidRPr="00E0488D">
              <w:rPr>
                <w:rFonts w:eastAsia="Calibri" w:cs="Arial"/>
                <w:color w:val="000000"/>
                <w:sz w:val="20"/>
                <w:szCs w:val="20"/>
                <w:lang w:val="ro-RO"/>
              </w:rPr>
              <w:t>.</w:t>
            </w:r>
          </w:p>
          <w:p w:rsidR="00B4550A" w:rsidRPr="00E0488D" w:rsidRDefault="00B4550A" w:rsidP="003C7FC8">
            <w:pPr>
              <w:rPr>
                <w:rFonts w:eastAsia="Calibri" w:cs="Arial"/>
                <w:color w:val="000000"/>
                <w:sz w:val="20"/>
                <w:szCs w:val="20"/>
                <w:lang w:val="ro-RO"/>
              </w:rPr>
            </w:pPr>
          </w:p>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 xml:space="preserve">MPGT va contribui la crearea unui sistem de transport eficient din punct de vedere economic sprijinind competitivitatea  dar în acelaşi timp va incuraja utilizarea cat mai eficientă a resurselor, să reducă impactul negativ pe care sistemul de transport îl are asupra mediului respectiv asupra apei, solului, aerului, populaţiei și ecosistemelor naturale. </w:t>
            </w:r>
          </w:p>
          <w:p w:rsidR="00B4550A" w:rsidRPr="00E0488D" w:rsidRDefault="00B4550A" w:rsidP="003C7FC8">
            <w:pPr>
              <w:rPr>
                <w:rFonts w:eastAsia="Calibri" w:cs="Arial"/>
                <w:color w:val="000000"/>
                <w:sz w:val="20"/>
                <w:szCs w:val="20"/>
                <w:lang w:val="ro-RO"/>
              </w:rPr>
            </w:pPr>
          </w:p>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 xml:space="preserve">MPGT propune dezvoltarea infrastructurii de transport rutier prin crearea unor coridoare noi de transport (realizarea de autostrazi, variante de ocolire, drumuri </w:t>
            </w:r>
            <w:r w:rsidRPr="00E0488D">
              <w:rPr>
                <w:rFonts w:eastAsia="Calibri" w:cs="Arial"/>
                <w:sz w:val="20"/>
                <w:szCs w:val="20"/>
                <w:lang w:val="ro-RO"/>
              </w:rPr>
              <w:lastRenderedPageBreak/>
              <w:t>expres), reabilitarea liniilor de cale ferată pentru atingerea vitezelor înalte, îmbunătăţirea navigaţiei pe Dunăre şi modernizarea infrastructurii portuare, modernizarea aeroporturilor</w:t>
            </w:r>
            <w:r w:rsidRPr="00E0488D">
              <w:rPr>
                <w:rFonts w:eastAsia="Calibri" w:cs="Arial"/>
                <w:color w:val="000000"/>
                <w:sz w:val="20"/>
                <w:szCs w:val="20"/>
                <w:lang w:val="ro-RO"/>
              </w:rPr>
              <w:t>.</w:t>
            </w:r>
          </w:p>
        </w:tc>
      </w:tr>
      <w:tr w:rsidR="00B4550A" w:rsidRPr="00E0488D" w:rsidTr="003C7FC8">
        <w:trPr>
          <w:jc w:val="center"/>
        </w:trPr>
        <w:tc>
          <w:tcPr>
            <w:tcW w:w="87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color w:val="000000"/>
                <w:sz w:val="20"/>
                <w:szCs w:val="20"/>
                <w:lang w:val="ro-RO"/>
              </w:rPr>
              <w:lastRenderedPageBreak/>
              <w:t xml:space="preserve">Strategia Europa 2020 – </w:t>
            </w:r>
            <w:r w:rsidRPr="00E0488D">
              <w:rPr>
                <w:rFonts w:eastAsia="Calibri" w:cs="Arial"/>
                <w:sz w:val="20"/>
                <w:szCs w:val="20"/>
                <w:lang w:val="ro-RO"/>
              </w:rPr>
              <w:t>O strategie europeană pentru o creștere inteligentă, ecologică și favorabilă incluziunii</w:t>
            </w:r>
          </w:p>
        </w:tc>
        <w:tc>
          <w:tcPr>
            <w:tcW w:w="2313"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Strategia Europa 2020 propune trei priorități care se susțin reciproc</w:t>
            </w:r>
            <w:r w:rsidRPr="00E0488D">
              <w:rPr>
                <w:rFonts w:eastAsia="Calibri"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color w:val="000000"/>
                <w:sz w:val="20"/>
                <w:szCs w:val="20"/>
                <w:lang w:val="ro-RO"/>
              </w:rPr>
              <w:t xml:space="preserve">– </w:t>
            </w:r>
            <w:r w:rsidRPr="00E0488D">
              <w:rPr>
                <w:rFonts w:eastAsia="Calibri" w:cs="Arial"/>
                <w:sz w:val="20"/>
                <w:szCs w:val="20"/>
                <w:lang w:val="ro-RO"/>
              </w:rPr>
              <w:t>creștere inteligentă: dezvoltarea unei economii bazate pe cunoaștere și inovare</w:t>
            </w:r>
            <w:r w:rsidRPr="00E0488D">
              <w:rPr>
                <w:rFonts w:eastAsia="Calibri"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color w:val="000000"/>
                <w:sz w:val="20"/>
                <w:szCs w:val="20"/>
                <w:lang w:val="ro-RO"/>
              </w:rPr>
              <w:t>–</w:t>
            </w:r>
            <w:r w:rsidRPr="00E0488D">
              <w:rPr>
                <w:rFonts w:eastAsia="Calibri" w:cs="Arial"/>
                <w:sz w:val="20"/>
                <w:szCs w:val="20"/>
                <w:lang w:val="ro-RO"/>
              </w:rPr>
              <w:t xml:space="preserve"> creștere durabilă: promovarea unei economii mai eficiente din punctul de vedere al utilizării resurselor, mai ecologice și mai competitive</w:t>
            </w:r>
            <w:r w:rsidRPr="00E0488D">
              <w:rPr>
                <w:rFonts w:eastAsia="Calibri"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color w:val="000000"/>
                <w:sz w:val="20"/>
                <w:szCs w:val="20"/>
                <w:lang w:val="ro-RO"/>
              </w:rPr>
              <w:t>–</w:t>
            </w:r>
            <w:r w:rsidRPr="00E0488D">
              <w:rPr>
                <w:rFonts w:eastAsia="Calibri" w:cs="Arial"/>
                <w:sz w:val="20"/>
                <w:szCs w:val="20"/>
                <w:lang w:val="ro-RO"/>
              </w:rPr>
              <w:t xml:space="preserve"> creștere favorabilă incluziunii: promovarea unei economii cu o rată ridicată a ocupării forței de muncă, care să asigure coeziunea socială și teritorială</w:t>
            </w:r>
            <w:r w:rsidRPr="00E0488D">
              <w:rPr>
                <w:rFonts w:eastAsia="Calibri"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p>
          <w:p w:rsidR="00B4550A" w:rsidRPr="00E0488D" w:rsidRDefault="00B4550A" w:rsidP="003C7FC8">
            <w:pPr>
              <w:autoSpaceDE w:val="0"/>
              <w:autoSpaceDN w:val="0"/>
              <w:adjustRightInd w:val="0"/>
              <w:jc w:val="both"/>
              <w:rPr>
                <w:rFonts w:eastAsia="Calibri" w:cs="Arial"/>
                <w:sz w:val="20"/>
                <w:szCs w:val="20"/>
                <w:lang w:val="ro-RO"/>
              </w:rPr>
            </w:pPr>
            <w:r w:rsidRPr="00E0488D">
              <w:rPr>
                <w:rFonts w:eastAsia="Calibri" w:cs="Arial"/>
                <w:sz w:val="20"/>
                <w:szCs w:val="20"/>
                <w:lang w:val="ro-RO"/>
              </w:rPr>
              <w:t>Pentru a se asigura că fiecare stat membru adaptează strategia Europa 2020 la situația sa specifică, Comisia propune ca aceste obiective ale UE să fie transpuse în obiective și traiectorii.</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Romania propune pentru Sectorul Energie şi transporturi urmatoarele</w:t>
            </w:r>
            <w:r w:rsidRPr="00E0488D">
              <w:rPr>
                <w:rFonts w:eastAsia="Calibri" w:cs="Arial"/>
                <w:color w:val="000000"/>
                <w:sz w:val="20"/>
                <w:szCs w:val="20"/>
                <w:lang w:val="ro-RO"/>
              </w:rPr>
              <w:t>:</w:t>
            </w:r>
          </w:p>
          <w:p w:rsidR="00B4550A" w:rsidRPr="00E0488D" w:rsidRDefault="00B4550A" w:rsidP="00687448">
            <w:pPr>
              <w:numPr>
                <w:ilvl w:val="0"/>
                <w:numId w:val="29"/>
              </w:numPr>
              <w:autoSpaceDE w:val="0"/>
              <w:autoSpaceDN w:val="0"/>
              <w:adjustRightInd w:val="0"/>
              <w:rPr>
                <w:rFonts w:eastAsia="Calibri" w:cs="Arial"/>
                <w:color w:val="000000"/>
                <w:sz w:val="20"/>
                <w:szCs w:val="20"/>
                <w:lang w:val="ro-RO"/>
              </w:rPr>
            </w:pPr>
            <w:r w:rsidRPr="00E0488D">
              <w:rPr>
                <w:rFonts w:eastAsia="Calibri" w:cs="Arial"/>
                <w:sz w:val="20"/>
                <w:szCs w:val="20"/>
                <w:lang w:val="ro-RO"/>
              </w:rPr>
              <w:t>Plecând de la situaţia actuală şi anume că România înregistrează un grad scăzut de competitivitate şi eficienţă în sectorul energetic şi în cel al transporturilor se consideră ca este necesară asigurarea liberalizarii preţurilor la gaze şi electricitate, să consolideze guvernanţa întreprinderilor de stat şi a organismelor de reglementare şi să finalizeze conexiunile transfrontaliere</w:t>
            </w:r>
            <w:r w:rsidRPr="00E0488D">
              <w:rPr>
                <w:rFonts w:eastAsia="Calibri" w:cs="Arial"/>
                <w:color w:val="000000"/>
                <w:sz w:val="20"/>
                <w:szCs w:val="20"/>
                <w:lang w:val="ro-RO"/>
              </w:rPr>
              <w:t xml:space="preserve">. </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În ceea ce priveşte infrastructura pentru conexiunile de bandă largă, în prezent ea este cea mai slab dezvoltată din UE, aspect care ar trebui remediat. În sectorul transporturilor, este nevoie de un plan amplu pe termen lung</w:t>
            </w:r>
            <w:r w:rsidRPr="00E0488D">
              <w:rPr>
                <w:rFonts w:eastAsia="Calibri" w:cs="Arial"/>
                <w:color w:val="000000"/>
                <w:sz w:val="20"/>
                <w:szCs w:val="20"/>
                <w:lang w:val="ro-RO"/>
              </w:rPr>
              <w:t xml:space="preserve">. </w:t>
            </w:r>
          </w:p>
        </w:tc>
        <w:tc>
          <w:tcPr>
            <w:tcW w:w="696"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jc w:val="center"/>
              <w:rPr>
                <w:rFonts w:eastAsia="Calibri" w:cs="Arial"/>
                <w:color w:val="000000"/>
                <w:sz w:val="20"/>
                <w:szCs w:val="20"/>
                <w:lang w:val="ro-RO"/>
              </w:rPr>
            </w:pPr>
            <w:r w:rsidRPr="00E0488D">
              <w:rPr>
                <w:rFonts w:eastAsia="Calibri" w:cs="Arial"/>
                <w:color w:val="000000"/>
                <w:sz w:val="20"/>
                <w:szCs w:val="20"/>
                <w:lang w:val="ro-RO"/>
              </w:rPr>
              <w:t>2020</w:t>
            </w:r>
          </w:p>
        </w:tc>
        <w:tc>
          <w:tcPr>
            <w:tcW w:w="112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 xml:space="preserve">MPGT cuprinde strategia Romaniei pentru sectorul transporturilor pe termen scurt, mediu si lung si include dezvoltarea de proiecte integrate de transport care pot fi propuse spre finanţare în cadrul viitoarei etape de finaţare 2014-2020 </w:t>
            </w:r>
          </w:p>
          <w:p w:rsidR="00B4550A" w:rsidRPr="00E0488D" w:rsidRDefault="00B4550A" w:rsidP="003C7FC8">
            <w:pPr>
              <w:rPr>
                <w:rFonts w:eastAsia="Calibri" w:cs="Arial"/>
                <w:color w:val="000000"/>
                <w:sz w:val="20"/>
                <w:szCs w:val="20"/>
                <w:lang w:val="ro-RO"/>
              </w:rPr>
            </w:pPr>
          </w:p>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Prin propunerile sale in sectorul transporturilor, MPGT va contribui la o dezvoltarea economică eficientă şi durabilă a României, crearea unor sisteme de transport care respectă mediul şi cu emisii scăzute de gaze cu efect de seră, asigurarea mobilităţii şi  îmbunătățirea conexiunilor dintre diferitele moduri de transport.</w:t>
            </w:r>
          </w:p>
        </w:tc>
      </w:tr>
      <w:tr w:rsidR="00B4550A" w:rsidRPr="00E0488D" w:rsidTr="003C7FC8">
        <w:trPr>
          <w:jc w:val="center"/>
        </w:trPr>
        <w:tc>
          <w:tcPr>
            <w:tcW w:w="87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 xml:space="preserve">Strategia Uniunii Europene pentru </w:t>
            </w:r>
            <w:r w:rsidRPr="00E0488D">
              <w:rPr>
                <w:rFonts w:eastAsia="Calibri" w:cs="Arial"/>
                <w:sz w:val="20"/>
                <w:szCs w:val="20"/>
                <w:lang w:val="ro-RO"/>
              </w:rPr>
              <w:lastRenderedPageBreak/>
              <w:t>Regiunea Dunării</w:t>
            </w:r>
            <w:r w:rsidRPr="00E0488D">
              <w:rPr>
                <w:rFonts w:eastAsia="Calibri" w:cs="Arial"/>
                <w:color w:val="000000"/>
                <w:sz w:val="20"/>
                <w:szCs w:val="20"/>
                <w:lang w:val="ro-RO"/>
              </w:rPr>
              <w:t xml:space="preserve"> </w:t>
            </w:r>
          </w:p>
        </w:tc>
        <w:tc>
          <w:tcPr>
            <w:tcW w:w="2313"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lastRenderedPageBreak/>
              <w:t xml:space="preserve">Aceasta strategie a fost elaborată de către Comisia Europeană (CE), prin intermediul Direcţiei Generale </w:t>
            </w:r>
            <w:r w:rsidRPr="00E0488D">
              <w:rPr>
                <w:rFonts w:eastAsia="Calibri" w:cs="Arial"/>
                <w:sz w:val="20"/>
                <w:szCs w:val="20"/>
                <w:lang w:val="ro-RO"/>
              </w:rPr>
              <w:lastRenderedPageBreak/>
              <w:t>pentru Politici Regionale (REGIO)</w:t>
            </w:r>
            <w:r w:rsidRPr="00E0488D">
              <w:rPr>
                <w:rFonts w:eastAsia="Calibri" w:cs="Arial"/>
                <w:color w:val="000000"/>
                <w:sz w:val="20"/>
                <w:szCs w:val="20"/>
                <w:lang w:val="ro-RO"/>
              </w:rPr>
              <w:t xml:space="preserve">. </w:t>
            </w:r>
            <w:r w:rsidRPr="00E0488D">
              <w:rPr>
                <w:rFonts w:eastAsia="Calibri" w:cs="Arial"/>
                <w:sz w:val="20"/>
                <w:szCs w:val="20"/>
                <w:lang w:val="ro-RO"/>
              </w:rPr>
              <w:t>Strategia se axează pe: interconectivitatea regiunii Dunărea (îmbunătăţirea infrastructurii de transport, incurajarea energiilor durabile, promovarea culturii şi a turismului ), protecţia mediului (atingerea obiectivelor de mediu prevazute in planul de management al Dunării, reducerea poluării cu nutrienți, implementarea planurilor de protecţie împotriva inundaţiilor, protecţia împotriva riscului de inundaţii, reducerea zonelor afectate de eroziune şi protecţia biodiversităţii), consolidarea regiunii Dunărea (cooperarea instituţională, securitatea), creşterea prosperităţii în regiunea Dunărea (dezvoltare socio-economică, cercetarea, creşterea numărului de locuri de muncă, îmbunătăţirea nivelului de educaţie).</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Obiectivele acestei strategii în ceea ce priveşte sectorul transporturilor sunt</w:t>
            </w:r>
            <w:r w:rsidRPr="00E0488D">
              <w:rPr>
                <w:rFonts w:eastAsia="Calibri" w:cs="Arial"/>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creșterea cu 20% față de anul 2010 a transportului de marfă pe fluviu, până în 2020</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înlăturarea blocajelor existente în calea navigației pe fluviu, până în anul 2052, pentru a putea utiliza nave de tip VIb pe toată durata anului</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timpi de călătorie îmbunătățiți pentru conexiuni feroviare competitive între orașele importante</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implementarea celor 4 Coridoare de transport feroviar de marfă care străbat regiunea Dunării, astfel cum a fost planificat, în termen de 3 sau 5 ani</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color w:val="000000"/>
                <w:sz w:val="20"/>
                <w:szCs w:val="20"/>
                <w:lang w:val="ro-RO"/>
              </w:rPr>
            </w:pPr>
            <w:r w:rsidRPr="00E0488D">
              <w:rPr>
                <w:rFonts w:eastAsia="Calibri" w:cs="Arial"/>
                <w:bCs/>
                <w:sz w:val="20"/>
                <w:szCs w:val="20"/>
                <w:lang w:val="ro-RO"/>
              </w:rPr>
              <w:t>dezvoltarea, până în anul 2020, a unor terminale multimodale eficiente în porturile de pe Dunăre pentru a conecta căile navigabile interioare cu cele de transport rutier și feroviar</w:t>
            </w:r>
            <w:r w:rsidRPr="00E0488D">
              <w:rPr>
                <w:rFonts w:eastAsia="Calibri" w:cs="Arial"/>
                <w:bCs/>
                <w:color w:val="000000"/>
                <w:sz w:val="20"/>
                <w:szCs w:val="20"/>
                <w:lang w:val="ro-RO"/>
              </w:rPr>
              <w:t>.</w:t>
            </w:r>
          </w:p>
        </w:tc>
        <w:tc>
          <w:tcPr>
            <w:tcW w:w="696"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jc w:val="center"/>
              <w:rPr>
                <w:rFonts w:eastAsia="Calibri" w:cs="Arial"/>
                <w:color w:val="000000"/>
                <w:sz w:val="20"/>
                <w:szCs w:val="20"/>
                <w:lang w:val="ro-RO"/>
              </w:rPr>
            </w:pPr>
            <w:r w:rsidRPr="00E0488D">
              <w:rPr>
                <w:rFonts w:eastAsia="Calibri" w:cs="Arial"/>
                <w:color w:val="000000"/>
                <w:sz w:val="20"/>
                <w:szCs w:val="20"/>
                <w:lang w:val="ro-RO"/>
              </w:rPr>
              <w:lastRenderedPageBreak/>
              <w:t>2010-2020</w:t>
            </w:r>
          </w:p>
        </w:tc>
        <w:tc>
          <w:tcPr>
            <w:tcW w:w="112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 xml:space="preserve">Master Planul General de Transporturi </w:t>
            </w:r>
            <w:r w:rsidRPr="00E0488D">
              <w:rPr>
                <w:rFonts w:eastAsia="Calibri" w:cs="Arial"/>
                <w:sz w:val="20"/>
                <w:szCs w:val="20"/>
                <w:lang w:val="ro-RO"/>
              </w:rPr>
              <w:lastRenderedPageBreak/>
              <w:t>propune o serie de investitii pentru îmbunătăţirea căilor navigabile pe Dunăre în sectorul românesc, modernizarea infrastructurii portuare, dezvoltarea transportului intermodal de marfă.</w:t>
            </w:r>
          </w:p>
        </w:tc>
      </w:tr>
      <w:tr w:rsidR="00B4550A" w:rsidRPr="00E0488D" w:rsidTr="003C7FC8">
        <w:trPr>
          <w:jc w:val="center"/>
        </w:trPr>
        <w:tc>
          <w:tcPr>
            <w:tcW w:w="87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lastRenderedPageBreak/>
              <w:t>Strategia Uniunii Europene (UE) privind adaptarea la schimbările climatice (2013)</w:t>
            </w:r>
          </w:p>
        </w:tc>
        <w:tc>
          <w:tcPr>
            <w:tcW w:w="2313"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Style w:val="hps"/>
                <w:rFonts w:cs="Arial"/>
                <w:color w:val="000000"/>
                <w:sz w:val="20"/>
                <w:szCs w:val="20"/>
                <w:lang w:val="ro-RO"/>
              </w:rPr>
            </w:pPr>
            <w:r w:rsidRPr="00E0488D">
              <w:rPr>
                <w:rFonts w:eastAsia="Calibri" w:cs="Arial"/>
                <w:sz w:val="20"/>
                <w:szCs w:val="20"/>
                <w:lang w:val="ro-RO"/>
              </w:rPr>
              <w:t>Scopul general al strategiei UE privind adaptarea la schimbările cllimatice este de a contribui la o Europă mai rezistentă la schimbările climatice, ceea ce înseamnă creșterea gradului de pregătire și a capacității de a reacționa la impacturile schimbărilor climatice la nivel local, regional, național și la nivelul UE, dezvoltând o abordare coerentă și îmbunătățind coordonarea</w:t>
            </w:r>
            <w:r w:rsidRPr="00E0488D">
              <w:rPr>
                <w:rStyle w:val="hps"/>
                <w:rFonts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Instrumentul recomandat la nivel mondial, în contextul Convenției-cadru a Națiunilor Unite asupra schimbărilor climatice, este reprezentat de strategiile naționale de adaptare</w:t>
            </w:r>
            <w:r w:rsidRPr="00E0488D">
              <w:rPr>
                <w:rStyle w:val="hps"/>
                <w:rFonts w:cs="Arial"/>
                <w:color w:val="000000"/>
                <w:sz w:val="20"/>
                <w:szCs w:val="20"/>
                <w:lang w:val="ro-RO"/>
              </w:rPr>
              <w:t>.</w:t>
            </w:r>
          </w:p>
        </w:tc>
        <w:tc>
          <w:tcPr>
            <w:tcW w:w="696"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jc w:val="center"/>
              <w:rPr>
                <w:rFonts w:eastAsia="Calibri" w:cs="Arial"/>
                <w:color w:val="000000"/>
                <w:sz w:val="20"/>
                <w:szCs w:val="20"/>
                <w:lang w:val="ro-RO"/>
              </w:rPr>
            </w:pPr>
            <w:r w:rsidRPr="00E0488D">
              <w:rPr>
                <w:rFonts w:eastAsia="Calibri" w:cs="Arial"/>
                <w:color w:val="000000"/>
                <w:sz w:val="20"/>
                <w:szCs w:val="20"/>
                <w:lang w:val="ro-RO"/>
              </w:rPr>
              <w:t>2014-2020</w:t>
            </w:r>
          </w:p>
        </w:tc>
        <w:tc>
          <w:tcPr>
            <w:tcW w:w="112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 xml:space="preserve">Este necesară aplicarea unor măsuri de adaptare la schimbările climatice în sectoarele vulnerabile cheie precum este şi sectorul transporturilor. Astfel, la planificarea şi ierarhizarea investiţiilor incluse în Master Planul General de Transport s-a avut în vedere şi componenta schimbărilor climatice.   Se prevede ca prin realizarea proiectelor propuse prin Master Planul General de </w:t>
            </w:r>
            <w:r w:rsidRPr="00E0488D">
              <w:rPr>
                <w:rFonts w:eastAsia="Calibri" w:cs="Arial"/>
                <w:sz w:val="20"/>
                <w:szCs w:val="20"/>
                <w:lang w:val="ro-RO"/>
              </w:rPr>
              <w:lastRenderedPageBreak/>
              <w:t>Transport să se obțină  reducerea emisiilor de gaze cu efect de seră</w:t>
            </w:r>
            <w:r w:rsidRPr="00E0488D">
              <w:rPr>
                <w:rFonts w:eastAsia="Calibri" w:cs="Arial"/>
                <w:color w:val="000000"/>
                <w:sz w:val="20"/>
                <w:szCs w:val="20"/>
                <w:lang w:val="ro-RO"/>
              </w:rPr>
              <w:t>.</w:t>
            </w:r>
          </w:p>
        </w:tc>
      </w:tr>
      <w:tr w:rsidR="00B4550A" w:rsidRPr="00E0488D" w:rsidTr="003C7FC8">
        <w:trPr>
          <w:jc w:val="center"/>
        </w:trPr>
        <w:tc>
          <w:tcPr>
            <w:tcW w:w="87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lastRenderedPageBreak/>
              <w:t>Strategia de transport durabil</w:t>
            </w:r>
            <w:r w:rsidRPr="00E0488D">
              <w:rPr>
                <w:rFonts w:eastAsia="Calibri" w:cs="Arial"/>
                <w:color w:val="000000"/>
                <w:sz w:val="20"/>
                <w:szCs w:val="20"/>
                <w:lang w:val="ro-RO"/>
              </w:rPr>
              <w:t xml:space="preserve"> </w:t>
            </w:r>
          </w:p>
        </w:tc>
        <w:tc>
          <w:tcPr>
            <w:tcW w:w="2313"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Stabileşte proiectele prioritare în domeniul transporturilor identificate de România împreună cu UE, care ar trebui realizate până în 2015</w:t>
            </w:r>
            <w:r w:rsidRPr="00E0488D">
              <w:rPr>
                <w:rFonts w:eastAsia="Calibri"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Obiectivul general îl reprezintă dezvoltarea echilibrată a sistemului naţional de transport care să asigure o infrastructură şi servicii de transport, dezvoltarea sustenabilă a economiei şi îmbunătăţirea calităţii vieţii</w:t>
            </w:r>
            <w:r w:rsidRPr="00E0488D">
              <w:rPr>
                <w:rFonts w:eastAsia="Calibri" w:cs="Arial"/>
                <w:color w:val="000000"/>
                <w:sz w:val="20"/>
                <w:szCs w:val="20"/>
                <w:lang w:val="ro-RO"/>
              </w:rPr>
              <w:t>.</w:t>
            </w:r>
          </w:p>
          <w:p w:rsidR="00B4550A" w:rsidRPr="00E0488D" w:rsidRDefault="00B4550A" w:rsidP="003C7FC8">
            <w:pPr>
              <w:autoSpaceDE w:val="0"/>
              <w:autoSpaceDN w:val="0"/>
              <w:adjustRightInd w:val="0"/>
              <w:rPr>
                <w:rFonts w:eastAsia="Calibri" w:cs="Arial"/>
                <w:color w:val="000000"/>
                <w:sz w:val="20"/>
                <w:szCs w:val="20"/>
                <w:lang w:val="ro-RO"/>
              </w:rPr>
            </w:pPr>
            <w:r w:rsidRPr="00E0488D">
              <w:rPr>
                <w:rFonts w:eastAsia="Calibri" w:cs="Arial"/>
                <w:sz w:val="20"/>
                <w:szCs w:val="20"/>
                <w:lang w:val="ro-RO"/>
              </w:rPr>
              <w:t>Obiectivele specifice avute în vedere pentru atingerea obiectivului general sunt</w:t>
            </w:r>
            <w:r w:rsidRPr="00E0488D">
              <w:rPr>
                <w:rFonts w:eastAsia="Calibri" w:cs="Arial"/>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modernizarea şi dezvoltarea reţelei de transport de interes  european şi naţional</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creşterea condiţiilor de siguranţă şi a calităţii serviciilor</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liberalizarea pieţei interne de transport</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stimularea dezvoltării economiei şi a competitivităţii</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întărirea coeziunii sociale şi teritoriale la nivel regional şi   naţional</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color w:val="000000"/>
                <w:sz w:val="20"/>
                <w:szCs w:val="20"/>
                <w:lang w:val="ro-RO"/>
              </w:rPr>
            </w:pPr>
            <w:r w:rsidRPr="00E0488D">
              <w:rPr>
                <w:rFonts w:eastAsia="Calibri" w:cs="Arial"/>
                <w:bCs/>
                <w:sz w:val="20"/>
                <w:szCs w:val="20"/>
                <w:lang w:val="ro-RO"/>
              </w:rPr>
              <w:t>compatibilitatea cu mediul înconjurator</w:t>
            </w:r>
            <w:r w:rsidRPr="00E0488D">
              <w:rPr>
                <w:rFonts w:eastAsia="Calibri" w:cs="Arial"/>
                <w:color w:val="000000"/>
                <w:sz w:val="20"/>
                <w:szCs w:val="20"/>
                <w:lang w:val="ro-RO"/>
              </w:rPr>
              <w:t>.</w:t>
            </w:r>
          </w:p>
        </w:tc>
        <w:tc>
          <w:tcPr>
            <w:tcW w:w="696"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jc w:val="center"/>
              <w:rPr>
                <w:rFonts w:eastAsia="Calibri" w:cs="Arial"/>
                <w:color w:val="000000"/>
                <w:sz w:val="20"/>
                <w:szCs w:val="20"/>
                <w:lang w:val="ro-RO"/>
              </w:rPr>
            </w:pPr>
            <w:r w:rsidRPr="00E0488D">
              <w:rPr>
                <w:rFonts w:eastAsia="Calibri" w:cs="Arial"/>
                <w:color w:val="000000"/>
                <w:sz w:val="20"/>
                <w:szCs w:val="20"/>
                <w:lang w:val="ro-RO"/>
              </w:rPr>
              <w:t>2007-2013, 2020, 2030</w:t>
            </w:r>
          </w:p>
        </w:tc>
        <w:tc>
          <w:tcPr>
            <w:tcW w:w="112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color w:val="000000"/>
                <w:sz w:val="20"/>
                <w:szCs w:val="20"/>
                <w:lang w:val="ro-RO"/>
              </w:rPr>
            </w:pPr>
            <w:r w:rsidRPr="00E0488D">
              <w:rPr>
                <w:rFonts w:eastAsia="Calibri" w:cs="Arial"/>
                <w:sz w:val="20"/>
                <w:szCs w:val="20"/>
                <w:lang w:val="ro-RO"/>
              </w:rPr>
              <w:t>Master Planul General de Transporturi va propune o listă de investiţii prioritare selectate după criterii specifice de selecţie ţinând cont şi de prevederile Strategiei de transport sustenabil. Investiţiile propuse prin MPGT urmăresc</w:t>
            </w:r>
            <w:r w:rsidRPr="00E0488D">
              <w:rPr>
                <w:rFonts w:eastAsia="Calibri" w:cs="Arial"/>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dezvoltarea infrastructurii de transport rutier</w:t>
            </w:r>
            <w:r w:rsidRPr="00E0488D">
              <w:rPr>
                <w:rFonts w:eastAsia="Calibri" w:cs="Arial"/>
                <w:bCs/>
                <w:color w:val="000000"/>
                <w:sz w:val="20"/>
                <w:szCs w:val="20"/>
                <w:lang w:val="ro-RO"/>
              </w:rPr>
              <w:t xml:space="preserve">  </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îmbunătăţirea şi eficientizarea infrastructurii feroviare</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dezvoltarea transportului intermodal</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imbunătăţirea infrastructurii de transport aerian</w:t>
            </w:r>
          </w:p>
        </w:tc>
      </w:tr>
      <w:tr w:rsidR="00B4550A" w:rsidRPr="00E0488D" w:rsidTr="003C7FC8">
        <w:trPr>
          <w:cantSplit/>
          <w:trHeight w:val="1134"/>
          <w:jc w:val="center"/>
        </w:trPr>
        <w:tc>
          <w:tcPr>
            <w:tcW w:w="87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rPr>
                <w:rFonts w:eastAsia="Calibri" w:cs="Arial"/>
                <w:sz w:val="20"/>
                <w:szCs w:val="20"/>
                <w:lang w:val="ro-RO"/>
              </w:rPr>
            </w:pPr>
            <w:r w:rsidRPr="00E0488D">
              <w:rPr>
                <w:rFonts w:eastAsia="Calibri" w:cs="Arial"/>
                <w:sz w:val="20"/>
                <w:szCs w:val="20"/>
                <w:lang w:val="ro-RO"/>
              </w:rPr>
              <w:t>Convenţia privind regimul de navigaţie pe Dunăre (Belgrad, 1948) ratificată prin Decretul   nr. 298 din 30 octombrie 1948</w:t>
            </w:r>
          </w:p>
          <w:p w:rsidR="00B4550A" w:rsidRPr="00E0488D" w:rsidRDefault="00B4550A" w:rsidP="003C7FC8">
            <w:pPr>
              <w:rPr>
                <w:rFonts w:eastAsia="Calibri" w:cs="Arial"/>
                <w:b/>
                <w:bCs/>
                <w:color w:val="000000"/>
                <w:sz w:val="20"/>
                <w:szCs w:val="20"/>
                <w:lang w:val="ro-RO"/>
              </w:rPr>
            </w:pPr>
            <w:r w:rsidRPr="00E0488D">
              <w:rPr>
                <w:rFonts w:eastAsia="Calibri" w:cs="Arial"/>
                <w:b/>
                <w:bCs/>
                <w:sz w:val="20"/>
                <w:szCs w:val="20"/>
                <w:lang w:val="ro-RO"/>
              </w:rPr>
              <w:t xml:space="preserve">PROTOCOL ADIŢIONAL din 26 martie 1998 la Convenţia din </w:t>
            </w:r>
            <w:hyperlink r:id="rId78" w:tooltip="despre regimul navigatiei pe Dunare, semnata la Belgrad la 18 August 1948 impreuna cu cele doua anexe si Protocolul Aditional (act publicat in M.Of. 253 din 30-oct-1948)" w:history="1">
              <w:r w:rsidRPr="00E0488D">
                <w:rPr>
                  <w:rFonts w:eastAsia="Calibri" w:cs="Arial"/>
                  <w:sz w:val="20"/>
                  <w:szCs w:val="20"/>
                  <w:lang w:val="ro-RO"/>
                </w:rPr>
                <w:t>18 august 1948</w:t>
              </w:r>
            </w:hyperlink>
            <w:r w:rsidRPr="00E0488D">
              <w:rPr>
                <w:rFonts w:eastAsia="Calibri" w:cs="Arial"/>
                <w:b/>
                <w:bCs/>
                <w:sz w:val="20"/>
                <w:szCs w:val="20"/>
                <w:lang w:val="ro-RO"/>
              </w:rPr>
              <w:t xml:space="preserve"> privind regimul navigaţiei pe Dunăre*)</w:t>
            </w:r>
          </w:p>
        </w:tc>
        <w:tc>
          <w:tcPr>
            <w:tcW w:w="2313"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Fonts w:eastAsia="Calibri" w:cs="Arial"/>
                <w:iCs/>
                <w:color w:val="000000"/>
                <w:sz w:val="20"/>
                <w:szCs w:val="20"/>
                <w:lang w:val="ro-RO"/>
              </w:rPr>
            </w:pPr>
            <w:r w:rsidRPr="00E0488D">
              <w:rPr>
                <w:rFonts w:eastAsia="Calibri" w:cs="Arial"/>
                <w:iCs/>
                <w:sz w:val="20"/>
                <w:szCs w:val="20"/>
                <w:lang w:val="ro-RO"/>
              </w:rPr>
              <w:t>Este un instrument juridic internațional care reglementează navigația pe Dunăre</w:t>
            </w:r>
            <w:r w:rsidRPr="00E0488D">
              <w:rPr>
                <w:rFonts w:eastAsia="Calibri" w:cs="Arial"/>
                <w:iCs/>
                <w:color w:val="000000"/>
                <w:sz w:val="20"/>
                <w:szCs w:val="20"/>
                <w:lang w:val="ro-RO"/>
              </w:rPr>
              <w:t>.</w:t>
            </w:r>
            <w:r w:rsidRPr="00E0488D">
              <w:rPr>
                <w:rFonts w:eastAsia="Calibri" w:cs="Arial"/>
                <w:color w:val="000000"/>
                <w:sz w:val="20"/>
                <w:szCs w:val="20"/>
                <w:lang w:val="ro-RO"/>
              </w:rPr>
              <w:t xml:space="preserve"> </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Navigația pe Dunăre este liberă şi deschisă vapoarelor comerciale şi mărfurilor tuturor statelor pe picior de egalitate în ceea ce priveşte drepturile portuare şi taxele asupra navigaţiei, precum şi condiţiile cărora este supusă navigaţia comercială</w:t>
            </w:r>
            <w:r w:rsidRPr="00E0488D">
              <w:rPr>
                <w:rFonts w:eastAsia="Calibri" w:cs="Arial"/>
                <w:bCs/>
                <w:color w:val="000000"/>
                <w:sz w:val="20"/>
                <w:szCs w:val="20"/>
                <w:lang w:val="ro-RO"/>
              </w:rPr>
              <w:t>.</w:t>
            </w:r>
          </w:p>
          <w:p w:rsidR="00B4550A" w:rsidRPr="00E0488D" w:rsidRDefault="00B4550A" w:rsidP="00687448">
            <w:pPr>
              <w:numPr>
                <w:ilvl w:val="0"/>
                <w:numId w:val="27"/>
              </w:numPr>
              <w:tabs>
                <w:tab w:val="left" w:pos="475"/>
              </w:tabs>
              <w:autoSpaceDE w:val="0"/>
              <w:autoSpaceDN w:val="0"/>
              <w:adjustRightInd w:val="0"/>
              <w:ind w:left="475" w:hanging="270"/>
              <w:rPr>
                <w:rFonts w:eastAsia="Calibri" w:cs="Arial"/>
                <w:bCs/>
                <w:color w:val="000000"/>
                <w:sz w:val="20"/>
                <w:szCs w:val="20"/>
                <w:lang w:val="ro-RO"/>
              </w:rPr>
            </w:pPr>
            <w:r w:rsidRPr="00E0488D">
              <w:rPr>
                <w:rFonts w:eastAsia="Calibri" w:cs="Arial"/>
                <w:bCs/>
                <w:sz w:val="20"/>
                <w:szCs w:val="20"/>
                <w:lang w:val="ro-RO"/>
              </w:rPr>
              <w:t>Toate statele Dunărene vor asigura  lucrările necesare îmbunătăţirii condiţiilor de navigaţie fără a impiedica sau stânjeni navigaţia pe canalele navigabile ale Dunării.</w:t>
            </w:r>
          </w:p>
          <w:p w:rsidR="00B4550A" w:rsidRPr="00E0488D" w:rsidRDefault="00B4550A" w:rsidP="003C7FC8">
            <w:pPr>
              <w:autoSpaceDE w:val="0"/>
              <w:autoSpaceDN w:val="0"/>
              <w:adjustRightInd w:val="0"/>
              <w:rPr>
                <w:rFonts w:eastAsia="Calibri" w:cs="Arial"/>
                <w:iCs/>
                <w:color w:val="000000"/>
                <w:sz w:val="20"/>
                <w:szCs w:val="20"/>
                <w:lang w:val="ro-RO"/>
              </w:rPr>
            </w:pPr>
            <w:r w:rsidRPr="00E0488D">
              <w:rPr>
                <w:rFonts w:eastAsia="Calibri" w:cs="Arial"/>
                <w:color w:val="000000"/>
                <w:sz w:val="20"/>
                <w:szCs w:val="20"/>
                <w:shd w:val="clear" w:color="auto" w:fill="FFFFFF"/>
                <w:lang w:val="ro-RO"/>
              </w:rPr>
              <w:t>Convenţia este coordonată de o “Comisie” care include reprezentaţi ai statelor membre.</w:t>
            </w:r>
          </w:p>
        </w:tc>
        <w:tc>
          <w:tcPr>
            <w:tcW w:w="696" w:type="pct"/>
            <w:tcBorders>
              <w:top w:val="single" w:sz="4" w:space="0" w:color="000000"/>
              <w:left w:val="single" w:sz="4" w:space="0" w:color="000000"/>
              <w:bottom w:val="single" w:sz="4" w:space="0" w:color="000000"/>
              <w:right w:val="single" w:sz="4" w:space="0" w:color="000000"/>
            </w:tcBorders>
            <w:textDirection w:val="btLr"/>
          </w:tcPr>
          <w:p w:rsidR="00B4550A" w:rsidRPr="00E0488D" w:rsidRDefault="00B4550A" w:rsidP="003C7FC8">
            <w:pPr>
              <w:ind w:left="113" w:right="113"/>
              <w:rPr>
                <w:rFonts w:eastAsia="Calibri" w:cs="Arial"/>
                <w:color w:val="000000"/>
                <w:sz w:val="20"/>
                <w:szCs w:val="20"/>
                <w:lang w:val="ro-RO"/>
              </w:rPr>
            </w:pPr>
            <w:r w:rsidRPr="00E0488D">
              <w:rPr>
                <w:rFonts w:eastAsia="Calibri" w:cs="Arial"/>
                <w:color w:val="000000"/>
                <w:sz w:val="20"/>
                <w:szCs w:val="20"/>
                <w:lang w:val="ro-RO"/>
              </w:rPr>
              <w:t xml:space="preserve">Începând cu data la care a fost ratificată convenția </w:t>
            </w:r>
          </w:p>
        </w:tc>
        <w:tc>
          <w:tcPr>
            <w:tcW w:w="1121" w:type="pct"/>
            <w:tcBorders>
              <w:top w:val="single" w:sz="4" w:space="0" w:color="000000"/>
              <w:left w:val="single" w:sz="4" w:space="0" w:color="000000"/>
              <w:bottom w:val="single" w:sz="4" w:space="0" w:color="000000"/>
              <w:right w:val="single" w:sz="4" w:space="0" w:color="000000"/>
            </w:tcBorders>
          </w:tcPr>
          <w:p w:rsidR="00B4550A" w:rsidRPr="00E0488D" w:rsidRDefault="00B4550A" w:rsidP="003C7FC8">
            <w:pPr>
              <w:autoSpaceDE w:val="0"/>
              <w:autoSpaceDN w:val="0"/>
              <w:adjustRightInd w:val="0"/>
              <w:rPr>
                <w:rStyle w:val="hps"/>
                <w:rFonts w:cs="Arial"/>
                <w:color w:val="000000"/>
                <w:sz w:val="20"/>
                <w:szCs w:val="20"/>
                <w:lang w:val="ro-RO"/>
              </w:rPr>
            </w:pPr>
            <w:r w:rsidRPr="00E0488D">
              <w:rPr>
                <w:rFonts w:eastAsia="Calibri" w:cs="Arial"/>
                <w:sz w:val="20"/>
                <w:szCs w:val="20"/>
                <w:lang w:val="ro-RO"/>
              </w:rPr>
              <w:t>România trebuie să respecte aceasta convenţie privind regimul de navigaţie pe Dunăre. Şenalul fluviului Dunărea trebuie sa corespundă standardelor de navigaţie internaţionale acceptate, aşa cum a stabilit Comisia Dunării.</w:t>
            </w:r>
          </w:p>
          <w:p w:rsidR="00B4550A" w:rsidRPr="00E0488D" w:rsidRDefault="00B4550A" w:rsidP="003C7FC8">
            <w:pPr>
              <w:autoSpaceDE w:val="0"/>
              <w:autoSpaceDN w:val="0"/>
              <w:adjustRightInd w:val="0"/>
              <w:rPr>
                <w:rFonts w:eastAsia="Calibri" w:cs="Arial"/>
                <w:color w:val="000000"/>
                <w:sz w:val="20"/>
                <w:szCs w:val="20"/>
                <w:lang w:val="ro-RO"/>
              </w:rPr>
            </w:pPr>
          </w:p>
          <w:p w:rsidR="00B4550A" w:rsidRPr="00E0488D" w:rsidRDefault="00B4550A" w:rsidP="003C7FC8">
            <w:pPr>
              <w:rPr>
                <w:rFonts w:eastAsia="Calibri" w:cs="Arial"/>
                <w:iCs/>
                <w:color w:val="000000"/>
                <w:sz w:val="20"/>
                <w:szCs w:val="20"/>
                <w:lang w:val="ro-RO"/>
              </w:rPr>
            </w:pPr>
            <w:r w:rsidRPr="00E0488D">
              <w:rPr>
                <w:rFonts w:eastAsia="Calibri" w:cs="Arial"/>
                <w:sz w:val="20"/>
                <w:szCs w:val="20"/>
                <w:lang w:val="ro-RO"/>
              </w:rPr>
              <w:t>Implementarea MPGT va contribui la îmbunătăţirea condiţiilor de navigaţie, îmbunătăţirea infrastructurii portuare</w:t>
            </w:r>
            <w:r w:rsidRPr="00E0488D">
              <w:rPr>
                <w:rFonts w:eastAsia="Calibri" w:cs="Arial"/>
                <w:iCs/>
                <w:color w:val="000000"/>
                <w:sz w:val="20"/>
                <w:szCs w:val="20"/>
                <w:lang w:val="ro-RO"/>
              </w:rPr>
              <w:t>.</w:t>
            </w:r>
          </w:p>
        </w:tc>
      </w:tr>
    </w:tbl>
    <w:p w:rsidR="00B4550A" w:rsidRPr="00E0488D" w:rsidRDefault="00B4550A" w:rsidP="002B7E09">
      <w:pPr>
        <w:pStyle w:val="NumberedParas"/>
      </w:pPr>
      <w:r w:rsidRPr="00E0488D">
        <w:t>Secțiunile 3.2.-3.7 descriu figurile principale și tendințele istorice pentru transportul din România, pe toate modurile de transport, la un nivel european integrat.</w:t>
      </w:r>
    </w:p>
    <w:p w:rsidR="00B4550A" w:rsidRPr="00E0488D" w:rsidRDefault="00B4550A" w:rsidP="00B4550A">
      <w:pPr>
        <w:rPr>
          <w:sz w:val="22"/>
          <w:szCs w:val="22"/>
          <w:lang w:val="ro-RO"/>
        </w:rPr>
      </w:pPr>
      <w:r w:rsidRPr="00E0488D">
        <w:rPr>
          <w:lang w:val="ro-RO"/>
        </w:rPr>
        <w:br w:type="page"/>
      </w:r>
    </w:p>
    <w:p w:rsidR="00B4550A" w:rsidRPr="00E0488D" w:rsidRDefault="00B4550A" w:rsidP="00BD59B2">
      <w:pPr>
        <w:pStyle w:val="Hdg2"/>
      </w:pPr>
      <w:bookmarkStart w:id="52" w:name="_Toc398292052"/>
      <w:bookmarkStart w:id="53" w:name="_Toc413060305"/>
      <w:bookmarkStart w:id="54" w:name="_Toc396234276"/>
      <w:r w:rsidRPr="00E0488D">
        <w:lastRenderedPageBreak/>
        <w:t>Tendințe de transport rutier în contextul european</w:t>
      </w:r>
      <w:bookmarkEnd w:id="52"/>
      <w:bookmarkEnd w:id="53"/>
      <w:r w:rsidRPr="00E0488D">
        <w:t xml:space="preserve"> </w:t>
      </w:r>
      <w:bookmarkEnd w:id="54"/>
    </w:p>
    <w:p w:rsidR="00B4550A" w:rsidRPr="00E0488D" w:rsidRDefault="00B4550A" w:rsidP="002B7E09">
      <w:pPr>
        <w:pStyle w:val="NumberedParas"/>
      </w:pPr>
      <w:r w:rsidRPr="00E0488D">
        <w:t xml:space="preserve">O rețea de drumuri eficientă, sigură și în condiții de siguranță este de o importanță fundamentală pentru succesul economiei românești și, în cele din urmă pentru recunoașterea potențialului de dezvoltare. </w:t>
      </w:r>
    </w:p>
    <w:p w:rsidR="00B4550A" w:rsidRPr="00E0488D" w:rsidRDefault="00B4550A" w:rsidP="002B7E09">
      <w:pPr>
        <w:pStyle w:val="NumberedParas"/>
      </w:pPr>
      <w:r w:rsidRPr="00E0488D">
        <w:t>Rețeaua de drumuri din România se clasifică în 5 categorii:</w:t>
      </w:r>
    </w:p>
    <w:p w:rsidR="00B4550A" w:rsidRPr="00E0488D" w:rsidRDefault="00B4550A" w:rsidP="00BC2B57">
      <w:pPr>
        <w:pStyle w:val="BulletLevel1"/>
      </w:pPr>
      <w:r w:rsidRPr="00E0488D">
        <w:t>Autostrăzi - A;</w:t>
      </w:r>
    </w:p>
    <w:p w:rsidR="00B4550A" w:rsidRPr="00E0488D" w:rsidRDefault="00B4550A" w:rsidP="00BC2B57">
      <w:pPr>
        <w:pStyle w:val="BulletLevel1"/>
      </w:pPr>
      <w:r w:rsidRPr="00E0488D">
        <w:t>Drumuri Naționale si Europene– DN/E;</w:t>
      </w:r>
    </w:p>
    <w:p w:rsidR="00B4550A" w:rsidRPr="00E0488D" w:rsidRDefault="00B4550A" w:rsidP="00BC2B57">
      <w:pPr>
        <w:pStyle w:val="BulletLevel1"/>
      </w:pPr>
      <w:r w:rsidRPr="00E0488D">
        <w:t>Drumuri Naționale – DN;</w:t>
      </w:r>
    </w:p>
    <w:p w:rsidR="00B4550A" w:rsidRPr="00E0488D" w:rsidRDefault="00B4550A" w:rsidP="00BC2B57">
      <w:pPr>
        <w:pStyle w:val="BulletLevel1"/>
      </w:pPr>
      <w:r w:rsidRPr="00E0488D">
        <w:t xml:space="preserve">Drumuri Județene – DJ; și </w:t>
      </w:r>
    </w:p>
    <w:p w:rsidR="00B4550A" w:rsidRPr="00E0488D" w:rsidRDefault="00B4550A" w:rsidP="00BC2B57">
      <w:pPr>
        <w:pStyle w:val="BulletLevel1"/>
      </w:pPr>
      <w:r w:rsidRPr="00E0488D">
        <w:t>Drumuri Comunale – DC.</w:t>
      </w:r>
    </w:p>
    <w:p w:rsidR="00B4550A" w:rsidRPr="00E0488D" w:rsidRDefault="00B4550A" w:rsidP="002B7E09">
      <w:pPr>
        <w:pStyle w:val="NumberedParas"/>
        <w:rPr>
          <w:bCs/>
        </w:rPr>
      </w:pPr>
      <w:r w:rsidRPr="00E0488D">
        <w:t>Rețeaua de autostrăzi și drumuri naționale reprezintă doar 20% din întreaga rețea după cum este sumarizată în Tabelul 3</w:t>
      </w:r>
      <w:bookmarkStart w:id="55" w:name="_Ref369075889"/>
      <w:bookmarkStart w:id="56" w:name="_Ref369075883"/>
      <w:r w:rsidRPr="00E0488D">
        <w:t>.2</w:t>
      </w:r>
      <w:r w:rsidRPr="00E0488D">
        <w:rPr>
          <w:bCs/>
          <w:sz w:val="18"/>
          <w:szCs w:val="18"/>
        </w:rPr>
        <w:t>.</w:t>
      </w:r>
    </w:p>
    <w:p w:rsidR="00B4550A" w:rsidRPr="00E0488D" w:rsidRDefault="00B4550A" w:rsidP="00B4550A">
      <w:pPr>
        <w:ind w:left="851"/>
        <w:rPr>
          <w:b/>
          <w:bCs/>
          <w:sz w:val="22"/>
          <w:szCs w:val="22"/>
          <w:lang w:val="ro-RO"/>
        </w:rPr>
      </w:pPr>
      <w:r w:rsidRPr="00E0488D">
        <w:rPr>
          <w:b/>
          <w:bCs/>
          <w:sz w:val="22"/>
          <w:szCs w:val="22"/>
          <w:lang w:val="ro-RO"/>
        </w:rPr>
        <w:t xml:space="preserve">Tabel </w:t>
      </w:r>
      <w:bookmarkEnd w:id="55"/>
      <w:r w:rsidRPr="00E0488D">
        <w:rPr>
          <w:b/>
          <w:bCs/>
          <w:sz w:val="22"/>
          <w:szCs w:val="22"/>
          <w:lang w:val="ro-RO"/>
        </w:rPr>
        <w:t xml:space="preserve">3.2 Lungimea rețelei de drumuri pe categorii </w:t>
      </w:r>
      <w:bookmarkEnd w:id="56"/>
    </w:p>
    <w:tbl>
      <w:tblPr>
        <w:tblW w:w="5812" w:type="dxa"/>
        <w:tblInd w:w="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843"/>
      </w:tblGrid>
      <w:tr w:rsidR="00B4550A" w:rsidRPr="00E0488D" w:rsidTr="003C7FC8">
        <w:tc>
          <w:tcPr>
            <w:tcW w:w="2410" w:type="dxa"/>
            <w:shd w:val="clear" w:color="auto" w:fill="B8CCE4" w:themeFill="accent1" w:themeFillTint="66"/>
            <w:vAlign w:val="center"/>
          </w:tcPr>
          <w:p w:rsidR="00B4550A" w:rsidRPr="00E0488D" w:rsidRDefault="00B4550A" w:rsidP="003C7FC8">
            <w:pPr>
              <w:spacing w:line="276" w:lineRule="auto"/>
              <w:rPr>
                <w:b/>
                <w:sz w:val="22"/>
                <w:szCs w:val="22"/>
                <w:lang w:val="ro-RO"/>
              </w:rPr>
            </w:pPr>
            <w:r w:rsidRPr="00E0488D">
              <w:rPr>
                <w:b/>
                <w:sz w:val="22"/>
                <w:szCs w:val="22"/>
                <w:lang w:val="ro-RO"/>
              </w:rPr>
              <w:t>Tip de drum</w:t>
            </w:r>
          </w:p>
        </w:tc>
        <w:tc>
          <w:tcPr>
            <w:tcW w:w="1559" w:type="dxa"/>
            <w:shd w:val="clear" w:color="auto" w:fill="B8CCE4" w:themeFill="accent1" w:themeFillTint="66"/>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Kilometrii</w:t>
            </w:r>
          </w:p>
        </w:tc>
        <w:tc>
          <w:tcPr>
            <w:tcW w:w="1843" w:type="dxa"/>
            <w:shd w:val="clear" w:color="auto" w:fill="B8CCE4" w:themeFill="accent1" w:themeFillTint="66"/>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Proporție</w:t>
            </w:r>
          </w:p>
        </w:tc>
      </w:tr>
      <w:tr w:rsidR="00B4550A" w:rsidRPr="00E0488D" w:rsidTr="003C7FC8">
        <w:tc>
          <w:tcPr>
            <w:tcW w:w="2410" w:type="dxa"/>
            <w:vAlign w:val="center"/>
          </w:tcPr>
          <w:p w:rsidR="00B4550A" w:rsidRPr="00E0488D" w:rsidRDefault="00B4550A" w:rsidP="003C7FC8">
            <w:pPr>
              <w:spacing w:line="276" w:lineRule="auto"/>
              <w:rPr>
                <w:bCs/>
                <w:sz w:val="22"/>
                <w:szCs w:val="22"/>
                <w:lang w:val="ro-RO"/>
              </w:rPr>
            </w:pPr>
            <w:r w:rsidRPr="00E0488D">
              <w:rPr>
                <w:bCs/>
                <w:sz w:val="22"/>
                <w:szCs w:val="22"/>
                <w:lang w:val="ro-RO"/>
              </w:rPr>
              <w:t>Autostradă</w:t>
            </w:r>
          </w:p>
        </w:tc>
        <w:tc>
          <w:tcPr>
            <w:tcW w:w="1559"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362,6</w:t>
            </w:r>
          </w:p>
        </w:tc>
        <w:tc>
          <w:tcPr>
            <w:tcW w:w="1843"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0,5%</w:t>
            </w:r>
          </w:p>
        </w:tc>
      </w:tr>
      <w:tr w:rsidR="00B4550A" w:rsidRPr="00E0488D" w:rsidTr="003C7FC8">
        <w:tc>
          <w:tcPr>
            <w:tcW w:w="2410" w:type="dxa"/>
            <w:vAlign w:val="center"/>
          </w:tcPr>
          <w:p w:rsidR="00B4550A" w:rsidRPr="00E0488D" w:rsidRDefault="00B4550A" w:rsidP="003C7FC8">
            <w:pPr>
              <w:spacing w:line="276" w:lineRule="auto"/>
              <w:rPr>
                <w:bCs/>
                <w:sz w:val="22"/>
                <w:szCs w:val="22"/>
                <w:lang w:val="ro-RO"/>
              </w:rPr>
            </w:pPr>
            <w:r w:rsidRPr="00E0488D">
              <w:rPr>
                <w:bCs/>
                <w:sz w:val="22"/>
                <w:szCs w:val="22"/>
                <w:lang w:val="ro-RO"/>
              </w:rPr>
              <w:t>Drum Național European</w:t>
            </w:r>
          </w:p>
        </w:tc>
        <w:tc>
          <w:tcPr>
            <w:tcW w:w="1559"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5.697,7</w:t>
            </w:r>
          </w:p>
        </w:tc>
        <w:tc>
          <w:tcPr>
            <w:tcW w:w="1843"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7,1%</w:t>
            </w:r>
          </w:p>
        </w:tc>
      </w:tr>
      <w:tr w:rsidR="00B4550A" w:rsidRPr="00E0488D" w:rsidTr="003C7FC8">
        <w:tc>
          <w:tcPr>
            <w:tcW w:w="2410" w:type="dxa"/>
            <w:vAlign w:val="center"/>
          </w:tcPr>
          <w:p w:rsidR="00B4550A" w:rsidRPr="00E0488D" w:rsidRDefault="00B4550A" w:rsidP="003C7FC8">
            <w:pPr>
              <w:spacing w:line="276" w:lineRule="auto"/>
              <w:rPr>
                <w:bCs/>
                <w:sz w:val="22"/>
                <w:szCs w:val="22"/>
                <w:lang w:val="ro-RO"/>
              </w:rPr>
            </w:pPr>
            <w:r w:rsidRPr="00E0488D">
              <w:rPr>
                <w:bCs/>
                <w:sz w:val="22"/>
                <w:szCs w:val="22"/>
                <w:lang w:val="ro-RO"/>
              </w:rPr>
              <w:t>Alte drumuri naționale</w:t>
            </w:r>
          </w:p>
        </w:tc>
        <w:tc>
          <w:tcPr>
            <w:tcW w:w="1559"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9.930,9</w:t>
            </w:r>
          </w:p>
        </w:tc>
        <w:tc>
          <w:tcPr>
            <w:tcW w:w="1843"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12,4%</w:t>
            </w:r>
          </w:p>
        </w:tc>
      </w:tr>
      <w:tr w:rsidR="00B4550A" w:rsidRPr="00E0488D" w:rsidTr="003C7FC8">
        <w:tc>
          <w:tcPr>
            <w:tcW w:w="2410" w:type="dxa"/>
            <w:vAlign w:val="center"/>
          </w:tcPr>
          <w:p w:rsidR="00B4550A" w:rsidRPr="00E0488D" w:rsidRDefault="00B4550A" w:rsidP="003C7FC8">
            <w:pPr>
              <w:spacing w:line="276" w:lineRule="auto"/>
              <w:rPr>
                <w:bCs/>
                <w:sz w:val="22"/>
                <w:szCs w:val="22"/>
                <w:lang w:val="ro-RO"/>
              </w:rPr>
            </w:pPr>
            <w:r w:rsidRPr="00E0488D">
              <w:rPr>
                <w:bCs/>
                <w:sz w:val="22"/>
                <w:szCs w:val="22"/>
                <w:lang w:val="ro-RO"/>
              </w:rPr>
              <w:t>Drum Județean</w:t>
            </w:r>
          </w:p>
        </w:tc>
        <w:tc>
          <w:tcPr>
            <w:tcW w:w="1559"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36.009,8</w:t>
            </w:r>
          </w:p>
        </w:tc>
        <w:tc>
          <w:tcPr>
            <w:tcW w:w="1843"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45,1%</w:t>
            </w:r>
          </w:p>
        </w:tc>
      </w:tr>
      <w:tr w:rsidR="00B4550A" w:rsidRPr="00E0488D" w:rsidTr="003C7FC8">
        <w:tc>
          <w:tcPr>
            <w:tcW w:w="2410" w:type="dxa"/>
            <w:vAlign w:val="center"/>
          </w:tcPr>
          <w:p w:rsidR="00B4550A" w:rsidRPr="00E0488D" w:rsidRDefault="00B4550A" w:rsidP="003C7FC8">
            <w:pPr>
              <w:spacing w:line="276" w:lineRule="auto"/>
              <w:rPr>
                <w:bCs/>
                <w:sz w:val="22"/>
                <w:szCs w:val="22"/>
                <w:lang w:val="ro-RO"/>
              </w:rPr>
            </w:pPr>
            <w:r w:rsidRPr="00E0488D">
              <w:rPr>
                <w:bCs/>
                <w:sz w:val="22"/>
                <w:szCs w:val="22"/>
                <w:lang w:val="ro-RO"/>
              </w:rPr>
              <w:t>Drum Comunal</w:t>
            </w:r>
          </w:p>
        </w:tc>
        <w:tc>
          <w:tcPr>
            <w:tcW w:w="1559"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27.780,8</w:t>
            </w:r>
          </w:p>
        </w:tc>
        <w:tc>
          <w:tcPr>
            <w:tcW w:w="1843"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34,8%</w:t>
            </w:r>
          </w:p>
        </w:tc>
      </w:tr>
      <w:tr w:rsidR="00B4550A" w:rsidRPr="00E0488D" w:rsidTr="003C7FC8">
        <w:tc>
          <w:tcPr>
            <w:tcW w:w="2410" w:type="dxa"/>
            <w:vAlign w:val="center"/>
          </w:tcPr>
          <w:p w:rsidR="00B4550A" w:rsidRPr="00E0488D" w:rsidRDefault="00B4550A" w:rsidP="003C7FC8">
            <w:pPr>
              <w:spacing w:line="276" w:lineRule="auto"/>
              <w:rPr>
                <w:bCs/>
                <w:sz w:val="22"/>
                <w:szCs w:val="22"/>
                <w:lang w:val="ro-RO"/>
              </w:rPr>
            </w:pPr>
            <w:r w:rsidRPr="00E0488D">
              <w:rPr>
                <w:bCs/>
                <w:sz w:val="22"/>
                <w:szCs w:val="22"/>
                <w:lang w:val="ro-RO"/>
              </w:rPr>
              <w:t>Total</w:t>
            </w:r>
          </w:p>
        </w:tc>
        <w:tc>
          <w:tcPr>
            <w:tcW w:w="1559"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79.781,7</w:t>
            </w:r>
          </w:p>
        </w:tc>
        <w:tc>
          <w:tcPr>
            <w:tcW w:w="1843"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w:t>
            </w:r>
          </w:p>
        </w:tc>
      </w:tr>
    </w:tbl>
    <w:p w:rsidR="00B4550A" w:rsidRPr="00E0488D" w:rsidRDefault="00B4550A" w:rsidP="00B4550A">
      <w:pPr>
        <w:ind w:left="851"/>
        <w:rPr>
          <w:i/>
          <w:lang w:val="ro-RO"/>
        </w:rPr>
      </w:pPr>
      <w:r w:rsidRPr="00E0488D">
        <w:rPr>
          <w:i/>
          <w:lang w:val="ro-RO"/>
        </w:rPr>
        <w:t xml:space="preserve">SURSA: Analiza AECOM privind datele individuale de la  DRDP </w:t>
      </w:r>
    </w:p>
    <w:p w:rsidR="00B4550A" w:rsidRPr="00E0488D" w:rsidRDefault="00B4550A" w:rsidP="00B4550A">
      <w:pPr>
        <w:rPr>
          <w:sz w:val="22"/>
          <w:szCs w:val="22"/>
          <w:lang w:val="ro-RO"/>
        </w:rPr>
      </w:pPr>
    </w:p>
    <w:p w:rsidR="00B4550A" w:rsidRPr="00E0488D" w:rsidRDefault="00B4550A" w:rsidP="002B7E09">
      <w:pPr>
        <w:pStyle w:val="NumberedParas"/>
      </w:pPr>
      <w:r w:rsidRPr="00E0488D">
        <w:t>Standardul de furnizare și funcționare rețea: Aproximativ 90% din rețeaua națională este la standardul de drumuri cu o singură bandă pe sens, fapt care are impact atât asupra timpului de călătorie cât și a siguranței. Unele drumuri naționale utilizează o singură bandă pe sens cu acostament dur, dar acesta are de obicei o lațime sub standard. Acest lucru nu este suficient pentru a asigura depășirea vehiculelor agricole locale, care utilizează de obicei rețeaua, nici pentru vehicúlele de transport mărfuri grele care sunt predominante pe orice rețea națională și trebuie să circule în siguranță.</w:t>
      </w:r>
    </w:p>
    <w:p w:rsidR="00B4550A" w:rsidRPr="00E0488D" w:rsidRDefault="00B4550A" w:rsidP="002B7E09">
      <w:pPr>
        <w:pStyle w:val="NumberedParas"/>
      </w:pPr>
      <w:r w:rsidRPr="00E0488D">
        <w:t>În comparație cu restul Europei, nivelul de furnizare autostrăzi este foarte scăzut. Statisticile recente din Europa care compară nivelul de furnizare autostrăzi în raport cu toate drumurile naționale/principale, plasează România pe locul 30 din 31 (pentru țările cu date relevante disponibile). Acest lucru are impact asupra fiabilității rețelei de drumuri pentru mediul de afaceri și economie.</w:t>
      </w:r>
    </w:p>
    <w:p w:rsidR="00B4550A" w:rsidRPr="00E0488D" w:rsidRDefault="00B4550A" w:rsidP="002B7E09">
      <w:pPr>
        <w:pStyle w:val="NumberedParas"/>
      </w:pPr>
      <w:r w:rsidRPr="00E0488D">
        <w:t xml:space="preserve">De asemenea, este demn de remarcat faptul că aceeași sursă de date identifică faptul că România se află pe locul 7 din 33 de țări în ceea ce privește proporția rețelei totale clasificată ca “națională”. Acest lucru indică faptul că măsura proporțională a rețelei naționale este mai mare față de majoritatea țărilor europene. Figura 3.1 prezintă procentul rețelei rutiere globale care este clasificat ca făcând parte din Rețeaua Națională și procentul din rețea care reprezintă autostrăzile standard pentru țările cu totalul lungimii de rețea comparabilă cu România. </w:t>
      </w:r>
    </w:p>
    <w:p w:rsidR="00B4550A" w:rsidRPr="00E0488D" w:rsidRDefault="00B4550A" w:rsidP="00B4550A">
      <w:pPr>
        <w:rPr>
          <w:b/>
          <w:sz w:val="22"/>
          <w:szCs w:val="22"/>
          <w:lang w:val="ro-RO"/>
        </w:rPr>
      </w:pPr>
      <w:r w:rsidRPr="00E0488D">
        <w:rPr>
          <w:b/>
          <w:sz w:val="22"/>
          <w:szCs w:val="22"/>
          <w:lang w:val="ro-RO"/>
        </w:rPr>
        <w:br w:type="page"/>
      </w:r>
    </w:p>
    <w:p w:rsidR="00B4550A" w:rsidRPr="00E0488D" w:rsidRDefault="00B4550A" w:rsidP="00B4550A">
      <w:pPr>
        <w:ind w:left="851"/>
        <w:rPr>
          <w:b/>
          <w:sz w:val="22"/>
          <w:szCs w:val="22"/>
          <w:lang w:val="ro-RO"/>
        </w:rPr>
      </w:pPr>
      <w:r w:rsidRPr="00E0488D">
        <w:rPr>
          <w:noProof/>
          <w:lang w:val="ro-RO" w:eastAsia="ro-RO"/>
        </w:rPr>
        <w:lastRenderedPageBreak/>
        <w:drawing>
          <wp:inline distT="0" distB="0" distL="0" distR="0" wp14:anchorId="175F03AB" wp14:editId="331C8413">
            <wp:extent cx="4820285" cy="2616200"/>
            <wp:effectExtent l="19050" t="0" r="18415" b="0"/>
            <wp:docPr id="821"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4550A" w:rsidRPr="00E0488D" w:rsidRDefault="00B4550A" w:rsidP="00B4550A">
      <w:pPr>
        <w:rPr>
          <w:lang w:val="ro-RO"/>
        </w:rPr>
      </w:pPr>
    </w:p>
    <w:p w:rsidR="00B4550A" w:rsidRPr="00E0488D" w:rsidRDefault="00B4550A" w:rsidP="00B4550A">
      <w:pPr>
        <w:ind w:left="851"/>
        <w:rPr>
          <w:i/>
          <w:lang w:val="ro-RO"/>
        </w:rPr>
      </w:pPr>
      <w:r w:rsidRPr="00E0488D">
        <w:rPr>
          <w:i/>
          <w:lang w:val="ro-RO"/>
        </w:rPr>
        <w:t>Sursa: EUROSTAT</w:t>
      </w:r>
    </w:p>
    <w:p w:rsidR="00B4550A" w:rsidRPr="00E0488D" w:rsidRDefault="00B4550A" w:rsidP="00B4550A">
      <w:pPr>
        <w:spacing w:before="120" w:after="120"/>
        <w:ind w:left="851"/>
        <w:rPr>
          <w:b/>
          <w:sz w:val="22"/>
          <w:szCs w:val="22"/>
          <w:lang w:val="ro-RO"/>
        </w:rPr>
      </w:pPr>
      <w:r w:rsidRPr="00E0488D">
        <w:rPr>
          <w:b/>
          <w:sz w:val="22"/>
          <w:szCs w:val="22"/>
          <w:lang w:val="ro-RO"/>
        </w:rPr>
        <w:t>Figura 3.1 Procentul de rețele rutiere clasificate drept “Naționale”</w:t>
      </w:r>
    </w:p>
    <w:p w:rsidR="00B4550A" w:rsidRPr="00E0488D" w:rsidRDefault="00B4550A" w:rsidP="002B7E09">
      <w:pPr>
        <w:pStyle w:val="NumberedParas"/>
      </w:pPr>
      <w:r w:rsidRPr="00E0488D">
        <w:t xml:space="preserve">CESTRIN au pus la dispoziția AECOM date cu privire la stadiul rețelei naționale la data de 1 ianuarie 2012. Datele furnizate includ informații cu privire la tipul de suprafață rutieră, o evaluare a calității tipului de suprafață (conform indicilor de rugozitate IRR) precum și tipul de relief parcurs de sectorul de drum. Nu am putut obține date echivalente pentru rețeaua non-națională. </w:t>
      </w:r>
    </w:p>
    <w:p w:rsidR="00B4550A" w:rsidRPr="00E0488D" w:rsidRDefault="00B4550A" w:rsidP="002B7E09">
      <w:pPr>
        <w:pStyle w:val="NumberedParas"/>
      </w:pPr>
      <w:r w:rsidRPr="00E0488D">
        <w:t>Tabelul 3.3 prezintă proporția din rețea considerată în stare bună, medie sau proastă clasificată pe tipul de suprafață de rulare și relief.</w:t>
      </w:r>
    </w:p>
    <w:p w:rsidR="00B4550A" w:rsidRPr="00E0488D" w:rsidRDefault="00B4550A" w:rsidP="00B4550A">
      <w:pPr>
        <w:ind w:left="851"/>
        <w:rPr>
          <w:b/>
          <w:sz w:val="22"/>
          <w:szCs w:val="22"/>
          <w:lang w:val="ro-RO"/>
        </w:rPr>
      </w:pPr>
      <w:bookmarkStart w:id="57" w:name="_Ref369077037"/>
      <w:r w:rsidRPr="00E0488D">
        <w:rPr>
          <w:b/>
          <w:sz w:val="22"/>
          <w:szCs w:val="22"/>
          <w:lang w:val="ro-RO"/>
        </w:rPr>
        <w:t xml:space="preserve">Tabelul </w:t>
      </w:r>
      <w:bookmarkEnd w:id="57"/>
      <w:r w:rsidRPr="00E0488D">
        <w:rPr>
          <w:b/>
          <w:sz w:val="22"/>
          <w:szCs w:val="22"/>
          <w:lang w:val="ro-RO"/>
        </w:rPr>
        <w:t>3.3 Rețeaua rutieră națională – Starea tehnică a drumului</w:t>
      </w:r>
    </w:p>
    <w:tbl>
      <w:tblPr>
        <w:tblW w:w="448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
        <w:gridCol w:w="1044"/>
        <w:gridCol w:w="974"/>
        <w:gridCol w:w="1068"/>
        <w:gridCol w:w="882"/>
        <w:gridCol w:w="1206"/>
        <w:gridCol w:w="1016"/>
        <w:gridCol w:w="1051"/>
        <w:gridCol w:w="887"/>
        <w:gridCol w:w="827"/>
      </w:tblGrid>
      <w:tr w:rsidR="00B4550A" w:rsidRPr="00E0488D" w:rsidTr="003C7FC8">
        <w:trPr>
          <w:cantSplit/>
          <w:trHeight w:val="329"/>
        </w:trPr>
        <w:tc>
          <w:tcPr>
            <w:tcW w:w="801" w:type="pct"/>
            <w:gridSpan w:val="2"/>
            <w:shd w:val="clear" w:color="auto" w:fill="B8CCE4" w:themeFill="accent1" w:themeFillTint="66"/>
            <w:vAlign w:val="center"/>
          </w:tcPr>
          <w:p w:rsidR="00B4550A" w:rsidRPr="00E0488D" w:rsidRDefault="00B4550A" w:rsidP="003C7FC8">
            <w:pPr>
              <w:jc w:val="center"/>
              <w:rPr>
                <w:lang w:val="ro-RO"/>
              </w:rPr>
            </w:pPr>
          </w:p>
        </w:tc>
        <w:tc>
          <w:tcPr>
            <w:tcW w:w="517" w:type="pct"/>
            <w:shd w:val="clear" w:color="auto" w:fill="B8CCE4" w:themeFill="accent1" w:themeFillTint="66"/>
            <w:vAlign w:val="center"/>
          </w:tcPr>
          <w:p w:rsidR="00B4550A" w:rsidRPr="00E0488D" w:rsidRDefault="00B4550A" w:rsidP="003C7FC8">
            <w:pPr>
              <w:jc w:val="center"/>
              <w:rPr>
                <w:b/>
                <w:lang w:val="ro-RO"/>
              </w:rPr>
            </w:pPr>
            <w:r w:rsidRPr="00E0488D">
              <w:rPr>
                <w:b/>
                <w:lang w:val="ro-RO"/>
              </w:rPr>
              <w:t>Asfalt</w:t>
            </w:r>
          </w:p>
        </w:tc>
        <w:tc>
          <w:tcPr>
            <w:tcW w:w="567" w:type="pct"/>
            <w:shd w:val="clear" w:color="auto" w:fill="B8CCE4" w:themeFill="accent1" w:themeFillTint="66"/>
            <w:vAlign w:val="center"/>
          </w:tcPr>
          <w:p w:rsidR="00B4550A" w:rsidRPr="00E0488D" w:rsidRDefault="00B4550A" w:rsidP="003C7FC8">
            <w:pPr>
              <w:jc w:val="center"/>
              <w:rPr>
                <w:b/>
                <w:lang w:val="ro-RO"/>
              </w:rPr>
            </w:pPr>
            <w:r w:rsidRPr="00E0488D">
              <w:rPr>
                <w:b/>
                <w:lang w:val="ro-RO"/>
              </w:rPr>
              <w:t>Beton</w:t>
            </w:r>
          </w:p>
        </w:tc>
        <w:tc>
          <w:tcPr>
            <w:tcW w:w="468" w:type="pct"/>
            <w:shd w:val="clear" w:color="auto" w:fill="B8CCE4" w:themeFill="accent1" w:themeFillTint="66"/>
            <w:vAlign w:val="center"/>
          </w:tcPr>
          <w:p w:rsidR="00B4550A" w:rsidRPr="00E0488D" w:rsidRDefault="00B4550A" w:rsidP="003C7FC8">
            <w:pPr>
              <w:jc w:val="center"/>
              <w:rPr>
                <w:b/>
                <w:lang w:val="ro-RO"/>
              </w:rPr>
            </w:pPr>
            <w:r w:rsidRPr="00E0488D">
              <w:rPr>
                <w:b/>
                <w:lang w:val="ro-RO"/>
              </w:rPr>
              <w:t>Pavaj</w:t>
            </w:r>
          </w:p>
        </w:tc>
        <w:tc>
          <w:tcPr>
            <w:tcW w:w="640" w:type="pct"/>
            <w:shd w:val="clear" w:color="auto" w:fill="B8CCE4" w:themeFill="accent1" w:themeFillTint="66"/>
            <w:vAlign w:val="center"/>
          </w:tcPr>
          <w:p w:rsidR="00B4550A" w:rsidRPr="00E0488D" w:rsidRDefault="00B4550A" w:rsidP="003C7FC8">
            <w:pPr>
              <w:jc w:val="center"/>
              <w:rPr>
                <w:b/>
                <w:lang w:val="ro-RO"/>
              </w:rPr>
            </w:pPr>
            <w:r w:rsidRPr="00E0488D">
              <w:rPr>
                <w:b/>
                <w:lang w:val="ro-RO"/>
              </w:rPr>
              <w:t>Sistem rutier ușor din bitum</w:t>
            </w:r>
          </w:p>
        </w:tc>
        <w:tc>
          <w:tcPr>
            <w:tcW w:w="539" w:type="pct"/>
            <w:shd w:val="clear" w:color="auto" w:fill="B8CCE4" w:themeFill="accent1" w:themeFillTint="66"/>
            <w:vAlign w:val="center"/>
          </w:tcPr>
          <w:p w:rsidR="00B4550A" w:rsidRPr="00E0488D" w:rsidRDefault="00B4550A" w:rsidP="003C7FC8">
            <w:pPr>
              <w:jc w:val="center"/>
              <w:rPr>
                <w:b/>
                <w:lang w:val="ro-RO"/>
              </w:rPr>
            </w:pPr>
            <w:r w:rsidRPr="00E0488D">
              <w:rPr>
                <w:b/>
                <w:lang w:val="ro-RO"/>
              </w:rPr>
              <w:t>Piatră</w:t>
            </w:r>
          </w:p>
        </w:tc>
        <w:tc>
          <w:tcPr>
            <w:tcW w:w="558" w:type="pct"/>
            <w:shd w:val="clear" w:color="auto" w:fill="B8CCE4" w:themeFill="accent1" w:themeFillTint="66"/>
            <w:vAlign w:val="center"/>
          </w:tcPr>
          <w:p w:rsidR="00B4550A" w:rsidRPr="00E0488D" w:rsidRDefault="00B4550A" w:rsidP="003C7FC8">
            <w:pPr>
              <w:jc w:val="center"/>
              <w:rPr>
                <w:b/>
                <w:lang w:val="ro-RO"/>
              </w:rPr>
            </w:pPr>
            <w:r w:rsidRPr="00E0488D">
              <w:rPr>
                <w:b/>
                <w:lang w:val="ro-RO"/>
              </w:rPr>
              <w:t>Pământ</w:t>
            </w:r>
          </w:p>
        </w:tc>
        <w:tc>
          <w:tcPr>
            <w:tcW w:w="910" w:type="pct"/>
            <w:gridSpan w:val="2"/>
            <w:shd w:val="clear" w:color="auto" w:fill="B8CCE4" w:themeFill="accent1" w:themeFillTint="66"/>
            <w:vAlign w:val="center"/>
          </w:tcPr>
          <w:p w:rsidR="00B4550A" w:rsidRPr="00E0488D" w:rsidRDefault="00B4550A" w:rsidP="003C7FC8">
            <w:pPr>
              <w:jc w:val="center"/>
              <w:rPr>
                <w:b/>
                <w:lang w:val="ro-RO"/>
              </w:rPr>
            </w:pPr>
            <w:r w:rsidRPr="00E0488D">
              <w:rPr>
                <w:b/>
                <w:lang w:val="ro-RO"/>
              </w:rPr>
              <w:t>Total</w:t>
            </w:r>
          </w:p>
        </w:tc>
      </w:tr>
      <w:tr w:rsidR="00B4550A" w:rsidRPr="00E0488D" w:rsidTr="003C7FC8">
        <w:trPr>
          <w:cantSplit/>
          <w:trHeight w:val="329"/>
        </w:trPr>
        <w:tc>
          <w:tcPr>
            <w:tcW w:w="247" w:type="pct"/>
            <w:vMerge w:val="restart"/>
            <w:shd w:val="clear" w:color="auto" w:fill="auto"/>
            <w:textDirection w:val="btLr"/>
            <w:vAlign w:val="center"/>
          </w:tcPr>
          <w:p w:rsidR="00B4550A" w:rsidRPr="00E0488D" w:rsidRDefault="00B4550A" w:rsidP="003C7FC8">
            <w:pPr>
              <w:jc w:val="center"/>
              <w:rPr>
                <w:lang w:val="ro-RO"/>
              </w:rPr>
            </w:pPr>
            <w:r w:rsidRPr="00E0488D">
              <w:rPr>
                <w:lang w:val="ro-RO"/>
              </w:rPr>
              <w:t>Deal</w:t>
            </w:r>
          </w:p>
        </w:tc>
        <w:tc>
          <w:tcPr>
            <w:tcW w:w="554" w:type="pct"/>
            <w:shd w:val="clear" w:color="auto" w:fill="auto"/>
            <w:vAlign w:val="center"/>
          </w:tcPr>
          <w:p w:rsidR="00B4550A" w:rsidRPr="00E0488D" w:rsidRDefault="00B4550A" w:rsidP="003C7FC8">
            <w:pPr>
              <w:jc w:val="center"/>
              <w:rPr>
                <w:lang w:val="ro-RO"/>
              </w:rPr>
            </w:pPr>
            <w:r w:rsidRPr="00E0488D">
              <w:rPr>
                <w:lang w:val="ro-RO"/>
              </w:rPr>
              <w:t>Bună</w:t>
            </w:r>
          </w:p>
        </w:tc>
        <w:tc>
          <w:tcPr>
            <w:tcW w:w="517" w:type="pct"/>
            <w:shd w:val="clear" w:color="auto" w:fill="auto"/>
            <w:vAlign w:val="center"/>
          </w:tcPr>
          <w:p w:rsidR="00B4550A" w:rsidRPr="00E0488D" w:rsidRDefault="00B4550A" w:rsidP="003C7FC8">
            <w:pPr>
              <w:jc w:val="center"/>
              <w:rPr>
                <w:lang w:val="ro-RO"/>
              </w:rPr>
            </w:pPr>
            <w:r w:rsidRPr="00E0488D">
              <w:rPr>
                <w:lang w:val="ro-RO"/>
              </w:rPr>
              <w:t>19,2%</w:t>
            </w:r>
          </w:p>
        </w:tc>
        <w:tc>
          <w:tcPr>
            <w:tcW w:w="567" w:type="pct"/>
            <w:shd w:val="clear" w:color="auto" w:fill="auto"/>
            <w:vAlign w:val="center"/>
          </w:tcPr>
          <w:p w:rsidR="00B4550A" w:rsidRPr="00E0488D" w:rsidRDefault="00B4550A" w:rsidP="003C7FC8">
            <w:pPr>
              <w:jc w:val="center"/>
              <w:rPr>
                <w:lang w:val="ro-RO"/>
              </w:rPr>
            </w:pPr>
            <w:r w:rsidRPr="00E0488D">
              <w:rPr>
                <w:lang w:val="ro-RO"/>
              </w:rPr>
              <w:t>0,8%</w:t>
            </w:r>
          </w:p>
        </w:tc>
        <w:tc>
          <w:tcPr>
            <w:tcW w:w="468" w:type="pct"/>
            <w:shd w:val="clear" w:color="auto" w:fill="auto"/>
            <w:vAlign w:val="center"/>
          </w:tcPr>
          <w:p w:rsidR="00B4550A" w:rsidRPr="00E0488D" w:rsidRDefault="00B4550A" w:rsidP="003C7FC8">
            <w:pPr>
              <w:jc w:val="center"/>
              <w:rPr>
                <w:lang w:val="ro-RO"/>
              </w:rPr>
            </w:pPr>
            <w:r w:rsidRPr="00E0488D">
              <w:rPr>
                <w:lang w:val="ro-RO"/>
              </w:rPr>
              <w:t>0,0%</w:t>
            </w:r>
          </w:p>
        </w:tc>
        <w:tc>
          <w:tcPr>
            <w:tcW w:w="640" w:type="pct"/>
            <w:shd w:val="clear" w:color="auto" w:fill="auto"/>
            <w:vAlign w:val="center"/>
          </w:tcPr>
          <w:p w:rsidR="00B4550A" w:rsidRPr="00E0488D" w:rsidRDefault="00B4550A" w:rsidP="003C7FC8">
            <w:pPr>
              <w:jc w:val="center"/>
              <w:rPr>
                <w:lang w:val="ro-RO"/>
              </w:rPr>
            </w:pPr>
            <w:r w:rsidRPr="00E0488D">
              <w:rPr>
                <w:lang w:val="ro-RO"/>
              </w:rPr>
              <w:t>0,3%</w:t>
            </w:r>
          </w:p>
        </w:tc>
        <w:tc>
          <w:tcPr>
            <w:tcW w:w="539" w:type="pct"/>
            <w:shd w:val="clear" w:color="auto" w:fill="auto"/>
            <w:vAlign w:val="center"/>
          </w:tcPr>
          <w:p w:rsidR="00B4550A" w:rsidRPr="00E0488D" w:rsidRDefault="00B4550A" w:rsidP="003C7FC8">
            <w:pPr>
              <w:jc w:val="center"/>
              <w:rPr>
                <w:lang w:val="ro-RO"/>
              </w:rPr>
            </w:pPr>
            <w:r w:rsidRPr="00E0488D">
              <w:rPr>
                <w:lang w:val="ro-RO"/>
              </w:rPr>
              <w:t>0,0%</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20,4%</w:t>
            </w:r>
          </w:p>
        </w:tc>
        <w:tc>
          <w:tcPr>
            <w:tcW w:w="439" w:type="pct"/>
            <w:vMerge w:val="restart"/>
            <w:shd w:val="clear" w:color="auto" w:fill="auto"/>
            <w:vAlign w:val="center"/>
          </w:tcPr>
          <w:p w:rsidR="00B4550A" w:rsidRPr="00E0488D" w:rsidRDefault="00B4550A" w:rsidP="003C7FC8">
            <w:pPr>
              <w:jc w:val="center"/>
              <w:rPr>
                <w:bCs/>
                <w:lang w:val="ro-RO"/>
              </w:rPr>
            </w:pPr>
            <w:r w:rsidRPr="00E0488D">
              <w:rPr>
                <w:bCs/>
                <w:lang w:val="ro-RO"/>
              </w:rPr>
              <w:t>40,6%</w:t>
            </w:r>
          </w:p>
        </w:tc>
      </w:tr>
      <w:tr w:rsidR="00B4550A" w:rsidRPr="00E0488D" w:rsidTr="003C7FC8">
        <w:trPr>
          <w:cantSplit/>
          <w:trHeight w:val="329"/>
        </w:trPr>
        <w:tc>
          <w:tcPr>
            <w:tcW w:w="247" w:type="pct"/>
            <w:vMerge/>
            <w:shd w:val="clear" w:color="auto" w:fill="auto"/>
            <w:textDirection w:val="btLr"/>
            <w:vAlign w:val="center"/>
          </w:tcPr>
          <w:p w:rsidR="00B4550A" w:rsidRPr="00E0488D" w:rsidRDefault="00B4550A" w:rsidP="003C7FC8">
            <w:pPr>
              <w:jc w:val="center"/>
              <w:rPr>
                <w:lang w:val="ro-RO"/>
              </w:rPr>
            </w:pPr>
          </w:p>
        </w:tc>
        <w:tc>
          <w:tcPr>
            <w:tcW w:w="554" w:type="pct"/>
            <w:shd w:val="clear" w:color="auto" w:fill="auto"/>
            <w:vAlign w:val="center"/>
          </w:tcPr>
          <w:p w:rsidR="00B4550A" w:rsidRPr="00E0488D" w:rsidRDefault="00B4550A" w:rsidP="003C7FC8">
            <w:pPr>
              <w:jc w:val="center"/>
              <w:rPr>
                <w:lang w:val="ro-RO"/>
              </w:rPr>
            </w:pPr>
            <w:r w:rsidRPr="00E0488D">
              <w:rPr>
                <w:lang w:val="ro-RO"/>
              </w:rPr>
              <w:t>Medie</w:t>
            </w:r>
          </w:p>
        </w:tc>
        <w:tc>
          <w:tcPr>
            <w:tcW w:w="517" w:type="pct"/>
            <w:shd w:val="clear" w:color="auto" w:fill="auto"/>
            <w:vAlign w:val="center"/>
          </w:tcPr>
          <w:p w:rsidR="00B4550A" w:rsidRPr="00E0488D" w:rsidRDefault="00B4550A" w:rsidP="003C7FC8">
            <w:pPr>
              <w:jc w:val="center"/>
              <w:rPr>
                <w:lang w:val="ro-RO"/>
              </w:rPr>
            </w:pPr>
            <w:r w:rsidRPr="00E0488D">
              <w:rPr>
                <w:lang w:val="ro-RO"/>
              </w:rPr>
              <w:t>11,5%</w:t>
            </w:r>
          </w:p>
        </w:tc>
        <w:tc>
          <w:tcPr>
            <w:tcW w:w="567" w:type="pct"/>
            <w:shd w:val="clear" w:color="auto" w:fill="auto"/>
            <w:vAlign w:val="center"/>
          </w:tcPr>
          <w:p w:rsidR="00B4550A" w:rsidRPr="00E0488D" w:rsidRDefault="00B4550A" w:rsidP="003C7FC8">
            <w:pPr>
              <w:jc w:val="center"/>
              <w:rPr>
                <w:lang w:val="ro-RO"/>
              </w:rPr>
            </w:pPr>
            <w:r w:rsidRPr="00E0488D">
              <w:rPr>
                <w:lang w:val="ro-RO"/>
              </w:rPr>
              <w:t>1,4%</w:t>
            </w:r>
          </w:p>
        </w:tc>
        <w:tc>
          <w:tcPr>
            <w:tcW w:w="468" w:type="pct"/>
            <w:shd w:val="clear" w:color="auto" w:fill="auto"/>
            <w:vAlign w:val="center"/>
          </w:tcPr>
          <w:p w:rsidR="00B4550A" w:rsidRPr="00E0488D" w:rsidRDefault="00B4550A" w:rsidP="003C7FC8">
            <w:pPr>
              <w:jc w:val="center"/>
              <w:rPr>
                <w:lang w:val="ro-RO"/>
              </w:rPr>
            </w:pPr>
            <w:r w:rsidRPr="00E0488D">
              <w:rPr>
                <w:lang w:val="ro-RO"/>
              </w:rPr>
              <w:t>0,1%</w:t>
            </w:r>
          </w:p>
        </w:tc>
        <w:tc>
          <w:tcPr>
            <w:tcW w:w="640" w:type="pct"/>
            <w:shd w:val="clear" w:color="auto" w:fill="auto"/>
            <w:vAlign w:val="center"/>
          </w:tcPr>
          <w:p w:rsidR="00B4550A" w:rsidRPr="00E0488D" w:rsidRDefault="00B4550A" w:rsidP="003C7FC8">
            <w:pPr>
              <w:jc w:val="center"/>
              <w:rPr>
                <w:lang w:val="ro-RO"/>
              </w:rPr>
            </w:pPr>
            <w:r w:rsidRPr="00E0488D">
              <w:rPr>
                <w:lang w:val="ro-RO"/>
              </w:rPr>
              <w:t>1,4%</w:t>
            </w:r>
          </w:p>
        </w:tc>
        <w:tc>
          <w:tcPr>
            <w:tcW w:w="539" w:type="pct"/>
            <w:shd w:val="clear" w:color="auto" w:fill="auto"/>
            <w:vAlign w:val="center"/>
          </w:tcPr>
          <w:p w:rsidR="00B4550A" w:rsidRPr="00E0488D" w:rsidRDefault="00B4550A" w:rsidP="003C7FC8">
            <w:pPr>
              <w:jc w:val="center"/>
              <w:rPr>
                <w:lang w:val="ro-RO"/>
              </w:rPr>
            </w:pPr>
            <w:r w:rsidRPr="00E0488D">
              <w:rPr>
                <w:lang w:val="ro-RO"/>
              </w:rPr>
              <w:t>0,3%</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14,6%</w:t>
            </w:r>
          </w:p>
        </w:tc>
        <w:tc>
          <w:tcPr>
            <w:tcW w:w="439" w:type="pct"/>
            <w:vMerge/>
            <w:shd w:val="clear" w:color="auto" w:fill="auto"/>
            <w:vAlign w:val="center"/>
          </w:tcPr>
          <w:p w:rsidR="00B4550A" w:rsidRPr="00E0488D" w:rsidRDefault="00B4550A" w:rsidP="003C7FC8">
            <w:pPr>
              <w:jc w:val="center"/>
              <w:rPr>
                <w:b/>
                <w:bCs/>
                <w:lang w:val="ro-RO"/>
              </w:rPr>
            </w:pPr>
          </w:p>
        </w:tc>
      </w:tr>
      <w:tr w:rsidR="00B4550A" w:rsidRPr="00E0488D" w:rsidTr="003C7FC8">
        <w:trPr>
          <w:cantSplit/>
          <w:trHeight w:val="329"/>
        </w:trPr>
        <w:tc>
          <w:tcPr>
            <w:tcW w:w="247" w:type="pct"/>
            <w:vMerge/>
            <w:shd w:val="clear" w:color="auto" w:fill="auto"/>
            <w:textDirection w:val="btLr"/>
            <w:vAlign w:val="center"/>
          </w:tcPr>
          <w:p w:rsidR="00B4550A" w:rsidRPr="00E0488D" w:rsidRDefault="00B4550A" w:rsidP="003C7FC8">
            <w:pPr>
              <w:jc w:val="center"/>
              <w:rPr>
                <w:lang w:val="ro-RO"/>
              </w:rPr>
            </w:pPr>
          </w:p>
        </w:tc>
        <w:tc>
          <w:tcPr>
            <w:tcW w:w="554" w:type="pct"/>
            <w:shd w:val="clear" w:color="auto" w:fill="auto"/>
            <w:vAlign w:val="center"/>
          </w:tcPr>
          <w:p w:rsidR="00B4550A" w:rsidRPr="00E0488D" w:rsidRDefault="00B4550A" w:rsidP="003C7FC8">
            <w:pPr>
              <w:jc w:val="center"/>
              <w:rPr>
                <w:lang w:val="ro-RO"/>
              </w:rPr>
            </w:pPr>
            <w:r w:rsidRPr="00E0488D">
              <w:rPr>
                <w:lang w:val="ro-RO"/>
              </w:rPr>
              <w:t>Proastă</w:t>
            </w:r>
          </w:p>
        </w:tc>
        <w:tc>
          <w:tcPr>
            <w:tcW w:w="517" w:type="pct"/>
            <w:shd w:val="clear" w:color="auto" w:fill="auto"/>
            <w:vAlign w:val="center"/>
          </w:tcPr>
          <w:p w:rsidR="00B4550A" w:rsidRPr="00E0488D" w:rsidRDefault="00B4550A" w:rsidP="003C7FC8">
            <w:pPr>
              <w:jc w:val="center"/>
              <w:rPr>
                <w:lang w:val="ro-RO"/>
              </w:rPr>
            </w:pPr>
            <w:r w:rsidRPr="00E0488D">
              <w:rPr>
                <w:lang w:val="ro-RO"/>
              </w:rPr>
              <w:t>3,8%</w:t>
            </w:r>
          </w:p>
        </w:tc>
        <w:tc>
          <w:tcPr>
            <w:tcW w:w="567" w:type="pct"/>
            <w:shd w:val="clear" w:color="auto" w:fill="auto"/>
            <w:vAlign w:val="center"/>
          </w:tcPr>
          <w:p w:rsidR="00B4550A" w:rsidRPr="00E0488D" w:rsidRDefault="00B4550A" w:rsidP="003C7FC8">
            <w:pPr>
              <w:jc w:val="center"/>
              <w:rPr>
                <w:lang w:val="ro-RO"/>
              </w:rPr>
            </w:pPr>
            <w:r w:rsidRPr="00E0488D">
              <w:rPr>
                <w:lang w:val="ro-RO"/>
              </w:rPr>
              <w:t>0,9%</w:t>
            </w:r>
          </w:p>
        </w:tc>
        <w:tc>
          <w:tcPr>
            <w:tcW w:w="468" w:type="pct"/>
            <w:shd w:val="clear" w:color="auto" w:fill="auto"/>
            <w:vAlign w:val="center"/>
          </w:tcPr>
          <w:p w:rsidR="00B4550A" w:rsidRPr="00E0488D" w:rsidRDefault="00B4550A" w:rsidP="003C7FC8">
            <w:pPr>
              <w:jc w:val="center"/>
              <w:rPr>
                <w:lang w:val="ro-RO"/>
              </w:rPr>
            </w:pPr>
            <w:r w:rsidRPr="00E0488D">
              <w:rPr>
                <w:lang w:val="ro-RO"/>
              </w:rPr>
              <w:t>0,0%</w:t>
            </w:r>
          </w:p>
        </w:tc>
        <w:tc>
          <w:tcPr>
            <w:tcW w:w="640" w:type="pct"/>
            <w:shd w:val="clear" w:color="auto" w:fill="auto"/>
            <w:vAlign w:val="center"/>
          </w:tcPr>
          <w:p w:rsidR="00B4550A" w:rsidRPr="00E0488D" w:rsidRDefault="00B4550A" w:rsidP="003C7FC8">
            <w:pPr>
              <w:jc w:val="center"/>
              <w:rPr>
                <w:lang w:val="ro-RO"/>
              </w:rPr>
            </w:pPr>
            <w:r w:rsidRPr="00E0488D">
              <w:rPr>
                <w:lang w:val="ro-RO"/>
              </w:rPr>
              <w:t>0,8%</w:t>
            </w:r>
          </w:p>
        </w:tc>
        <w:tc>
          <w:tcPr>
            <w:tcW w:w="539" w:type="pct"/>
            <w:shd w:val="clear" w:color="auto" w:fill="auto"/>
            <w:vAlign w:val="center"/>
          </w:tcPr>
          <w:p w:rsidR="00B4550A" w:rsidRPr="00E0488D" w:rsidRDefault="00B4550A" w:rsidP="003C7FC8">
            <w:pPr>
              <w:jc w:val="center"/>
              <w:rPr>
                <w:lang w:val="ro-RO"/>
              </w:rPr>
            </w:pPr>
            <w:r w:rsidRPr="00E0488D">
              <w:rPr>
                <w:lang w:val="ro-RO"/>
              </w:rPr>
              <w:t>0,1%</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5,6%</w:t>
            </w:r>
          </w:p>
        </w:tc>
        <w:tc>
          <w:tcPr>
            <w:tcW w:w="439" w:type="pct"/>
            <w:vMerge/>
            <w:shd w:val="clear" w:color="auto" w:fill="auto"/>
            <w:vAlign w:val="center"/>
          </w:tcPr>
          <w:p w:rsidR="00B4550A" w:rsidRPr="00E0488D" w:rsidRDefault="00B4550A" w:rsidP="003C7FC8">
            <w:pPr>
              <w:jc w:val="center"/>
              <w:rPr>
                <w:b/>
                <w:bCs/>
                <w:lang w:val="ro-RO"/>
              </w:rPr>
            </w:pPr>
          </w:p>
        </w:tc>
      </w:tr>
      <w:tr w:rsidR="00B4550A" w:rsidRPr="00E0488D" w:rsidTr="003C7FC8">
        <w:trPr>
          <w:cantSplit/>
          <w:trHeight w:val="329"/>
        </w:trPr>
        <w:tc>
          <w:tcPr>
            <w:tcW w:w="247" w:type="pct"/>
            <w:vMerge w:val="restart"/>
            <w:shd w:val="clear" w:color="auto" w:fill="auto"/>
            <w:textDirection w:val="btLr"/>
            <w:vAlign w:val="center"/>
          </w:tcPr>
          <w:p w:rsidR="00B4550A" w:rsidRPr="00E0488D" w:rsidRDefault="00B4550A" w:rsidP="003C7FC8">
            <w:pPr>
              <w:jc w:val="center"/>
              <w:rPr>
                <w:lang w:val="ro-RO"/>
              </w:rPr>
            </w:pPr>
            <w:r w:rsidRPr="00E0488D">
              <w:rPr>
                <w:lang w:val="ro-RO"/>
              </w:rPr>
              <w:t xml:space="preserve">Munte </w:t>
            </w:r>
          </w:p>
        </w:tc>
        <w:tc>
          <w:tcPr>
            <w:tcW w:w="554" w:type="pct"/>
            <w:shd w:val="clear" w:color="auto" w:fill="auto"/>
            <w:vAlign w:val="center"/>
          </w:tcPr>
          <w:p w:rsidR="00B4550A" w:rsidRPr="00E0488D" w:rsidRDefault="00B4550A" w:rsidP="003C7FC8">
            <w:pPr>
              <w:jc w:val="center"/>
              <w:rPr>
                <w:lang w:val="ro-RO"/>
              </w:rPr>
            </w:pPr>
            <w:r w:rsidRPr="00E0488D">
              <w:rPr>
                <w:lang w:val="ro-RO"/>
              </w:rPr>
              <w:t>Bună</w:t>
            </w:r>
          </w:p>
        </w:tc>
        <w:tc>
          <w:tcPr>
            <w:tcW w:w="517" w:type="pct"/>
            <w:shd w:val="clear" w:color="auto" w:fill="auto"/>
            <w:vAlign w:val="center"/>
          </w:tcPr>
          <w:p w:rsidR="00B4550A" w:rsidRPr="00E0488D" w:rsidRDefault="00B4550A" w:rsidP="003C7FC8">
            <w:pPr>
              <w:jc w:val="center"/>
              <w:rPr>
                <w:lang w:val="ro-RO"/>
              </w:rPr>
            </w:pPr>
            <w:r w:rsidRPr="00E0488D">
              <w:rPr>
                <w:lang w:val="ro-RO"/>
              </w:rPr>
              <w:t>10,3%</w:t>
            </w:r>
          </w:p>
        </w:tc>
        <w:tc>
          <w:tcPr>
            <w:tcW w:w="567" w:type="pct"/>
            <w:shd w:val="clear" w:color="auto" w:fill="auto"/>
            <w:vAlign w:val="center"/>
          </w:tcPr>
          <w:p w:rsidR="00B4550A" w:rsidRPr="00E0488D" w:rsidRDefault="00B4550A" w:rsidP="003C7FC8">
            <w:pPr>
              <w:jc w:val="center"/>
              <w:rPr>
                <w:lang w:val="ro-RO"/>
              </w:rPr>
            </w:pPr>
            <w:r w:rsidRPr="00E0488D">
              <w:rPr>
                <w:lang w:val="ro-RO"/>
              </w:rPr>
              <w:t>0,4%</w:t>
            </w:r>
          </w:p>
        </w:tc>
        <w:tc>
          <w:tcPr>
            <w:tcW w:w="468" w:type="pct"/>
            <w:shd w:val="clear" w:color="auto" w:fill="auto"/>
            <w:vAlign w:val="center"/>
          </w:tcPr>
          <w:p w:rsidR="00B4550A" w:rsidRPr="00E0488D" w:rsidRDefault="00B4550A" w:rsidP="003C7FC8">
            <w:pPr>
              <w:jc w:val="center"/>
              <w:rPr>
                <w:lang w:val="ro-RO"/>
              </w:rPr>
            </w:pPr>
            <w:r w:rsidRPr="00E0488D">
              <w:rPr>
                <w:lang w:val="ro-RO"/>
              </w:rPr>
              <w:t>0,0%</w:t>
            </w:r>
          </w:p>
        </w:tc>
        <w:tc>
          <w:tcPr>
            <w:tcW w:w="640" w:type="pct"/>
            <w:shd w:val="clear" w:color="auto" w:fill="auto"/>
            <w:vAlign w:val="center"/>
          </w:tcPr>
          <w:p w:rsidR="00B4550A" w:rsidRPr="00E0488D" w:rsidRDefault="00B4550A" w:rsidP="003C7FC8">
            <w:pPr>
              <w:jc w:val="center"/>
              <w:rPr>
                <w:lang w:val="ro-RO"/>
              </w:rPr>
            </w:pPr>
            <w:r w:rsidRPr="00E0488D">
              <w:rPr>
                <w:lang w:val="ro-RO"/>
              </w:rPr>
              <w:t>0,1%</w:t>
            </w:r>
          </w:p>
        </w:tc>
        <w:tc>
          <w:tcPr>
            <w:tcW w:w="539" w:type="pct"/>
            <w:shd w:val="clear" w:color="auto" w:fill="auto"/>
            <w:vAlign w:val="center"/>
          </w:tcPr>
          <w:p w:rsidR="00B4550A" w:rsidRPr="00E0488D" w:rsidRDefault="00B4550A" w:rsidP="003C7FC8">
            <w:pPr>
              <w:jc w:val="center"/>
              <w:rPr>
                <w:lang w:val="ro-RO"/>
              </w:rPr>
            </w:pPr>
            <w:r w:rsidRPr="00E0488D">
              <w:rPr>
                <w:lang w:val="ro-RO"/>
              </w:rPr>
              <w:t>0,0%</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10,8%</w:t>
            </w:r>
          </w:p>
        </w:tc>
        <w:tc>
          <w:tcPr>
            <w:tcW w:w="439" w:type="pct"/>
            <w:vMerge w:val="restart"/>
            <w:shd w:val="clear" w:color="auto" w:fill="auto"/>
            <w:vAlign w:val="center"/>
          </w:tcPr>
          <w:p w:rsidR="00B4550A" w:rsidRPr="00E0488D" w:rsidRDefault="00B4550A" w:rsidP="003C7FC8">
            <w:pPr>
              <w:jc w:val="center"/>
              <w:rPr>
                <w:bCs/>
                <w:lang w:val="ro-RO"/>
              </w:rPr>
            </w:pPr>
            <w:r w:rsidRPr="00E0488D">
              <w:rPr>
                <w:bCs/>
                <w:lang w:val="ro-RO"/>
              </w:rPr>
              <w:t>18,3%</w:t>
            </w:r>
          </w:p>
        </w:tc>
      </w:tr>
      <w:tr w:rsidR="00B4550A" w:rsidRPr="00E0488D" w:rsidTr="003C7FC8">
        <w:trPr>
          <w:cantSplit/>
          <w:trHeight w:val="329"/>
        </w:trPr>
        <w:tc>
          <w:tcPr>
            <w:tcW w:w="247" w:type="pct"/>
            <w:vMerge/>
            <w:shd w:val="clear" w:color="auto" w:fill="auto"/>
            <w:textDirection w:val="btLr"/>
            <w:vAlign w:val="center"/>
          </w:tcPr>
          <w:p w:rsidR="00B4550A" w:rsidRPr="00E0488D" w:rsidRDefault="00B4550A" w:rsidP="003C7FC8">
            <w:pPr>
              <w:jc w:val="center"/>
              <w:rPr>
                <w:lang w:val="ro-RO"/>
              </w:rPr>
            </w:pPr>
          </w:p>
        </w:tc>
        <w:tc>
          <w:tcPr>
            <w:tcW w:w="554" w:type="pct"/>
            <w:shd w:val="clear" w:color="auto" w:fill="auto"/>
            <w:vAlign w:val="center"/>
          </w:tcPr>
          <w:p w:rsidR="00B4550A" w:rsidRPr="00E0488D" w:rsidRDefault="00B4550A" w:rsidP="003C7FC8">
            <w:pPr>
              <w:jc w:val="center"/>
              <w:rPr>
                <w:lang w:val="ro-RO"/>
              </w:rPr>
            </w:pPr>
            <w:r w:rsidRPr="00E0488D">
              <w:rPr>
                <w:lang w:val="ro-RO"/>
              </w:rPr>
              <w:t>Medie</w:t>
            </w:r>
          </w:p>
        </w:tc>
        <w:tc>
          <w:tcPr>
            <w:tcW w:w="517" w:type="pct"/>
            <w:shd w:val="clear" w:color="auto" w:fill="auto"/>
            <w:vAlign w:val="center"/>
          </w:tcPr>
          <w:p w:rsidR="00B4550A" w:rsidRPr="00E0488D" w:rsidRDefault="00B4550A" w:rsidP="003C7FC8">
            <w:pPr>
              <w:jc w:val="center"/>
              <w:rPr>
                <w:lang w:val="ro-RO"/>
              </w:rPr>
            </w:pPr>
            <w:r w:rsidRPr="00E0488D">
              <w:rPr>
                <w:lang w:val="ro-RO"/>
              </w:rPr>
              <w:t>4,0%</w:t>
            </w:r>
          </w:p>
        </w:tc>
        <w:tc>
          <w:tcPr>
            <w:tcW w:w="567" w:type="pct"/>
            <w:shd w:val="clear" w:color="auto" w:fill="auto"/>
            <w:vAlign w:val="center"/>
          </w:tcPr>
          <w:p w:rsidR="00B4550A" w:rsidRPr="00E0488D" w:rsidRDefault="00B4550A" w:rsidP="003C7FC8">
            <w:pPr>
              <w:jc w:val="center"/>
              <w:rPr>
                <w:lang w:val="ro-RO"/>
              </w:rPr>
            </w:pPr>
            <w:r w:rsidRPr="00E0488D">
              <w:rPr>
                <w:lang w:val="ro-RO"/>
              </w:rPr>
              <w:t>0,2%</w:t>
            </w:r>
          </w:p>
        </w:tc>
        <w:tc>
          <w:tcPr>
            <w:tcW w:w="468" w:type="pct"/>
            <w:shd w:val="clear" w:color="auto" w:fill="auto"/>
            <w:vAlign w:val="center"/>
          </w:tcPr>
          <w:p w:rsidR="00B4550A" w:rsidRPr="00E0488D" w:rsidRDefault="00B4550A" w:rsidP="003C7FC8">
            <w:pPr>
              <w:jc w:val="center"/>
              <w:rPr>
                <w:lang w:val="ro-RO"/>
              </w:rPr>
            </w:pPr>
            <w:r w:rsidRPr="00E0488D">
              <w:rPr>
                <w:lang w:val="ro-RO"/>
              </w:rPr>
              <w:t>0,0%</w:t>
            </w:r>
          </w:p>
        </w:tc>
        <w:tc>
          <w:tcPr>
            <w:tcW w:w="640" w:type="pct"/>
            <w:shd w:val="clear" w:color="auto" w:fill="auto"/>
            <w:vAlign w:val="center"/>
          </w:tcPr>
          <w:p w:rsidR="00B4550A" w:rsidRPr="00E0488D" w:rsidRDefault="00B4550A" w:rsidP="003C7FC8">
            <w:pPr>
              <w:jc w:val="center"/>
              <w:rPr>
                <w:lang w:val="ro-RO"/>
              </w:rPr>
            </w:pPr>
            <w:r w:rsidRPr="00E0488D">
              <w:rPr>
                <w:lang w:val="ro-RO"/>
              </w:rPr>
              <w:t>0,2%</w:t>
            </w:r>
          </w:p>
        </w:tc>
        <w:tc>
          <w:tcPr>
            <w:tcW w:w="539" w:type="pct"/>
            <w:shd w:val="clear" w:color="auto" w:fill="auto"/>
            <w:vAlign w:val="center"/>
          </w:tcPr>
          <w:p w:rsidR="00B4550A" w:rsidRPr="00E0488D" w:rsidRDefault="00B4550A" w:rsidP="003C7FC8">
            <w:pPr>
              <w:jc w:val="center"/>
              <w:rPr>
                <w:lang w:val="ro-RO"/>
              </w:rPr>
            </w:pPr>
            <w:r w:rsidRPr="00E0488D">
              <w:rPr>
                <w:lang w:val="ro-RO"/>
              </w:rPr>
              <w:t>0,1%</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4,5%</w:t>
            </w:r>
          </w:p>
        </w:tc>
        <w:tc>
          <w:tcPr>
            <w:tcW w:w="439" w:type="pct"/>
            <w:vMerge/>
            <w:shd w:val="clear" w:color="auto" w:fill="auto"/>
            <w:vAlign w:val="center"/>
          </w:tcPr>
          <w:p w:rsidR="00B4550A" w:rsidRPr="00E0488D" w:rsidRDefault="00B4550A" w:rsidP="003C7FC8">
            <w:pPr>
              <w:jc w:val="center"/>
              <w:rPr>
                <w:b/>
                <w:bCs/>
                <w:lang w:val="ro-RO"/>
              </w:rPr>
            </w:pPr>
          </w:p>
        </w:tc>
      </w:tr>
      <w:tr w:rsidR="00B4550A" w:rsidRPr="00E0488D" w:rsidTr="003C7FC8">
        <w:trPr>
          <w:cantSplit/>
          <w:trHeight w:val="329"/>
        </w:trPr>
        <w:tc>
          <w:tcPr>
            <w:tcW w:w="247" w:type="pct"/>
            <w:vMerge/>
            <w:shd w:val="clear" w:color="auto" w:fill="auto"/>
            <w:textDirection w:val="btLr"/>
            <w:vAlign w:val="center"/>
          </w:tcPr>
          <w:p w:rsidR="00B4550A" w:rsidRPr="00E0488D" w:rsidRDefault="00B4550A" w:rsidP="003C7FC8">
            <w:pPr>
              <w:jc w:val="center"/>
              <w:rPr>
                <w:lang w:val="ro-RO"/>
              </w:rPr>
            </w:pPr>
          </w:p>
        </w:tc>
        <w:tc>
          <w:tcPr>
            <w:tcW w:w="554" w:type="pct"/>
            <w:shd w:val="clear" w:color="auto" w:fill="auto"/>
            <w:vAlign w:val="center"/>
          </w:tcPr>
          <w:p w:rsidR="00B4550A" w:rsidRPr="00E0488D" w:rsidRDefault="00B4550A" w:rsidP="003C7FC8">
            <w:pPr>
              <w:jc w:val="center"/>
              <w:rPr>
                <w:lang w:val="ro-RO"/>
              </w:rPr>
            </w:pPr>
            <w:r w:rsidRPr="00E0488D">
              <w:rPr>
                <w:lang w:val="ro-RO"/>
              </w:rPr>
              <w:t>Proastă</w:t>
            </w:r>
          </w:p>
        </w:tc>
        <w:tc>
          <w:tcPr>
            <w:tcW w:w="517" w:type="pct"/>
            <w:shd w:val="clear" w:color="auto" w:fill="auto"/>
            <w:vAlign w:val="center"/>
          </w:tcPr>
          <w:p w:rsidR="00B4550A" w:rsidRPr="00E0488D" w:rsidRDefault="00B4550A" w:rsidP="003C7FC8">
            <w:pPr>
              <w:jc w:val="center"/>
              <w:rPr>
                <w:lang w:val="ro-RO"/>
              </w:rPr>
            </w:pPr>
            <w:r w:rsidRPr="00E0488D">
              <w:rPr>
                <w:lang w:val="ro-RO"/>
              </w:rPr>
              <w:t>1,2%</w:t>
            </w:r>
          </w:p>
        </w:tc>
        <w:tc>
          <w:tcPr>
            <w:tcW w:w="567" w:type="pct"/>
            <w:shd w:val="clear" w:color="auto" w:fill="auto"/>
            <w:vAlign w:val="center"/>
          </w:tcPr>
          <w:p w:rsidR="00B4550A" w:rsidRPr="00E0488D" w:rsidRDefault="00B4550A" w:rsidP="003C7FC8">
            <w:pPr>
              <w:jc w:val="center"/>
              <w:rPr>
                <w:lang w:val="ro-RO"/>
              </w:rPr>
            </w:pPr>
            <w:r w:rsidRPr="00E0488D">
              <w:rPr>
                <w:lang w:val="ro-RO"/>
              </w:rPr>
              <w:t>0,3%</w:t>
            </w:r>
          </w:p>
        </w:tc>
        <w:tc>
          <w:tcPr>
            <w:tcW w:w="468" w:type="pct"/>
            <w:shd w:val="clear" w:color="auto" w:fill="auto"/>
            <w:vAlign w:val="center"/>
          </w:tcPr>
          <w:p w:rsidR="00B4550A" w:rsidRPr="00E0488D" w:rsidRDefault="00B4550A" w:rsidP="003C7FC8">
            <w:pPr>
              <w:jc w:val="center"/>
              <w:rPr>
                <w:lang w:val="ro-RO"/>
              </w:rPr>
            </w:pPr>
            <w:r w:rsidRPr="00E0488D">
              <w:rPr>
                <w:lang w:val="ro-RO"/>
              </w:rPr>
              <w:t>0,0%</w:t>
            </w:r>
          </w:p>
        </w:tc>
        <w:tc>
          <w:tcPr>
            <w:tcW w:w="640" w:type="pct"/>
            <w:shd w:val="clear" w:color="auto" w:fill="auto"/>
            <w:vAlign w:val="center"/>
          </w:tcPr>
          <w:p w:rsidR="00B4550A" w:rsidRPr="00E0488D" w:rsidRDefault="00B4550A" w:rsidP="003C7FC8">
            <w:pPr>
              <w:jc w:val="center"/>
              <w:rPr>
                <w:lang w:val="ro-RO"/>
              </w:rPr>
            </w:pPr>
            <w:r w:rsidRPr="00E0488D">
              <w:rPr>
                <w:lang w:val="ro-RO"/>
              </w:rPr>
              <w:t>0,5%</w:t>
            </w:r>
          </w:p>
        </w:tc>
        <w:tc>
          <w:tcPr>
            <w:tcW w:w="539" w:type="pct"/>
            <w:shd w:val="clear" w:color="auto" w:fill="auto"/>
            <w:vAlign w:val="center"/>
          </w:tcPr>
          <w:p w:rsidR="00B4550A" w:rsidRPr="00E0488D" w:rsidRDefault="00B4550A" w:rsidP="003C7FC8">
            <w:pPr>
              <w:jc w:val="center"/>
              <w:rPr>
                <w:lang w:val="ro-RO"/>
              </w:rPr>
            </w:pPr>
            <w:r w:rsidRPr="00E0488D">
              <w:rPr>
                <w:lang w:val="ro-RO"/>
              </w:rPr>
              <w:t>0,9%</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2,9%</w:t>
            </w:r>
          </w:p>
        </w:tc>
        <w:tc>
          <w:tcPr>
            <w:tcW w:w="439" w:type="pct"/>
            <w:vMerge/>
            <w:shd w:val="clear" w:color="auto" w:fill="auto"/>
            <w:vAlign w:val="center"/>
          </w:tcPr>
          <w:p w:rsidR="00B4550A" w:rsidRPr="00E0488D" w:rsidRDefault="00B4550A" w:rsidP="003C7FC8">
            <w:pPr>
              <w:jc w:val="center"/>
              <w:rPr>
                <w:b/>
                <w:bCs/>
                <w:lang w:val="ro-RO"/>
              </w:rPr>
            </w:pPr>
          </w:p>
        </w:tc>
      </w:tr>
      <w:tr w:rsidR="00B4550A" w:rsidRPr="00E0488D" w:rsidTr="003C7FC8">
        <w:trPr>
          <w:cantSplit/>
          <w:trHeight w:val="329"/>
        </w:trPr>
        <w:tc>
          <w:tcPr>
            <w:tcW w:w="247" w:type="pct"/>
            <w:vMerge w:val="restart"/>
            <w:shd w:val="clear" w:color="auto" w:fill="auto"/>
            <w:textDirection w:val="btLr"/>
            <w:vAlign w:val="center"/>
          </w:tcPr>
          <w:p w:rsidR="00B4550A" w:rsidRPr="00E0488D" w:rsidRDefault="00B4550A" w:rsidP="003C7FC8">
            <w:pPr>
              <w:jc w:val="center"/>
              <w:rPr>
                <w:lang w:val="ro-RO"/>
              </w:rPr>
            </w:pPr>
            <w:r w:rsidRPr="00E0488D">
              <w:rPr>
                <w:lang w:val="ro-RO"/>
              </w:rPr>
              <w:t>Câmpie</w:t>
            </w:r>
          </w:p>
        </w:tc>
        <w:tc>
          <w:tcPr>
            <w:tcW w:w="554" w:type="pct"/>
            <w:shd w:val="clear" w:color="auto" w:fill="auto"/>
            <w:vAlign w:val="center"/>
          </w:tcPr>
          <w:p w:rsidR="00B4550A" w:rsidRPr="00E0488D" w:rsidRDefault="00B4550A" w:rsidP="003C7FC8">
            <w:pPr>
              <w:jc w:val="center"/>
              <w:rPr>
                <w:lang w:val="ro-RO"/>
              </w:rPr>
            </w:pPr>
            <w:r w:rsidRPr="00E0488D">
              <w:rPr>
                <w:lang w:val="ro-RO"/>
              </w:rPr>
              <w:t>Bună</w:t>
            </w:r>
          </w:p>
        </w:tc>
        <w:tc>
          <w:tcPr>
            <w:tcW w:w="517" w:type="pct"/>
            <w:shd w:val="clear" w:color="auto" w:fill="auto"/>
            <w:vAlign w:val="center"/>
          </w:tcPr>
          <w:p w:rsidR="00B4550A" w:rsidRPr="00E0488D" w:rsidRDefault="00B4550A" w:rsidP="003C7FC8">
            <w:pPr>
              <w:jc w:val="center"/>
              <w:rPr>
                <w:lang w:val="ro-RO"/>
              </w:rPr>
            </w:pPr>
            <w:r w:rsidRPr="00E0488D">
              <w:rPr>
                <w:lang w:val="ro-RO"/>
              </w:rPr>
              <w:t>19,9%</w:t>
            </w:r>
          </w:p>
        </w:tc>
        <w:tc>
          <w:tcPr>
            <w:tcW w:w="567" w:type="pct"/>
            <w:shd w:val="clear" w:color="auto" w:fill="auto"/>
            <w:vAlign w:val="center"/>
          </w:tcPr>
          <w:p w:rsidR="00B4550A" w:rsidRPr="00E0488D" w:rsidRDefault="00B4550A" w:rsidP="003C7FC8">
            <w:pPr>
              <w:jc w:val="center"/>
              <w:rPr>
                <w:lang w:val="ro-RO"/>
              </w:rPr>
            </w:pPr>
            <w:r w:rsidRPr="00E0488D">
              <w:rPr>
                <w:lang w:val="ro-RO"/>
              </w:rPr>
              <w:t>1,0%</w:t>
            </w:r>
          </w:p>
        </w:tc>
        <w:tc>
          <w:tcPr>
            <w:tcW w:w="468" w:type="pct"/>
            <w:shd w:val="clear" w:color="auto" w:fill="auto"/>
            <w:vAlign w:val="center"/>
          </w:tcPr>
          <w:p w:rsidR="00B4550A" w:rsidRPr="00E0488D" w:rsidRDefault="00B4550A" w:rsidP="003C7FC8">
            <w:pPr>
              <w:jc w:val="center"/>
              <w:rPr>
                <w:lang w:val="ro-RO"/>
              </w:rPr>
            </w:pPr>
            <w:r w:rsidRPr="00E0488D">
              <w:rPr>
                <w:lang w:val="ro-RO"/>
              </w:rPr>
              <w:t>0,1%</w:t>
            </w:r>
          </w:p>
        </w:tc>
        <w:tc>
          <w:tcPr>
            <w:tcW w:w="640" w:type="pct"/>
            <w:shd w:val="clear" w:color="auto" w:fill="auto"/>
            <w:vAlign w:val="center"/>
          </w:tcPr>
          <w:p w:rsidR="00B4550A" w:rsidRPr="00E0488D" w:rsidRDefault="00B4550A" w:rsidP="003C7FC8">
            <w:pPr>
              <w:jc w:val="center"/>
              <w:rPr>
                <w:lang w:val="ro-RO"/>
              </w:rPr>
            </w:pPr>
            <w:r w:rsidRPr="00E0488D">
              <w:rPr>
                <w:lang w:val="ro-RO"/>
              </w:rPr>
              <w:t>0,7%</w:t>
            </w:r>
          </w:p>
        </w:tc>
        <w:tc>
          <w:tcPr>
            <w:tcW w:w="539" w:type="pct"/>
            <w:shd w:val="clear" w:color="auto" w:fill="auto"/>
            <w:vAlign w:val="center"/>
          </w:tcPr>
          <w:p w:rsidR="00B4550A" w:rsidRPr="00E0488D" w:rsidRDefault="00B4550A" w:rsidP="003C7FC8">
            <w:pPr>
              <w:jc w:val="center"/>
              <w:rPr>
                <w:lang w:val="ro-RO"/>
              </w:rPr>
            </w:pPr>
            <w:r w:rsidRPr="00E0488D">
              <w:rPr>
                <w:lang w:val="ro-RO"/>
              </w:rPr>
              <w:t>0,0%</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21,7%</w:t>
            </w:r>
          </w:p>
        </w:tc>
        <w:tc>
          <w:tcPr>
            <w:tcW w:w="439" w:type="pct"/>
            <w:vMerge w:val="restart"/>
            <w:shd w:val="clear" w:color="auto" w:fill="auto"/>
            <w:vAlign w:val="center"/>
          </w:tcPr>
          <w:p w:rsidR="00B4550A" w:rsidRPr="00E0488D" w:rsidRDefault="00B4550A" w:rsidP="003C7FC8">
            <w:pPr>
              <w:jc w:val="center"/>
              <w:rPr>
                <w:bCs/>
                <w:lang w:val="ro-RO"/>
              </w:rPr>
            </w:pPr>
            <w:r w:rsidRPr="00E0488D">
              <w:rPr>
                <w:bCs/>
                <w:lang w:val="ro-RO"/>
              </w:rPr>
              <w:t>41,2%</w:t>
            </w:r>
          </w:p>
        </w:tc>
      </w:tr>
      <w:tr w:rsidR="00B4550A" w:rsidRPr="00E0488D" w:rsidTr="003C7FC8">
        <w:trPr>
          <w:cantSplit/>
          <w:trHeight w:val="329"/>
        </w:trPr>
        <w:tc>
          <w:tcPr>
            <w:tcW w:w="247" w:type="pct"/>
            <w:vMerge/>
            <w:shd w:val="clear" w:color="auto" w:fill="auto"/>
            <w:vAlign w:val="center"/>
          </w:tcPr>
          <w:p w:rsidR="00B4550A" w:rsidRPr="00E0488D" w:rsidRDefault="00B4550A" w:rsidP="003C7FC8">
            <w:pPr>
              <w:jc w:val="center"/>
              <w:rPr>
                <w:lang w:val="ro-RO"/>
              </w:rPr>
            </w:pPr>
          </w:p>
        </w:tc>
        <w:tc>
          <w:tcPr>
            <w:tcW w:w="554" w:type="pct"/>
            <w:shd w:val="clear" w:color="auto" w:fill="auto"/>
            <w:vAlign w:val="center"/>
          </w:tcPr>
          <w:p w:rsidR="00B4550A" w:rsidRPr="00E0488D" w:rsidRDefault="00B4550A" w:rsidP="003C7FC8">
            <w:pPr>
              <w:jc w:val="center"/>
              <w:rPr>
                <w:lang w:val="ro-RO"/>
              </w:rPr>
            </w:pPr>
            <w:r w:rsidRPr="00E0488D">
              <w:rPr>
                <w:lang w:val="ro-RO"/>
              </w:rPr>
              <w:t>Medie</w:t>
            </w:r>
          </w:p>
        </w:tc>
        <w:tc>
          <w:tcPr>
            <w:tcW w:w="517" w:type="pct"/>
            <w:shd w:val="clear" w:color="auto" w:fill="auto"/>
            <w:vAlign w:val="center"/>
          </w:tcPr>
          <w:p w:rsidR="00B4550A" w:rsidRPr="00E0488D" w:rsidRDefault="00B4550A" w:rsidP="003C7FC8">
            <w:pPr>
              <w:jc w:val="center"/>
              <w:rPr>
                <w:lang w:val="ro-RO"/>
              </w:rPr>
            </w:pPr>
            <w:r w:rsidRPr="00E0488D">
              <w:rPr>
                <w:lang w:val="ro-RO"/>
              </w:rPr>
              <w:t>10,4%</w:t>
            </w:r>
          </w:p>
        </w:tc>
        <w:tc>
          <w:tcPr>
            <w:tcW w:w="567" w:type="pct"/>
            <w:shd w:val="clear" w:color="auto" w:fill="auto"/>
            <w:vAlign w:val="center"/>
          </w:tcPr>
          <w:p w:rsidR="00B4550A" w:rsidRPr="00E0488D" w:rsidRDefault="00B4550A" w:rsidP="003C7FC8">
            <w:pPr>
              <w:jc w:val="center"/>
              <w:rPr>
                <w:lang w:val="ro-RO"/>
              </w:rPr>
            </w:pPr>
            <w:r w:rsidRPr="00E0488D">
              <w:rPr>
                <w:lang w:val="ro-RO"/>
              </w:rPr>
              <w:t>0,5%</w:t>
            </w:r>
          </w:p>
        </w:tc>
        <w:tc>
          <w:tcPr>
            <w:tcW w:w="468" w:type="pct"/>
            <w:shd w:val="clear" w:color="auto" w:fill="auto"/>
            <w:vAlign w:val="center"/>
          </w:tcPr>
          <w:p w:rsidR="00B4550A" w:rsidRPr="00E0488D" w:rsidRDefault="00B4550A" w:rsidP="003C7FC8">
            <w:pPr>
              <w:jc w:val="center"/>
              <w:rPr>
                <w:lang w:val="ro-RO"/>
              </w:rPr>
            </w:pPr>
            <w:r w:rsidRPr="00E0488D">
              <w:rPr>
                <w:lang w:val="ro-RO"/>
              </w:rPr>
              <w:t>0,0%</w:t>
            </w:r>
          </w:p>
        </w:tc>
        <w:tc>
          <w:tcPr>
            <w:tcW w:w="640" w:type="pct"/>
            <w:shd w:val="clear" w:color="auto" w:fill="auto"/>
            <w:vAlign w:val="center"/>
          </w:tcPr>
          <w:p w:rsidR="00B4550A" w:rsidRPr="00E0488D" w:rsidRDefault="00B4550A" w:rsidP="003C7FC8">
            <w:pPr>
              <w:jc w:val="center"/>
              <w:rPr>
                <w:lang w:val="ro-RO"/>
              </w:rPr>
            </w:pPr>
            <w:r w:rsidRPr="00E0488D">
              <w:rPr>
                <w:lang w:val="ro-RO"/>
              </w:rPr>
              <w:t>0,7%</w:t>
            </w:r>
          </w:p>
        </w:tc>
        <w:tc>
          <w:tcPr>
            <w:tcW w:w="539" w:type="pct"/>
            <w:shd w:val="clear" w:color="auto" w:fill="auto"/>
            <w:vAlign w:val="center"/>
          </w:tcPr>
          <w:p w:rsidR="00B4550A" w:rsidRPr="00E0488D" w:rsidRDefault="00B4550A" w:rsidP="003C7FC8">
            <w:pPr>
              <w:jc w:val="center"/>
              <w:rPr>
                <w:lang w:val="ro-RO"/>
              </w:rPr>
            </w:pPr>
            <w:r w:rsidRPr="00E0488D">
              <w:rPr>
                <w:lang w:val="ro-RO"/>
              </w:rPr>
              <w:t>0,1%</w:t>
            </w:r>
          </w:p>
        </w:tc>
        <w:tc>
          <w:tcPr>
            <w:tcW w:w="558" w:type="pct"/>
            <w:shd w:val="clear" w:color="auto" w:fill="auto"/>
            <w:vAlign w:val="center"/>
          </w:tcPr>
          <w:p w:rsidR="00B4550A" w:rsidRPr="00E0488D" w:rsidRDefault="00B4550A" w:rsidP="003C7FC8">
            <w:pPr>
              <w:jc w:val="center"/>
              <w:rPr>
                <w:lang w:val="ro-RO"/>
              </w:rPr>
            </w:pPr>
            <w:r w:rsidRPr="00E0488D">
              <w:rPr>
                <w:lang w:val="ro-RO"/>
              </w:rPr>
              <w:t>0,0%</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11,7%</w:t>
            </w:r>
          </w:p>
        </w:tc>
        <w:tc>
          <w:tcPr>
            <w:tcW w:w="439" w:type="pct"/>
            <w:vMerge/>
            <w:shd w:val="clear" w:color="auto" w:fill="auto"/>
            <w:vAlign w:val="center"/>
          </w:tcPr>
          <w:p w:rsidR="00B4550A" w:rsidRPr="00E0488D" w:rsidRDefault="00B4550A" w:rsidP="003C7FC8">
            <w:pPr>
              <w:jc w:val="center"/>
              <w:rPr>
                <w:b/>
                <w:bCs/>
                <w:lang w:val="ro-RO"/>
              </w:rPr>
            </w:pPr>
          </w:p>
        </w:tc>
      </w:tr>
      <w:tr w:rsidR="00B4550A" w:rsidRPr="00E0488D" w:rsidTr="003C7FC8">
        <w:trPr>
          <w:cantSplit/>
          <w:trHeight w:val="329"/>
        </w:trPr>
        <w:tc>
          <w:tcPr>
            <w:tcW w:w="247" w:type="pct"/>
            <w:vMerge/>
            <w:shd w:val="clear" w:color="auto" w:fill="auto"/>
            <w:vAlign w:val="center"/>
          </w:tcPr>
          <w:p w:rsidR="00B4550A" w:rsidRPr="00E0488D" w:rsidRDefault="00B4550A" w:rsidP="003C7FC8">
            <w:pPr>
              <w:jc w:val="center"/>
              <w:rPr>
                <w:lang w:val="ro-RO"/>
              </w:rPr>
            </w:pPr>
          </w:p>
        </w:tc>
        <w:tc>
          <w:tcPr>
            <w:tcW w:w="554" w:type="pct"/>
            <w:shd w:val="clear" w:color="auto" w:fill="auto"/>
            <w:vAlign w:val="center"/>
          </w:tcPr>
          <w:p w:rsidR="00B4550A" w:rsidRPr="00E0488D" w:rsidRDefault="00B4550A" w:rsidP="003C7FC8">
            <w:pPr>
              <w:jc w:val="center"/>
              <w:rPr>
                <w:lang w:val="ro-RO"/>
              </w:rPr>
            </w:pPr>
            <w:r w:rsidRPr="00E0488D">
              <w:rPr>
                <w:lang w:val="ro-RO"/>
              </w:rPr>
              <w:t>Proastă</w:t>
            </w:r>
          </w:p>
        </w:tc>
        <w:tc>
          <w:tcPr>
            <w:tcW w:w="517" w:type="pct"/>
            <w:shd w:val="clear" w:color="auto" w:fill="auto"/>
            <w:vAlign w:val="center"/>
          </w:tcPr>
          <w:p w:rsidR="00B4550A" w:rsidRPr="00E0488D" w:rsidRDefault="00B4550A" w:rsidP="003C7FC8">
            <w:pPr>
              <w:jc w:val="center"/>
              <w:rPr>
                <w:lang w:val="ro-RO"/>
              </w:rPr>
            </w:pPr>
            <w:r w:rsidRPr="00E0488D">
              <w:rPr>
                <w:lang w:val="ro-RO"/>
              </w:rPr>
              <w:t>5,5%</w:t>
            </w:r>
          </w:p>
        </w:tc>
        <w:tc>
          <w:tcPr>
            <w:tcW w:w="567" w:type="pct"/>
            <w:shd w:val="clear" w:color="auto" w:fill="auto"/>
            <w:vAlign w:val="center"/>
          </w:tcPr>
          <w:p w:rsidR="00B4550A" w:rsidRPr="00E0488D" w:rsidRDefault="00B4550A" w:rsidP="003C7FC8">
            <w:pPr>
              <w:jc w:val="center"/>
              <w:rPr>
                <w:lang w:val="ro-RO"/>
              </w:rPr>
            </w:pPr>
            <w:r w:rsidRPr="00E0488D">
              <w:rPr>
                <w:lang w:val="ro-RO"/>
              </w:rPr>
              <w:t>0,6%</w:t>
            </w:r>
          </w:p>
        </w:tc>
        <w:tc>
          <w:tcPr>
            <w:tcW w:w="468" w:type="pct"/>
            <w:shd w:val="clear" w:color="auto" w:fill="auto"/>
            <w:vAlign w:val="center"/>
          </w:tcPr>
          <w:p w:rsidR="00B4550A" w:rsidRPr="00E0488D" w:rsidRDefault="00B4550A" w:rsidP="003C7FC8">
            <w:pPr>
              <w:jc w:val="center"/>
              <w:rPr>
                <w:lang w:val="ro-RO"/>
              </w:rPr>
            </w:pPr>
            <w:r w:rsidRPr="00E0488D">
              <w:rPr>
                <w:lang w:val="ro-RO"/>
              </w:rPr>
              <w:t>0,1%</w:t>
            </w:r>
          </w:p>
        </w:tc>
        <w:tc>
          <w:tcPr>
            <w:tcW w:w="640" w:type="pct"/>
            <w:shd w:val="clear" w:color="auto" w:fill="auto"/>
            <w:vAlign w:val="center"/>
          </w:tcPr>
          <w:p w:rsidR="00B4550A" w:rsidRPr="00E0488D" w:rsidRDefault="00B4550A" w:rsidP="003C7FC8">
            <w:pPr>
              <w:jc w:val="center"/>
              <w:rPr>
                <w:lang w:val="ro-RO"/>
              </w:rPr>
            </w:pPr>
            <w:r w:rsidRPr="00E0488D">
              <w:rPr>
                <w:lang w:val="ro-RO"/>
              </w:rPr>
              <w:t>1,4%</w:t>
            </w:r>
          </w:p>
        </w:tc>
        <w:tc>
          <w:tcPr>
            <w:tcW w:w="539" w:type="pct"/>
            <w:shd w:val="clear" w:color="auto" w:fill="auto"/>
            <w:vAlign w:val="center"/>
          </w:tcPr>
          <w:p w:rsidR="00B4550A" w:rsidRPr="00E0488D" w:rsidRDefault="00B4550A" w:rsidP="003C7FC8">
            <w:pPr>
              <w:jc w:val="center"/>
              <w:rPr>
                <w:lang w:val="ro-RO"/>
              </w:rPr>
            </w:pPr>
            <w:r w:rsidRPr="00E0488D">
              <w:rPr>
                <w:lang w:val="ro-RO"/>
              </w:rPr>
              <w:t>0,1%</w:t>
            </w:r>
          </w:p>
        </w:tc>
        <w:tc>
          <w:tcPr>
            <w:tcW w:w="558" w:type="pct"/>
            <w:shd w:val="clear" w:color="auto" w:fill="auto"/>
            <w:vAlign w:val="center"/>
          </w:tcPr>
          <w:p w:rsidR="00B4550A" w:rsidRPr="00E0488D" w:rsidRDefault="00B4550A" w:rsidP="003C7FC8">
            <w:pPr>
              <w:jc w:val="center"/>
              <w:rPr>
                <w:lang w:val="ro-RO"/>
              </w:rPr>
            </w:pPr>
            <w:r w:rsidRPr="00E0488D">
              <w:rPr>
                <w:lang w:val="ro-RO"/>
              </w:rPr>
              <w:t>0,1%</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7,7%</w:t>
            </w:r>
          </w:p>
        </w:tc>
        <w:tc>
          <w:tcPr>
            <w:tcW w:w="439" w:type="pct"/>
            <w:vMerge/>
            <w:shd w:val="clear" w:color="auto" w:fill="auto"/>
            <w:vAlign w:val="center"/>
          </w:tcPr>
          <w:p w:rsidR="00B4550A" w:rsidRPr="00E0488D" w:rsidRDefault="00B4550A" w:rsidP="003C7FC8">
            <w:pPr>
              <w:jc w:val="center"/>
              <w:rPr>
                <w:b/>
                <w:bCs/>
                <w:lang w:val="ro-RO"/>
              </w:rPr>
            </w:pPr>
          </w:p>
        </w:tc>
      </w:tr>
      <w:tr w:rsidR="00B4550A" w:rsidRPr="00E0488D" w:rsidTr="003C7FC8">
        <w:trPr>
          <w:cantSplit/>
          <w:trHeight w:val="329"/>
        </w:trPr>
        <w:tc>
          <w:tcPr>
            <w:tcW w:w="801" w:type="pct"/>
            <w:gridSpan w:val="2"/>
            <w:shd w:val="clear" w:color="auto" w:fill="auto"/>
            <w:vAlign w:val="center"/>
          </w:tcPr>
          <w:p w:rsidR="00B4550A" w:rsidRPr="00E0488D" w:rsidRDefault="00B4550A" w:rsidP="003C7FC8">
            <w:pPr>
              <w:jc w:val="center"/>
              <w:rPr>
                <w:lang w:val="ro-RO"/>
              </w:rPr>
            </w:pPr>
            <w:r w:rsidRPr="00E0488D">
              <w:rPr>
                <w:lang w:val="ro-RO"/>
              </w:rPr>
              <w:t>Total</w:t>
            </w:r>
          </w:p>
        </w:tc>
        <w:tc>
          <w:tcPr>
            <w:tcW w:w="517" w:type="pct"/>
            <w:shd w:val="clear" w:color="auto" w:fill="auto"/>
            <w:vAlign w:val="center"/>
          </w:tcPr>
          <w:p w:rsidR="00B4550A" w:rsidRPr="00E0488D" w:rsidRDefault="00B4550A" w:rsidP="003C7FC8">
            <w:pPr>
              <w:jc w:val="center"/>
              <w:rPr>
                <w:bCs/>
                <w:lang w:val="ro-RO"/>
              </w:rPr>
            </w:pPr>
            <w:r w:rsidRPr="00E0488D">
              <w:rPr>
                <w:bCs/>
                <w:lang w:val="ro-RO"/>
              </w:rPr>
              <w:t>85,7%</w:t>
            </w:r>
          </w:p>
        </w:tc>
        <w:tc>
          <w:tcPr>
            <w:tcW w:w="567" w:type="pct"/>
            <w:shd w:val="clear" w:color="auto" w:fill="auto"/>
            <w:vAlign w:val="center"/>
          </w:tcPr>
          <w:p w:rsidR="00B4550A" w:rsidRPr="00E0488D" w:rsidRDefault="00B4550A" w:rsidP="003C7FC8">
            <w:pPr>
              <w:jc w:val="center"/>
              <w:rPr>
                <w:bCs/>
                <w:lang w:val="ro-RO"/>
              </w:rPr>
            </w:pPr>
            <w:r w:rsidRPr="00E0488D">
              <w:rPr>
                <w:bCs/>
                <w:lang w:val="ro-RO"/>
              </w:rPr>
              <w:t>6,3%</w:t>
            </w:r>
          </w:p>
        </w:tc>
        <w:tc>
          <w:tcPr>
            <w:tcW w:w="468" w:type="pct"/>
            <w:shd w:val="clear" w:color="auto" w:fill="auto"/>
            <w:vAlign w:val="center"/>
          </w:tcPr>
          <w:p w:rsidR="00B4550A" w:rsidRPr="00E0488D" w:rsidRDefault="00B4550A" w:rsidP="003C7FC8">
            <w:pPr>
              <w:jc w:val="center"/>
              <w:rPr>
                <w:bCs/>
                <w:lang w:val="ro-RO"/>
              </w:rPr>
            </w:pPr>
            <w:r w:rsidRPr="00E0488D">
              <w:rPr>
                <w:bCs/>
                <w:lang w:val="ro-RO"/>
              </w:rPr>
              <w:t>0,2%</w:t>
            </w:r>
          </w:p>
        </w:tc>
        <w:tc>
          <w:tcPr>
            <w:tcW w:w="640" w:type="pct"/>
            <w:shd w:val="clear" w:color="auto" w:fill="auto"/>
            <w:vAlign w:val="center"/>
          </w:tcPr>
          <w:p w:rsidR="00B4550A" w:rsidRPr="00E0488D" w:rsidRDefault="00B4550A" w:rsidP="003C7FC8">
            <w:pPr>
              <w:jc w:val="center"/>
              <w:rPr>
                <w:bCs/>
                <w:lang w:val="ro-RO"/>
              </w:rPr>
            </w:pPr>
            <w:r w:rsidRPr="00E0488D">
              <w:rPr>
                <w:bCs/>
                <w:lang w:val="ro-RO"/>
              </w:rPr>
              <w:t>6,0%</w:t>
            </w:r>
          </w:p>
        </w:tc>
        <w:tc>
          <w:tcPr>
            <w:tcW w:w="539" w:type="pct"/>
            <w:shd w:val="clear" w:color="auto" w:fill="auto"/>
            <w:vAlign w:val="center"/>
          </w:tcPr>
          <w:p w:rsidR="00B4550A" w:rsidRPr="00E0488D" w:rsidRDefault="00B4550A" w:rsidP="003C7FC8">
            <w:pPr>
              <w:jc w:val="center"/>
              <w:rPr>
                <w:bCs/>
                <w:lang w:val="ro-RO"/>
              </w:rPr>
            </w:pPr>
            <w:r w:rsidRPr="00E0488D">
              <w:rPr>
                <w:bCs/>
                <w:lang w:val="ro-RO"/>
              </w:rPr>
              <w:t>1,6%</w:t>
            </w:r>
          </w:p>
        </w:tc>
        <w:tc>
          <w:tcPr>
            <w:tcW w:w="558" w:type="pct"/>
            <w:shd w:val="clear" w:color="auto" w:fill="auto"/>
            <w:vAlign w:val="center"/>
          </w:tcPr>
          <w:p w:rsidR="00B4550A" w:rsidRPr="00E0488D" w:rsidRDefault="00B4550A" w:rsidP="003C7FC8">
            <w:pPr>
              <w:jc w:val="center"/>
              <w:rPr>
                <w:bCs/>
                <w:lang w:val="ro-RO"/>
              </w:rPr>
            </w:pPr>
            <w:r w:rsidRPr="00E0488D">
              <w:rPr>
                <w:bCs/>
                <w:lang w:val="ro-RO"/>
              </w:rPr>
              <w:t>0,1%</w:t>
            </w:r>
          </w:p>
        </w:tc>
        <w:tc>
          <w:tcPr>
            <w:tcW w:w="471" w:type="pct"/>
            <w:shd w:val="clear" w:color="auto" w:fill="auto"/>
            <w:vAlign w:val="center"/>
          </w:tcPr>
          <w:p w:rsidR="00B4550A" w:rsidRPr="00E0488D" w:rsidRDefault="00B4550A" w:rsidP="003C7FC8">
            <w:pPr>
              <w:jc w:val="center"/>
              <w:rPr>
                <w:bCs/>
                <w:lang w:val="ro-RO"/>
              </w:rPr>
            </w:pPr>
            <w:r w:rsidRPr="00E0488D">
              <w:rPr>
                <w:bCs/>
                <w:lang w:val="ro-RO"/>
              </w:rPr>
              <w:t>100,0%</w:t>
            </w:r>
          </w:p>
        </w:tc>
        <w:tc>
          <w:tcPr>
            <w:tcW w:w="439" w:type="pct"/>
            <w:shd w:val="clear" w:color="auto" w:fill="auto"/>
            <w:vAlign w:val="center"/>
          </w:tcPr>
          <w:p w:rsidR="00B4550A" w:rsidRPr="00E0488D" w:rsidRDefault="00B4550A" w:rsidP="003C7FC8">
            <w:pPr>
              <w:jc w:val="center"/>
              <w:rPr>
                <w:bCs/>
                <w:lang w:val="ro-RO"/>
              </w:rPr>
            </w:pPr>
            <w:r w:rsidRPr="00E0488D">
              <w:rPr>
                <w:bCs/>
                <w:lang w:val="ro-RO"/>
              </w:rPr>
              <w:t>100,0%</w:t>
            </w:r>
          </w:p>
        </w:tc>
      </w:tr>
    </w:tbl>
    <w:p w:rsidR="00B4550A" w:rsidRPr="00E0488D" w:rsidRDefault="00B4550A" w:rsidP="00B4550A">
      <w:pPr>
        <w:ind w:left="851"/>
        <w:rPr>
          <w:lang w:val="ro-RO"/>
        </w:rPr>
      </w:pPr>
      <w:r w:rsidRPr="00E0488D">
        <w:rPr>
          <w:i/>
          <w:lang w:val="ro-RO"/>
        </w:rPr>
        <w:t xml:space="preserve">Sursa: Analiza AECOM privind datele de viabilitate furnizate de CESTRIN </w:t>
      </w:r>
    </w:p>
    <w:p w:rsidR="00B4550A" w:rsidRPr="00E0488D" w:rsidRDefault="00B4550A" w:rsidP="002B7E09">
      <w:pPr>
        <w:pStyle w:val="NumberedParas"/>
      </w:pPr>
      <w:r w:rsidRPr="00E0488D">
        <w:t>Punctul notabil din această situație este faptul că doar puțin peste 50% din rețeaua națională este clasificată în stare bună, urmată de un procent de 30% în stare medie și 20% în stare proastă. Se prevede faptul că rețeaua națională trebuie să fie la limita superioară a standardului pentru orice țară.</w:t>
      </w:r>
    </w:p>
    <w:p w:rsidR="00B4550A" w:rsidRPr="00E0488D" w:rsidRDefault="00B4550A" w:rsidP="00B4550A">
      <w:pPr>
        <w:rPr>
          <w:lang w:val="ro-RO"/>
        </w:rPr>
      </w:pPr>
    </w:p>
    <w:p w:rsidR="00B4550A" w:rsidRPr="00E0488D" w:rsidRDefault="00B4550A" w:rsidP="002B7E09">
      <w:pPr>
        <w:pStyle w:val="NumberedParas"/>
      </w:pPr>
      <w:r w:rsidRPr="00E0488D">
        <w:rPr>
          <w:b/>
        </w:rPr>
        <w:lastRenderedPageBreak/>
        <w:t>Siguranță:</w:t>
      </w:r>
      <w:r w:rsidRPr="00E0488D">
        <w:t xml:space="preserve"> România se confruntă cu o problemă semnificată în ceea ce privește accidentele rutiere prin comparație cu celelalte țări din UE. UE utilizează trei tipuri de indicatori individuali, după cum urmează:</w:t>
      </w:r>
    </w:p>
    <w:p w:rsidR="00B4550A" w:rsidRPr="00E0488D" w:rsidRDefault="00B4550A" w:rsidP="00BC2B57">
      <w:pPr>
        <w:pStyle w:val="BulletLevel1"/>
      </w:pPr>
      <w:r w:rsidRPr="00E0488D">
        <w:t>Decese la un million de locuitori;</w:t>
      </w:r>
    </w:p>
    <w:p w:rsidR="00B4550A" w:rsidRPr="00E0488D" w:rsidRDefault="00B4550A" w:rsidP="00BC2B57">
      <w:pPr>
        <w:pStyle w:val="BulletLevel1"/>
      </w:pPr>
      <w:r w:rsidRPr="00E0488D">
        <w:t>Decese la 10 miliarde pasageri-km; și</w:t>
      </w:r>
    </w:p>
    <w:p w:rsidR="00B4550A" w:rsidRPr="00E0488D" w:rsidRDefault="00B4550A" w:rsidP="00BC2B57">
      <w:pPr>
        <w:pStyle w:val="BulletLevel1"/>
      </w:pPr>
      <w:r w:rsidRPr="00E0488D">
        <w:t>Decese la un milion de autoturisme.</w:t>
      </w:r>
    </w:p>
    <w:p w:rsidR="00B4550A" w:rsidRPr="00E0488D" w:rsidRDefault="00B4550A" w:rsidP="002B7E09">
      <w:pPr>
        <w:pStyle w:val="NumberedParas"/>
      </w:pPr>
      <w:r w:rsidRPr="00E0488D">
        <w:t>În această ordine scorul și clasamentul României este următorul:</w:t>
      </w:r>
    </w:p>
    <w:p w:rsidR="00B4550A" w:rsidRPr="00E0488D" w:rsidRDefault="00B4550A" w:rsidP="00BC2B57">
      <w:pPr>
        <w:pStyle w:val="BulletLevel1"/>
      </w:pPr>
      <w:r w:rsidRPr="00E0488D">
        <w:t xml:space="preserve">24 din 28 – 94 versus media UE de 60; </w:t>
      </w:r>
    </w:p>
    <w:p w:rsidR="00B4550A" w:rsidRPr="00E0488D" w:rsidRDefault="00B4550A" w:rsidP="00BC2B57">
      <w:pPr>
        <w:pStyle w:val="BulletLevel1"/>
      </w:pPr>
      <w:r w:rsidRPr="00E0488D">
        <w:t>28 din 28 – 259 versus media UE de 61; și</w:t>
      </w:r>
    </w:p>
    <w:p w:rsidR="00B4550A" w:rsidRPr="00E0488D" w:rsidRDefault="00B4550A" w:rsidP="00BC2B57">
      <w:pPr>
        <w:pStyle w:val="BulletLevel1"/>
      </w:pPr>
      <w:r w:rsidRPr="00E0488D">
        <w:t>28 din 28 – 466 versus media UE de 126.</w:t>
      </w:r>
    </w:p>
    <w:p w:rsidR="00B4550A" w:rsidRPr="00E0488D" w:rsidRDefault="00B4550A" w:rsidP="002B7E09">
      <w:pPr>
        <w:pStyle w:val="NumberedParas"/>
      </w:pPr>
      <w:r w:rsidRPr="00E0488D">
        <w:t>Din aceste date este corect să se concluzioneze faptul că România are cea mai defavorabilă rată de mortalitate în cazul accidentelor rutiere, din Europa.</w:t>
      </w:r>
    </w:p>
    <w:p w:rsidR="00B4550A" w:rsidRPr="00E0488D" w:rsidRDefault="00B4550A" w:rsidP="002B7E09">
      <w:pPr>
        <w:pStyle w:val="NumberedParas"/>
      </w:pPr>
      <w:r w:rsidRPr="00E0488D">
        <w:t>De asemenea, este important să recunoaștem faptul că deși pe rețeaua națională au loc aproximativ 30% din toate accidentele din România acestea corespunde la mai mult de 50% din toate accidentele mortale.</w:t>
      </w:r>
    </w:p>
    <w:p w:rsidR="00B4550A" w:rsidRPr="00E0488D" w:rsidRDefault="00B4550A" w:rsidP="002B7E09">
      <w:pPr>
        <w:pStyle w:val="NumberedParas"/>
      </w:pPr>
      <w:r w:rsidRPr="00E0488D">
        <w:t>Rata globală a accidentelor în care sunt implicați pietonii din România este cea mai defavorabilă din Europa și este cu mult peste media UE– a se vedea Tabelul 3.4.</w:t>
      </w:r>
    </w:p>
    <w:p w:rsidR="00B4550A" w:rsidRPr="00E0488D" w:rsidRDefault="00B4550A" w:rsidP="00B4550A">
      <w:pPr>
        <w:ind w:left="851"/>
        <w:rPr>
          <w:b/>
          <w:sz w:val="22"/>
          <w:szCs w:val="22"/>
          <w:lang w:val="ro-RO"/>
        </w:rPr>
      </w:pPr>
      <w:r w:rsidRPr="00E0488D">
        <w:rPr>
          <w:b/>
          <w:sz w:val="22"/>
          <w:szCs w:val="22"/>
          <w:lang w:val="ro-RO"/>
        </w:rPr>
        <w:t>Tabelul 3.4</w:t>
      </w:r>
      <w:r w:rsidRPr="00E0488D">
        <w:rPr>
          <w:b/>
          <w:sz w:val="22"/>
          <w:szCs w:val="22"/>
          <w:lang w:val="ro-RO"/>
        </w:rPr>
        <w:tab/>
        <w:t xml:space="preserve">Statisticile comparative ale UE cu privire la rata deceselor de pietoni </w:t>
      </w:r>
    </w:p>
    <w:tbl>
      <w:tblPr>
        <w:tblW w:w="0" w:type="auto"/>
        <w:tblInd w:w="851" w:type="dxa"/>
        <w:tblBorders>
          <w:top w:val="single" w:sz="6" w:space="0" w:color="9E0880"/>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517"/>
        <w:gridCol w:w="9"/>
        <w:gridCol w:w="1559"/>
        <w:gridCol w:w="1418"/>
        <w:gridCol w:w="1837"/>
      </w:tblGrid>
      <w:tr w:rsidR="00B4550A" w:rsidRPr="00E0488D" w:rsidTr="003C7FC8">
        <w:trPr>
          <w:trHeight w:val="213"/>
          <w:tblHeader/>
        </w:trPr>
        <w:tc>
          <w:tcPr>
            <w:tcW w:w="1526" w:type="dxa"/>
            <w:gridSpan w:val="2"/>
            <w:shd w:val="clear" w:color="auto" w:fill="C6D9F1" w:themeFill="text2" w:themeFillTint="33"/>
            <w:vAlign w:val="center"/>
          </w:tcPr>
          <w:p w:rsidR="00B4550A" w:rsidRPr="00E0488D" w:rsidRDefault="00B4550A" w:rsidP="003C7FC8">
            <w:pPr>
              <w:spacing w:line="276" w:lineRule="auto"/>
              <w:ind w:firstLine="29"/>
              <w:rPr>
                <w:b/>
                <w:sz w:val="22"/>
                <w:szCs w:val="22"/>
                <w:lang w:val="ro-RO"/>
              </w:rPr>
            </w:pPr>
            <w:r w:rsidRPr="00E0488D">
              <w:rPr>
                <w:b/>
                <w:sz w:val="22"/>
                <w:szCs w:val="22"/>
                <w:lang w:val="ro-RO"/>
              </w:rPr>
              <w:t>Țara</w:t>
            </w:r>
          </w:p>
        </w:tc>
        <w:tc>
          <w:tcPr>
            <w:tcW w:w="1559" w:type="dxa"/>
            <w:shd w:val="clear" w:color="auto" w:fill="C6D9F1" w:themeFill="text2" w:themeFillTint="33"/>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Nr. decese</w:t>
            </w:r>
          </w:p>
        </w:tc>
        <w:tc>
          <w:tcPr>
            <w:tcW w:w="1418" w:type="dxa"/>
            <w:shd w:val="clear" w:color="auto" w:fill="C6D9F1" w:themeFill="text2" w:themeFillTint="33"/>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Populație [milioane]</w:t>
            </w:r>
          </w:p>
        </w:tc>
        <w:tc>
          <w:tcPr>
            <w:tcW w:w="1837" w:type="dxa"/>
            <w:shd w:val="clear" w:color="auto" w:fill="C6D9F1" w:themeFill="text2" w:themeFillTint="33"/>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Decese pietoni la un milion de locuitori</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BE</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106</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10,8</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9,8</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CZ</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168</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10,5</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16,0</w:t>
            </w:r>
          </w:p>
        </w:tc>
      </w:tr>
      <w:tr w:rsidR="00B4550A" w:rsidRPr="00E0488D" w:rsidTr="003C7FC8">
        <w:trPr>
          <w:trHeight w:val="6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DK</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44</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5,5</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8,0</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DE</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476</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82,0</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5,8</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EE</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23</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1,3</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17,7</w:t>
            </w:r>
          </w:p>
        </w:tc>
      </w:tr>
      <w:tr w:rsidR="00B4550A" w:rsidRPr="00E0488D" w:rsidTr="003C7FC8">
        <w:trPr>
          <w:trHeight w:val="97"/>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IE</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44</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4,4</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10,0</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EL</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179</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11,3</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15,8</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ES</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471</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45,8</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10,3</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FR</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485</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64,4</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7,5</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IT</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614</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60,0</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10,2</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LV</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79</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2,3</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34,3</w:t>
            </w:r>
          </w:p>
        </w:tc>
      </w:tr>
      <w:tr w:rsidR="00B4550A" w:rsidRPr="00E0488D" w:rsidTr="003C7FC8">
        <w:trPr>
          <w:trHeight w:val="97"/>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LU</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0,5</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2,0</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HU</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192</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10,0</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19,2</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MT</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0,4</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5,0</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NL</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63</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16,5</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3,8</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AT</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98</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8,4</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11,7</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PL</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1.236</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38,1</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32,4</w:t>
            </w:r>
          </w:p>
        </w:tc>
      </w:tr>
      <w:tr w:rsidR="00B4550A" w:rsidRPr="00E0488D" w:rsidTr="003C7FC8">
        <w:trPr>
          <w:trHeight w:val="97"/>
        </w:trPr>
        <w:tc>
          <w:tcPr>
            <w:tcW w:w="1517" w:type="dxa"/>
            <w:tcBorders>
              <w:bottom w:val="single" w:sz="8" w:space="0" w:color="auto"/>
            </w:tcBorders>
            <w:vAlign w:val="center"/>
          </w:tcPr>
          <w:p w:rsidR="00B4550A" w:rsidRPr="00E0488D" w:rsidRDefault="00B4550A" w:rsidP="003C7FC8">
            <w:pPr>
              <w:spacing w:line="276" w:lineRule="auto"/>
              <w:rPr>
                <w:bCs/>
                <w:sz w:val="22"/>
                <w:szCs w:val="22"/>
                <w:lang w:val="ro-RO"/>
              </w:rPr>
            </w:pPr>
            <w:r w:rsidRPr="00E0488D">
              <w:rPr>
                <w:bCs/>
                <w:sz w:val="22"/>
                <w:szCs w:val="22"/>
                <w:lang w:val="ro-RO"/>
              </w:rPr>
              <w:t>PT</w:t>
            </w:r>
          </w:p>
        </w:tc>
        <w:tc>
          <w:tcPr>
            <w:tcW w:w="1568" w:type="dxa"/>
            <w:gridSpan w:val="2"/>
            <w:tcBorders>
              <w:bottom w:val="single" w:sz="8" w:space="0" w:color="auto"/>
            </w:tcBorders>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195</w:t>
            </w:r>
          </w:p>
        </w:tc>
        <w:tc>
          <w:tcPr>
            <w:tcW w:w="1418" w:type="dxa"/>
            <w:tcBorders>
              <w:bottom w:val="single" w:sz="8" w:space="0" w:color="auto"/>
            </w:tcBorders>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10,6</w:t>
            </w:r>
          </w:p>
        </w:tc>
        <w:tc>
          <w:tcPr>
            <w:tcW w:w="1837" w:type="dxa"/>
            <w:tcBorders>
              <w:bottom w:val="single" w:sz="8" w:space="0" w:color="auto"/>
            </w:tcBorders>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18,4</w:t>
            </w:r>
          </w:p>
        </w:tc>
      </w:tr>
      <w:tr w:rsidR="00B4550A" w:rsidRPr="00E0488D" w:rsidTr="003C7FC8">
        <w:trPr>
          <w:trHeight w:val="95"/>
        </w:trPr>
        <w:tc>
          <w:tcPr>
            <w:tcW w:w="1517" w:type="dxa"/>
            <w:tcBorders>
              <w:top w:val="single" w:sz="8" w:space="0" w:color="auto"/>
            </w:tcBorders>
            <w:shd w:val="clear" w:color="auto" w:fill="E5B8B7" w:themeFill="accent2" w:themeFillTint="66"/>
            <w:vAlign w:val="center"/>
          </w:tcPr>
          <w:p w:rsidR="00B4550A" w:rsidRPr="00E0488D" w:rsidRDefault="00B4550A" w:rsidP="003C7FC8">
            <w:pPr>
              <w:spacing w:line="276" w:lineRule="auto"/>
              <w:rPr>
                <w:bCs/>
                <w:sz w:val="22"/>
                <w:szCs w:val="22"/>
                <w:lang w:val="ro-RO"/>
              </w:rPr>
            </w:pPr>
            <w:r w:rsidRPr="00E0488D">
              <w:rPr>
                <w:bCs/>
                <w:sz w:val="22"/>
                <w:szCs w:val="22"/>
                <w:lang w:val="ro-RO"/>
              </w:rPr>
              <w:t>RO</w:t>
            </w:r>
          </w:p>
        </w:tc>
        <w:tc>
          <w:tcPr>
            <w:tcW w:w="1568" w:type="dxa"/>
            <w:gridSpan w:val="2"/>
            <w:tcBorders>
              <w:top w:val="single" w:sz="8" w:space="0" w:color="auto"/>
            </w:tcBorders>
            <w:shd w:val="clear" w:color="auto" w:fill="E5B8B7" w:themeFill="accent2" w:themeFillTint="66"/>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868</w:t>
            </w:r>
          </w:p>
        </w:tc>
        <w:tc>
          <w:tcPr>
            <w:tcW w:w="1418" w:type="dxa"/>
            <w:tcBorders>
              <w:top w:val="single" w:sz="8" w:space="0" w:color="auto"/>
            </w:tcBorders>
            <w:shd w:val="clear" w:color="auto" w:fill="E5B8B7" w:themeFill="accent2" w:themeFillTint="66"/>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21,5</w:t>
            </w:r>
          </w:p>
        </w:tc>
        <w:tc>
          <w:tcPr>
            <w:tcW w:w="1837" w:type="dxa"/>
            <w:tcBorders>
              <w:top w:val="single" w:sz="8" w:space="0" w:color="auto"/>
            </w:tcBorders>
            <w:shd w:val="clear" w:color="auto" w:fill="E5B8B7" w:themeFill="accent2" w:themeFillTint="66"/>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40,4</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SI</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26</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2,0</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13,0</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SK</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126</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5,4</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23,3</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lastRenderedPageBreak/>
              <w:t>FI</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35</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5,3</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6,6</w:t>
            </w:r>
          </w:p>
        </w:tc>
      </w:tr>
      <w:tr w:rsidR="00B4550A" w:rsidRPr="00E0488D" w:rsidTr="003C7FC8">
        <w:trPr>
          <w:trHeight w:val="95"/>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SE</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44</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9,2</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4,8</w:t>
            </w:r>
          </w:p>
        </w:tc>
      </w:tr>
      <w:tr w:rsidR="00B4550A" w:rsidRPr="00E0488D" w:rsidTr="003C7FC8">
        <w:trPr>
          <w:trHeight w:val="97"/>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UK</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429</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61,6</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7,0</w:t>
            </w:r>
          </w:p>
        </w:tc>
      </w:tr>
      <w:tr w:rsidR="00B4550A" w:rsidRPr="00E0488D" w:rsidTr="003C7FC8">
        <w:trPr>
          <w:trHeight w:val="110"/>
        </w:trPr>
        <w:tc>
          <w:tcPr>
            <w:tcW w:w="1517" w:type="dxa"/>
            <w:vAlign w:val="center"/>
          </w:tcPr>
          <w:p w:rsidR="00B4550A" w:rsidRPr="00E0488D" w:rsidRDefault="00B4550A" w:rsidP="003C7FC8">
            <w:pPr>
              <w:spacing w:line="276" w:lineRule="auto"/>
              <w:rPr>
                <w:bCs/>
                <w:sz w:val="22"/>
                <w:szCs w:val="22"/>
                <w:lang w:val="ro-RO"/>
              </w:rPr>
            </w:pPr>
            <w:r w:rsidRPr="00E0488D">
              <w:rPr>
                <w:bCs/>
                <w:sz w:val="22"/>
                <w:szCs w:val="22"/>
                <w:lang w:val="ro-RO"/>
              </w:rPr>
              <w:t>EU-24</w:t>
            </w:r>
          </w:p>
        </w:tc>
        <w:tc>
          <w:tcPr>
            <w:tcW w:w="1568" w:type="dxa"/>
            <w:gridSpan w:val="2"/>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6.004</w:t>
            </w:r>
          </w:p>
        </w:tc>
        <w:tc>
          <w:tcPr>
            <w:tcW w:w="1418"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487,8</w:t>
            </w:r>
          </w:p>
        </w:tc>
        <w:tc>
          <w:tcPr>
            <w:tcW w:w="1837" w:type="dxa"/>
            <w:vAlign w:val="center"/>
          </w:tcPr>
          <w:p w:rsidR="00B4550A" w:rsidRPr="00E0488D" w:rsidRDefault="00B4550A" w:rsidP="003C7FC8">
            <w:pPr>
              <w:spacing w:line="276" w:lineRule="auto"/>
              <w:jc w:val="center"/>
              <w:rPr>
                <w:bCs/>
                <w:sz w:val="22"/>
                <w:szCs w:val="22"/>
                <w:lang w:val="ro-RO"/>
              </w:rPr>
            </w:pPr>
            <w:r w:rsidRPr="00E0488D">
              <w:rPr>
                <w:bCs/>
                <w:sz w:val="22"/>
                <w:szCs w:val="22"/>
                <w:lang w:val="ro-RO"/>
              </w:rPr>
              <w:t>12,3</w:t>
            </w:r>
          </w:p>
        </w:tc>
      </w:tr>
    </w:tbl>
    <w:p w:rsidR="00B4550A" w:rsidRPr="00E0488D" w:rsidRDefault="00B4550A" w:rsidP="00B4550A">
      <w:pPr>
        <w:ind w:left="851"/>
        <w:rPr>
          <w:highlight w:val="yellow"/>
          <w:lang w:val="ro-RO"/>
        </w:rPr>
      </w:pPr>
      <w:r w:rsidRPr="00E0488D">
        <w:rPr>
          <w:i/>
          <w:lang w:val="ro-RO"/>
        </w:rPr>
        <w:t>Sursa: EU DaCoTA – decese pietoni la un million de locuitori, pe țări, EU-24*, 2010 Pedestrian fatalities</w:t>
      </w:r>
    </w:p>
    <w:p w:rsidR="00B4550A" w:rsidRPr="00E0488D" w:rsidRDefault="00B4550A" w:rsidP="002B7E09">
      <w:pPr>
        <w:pStyle w:val="NumberedParas"/>
      </w:pPr>
      <w:r w:rsidRPr="00E0488D">
        <w:rPr>
          <w:b/>
        </w:rPr>
        <w:t>Gradul de motorizare:</w:t>
      </w:r>
      <w:r w:rsidRPr="00E0488D">
        <w:t xml:space="preserve"> A existat o creștere treptată a nivelului de motorizare în România, cu o tendință medie de creștere pe termen lung de aproximativ 5% pe an.</w:t>
      </w:r>
    </w:p>
    <w:p w:rsidR="00B4550A" w:rsidRPr="00E0488D" w:rsidRDefault="00B4550A" w:rsidP="002B7E09">
      <w:pPr>
        <w:pStyle w:val="NumberedParas"/>
      </w:pPr>
      <w:r w:rsidRPr="00E0488D">
        <w:t>Acest lucru trebuie văzut totuși în context cu celelalte niveluri de motorizare din restul Europei. Figura 3.2 prezintă o comparație între țări, unde valorile pentru România sunt marcate în roșu.</w:t>
      </w:r>
    </w:p>
    <w:p w:rsidR="00B4550A" w:rsidRPr="00E0488D" w:rsidRDefault="00B4550A" w:rsidP="00B4550A">
      <w:pPr>
        <w:ind w:left="851"/>
        <w:rPr>
          <w:b/>
          <w:sz w:val="22"/>
          <w:szCs w:val="22"/>
          <w:lang w:val="ro-RO"/>
        </w:rPr>
      </w:pPr>
      <w:r w:rsidRPr="00E0488D">
        <w:rPr>
          <w:noProof/>
          <w:sz w:val="22"/>
          <w:szCs w:val="22"/>
          <w:lang w:val="ro-RO" w:eastAsia="ro-RO"/>
        </w:rPr>
        <w:drawing>
          <wp:inline distT="0" distB="0" distL="0" distR="0" wp14:anchorId="68039548" wp14:editId="6C82D6D3">
            <wp:extent cx="5636567" cy="3607640"/>
            <wp:effectExtent l="19050" t="0" r="21283" b="0"/>
            <wp:docPr id="82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4550A" w:rsidRPr="00E0488D" w:rsidRDefault="00B4550A" w:rsidP="00B4550A">
      <w:pPr>
        <w:ind w:left="851"/>
        <w:rPr>
          <w:lang w:val="ro-RO"/>
        </w:rPr>
      </w:pPr>
      <w:r w:rsidRPr="00E0488D">
        <w:rPr>
          <w:i/>
          <w:lang w:val="ro-RO"/>
        </w:rPr>
        <w:t>Sursa: Eurostat</w:t>
      </w:r>
    </w:p>
    <w:p w:rsidR="00B4550A" w:rsidRPr="00E0488D" w:rsidRDefault="00B4550A" w:rsidP="00B4550A">
      <w:pPr>
        <w:spacing w:before="120" w:after="120"/>
        <w:ind w:left="851"/>
        <w:rPr>
          <w:b/>
          <w:sz w:val="22"/>
          <w:szCs w:val="22"/>
          <w:lang w:val="ro-RO"/>
        </w:rPr>
      </w:pPr>
      <w:r w:rsidRPr="00E0488D">
        <w:rPr>
          <w:b/>
          <w:sz w:val="22"/>
          <w:szCs w:val="22"/>
          <w:lang w:val="ro-RO"/>
        </w:rPr>
        <w:t>Figura 3.2 Comparație privind gradul de motorizare în UE (2010)</w:t>
      </w:r>
    </w:p>
    <w:p w:rsidR="00B4550A" w:rsidRPr="00E0488D" w:rsidRDefault="00B4550A" w:rsidP="002B7E09">
      <w:pPr>
        <w:pStyle w:val="NumberedParas"/>
      </w:pPr>
      <w:r w:rsidRPr="00E0488D">
        <w:t>În mod evident gradul de motorizare a rămas oarecum în urmă în restul Europei. În România nivelul de motorizare se estimează să crească puternic, după cum se observă în Figura 3.3. 19,3% din populație dispunea de un autoturism în 2011, procent care va crește până la 24,9% până în 2020. Acest lucru va avea un impact direct asupra probabilității ca transportul rutier să devină o alegere modală pentru mai multe călătorii de pasageri decât în prezent.</w:t>
      </w:r>
    </w:p>
    <w:p w:rsidR="00B4550A" w:rsidRPr="00E0488D" w:rsidRDefault="00B4550A" w:rsidP="00B4550A">
      <w:pPr>
        <w:rPr>
          <w:lang w:val="ro-RO"/>
        </w:rPr>
      </w:pPr>
    </w:p>
    <w:p w:rsidR="00B4550A" w:rsidRPr="00E0488D" w:rsidRDefault="00B4550A" w:rsidP="00B4550A">
      <w:pPr>
        <w:rPr>
          <w:sz w:val="22"/>
          <w:szCs w:val="22"/>
          <w:lang w:val="ro-RO"/>
        </w:rPr>
      </w:pPr>
      <w:r w:rsidRPr="00E0488D">
        <w:rPr>
          <w:lang w:val="ro-RO"/>
        </w:rPr>
        <w:br w:type="page"/>
      </w:r>
    </w:p>
    <w:p w:rsidR="00B4550A" w:rsidRPr="00E0488D" w:rsidRDefault="00B4550A" w:rsidP="00B4550A">
      <w:pPr>
        <w:ind w:left="851"/>
        <w:rPr>
          <w:b/>
          <w:sz w:val="22"/>
          <w:szCs w:val="22"/>
          <w:lang w:val="ro-RO"/>
        </w:rPr>
      </w:pPr>
      <w:r w:rsidRPr="00E0488D">
        <w:rPr>
          <w:b/>
          <w:noProof/>
          <w:sz w:val="22"/>
          <w:szCs w:val="22"/>
          <w:lang w:val="ro-RO" w:eastAsia="ro-RO"/>
        </w:rPr>
        <w:lastRenderedPageBreak/>
        <w:drawing>
          <wp:anchor distT="0" distB="0" distL="114300" distR="114300" simplePos="0" relativeHeight="251639296" behindDoc="0" locked="0" layoutInCell="1" allowOverlap="0" wp14:anchorId="72785D87" wp14:editId="0EA8EE12">
            <wp:simplePos x="0" y="0"/>
            <wp:positionH relativeFrom="column">
              <wp:posOffset>548005</wp:posOffset>
            </wp:positionH>
            <wp:positionV relativeFrom="paragraph">
              <wp:posOffset>221615</wp:posOffset>
            </wp:positionV>
            <wp:extent cx="5631815" cy="3267075"/>
            <wp:effectExtent l="19050" t="0" r="26035" b="0"/>
            <wp:wrapTopAndBottom/>
            <wp:docPr id="82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p>
    <w:p w:rsidR="00B4550A" w:rsidRPr="00E0488D" w:rsidRDefault="00B4550A" w:rsidP="00B4550A">
      <w:pPr>
        <w:ind w:left="851"/>
        <w:rPr>
          <w:i/>
          <w:lang w:val="ro-RO"/>
        </w:rPr>
      </w:pPr>
      <w:r w:rsidRPr="00E0488D">
        <w:rPr>
          <w:i/>
          <w:lang w:val="ro-RO"/>
        </w:rPr>
        <w:t xml:space="preserve">Sursa: INS, Raportul AECOM privind elaborarea Modelului </w:t>
      </w:r>
    </w:p>
    <w:p w:rsidR="00B4550A" w:rsidRPr="00E0488D" w:rsidRDefault="00B4550A" w:rsidP="002B7E09">
      <w:pPr>
        <w:pStyle w:val="NumberedParas"/>
      </w:pPr>
      <w:r w:rsidRPr="00E0488D">
        <w:t xml:space="preserve">Figura 3.3 Prognoza gradului de motorizare în România </w:t>
      </w:r>
    </w:p>
    <w:p w:rsidR="00B4550A" w:rsidRPr="00E0488D" w:rsidRDefault="00B4550A" w:rsidP="002B7E09">
      <w:pPr>
        <w:pStyle w:val="NumberedParas"/>
      </w:pPr>
      <w:r w:rsidRPr="00E0488D">
        <w:t>Până în 2020 gradul de motorizare va fi încă sub media națională curentă din restul Europei.</w:t>
      </w:r>
    </w:p>
    <w:p w:rsidR="00B4550A" w:rsidRPr="00E0488D" w:rsidRDefault="00B4550A" w:rsidP="00B4550A">
      <w:pPr>
        <w:rPr>
          <w:sz w:val="22"/>
          <w:szCs w:val="22"/>
          <w:lang w:val="ro-RO"/>
        </w:rPr>
      </w:pPr>
    </w:p>
    <w:p w:rsidR="00B4550A" w:rsidRPr="00E0488D" w:rsidRDefault="00B4550A" w:rsidP="00BD59B2">
      <w:pPr>
        <w:pStyle w:val="Hdg2"/>
      </w:pPr>
      <w:bookmarkStart w:id="58" w:name="_Toc398292053"/>
      <w:bookmarkStart w:id="59" w:name="_Toc413060306"/>
      <w:bookmarkStart w:id="60" w:name="_Toc396234277"/>
      <w:r w:rsidRPr="00E0488D">
        <w:t>Tendințele transportului feroviar în contextul european</w:t>
      </w:r>
      <w:bookmarkEnd w:id="58"/>
      <w:bookmarkEnd w:id="59"/>
      <w:r w:rsidRPr="00E0488D">
        <w:t xml:space="preserve"> </w:t>
      </w:r>
      <w:bookmarkEnd w:id="60"/>
    </w:p>
    <w:p w:rsidR="00B4550A" w:rsidRPr="00E0488D" w:rsidRDefault="00B4550A" w:rsidP="002B7E09">
      <w:pPr>
        <w:pStyle w:val="NumberedParas"/>
      </w:pPr>
      <w:r w:rsidRPr="00E0488D">
        <w:rPr>
          <w:b/>
        </w:rPr>
        <w:t>Caracteristicile rețelei feroviare</w:t>
      </w:r>
      <w:r w:rsidRPr="00E0488D">
        <w:t>: Lungimea totală a rețelei feroviare din România se ridică la 10.818 km. În Tabelul 3.5 sunt prezentate statisticile cheie asociate rețelei.</w:t>
      </w:r>
    </w:p>
    <w:p w:rsidR="00B4550A" w:rsidRPr="00E0488D" w:rsidRDefault="00B4550A" w:rsidP="00B4550A">
      <w:pPr>
        <w:pStyle w:val="Caption"/>
        <w:keepNext/>
        <w:ind w:left="851"/>
        <w:rPr>
          <w:b/>
          <w:bCs w:val="0"/>
          <w:sz w:val="22"/>
          <w:szCs w:val="22"/>
          <w:lang w:val="ro-RO"/>
        </w:rPr>
      </w:pPr>
      <w:r w:rsidRPr="00E0488D">
        <w:rPr>
          <w:b/>
          <w:bCs w:val="0"/>
          <w:sz w:val="22"/>
          <w:szCs w:val="22"/>
          <w:lang w:val="ro-RO"/>
        </w:rPr>
        <w:t xml:space="preserve">Table 3.5  Statistici privind infrastructura feroviară </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84"/>
        <w:gridCol w:w="3478"/>
        <w:gridCol w:w="1984"/>
      </w:tblGrid>
      <w:tr w:rsidR="00B4550A" w:rsidRPr="00E0488D" w:rsidTr="003C7FC8">
        <w:tc>
          <w:tcPr>
            <w:tcW w:w="2693" w:type="dxa"/>
            <w:shd w:val="clear" w:color="auto" w:fill="C6D9F1"/>
            <w:vAlign w:val="center"/>
          </w:tcPr>
          <w:p w:rsidR="00B4550A" w:rsidRPr="00E0488D" w:rsidRDefault="00B4550A" w:rsidP="003C7FC8">
            <w:pPr>
              <w:rPr>
                <w:b/>
                <w:sz w:val="22"/>
                <w:szCs w:val="22"/>
                <w:lang w:val="ro-RO" w:eastAsia="en-GB"/>
              </w:rPr>
            </w:pPr>
            <w:r w:rsidRPr="00E0488D">
              <w:rPr>
                <w:b/>
                <w:sz w:val="22"/>
                <w:szCs w:val="22"/>
                <w:lang w:val="ro-RO" w:eastAsia="en-GB"/>
              </w:rPr>
              <w:t>Lungimea rețelei feroviare</w:t>
            </w:r>
          </w:p>
        </w:tc>
        <w:tc>
          <w:tcPr>
            <w:tcW w:w="1484" w:type="dxa"/>
            <w:shd w:val="clear" w:color="auto" w:fill="C6D9F1"/>
            <w:vAlign w:val="center"/>
          </w:tcPr>
          <w:p w:rsidR="00B4550A" w:rsidRPr="00E0488D" w:rsidRDefault="00B4550A" w:rsidP="003C7FC8">
            <w:pPr>
              <w:rPr>
                <w:b/>
                <w:sz w:val="22"/>
                <w:szCs w:val="22"/>
                <w:lang w:val="ro-RO" w:eastAsia="en-GB"/>
              </w:rPr>
            </w:pPr>
            <w:r w:rsidRPr="00E0488D">
              <w:rPr>
                <w:b/>
                <w:sz w:val="22"/>
                <w:szCs w:val="22"/>
                <w:lang w:val="ro-RO" w:eastAsia="en-GB"/>
              </w:rPr>
              <w:t>10.818 km</w:t>
            </w:r>
          </w:p>
        </w:tc>
        <w:tc>
          <w:tcPr>
            <w:tcW w:w="3478" w:type="dxa"/>
            <w:shd w:val="clear" w:color="auto" w:fill="C6D9F1"/>
            <w:vAlign w:val="center"/>
          </w:tcPr>
          <w:p w:rsidR="00B4550A" w:rsidRPr="00E0488D" w:rsidRDefault="00B4550A" w:rsidP="003C7FC8">
            <w:pPr>
              <w:rPr>
                <w:b/>
                <w:sz w:val="22"/>
                <w:szCs w:val="22"/>
                <w:lang w:val="ro-RO" w:eastAsia="en-GB"/>
              </w:rPr>
            </w:pPr>
            <w:r w:rsidRPr="00E0488D">
              <w:rPr>
                <w:b/>
                <w:sz w:val="22"/>
                <w:szCs w:val="22"/>
                <w:lang w:val="ro-RO" w:eastAsia="en-GB"/>
              </w:rPr>
              <w:t>Numărul de treceri la nivel cu cale ferată (numărul celor automate)</w:t>
            </w:r>
          </w:p>
        </w:tc>
        <w:tc>
          <w:tcPr>
            <w:tcW w:w="1984" w:type="dxa"/>
            <w:shd w:val="clear" w:color="auto" w:fill="C6D9F1"/>
            <w:vAlign w:val="center"/>
          </w:tcPr>
          <w:p w:rsidR="00B4550A" w:rsidRPr="00E0488D" w:rsidRDefault="00B4550A" w:rsidP="003C7FC8">
            <w:pPr>
              <w:rPr>
                <w:b/>
                <w:sz w:val="22"/>
                <w:szCs w:val="22"/>
                <w:lang w:val="ro-RO" w:eastAsia="en-GB"/>
              </w:rPr>
            </w:pPr>
            <w:r w:rsidRPr="00E0488D">
              <w:rPr>
                <w:b/>
                <w:sz w:val="22"/>
                <w:szCs w:val="22"/>
                <w:lang w:val="ro-RO" w:eastAsia="en-GB"/>
              </w:rPr>
              <w:t>5.119 (1.082)</w:t>
            </w: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Linie dublă</w:t>
            </w:r>
          </w:p>
        </w:tc>
        <w:tc>
          <w:tcPr>
            <w:tcW w:w="1484" w:type="dxa"/>
            <w:vAlign w:val="center"/>
          </w:tcPr>
          <w:p w:rsidR="00B4550A" w:rsidRPr="00E0488D" w:rsidRDefault="00B4550A" w:rsidP="003C7FC8">
            <w:pPr>
              <w:rPr>
                <w:sz w:val="22"/>
                <w:szCs w:val="22"/>
                <w:lang w:val="ro-RO"/>
              </w:rPr>
            </w:pPr>
            <w:r w:rsidRPr="00E0488D">
              <w:rPr>
                <w:sz w:val="22"/>
                <w:szCs w:val="22"/>
                <w:lang w:val="ro-RO"/>
              </w:rPr>
              <w:t>2.909    (27%)</w:t>
            </w:r>
          </w:p>
        </w:tc>
        <w:tc>
          <w:tcPr>
            <w:tcW w:w="3478" w:type="dxa"/>
          </w:tcPr>
          <w:p w:rsidR="00B4550A" w:rsidRPr="00E0488D" w:rsidRDefault="00B4550A" w:rsidP="003C7FC8">
            <w:pPr>
              <w:rPr>
                <w:sz w:val="22"/>
                <w:szCs w:val="22"/>
                <w:lang w:val="ro-RO"/>
              </w:rPr>
            </w:pPr>
            <w:r w:rsidRPr="00E0488D">
              <w:rPr>
                <w:sz w:val="22"/>
                <w:szCs w:val="22"/>
                <w:lang w:val="ro-RO"/>
              </w:rPr>
              <w:t>Numărul de macazuri</w:t>
            </w:r>
          </w:p>
        </w:tc>
        <w:tc>
          <w:tcPr>
            <w:tcW w:w="1984" w:type="dxa"/>
            <w:vAlign w:val="center"/>
          </w:tcPr>
          <w:p w:rsidR="00B4550A" w:rsidRPr="00E0488D" w:rsidRDefault="00B4550A" w:rsidP="003C7FC8">
            <w:pPr>
              <w:rPr>
                <w:sz w:val="22"/>
                <w:szCs w:val="22"/>
                <w:lang w:val="ro-RO"/>
              </w:rPr>
            </w:pPr>
            <w:r w:rsidRPr="00E0488D">
              <w:rPr>
                <w:sz w:val="22"/>
                <w:szCs w:val="22"/>
                <w:lang w:val="ro-RO"/>
              </w:rPr>
              <w:t>20.868</w:t>
            </w: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Linie simplă</w:t>
            </w:r>
          </w:p>
        </w:tc>
        <w:tc>
          <w:tcPr>
            <w:tcW w:w="1484" w:type="dxa"/>
            <w:vAlign w:val="center"/>
          </w:tcPr>
          <w:p w:rsidR="00B4550A" w:rsidRPr="00E0488D" w:rsidRDefault="00B4550A" w:rsidP="003C7FC8">
            <w:pPr>
              <w:rPr>
                <w:sz w:val="22"/>
                <w:szCs w:val="22"/>
                <w:lang w:val="ro-RO"/>
              </w:rPr>
            </w:pPr>
            <w:r w:rsidRPr="00E0488D">
              <w:rPr>
                <w:sz w:val="22"/>
                <w:szCs w:val="22"/>
                <w:lang w:val="ro-RO"/>
              </w:rPr>
              <w:t>7.771    (72%)</w:t>
            </w:r>
          </w:p>
        </w:tc>
        <w:tc>
          <w:tcPr>
            <w:tcW w:w="3478" w:type="dxa"/>
            <w:vMerge w:val="restart"/>
          </w:tcPr>
          <w:p w:rsidR="00B4550A" w:rsidRPr="00E0488D" w:rsidRDefault="00B4550A" w:rsidP="003C7FC8">
            <w:pPr>
              <w:rPr>
                <w:sz w:val="22"/>
                <w:szCs w:val="22"/>
                <w:lang w:val="ro-RO"/>
              </w:rPr>
            </w:pPr>
            <w:r w:rsidRPr="00E0488D">
              <w:rPr>
                <w:sz w:val="22"/>
                <w:szCs w:val="22"/>
                <w:lang w:val="ro-RO"/>
              </w:rPr>
              <w:t>Control tren (semnalizare) infrastructură:</w:t>
            </w:r>
          </w:p>
          <w:p w:rsidR="00B4550A" w:rsidRPr="00E0488D" w:rsidRDefault="00B4550A" w:rsidP="003C7FC8">
            <w:pPr>
              <w:rPr>
                <w:sz w:val="22"/>
                <w:szCs w:val="22"/>
                <w:lang w:val="ro-RO"/>
              </w:rPr>
            </w:pPr>
            <w:r w:rsidRPr="00E0488D">
              <w:rPr>
                <w:sz w:val="22"/>
                <w:szCs w:val="22"/>
                <w:lang w:val="ro-RO"/>
              </w:rPr>
              <w:t xml:space="preserve">Sisteme de centralizare electronică </w:t>
            </w:r>
          </w:p>
          <w:p w:rsidR="00B4550A" w:rsidRPr="00E0488D" w:rsidRDefault="00B4550A" w:rsidP="003C7FC8">
            <w:pPr>
              <w:rPr>
                <w:sz w:val="22"/>
                <w:szCs w:val="22"/>
                <w:lang w:val="ro-RO"/>
              </w:rPr>
            </w:pPr>
            <w:r w:rsidRPr="00E0488D">
              <w:rPr>
                <w:sz w:val="22"/>
                <w:szCs w:val="22"/>
                <w:lang w:val="ro-RO"/>
              </w:rPr>
              <w:t xml:space="preserve">Sisteme de centralizare prin releu </w:t>
            </w:r>
          </w:p>
          <w:p w:rsidR="00B4550A" w:rsidRPr="00E0488D" w:rsidRDefault="00B4550A" w:rsidP="003C7FC8">
            <w:pPr>
              <w:rPr>
                <w:sz w:val="22"/>
                <w:szCs w:val="22"/>
                <w:lang w:val="ro-RO"/>
              </w:rPr>
            </w:pPr>
            <w:r w:rsidRPr="00E0488D">
              <w:rPr>
                <w:sz w:val="22"/>
                <w:szCs w:val="22"/>
                <w:lang w:val="ro-RO"/>
              </w:rPr>
              <w:t xml:space="preserve">Instalații fără centralizare </w:t>
            </w:r>
          </w:p>
          <w:p w:rsidR="00B4550A" w:rsidRPr="00E0488D" w:rsidRDefault="00B4550A" w:rsidP="003C7FC8">
            <w:pPr>
              <w:rPr>
                <w:sz w:val="22"/>
                <w:szCs w:val="22"/>
                <w:lang w:val="ro-RO"/>
              </w:rPr>
            </w:pPr>
            <w:r w:rsidRPr="00E0488D">
              <w:rPr>
                <w:sz w:val="22"/>
                <w:szCs w:val="22"/>
                <w:lang w:val="ro-RO"/>
              </w:rPr>
              <w:t>Bloc de linie automat:</w:t>
            </w:r>
          </w:p>
          <w:p w:rsidR="00B4550A" w:rsidRPr="00E0488D" w:rsidRDefault="00B4550A" w:rsidP="003C7FC8">
            <w:pPr>
              <w:rPr>
                <w:sz w:val="22"/>
                <w:szCs w:val="22"/>
                <w:lang w:val="ro-RO"/>
              </w:rPr>
            </w:pPr>
            <w:r w:rsidRPr="00E0488D">
              <w:rPr>
                <w:sz w:val="22"/>
                <w:szCs w:val="22"/>
                <w:lang w:val="ro-RO"/>
              </w:rPr>
              <w:t>Număr de instalații</w:t>
            </w:r>
          </w:p>
        </w:tc>
        <w:tc>
          <w:tcPr>
            <w:tcW w:w="1984" w:type="dxa"/>
            <w:vMerge w:val="restart"/>
            <w:vAlign w:val="center"/>
          </w:tcPr>
          <w:p w:rsidR="00B4550A" w:rsidRPr="00E0488D" w:rsidRDefault="00B4550A" w:rsidP="003C7FC8">
            <w:pPr>
              <w:rPr>
                <w:sz w:val="22"/>
                <w:szCs w:val="22"/>
                <w:lang w:val="ro-RO"/>
              </w:rPr>
            </w:pPr>
            <w:r w:rsidRPr="00E0488D">
              <w:rPr>
                <w:sz w:val="22"/>
                <w:szCs w:val="22"/>
                <w:lang w:val="ro-RO"/>
              </w:rPr>
              <w:t>28</w:t>
            </w:r>
          </w:p>
          <w:p w:rsidR="00B4550A" w:rsidRPr="00E0488D" w:rsidRDefault="00B4550A" w:rsidP="003C7FC8">
            <w:pPr>
              <w:rPr>
                <w:sz w:val="22"/>
                <w:szCs w:val="22"/>
                <w:lang w:val="ro-RO"/>
              </w:rPr>
            </w:pPr>
            <w:r w:rsidRPr="00E0488D">
              <w:rPr>
                <w:sz w:val="22"/>
                <w:szCs w:val="22"/>
                <w:lang w:val="ro-RO"/>
              </w:rPr>
              <w:t>618</w:t>
            </w:r>
          </w:p>
          <w:p w:rsidR="00B4550A" w:rsidRPr="00E0488D" w:rsidRDefault="00B4550A" w:rsidP="003C7FC8">
            <w:pPr>
              <w:rPr>
                <w:sz w:val="22"/>
                <w:szCs w:val="22"/>
                <w:lang w:val="ro-RO"/>
              </w:rPr>
            </w:pPr>
            <w:r w:rsidRPr="00E0488D">
              <w:rPr>
                <w:sz w:val="22"/>
                <w:szCs w:val="22"/>
                <w:lang w:val="ro-RO"/>
              </w:rPr>
              <w:t>354</w:t>
            </w:r>
          </w:p>
          <w:p w:rsidR="00B4550A" w:rsidRPr="00E0488D" w:rsidRDefault="00B4550A" w:rsidP="003C7FC8">
            <w:pPr>
              <w:rPr>
                <w:sz w:val="22"/>
                <w:szCs w:val="22"/>
                <w:lang w:val="ro-RO"/>
              </w:rPr>
            </w:pPr>
          </w:p>
          <w:p w:rsidR="00B4550A" w:rsidRPr="00E0488D" w:rsidRDefault="00B4550A" w:rsidP="003C7FC8">
            <w:pPr>
              <w:rPr>
                <w:sz w:val="22"/>
                <w:szCs w:val="22"/>
                <w:lang w:val="ro-RO"/>
              </w:rPr>
            </w:pPr>
            <w:r w:rsidRPr="00E0488D">
              <w:rPr>
                <w:sz w:val="22"/>
                <w:szCs w:val="22"/>
                <w:lang w:val="ro-RO"/>
              </w:rPr>
              <w:t>577</w:t>
            </w: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Electrificată(overhead 25 Kv)</w:t>
            </w:r>
          </w:p>
        </w:tc>
        <w:tc>
          <w:tcPr>
            <w:tcW w:w="1484" w:type="dxa"/>
            <w:vAlign w:val="center"/>
          </w:tcPr>
          <w:p w:rsidR="00B4550A" w:rsidRPr="00E0488D" w:rsidRDefault="00B4550A" w:rsidP="003C7FC8">
            <w:pPr>
              <w:rPr>
                <w:sz w:val="22"/>
                <w:szCs w:val="22"/>
                <w:lang w:val="ro-RO"/>
              </w:rPr>
            </w:pPr>
            <w:r w:rsidRPr="00E0488D">
              <w:rPr>
                <w:sz w:val="22"/>
                <w:szCs w:val="22"/>
                <w:lang w:val="ro-RO"/>
              </w:rPr>
              <w:t>4.002   (37%)</w:t>
            </w:r>
          </w:p>
        </w:tc>
        <w:tc>
          <w:tcPr>
            <w:tcW w:w="3478" w:type="dxa"/>
            <w:vMerge/>
          </w:tcPr>
          <w:p w:rsidR="00B4550A" w:rsidRPr="00E0488D" w:rsidRDefault="00B4550A" w:rsidP="003C7FC8">
            <w:pPr>
              <w:rPr>
                <w:sz w:val="22"/>
                <w:szCs w:val="22"/>
                <w:lang w:val="ro-RO"/>
              </w:rPr>
            </w:pPr>
          </w:p>
        </w:tc>
        <w:tc>
          <w:tcPr>
            <w:tcW w:w="1984" w:type="dxa"/>
            <w:vMerge/>
          </w:tcPr>
          <w:p w:rsidR="00B4550A" w:rsidRPr="00E0488D" w:rsidRDefault="00B4550A" w:rsidP="003C7FC8">
            <w:pPr>
              <w:rPr>
                <w:sz w:val="22"/>
                <w:szCs w:val="22"/>
                <w:lang w:val="ro-RO"/>
              </w:rPr>
            </w:pP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Neelectrificată</w:t>
            </w:r>
          </w:p>
        </w:tc>
        <w:tc>
          <w:tcPr>
            <w:tcW w:w="1484" w:type="dxa"/>
            <w:vAlign w:val="center"/>
          </w:tcPr>
          <w:p w:rsidR="00B4550A" w:rsidRPr="00E0488D" w:rsidRDefault="00B4550A" w:rsidP="003C7FC8">
            <w:pPr>
              <w:rPr>
                <w:sz w:val="22"/>
                <w:szCs w:val="22"/>
                <w:lang w:val="ro-RO"/>
              </w:rPr>
            </w:pPr>
            <w:r w:rsidRPr="00E0488D">
              <w:rPr>
                <w:sz w:val="22"/>
                <w:szCs w:val="22"/>
                <w:lang w:val="ro-RO"/>
              </w:rPr>
              <w:t>6.816   (63%)</w:t>
            </w:r>
          </w:p>
        </w:tc>
        <w:tc>
          <w:tcPr>
            <w:tcW w:w="3478" w:type="dxa"/>
            <w:vMerge/>
          </w:tcPr>
          <w:p w:rsidR="00B4550A" w:rsidRPr="00E0488D" w:rsidRDefault="00B4550A" w:rsidP="003C7FC8">
            <w:pPr>
              <w:rPr>
                <w:sz w:val="22"/>
                <w:szCs w:val="22"/>
                <w:lang w:val="ro-RO"/>
              </w:rPr>
            </w:pPr>
          </w:p>
        </w:tc>
        <w:tc>
          <w:tcPr>
            <w:tcW w:w="1984" w:type="dxa"/>
            <w:vMerge/>
            <w:vAlign w:val="center"/>
          </w:tcPr>
          <w:p w:rsidR="00B4550A" w:rsidRPr="00E0488D" w:rsidRDefault="00B4550A" w:rsidP="003C7FC8">
            <w:pPr>
              <w:rPr>
                <w:sz w:val="22"/>
                <w:szCs w:val="22"/>
                <w:lang w:val="ro-RO"/>
              </w:rPr>
            </w:pP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Număr de stații</w:t>
            </w:r>
          </w:p>
        </w:tc>
        <w:tc>
          <w:tcPr>
            <w:tcW w:w="1484" w:type="dxa"/>
            <w:vAlign w:val="center"/>
          </w:tcPr>
          <w:p w:rsidR="00B4550A" w:rsidRPr="00E0488D" w:rsidRDefault="00B4550A" w:rsidP="003C7FC8">
            <w:pPr>
              <w:rPr>
                <w:sz w:val="22"/>
                <w:szCs w:val="22"/>
                <w:lang w:val="ro-RO"/>
              </w:rPr>
            </w:pPr>
            <w:r w:rsidRPr="00E0488D">
              <w:rPr>
                <w:sz w:val="22"/>
                <w:szCs w:val="22"/>
                <w:lang w:val="ro-RO"/>
              </w:rPr>
              <w:t>965</w:t>
            </w:r>
          </w:p>
        </w:tc>
        <w:tc>
          <w:tcPr>
            <w:tcW w:w="3478" w:type="dxa"/>
            <w:vMerge/>
          </w:tcPr>
          <w:p w:rsidR="00B4550A" w:rsidRPr="00E0488D" w:rsidRDefault="00B4550A" w:rsidP="003C7FC8">
            <w:pPr>
              <w:rPr>
                <w:sz w:val="22"/>
                <w:szCs w:val="22"/>
                <w:lang w:val="ro-RO"/>
              </w:rPr>
            </w:pPr>
          </w:p>
        </w:tc>
        <w:tc>
          <w:tcPr>
            <w:tcW w:w="1984" w:type="dxa"/>
            <w:vMerge/>
            <w:vAlign w:val="center"/>
          </w:tcPr>
          <w:p w:rsidR="00B4550A" w:rsidRPr="00E0488D" w:rsidRDefault="00B4550A" w:rsidP="003C7FC8">
            <w:pPr>
              <w:rPr>
                <w:sz w:val="22"/>
                <w:szCs w:val="22"/>
                <w:lang w:val="ro-RO"/>
              </w:rPr>
            </w:pP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Număr de tuneluri</w:t>
            </w:r>
          </w:p>
        </w:tc>
        <w:tc>
          <w:tcPr>
            <w:tcW w:w="1484" w:type="dxa"/>
            <w:vAlign w:val="center"/>
          </w:tcPr>
          <w:p w:rsidR="00B4550A" w:rsidRPr="00E0488D" w:rsidRDefault="00B4550A" w:rsidP="003C7FC8">
            <w:pPr>
              <w:rPr>
                <w:sz w:val="22"/>
                <w:szCs w:val="22"/>
                <w:lang w:val="ro-RO"/>
              </w:rPr>
            </w:pPr>
            <w:r w:rsidRPr="00E0488D">
              <w:rPr>
                <w:sz w:val="22"/>
                <w:szCs w:val="22"/>
                <w:lang w:val="ro-RO"/>
              </w:rPr>
              <w:t>177</w:t>
            </w:r>
          </w:p>
        </w:tc>
        <w:tc>
          <w:tcPr>
            <w:tcW w:w="3478" w:type="dxa"/>
            <w:vMerge/>
          </w:tcPr>
          <w:p w:rsidR="00B4550A" w:rsidRPr="00E0488D" w:rsidRDefault="00B4550A" w:rsidP="003C7FC8">
            <w:pPr>
              <w:rPr>
                <w:sz w:val="22"/>
                <w:szCs w:val="22"/>
                <w:lang w:val="ro-RO"/>
              </w:rPr>
            </w:pPr>
          </w:p>
        </w:tc>
        <w:tc>
          <w:tcPr>
            <w:tcW w:w="1984" w:type="dxa"/>
            <w:vMerge/>
            <w:vAlign w:val="center"/>
          </w:tcPr>
          <w:p w:rsidR="00B4550A" w:rsidRPr="00E0488D" w:rsidRDefault="00B4550A" w:rsidP="003C7FC8">
            <w:pPr>
              <w:rPr>
                <w:sz w:val="22"/>
                <w:szCs w:val="22"/>
                <w:lang w:val="ro-RO"/>
              </w:rPr>
            </w:pP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Lungimea tunelurilor</w:t>
            </w:r>
          </w:p>
        </w:tc>
        <w:tc>
          <w:tcPr>
            <w:tcW w:w="1484" w:type="dxa"/>
            <w:vAlign w:val="center"/>
          </w:tcPr>
          <w:p w:rsidR="00B4550A" w:rsidRPr="00E0488D" w:rsidRDefault="00B4550A" w:rsidP="003C7FC8">
            <w:pPr>
              <w:rPr>
                <w:sz w:val="22"/>
                <w:szCs w:val="22"/>
                <w:lang w:val="ro-RO"/>
              </w:rPr>
            </w:pPr>
            <w:r w:rsidRPr="00E0488D">
              <w:rPr>
                <w:sz w:val="22"/>
                <w:szCs w:val="22"/>
                <w:lang w:val="ro-RO"/>
              </w:rPr>
              <w:t xml:space="preserve">6.809 </w:t>
            </w:r>
          </w:p>
        </w:tc>
        <w:tc>
          <w:tcPr>
            <w:tcW w:w="3478" w:type="dxa"/>
            <w:vMerge/>
          </w:tcPr>
          <w:p w:rsidR="00B4550A" w:rsidRPr="00E0488D" w:rsidRDefault="00B4550A" w:rsidP="003C7FC8">
            <w:pPr>
              <w:rPr>
                <w:sz w:val="22"/>
                <w:szCs w:val="22"/>
                <w:lang w:val="ro-RO"/>
              </w:rPr>
            </w:pPr>
          </w:p>
        </w:tc>
        <w:tc>
          <w:tcPr>
            <w:tcW w:w="1984" w:type="dxa"/>
            <w:vMerge/>
            <w:vAlign w:val="center"/>
          </w:tcPr>
          <w:p w:rsidR="00B4550A" w:rsidRPr="00E0488D" w:rsidRDefault="00B4550A" w:rsidP="003C7FC8">
            <w:pPr>
              <w:rPr>
                <w:sz w:val="22"/>
                <w:szCs w:val="22"/>
                <w:lang w:val="ro-RO"/>
              </w:rPr>
            </w:pPr>
          </w:p>
        </w:tc>
      </w:tr>
      <w:tr w:rsidR="00B4550A" w:rsidRPr="00E0488D" w:rsidTr="003C7FC8">
        <w:tc>
          <w:tcPr>
            <w:tcW w:w="2693" w:type="dxa"/>
          </w:tcPr>
          <w:p w:rsidR="00B4550A" w:rsidRPr="00E0488D" w:rsidRDefault="00B4550A" w:rsidP="003C7FC8">
            <w:pPr>
              <w:rPr>
                <w:sz w:val="22"/>
                <w:szCs w:val="22"/>
                <w:lang w:val="ro-RO"/>
              </w:rPr>
            </w:pPr>
            <w:r w:rsidRPr="00E0488D">
              <w:rPr>
                <w:sz w:val="22"/>
                <w:szCs w:val="22"/>
                <w:lang w:val="ro-RO"/>
              </w:rPr>
              <w:t>Număr de poduri</w:t>
            </w:r>
          </w:p>
        </w:tc>
        <w:tc>
          <w:tcPr>
            <w:tcW w:w="1484" w:type="dxa"/>
            <w:vAlign w:val="center"/>
          </w:tcPr>
          <w:p w:rsidR="00B4550A" w:rsidRPr="00E0488D" w:rsidRDefault="00B4550A" w:rsidP="003C7FC8">
            <w:pPr>
              <w:rPr>
                <w:sz w:val="22"/>
                <w:szCs w:val="22"/>
                <w:lang w:val="ro-RO"/>
              </w:rPr>
            </w:pPr>
            <w:r w:rsidRPr="00E0488D">
              <w:rPr>
                <w:sz w:val="22"/>
                <w:szCs w:val="22"/>
                <w:lang w:val="ro-RO"/>
              </w:rPr>
              <w:t>4.216</w:t>
            </w:r>
          </w:p>
        </w:tc>
        <w:tc>
          <w:tcPr>
            <w:tcW w:w="3478" w:type="dxa"/>
            <w:vMerge/>
          </w:tcPr>
          <w:p w:rsidR="00B4550A" w:rsidRPr="00E0488D" w:rsidRDefault="00B4550A" w:rsidP="003C7FC8">
            <w:pPr>
              <w:rPr>
                <w:sz w:val="22"/>
                <w:szCs w:val="22"/>
                <w:lang w:val="ro-RO"/>
              </w:rPr>
            </w:pPr>
          </w:p>
        </w:tc>
        <w:tc>
          <w:tcPr>
            <w:tcW w:w="1984" w:type="dxa"/>
            <w:vMerge/>
            <w:vAlign w:val="center"/>
          </w:tcPr>
          <w:p w:rsidR="00B4550A" w:rsidRPr="00E0488D" w:rsidRDefault="00B4550A" w:rsidP="003C7FC8">
            <w:pPr>
              <w:rPr>
                <w:sz w:val="22"/>
                <w:szCs w:val="22"/>
                <w:lang w:val="ro-RO"/>
              </w:rPr>
            </w:pPr>
          </w:p>
        </w:tc>
      </w:tr>
      <w:tr w:rsidR="00B4550A" w:rsidRPr="00E0488D" w:rsidTr="003C7FC8">
        <w:tc>
          <w:tcPr>
            <w:tcW w:w="2693" w:type="dxa"/>
            <w:vAlign w:val="center"/>
          </w:tcPr>
          <w:p w:rsidR="00B4550A" w:rsidRPr="00E0488D" w:rsidRDefault="00B4550A" w:rsidP="003C7FC8">
            <w:pPr>
              <w:rPr>
                <w:sz w:val="22"/>
                <w:szCs w:val="22"/>
                <w:lang w:val="ro-RO"/>
              </w:rPr>
            </w:pPr>
            <w:r w:rsidRPr="00E0488D">
              <w:rPr>
                <w:sz w:val="22"/>
                <w:szCs w:val="22"/>
                <w:lang w:val="ro-RO"/>
              </w:rPr>
              <w:t>Număr de podețe</w:t>
            </w:r>
          </w:p>
        </w:tc>
        <w:tc>
          <w:tcPr>
            <w:tcW w:w="1484" w:type="dxa"/>
            <w:vAlign w:val="center"/>
          </w:tcPr>
          <w:p w:rsidR="00B4550A" w:rsidRPr="00E0488D" w:rsidRDefault="00B4550A" w:rsidP="003C7FC8">
            <w:pPr>
              <w:rPr>
                <w:sz w:val="22"/>
                <w:szCs w:val="22"/>
                <w:lang w:val="ro-RO"/>
              </w:rPr>
            </w:pPr>
            <w:r w:rsidRPr="00E0488D">
              <w:rPr>
                <w:sz w:val="22"/>
                <w:szCs w:val="22"/>
                <w:lang w:val="ro-RO"/>
              </w:rPr>
              <w:t>13.961</w:t>
            </w:r>
          </w:p>
        </w:tc>
        <w:tc>
          <w:tcPr>
            <w:tcW w:w="3478" w:type="dxa"/>
            <w:vMerge/>
          </w:tcPr>
          <w:p w:rsidR="00B4550A" w:rsidRPr="00E0488D" w:rsidRDefault="00B4550A" w:rsidP="003C7FC8">
            <w:pPr>
              <w:rPr>
                <w:sz w:val="22"/>
                <w:szCs w:val="22"/>
                <w:lang w:val="ro-RO"/>
              </w:rPr>
            </w:pPr>
          </w:p>
        </w:tc>
        <w:tc>
          <w:tcPr>
            <w:tcW w:w="1984" w:type="dxa"/>
            <w:vMerge/>
            <w:vAlign w:val="center"/>
          </w:tcPr>
          <w:p w:rsidR="00B4550A" w:rsidRPr="00E0488D" w:rsidRDefault="00B4550A" w:rsidP="003C7FC8">
            <w:pPr>
              <w:rPr>
                <w:sz w:val="22"/>
                <w:szCs w:val="22"/>
                <w:lang w:val="ro-RO"/>
              </w:rPr>
            </w:pPr>
          </w:p>
        </w:tc>
      </w:tr>
    </w:tbl>
    <w:p w:rsidR="00B4550A" w:rsidRPr="00E0488D" w:rsidRDefault="00B4550A" w:rsidP="00B4550A">
      <w:pPr>
        <w:pStyle w:val="Body"/>
        <w:spacing w:before="120" w:after="120"/>
        <w:ind w:left="851"/>
        <w:rPr>
          <w:sz w:val="18"/>
          <w:szCs w:val="18"/>
          <w:lang w:val="ro-RO"/>
        </w:rPr>
      </w:pPr>
      <w:r w:rsidRPr="00E0488D">
        <w:rPr>
          <w:sz w:val="18"/>
          <w:szCs w:val="18"/>
          <w:lang w:val="ro-RO"/>
        </w:rPr>
        <w:t xml:space="preserve">Sursa: CFR SA: informații privind rețeaua CFR </w:t>
      </w:r>
    </w:p>
    <w:p w:rsidR="00B4550A" w:rsidRPr="00E0488D" w:rsidRDefault="00B4550A" w:rsidP="002B7E09">
      <w:pPr>
        <w:pStyle w:val="NumberedParas"/>
      </w:pPr>
      <w:r w:rsidRPr="00E0488D">
        <w:t>O proporție semnificativă (72%) din rețeaua feroviară este tipul linie simplă – media UE27 este de 59%.  Un procent de 37% din rețea care este electrificată se compară cu media UE27 de 52%.</w:t>
      </w:r>
    </w:p>
    <w:p w:rsidR="00B4550A" w:rsidRPr="00E0488D" w:rsidRDefault="00B4550A" w:rsidP="002B7E09">
      <w:pPr>
        <w:pStyle w:val="NumberedParas"/>
      </w:pPr>
      <w:r w:rsidRPr="00E0488D">
        <w:lastRenderedPageBreak/>
        <w:t>În ceea ce privește densitatea rețelei, Tabelul 3.6 prezintă o comparație între România și alte țări din Europa și țările vecine.</w:t>
      </w:r>
    </w:p>
    <w:p w:rsidR="00B4550A" w:rsidRPr="00E0488D" w:rsidRDefault="00B4550A" w:rsidP="00B4550A">
      <w:pPr>
        <w:pStyle w:val="Caption"/>
        <w:keepNext/>
        <w:ind w:left="851"/>
        <w:rPr>
          <w:b/>
          <w:sz w:val="22"/>
          <w:szCs w:val="22"/>
          <w:lang w:val="ro-RO"/>
        </w:rPr>
      </w:pPr>
      <w:r w:rsidRPr="00E0488D">
        <w:rPr>
          <w:b/>
          <w:sz w:val="22"/>
          <w:szCs w:val="22"/>
          <w:lang w:val="ro-RO"/>
        </w:rPr>
        <w:t xml:space="preserve">Tabel 3.6  Densitatea rețelei feroviare. </w:t>
      </w:r>
    </w:p>
    <w:p w:rsidR="00B4550A" w:rsidRPr="00E0488D" w:rsidRDefault="00B4550A" w:rsidP="00B4550A">
      <w:pPr>
        <w:pStyle w:val="Body"/>
        <w:ind w:left="680"/>
        <w:rPr>
          <w:lang w:val="ro-RO"/>
        </w:rPr>
      </w:pPr>
      <w:r w:rsidRPr="00E0488D">
        <w:rPr>
          <w:noProof/>
          <w:lang w:val="ro-RO" w:eastAsia="ro-RO"/>
        </w:rPr>
        <w:drawing>
          <wp:inline distT="0" distB="0" distL="0" distR="0" wp14:anchorId="01C1DCEB" wp14:editId="0544D594">
            <wp:extent cx="3543300" cy="1704975"/>
            <wp:effectExtent l="19050" t="0" r="0" b="0"/>
            <wp:docPr id="8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543300" cy="1704975"/>
                    </a:xfrm>
                    <a:prstGeom prst="rect">
                      <a:avLst/>
                    </a:prstGeom>
                    <a:noFill/>
                    <a:ln w="9525">
                      <a:noFill/>
                      <a:miter lim="800000"/>
                      <a:headEnd/>
                      <a:tailEnd/>
                    </a:ln>
                  </pic:spPr>
                </pic:pic>
              </a:graphicData>
            </a:graphic>
          </wp:inline>
        </w:drawing>
      </w:r>
    </w:p>
    <w:p w:rsidR="00B4550A" w:rsidRPr="00E0488D" w:rsidRDefault="00B4550A" w:rsidP="002B7E09">
      <w:pPr>
        <w:pStyle w:val="NumberedParas"/>
      </w:pPr>
      <w:r w:rsidRPr="00E0488D">
        <w:t>România se situează peste medie în ceea ce privește densitatea per populație (dar nu la fel de mare ca în țările vecine), dar mai mică în ceea ce privește densitatea spațială.</w:t>
      </w:r>
    </w:p>
    <w:p w:rsidR="00B4550A" w:rsidRPr="00E0488D" w:rsidRDefault="00B4550A" w:rsidP="002B7E09">
      <w:pPr>
        <w:pStyle w:val="NumberedParas"/>
      </w:pPr>
      <w:r w:rsidRPr="00E0488D">
        <w:rPr>
          <w:b/>
        </w:rPr>
        <w:t>Cererea de transport feroviar de călători</w:t>
      </w:r>
      <w:r w:rsidRPr="00E0488D">
        <w:t xml:space="preserve">: Figura 3.4 prezintă o comparație între kilometrii pasageri de cale ferată  din România și celelalte țări din UE. </w:t>
      </w:r>
    </w:p>
    <w:p w:rsidR="00B4550A" w:rsidRPr="00E0488D" w:rsidRDefault="00B4550A" w:rsidP="00B4550A">
      <w:pPr>
        <w:ind w:left="851"/>
        <w:rPr>
          <w:b/>
          <w:sz w:val="22"/>
          <w:szCs w:val="22"/>
          <w:lang w:val="ro-RO"/>
        </w:rPr>
      </w:pPr>
      <w:r w:rsidRPr="00E0488D">
        <w:rPr>
          <w:b/>
          <w:noProof/>
          <w:sz w:val="22"/>
          <w:szCs w:val="22"/>
          <w:lang w:val="ro-RO" w:eastAsia="ro-RO"/>
        </w:rPr>
        <w:drawing>
          <wp:inline distT="0" distB="0" distL="0" distR="0" wp14:anchorId="3CC236B5" wp14:editId="01B9811C">
            <wp:extent cx="5805170" cy="3806190"/>
            <wp:effectExtent l="19050" t="0" r="5080" b="0"/>
            <wp:docPr id="8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805170" cy="3806190"/>
                    </a:xfrm>
                    <a:prstGeom prst="rect">
                      <a:avLst/>
                    </a:prstGeom>
                    <a:noFill/>
                    <a:ln w="9525">
                      <a:noFill/>
                      <a:miter lim="800000"/>
                      <a:headEnd/>
                      <a:tailEnd/>
                    </a:ln>
                  </pic:spPr>
                </pic:pic>
              </a:graphicData>
            </a:graphic>
          </wp:inline>
        </w:drawing>
      </w:r>
    </w:p>
    <w:p w:rsidR="00B4550A" w:rsidRPr="00E0488D" w:rsidRDefault="00B4550A" w:rsidP="00B4550A">
      <w:pPr>
        <w:ind w:left="851"/>
        <w:rPr>
          <w:lang w:val="ro-RO"/>
        </w:rPr>
      </w:pPr>
      <w:r w:rsidRPr="00E0488D">
        <w:rPr>
          <w:i/>
          <w:lang w:val="ro-RO"/>
        </w:rPr>
        <w:t xml:space="preserve">Sursa: </w:t>
      </w:r>
      <w:hyperlink r:id="rId84" w:history="1">
        <w:r w:rsidRPr="00E0488D">
          <w:rPr>
            <w:rStyle w:val="Hyperlink"/>
            <w:i/>
            <w:lang w:val="ro-RO"/>
          </w:rPr>
          <w:t>http://ec.europa.eu/transport/facts-fundings/statistics/pocketbook-2013_en.htm</w:t>
        </w:r>
      </w:hyperlink>
    </w:p>
    <w:p w:rsidR="00B4550A" w:rsidRPr="00E0488D" w:rsidRDefault="00B4550A" w:rsidP="00B4550A">
      <w:pPr>
        <w:ind w:left="851"/>
        <w:rPr>
          <w:lang w:val="ro-RO"/>
        </w:rPr>
      </w:pPr>
    </w:p>
    <w:p w:rsidR="00B4550A" w:rsidRPr="00E0488D" w:rsidRDefault="00B4550A" w:rsidP="00B4550A">
      <w:pPr>
        <w:ind w:left="851"/>
        <w:rPr>
          <w:b/>
          <w:sz w:val="22"/>
          <w:szCs w:val="22"/>
          <w:lang w:val="ro-RO"/>
        </w:rPr>
      </w:pPr>
      <w:r w:rsidRPr="00E0488D">
        <w:rPr>
          <w:b/>
          <w:sz w:val="22"/>
          <w:szCs w:val="22"/>
          <w:lang w:val="ro-RO"/>
        </w:rPr>
        <w:t>Figura 3.4 Comparație privind kilometrii pasageri de cale ferată – România versus alte țări din UE</w:t>
      </w:r>
    </w:p>
    <w:p w:rsidR="00B4550A" w:rsidRPr="00E0488D" w:rsidRDefault="00B4550A" w:rsidP="00B4550A">
      <w:pPr>
        <w:ind w:left="851"/>
        <w:rPr>
          <w:lang w:val="ro-RO"/>
        </w:rPr>
      </w:pPr>
    </w:p>
    <w:p w:rsidR="00B4550A" w:rsidRPr="00E0488D" w:rsidRDefault="00B4550A" w:rsidP="002B7E09">
      <w:pPr>
        <w:pStyle w:val="NumberedParas"/>
      </w:pPr>
      <w:r w:rsidRPr="00E0488D">
        <w:t xml:space="preserve">În comparație cu alte țări cu un nivel similar de furnizare cale ferată pe cap de locuitori, rata de utilizare a căilor ferate din România este mică. Cererea de transport feroviar din România, măsurată în km parcurși per persoană este două până la trei ori mai mică față de aceste țări, iar acest eșec de a obține rezultatele potențiale de piață a avut ca rezultat reducerea </w:t>
      </w:r>
      <w:r w:rsidRPr="00E0488D">
        <w:lastRenderedPageBreak/>
        <w:t>veniturilor. Media UE27 este de 650km per pasager pe an, după cum este indicat în Figura 3.4, în timp ce cifra echivalentă pentru România este de 66% mai mică.</w:t>
      </w:r>
    </w:p>
    <w:p w:rsidR="00B4550A" w:rsidRPr="00E0488D" w:rsidRDefault="00B4550A" w:rsidP="002B7E09">
      <w:pPr>
        <w:pStyle w:val="NumberedParas"/>
      </w:pPr>
      <w:r w:rsidRPr="00E0488D">
        <w:t>Figura 3.5 ilustrează faptul că numărul de călătorii a scăzut în perioada 2004-2012 de la aproximativ 200m pe an la 58m. Scăderea numărului de clienți cu pănă la 28% pe care România a înregistrat-o în perioada 2004 - 2009 este cel mai mare declin din toate țările membre UE.</w:t>
      </w:r>
    </w:p>
    <w:p w:rsidR="00B4550A" w:rsidRPr="00E0488D" w:rsidRDefault="00B4550A" w:rsidP="002B7E09">
      <w:pPr>
        <w:pStyle w:val="NumberedParas"/>
        <w:numPr>
          <w:ilvl w:val="0"/>
          <w:numId w:val="0"/>
        </w:numPr>
        <w:ind w:left="851"/>
        <w:rPr>
          <w:b/>
        </w:rPr>
      </w:pPr>
      <w:r w:rsidRPr="00E0488D">
        <w:t xml:space="preserve"> </w:t>
      </w:r>
      <w:r w:rsidRPr="00E0488D">
        <w:rPr>
          <w:noProof/>
          <w:lang w:eastAsia="ro-RO"/>
        </w:rPr>
        <w:drawing>
          <wp:inline distT="0" distB="0" distL="0" distR="0" wp14:anchorId="449ABEAD" wp14:editId="7F91D2D4">
            <wp:extent cx="5664482" cy="3225800"/>
            <wp:effectExtent l="19050" t="0" r="0" b="0"/>
            <wp:docPr id="8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666557" cy="3226982"/>
                    </a:xfrm>
                    <a:prstGeom prst="rect">
                      <a:avLst/>
                    </a:prstGeom>
                    <a:noFill/>
                    <a:ln w="9525">
                      <a:noFill/>
                      <a:miter lim="800000"/>
                      <a:headEnd/>
                      <a:tailEnd/>
                    </a:ln>
                  </pic:spPr>
                </pic:pic>
              </a:graphicData>
            </a:graphic>
          </wp:inline>
        </w:drawing>
      </w:r>
    </w:p>
    <w:p w:rsidR="00B4550A" w:rsidRPr="00E0488D" w:rsidRDefault="00B4550A" w:rsidP="00B4550A">
      <w:pPr>
        <w:rPr>
          <w:lang w:val="ro-RO"/>
        </w:rPr>
      </w:pPr>
    </w:p>
    <w:p w:rsidR="00B4550A" w:rsidRPr="00E0488D" w:rsidRDefault="00B4550A" w:rsidP="00B4550A">
      <w:pPr>
        <w:ind w:left="851"/>
        <w:rPr>
          <w:i/>
          <w:lang w:val="ro-RO"/>
        </w:rPr>
      </w:pPr>
      <w:r w:rsidRPr="00E0488D">
        <w:rPr>
          <w:i/>
          <w:lang w:val="ro-RO"/>
        </w:rPr>
        <w:t xml:space="preserve">Sursa: Analiza AECOM privind datele CFR Calatori </w:t>
      </w:r>
    </w:p>
    <w:p w:rsidR="00B4550A" w:rsidRPr="00E0488D" w:rsidRDefault="00B4550A" w:rsidP="00B4550A">
      <w:pPr>
        <w:spacing w:before="120" w:after="120"/>
        <w:ind w:left="851"/>
        <w:rPr>
          <w:b/>
          <w:sz w:val="22"/>
          <w:szCs w:val="22"/>
          <w:lang w:val="ro-RO"/>
        </w:rPr>
      </w:pPr>
      <w:r w:rsidRPr="00E0488D">
        <w:rPr>
          <w:b/>
          <w:sz w:val="22"/>
          <w:szCs w:val="22"/>
          <w:lang w:val="ro-RO"/>
        </w:rPr>
        <w:t>Figura 3.5  Numărul de călătorii pasageri cu trenul pe an în România (2004-2012)</w:t>
      </w:r>
    </w:p>
    <w:p w:rsidR="00B4550A" w:rsidRPr="00E0488D" w:rsidRDefault="00B4550A" w:rsidP="002B7E09">
      <w:pPr>
        <w:pStyle w:val="NumberedParas"/>
      </w:pPr>
      <w:r w:rsidRPr="00E0488D">
        <w:t>Relația dintre kilometrii pasageri per persoană a fost de asemenea evaluată pentru România față de celelalte țări din UE. Rata pentru România (239 kilometrii pasageri / persoană) este mai mică față de celelalte țări din UE excepție facând Estonia (172), Grecia (118), Turcia (74) și Lituania (34). Rezultatele pentru România sunt mai mici față de Bulgaria (270 kilometrii pasageri/persoană) sau Ungaria (731). Aceste statistici indică faptul că transportul feroviar ocupă un bun procent din totalul călătoriilor, deși rata actuală de călătorii pe persoană este semnificativ mai mică. Comparația privind kilometrii pasageri pentru România față de celelalte țări din UE indică faptul că există posibilități de dezvoltare a pieței dacă s-ar oferi servicii îmbunătățite.</w:t>
      </w:r>
    </w:p>
    <w:p w:rsidR="00B4550A" w:rsidRPr="00E0488D" w:rsidRDefault="00B4550A" w:rsidP="002B7E09">
      <w:pPr>
        <w:pStyle w:val="NumberedParas"/>
        <w:numPr>
          <w:ilvl w:val="0"/>
          <w:numId w:val="0"/>
        </w:numPr>
        <w:ind w:left="851"/>
      </w:pPr>
    </w:p>
    <w:p w:rsidR="00B4550A" w:rsidRPr="00E0488D" w:rsidRDefault="00B4550A" w:rsidP="002B7E09">
      <w:pPr>
        <w:pStyle w:val="NumberedParas"/>
      </w:pPr>
      <w:r w:rsidRPr="00E0488D">
        <w:rPr>
          <w:b/>
        </w:rPr>
        <w:t>Gradul de utilizare a transportului feroviar de marfă:</w:t>
      </w:r>
      <w:r w:rsidRPr="00E0488D">
        <w:t xml:space="preserve"> Cu aproximativ 28% din mărfurile transportate pe cale ferată, România se clasează pe locul 6 în comparație cu celelalte țări. Această proporție era cu aproximativ  10%  mai mare față de media UE27 de 18.4%.</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51"/>
      </w:pPr>
      <w:r w:rsidRPr="00E0488D">
        <w:lastRenderedPageBreak/>
        <w:t>Tabel 3.7 Proporția de mărfuri transportate pe cale ferată</w:t>
      </w:r>
    </w:p>
    <w:tbl>
      <w:tblPr>
        <w:tblW w:w="422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1500"/>
        <w:gridCol w:w="1329"/>
      </w:tblGrid>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4550A" w:rsidRPr="00E0488D" w:rsidRDefault="00B4550A" w:rsidP="003C7FC8">
            <w:pPr>
              <w:jc w:val="center"/>
              <w:rPr>
                <w:rFonts w:cs="Arial"/>
                <w:b/>
                <w:color w:val="000000"/>
                <w:sz w:val="22"/>
                <w:szCs w:val="22"/>
                <w:lang w:val="ro-RO" w:eastAsia="en-GB"/>
              </w:rPr>
            </w:pPr>
            <w:r w:rsidRPr="00E0488D">
              <w:rPr>
                <w:b/>
                <w:color w:val="000000"/>
                <w:sz w:val="22"/>
                <w:szCs w:val="22"/>
                <w:lang w:val="ro-RO" w:eastAsia="en-GB"/>
              </w:rPr>
              <w:t>Țară</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4550A" w:rsidRPr="00E0488D" w:rsidRDefault="00B4550A" w:rsidP="003C7FC8">
            <w:pPr>
              <w:jc w:val="center"/>
              <w:rPr>
                <w:rFonts w:cs="Arial"/>
                <w:b/>
                <w:color w:val="000000"/>
                <w:sz w:val="22"/>
                <w:szCs w:val="22"/>
                <w:lang w:val="ro-RO" w:eastAsia="en-GB"/>
              </w:rPr>
            </w:pPr>
            <w:r w:rsidRPr="00E0488D">
              <w:rPr>
                <w:b/>
                <w:color w:val="000000"/>
                <w:sz w:val="22"/>
                <w:szCs w:val="22"/>
                <w:lang w:val="ro-RO" w:eastAsia="en-GB"/>
              </w:rPr>
              <w:t>% din mărfurile transportate pe cale ferată  (tone km)</w:t>
            </w:r>
          </w:p>
        </w:tc>
        <w:tc>
          <w:tcPr>
            <w:tcW w:w="94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4550A" w:rsidRPr="00E0488D" w:rsidRDefault="00B4550A" w:rsidP="003C7FC8">
            <w:pPr>
              <w:jc w:val="center"/>
              <w:rPr>
                <w:rFonts w:cs="Arial"/>
                <w:b/>
                <w:color w:val="000000"/>
                <w:sz w:val="22"/>
                <w:szCs w:val="22"/>
                <w:lang w:val="ro-RO" w:eastAsia="en-GB"/>
              </w:rPr>
            </w:pPr>
            <w:r w:rsidRPr="00E0488D">
              <w:rPr>
                <w:b/>
                <w:color w:val="000000"/>
                <w:sz w:val="22"/>
                <w:szCs w:val="22"/>
                <w:lang w:val="ro-RO" w:eastAsia="en-GB"/>
              </w:rPr>
              <w:t>Clasament</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Letonia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63,8</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1</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Estonia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51,0</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2</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Lituania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41,2</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3</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Austria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39,9</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4</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Suedia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38,2</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5</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România</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28,0</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6</w:t>
            </w:r>
          </w:p>
        </w:tc>
      </w:tr>
      <w:tr w:rsidR="00B4550A" w:rsidRPr="00E0488D" w:rsidTr="003C7FC8">
        <w:trPr>
          <w:trHeight w:val="304"/>
        </w:trPr>
        <w:tc>
          <w:tcPr>
            <w:tcW w:w="2000"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rFonts w:cs="Arial"/>
                <w:color w:val="000000"/>
                <w:sz w:val="22"/>
                <w:szCs w:val="22"/>
                <w:lang w:val="ro-RO" w:eastAsia="en-GB"/>
              </w:rPr>
            </w:pPr>
            <w:r w:rsidRPr="00E0488D">
              <w:rPr>
                <w:color w:val="000000"/>
                <w:sz w:val="22"/>
                <w:szCs w:val="22"/>
                <w:lang w:val="ro-RO" w:eastAsia="en-GB"/>
              </w:rPr>
              <w:t xml:space="preserve">Media UE27 </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jc w:val="center"/>
              <w:rPr>
                <w:rFonts w:cs="Arial"/>
                <w:color w:val="000000"/>
                <w:sz w:val="22"/>
                <w:szCs w:val="22"/>
                <w:lang w:val="ro-RO" w:eastAsia="en-GB"/>
              </w:rPr>
            </w:pPr>
            <w:r w:rsidRPr="00E0488D">
              <w:rPr>
                <w:color w:val="000000"/>
                <w:sz w:val="22"/>
                <w:szCs w:val="22"/>
                <w:lang w:val="ro-RO" w:eastAsia="en-GB"/>
              </w:rPr>
              <w:t>18,4</w:t>
            </w:r>
          </w:p>
        </w:tc>
        <w:tc>
          <w:tcPr>
            <w:tcW w:w="946" w:type="dxa"/>
            <w:tcBorders>
              <w:top w:val="single" w:sz="4" w:space="0" w:color="auto"/>
              <w:left w:val="single" w:sz="4" w:space="0" w:color="auto"/>
              <w:bottom w:val="single" w:sz="4" w:space="0" w:color="auto"/>
              <w:right w:val="single" w:sz="4" w:space="0" w:color="auto"/>
            </w:tcBorders>
            <w:noWrap/>
            <w:vAlign w:val="bottom"/>
            <w:hideMark/>
          </w:tcPr>
          <w:p w:rsidR="00B4550A" w:rsidRPr="00E0488D" w:rsidRDefault="00B4550A" w:rsidP="003C7FC8">
            <w:pPr>
              <w:rPr>
                <w:sz w:val="22"/>
                <w:szCs w:val="22"/>
                <w:lang w:val="ro-RO"/>
              </w:rPr>
            </w:pPr>
          </w:p>
        </w:tc>
      </w:tr>
    </w:tbl>
    <w:p w:rsidR="00B4550A" w:rsidRPr="00E0488D" w:rsidRDefault="00B4550A" w:rsidP="00B4550A">
      <w:pPr>
        <w:pStyle w:val="ListParagraph"/>
        <w:ind w:left="680"/>
        <w:rPr>
          <w:i/>
          <w:lang w:val="ro-RO"/>
        </w:rPr>
      </w:pPr>
      <w:r w:rsidRPr="00E0488D">
        <w:rPr>
          <w:i/>
          <w:lang w:val="ro-RO"/>
        </w:rPr>
        <w:t>Proporția de bunuri transportate pe cale ferată din Modelul de Transport pentru anul 2011 pe tone km (Sursa Eurostat)</w:t>
      </w:r>
    </w:p>
    <w:p w:rsidR="00B4550A" w:rsidRPr="00E0488D" w:rsidRDefault="00B4550A" w:rsidP="002B7E09">
      <w:pPr>
        <w:pStyle w:val="NumberedParas"/>
      </w:pPr>
      <w:r w:rsidRPr="00E0488D">
        <w:t xml:space="preserve">Similar pieței de transport pasageri, piața de transport feroviar de mărfuri s-a restrâns de asemenea datorită declinului multor industrii tradiționale grele, cum ar fi industria de extragere a cărbunelui, de prelucrare a metalelor, care furnizau cea mai mare cerere pe piață. Centralele electrice pe bază de cărbune sunt înlocuite treptat prin surse de energie regenerabilă, precum parcurile eoliene unde România este al 5-lea mare producător din UE. Volumul de mărfuri transportate pe cale ferată a scăzut treptat din 2004 (de la 72m tone  în 2008 la 56m tone în 2012). Acest declin are loc în contextul creșterii transportului rutier de mărfuri- în 2012, transportul rutier de mărfuri a crescut cu 4%, iar transportul feroviar a scăzut cu 4%, iar în 2012 a avut loc o tendință de scădere semnificativă a cotei de piață în km tone de la 28% la 21% în doar un an. </w:t>
      </w:r>
    </w:p>
    <w:p w:rsidR="00B4550A" w:rsidRPr="00E0488D" w:rsidRDefault="00B4550A" w:rsidP="002B7E09">
      <w:pPr>
        <w:pStyle w:val="NumberedParas"/>
      </w:pPr>
      <w:r w:rsidRPr="00E0488D">
        <w:rPr>
          <w:b/>
        </w:rPr>
        <w:t xml:space="preserve">Tariful biletelor de călători: </w:t>
      </w:r>
      <w:r w:rsidRPr="00E0488D">
        <w:t>Un exercițiu de evaluare comparativă indică faptul că tarifele biletelor de tren din România sunt relativ mai mari în comparație cu alte țări, atunci când acestea sunt normalízate pentru a ține cont de puterea de cumpărare comparativă cu alte țări din europene. Acest lucru este deosebit de relevant pentru biletele achiziționate în avans. Tarifele ridicate restrâng posibilitățile de atragere noi călători și reduc beneficiul economic net al sistemului feroviar, după cum indică Figura 3.6.</w:t>
      </w:r>
    </w:p>
    <w:p w:rsidR="00B4550A" w:rsidRPr="00E0488D" w:rsidRDefault="00B4550A" w:rsidP="00B4550A">
      <w:pPr>
        <w:rPr>
          <w:sz w:val="22"/>
          <w:szCs w:val="22"/>
          <w:lang w:val="ro-RO"/>
        </w:rPr>
      </w:pPr>
      <w:r w:rsidRPr="00E0488D">
        <w:rPr>
          <w:lang w:val="ro-RO"/>
        </w:rPr>
        <w:br w:type="page"/>
      </w:r>
    </w:p>
    <w:p w:rsidR="00B4550A" w:rsidRPr="00E0488D" w:rsidRDefault="00B4550A" w:rsidP="00B4550A">
      <w:pPr>
        <w:pStyle w:val="ListParagraph"/>
        <w:spacing w:after="60"/>
        <w:ind w:left="680" w:firstLine="171"/>
        <w:rPr>
          <w:b/>
          <w:lang w:val="ro-RO"/>
        </w:rPr>
      </w:pPr>
      <w:r w:rsidRPr="00E0488D">
        <w:rPr>
          <w:noProof/>
          <w:lang w:val="ro-RO" w:eastAsia="ro-RO"/>
        </w:rPr>
        <w:lastRenderedPageBreak/>
        <w:drawing>
          <wp:inline distT="0" distB="0" distL="0" distR="0" wp14:anchorId="18521A03" wp14:editId="20BC9678">
            <wp:extent cx="5648325" cy="3581400"/>
            <wp:effectExtent l="19050" t="0" r="9525" b="0"/>
            <wp:docPr id="8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648325" cy="3581400"/>
                    </a:xfrm>
                    <a:prstGeom prst="rect">
                      <a:avLst/>
                    </a:prstGeom>
                    <a:noFill/>
                    <a:ln w="9525">
                      <a:noFill/>
                      <a:miter lim="800000"/>
                      <a:headEnd/>
                      <a:tailEnd/>
                    </a:ln>
                  </pic:spPr>
                </pic:pic>
              </a:graphicData>
            </a:graphic>
          </wp:inline>
        </w:drawing>
      </w:r>
    </w:p>
    <w:p w:rsidR="00B4550A" w:rsidRPr="00E0488D" w:rsidRDefault="00B4550A" w:rsidP="00B4550A">
      <w:pPr>
        <w:pStyle w:val="ListParagraph"/>
        <w:spacing w:after="60"/>
        <w:ind w:left="851"/>
        <w:rPr>
          <w:i/>
          <w:sz w:val="18"/>
          <w:szCs w:val="18"/>
          <w:lang w:val="ro-RO"/>
        </w:rPr>
      </w:pPr>
      <w:r w:rsidRPr="00E0488D">
        <w:rPr>
          <w:i/>
          <w:sz w:val="18"/>
          <w:szCs w:val="18"/>
          <w:lang w:val="ro-RO"/>
        </w:rPr>
        <w:t xml:space="preserve">Sursa: analiza AECOM a unei selecții de tarife pentru o călătorie de 100km. Tarifele sunt ajustate pentru a ține cont de diferențele PIB. </w:t>
      </w:r>
    </w:p>
    <w:p w:rsidR="00B4550A" w:rsidRPr="00E0488D" w:rsidRDefault="00B4550A" w:rsidP="00B4550A">
      <w:pPr>
        <w:pStyle w:val="ListParagraph"/>
        <w:spacing w:before="120" w:after="120"/>
        <w:ind w:left="851"/>
        <w:rPr>
          <w:b/>
          <w:lang w:val="ro-RO"/>
        </w:rPr>
      </w:pPr>
      <w:r w:rsidRPr="00E0488D">
        <w:rPr>
          <w:b/>
          <w:lang w:val="ro-RO"/>
        </w:rPr>
        <w:t xml:space="preserve">Figura 3.6: Comparație între tarifele din România și alte tarife din anumite țări din UE  </w:t>
      </w:r>
    </w:p>
    <w:p w:rsidR="00B4550A" w:rsidRPr="00E0488D" w:rsidRDefault="00B4550A" w:rsidP="002B7E09">
      <w:pPr>
        <w:pStyle w:val="NumberedParas"/>
      </w:pPr>
      <w:r w:rsidRPr="00E0488D">
        <w:rPr>
          <w:b/>
        </w:rPr>
        <w:t xml:space="preserve">Taxa de utilizare infrastructură: </w:t>
      </w:r>
      <w:r w:rsidRPr="00E0488D">
        <w:t xml:space="preserve">În conformitate cu legislația UE, MTI administrează o taxă de acces pe infrastructură non discriminatorie pentru serviciile de transport călători și mărfuri. Baza de taxare, indiferent de transportul de călători sau mărfuri, este o combinație între tonaj tren, categoria liniei (în esență viteza pe linie) și dacă linia este sau nu electrificată. Figura 3.7 de mai jos demonstrează faptul că România are unele dintre cele mai mari taxe de acces pe infrastructură din UE. </w:t>
      </w:r>
    </w:p>
    <w:p w:rsidR="00B4550A" w:rsidRPr="00E0488D" w:rsidRDefault="00B4550A" w:rsidP="002B7E09">
      <w:pPr>
        <w:pStyle w:val="NumberedParas"/>
        <w:numPr>
          <w:ilvl w:val="0"/>
          <w:numId w:val="0"/>
        </w:numPr>
        <w:ind w:left="851"/>
      </w:pPr>
      <w:r w:rsidRPr="00E0488D">
        <w:object w:dxaOrig="11534" w:dyaOrig="8506">
          <v:shape id="_x0000_i1032" type="#_x0000_t75" style="width:316.5pt;height:211.5pt" o:ole="">
            <v:imagedata r:id="rId87" o:title="" croptop="5268f"/>
          </v:shape>
          <o:OLEObject Type="Embed" ProgID="PBrush" ShapeID="_x0000_i1032" DrawAspect="Content" ObjectID="_1491205392" r:id="rId88"/>
        </w:object>
      </w:r>
    </w:p>
    <w:p w:rsidR="00B4550A" w:rsidRPr="00E0488D" w:rsidRDefault="00B4550A" w:rsidP="002B7E09">
      <w:pPr>
        <w:pStyle w:val="NumberedParas"/>
        <w:numPr>
          <w:ilvl w:val="0"/>
          <w:numId w:val="0"/>
        </w:numPr>
        <w:ind w:left="851"/>
      </w:pPr>
      <w:r w:rsidRPr="00E0488D">
        <w:t xml:space="preserve">Figura 3.7 Taxele de acces pentru trenurile obișnuite de marfă </w:t>
      </w:r>
    </w:p>
    <w:p w:rsidR="00B4550A" w:rsidRPr="00E0488D" w:rsidRDefault="00B4550A" w:rsidP="002B7E09">
      <w:pPr>
        <w:pStyle w:val="NumberedParas"/>
      </w:pPr>
      <w:r w:rsidRPr="00E0488D">
        <w:rPr>
          <w:b/>
        </w:rPr>
        <w:t>Vitezele de rulare pentru operațiunile de transport călători:</w:t>
      </w:r>
      <w:r w:rsidRPr="00E0488D">
        <w:t xml:space="preserve"> S-a realizat o comparație între vitezele de transport călători selectate din România și celelalte țări din Europa, după cum este </w:t>
      </w:r>
      <w:r w:rsidRPr="00E0488D">
        <w:lastRenderedPageBreak/>
        <w:t xml:space="preserve">prezentat în Figura 3.8. Spre exemplu, viteza medie din România este de aproximativ 65-70 km/h, iar în comparație cu UK și Germania vitezele de transport călători din România sunt de două ori mai mici față de țările menționate. Mai mult decât atât intervalele de timp din România sunt cu 40% mai mici față de Ungaria și Polonia. Relieful din România este un factor parțial pentru anumite călătorii, spre exemplu, terenul deluros dintre București și Cluj, dar sunt și alți factori contribuabili care includ opririle numeroase, timpii lungi de staționare și alti factori tehnici. </w:t>
      </w:r>
    </w:p>
    <w:p w:rsidR="00B4550A" w:rsidRPr="00E0488D" w:rsidRDefault="00B4550A" w:rsidP="002B7E09">
      <w:pPr>
        <w:pStyle w:val="NumberedParas"/>
        <w:numPr>
          <w:ilvl w:val="0"/>
          <w:numId w:val="0"/>
        </w:numPr>
        <w:ind w:left="851"/>
      </w:pPr>
    </w:p>
    <w:p w:rsidR="00B4550A" w:rsidRPr="00E0488D" w:rsidRDefault="00B4550A" w:rsidP="00B4550A">
      <w:pPr>
        <w:pStyle w:val="ListParagraph"/>
        <w:spacing w:after="60"/>
        <w:ind w:left="680" w:firstLine="171"/>
        <w:rPr>
          <w:b/>
          <w:lang w:val="ro-RO"/>
        </w:rPr>
      </w:pPr>
      <w:r w:rsidRPr="00E0488D">
        <w:rPr>
          <w:noProof/>
          <w:lang w:val="ro-RO" w:eastAsia="ro-RO"/>
        </w:rPr>
        <w:drawing>
          <wp:inline distT="0" distB="0" distL="0" distR="0" wp14:anchorId="7DE547F7" wp14:editId="6006CEC8">
            <wp:extent cx="5353050" cy="3505200"/>
            <wp:effectExtent l="19050" t="0" r="0" b="0"/>
            <wp:docPr id="8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353050" cy="3505200"/>
                    </a:xfrm>
                    <a:prstGeom prst="rect">
                      <a:avLst/>
                    </a:prstGeom>
                    <a:noFill/>
                    <a:ln w="9525">
                      <a:noFill/>
                      <a:miter lim="800000"/>
                      <a:headEnd/>
                      <a:tailEnd/>
                    </a:ln>
                  </pic:spPr>
                </pic:pic>
              </a:graphicData>
            </a:graphic>
          </wp:inline>
        </w:drawing>
      </w:r>
    </w:p>
    <w:p w:rsidR="00B4550A" w:rsidRPr="00E0488D" w:rsidRDefault="00B4550A" w:rsidP="00B4550A">
      <w:pPr>
        <w:pStyle w:val="ListParagraph"/>
        <w:spacing w:after="60"/>
        <w:ind w:left="851"/>
        <w:rPr>
          <w:i/>
          <w:sz w:val="18"/>
          <w:szCs w:val="18"/>
          <w:lang w:val="ro-RO"/>
        </w:rPr>
      </w:pPr>
      <w:r w:rsidRPr="00E0488D">
        <w:rPr>
          <w:i/>
          <w:sz w:val="18"/>
          <w:szCs w:val="18"/>
          <w:lang w:val="ro-RO"/>
        </w:rPr>
        <w:t xml:space="preserve">Sursa:analiza AECOM privind graficul de mers  CFR Calatori și datele de pe website-ul DB </w:t>
      </w:r>
    </w:p>
    <w:p w:rsidR="00B4550A" w:rsidRPr="00E0488D" w:rsidRDefault="00B4550A" w:rsidP="00B4550A">
      <w:pPr>
        <w:pStyle w:val="ListParagraph"/>
        <w:spacing w:after="60"/>
        <w:ind w:left="851"/>
        <w:rPr>
          <w:b/>
          <w:lang w:val="ro-RO"/>
        </w:rPr>
      </w:pPr>
      <w:r w:rsidRPr="00E0488D">
        <w:rPr>
          <w:b/>
          <w:lang w:val="ro-RO"/>
        </w:rPr>
        <w:t>Figura 3.8 Comparație între timpii de parcurs pe cale ferată – România versus alte țări din Europa  (km/h)</w:t>
      </w:r>
    </w:p>
    <w:p w:rsidR="00B4550A" w:rsidRPr="00E0488D" w:rsidRDefault="00B4550A" w:rsidP="002B7E09">
      <w:pPr>
        <w:pStyle w:val="NumberedParas"/>
        <w:numPr>
          <w:ilvl w:val="0"/>
          <w:numId w:val="0"/>
        </w:numPr>
        <w:ind w:left="851"/>
      </w:pPr>
    </w:p>
    <w:p w:rsidR="00B4550A" w:rsidRPr="00E0488D" w:rsidRDefault="00B4550A" w:rsidP="002B7E09">
      <w:pPr>
        <w:pStyle w:val="NumberedParas"/>
      </w:pPr>
      <w:r w:rsidRPr="00E0488D">
        <w:rPr>
          <w:b/>
        </w:rPr>
        <w:t xml:space="preserve">Siguranța transportului feroviar: </w:t>
      </w:r>
      <w:r w:rsidRPr="00E0488D">
        <w:t>Numărul</w:t>
      </w:r>
      <w:r w:rsidRPr="00E0488D">
        <w:rPr>
          <w:b/>
        </w:rPr>
        <w:t xml:space="preserve"> </w:t>
      </w:r>
      <w:r w:rsidRPr="00E0488D">
        <w:t>de decese care implică pasageri sau angajați feroviari este relativ mic dacă ne exprimăm la numărul de decese per un miliard de kilometrii pasageri, dar există totuși un număr mare de decese în cazul sinuciderilor sau alte incidente care au loc la trecerile la nivel cu cale ferată. S-au înregistrat 79 de decese aferente (toate accidentele s-au produs pe proprietatea căii ferate) la un miliard de kilometrii tren în perioada 2007-2011. Acest lucru este de aproape patru ori mai mare decât media UE și plasează țara pe locul 4 în ceea ce privește rata globală, după cum rezultă din Figura 3.9.</w:t>
      </w:r>
    </w:p>
    <w:p w:rsidR="00B4550A" w:rsidRPr="00E0488D" w:rsidRDefault="00B4550A" w:rsidP="002B7E09">
      <w:pPr>
        <w:pStyle w:val="NumberedParas"/>
        <w:numPr>
          <w:ilvl w:val="0"/>
          <w:numId w:val="0"/>
        </w:numPr>
        <w:ind w:left="851"/>
      </w:pPr>
    </w:p>
    <w:p w:rsidR="00B4550A" w:rsidRPr="00E0488D" w:rsidRDefault="00B4550A" w:rsidP="00B4550A">
      <w:pPr>
        <w:spacing w:after="60"/>
        <w:ind w:firstLine="851"/>
        <w:rPr>
          <w:b/>
          <w:lang w:val="ro-RO"/>
        </w:rPr>
      </w:pPr>
      <w:r w:rsidRPr="00E0488D">
        <w:rPr>
          <w:b/>
          <w:noProof/>
          <w:lang w:val="ro-RO" w:eastAsia="ro-RO"/>
        </w:rPr>
        <w:lastRenderedPageBreak/>
        <w:drawing>
          <wp:inline distT="0" distB="0" distL="0" distR="0" wp14:anchorId="0037B8D5" wp14:editId="74BA859D">
            <wp:extent cx="5476875" cy="3209925"/>
            <wp:effectExtent l="19050" t="0" r="9525" b="0"/>
            <wp:docPr id="829" name="Picture 2" descr="safet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ty diagram"/>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476875" cy="3209925"/>
                    </a:xfrm>
                    <a:prstGeom prst="rect">
                      <a:avLst/>
                    </a:prstGeom>
                    <a:noFill/>
                    <a:ln w="9525">
                      <a:noFill/>
                      <a:miter lim="800000"/>
                      <a:headEnd/>
                      <a:tailEnd/>
                    </a:ln>
                  </pic:spPr>
                </pic:pic>
              </a:graphicData>
            </a:graphic>
          </wp:inline>
        </w:drawing>
      </w:r>
    </w:p>
    <w:p w:rsidR="00B4550A" w:rsidRPr="00E0488D" w:rsidRDefault="00B4550A" w:rsidP="002B7E09">
      <w:pPr>
        <w:pStyle w:val="NumberedParas"/>
      </w:pPr>
      <w:r w:rsidRPr="00E0488D">
        <w:t>Sursa: Informații de la Uniunea Europeană, oferite de publicația Guardian, 13 Mai 2013</w:t>
      </w:r>
    </w:p>
    <w:p w:rsidR="00B4550A" w:rsidRPr="00E0488D" w:rsidRDefault="00B4550A" w:rsidP="00B4550A">
      <w:pPr>
        <w:spacing w:after="60"/>
        <w:ind w:left="851"/>
        <w:rPr>
          <w:b/>
          <w:sz w:val="22"/>
          <w:szCs w:val="22"/>
          <w:lang w:val="ro-RO"/>
        </w:rPr>
      </w:pPr>
      <w:r w:rsidRPr="00E0488D">
        <w:rPr>
          <w:rFonts w:cs="Arial"/>
          <w:b/>
          <w:sz w:val="22"/>
          <w:szCs w:val="22"/>
          <w:lang w:val="ro-RO"/>
        </w:rPr>
        <w:t>Figura 3.9: Comparație privind numărul de decese (per miliard de kilometrii tren)</w:t>
      </w:r>
    </w:p>
    <w:p w:rsidR="00B4550A" w:rsidRPr="00E0488D" w:rsidRDefault="00B4550A" w:rsidP="00B4550A">
      <w:pPr>
        <w:rPr>
          <w:lang w:val="ro-RO"/>
        </w:rPr>
      </w:pPr>
    </w:p>
    <w:p w:rsidR="00B4550A" w:rsidRPr="00E0488D" w:rsidRDefault="00B4550A" w:rsidP="00BD59B2">
      <w:pPr>
        <w:pStyle w:val="Hdg2"/>
      </w:pPr>
      <w:bookmarkStart w:id="61" w:name="_Toc396234278"/>
      <w:bookmarkStart w:id="62" w:name="_Toc398292054"/>
      <w:bookmarkStart w:id="63" w:name="_Toc413060307"/>
      <w:r w:rsidRPr="00E0488D">
        <w:t>Tendințe în contextul european</w:t>
      </w:r>
      <w:bookmarkEnd w:id="61"/>
      <w:r w:rsidRPr="00E0488D">
        <w:t xml:space="preserve"> în porturi și căi navigabile</w:t>
      </w:r>
      <w:bookmarkEnd w:id="62"/>
      <w:bookmarkEnd w:id="63"/>
      <w:r w:rsidRPr="00E0488D">
        <w:t xml:space="preserve"> </w:t>
      </w:r>
    </w:p>
    <w:p w:rsidR="00B4550A" w:rsidRPr="00E0488D" w:rsidRDefault="00B4550A" w:rsidP="002B7E09">
      <w:pPr>
        <w:pStyle w:val="NumberedParas"/>
        <w:rPr>
          <w:rFonts w:cs="Arial"/>
        </w:rPr>
      </w:pPr>
      <w:r w:rsidRPr="00E0488D">
        <w:t>Proporția de mărfuri totale transferate pe căile navigabile în România ocupă locul doi din UE. Acest lucru se datorează poziției pe care o ocupă România față de Dunăre. Cu toate acestea, România nu se poate compara cu Olanda, care are o poziție similară față de fluviul Rin, iar diferența cheie între aceste țări este lipsa facilităților moderne din România. Marea majoritatea a mărfurilor transportate pe apă în România sunt mărfurile vrac. Pe Dunăre se desfășoară 3 tipuri de trafic, intern, de transit și import/export.</w:t>
      </w:r>
    </w:p>
    <w:p w:rsidR="00B4550A" w:rsidRPr="00E0488D" w:rsidRDefault="00B4550A" w:rsidP="00B4550A">
      <w:pPr>
        <w:ind w:left="851"/>
        <w:contextualSpacing/>
        <w:rPr>
          <w:b/>
          <w:sz w:val="22"/>
          <w:szCs w:val="22"/>
          <w:lang w:val="ro-RO"/>
        </w:rPr>
      </w:pPr>
      <w:r w:rsidRPr="00E0488D">
        <w:rPr>
          <w:b/>
          <w:sz w:val="22"/>
          <w:szCs w:val="22"/>
          <w:lang w:val="ro-RO" w:eastAsia="en-GB"/>
        </w:rPr>
        <w:t>Tabel 3.8 Procentul de mărfuri totale transportate pe apă, în</w:t>
      </w:r>
      <w:r w:rsidRPr="00E0488D">
        <w:rPr>
          <w:b/>
          <w:sz w:val="22"/>
          <w:szCs w:val="22"/>
          <w:lang w:val="ro-RO"/>
        </w:rPr>
        <w:t xml:space="preserve"> tone-km 2011</w:t>
      </w:r>
    </w:p>
    <w:p w:rsidR="00B4550A" w:rsidRPr="00E0488D" w:rsidRDefault="00B4550A" w:rsidP="00B4550A">
      <w:pPr>
        <w:contextualSpacing/>
        <w:rPr>
          <w:lang w:val="ro-RO"/>
        </w:rPr>
      </w:pPr>
    </w:p>
    <w:tbl>
      <w:tblPr>
        <w:tblW w:w="501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8"/>
        <w:gridCol w:w="1626"/>
        <w:gridCol w:w="1626"/>
      </w:tblGrid>
      <w:tr w:rsidR="00B4550A" w:rsidRPr="00E0488D" w:rsidTr="003C7FC8">
        <w:trPr>
          <w:trHeight w:val="305"/>
        </w:trPr>
        <w:tc>
          <w:tcPr>
            <w:tcW w:w="1758" w:type="dxa"/>
            <w:shd w:val="clear" w:color="auto" w:fill="B8CCE4" w:themeFill="accent1" w:themeFillTint="66"/>
            <w:noWrap/>
            <w:vAlign w:val="bottom"/>
            <w:hideMark/>
          </w:tcPr>
          <w:p w:rsidR="00B4550A" w:rsidRPr="00E0488D" w:rsidRDefault="00B4550A" w:rsidP="003C7FC8">
            <w:pPr>
              <w:jc w:val="center"/>
              <w:rPr>
                <w:rFonts w:cs="Arial"/>
                <w:b/>
                <w:color w:val="000000"/>
                <w:sz w:val="22"/>
                <w:szCs w:val="22"/>
                <w:lang w:val="ro-RO" w:eastAsia="en-GB"/>
              </w:rPr>
            </w:pPr>
            <w:r w:rsidRPr="00E0488D">
              <w:rPr>
                <w:rFonts w:cs="Arial"/>
                <w:b/>
                <w:color w:val="000000"/>
                <w:sz w:val="22"/>
                <w:szCs w:val="22"/>
                <w:lang w:val="ro-RO" w:eastAsia="en-GB"/>
              </w:rPr>
              <w:t>Țară</w:t>
            </w:r>
          </w:p>
        </w:tc>
        <w:tc>
          <w:tcPr>
            <w:tcW w:w="1626" w:type="dxa"/>
            <w:shd w:val="clear" w:color="auto" w:fill="B8CCE4" w:themeFill="accent1" w:themeFillTint="66"/>
            <w:noWrap/>
            <w:vAlign w:val="bottom"/>
            <w:hideMark/>
          </w:tcPr>
          <w:p w:rsidR="00B4550A" w:rsidRPr="00E0488D" w:rsidRDefault="00B4550A" w:rsidP="003C7FC8">
            <w:pPr>
              <w:jc w:val="center"/>
              <w:rPr>
                <w:rFonts w:cs="Arial"/>
                <w:b/>
                <w:color w:val="000000"/>
                <w:sz w:val="22"/>
                <w:szCs w:val="22"/>
                <w:lang w:val="ro-RO" w:eastAsia="en-GB"/>
              </w:rPr>
            </w:pPr>
            <w:r w:rsidRPr="00E0488D">
              <w:rPr>
                <w:rFonts w:cs="Arial"/>
                <w:b/>
                <w:color w:val="000000"/>
                <w:sz w:val="22"/>
                <w:szCs w:val="22"/>
                <w:lang w:val="ro-RO" w:eastAsia="en-GB"/>
              </w:rPr>
              <w:t>%</w:t>
            </w:r>
          </w:p>
        </w:tc>
        <w:tc>
          <w:tcPr>
            <w:tcW w:w="1626" w:type="dxa"/>
            <w:shd w:val="clear" w:color="auto" w:fill="B8CCE4" w:themeFill="accent1" w:themeFillTint="66"/>
            <w:noWrap/>
            <w:vAlign w:val="bottom"/>
            <w:hideMark/>
          </w:tcPr>
          <w:p w:rsidR="00B4550A" w:rsidRPr="00E0488D" w:rsidRDefault="00B4550A" w:rsidP="003C7FC8">
            <w:pPr>
              <w:jc w:val="center"/>
              <w:rPr>
                <w:rFonts w:cs="Arial"/>
                <w:b/>
                <w:color w:val="000000"/>
                <w:sz w:val="22"/>
                <w:szCs w:val="22"/>
                <w:lang w:val="ro-RO" w:eastAsia="en-GB"/>
              </w:rPr>
            </w:pPr>
            <w:r w:rsidRPr="00E0488D">
              <w:rPr>
                <w:rFonts w:cs="Arial"/>
                <w:b/>
                <w:color w:val="000000"/>
                <w:sz w:val="22"/>
                <w:szCs w:val="22"/>
                <w:lang w:val="ro-RO" w:eastAsia="en-GB"/>
              </w:rPr>
              <w:t>Clasament</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Olanda</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36,7</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1</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România</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21,7</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2</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Belgia</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18,5</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3</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Bulgaria</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15</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4</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Germania</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11,2</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5</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Croatia</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5,7</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6</w:t>
            </w:r>
          </w:p>
        </w:tc>
      </w:tr>
      <w:tr w:rsidR="00B4550A" w:rsidRPr="00E0488D" w:rsidTr="003C7FC8">
        <w:trPr>
          <w:trHeight w:val="305"/>
        </w:trPr>
        <w:tc>
          <w:tcPr>
            <w:tcW w:w="1758"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UE27</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r w:rsidRPr="00E0488D">
              <w:rPr>
                <w:rFonts w:cs="Arial"/>
                <w:color w:val="000000"/>
                <w:sz w:val="22"/>
                <w:szCs w:val="22"/>
                <w:lang w:val="ro-RO" w:eastAsia="en-GB"/>
              </w:rPr>
              <w:t>6,2</w:t>
            </w:r>
          </w:p>
        </w:tc>
        <w:tc>
          <w:tcPr>
            <w:tcW w:w="1626" w:type="dxa"/>
            <w:shd w:val="clear" w:color="auto" w:fill="auto"/>
            <w:noWrap/>
            <w:vAlign w:val="bottom"/>
            <w:hideMark/>
          </w:tcPr>
          <w:p w:rsidR="00B4550A" w:rsidRPr="00E0488D" w:rsidRDefault="00B4550A" w:rsidP="003C7FC8">
            <w:pPr>
              <w:jc w:val="center"/>
              <w:rPr>
                <w:rFonts w:cs="Arial"/>
                <w:color w:val="000000"/>
                <w:sz w:val="22"/>
                <w:szCs w:val="22"/>
                <w:lang w:val="ro-RO" w:eastAsia="en-GB"/>
              </w:rPr>
            </w:pPr>
          </w:p>
        </w:tc>
      </w:tr>
    </w:tbl>
    <w:p w:rsidR="00B4550A" w:rsidRPr="00E0488D" w:rsidRDefault="00B4550A" w:rsidP="00B4550A">
      <w:pPr>
        <w:ind w:left="851"/>
        <w:rPr>
          <w:i/>
          <w:lang w:val="ro-RO"/>
        </w:rPr>
      </w:pPr>
      <w:r w:rsidRPr="00E0488D">
        <w:rPr>
          <w:i/>
          <w:lang w:val="ro-RO"/>
        </w:rPr>
        <w:t>Sursa: Eurostat</w:t>
      </w:r>
    </w:p>
    <w:p w:rsidR="00B4550A" w:rsidRPr="00E0488D" w:rsidRDefault="00B4550A" w:rsidP="002B7E09">
      <w:pPr>
        <w:pStyle w:val="NumberedParas"/>
      </w:pPr>
      <w:r w:rsidRPr="00E0488D">
        <w:rPr>
          <w:b/>
        </w:rPr>
        <w:t xml:space="preserve">Conformitatea cu standardele internaționale privind nivelul de pescaj: </w:t>
      </w:r>
      <w:r w:rsidRPr="00E0488D">
        <w:t>ONU definește Dunărea o cale navigabilă internațională, iar nivelul de pescaj necesar pentru un astfel de statut este de 2,5m, deși preferabil ar fi 2,8m. Anumite secțiuni ale Dunării au nivel de pescaj mai mic de 2,5m, iar navigația a fost foarte deficilă pe Dunărea de Jos, mai mult de 38 de zile în perioada Septembrie-Octombrie 2011 datorită nivelurilor insuficiente de pescaj.</w:t>
      </w:r>
    </w:p>
    <w:p w:rsidR="00B4550A" w:rsidRPr="00E0488D" w:rsidRDefault="00B4550A" w:rsidP="002B7E09">
      <w:pPr>
        <w:pStyle w:val="NumberedParas"/>
        <w:rPr>
          <w:lang w:eastAsia="en-GB"/>
        </w:rPr>
      </w:pPr>
      <w:r w:rsidRPr="00E0488D">
        <w:rPr>
          <w:lang w:eastAsia="en-GB"/>
        </w:rPr>
        <w:t xml:space="preserve">Un convoi cuprinde fie o navă cu motor (o navă cu propria încărcătură) sau un împingător și două sau mai multe barje cuplate rigid la cargobot sau împingător.  </w:t>
      </w:r>
    </w:p>
    <w:p w:rsidR="00B4550A" w:rsidRPr="00E0488D" w:rsidRDefault="00B4550A" w:rsidP="00B4550A">
      <w:pPr>
        <w:pStyle w:val="ListParagraph"/>
        <w:ind w:left="851"/>
        <w:rPr>
          <w:b/>
          <w:sz w:val="22"/>
          <w:szCs w:val="22"/>
          <w:lang w:val="ro-RO" w:eastAsia="en-GB"/>
        </w:rPr>
      </w:pPr>
      <w:r w:rsidRPr="00E0488D">
        <w:rPr>
          <w:b/>
          <w:sz w:val="22"/>
          <w:szCs w:val="22"/>
          <w:lang w:val="ro-RO" w:eastAsia="en-GB"/>
        </w:rPr>
        <w:lastRenderedPageBreak/>
        <w:t xml:space="preserve">Tabel 3.9 Comparație privind operațiunile de barje între Dunăre și Rin </w:t>
      </w:r>
    </w:p>
    <w:p w:rsidR="00B4550A" w:rsidRPr="00E0488D" w:rsidRDefault="00B4550A" w:rsidP="00B4550A">
      <w:pPr>
        <w:rPr>
          <w:lang w:val="ro-RO" w:eastAsia="en-GB"/>
        </w:rPr>
      </w:pPr>
    </w:p>
    <w:tbl>
      <w:tblPr>
        <w:tblW w:w="0" w:type="auto"/>
        <w:tblCellSpacing w:w="1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73"/>
        <w:gridCol w:w="802"/>
        <w:gridCol w:w="875"/>
        <w:gridCol w:w="4625"/>
      </w:tblGrid>
      <w:tr w:rsidR="00B4550A" w:rsidRPr="00E0488D" w:rsidTr="003C7FC8">
        <w:trPr>
          <w:tblCellSpacing w:w="15" w:type="dxa"/>
        </w:trPr>
        <w:tc>
          <w:tcPr>
            <w:tcW w:w="0" w:type="auto"/>
            <w:gridSpan w:val="4"/>
            <w:shd w:val="clear" w:color="auto" w:fill="63C1DF"/>
            <w:hideMark/>
          </w:tcPr>
          <w:p w:rsidR="00B4550A" w:rsidRPr="00E0488D" w:rsidRDefault="00B4550A" w:rsidP="003C7FC8">
            <w:pPr>
              <w:spacing w:before="45" w:after="150"/>
              <w:rPr>
                <w:sz w:val="22"/>
                <w:szCs w:val="22"/>
                <w:lang w:val="ro-RO" w:eastAsia="en-GB"/>
              </w:rPr>
            </w:pPr>
            <w:r w:rsidRPr="00E0488D">
              <w:rPr>
                <w:b/>
                <w:bCs/>
                <w:sz w:val="22"/>
                <w:szCs w:val="22"/>
                <w:lang w:val="ro-RO" w:eastAsia="en-GB"/>
              </w:rPr>
              <w:t>Convoi împins cu patru barje</w:t>
            </w:r>
          </w:p>
        </w:tc>
      </w:tr>
      <w:tr w:rsidR="00B4550A" w:rsidRPr="00E0488D" w:rsidTr="003C7FC8">
        <w:trPr>
          <w:tblCellSpacing w:w="15" w:type="dxa"/>
        </w:trPr>
        <w:tc>
          <w:tcPr>
            <w:tcW w:w="0" w:type="auto"/>
            <w:hideMark/>
          </w:tcPr>
          <w:p w:rsidR="00B4550A" w:rsidRPr="00E0488D" w:rsidRDefault="00B4550A" w:rsidP="003C7FC8">
            <w:pPr>
              <w:rPr>
                <w:sz w:val="22"/>
                <w:szCs w:val="22"/>
                <w:lang w:val="ro-RO" w:eastAsia="en-GB"/>
              </w:rPr>
            </w:pPr>
          </w:p>
        </w:tc>
        <w:tc>
          <w:tcPr>
            <w:tcW w:w="0" w:type="auto"/>
            <w:hideMark/>
          </w:tcPr>
          <w:p w:rsidR="00B4550A" w:rsidRPr="00E0488D" w:rsidRDefault="00B4550A" w:rsidP="003C7FC8">
            <w:pPr>
              <w:spacing w:before="45" w:after="150"/>
              <w:rPr>
                <w:sz w:val="22"/>
                <w:szCs w:val="22"/>
                <w:lang w:val="ro-RO" w:eastAsia="en-GB"/>
              </w:rPr>
            </w:pPr>
            <w:r w:rsidRPr="00E0488D">
              <w:rPr>
                <w:i/>
                <w:iCs/>
                <w:sz w:val="22"/>
                <w:szCs w:val="22"/>
                <w:lang w:val="ro-RO" w:eastAsia="en-GB"/>
              </w:rPr>
              <w:t>Dunăre</w:t>
            </w:r>
          </w:p>
        </w:tc>
        <w:tc>
          <w:tcPr>
            <w:tcW w:w="0" w:type="auto"/>
            <w:hideMark/>
          </w:tcPr>
          <w:p w:rsidR="00B4550A" w:rsidRPr="00E0488D" w:rsidRDefault="00B4550A" w:rsidP="003C7FC8">
            <w:pPr>
              <w:spacing w:before="45" w:after="150"/>
              <w:rPr>
                <w:sz w:val="22"/>
                <w:szCs w:val="22"/>
                <w:lang w:val="ro-RO" w:eastAsia="en-GB"/>
              </w:rPr>
            </w:pPr>
            <w:r w:rsidRPr="00E0488D">
              <w:rPr>
                <w:i/>
                <w:iCs/>
                <w:sz w:val="22"/>
                <w:szCs w:val="22"/>
                <w:lang w:val="ro-RO" w:eastAsia="en-GB"/>
              </w:rPr>
              <w:t>Rin</w:t>
            </w:r>
          </w:p>
        </w:tc>
        <w:tc>
          <w:tcPr>
            <w:tcW w:w="0" w:type="auto"/>
            <w:vMerge w:val="restart"/>
            <w:hideMark/>
          </w:tcPr>
          <w:p w:rsidR="00B4550A" w:rsidRPr="00E0488D" w:rsidRDefault="00B4550A" w:rsidP="003C7FC8">
            <w:pPr>
              <w:spacing w:before="45" w:after="150"/>
              <w:rPr>
                <w:sz w:val="22"/>
                <w:szCs w:val="22"/>
                <w:lang w:val="ro-RO" w:eastAsia="en-GB"/>
              </w:rPr>
            </w:pPr>
            <w:r w:rsidRPr="00E0488D">
              <w:rPr>
                <w:noProof/>
                <w:sz w:val="22"/>
                <w:szCs w:val="22"/>
                <w:lang w:val="ro-RO" w:eastAsia="ro-RO"/>
              </w:rPr>
              <w:drawing>
                <wp:inline distT="0" distB="0" distL="0" distR="0" wp14:anchorId="32A4C7C1" wp14:editId="769018BE">
                  <wp:extent cx="2857500" cy="942975"/>
                  <wp:effectExtent l="19050" t="0" r="0" b="0"/>
                  <wp:docPr id="830" name="Picture 1" descr="http://www.donauschifffahrt.info/uploads/RTEmagicC_schubverband_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nauschifffahrt.info/uploads/RTEmagicC_schubverband_2.JPG.jpg"/>
                          <pic:cNvPicPr>
                            <a:picLocks noChangeAspect="1" noChangeArrowheads="1"/>
                          </pic:cNvPicPr>
                        </pic:nvPicPr>
                        <pic:blipFill>
                          <a:blip r:embed="rId91" cstate="print"/>
                          <a:srcRect/>
                          <a:stretch>
                            <a:fillRect/>
                          </a:stretch>
                        </pic:blipFill>
                        <pic:spPr bwMode="auto">
                          <a:xfrm>
                            <a:off x="0" y="0"/>
                            <a:ext cx="2857500" cy="942975"/>
                          </a:xfrm>
                          <a:prstGeom prst="rect">
                            <a:avLst/>
                          </a:prstGeom>
                          <a:noFill/>
                          <a:ln w="9525">
                            <a:noFill/>
                            <a:miter lim="800000"/>
                            <a:headEnd/>
                            <a:tailEnd/>
                          </a:ln>
                        </pic:spPr>
                      </pic:pic>
                    </a:graphicData>
                  </a:graphic>
                </wp:inline>
              </w:drawing>
            </w:r>
          </w:p>
        </w:tc>
      </w:tr>
      <w:tr w:rsidR="00B4550A" w:rsidRPr="00E0488D" w:rsidTr="003C7FC8">
        <w:trPr>
          <w:tblCellSpacing w:w="15" w:type="dxa"/>
        </w:trPr>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Lungime</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193 m</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193 m</w:t>
            </w:r>
          </w:p>
        </w:tc>
        <w:tc>
          <w:tcPr>
            <w:tcW w:w="0" w:type="auto"/>
            <w:vMerge/>
            <w:vAlign w:val="center"/>
            <w:hideMark/>
          </w:tcPr>
          <w:p w:rsidR="00B4550A" w:rsidRPr="00E0488D" w:rsidRDefault="00B4550A" w:rsidP="003C7FC8">
            <w:pPr>
              <w:rPr>
                <w:sz w:val="22"/>
                <w:szCs w:val="22"/>
                <w:lang w:val="ro-RO" w:eastAsia="en-GB"/>
              </w:rPr>
            </w:pPr>
          </w:p>
        </w:tc>
      </w:tr>
      <w:tr w:rsidR="00B4550A" w:rsidRPr="00E0488D" w:rsidTr="003C7FC8">
        <w:trPr>
          <w:tblCellSpacing w:w="15" w:type="dxa"/>
        </w:trPr>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Lățime</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22 m</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22,80 m</w:t>
            </w:r>
          </w:p>
        </w:tc>
        <w:tc>
          <w:tcPr>
            <w:tcW w:w="0" w:type="auto"/>
            <w:vMerge/>
            <w:vAlign w:val="center"/>
            <w:hideMark/>
          </w:tcPr>
          <w:p w:rsidR="00B4550A" w:rsidRPr="00E0488D" w:rsidRDefault="00B4550A" w:rsidP="003C7FC8">
            <w:pPr>
              <w:rPr>
                <w:sz w:val="22"/>
                <w:szCs w:val="22"/>
                <w:lang w:val="ro-RO" w:eastAsia="en-GB"/>
              </w:rPr>
            </w:pPr>
          </w:p>
        </w:tc>
      </w:tr>
      <w:tr w:rsidR="00B4550A" w:rsidRPr="00E0488D" w:rsidTr="003C7FC8">
        <w:trPr>
          <w:tblCellSpacing w:w="15" w:type="dxa"/>
        </w:trPr>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Nivel pescaj</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2.70 m</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3,70 m</w:t>
            </w:r>
          </w:p>
        </w:tc>
        <w:tc>
          <w:tcPr>
            <w:tcW w:w="0" w:type="auto"/>
            <w:vMerge/>
            <w:vAlign w:val="center"/>
            <w:hideMark/>
          </w:tcPr>
          <w:p w:rsidR="00B4550A" w:rsidRPr="00E0488D" w:rsidRDefault="00B4550A" w:rsidP="003C7FC8">
            <w:pPr>
              <w:rPr>
                <w:sz w:val="22"/>
                <w:szCs w:val="22"/>
                <w:lang w:val="ro-RO" w:eastAsia="en-GB"/>
              </w:rPr>
            </w:pPr>
          </w:p>
        </w:tc>
      </w:tr>
      <w:tr w:rsidR="00B4550A" w:rsidRPr="00E0488D" w:rsidTr="003C7FC8">
        <w:trPr>
          <w:tblCellSpacing w:w="15" w:type="dxa"/>
        </w:trPr>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Sarcină maximă</w:t>
            </w:r>
          </w:p>
          <w:p w:rsidR="00B4550A" w:rsidRPr="00E0488D" w:rsidRDefault="00B4550A" w:rsidP="003C7FC8">
            <w:pPr>
              <w:spacing w:before="45" w:after="150"/>
              <w:rPr>
                <w:sz w:val="22"/>
                <w:szCs w:val="22"/>
                <w:lang w:val="ro-RO" w:eastAsia="en-GB"/>
              </w:rPr>
            </w:pPr>
            <w:r w:rsidRPr="00E0488D">
              <w:rPr>
                <w:sz w:val="22"/>
                <w:szCs w:val="22"/>
                <w:lang w:val="ro-RO" w:eastAsia="en-GB"/>
              </w:rPr>
              <w:t>(per total)</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 xml:space="preserve">7.000t </w:t>
            </w:r>
          </w:p>
        </w:tc>
        <w:tc>
          <w:tcPr>
            <w:tcW w:w="0" w:type="auto"/>
            <w:hideMark/>
          </w:tcPr>
          <w:p w:rsidR="00B4550A" w:rsidRPr="00E0488D" w:rsidRDefault="00B4550A" w:rsidP="003C7FC8">
            <w:pPr>
              <w:spacing w:before="45" w:after="150"/>
              <w:rPr>
                <w:sz w:val="22"/>
                <w:szCs w:val="22"/>
                <w:lang w:val="ro-RO" w:eastAsia="en-GB"/>
              </w:rPr>
            </w:pPr>
            <w:r w:rsidRPr="00E0488D">
              <w:rPr>
                <w:sz w:val="22"/>
                <w:szCs w:val="22"/>
                <w:lang w:val="ro-RO" w:eastAsia="en-GB"/>
              </w:rPr>
              <w:t xml:space="preserve">11.000t </w:t>
            </w:r>
          </w:p>
        </w:tc>
        <w:tc>
          <w:tcPr>
            <w:tcW w:w="0" w:type="auto"/>
            <w:vMerge/>
            <w:vAlign w:val="center"/>
            <w:hideMark/>
          </w:tcPr>
          <w:p w:rsidR="00B4550A" w:rsidRPr="00E0488D" w:rsidRDefault="00B4550A" w:rsidP="003C7FC8">
            <w:pPr>
              <w:rPr>
                <w:sz w:val="22"/>
                <w:szCs w:val="22"/>
                <w:lang w:val="ro-RO" w:eastAsia="en-GB"/>
              </w:rPr>
            </w:pPr>
          </w:p>
        </w:tc>
      </w:tr>
    </w:tbl>
    <w:p w:rsidR="00B4550A" w:rsidRPr="00E0488D" w:rsidRDefault="00B4550A" w:rsidP="00B4550A">
      <w:pPr>
        <w:ind w:left="851"/>
        <w:rPr>
          <w:i/>
          <w:lang w:val="ro-RO" w:eastAsia="en-GB"/>
        </w:rPr>
      </w:pPr>
      <w:r w:rsidRPr="00E0488D">
        <w:rPr>
          <w:i/>
          <w:lang w:val="ro-RO" w:eastAsia="en-GB"/>
        </w:rPr>
        <w:t>Sursa VNF: Voies navigable de France</w:t>
      </w:r>
    </w:p>
    <w:p w:rsidR="00B4550A" w:rsidRPr="00E0488D" w:rsidRDefault="00B4550A" w:rsidP="00B4550A">
      <w:pPr>
        <w:rPr>
          <w:lang w:val="ro-RO" w:eastAsia="en-GB"/>
        </w:rPr>
      </w:pPr>
    </w:p>
    <w:p w:rsidR="00B4550A" w:rsidRPr="00E0488D" w:rsidRDefault="00B4550A" w:rsidP="002B7E09">
      <w:pPr>
        <w:pStyle w:val="NumberedParas"/>
        <w:rPr>
          <w:b/>
        </w:rPr>
      </w:pPr>
      <w:r w:rsidRPr="00E0488D">
        <w:rPr>
          <w:lang w:eastAsia="en-GB"/>
        </w:rPr>
        <w:t>Tabelul de mai sus prezintă o comparație de bază între Dunăre și Rin care arată faptul că dacă pe Dunăre un convoi poate echivala cu 280 de VMG, pe Rin un convoi echivalează cu 440 de VMG. Motivul pentru care un convoi de pe Rin poate manavra cu 57% mai mult decât unul pe Dunăre se datorează dimensiunilor suplimentare de 0,80m lățime și 1 metru extra de nivel de pescaj. Acest lucru permite barjelor să susțină o sarcină maximă mai mare. Dimensiunile mărite sunt elementare (o lățime extra de 4% și un nivel de pescaj mai mare cu 37%), dar se adaugă și o creștere semnificativă a capacității (57%), suma fiind mai mare decât părțile.</w:t>
      </w:r>
    </w:p>
    <w:p w:rsidR="00B4550A" w:rsidRPr="00E0488D" w:rsidRDefault="00B4550A" w:rsidP="002B7E09">
      <w:pPr>
        <w:pStyle w:val="NumberedParas"/>
      </w:pPr>
      <w:r w:rsidRPr="00E0488D">
        <w:t>Viteza operațională în amonte pe Dunăre este de 10-12 km/h pentru un convoi, iar viteza operațională în aval este de 16-18 km/h. Aceste cifre sunt similare celor de pe Canalul Dunăre-Marea-Neagră.De la Brăila spre Marea Neagră nu există restricții de viteză. Cu toate acestea viteza de navigare la Sulina este limitată de normele privind tipul și dimensiunea navei, iar aceasta este de obicei de 15-20 km/h.</w:t>
      </w:r>
    </w:p>
    <w:p w:rsidR="00B4550A" w:rsidRPr="00E0488D" w:rsidRDefault="00B4550A" w:rsidP="002B7E09">
      <w:pPr>
        <w:pStyle w:val="NumberedParas"/>
      </w:pPr>
      <w:r w:rsidRPr="00E0488D">
        <w:t>România cheltuie în prezent 17m euro pentru întreținere pe Dunăre. În comparație cu 1m euro cât cheltuie Bulgaria sau 80m euro cheltuiți de Austria. Ținând cont de lungimea Dunării pe care aceste țări trebuie s-o întrețină rezultă următoarele bugete.</w:t>
      </w:r>
    </w:p>
    <w:p w:rsidR="00B4550A" w:rsidRPr="00E0488D" w:rsidRDefault="00B4550A" w:rsidP="002B7E09">
      <w:pPr>
        <w:pStyle w:val="NumberedParas"/>
      </w:pPr>
      <w:r w:rsidRPr="00E0488D">
        <w:t xml:space="preserve">Tabel 3.10 – Bugetele de întreținere pe Dunăre pentru țările selecționate </w:t>
      </w:r>
    </w:p>
    <w:tbl>
      <w:tblPr>
        <w:tblStyle w:val="TableGrid"/>
        <w:tblW w:w="0" w:type="auto"/>
        <w:tblInd w:w="851" w:type="dxa"/>
        <w:tblLook w:val="04A0" w:firstRow="1" w:lastRow="0" w:firstColumn="1" w:lastColumn="0" w:noHBand="0" w:noVBand="1"/>
      </w:tblPr>
      <w:tblGrid>
        <w:gridCol w:w="2392"/>
        <w:gridCol w:w="2392"/>
        <w:gridCol w:w="2393"/>
        <w:gridCol w:w="2393"/>
      </w:tblGrid>
      <w:tr w:rsidR="00B4550A" w:rsidRPr="00E0488D" w:rsidTr="003C7FC8">
        <w:tc>
          <w:tcPr>
            <w:tcW w:w="2392" w:type="dxa"/>
            <w:shd w:val="clear" w:color="auto" w:fill="B8CCE4" w:themeFill="accent1" w:themeFillTint="66"/>
          </w:tcPr>
          <w:p w:rsidR="00B4550A" w:rsidRPr="00E0488D" w:rsidRDefault="00B4550A" w:rsidP="003C7FC8">
            <w:pPr>
              <w:spacing w:line="276" w:lineRule="auto"/>
              <w:rPr>
                <w:b/>
                <w:sz w:val="22"/>
                <w:szCs w:val="22"/>
                <w:lang w:val="ro-RO"/>
              </w:rPr>
            </w:pPr>
            <w:r w:rsidRPr="00E0488D">
              <w:rPr>
                <w:b/>
                <w:sz w:val="22"/>
                <w:szCs w:val="22"/>
                <w:lang w:val="ro-RO"/>
              </w:rPr>
              <w:t>Țară</w:t>
            </w:r>
          </w:p>
        </w:tc>
        <w:tc>
          <w:tcPr>
            <w:tcW w:w="2392" w:type="dxa"/>
            <w:shd w:val="clear" w:color="auto" w:fill="B8CCE4" w:themeFill="accent1" w:themeFillTint="66"/>
          </w:tcPr>
          <w:p w:rsidR="00B4550A" w:rsidRPr="00E0488D" w:rsidRDefault="00B4550A" w:rsidP="003C7FC8">
            <w:pPr>
              <w:spacing w:line="276" w:lineRule="auto"/>
              <w:jc w:val="center"/>
              <w:rPr>
                <w:b/>
                <w:sz w:val="22"/>
                <w:szCs w:val="22"/>
                <w:lang w:val="ro-RO"/>
              </w:rPr>
            </w:pPr>
            <w:r w:rsidRPr="00E0488D">
              <w:rPr>
                <w:b/>
                <w:sz w:val="22"/>
                <w:szCs w:val="22"/>
                <w:lang w:val="ro-RO"/>
              </w:rPr>
              <w:t>Buget întreținere Dunăre</w:t>
            </w:r>
          </w:p>
        </w:tc>
        <w:tc>
          <w:tcPr>
            <w:tcW w:w="2393" w:type="dxa"/>
            <w:shd w:val="clear" w:color="auto" w:fill="B8CCE4" w:themeFill="accent1" w:themeFillTint="66"/>
          </w:tcPr>
          <w:p w:rsidR="00B4550A" w:rsidRPr="00E0488D" w:rsidRDefault="00B4550A" w:rsidP="003C7FC8">
            <w:pPr>
              <w:spacing w:line="276" w:lineRule="auto"/>
              <w:jc w:val="center"/>
              <w:rPr>
                <w:b/>
                <w:sz w:val="22"/>
                <w:szCs w:val="22"/>
                <w:lang w:val="ro-RO"/>
              </w:rPr>
            </w:pPr>
            <w:r w:rsidRPr="00E0488D">
              <w:rPr>
                <w:b/>
                <w:sz w:val="22"/>
                <w:szCs w:val="22"/>
                <w:lang w:val="ro-RO"/>
              </w:rPr>
              <w:t>Lungimea Dunării pentru care este responsabilă</w:t>
            </w:r>
          </w:p>
        </w:tc>
        <w:tc>
          <w:tcPr>
            <w:tcW w:w="2393" w:type="dxa"/>
            <w:shd w:val="clear" w:color="auto" w:fill="B8CCE4" w:themeFill="accent1" w:themeFillTint="66"/>
          </w:tcPr>
          <w:p w:rsidR="00B4550A" w:rsidRPr="00E0488D" w:rsidRDefault="00B4550A" w:rsidP="003C7FC8">
            <w:pPr>
              <w:spacing w:line="276" w:lineRule="auto"/>
              <w:jc w:val="center"/>
              <w:rPr>
                <w:b/>
                <w:sz w:val="22"/>
                <w:szCs w:val="22"/>
                <w:lang w:val="ro-RO"/>
              </w:rPr>
            </w:pPr>
            <w:r w:rsidRPr="00E0488D">
              <w:rPr>
                <w:b/>
                <w:sz w:val="22"/>
                <w:szCs w:val="22"/>
                <w:lang w:val="ro-RO"/>
              </w:rPr>
              <w:t>Buget per km</w:t>
            </w:r>
          </w:p>
        </w:tc>
      </w:tr>
      <w:tr w:rsidR="00B4550A" w:rsidRPr="00E0488D" w:rsidTr="003C7FC8">
        <w:tc>
          <w:tcPr>
            <w:tcW w:w="2392" w:type="dxa"/>
          </w:tcPr>
          <w:p w:rsidR="00B4550A" w:rsidRPr="00E0488D" w:rsidRDefault="00B4550A" w:rsidP="003C7FC8">
            <w:pPr>
              <w:spacing w:line="276" w:lineRule="auto"/>
              <w:rPr>
                <w:sz w:val="22"/>
                <w:szCs w:val="22"/>
                <w:lang w:val="ro-RO"/>
              </w:rPr>
            </w:pPr>
            <w:r w:rsidRPr="00E0488D">
              <w:rPr>
                <w:sz w:val="22"/>
                <w:szCs w:val="22"/>
                <w:lang w:val="ro-RO"/>
              </w:rPr>
              <w:t>România</w:t>
            </w:r>
          </w:p>
        </w:tc>
        <w:tc>
          <w:tcPr>
            <w:tcW w:w="2392" w:type="dxa"/>
          </w:tcPr>
          <w:p w:rsidR="00B4550A" w:rsidRPr="00E0488D" w:rsidRDefault="00B4550A" w:rsidP="003C7FC8">
            <w:pPr>
              <w:spacing w:line="276" w:lineRule="auto"/>
              <w:jc w:val="center"/>
              <w:rPr>
                <w:sz w:val="22"/>
                <w:szCs w:val="22"/>
                <w:lang w:val="ro-RO"/>
              </w:rPr>
            </w:pPr>
            <w:r w:rsidRPr="00E0488D">
              <w:rPr>
                <w:sz w:val="22"/>
                <w:szCs w:val="22"/>
                <w:lang w:val="ro-RO"/>
              </w:rPr>
              <w:t>€17m</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1,500km</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€11,333/km</w:t>
            </w:r>
          </w:p>
        </w:tc>
      </w:tr>
      <w:tr w:rsidR="00B4550A" w:rsidRPr="00E0488D" w:rsidTr="003C7FC8">
        <w:tc>
          <w:tcPr>
            <w:tcW w:w="2392" w:type="dxa"/>
          </w:tcPr>
          <w:p w:rsidR="00B4550A" w:rsidRPr="00E0488D" w:rsidRDefault="00B4550A" w:rsidP="003C7FC8">
            <w:pPr>
              <w:spacing w:line="276" w:lineRule="auto"/>
              <w:rPr>
                <w:sz w:val="22"/>
                <w:szCs w:val="22"/>
                <w:lang w:val="ro-RO"/>
              </w:rPr>
            </w:pPr>
            <w:r w:rsidRPr="00E0488D">
              <w:rPr>
                <w:sz w:val="22"/>
                <w:szCs w:val="22"/>
                <w:lang w:val="ro-RO"/>
              </w:rPr>
              <w:t>Austria</w:t>
            </w:r>
          </w:p>
        </w:tc>
        <w:tc>
          <w:tcPr>
            <w:tcW w:w="2392" w:type="dxa"/>
          </w:tcPr>
          <w:p w:rsidR="00B4550A" w:rsidRPr="00E0488D" w:rsidRDefault="00B4550A" w:rsidP="003C7FC8">
            <w:pPr>
              <w:spacing w:line="276" w:lineRule="auto"/>
              <w:jc w:val="center"/>
              <w:rPr>
                <w:sz w:val="22"/>
                <w:szCs w:val="22"/>
                <w:lang w:val="ro-RO"/>
              </w:rPr>
            </w:pPr>
            <w:r w:rsidRPr="00E0488D">
              <w:rPr>
                <w:sz w:val="22"/>
                <w:szCs w:val="22"/>
                <w:lang w:val="ro-RO"/>
              </w:rPr>
              <w:t>€80m</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320km</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€250,000/km</w:t>
            </w:r>
          </w:p>
        </w:tc>
      </w:tr>
      <w:tr w:rsidR="00B4550A" w:rsidRPr="00E0488D" w:rsidTr="003C7FC8">
        <w:tc>
          <w:tcPr>
            <w:tcW w:w="2392" w:type="dxa"/>
          </w:tcPr>
          <w:p w:rsidR="00B4550A" w:rsidRPr="00E0488D" w:rsidRDefault="00B4550A" w:rsidP="003C7FC8">
            <w:pPr>
              <w:spacing w:line="276" w:lineRule="auto"/>
              <w:rPr>
                <w:sz w:val="22"/>
                <w:szCs w:val="22"/>
                <w:lang w:val="ro-RO"/>
              </w:rPr>
            </w:pPr>
            <w:r w:rsidRPr="00E0488D">
              <w:rPr>
                <w:sz w:val="22"/>
                <w:szCs w:val="22"/>
                <w:lang w:val="ro-RO"/>
              </w:rPr>
              <w:t>Bulgaria</w:t>
            </w:r>
          </w:p>
        </w:tc>
        <w:tc>
          <w:tcPr>
            <w:tcW w:w="2392" w:type="dxa"/>
          </w:tcPr>
          <w:p w:rsidR="00B4550A" w:rsidRPr="00E0488D" w:rsidRDefault="00B4550A" w:rsidP="003C7FC8">
            <w:pPr>
              <w:spacing w:line="276" w:lineRule="auto"/>
              <w:jc w:val="center"/>
              <w:rPr>
                <w:sz w:val="22"/>
                <w:szCs w:val="22"/>
                <w:lang w:val="ro-RO"/>
              </w:rPr>
            </w:pPr>
            <w:r w:rsidRPr="00E0488D">
              <w:rPr>
                <w:sz w:val="22"/>
                <w:szCs w:val="22"/>
                <w:lang w:val="ro-RO"/>
              </w:rPr>
              <w:t>€1m</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470km</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€2,128/km</w:t>
            </w:r>
          </w:p>
        </w:tc>
      </w:tr>
    </w:tbl>
    <w:p w:rsidR="00B4550A" w:rsidRPr="00E0488D" w:rsidRDefault="00B4550A" w:rsidP="00B4550A">
      <w:pPr>
        <w:pStyle w:val="ListParagraph"/>
        <w:ind w:left="851"/>
        <w:rPr>
          <w:i/>
          <w:sz w:val="18"/>
          <w:szCs w:val="18"/>
          <w:lang w:val="ro-RO"/>
        </w:rPr>
      </w:pPr>
      <w:r w:rsidRPr="00E0488D">
        <w:rPr>
          <w:i/>
          <w:sz w:val="18"/>
          <w:szCs w:val="18"/>
          <w:lang w:val="ro-RO"/>
        </w:rPr>
        <w:t>Sursa: AFDJ Giurgiu</w:t>
      </w:r>
    </w:p>
    <w:p w:rsidR="00B4550A" w:rsidRPr="00E0488D" w:rsidRDefault="00B4550A" w:rsidP="00B4550A">
      <w:pPr>
        <w:rPr>
          <w:i/>
          <w:lang w:val="ro-RO"/>
        </w:rPr>
      </w:pPr>
    </w:p>
    <w:p w:rsidR="00B4550A" w:rsidRPr="00E0488D" w:rsidRDefault="00B4550A" w:rsidP="002B7E09">
      <w:pPr>
        <w:pStyle w:val="NumberedParas"/>
      </w:pPr>
      <w:r w:rsidRPr="00E0488D">
        <w:t xml:space="preserve">Austria cheltuie mult mai mult decât România sau Bulgaria, deși lungimea secțiunii de întreținere este cu mult mai mică. Bugetul de întreținere pe Dunăre alocat de Bulgaria este minimal, în special dacă ne raportăm la bugetul alocat de România pentru întreținerea Dunării. Ceea ce este neclar din aceste date este de ce au alocat aceste țări bugetul respectiv de </w:t>
      </w:r>
      <w:r w:rsidRPr="00E0488D">
        <w:lastRenderedPageBreak/>
        <w:t>întreținere, în special în ceea ce privește problemele de întreținere cu care trebuie se confrunte.</w:t>
      </w:r>
    </w:p>
    <w:p w:rsidR="00B4550A" w:rsidRPr="00E0488D" w:rsidRDefault="00B4550A" w:rsidP="002B7E09">
      <w:pPr>
        <w:pStyle w:val="NumberedParas"/>
      </w:pPr>
      <w:r w:rsidRPr="00E0488D">
        <w:t>Constanța este cel mai mare port cu ieșire la Marea Neagră din România, situat pe coasta Mării Negre din România. Portul Constanța găzduiește în prezent cel mai mare port de containere de la Marea Neagră și este situat strategic pentru a alimenta traficul de mărfuri spre zonele țintă din Europa Centrală și Estică.</w:t>
      </w:r>
    </w:p>
    <w:p w:rsidR="00B4550A" w:rsidRPr="00E0488D" w:rsidRDefault="00B4550A" w:rsidP="002B7E09">
      <w:pPr>
        <w:pStyle w:val="NumberedParas"/>
        <w:rPr>
          <w:b/>
        </w:rPr>
      </w:pPr>
      <w:r w:rsidRPr="00E0488D">
        <w:t>Este un port regional important de containere. Portul Constanța nu se află printre primele 20 de porturi de containere din Europa (din punct de vedere al volumului), deoarece în 2012 s-au operat 684.000 TEU (unități echivalente a douăzeci de picioare), dar și-a revenit în 2007 unde în port s-au operat 1,41 milioane TEU. Portul Constanța este considerat un hub de către navele de linie, unde se tranzitează un număr de containere.</w:t>
      </w:r>
    </w:p>
    <w:p w:rsidR="00B4550A" w:rsidRPr="00E0488D" w:rsidRDefault="00B4550A" w:rsidP="002B7E09">
      <w:pPr>
        <w:pStyle w:val="NumberedParas"/>
      </w:pPr>
      <w:r w:rsidRPr="00E0488D">
        <w:t>Cota modală pentru containerele care părăsesc Portul Constanța (excluzând tranzitul)  s-a estimat a fi următoarea:</w:t>
      </w:r>
    </w:p>
    <w:p w:rsidR="00B4550A" w:rsidRPr="00E0488D" w:rsidRDefault="00B4550A" w:rsidP="00BC2B57">
      <w:pPr>
        <w:pStyle w:val="BulletLevel1"/>
      </w:pPr>
      <w:r w:rsidRPr="00E0488D">
        <w:t>Rutier – 56%</w:t>
      </w:r>
    </w:p>
    <w:p w:rsidR="00B4550A" w:rsidRPr="00E0488D" w:rsidRDefault="00B4550A" w:rsidP="00BC2B57">
      <w:pPr>
        <w:pStyle w:val="BulletLevel1"/>
      </w:pPr>
      <w:r w:rsidRPr="00E0488D">
        <w:t>Feroviar – 41%</w:t>
      </w:r>
    </w:p>
    <w:p w:rsidR="00B4550A" w:rsidRPr="00E0488D" w:rsidRDefault="00B4550A" w:rsidP="00BC2B57">
      <w:pPr>
        <w:pStyle w:val="BulletLevel1"/>
      </w:pPr>
      <w:r w:rsidRPr="00E0488D">
        <w:t>Barje – 3%</w:t>
      </w:r>
    </w:p>
    <w:p w:rsidR="00B4550A" w:rsidRPr="00E0488D" w:rsidRDefault="00B4550A" w:rsidP="002B7E09">
      <w:pPr>
        <w:pStyle w:val="NumberedParas"/>
      </w:pPr>
      <w:r w:rsidRPr="00E0488D">
        <w:t>Se poate face o comparație privind cota modală pentru containerele din Portul Constanța cu alte porturi de containere majore din Europa:</w:t>
      </w:r>
    </w:p>
    <w:p w:rsidR="00B4550A" w:rsidRPr="00E0488D" w:rsidRDefault="00B4550A" w:rsidP="00B4550A">
      <w:pPr>
        <w:keepNext/>
        <w:spacing w:before="120" w:after="120"/>
        <w:ind w:left="851"/>
        <w:rPr>
          <w:b/>
          <w:sz w:val="22"/>
          <w:szCs w:val="22"/>
          <w:lang w:val="ro-RO"/>
        </w:rPr>
      </w:pPr>
      <w:r w:rsidRPr="00E0488D">
        <w:rPr>
          <w:b/>
          <w:sz w:val="22"/>
          <w:szCs w:val="22"/>
          <w:lang w:val="ro-RO"/>
        </w:rPr>
        <w:t>Tabel 3.11 Cota modală pentru containere din anumite porturi majore din Europa</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B4550A" w:rsidRPr="00E0488D" w:rsidTr="003C7FC8">
        <w:tc>
          <w:tcPr>
            <w:tcW w:w="2392" w:type="dxa"/>
            <w:shd w:val="clear" w:color="auto" w:fill="B8CCE4" w:themeFill="accent1" w:themeFillTint="66"/>
          </w:tcPr>
          <w:p w:rsidR="00B4550A" w:rsidRPr="00E0488D" w:rsidRDefault="00B4550A" w:rsidP="003C7FC8">
            <w:pPr>
              <w:keepNext/>
              <w:spacing w:line="276" w:lineRule="auto"/>
              <w:rPr>
                <w:b/>
                <w:sz w:val="22"/>
                <w:szCs w:val="22"/>
                <w:lang w:val="ro-RO"/>
              </w:rPr>
            </w:pPr>
            <w:r w:rsidRPr="00E0488D">
              <w:rPr>
                <w:b/>
                <w:sz w:val="22"/>
                <w:szCs w:val="22"/>
                <w:lang w:val="ro-RO"/>
              </w:rPr>
              <w:t>Cota modală</w:t>
            </w:r>
          </w:p>
        </w:tc>
        <w:tc>
          <w:tcPr>
            <w:tcW w:w="2392" w:type="dxa"/>
            <w:shd w:val="clear" w:color="auto" w:fill="B8CCE4" w:themeFill="accent1" w:themeFillTint="66"/>
          </w:tcPr>
          <w:p w:rsidR="00B4550A" w:rsidRPr="00E0488D" w:rsidRDefault="00B4550A" w:rsidP="003C7FC8">
            <w:pPr>
              <w:keepNext/>
              <w:spacing w:line="276" w:lineRule="auto"/>
              <w:jc w:val="center"/>
              <w:rPr>
                <w:b/>
                <w:sz w:val="22"/>
                <w:szCs w:val="22"/>
                <w:lang w:val="ro-RO"/>
              </w:rPr>
            </w:pPr>
            <w:r w:rsidRPr="00E0488D">
              <w:rPr>
                <w:b/>
                <w:sz w:val="22"/>
                <w:szCs w:val="22"/>
                <w:lang w:val="ro-RO"/>
              </w:rPr>
              <w:t>Rutier</w:t>
            </w:r>
          </w:p>
        </w:tc>
        <w:tc>
          <w:tcPr>
            <w:tcW w:w="2393" w:type="dxa"/>
            <w:shd w:val="clear" w:color="auto" w:fill="B8CCE4" w:themeFill="accent1" w:themeFillTint="66"/>
          </w:tcPr>
          <w:p w:rsidR="00B4550A" w:rsidRPr="00E0488D" w:rsidRDefault="00B4550A" w:rsidP="003C7FC8">
            <w:pPr>
              <w:keepNext/>
              <w:spacing w:line="276" w:lineRule="auto"/>
              <w:jc w:val="center"/>
              <w:rPr>
                <w:b/>
                <w:sz w:val="22"/>
                <w:szCs w:val="22"/>
                <w:lang w:val="ro-RO"/>
              </w:rPr>
            </w:pPr>
            <w:r w:rsidRPr="00E0488D">
              <w:rPr>
                <w:b/>
                <w:sz w:val="22"/>
                <w:szCs w:val="22"/>
                <w:lang w:val="ro-RO"/>
              </w:rPr>
              <w:t>Feroviar</w:t>
            </w:r>
          </w:p>
        </w:tc>
        <w:tc>
          <w:tcPr>
            <w:tcW w:w="2393" w:type="dxa"/>
            <w:shd w:val="clear" w:color="auto" w:fill="B8CCE4" w:themeFill="accent1" w:themeFillTint="66"/>
          </w:tcPr>
          <w:p w:rsidR="00B4550A" w:rsidRPr="00E0488D" w:rsidRDefault="00B4550A" w:rsidP="003C7FC8">
            <w:pPr>
              <w:keepNext/>
              <w:spacing w:line="276" w:lineRule="auto"/>
              <w:jc w:val="center"/>
              <w:rPr>
                <w:b/>
                <w:sz w:val="22"/>
                <w:szCs w:val="22"/>
                <w:lang w:val="ro-RO"/>
              </w:rPr>
            </w:pPr>
            <w:r w:rsidRPr="00E0488D">
              <w:rPr>
                <w:b/>
                <w:sz w:val="22"/>
                <w:szCs w:val="22"/>
                <w:lang w:val="ro-RO"/>
              </w:rPr>
              <w:t>Barje</w:t>
            </w:r>
          </w:p>
        </w:tc>
      </w:tr>
      <w:tr w:rsidR="00B4550A" w:rsidRPr="00E0488D" w:rsidTr="003C7FC8">
        <w:tc>
          <w:tcPr>
            <w:tcW w:w="2392" w:type="dxa"/>
          </w:tcPr>
          <w:p w:rsidR="00B4550A" w:rsidRPr="00E0488D" w:rsidRDefault="00B4550A" w:rsidP="003C7FC8">
            <w:pPr>
              <w:keepNext/>
              <w:spacing w:line="276" w:lineRule="auto"/>
              <w:rPr>
                <w:sz w:val="22"/>
                <w:szCs w:val="22"/>
                <w:lang w:val="ro-RO"/>
              </w:rPr>
            </w:pPr>
            <w:r w:rsidRPr="00E0488D">
              <w:rPr>
                <w:sz w:val="22"/>
                <w:szCs w:val="22"/>
                <w:lang w:val="ro-RO"/>
              </w:rPr>
              <w:t>Constanta</w:t>
            </w:r>
          </w:p>
        </w:tc>
        <w:tc>
          <w:tcPr>
            <w:tcW w:w="2392" w:type="dxa"/>
          </w:tcPr>
          <w:p w:rsidR="00B4550A" w:rsidRPr="00E0488D" w:rsidRDefault="00B4550A" w:rsidP="003C7FC8">
            <w:pPr>
              <w:keepNext/>
              <w:spacing w:line="276" w:lineRule="auto"/>
              <w:jc w:val="center"/>
              <w:rPr>
                <w:sz w:val="22"/>
                <w:szCs w:val="22"/>
                <w:lang w:val="ro-RO"/>
              </w:rPr>
            </w:pPr>
            <w:r w:rsidRPr="00E0488D">
              <w:rPr>
                <w:sz w:val="22"/>
                <w:szCs w:val="22"/>
                <w:lang w:val="ro-RO"/>
              </w:rPr>
              <w:t>56%</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41%</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3%</w:t>
            </w:r>
          </w:p>
        </w:tc>
      </w:tr>
      <w:tr w:rsidR="00B4550A" w:rsidRPr="00E0488D" w:rsidTr="003C7FC8">
        <w:tc>
          <w:tcPr>
            <w:tcW w:w="2392" w:type="dxa"/>
          </w:tcPr>
          <w:p w:rsidR="00B4550A" w:rsidRPr="00E0488D" w:rsidRDefault="00B4550A" w:rsidP="003C7FC8">
            <w:pPr>
              <w:keepNext/>
              <w:spacing w:line="276" w:lineRule="auto"/>
              <w:rPr>
                <w:sz w:val="22"/>
                <w:szCs w:val="22"/>
                <w:lang w:val="ro-RO"/>
              </w:rPr>
            </w:pPr>
            <w:r w:rsidRPr="00E0488D">
              <w:rPr>
                <w:sz w:val="22"/>
                <w:szCs w:val="22"/>
                <w:lang w:val="ro-RO"/>
              </w:rPr>
              <w:t>Antwerp</w:t>
            </w:r>
          </w:p>
        </w:tc>
        <w:tc>
          <w:tcPr>
            <w:tcW w:w="2392" w:type="dxa"/>
          </w:tcPr>
          <w:p w:rsidR="00B4550A" w:rsidRPr="00E0488D" w:rsidRDefault="00B4550A" w:rsidP="003C7FC8">
            <w:pPr>
              <w:keepNext/>
              <w:spacing w:line="276" w:lineRule="auto"/>
              <w:jc w:val="center"/>
              <w:rPr>
                <w:sz w:val="22"/>
                <w:szCs w:val="22"/>
                <w:lang w:val="ro-RO"/>
              </w:rPr>
            </w:pPr>
            <w:r w:rsidRPr="00E0488D">
              <w:rPr>
                <w:sz w:val="22"/>
                <w:szCs w:val="22"/>
                <w:lang w:val="ro-RO"/>
              </w:rPr>
              <w:t>56%</w:t>
            </w:r>
          </w:p>
        </w:tc>
        <w:tc>
          <w:tcPr>
            <w:tcW w:w="4786" w:type="dxa"/>
            <w:gridSpan w:val="2"/>
          </w:tcPr>
          <w:p w:rsidR="00B4550A" w:rsidRPr="00E0488D" w:rsidRDefault="00B4550A" w:rsidP="003C7FC8">
            <w:pPr>
              <w:keepNext/>
              <w:spacing w:line="276" w:lineRule="auto"/>
              <w:jc w:val="center"/>
              <w:rPr>
                <w:sz w:val="22"/>
                <w:szCs w:val="22"/>
                <w:lang w:val="ro-RO"/>
              </w:rPr>
            </w:pPr>
            <w:r w:rsidRPr="00E0488D">
              <w:rPr>
                <w:sz w:val="22"/>
                <w:szCs w:val="22"/>
                <w:lang w:val="ro-RO"/>
              </w:rPr>
              <w:t>44% (combinat)</w:t>
            </w:r>
          </w:p>
        </w:tc>
      </w:tr>
      <w:tr w:rsidR="00B4550A" w:rsidRPr="00E0488D" w:rsidTr="003C7FC8">
        <w:tc>
          <w:tcPr>
            <w:tcW w:w="2392" w:type="dxa"/>
          </w:tcPr>
          <w:p w:rsidR="00B4550A" w:rsidRPr="00E0488D" w:rsidRDefault="00B4550A" w:rsidP="003C7FC8">
            <w:pPr>
              <w:keepNext/>
              <w:spacing w:line="276" w:lineRule="auto"/>
              <w:rPr>
                <w:sz w:val="22"/>
                <w:szCs w:val="22"/>
                <w:lang w:val="ro-RO"/>
              </w:rPr>
            </w:pPr>
            <w:r w:rsidRPr="00E0488D">
              <w:rPr>
                <w:sz w:val="22"/>
                <w:szCs w:val="22"/>
                <w:lang w:val="ro-RO"/>
              </w:rPr>
              <w:t>Amsterdam</w:t>
            </w:r>
          </w:p>
        </w:tc>
        <w:tc>
          <w:tcPr>
            <w:tcW w:w="2392" w:type="dxa"/>
          </w:tcPr>
          <w:p w:rsidR="00B4550A" w:rsidRPr="00E0488D" w:rsidRDefault="00B4550A" w:rsidP="003C7FC8">
            <w:pPr>
              <w:keepNext/>
              <w:spacing w:line="276" w:lineRule="auto"/>
              <w:jc w:val="center"/>
              <w:rPr>
                <w:sz w:val="22"/>
                <w:szCs w:val="22"/>
                <w:lang w:val="ro-RO"/>
              </w:rPr>
            </w:pPr>
            <w:r w:rsidRPr="00E0488D">
              <w:rPr>
                <w:sz w:val="22"/>
                <w:szCs w:val="22"/>
                <w:lang w:val="ro-RO"/>
              </w:rPr>
              <w:t>55%</w:t>
            </w:r>
          </w:p>
        </w:tc>
        <w:tc>
          <w:tcPr>
            <w:tcW w:w="4786" w:type="dxa"/>
            <w:gridSpan w:val="2"/>
          </w:tcPr>
          <w:p w:rsidR="00B4550A" w:rsidRPr="00E0488D" w:rsidRDefault="00B4550A" w:rsidP="003C7FC8">
            <w:pPr>
              <w:keepNext/>
              <w:spacing w:line="276" w:lineRule="auto"/>
              <w:jc w:val="center"/>
              <w:rPr>
                <w:sz w:val="22"/>
                <w:szCs w:val="22"/>
                <w:lang w:val="ro-RO"/>
              </w:rPr>
            </w:pPr>
            <w:r w:rsidRPr="00E0488D">
              <w:rPr>
                <w:sz w:val="22"/>
                <w:szCs w:val="22"/>
                <w:lang w:val="ro-RO"/>
              </w:rPr>
              <w:t>45% (combinat)</w:t>
            </w:r>
          </w:p>
        </w:tc>
      </w:tr>
      <w:tr w:rsidR="00B4550A" w:rsidRPr="00E0488D" w:rsidTr="003C7FC8">
        <w:tc>
          <w:tcPr>
            <w:tcW w:w="2392" w:type="dxa"/>
          </w:tcPr>
          <w:p w:rsidR="00B4550A" w:rsidRPr="00E0488D" w:rsidRDefault="00B4550A" w:rsidP="003C7FC8">
            <w:pPr>
              <w:keepNext/>
              <w:spacing w:line="276" w:lineRule="auto"/>
              <w:rPr>
                <w:sz w:val="22"/>
                <w:szCs w:val="22"/>
                <w:lang w:val="ro-RO"/>
              </w:rPr>
            </w:pPr>
            <w:r w:rsidRPr="00E0488D">
              <w:rPr>
                <w:sz w:val="22"/>
                <w:szCs w:val="22"/>
                <w:lang w:val="ro-RO"/>
              </w:rPr>
              <w:t>Rotterdam</w:t>
            </w:r>
          </w:p>
        </w:tc>
        <w:tc>
          <w:tcPr>
            <w:tcW w:w="2392" w:type="dxa"/>
          </w:tcPr>
          <w:p w:rsidR="00B4550A" w:rsidRPr="00E0488D" w:rsidRDefault="00B4550A" w:rsidP="003C7FC8">
            <w:pPr>
              <w:keepNext/>
              <w:spacing w:line="276" w:lineRule="auto"/>
              <w:jc w:val="center"/>
              <w:rPr>
                <w:sz w:val="22"/>
                <w:szCs w:val="22"/>
                <w:lang w:val="ro-RO"/>
              </w:rPr>
            </w:pPr>
            <w:r w:rsidRPr="00E0488D">
              <w:rPr>
                <w:sz w:val="22"/>
                <w:szCs w:val="22"/>
                <w:lang w:val="ro-RO"/>
              </w:rPr>
              <w:t>54%</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11%</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35%</w:t>
            </w:r>
          </w:p>
        </w:tc>
      </w:tr>
      <w:tr w:rsidR="00B4550A" w:rsidRPr="00E0488D" w:rsidTr="003C7FC8">
        <w:tc>
          <w:tcPr>
            <w:tcW w:w="2392" w:type="dxa"/>
          </w:tcPr>
          <w:p w:rsidR="00B4550A" w:rsidRPr="00E0488D" w:rsidRDefault="00B4550A" w:rsidP="003C7FC8">
            <w:pPr>
              <w:keepNext/>
              <w:spacing w:line="276" w:lineRule="auto"/>
              <w:rPr>
                <w:sz w:val="22"/>
                <w:szCs w:val="22"/>
                <w:lang w:val="ro-RO"/>
              </w:rPr>
            </w:pPr>
            <w:r w:rsidRPr="00E0488D">
              <w:rPr>
                <w:sz w:val="22"/>
                <w:szCs w:val="22"/>
                <w:lang w:val="ro-RO"/>
              </w:rPr>
              <w:t>Hamburg</w:t>
            </w:r>
          </w:p>
        </w:tc>
        <w:tc>
          <w:tcPr>
            <w:tcW w:w="2392" w:type="dxa"/>
          </w:tcPr>
          <w:p w:rsidR="00B4550A" w:rsidRPr="00E0488D" w:rsidRDefault="00B4550A" w:rsidP="003C7FC8">
            <w:pPr>
              <w:keepNext/>
              <w:spacing w:line="276" w:lineRule="auto"/>
              <w:jc w:val="center"/>
              <w:rPr>
                <w:sz w:val="22"/>
                <w:szCs w:val="22"/>
                <w:lang w:val="ro-RO"/>
              </w:rPr>
            </w:pPr>
            <w:r w:rsidRPr="00E0488D">
              <w:rPr>
                <w:sz w:val="22"/>
                <w:szCs w:val="22"/>
                <w:lang w:val="ro-RO"/>
              </w:rPr>
              <w:t>62%</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36%</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2%</w:t>
            </w:r>
          </w:p>
        </w:tc>
      </w:tr>
      <w:tr w:rsidR="00B4550A" w:rsidRPr="00E0488D" w:rsidTr="003C7FC8">
        <w:tc>
          <w:tcPr>
            <w:tcW w:w="2392" w:type="dxa"/>
          </w:tcPr>
          <w:p w:rsidR="00B4550A" w:rsidRPr="00E0488D" w:rsidRDefault="00B4550A" w:rsidP="003C7FC8">
            <w:pPr>
              <w:keepNext/>
              <w:spacing w:line="276" w:lineRule="auto"/>
              <w:rPr>
                <w:sz w:val="22"/>
                <w:szCs w:val="22"/>
                <w:lang w:val="ro-RO"/>
              </w:rPr>
            </w:pPr>
            <w:r w:rsidRPr="00E0488D">
              <w:rPr>
                <w:sz w:val="22"/>
                <w:szCs w:val="22"/>
                <w:lang w:val="ro-RO"/>
              </w:rPr>
              <w:t>Bremen</w:t>
            </w:r>
          </w:p>
        </w:tc>
        <w:tc>
          <w:tcPr>
            <w:tcW w:w="2392" w:type="dxa"/>
          </w:tcPr>
          <w:p w:rsidR="00B4550A" w:rsidRPr="00E0488D" w:rsidRDefault="00B4550A" w:rsidP="003C7FC8">
            <w:pPr>
              <w:keepNext/>
              <w:spacing w:line="276" w:lineRule="auto"/>
              <w:jc w:val="center"/>
              <w:rPr>
                <w:sz w:val="22"/>
                <w:szCs w:val="22"/>
                <w:lang w:val="ro-RO"/>
              </w:rPr>
            </w:pPr>
            <w:r w:rsidRPr="00E0488D">
              <w:rPr>
                <w:sz w:val="22"/>
                <w:szCs w:val="22"/>
                <w:lang w:val="ro-RO"/>
              </w:rPr>
              <w:t>50%</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46%</w:t>
            </w:r>
          </w:p>
        </w:tc>
        <w:tc>
          <w:tcPr>
            <w:tcW w:w="2393" w:type="dxa"/>
          </w:tcPr>
          <w:p w:rsidR="00B4550A" w:rsidRPr="00E0488D" w:rsidRDefault="00B4550A" w:rsidP="003C7FC8">
            <w:pPr>
              <w:keepNext/>
              <w:spacing w:line="276" w:lineRule="auto"/>
              <w:jc w:val="center"/>
              <w:rPr>
                <w:sz w:val="22"/>
                <w:szCs w:val="22"/>
                <w:lang w:val="ro-RO"/>
              </w:rPr>
            </w:pPr>
            <w:r w:rsidRPr="00E0488D">
              <w:rPr>
                <w:sz w:val="22"/>
                <w:szCs w:val="22"/>
                <w:lang w:val="ro-RO"/>
              </w:rPr>
              <w:t>4%</w:t>
            </w:r>
          </w:p>
        </w:tc>
      </w:tr>
      <w:tr w:rsidR="00B4550A" w:rsidRPr="00E0488D" w:rsidTr="003C7FC8">
        <w:tc>
          <w:tcPr>
            <w:tcW w:w="2392" w:type="dxa"/>
          </w:tcPr>
          <w:p w:rsidR="00B4550A" w:rsidRPr="00E0488D" w:rsidRDefault="00B4550A" w:rsidP="003C7FC8">
            <w:pPr>
              <w:spacing w:line="276" w:lineRule="auto"/>
              <w:rPr>
                <w:sz w:val="22"/>
                <w:szCs w:val="22"/>
                <w:lang w:val="ro-RO"/>
              </w:rPr>
            </w:pPr>
            <w:r w:rsidRPr="00E0488D">
              <w:rPr>
                <w:sz w:val="22"/>
                <w:szCs w:val="22"/>
                <w:lang w:val="ro-RO"/>
              </w:rPr>
              <w:t>Felixstowe</w:t>
            </w:r>
          </w:p>
        </w:tc>
        <w:tc>
          <w:tcPr>
            <w:tcW w:w="2392" w:type="dxa"/>
          </w:tcPr>
          <w:p w:rsidR="00B4550A" w:rsidRPr="00E0488D" w:rsidRDefault="00B4550A" w:rsidP="003C7FC8">
            <w:pPr>
              <w:spacing w:line="276" w:lineRule="auto"/>
              <w:jc w:val="center"/>
              <w:rPr>
                <w:sz w:val="22"/>
                <w:szCs w:val="22"/>
                <w:lang w:val="ro-RO"/>
              </w:rPr>
            </w:pPr>
            <w:r w:rsidRPr="00E0488D">
              <w:rPr>
                <w:sz w:val="22"/>
                <w:szCs w:val="22"/>
                <w:lang w:val="ro-RO"/>
              </w:rPr>
              <w:t>69%</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28%</w:t>
            </w:r>
          </w:p>
        </w:tc>
        <w:tc>
          <w:tcPr>
            <w:tcW w:w="2393" w:type="dxa"/>
          </w:tcPr>
          <w:p w:rsidR="00B4550A" w:rsidRPr="00E0488D" w:rsidRDefault="00B4550A" w:rsidP="003C7FC8">
            <w:pPr>
              <w:spacing w:line="276" w:lineRule="auto"/>
              <w:jc w:val="center"/>
              <w:rPr>
                <w:sz w:val="22"/>
                <w:szCs w:val="22"/>
                <w:lang w:val="ro-RO"/>
              </w:rPr>
            </w:pPr>
            <w:r w:rsidRPr="00E0488D">
              <w:rPr>
                <w:sz w:val="22"/>
                <w:szCs w:val="22"/>
                <w:lang w:val="ro-RO"/>
              </w:rPr>
              <w:t>3% (de coastă)</w:t>
            </w:r>
          </w:p>
        </w:tc>
      </w:tr>
    </w:tbl>
    <w:p w:rsidR="00B4550A" w:rsidRPr="00E0488D" w:rsidRDefault="00B4550A" w:rsidP="002B7E09">
      <w:pPr>
        <w:pStyle w:val="NumberedParas"/>
      </w:pPr>
      <w:r w:rsidRPr="00E0488D">
        <w:t>Multe dintre aceste porturi au propriile lor planuri de viitor în ceea ce privește cota modală prin încercarea de a transfera transportul de containere de la modul rutier spre alte moduri de transport mai sustenabile. În anumite cazuri această tendință ține de motive de protejare a mediului, în alte cazuri datorită faptului că permite portului să utilizeze mai eficient spațiul limitat și să aibă o zonă de influență mai mare (unele dintre aceste porturi nu se pot dezvolta mai mult pe spațiul existent) care să răspundă cererii crescute.</w:t>
      </w:r>
    </w:p>
    <w:p w:rsidR="00B4550A" w:rsidRPr="00E0488D" w:rsidRDefault="00B4550A" w:rsidP="00B4550A">
      <w:pPr>
        <w:keepNext/>
        <w:spacing w:before="120" w:after="120"/>
        <w:ind w:left="851"/>
        <w:rPr>
          <w:b/>
          <w:sz w:val="22"/>
          <w:szCs w:val="22"/>
          <w:lang w:val="ro-RO"/>
        </w:rPr>
      </w:pPr>
      <w:r w:rsidRPr="00E0488D">
        <w:rPr>
          <w:b/>
          <w:sz w:val="22"/>
          <w:szCs w:val="22"/>
          <w:lang w:val="ro-RO"/>
        </w:rPr>
        <w:t>Tabel 3.13 Cota modală planificată pentru containere în anumite porturi majore din Europa până în 2020</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B4550A" w:rsidRPr="00E0488D" w:rsidTr="003C7FC8">
        <w:tc>
          <w:tcPr>
            <w:tcW w:w="2392" w:type="dxa"/>
            <w:shd w:val="clear" w:color="auto" w:fill="B8CCE4" w:themeFill="accent1" w:themeFillTint="66"/>
          </w:tcPr>
          <w:p w:rsidR="00B4550A" w:rsidRPr="00E0488D" w:rsidRDefault="00B4550A" w:rsidP="003C7FC8">
            <w:pPr>
              <w:rPr>
                <w:b/>
                <w:sz w:val="22"/>
                <w:szCs w:val="22"/>
                <w:lang w:val="ro-RO"/>
              </w:rPr>
            </w:pPr>
            <w:r w:rsidRPr="00E0488D">
              <w:rPr>
                <w:b/>
                <w:sz w:val="22"/>
                <w:szCs w:val="22"/>
                <w:lang w:val="ro-RO"/>
              </w:rPr>
              <w:t>Cota modală planificată</w:t>
            </w:r>
          </w:p>
        </w:tc>
        <w:tc>
          <w:tcPr>
            <w:tcW w:w="2392" w:type="dxa"/>
            <w:shd w:val="clear" w:color="auto" w:fill="B8CCE4" w:themeFill="accent1" w:themeFillTint="66"/>
          </w:tcPr>
          <w:p w:rsidR="00B4550A" w:rsidRPr="00E0488D" w:rsidRDefault="00B4550A" w:rsidP="003C7FC8">
            <w:pPr>
              <w:jc w:val="center"/>
              <w:rPr>
                <w:b/>
                <w:sz w:val="22"/>
                <w:szCs w:val="22"/>
                <w:lang w:val="ro-RO"/>
              </w:rPr>
            </w:pPr>
            <w:r w:rsidRPr="00E0488D">
              <w:rPr>
                <w:b/>
                <w:sz w:val="22"/>
                <w:szCs w:val="22"/>
                <w:lang w:val="ro-RO"/>
              </w:rPr>
              <w:t>Rutier</w:t>
            </w:r>
          </w:p>
        </w:tc>
        <w:tc>
          <w:tcPr>
            <w:tcW w:w="2393" w:type="dxa"/>
            <w:shd w:val="clear" w:color="auto" w:fill="B8CCE4" w:themeFill="accent1" w:themeFillTint="66"/>
          </w:tcPr>
          <w:p w:rsidR="00B4550A" w:rsidRPr="00E0488D" w:rsidRDefault="00B4550A" w:rsidP="003C7FC8">
            <w:pPr>
              <w:jc w:val="center"/>
              <w:rPr>
                <w:b/>
                <w:sz w:val="22"/>
                <w:szCs w:val="22"/>
                <w:lang w:val="ro-RO"/>
              </w:rPr>
            </w:pPr>
            <w:r w:rsidRPr="00E0488D">
              <w:rPr>
                <w:b/>
                <w:sz w:val="22"/>
                <w:szCs w:val="22"/>
                <w:lang w:val="ro-RO"/>
              </w:rPr>
              <w:t>Feroviar</w:t>
            </w:r>
          </w:p>
        </w:tc>
        <w:tc>
          <w:tcPr>
            <w:tcW w:w="2393" w:type="dxa"/>
            <w:shd w:val="clear" w:color="auto" w:fill="B8CCE4" w:themeFill="accent1" w:themeFillTint="66"/>
          </w:tcPr>
          <w:p w:rsidR="00B4550A" w:rsidRPr="00E0488D" w:rsidRDefault="00B4550A" w:rsidP="003C7FC8">
            <w:pPr>
              <w:jc w:val="center"/>
              <w:rPr>
                <w:b/>
                <w:sz w:val="22"/>
                <w:szCs w:val="22"/>
                <w:lang w:val="ro-RO"/>
              </w:rPr>
            </w:pPr>
            <w:r w:rsidRPr="00E0488D">
              <w:rPr>
                <w:b/>
                <w:sz w:val="22"/>
                <w:szCs w:val="22"/>
                <w:lang w:val="ro-RO"/>
              </w:rPr>
              <w:t>Barje</w:t>
            </w:r>
          </w:p>
        </w:tc>
      </w:tr>
      <w:tr w:rsidR="00B4550A" w:rsidRPr="00E0488D" w:rsidTr="003C7FC8">
        <w:tc>
          <w:tcPr>
            <w:tcW w:w="2392" w:type="dxa"/>
          </w:tcPr>
          <w:p w:rsidR="00B4550A" w:rsidRPr="00E0488D" w:rsidRDefault="00B4550A" w:rsidP="003C7FC8">
            <w:pPr>
              <w:rPr>
                <w:sz w:val="22"/>
                <w:szCs w:val="22"/>
                <w:lang w:val="ro-RO"/>
              </w:rPr>
            </w:pPr>
            <w:r w:rsidRPr="00E0488D">
              <w:rPr>
                <w:sz w:val="22"/>
                <w:szCs w:val="22"/>
                <w:lang w:val="ro-RO"/>
              </w:rPr>
              <w:t>Antwerp</w:t>
            </w:r>
          </w:p>
        </w:tc>
        <w:tc>
          <w:tcPr>
            <w:tcW w:w="2392" w:type="dxa"/>
          </w:tcPr>
          <w:p w:rsidR="00B4550A" w:rsidRPr="00E0488D" w:rsidRDefault="00B4550A" w:rsidP="003C7FC8">
            <w:pPr>
              <w:jc w:val="center"/>
              <w:rPr>
                <w:sz w:val="22"/>
                <w:szCs w:val="22"/>
                <w:lang w:val="ro-RO"/>
              </w:rPr>
            </w:pPr>
            <w:r w:rsidRPr="00E0488D">
              <w:rPr>
                <w:sz w:val="22"/>
                <w:szCs w:val="22"/>
                <w:lang w:val="ro-RO"/>
              </w:rPr>
              <w:t>42%</w:t>
            </w:r>
          </w:p>
        </w:tc>
        <w:tc>
          <w:tcPr>
            <w:tcW w:w="2393" w:type="dxa"/>
          </w:tcPr>
          <w:p w:rsidR="00B4550A" w:rsidRPr="00E0488D" w:rsidRDefault="00B4550A" w:rsidP="003C7FC8">
            <w:pPr>
              <w:jc w:val="center"/>
              <w:rPr>
                <w:sz w:val="22"/>
                <w:szCs w:val="22"/>
                <w:lang w:val="ro-RO"/>
              </w:rPr>
            </w:pPr>
            <w:r w:rsidRPr="00E0488D">
              <w:rPr>
                <w:sz w:val="22"/>
                <w:szCs w:val="22"/>
                <w:lang w:val="ro-RO"/>
              </w:rPr>
              <w:t>15%</w:t>
            </w:r>
          </w:p>
        </w:tc>
        <w:tc>
          <w:tcPr>
            <w:tcW w:w="2393" w:type="dxa"/>
          </w:tcPr>
          <w:p w:rsidR="00B4550A" w:rsidRPr="00E0488D" w:rsidRDefault="00B4550A" w:rsidP="003C7FC8">
            <w:pPr>
              <w:jc w:val="center"/>
              <w:rPr>
                <w:sz w:val="22"/>
                <w:szCs w:val="22"/>
                <w:lang w:val="ro-RO"/>
              </w:rPr>
            </w:pPr>
            <w:r w:rsidRPr="00E0488D">
              <w:rPr>
                <w:sz w:val="22"/>
                <w:szCs w:val="22"/>
                <w:lang w:val="ro-RO"/>
              </w:rPr>
              <w:t>43%</w:t>
            </w:r>
          </w:p>
        </w:tc>
      </w:tr>
      <w:tr w:rsidR="00B4550A" w:rsidRPr="00E0488D" w:rsidTr="003C7FC8">
        <w:tc>
          <w:tcPr>
            <w:tcW w:w="2392" w:type="dxa"/>
          </w:tcPr>
          <w:p w:rsidR="00B4550A" w:rsidRPr="00E0488D" w:rsidRDefault="00B4550A" w:rsidP="003C7FC8">
            <w:pPr>
              <w:rPr>
                <w:sz w:val="22"/>
                <w:szCs w:val="22"/>
                <w:lang w:val="ro-RO"/>
              </w:rPr>
            </w:pPr>
            <w:r w:rsidRPr="00E0488D">
              <w:rPr>
                <w:sz w:val="22"/>
                <w:szCs w:val="22"/>
                <w:lang w:val="ro-RO"/>
              </w:rPr>
              <w:t>Amsterdam</w:t>
            </w:r>
          </w:p>
        </w:tc>
        <w:tc>
          <w:tcPr>
            <w:tcW w:w="2392" w:type="dxa"/>
          </w:tcPr>
          <w:p w:rsidR="00B4550A" w:rsidRPr="00E0488D" w:rsidRDefault="00B4550A" w:rsidP="003C7FC8">
            <w:pPr>
              <w:jc w:val="center"/>
              <w:rPr>
                <w:sz w:val="22"/>
                <w:szCs w:val="22"/>
                <w:lang w:val="ro-RO"/>
              </w:rPr>
            </w:pPr>
            <w:r w:rsidRPr="00E0488D">
              <w:rPr>
                <w:sz w:val="22"/>
                <w:szCs w:val="22"/>
                <w:lang w:val="ro-RO"/>
              </w:rPr>
              <w:t>40%</w:t>
            </w:r>
          </w:p>
        </w:tc>
        <w:tc>
          <w:tcPr>
            <w:tcW w:w="4786" w:type="dxa"/>
            <w:gridSpan w:val="2"/>
          </w:tcPr>
          <w:p w:rsidR="00B4550A" w:rsidRPr="00E0488D" w:rsidRDefault="00B4550A" w:rsidP="003C7FC8">
            <w:pPr>
              <w:jc w:val="center"/>
              <w:rPr>
                <w:sz w:val="22"/>
                <w:szCs w:val="22"/>
                <w:lang w:val="ro-RO"/>
              </w:rPr>
            </w:pPr>
            <w:r w:rsidRPr="00E0488D">
              <w:rPr>
                <w:sz w:val="22"/>
                <w:szCs w:val="22"/>
                <w:lang w:val="ro-RO"/>
              </w:rPr>
              <w:t>60% (combinat)</w:t>
            </w:r>
          </w:p>
        </w:tc>
      </w:tr>
      <w:tr w:rsidR="00B4550A" w:rsidRPr="00E0488D" w:rsidTr="003C7FC8">
        <w:tc>
          <w:tcPr>
            <w:tcW w:w="2392" w:type="dxa"/>
          </w:tcPr>
          <w:p w:rsidR="00B4550A" w:rsidRPr="00E0488D" w:rsidRDefault="00B4550A" w:rsidP="003C7FC8">
            <w:pPr>
              <w:rPr>
                <w:sz w:val="22"/>
                <w:szCs w:val="22"/>
                <w:lang w:val="ro-RO"/>
              </w:rPr>
            </w:pPr>
            <w:r w:rsidRPr="00E0488D">
              <w:rPr>
                <w:sz w:val="22"/>
                <w:szCs w:val="22"/>
                <w:lang w:val="ro-RO"/>
              </w:rPr>
              <w:t>Rotterdam</w:t>
            </w:r>
          </w:p>
        </w:tc>
        <w:tc>
          <w:tcPr>
            <w:tcW w:w="2392" w:type="dxa"/>
          </w:tcPr>
          <w:p w:rsidR="00B4550A" w:rsidRPr="00E0488D" w:rsidRDefault="00B4550A" w:rsidP="003C7FC8">
            <w:pPr>
              <w:jc w:val="center"/>
              <w:rPr>
                <w:sz w:val="22"/>
                <w:szCs w:val="22"/>
                <w:lang w:val="ro-RO"/>
              </w:rPr>
            </w:pPr>
            <w:r w:rsidRPr="00E0488D">
              <w:rPr>
                <w:sz w:val="22"/>
                <w:szCs w:val="22"/>
                <w:lang w:val="ro-RO"/>
              </w:rPr>
              <w:t>40%</w:t>
            </w:r>
          </w:p>
        </w:tc>
        <w:tc>
          <w:tcPr>
            <w:tcW w:w="2393" w:type="dxa"/>
          </w:tcPr>
          <w:p w:rsidR="00B4550A" w:rsidRPr="00E0488D" w:rsidRDefault="00B4550A" w:rsidP="003C7FC8">
            <w:pPr>
              <w:jc w:val="center"/>
              <w:rPr>
                <w:sz w:val="22"/>
                <w:szCs w:val="22"/>
                <w:lang w:val="ro-RO"/>
              </w:rPr>
            </w:pPr>
            <w:r w:rsidRPr="00E0488D">
              <w:rPr>
                <w:sz w:val="22"/>
                <w:szCs w:val="22"/>
                <w:lang w:val="ro-RO"/>
              </w:rPr>
              <w:t>15%</w:t>
            </w:r>
          </w:p>
        </w:tc>
        <w:tc>
          <w:tcPr>
            <w:tcW w:w="2393" w:type="dxa"/>
          </w:tcPr>
          <w:p w:rsidR="00B4550A" w:rsidRPr="00E0488D" w:rsidRDefault="00B4550A" w:rsidP="003C7FC8">
            <w:pPr>
              <w:jc w:val="center"/>
              <w:rPr>
                <w:sz w:val="22"/>
                <w:szCs w:val="22"/>
                <w:lang w:val="ro-RO"/>
              </w:rPr>
            </w:pPr>
            <w:r w:rsidRPr="00E0488D">
              <w:rPr>
                <w:sz w:val="22"/>
                <w:szCs w:val="22"/>
                <w:lang w:val="ro-RO"/>
              </w:rPr>
              <w:t>45%</w:t>
            </w:r>
          </w:p>
        </w:tc>
      </w:tr>
      <w:tr w:rsidR="00B4550A" w:rsidRPr="00E0488D" w:rsidTr="003C7FC8">
        <w:tc>
          <w:tcPr>
            <w:tcW w:w="2392" w:type="dxa"/>
          </w:tcPr>
          <w:p w:rsidR="00B4550A" w:rsidRPr="00E0488D" w:rsidRDefault="00B4550A" w:rsidP="003C7FC8">
            <w:pPr>
              <w:rPr>
                <w:sz w:val="22"/>
                <w:szCs w:val="22"/>
                <w:lang w:val="ro-RO"/>
              </w:rPr>
            </w:pPr>
            <w:r w:rsidRPr="00E0488D">
              <w:rPr>
                <w:sz w:val="22"/>
                <w:szCs w:val="22"/>
                <w:lang w:val="ro-RO"/>
              </w:rPr>
              <w:t>Hamburg</w:t>
            </w:r>
          </w:p>
        </w:tc>
        <w:tc>
          <w:tcPr>
            <w:tcW w:w="2392" w:type="dxa"/>
          </w:tcPr>
          <w:p w:rsidR="00B4550A" w:rsidRPr="00E0488D" w:rsidRDefault="00B4550A" w:rsidP="003C7FC8">
            <w:pPr>
              <w:jc w:val="center"/>
              <w:rPr>
                <w:sz w:val="22"/>
                <w:szCs w:val="22"/>
                <w:lang w:val="ro-RO"/>
              </w:rPr>
            </w:pPr>
            <w:r w:rsidRPr="00E0488D">
              <w:rPr>
                <w:sz w:val="22"/>
                <w:szCs w:val="22"/>
                <w:lang w:val="ro-RO"/>
              </w:rPr>
              <w:t>45%</w:t>
            </w:r>
          </w:p>
        </w:tc>
        <w:tc>
          <w:tcPr>
            <w:tcW w:w="2393" w:type="dxa"/>
          </w:tcPr>
          <w:p w:rsidR="00B4550A" w:rsidRPr="00E0488D" w:rsidRDefault="00B4550A" w:rsidP="003C7FC8">
            <w:pPr>
              <w:jc w:val="center"/>
              <w:rPr>
                <w:sz w:val="22"/>
                <w:szCs w:val="22"/>
                <w:lang w:val="ro-RO"/>
              </w:rPr>
            </w:pPr>
            <w:r w:rsidRPr="00E0488D">
              <w:rPr>
                <w:sz w:val="22"/>
                <w:szCs w:val="22"/>
                <w:lang w:val="ro-RO"/>
              </w:rPr>
              <w:t>53%</w:t>
            </w:r>
          </w:p>
        </w:tc>
        <w:tc>
          <w:tcPr>
            <w:tcW w:w="2393" w:type="dxa"/>
          </w:tcPr>
          <w:p w:rsidR="00B4550A" w:rsidRPr="00E0488D" w:rsidRDefault="00B4550A" w:rsidP="003C7FC8">
            <w:pPr>
              <w:jc w:val="center"/>
              <w:rPr>
                <w:sz w:val="22"/>
                <w:szCs w:val="22"/>
                <w:lang w:val="ro-RO"/>
              </w:rPr>
            </w:pPr>
            <w:r w:rsidRPr="00E0488D">
              <w:rPr>
                <w:sz w:val="22"/>
                <w:szCs w:val="22"/>
                <w:lang w:val="ro-RO"/>
              </w:rPr>
              <w:t>1%</w:t>
            </w:r>
          </w:p>
        </w:tc>
      </w:tr>
    </w:tbl>
    <w:p w:rsidR="00B4550A" w:rsidRPr="00E0488D" w:rsidRDefault="00B4550A" w:rsidP="002B7E09">
      <w:pPr>
        <w:pStyle w:val="NumberedParas"/>
      </w:pPr>
      <w:r w:rsidRPr="00E0488D">
        <w:t xml:space="preserve">Unele dintre aceste porturi intenționează să-și mărească cota modală pentru containerele care pleacă din port pe cale ferată și pe barje. Portul Constanța este bine poziționat pentru a </w:t>
      </w:r>
      <w:r w:rsidRPr="00E0488D">
        <w:lastRenderedPageBreak/>
        <w:t>realiza același lucru și s-ar putea inspira din practicile și operațiunile realizate în unele dintre aceste porturi. Se consideră că Portul Constanța și-ar putea extinde utilizarea a două moduri de transport, în special traficul pe barje dacă luăm în considerare procentele planifícate de porturile Antwerp și Rotterdam.</w:t>
      </w:r>
    </w:p>
    <w:p w:rsidR="00B4550A" w:rsidRPr="00E0488D" w:rsidRDefault="00B4550A" w:rsidP="00BD59B2">
      <w:pPr>
        <w:pStyle w:val="Hdg2"/>
      </w:pPr>
      <w:bookmarkStart w:id="64" w:name="_Toc398292055"/>
      <w:bookmarkStart w:id="65" w:name="_Toc413060308"/>
      <w:bookmarkStart w:id="66" w:name="_Toc396234279"/>
      <w:r w:rsidRPr="00E0488D">
        <w:t>Tendințe în transportul aerian în contextul european</w:t>
      </w:r>
      <w:bookmarkEnd w:id="64"/>
      <w:bookmarkEnd w:id="65"/>
      <w:r w:rsidRPr="00E0488D">
        <w:rPr>
          <w:highlight w:val="cyan"/>
        </w:rPr>
        <w:t xml:space="preserve"> </w:t>
      </w:r>
      <w:bookmarkEnd w:id="66"/>
    </w:p>
    <w:p w:rsidR="00B4550A" w:rsidRPr="00E0488D" w:rsidRDefault="00B4550A" w:rsidP="002B7E09">
      <w:pPr>
        <w:pStyle w:val="NumberedParas"/>
      </w:pPr>
      <w:r w:rsidRPr="00E0488D">
        <w:t>În 2011, un număr total de 10,8 millioane pasageri au călătorit prin aeroporturile din România. Din acest total peste 50% din pasageri au călătorit prin Aeroportul Internațional Henri Coandă de la București-fapt care denotă capitalul puternic-natura centrică a sistemului de transport aerian al țării.</w:t>
      </w:r>
    </w:p>
    <w:p w:rsidR="00B4550A" w:rsidRPr="00E0488D" w:rsidRDefault="00B4550A" w:rsidP="002B7E09">
      <w:pPr>
        <w:pStyle w:val="NumberedParas"/>
      </w:pPr>
      <w:r w:rsidRPr="00E0488D">
        <w:t>Publicația de Informare Aeronautica (PIA) din România prezintă un număr total de 21 de aeroporturi, iar șapte dintre aeroporturile din țară nu sunt deservite în prezent de zboruri regulate. Dezvoltarea infrastructurii de transport aerian din România își propune să furnizeze centre regionale care să asigure un transport rapid către București, capitala, împreună cu alte centre regionale. Transportul aerian are de asemenea ca și obiectiv asigurarea unei conectivități internaționale. Întrucât rețeaua națională rutieră este în curs  de dezvoltare și chiar și cele mai rapide secțiuni de cale ferată (în prezent București-Constanța) sunt supuse unor restricții de viteză, transportul aerian rămâne o preferință pentru transportul intern în care timpul rapid de călătorie este un factor critic.</w:t>
      </w:r>
    </w:p>
    <w:p w:rsidR="00B4550A" w:rsidRPr="00E0488D" w:rsidRDefault="00B4550A" w:rsidP="002B7E09">
      <w:pPr>
        <w:pStyle w:val="NumberedParas"/>
      </w:pPr>
      <w:r w:rsidRPr="00E0488D">
        <w:t>S-a început de asemenea construcția noului aeroport internațional Brasov-Ghimbav. Noua pistă, destinată să primească aeronave de cursă de dimenisiuni medii va avea o lungime de 2.820 m și 45 de metri lățime. Deschiderea aeroportului este de natură să sporească potențialul de investiții în zonă, în special în industria turismului, precum și noi oportunități de dezvoltare pentru companiile mici și mijlocii. Aeroportul este programat să se deschidă la sfârșitul anului 2014/începutul anului 2015.</w:t>
      </w:r>
    </w:p>
    <w:p w:rsidR="00B4550A" w:rsidRPr="00E0488D" w:rsidRDefault="00B4550A" w:rsidP="002B7E09">
      <w:pPr>
        <w:pStyle w:val="NumberedParas"/>
      </w:pPr>
      <w:r w:rsidRPr="00E0488D">
        <w:t>În scopul realizării unei evaluări comparative, piața transportului aerian din România a fost comparată cu piața din Republica Cehă, care a aderat la UE cu trei ani mai devreme. Tabelul 3.14 de mai jos prezintă o comparație între cele două țări din punct de vedere al numărului mic de indicatori socio-economici și politici importanți.</w:t>
      </w:r>
    </w:p>
    <w:p w:rsidR="00B4550A" w:rsidRPr="00E0488D" w:rsidRDefault="00B4550A" w:rsidP="00B4550A">
      <w:pPr>
        <w:spacing w:before="120" w:after="120"/>
        <w:ind w:left="851"/>
        <w:rPr>
          <w:b/>
          <w:lang w:val="ro-RO"/>
        </w:rPr>
      </w:pPr>
      <w:r w:rsidRPr="00E0488D">
        <w:rPr>
          <w:b/>
          <w:sz w:val="22"/>
          <w:szCs w:val="22"/>
          <w:lang w:val="ro-RO"/>
        </w:rPr>
        <w:t>Tabel 3.14 Comparație socio-economică și politică între România și Republica Cehă</w:t>
      </w:r>
    </w:p>
    <w:tbl>
      <w:tblPr>
        <w:tblW w:w="9457"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2"/>
        <w:gridCol w:w="3152"/>
        <w:gridCol w:w="3153"/>
      </w:tblGrid>
      <w:tr w:rsidR="00B4550A" w:rsidRPr="00E0488D" w:rsidTr="003C7FC8">
        <w:tc>
          <w:tcPr>
            <w:tcW w:w="3152" w:type="dxa"/>
            <w:shd w:val="clear" w:color="auto" w:fill="C6D9F1"/>
            <w:vAlign w:val="center"/>
          </w:tcPr>
          <w:p w:rsidR="00B4550A" w:rsidRPr="00E0488D" w:rsidRDefault="00B4550A" w:rsidP="003C7FC8">
            <w:pPr>
              <w:spacing w:line="276" w:lineRule="auto"/>
              <w:rPr>
                <w:b/>
                <w:sz w:val="22"/>
                <w:szCs w:val="22"/>
                <w:lang w:val="ro-RO"/>
              </w:rPr>
            </w:pPr>
            <w:r w:rsidRPr="00E0488D">
              <w:rPr>
                <w:b/>
                <w:sz w:val="22"/>
                <w:szCs w:val="22"/>
                <w:lang w:val="ro-RO"/>
              </w:rPr>
              <w:t>Statistici 2011</w:t>
            </w:r>
          </w:p>
        </w:tc>
        <w:tc>
          <w:tcPr>
            <w:tcW w:w="3152" w:type="dxa"/>
            <w:shd w:val="clear" w:color="auto" w:fill="C6D9F1"/>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România</w:t>
            </w:r>
          </w:p>
        </w:tc>
        <w:tc>
          <w:tcPr>
            <w:tcW w:w="3153" w:type="dxa"/>
            <w:shd w:val="clear" w:color="auto" w:fill="C6D9F1"/>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Republica Cehă</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PIB per capita</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6.100€</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14.800€</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Suprafață</w:t>
            </w:r>
          </w:p>
        </w:tc>
        <w:tc>
          <w:tcPr>
            <w:tcW w:w="3152" w:type="dxa"/>
            <w:vAlign w:val="center"/>
          </w:tcPr>
          <w:p w:rsidR="00B4550A" w:rsidRPr="00E0488D" w:rsidRDefault="00B4550A" w:rsidP="003C7FC8">
            <w:pPr>
              <w:spacing w:line="276" w:lineRule="auto"/>
              <w:jc w:val="center"/>
              <w:rPr>
                <w:sz w:val="22"/>
                <w:szCs w:val="22"/>
                <w:vertAlign w:val="superscript"/>
                <w:lang w:val="ro-RO"/>
              </w:rPr>
            </w:pPr>
            <w:r w:rsidRPr="00E0488D">
              <w:rPr>
                <w:sz w:val="22"/>
                <w:szCs w:val="22"/>
                <w:lang w:val="ro-RO"/>
              </w:rPr>
              <w:t>238.391km</w:t>
            </w:r>
            <w:r w:rsidRPr="00E0488D">
              <w:rPr>
                <w:sz w:val="22"/>
                <w:szCs w:val="22"/>
                <w:vertAlign w:val="superscript"/>
                <w:lang w:val="ro-RO"/>
              </w:rPr>
              <w:t>2</w:t>
            </w:r>
          </w:p>
        </w:tc>
        <w:tc>
          <w:tcPr>
            <w:tcW w:w="3153" w:type="dxa"/>
            <w:vAlign w:val="center"/>
          </w:tcPr>
          <w:p w:rsidR="00B4550A" w:rsidRPr="00E0488D" w:rsidRDefault="00B4550A" w:rsidP="003C7FC8">
            <w:pPr>
              <w:spacing w:line="276" w:lineRule="auto"/>
              <w:jc w:val="center"/>
              <w:rPr>
                <w:sz w:val="22"/>
                <w:szCs w:val="22"/>
                <w:vertAlign w:val="superscript"/>
                <w:lang w:val="ro-RO"/>
              </w:rPr>
            </w:pPr>
            <w:r w:rsidRPr="00E0488D">
              <w:rPr>
                <w:sz w:val="22"/>
                <w:szCs w:val="22"/>
                <w:lang w:val="ro-RO"/>
              </w:rPr>
              <w:t>78.866km</w:t>
            </w:r>
            <w:r w:rsidRPr="00E0488D">
              <w:rPr>
                <w:sz w:val="22"/>
                <w:szCs w:val="22"/>
                <w:vertAlign w:val="superscript"/>
                <w:lang w:val="ro-RO"/>
              </w:rPr>
              <w:t>2</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Populație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21.413.815</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10.486.731</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Densitatea populației</w:t>
            </w:r>
          </w:p>
        </w:tc>
        <w:tc>
          <w:tcPr>
            <w:tcW w:w="3152" w:type="dxa"/>
            <w:vAlign w:val="center"/>
          </w:tcPr>
          <w:p w:rsidR="00B4550A" w:rsidRPr="00E0488D" w:rsidRDefault="00B4550A" w:rsidP="003C7FC8">
            <w:pPr>
              <w:spacing w:line="276" w:lineRule="auto"/>
              <w:jc w:val="center"/>
              <w:rPr>
                <w:sz w:val="22"/>
                <w:szCs w:val="22"/>
                <w:vertAlign w:val="superscript"/>
                <w:lang w:val="ro-RO"/>
              </w:rPr>
            </w:pPr>
            <w:r w:rsidRPr="00E0488D">
              <w:rPr>
                <w:sz w:val="22"/>
                <w:szCs w:val="22"/>
                <w:lang w:val="ro-RO"/>
              </w:rPr>
              <w:t>93/km</w:t>
            </w:r>
            <w:r w:rsidRPr="00E0488D">
              <w:rPr>
                <w:sz w:val="22"/>
                <w:szCs w:val="22"/>
                <w:vertAlign w:val="superscript"/>
                <w:lang w:val="ro-RO"/>
              </w:rPr>
              <w:t>2</w:t>
            </w:r>
          </w:p>
        </w:tc>
        <w:tc>
          <w:tcPr>
            <w:tcW w:w="3153" w:type="dxa"/>
            <w:vAlign w:val="center"/>
          </w:tcPr>
          <w:p w:rsidR="00B4550A" w:rsidRPr="00E0488D" w:rsidRDefault="00B4550A" w:rsidP="003C7FC8">
            <w:pPr>
              <w:spacing w:line="276" w:lineRule="auto"/>
              <w:jc w:val="center"/>
              <w:rPr>
                <w:sz w:val="22"/>
                <w:szCs w:val="22"/>
                <w:vertAlign w:val="superscript"/>
                <w:lang w:val="ro-RO"/>
              </w:rPr>
            </w:pPr>
            <w:r w:rsidRPr="00E0488D">
              <w:rPr>
                <w:sz w:val="22"/>
                <w:szCs w:val="22"/>
                <w:lang w:val="ro-RO"/>
              </w:rPr>
              <w:t>135,5/km</w:t>
            </w:r>
            <w:r w:rsidRPr="00E0488D">
              <w:rPr>
                <w:sz w:val="22"/>
                <w:szCs w:val="22"/>
                <w:vertAlign w:val="superscript"/>
                <w:lang w:val="ro-RO"/>
              </w:rPr>
              <w:t>2</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Revoluție post-comunistă</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1989</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1989</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Aderare la UE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2007</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2004</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Sectoare industriale cheie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Constructii, automobile, industria constructoare de mașini, chimică</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industria constructoare de mașini, chimică, alimentară, telecomunicații</w:t>
            </w:r>
          </w:p>
        </w:tc>
      </w:tr>
    </w:tbl>
    <w:p w:rsidR="00B4550A" w:rsidRPr="00E0488D" w:rsidRDefault="00B4550A" w:rsidP="00B4550A">
      <w:pPr>
        <w:rPr>
          <w:lang w:val="ro-RO"/>
        </w:rPr>
      </w:pPr>
    </w:p>
    <w:p w:rsidR="00B4550A" w:rsidRPr="00E0488D" w:rsidRDefault="00B4550A" w:rsidP="00B4550A">
      <w:pPr>
        <w:ind w:left="851"/>
        <w:rPr>
          <w:i/>
          <w:lang w:val="ro-RO"/>
        </w:rPr>
      </w:pPr>
      <w:r w:rsidRPr="00E0488D">
        <w:rPr>
          <w:i/>
          <w:lang w:val="ro-RO"/>
        </w:rPr>
        <w:t>Sursa:Eurostat</w:t>
      </w:r>
    </w:p>
    <w:p w:rsidR="00B4550A" w:rsidRPr="00E0488D" w:rsidRDefault="00B4550A" w:rsidP="002B7E09">
      <w:pPr>
        <w:pStyle w:val="NumberedParas"/>
      </w:pPr>
      <w:r w:rsidRPr="00E0488D">
        <w:t xml:space="preserve">Deși România este o țară mai mare și mai populată decât Cehia, aceasta din urmă este în mod semnificativ mai bogată, cu toate că a aderat la UE cu trei ani mai devreme. Ca o țară mai mică ar fi de așteptat ca piața transportului aerian intern din Republica Cehă să fie mai mică, iar Tabelul 3.14 arată într-adevăr acest lucru. Cu toate acestea, în 2011 Republica Cehă </w:t>
      </w:r>
      <w:r w:rsidRPr="00E0488D">
        <w:lastRenderedPageBreak/>
        <w:t>a înregistrat o creștere a numărului total de pasageri aerieni cu 19% față de România, deși piața internă a fost în mod semnificativ mai mică cum era de așteptat.Piața internațională mai mare ar putea fi explicată datorită nivelului de bogăție mai mare al țării, oferind țării o tendință mai mare și posibilitatea unor călătorii internaționale, iar un nivel mai mare de activitate internațională în domeniul afacerilor este de natură să încurajeze afacerile din străinătate.</w:t>
      </w:r>
    </w:p>
    <w:p w:rsidR="00B4550A" w:rsidRPr="00E0488D" w:rsidRDefault="00B4550A" w:rsidP="002B7E09">
      <w:pPr>
        <w:pStyle w:val="NumberedParas"/>
      </w:pPr>
      <w:r w:rsidRPr="00E0488D">
        <w:t>În 2011 piața de transport aerian din Cehia a fost de peste 2,6 ori mai mare decât cea din România; reflectând probabil o bază de producție mai mare în țară sau faptul că diverse sectoare ale industriei pot atrage un nivel mai mare de activități de transport aerian de mărfuri, cum este cazul celor din industria alimentară sau telecomunicații.</w:t>
      </w:r>
    </w:p>
    <w:p w:rsidR="00B4550A" w:rsidRPr="00E0488D" w:rsidRDefault="00B4550A" w:rsidP="002B7E09">
      <w:pPr>
        <w:pStyle w:val="NumberedParas"/>
      </w:pPr>
      <w:r w:rsidRPr="00E0488D">
        <w:t>În ceea ce privește pătrundearea transportatorilor cu costuri reduse, piata din România se clasează mult mai favorabil față de Republica Cehă. Acest factor ar putea fi  parțial explicat prin nivelul mai scăzut de bogăție al României; persoanele care călătoresc din România pot fi atrase de tarífele reduse ale transportatorilor cu costuri reduse, mai degrabă decât de serviciile aeriene cu servicii complete. Impactul transportatorilor cu costuri reduse poate fi resimțit în principal pe rutele internaționale; piața internă din România este un pic acaparată de transportatorii cu costuri reduse.</w:t>
      </w:r>
    </w:p>
    <w:p w:rsidR="00B4550A" w:rsidRPr="00E0488D" w:rsidRDefault="00B4550A" w:rsidP="00B4550A">
      <w:pPr>
        <w:spacing w:before="120" w:after="120"/>
        <w:ind w:left="851"/>
        <w:rPr>
          <w:b/>
          <w:sz w:val="22"/>
          <w:szCs w:val="22"/>
          <w:lang w:val="ro-RO"/>
        </w:rPr>
      </w:pPr>
      <w:r w:rsidRPr="00E0488D">
        <w:rPr>
          <w:b/>
          <w:sz w:val="22"/>
          <w:szCs w:val="22"/>
          <w:lang w:val="ro-RO"/>
        </w:rPr>
        <w:t>Tabel 3.15 Comparaței între piața de  transport aerian din Romania și Republica Cehă</w:t>
      </w:r>
    </w:p>
    <w:tbl>
      <w:tblPr>
        <w:tblW w:w="9457"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2"/>
        <w:gridCol w:w="3152"/>
        <w:gridCol w:w="3153"/>
      </w:tblGrid>
      <w:tr w:rsidR="00B4550A" w:rsidRPr="00E0488D" w:rsidTr="003C7FC8">
        <w:tc>
          <w:tcPr>
            <w:tcW w:w="3152" w:type="dxa"/>
            <w:shd w:val="clear" w:color="auto" w:fill="C6D9F1"/>
            <w:vAlign w:val="center"/>
          </w:tcPr>
          <w:p w:rsidR="00B4550A" w:rsidRPr="00E0488D" w:rsidRDefault="00B4550A" w:rsidP="003C7FC8">
            <w:pPr>
              <w:spacing w:line="276" w:lineRule="auto"/>
              <w:rPr>
                <w:b/>
                <w:sz w:val="22"/>
                <w:szCs w:val="22"/>
                <w:lang w:val="ro-RO"/>
              </w:rPr>
            </w:pPr>
            <w:r w:rsidRPr="00E0488D">
              <w:rPr>
                <w:b/>
                <w:sz w:val="22"/>
                <w:szCs w:val="22"/>
                <w:lang w:val="ro-RO"/>
              </w:rPr>
              <w:t>Statistici 2011</w:t>
            </w:r>
          </w:p>
        </w:tc>
        <w:tc>
          <w:tcPr>
            <w:tcW w:w="3152" w:type="dxa"/>
            <w:shd w:val="clear" w:color="auto" w:fill="C6D9F1"/>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România</w:t>
            </w:r>
          </w:p>
        </w:tc>
        <w:tc>
          <w:tcPr>
            <w:tcW w:w="3153" w:type="dxa"/>
            <w:shd w:val="clear" w:color="auto" w:fill="C6D9F1"/>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Republica Cehă</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Nr total pasageri aerieni</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10.810.570</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12.824.895</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Nr pasageri interni</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1.129.310</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229.762</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Nr pasageri internaționali</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9.681.260</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12.595.133</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Tranport aerian de mărfuri</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26.156t</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69.106t</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Companii costuri reduse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37%</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29%</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Zboruri totale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95.836</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152.215</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Zboruri totale interne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24.492</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7.075</w:t>
            </w:r>
          </w:p>
        </w:tc>
      </w:tr>
      <w:tr w:rsidR="00B4550A" w:rsidRPr="00E0488D" w:rsidTr="003C7FC8">
        <w:tc>
          <w:tcPr>
            <w:tcW w:w="3152" w:type="dxa"/>
            <w:vAlign w:val="center"/>
          </w:tcPr>
          <w:p w:rsidR="00B4550A" w:rsidRPr="00E0488D" w:rsidRDefault="00B4550A" w:rsidP="003C7FC8">
            <w:pPr>
              <w:spacing w:line="276" w:lineRule="auto"/>
              <w:rPr>
                <w:sz w:val="22"/>
                <w:szCs w:val="22"/>
                <w:lang w:val="ro-RO"/>
              </w:rPr>
            </w:pPr>
            <w:r w:rsidRPr="00E0488D">
              <w:rPr>
                <w:sz w:val="22"/>
                <w:szCs w:val="22"/>
                <w:lang w:val="ro-RO"/>
              </w:rPr>
              <w:t>Zboruri totale internaționale</w:t>
            </w:r>
          </w:p>
        </w:tc>
        <w:tc>
          <w:tcPr>
            <w:tcW w:w="3152"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71.344</w:t>
            </w:r>
          </w:p>
        </w:tc>
        <w:tc>
          <w:tcPr>
            <w:tcW w:w="3153"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145.140</w:t>
            </w:r>
          </w:p>
        </w:tc>
      </w:tr>
    </w:tbl>
    <w:p w:rsidR="00B4550A" w:rsidRPr="00E0488D" w:rsidRDefault="00B4550A" w:rsidP="00B4550A">
      <w:pPr>
        <w:rPr>
          <w:lang w:val="ro-RO"/>
        </w:rPr>
      </w:pPr>
    </w:p>
    <w:p w:rsidR="00B4550A" w:rsidRPr="00E0488D" w:rsidRDefault="00B4550A" w:rsidP="00B4550A">
      <w:pPr>
        <w:ind w:left="851"/>
        <w:rPr>
          <w:i/>
          <w:lang w:val="ro-RO"/>
        </w:rPr>
      </w:pPr>
      <w:r w:rsidRPr="00E0488D">
        <w:rPr>
          <w:i/>
          <w:lang w:val="ro-RO"/>
        </w:rPr>
        <w:t>Sursa :Eurostat</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D59B2">
      <w:pPr>
        <w:pStyle w:val="Hdg2"/>
      </w:pPr>
      <w:bookmarkStart w:id="67" w:name="_Toc398292056"/>
      <w:bookmarkStart w:id="68" w:name="_Toc413060309"/>
      <w:bookmarkStart w:id="69" w:name="_Toc396234280"/>
      <w:r w:rsidRPr="00E0488D">
        <w:lastRenderedPageBreak/>
        <w:t>Tendințe în transportul intermodal</w:t>
      </w:r>
      <w:bookmarkEnd w:id="67"/>
      <w:bookmarkEnd w:id="68"/>
      <w:r w:rsidRPr="00E0488D">
        <w:t xml:space="preserve"> </w:t>
      </w:r>
      <w:bookmarkEnd w:id="69"/>
    </w:p>
    <w:p w:rsidR="00B4550A" w:rsidRPr="00E0488D" w:rsidRDefault="00B4550A" w:rsidP="002B7E09">
      <w:pPr>
        <w:pStyle w:val="NumberedParas"/>
        <w:rPr>
          <w:lang w:eastAsia="en-GB"/>
        </w:rPr>
      </w:pPr>
      <w:r w:rsidRPr="00E0488D">
        <w:rPr>
          <w:lang w:eastAsia="en-GB"/>
        </w:rPr>
        <w:t>Tabelul de mai jos demonstrează faptul că România transportă de departe mai puține containere pe cale ferată față de alte țări europene (deși volumul este mai mare față de Bulgaria). Tabelul prezintă faptul că transportul containerizat este în special avansat în Italia, Turcia, Austria și Germania, dar Bulgaria și România au rămas în urmă. Volumul și procentul din țări precum Austria sunt mari datorită efectului alpin unde pe anumite rute este obligatorie utilizarea serviciilor de transport feroviar și există astfel un volum considerabil de trafic de tranzit. Cu toate acestea România ar putea atrage de asemenea volume semnificative de trafic de tranzit.</w:t>
      </w:r>
    </w:p>
    <w:p w:rsidR="00B4550A" w:rsidRPr="00E0488D" w:rsidRDefault="00B4550A" w:rsidP="00B4550A">
      <w:pPr>
        <w:pStyle w:val="Body"/>
        <w:ind w:left="851"/>
        <w:rPr>
          <w:b/>
          <w:i w:val="0"/>
          <w:lang w:val="ro-RO" w:eastAsia="en-GB"/>
        </w:rPr>
      </w:pPr>
      <w:r w:rsidRPr="00E0488D">
        <w:rPr>
          <w:b/>
          <w:i w:val="0"/>
          <w:lang w:val="ro-RO" w:eastAsia="en-GB"/>
        </w:rPr>
        <w:t xml:space="preserve">Tabel 3.16 Volumul anual de transport feroviar de mărfuri (containere și cutii de navetă) în unități de transport intermodal (în 000 tone) și procentul % pe care îl reprezintă transportul ferovirar de containere </w:t>
      </w:r>
    </w:p>
    <w:tbl>
      <w:tblPr>
        <w:tblW w:w="0" w:type="auto"/>
        <w:tblInd w:w="851" w:type="dxa"/>
        <w:tblLook w:val="04A0" w:firstRow="1" w:lastRow="0" w:firstColumn="1" w:lastColumn="0" w:noHBand="0" w:noVBand="1"/>
      </w:tblPr>
      <w:tblGrid>
        <w:gridCol w:w="1782"/>
        <w:gridCol w:w="1965"/>
        <w:gridCol w:w="1965"/>
        <w:gridCol w:w="1972"/>
        <w:gridCol w:w="1972"/>
      </w:tblGrid>
      <w:tr w:rsidR="00B4550A" w:rsidRPr="00E0488D" w:rsidTr="003C7FC8">
        <w:trPr>
          <w:trHeight w:val="885"/>
        </w:trPr>
        <w:tc>
          <w:tcPr>
            <w:tcW w:w="0" w:type="auto"/>
            <w:vMerge w:val="restart"/>
            <w:tcBorders>
              <w:top w:val="single" w:sz="4" w:space="0" w:color="auto"/>
              <w:left w:val="single" w:sz="4" w:space="0" w:color="auto"/>
              <w:bottom w:val="single" w:sz="4" w:space="0" w:color="auto"/>
              <w:right w:val="single" w:sz="4" w:space="0" w:color="auto"/>
            </w:tcBorders>
            <w:shd w:val="clear" w:color="auto" w:fill="B6DDE8"/>
            <w:noWrap/>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Țara</w:t>
            </w:r>
          </w:p>
        </w:tc>
        <w:tc>
          <w:tcPr>
            <w:tcW w:w="0" w:type="auto"/>
            <w:gridSpan w:val="2"/>
            <w:tcBorders>
              <w:top w:val="single" w:sz="4" w:space="0" w:color="auto"/>
              <w:left w:val="nil"/>
              <w:bottom w:val="single" w:sz="4" w:space="0" w:color="auto"/>
              <w:right w:val="single" w:sz="4" w:space="0" w:color="000000"/>
            </w:tcBorders>
            <w:shd w:val="clear" w:color="auto" w:fill="B6DDE8"/>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Volumul total de containere și cutii de navetă  ('000 tone)</w:t>
            </w:r>
          </w:p>
        </w:tc>
        <w:tc>
          <w:tcPr>
            <w:tcW w:w="0" w:type="auto"/>
            <w:gridSpan w:val="2"/>
            <w:tcBorders>
              <w:top w:val="single" w:sz="4" w:space="0" w:color="auto"/>
              <w:left w:val="nil"/>
              <w:bottom w:val="single" w:sz="4" w:space="0" w:color="auto"/>
              <w:right w:val="single" w:sz="4" w:space="0" w:color="auto"/>
            </w:tcBorders>
            <w:shd w:val="clear" w:color="auto" w:fill="B6DDE8"/>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 xml:space="preserve">% de containere din mărfurile totale transportate cu trenul </w:t>
            </w:r>
          </w:p>
        </w:tc>
      </w:tr>
      <w:tr w:rsidR="00B4550A" w:rsidRPr="00E0488D" w:rsidTr="003C7FC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B4550A" w:rsidRPr="00E0488D" w:rsidRDefault="00B4550A" w:rsidP="003C7FC8">
            <w:pPr>
              <w:jc w:val="center"/>
              <w:rPr>
                <w:b/>
                <w:sz w:val="22"/>
                <w:szCs w:val="22"/>
                <w:lang w:val="ro-RO" w:eastAsia="en-GB"/>
              </w:rPr>
            </w:pPr>
          </w:p>
        </w:tc>
        <w:tc>
          <w:tcPr>
            <w:tcW w:w="0" w:type="auto"/>
            <w:tcBorders>
              <w:top w:val="nil"/>
              <w:left w:val="nil"/>
              <w:bottom w:val="single" w:sz="4" w:space="0" w:color="auto"/>
              <w:right w:val="single" w:sz="4" w:space="0" w:color="auto"/>
            </w:tcBorders>
            <w:shd w:val="clear" w:color="auto" w:fill="B6DDE8"/>
            <w:noWrap/>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2011</w:t>
            </w:r>
          </w:p>
        </w:tc>
        <w:tc>
          <w:tcPr>
            <w:tcW w:w="0" w:type="auto"/>
            <w:tcBorders>
              <w:top w:val="nil"/>
              <w:left w:val="nil"/>
              <w:bottom w:val="single" w:sz="4" w:space="0" w:color="auto"/>
              <w:right w:val="single" w:sz="4" w:space="0" w:color="auto"/>
            </w:tcBorders>
            <w:shd w:val="clear" w:color="auto" w:fill="B6DDE8"/>
            <w:noWrap/>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2012</w:t>
            </w:r>
          </w:p>
        </w:tc>
        <w:tc>
          <w:tcPr>
            <w:tcW w:w="0" w:type="auto"/>
            <w:tcBorders>
              <w:top w:val="nil"/>
              <w:left w:val="nil"/>
              <w:bottom w:val="single" w:sz="4" w:space="0" w:color="auto"/>
              <w:right w:val="single" w:sz="4" w:space="0" w:color="auto"/>
            </w:tcBorders>
            <w:shd w:val="clear" w:color="auto" w:fill="B6DDE8"/>
            <w:noWrap/>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2011</w:t>
            </w:r>
          </w:p>
        </w:tc>
        <w:tc>
          <w:tcPr>
            <w:tcW w:w="0" w:type="auto"/>
            <w:tcBorders>
              <w:top w:val="nil"/>
              <w:left w:val="nil"/>
              <w:bottom w:val="single" w:sz="4" w:space="0" w:color="auto"/>
              <w:right w:val="single" w:sz="4" w:space="0" w:color="auto"/>
            </w:tcBorders>
            <w:shd w:val="clear" w:color="auto" w:fill="B6DDE8"/>
            <w:noWrap/>
            <w:vAlign w:val="center"/>
            <w:hideMark/>
          </w:tcPr>
          <w:p w:rsidR="00B4550A" w:rsidRPr="00E0488D" w:rsidRDefault="00B4550A" w:rsidP="003C7FC8">
            <w:pPr>
              <w:jc w:val="center"/>
              <w:rPr>
                <w:b/>
                <w:sz w:val="22"/>
                <w:szCs w:val="22"/>
                <w:lang w:val="ro-RO" w:eastAsia="en-GB"/>
              </w:rPr>
            </w:pPr>
            <w:r w:rsidRPr="00E0488D">
              <w:rPr>
                <w:b/>
                <w:sz w:val="22"/>
                <w:szCs w:val="22"/>
                <w:lang w:val="ro-RO" w:eastAsia="en-GB"/>
              </w:rPr>
              <w:t>2012</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Austria</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16.312</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15.806</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18,2%</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19,0%</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Bulgaria</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789</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664</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5,8%</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5,6%</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Republica Cehă</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7.321</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7.852</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8,4%</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9,5%</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Germania</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64.301</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66.230</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17,2%</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18,1%</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Italia</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34.275</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33.985</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43,4%</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45,1%</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România</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2.611</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2.372</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4,6%</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4,7%</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Turcia</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7.601</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8.264</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30,7%</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33,2%</w:t>
            </w:r>
          </w:p>
        </w:tc>
      </w:tr>
      <w:tr w:rsidR="00B4550A" w:rsidRPr="00E0488D" w:rsidTr="003C7FC8">
        <w:trPr>
          <w:trHeight w:val="285"/>
        </w:trPr>
        <w:tc>
          <w:tcPr>
            <w:tcW w:w="0" w:type="auto"/>
            <w:tcBorders>
              <w:top w:val="nil"/>
              <w:left w:val="single" w:sz="4" w:space="0" w:color="auto"/>
              <w:bottom w:val="single" w:sz="4" w:space="0" w:color="auto"/>
              <w:right w:val="single" w:sz="4" w:space="0" w:color="auto"/>
            </w:tcBorders>
            <w:noWrap/>
            <w:vAlign w:val="center"/>
            <w:hideMark/>
          </w:tcPr>
          <w:p w:rsidR="00B4550A" w:rsidRPr="00E0488D" w:rsidRDefault="00B4550A" w:rsidP="003C7FC8">
            <w:pPr>
              <w:rPr>
                <w:sz w:val="22"/>
                <w:szCs w:val="22"/>
                <w:lang w:val="ro-RO" w:eastAsia="en-GB"/>
              </w:rPr>
            </w:pPr>
            <w:r w:rsidRPr="00E0488D">
              <w:rPr>
                <w:sz w:val="22"/>
                <w:szCs w:val="22"/>
                <w:lang w:val="ro-RO" w:eastAsia="en-GB"/>
              </w:rPr>
              <w:t>Marea Britanie</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11.098</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11.742</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11,1%</w:t>
            </w:r>
          </w:p>
        </w:tc>
        <w:tc>
          <w:tcPr>
            <w:tcW w:w="0" w:type="auto"/>
            <w:tcBorders>
              <w:top w:val="nil"/>
              <w:left w:val="nil"/>
              <w:bottom w:val="single" w:sz="4" w:space="0" w:color="auto"/>
              <w:right w:val="single" w:sz="4" w:space="0" w:color="auto"/>
            </w:tcBorders>
            <w:noWrap/>
            <w:vAlign w:val="center"/>
            <w:hideMark/>
          </w:tcPr>
          <w:p w:rsidR="00B4550A" w:rsidRPr="00E0488D" w:rsidRDefault="00B4550A" w:rsidP="003C7FC8">
            <w:pPr>
              <w:jc w:val="center"/>
              <w:rPr>
                <w:sz w:val="22"/>
                <w:szCs w:val="22"/>
                <w:lang w:val="ro-RO" w:eastAsia="en-GB"/>
              </w:rPr>
            </w:pPr>
            <w:r w:rsidRPr="00E0488D">
              <w:rPr>
                <w:sz w:val="22"/>
                <w:szCs w:val="22"/>
                <w:lang w:val="ro-RO" w:eastAsia="en-GB"/>
              </w:rPr>
              <w:t>10,2%</w:t>
            </w:r>
          </w:p>
        </w:tc>
      </w:tr>
    </w:tbl>
    <w:p w:rsidR="00B4550A" w:rsidRPr="00E0488D" w:rsidRDefault="00B4550A" w:rsidP="00B4550A">
      <w:pPr>
        <w:pStyle w:val="Body"/>
        <w:spacing w:before="0" w:after="0"/>
        <w:ind w:left="851"/>
        <w:rPr>
          <w:sz w:val="18"/>
          <w:szCs w:val="18"/>
          <w:lang w:val="ro-RO" w:eastAsia="en-GB"/>
        </w:rPr>
      </w:pPr>
      <w:r w:rsidRPr="00E0488D">
        <w:rPr>
          <w:sz w:val="18"/>
          <w:szCs w:val="18"/>
          <w:lang w:val="ro-RO" w:eastAsia="en-GB"/>
        </w:rPr>
        <w:t xml:space="preserve"> (Sursa Eurostat)</w:t>
      </w:r>
    </w:p>
    <w:p w:rsidR="00B4550A" w:rsidRPr="00E0488D" w:rsidRDefault="00B4550A" w:rsidP="00B4550A">
      <w:pPr>
        <w:rPr>
          <w:lang w:val="ro-RO"/>
        </w:rPr>
      </w:pPr>
    </w:p>
    <w:p w:rsidR="00B4550A" w:rsidRPr="00E0488D" w:rsidRDefault="00B4550A" w:rsidP="00B4550A">
      <w:pPr>
        <w:rPr>
          <w:sz w:val="22"/>
          <w:szCs w:val="22"/>
          <w:lang w:val="ro-RO"/>
        </w:rPr>
      </w:pPr>
    </w:p>
    <w:p w:rsidR="00B4550A" w:rsidRPr="00E0488D" w:rsidRDefault="00B4550A" w:rsidP="00BD59B2">
      <w:pPr>
        <w:pStyle w:val="Hdg2"/>
      </w:pPr>
      <w:bookmarkStart w:id="70" w:name="_Toc398292058"/>
      <w:bookmarkStart w:id="71" w:name="_Toc413060310"/>
      <w:bookmarkStart w:id="72" w:name="_Toc396234282"/>
      <w:r w:rsidRPr="00E0488D">
        <w:t>Transportul și dezvoltarea economică</w:t>
      </w:r>
      <w:bookmarkEnd w:id="70"/>
      <w:bookmarkEnd w:id="71"/>
      <w:r w:rsidRPr="00E0488D">
        <w:t xml:space="preserve"> </w:t>
      </w:r>
      <w:bookmarkEnd w:id="72"/>
    </w:p>
    <w:p w:rsidR="00B4550A" w:rsidRPr="00E0488D" w:rsidRDefault="00B4550A" w:rsidP="002B7E09">
      <w:pPr>
        <w:pStyle w:val="NumberedParas"/>
        <w:rPr>
          <w:shd w:val="clear" w:color="auto" w:fill="FFFFFF"/>
        </w:rPr>
      </w:pPr>
      <w:r w:rsidRPr="00E0488D">
        <w:rPr>
          <w:shd w:val="clear" w:color="auto" w:fill="FFFFFF"/>
        </w:rPr>
        <w:t>Transportul eficient este o componentă critică a dezvoltării economice, la nivel global și național. Disponibilitatea transportului afectează modelele de dezvoltare globală și poate constitui un impuls sau o barieră în dezvoltarea economică în cadrul fiecărei națiuni. Investițiile în transport unesc factorii de producție într-o rețea de relații între producători și consumatori pentru a crea o diviziune mai eficientă a producției, un avantaj comparativ geografic și oferă în același timp mijloacele de expansiune economică în funcție de scară și de gamă. Contribuția transportului la dezvoltarea economică operează prin următoarele mecanisme:</w:t>
      </w:r>
    </w:p>
    <w:p w:rsidR="00B4550A" w:rsidRPr="00E0488D" w:rsidRDefault="00B4550A" w:rsidP="00BC2B57">
      <w:pPr>
        <w:pStyle w:val="BulletLevel1"/>
        <w:rPr>
          <w:lang w:eastAsia="en-GB"/>
        </w:rPr>
      </w:pPr>
      <w:r w:rsidRPr="00E0488D">
        <w:rPr>
          <w:lang w:eastAsia="en-GB"/>
        </w:rPr>
        <w:t>Creșterea eficienței în afaceri prin economii de timp și îmbunătățirea fiabilității pentru călătoriile de afaceri, transportul de marfă și operațiunile de logistică.</w:t>
      </w:r>
    </w:p>
    <w:p w:rsidR="00B4550A" w:rsidRPr="00E0488D" w:rsidRDefault="00B4550A" w:rsidP="00BC2B57">
      <w:pPr>
        <w:pStyle w:val="BulletLevel1"/>
        <w:rPr>
          <w:lang w:eastAsia="en-GB"/>
        </w:rPr>
      </w:pPr>
      <w:r w:rsidRPr="00E0488D">
        <w:rPr>
          <w:lang w:eastAsia="en-GB"/>
        </w:rPr>
        <w:t xml:space="preserve">Creșterea investițiilor în afaceri și inovații prin susținerea economiei la scară sau prin noi metode de lucru. </w:t>
      </w:r>
    </w:p>
    <w:p w:rsidR="00B4550A" w:rsidRPr="00E0488D" w:rsidRDefault="00B4550A" w:rsidP="00BC2B57">
      <w:pPr>
        <w:pStyle w:val="BulletLevel1"/>
        <w:rPr>
          <w:lang w:eastAsia="en-GB"/>
        </w:rPr>
      </w:pPr>
      <w:r w:rsidRPr="00E0488D">
        <w:rPr>
          <w:lang w:eastAsia="en-GB"/>
        </w:rPr>
        <w:t>Susținerea clusterelor și aglomerărilor de activități economice. Investițiile în transport pot extinde zonele de atragere a pieței de muncă, îmbunătății compatibilitatea locurilor de muncă și facilita interacțiunile business to business. Astfel de efecte de productivitate se extind în zonele de navetă și călătorii de afaceri.</w:t>
      </w:r>
    </w:p>
    <w:p w:rsidR="00B4550A" w:rsidRPr="00E0488D" w:rsidRDefault="00B4550A" w:rsidP="00BC2B57">
      <w:pPr>
        <w:pStyle w:val="BulletLevel1"/>
        <w:rPr>
          <w:lang w:eastAsia="en-GB"/>
        </w:rPr>
      </w:pPr>
      <w:r w:rsidRPr="00E0488D">
        <w:rPr>
          <w:lang w:eastAsia="en-GB"/>
        </w:rPr>
        <w:lastRenderedPageBreak/>
        <w:t>Îmbunătățirea funcționării eficiente a piețelor de muncă, crescând flexibilitatea piețelor de muncă și accesibilitatea la locurile de munca. Transportul poate facilita mobilitatea geografică și ocuparea forței de muncă ca răspuns la schimbarea activității economice spre exemplu, ca răspuns la forțele globalizării, oportunități pentru noi tehnologii și creșterea numărului de locuri de muncă cu jumătate de normă și participarea femeilor la piața forței de muncă.</w:t>
      </w:r>
    </w:p>
    <w:p w:rsidR="00B4550A" w:rsidRPr="00E0488D" w:rsidRDefault="00B4550A" w:rsidP="00BC2B57">
      <w:pPr>
        <w:pStyle w:val="BulletLevel1"/>
        <w:rPr>
          <w:lang w:eastAsia="en-GB"/>
        </w:rPr>
      </w:pPr>
      <w:r w:rsidRPr="00E0488D">
        <w:rPr>
          <w:lang w:eastAsia="en-GB"/>
        </w:rPr>
        <w:t>Creșterea concurenței prin deschiderea accesului la noile piețe. Îmbunătățirea transportului poate permite afacerilor să se extindă pe o arie mai largă, crescând presiunea competitivității și oferind consumatorilor mai multe opțiuni de alegere. România va beneficia atât din îmbunătățirea conectivității interne cât și internaționale.</w:t>
      </w:r>
    </w:p>
    <w:p w:rsidR="00B4550A" w:rsidRPr="00E0488D" w:rsidRDefault="00B4550A" w:rsidP="00BC2B57">
      <w:pPr>
        <w:pStyle w:val="BulletLevel1"/>
        <w:rPr>
          <w:lang w:eastAsia="en-GB"/>
        </w:rPr>
      </w:pPr>
      <w:r w:rsidRPr="00E0488D">
        <w:rPr>
          <w:lang w:eastAsia="en-GB"/>
        </w:rPr>
        <w:t>Creșterea comerțului intern și internațional prin reducerea costurilor de comercializare. Legăturile comerciale interne sunt în special importante pentru succesul economic în anumite zone urbale.</w:t>
      </w:r>
    </w:p>
    <w:p w:rsidR="00B4550A" w:rsidRPr="00E0488D" w:rsidRDefault="00B4550A" w:rsidP="00BC2B57">
      <w:pPr>
        <w:pStyle w:val="BulletLevel1"/>
        <w:rPr>
          <w:lang w:eastAsia="en-GB"/>
        </w:rPr>
      </w:pPr>
      <w:r w:rsidRPr="00E0488D">
        <w:rPr>
          <w:lang w:eastAsia="en-GB"/>
        </w:rPr>
        <w:t>Atragerea activității mobile la nivel global în România prin furnizarea unui mediu de afaceri atractiv și o calitate bună a vieții. Astfel de efecte sunt de o importanță crescândă, dar extrem de difícil de cuantificat. Cu toate acestea, abordarea strategică a politicii de transport poate fi ghidată de rezultatele sondajelor care sugerează că atât legăturile de transport intern cât și internațional pot fi importante pentru atragerea, reținerea și extinderea unei astfel de activități și că este mult mai comun.</w:t>
      </w:r>
    </w:p>
    <w:p w:rsidR="00B4550A" w:rsidRPr="00E0488D" w:rsidRDefault="00B4550A" w:rsidP="002B7E09">
      <w:pPr>
        <w:pStyle w:val="NumberedParas"/>
      </w:pPr>
      <w:r w:rsidRPr="00E0488D">
        <w:t>Cerința fundamentală a Master Planului este ca planul de investiții identificat, deși este finanțat de către oricare agenție, trebuie să aducă o contribuție pozitivă la dezvoltarea economică a României. Beneficiile economice din strategia globală trebuie să fie mai mari față de investițiile necesare pentru producerea acestora.</w:t>
      </w:r>
    </w:p>
    <w:p w:rsidR="00B4550A" w:rsidRPr="00E0488D" w:rsidRDefault="00B4550A" w:rsidP="00B4550A">
      <w:pPr>
        <w:rPr>
          <w:color w:val="000000"/>
          <w:lang w:val="ro-RO"/>
        </w:rPr>
      </w:pPr>
    </w:p>
    <w:p w:rsidR="00B4550A" w:rsidRPr="00E0488D" w:rsidRDefault="00B4550A" w:rsidP="00B4550A">
      <w:pPr>
        <w:rPr>
          <w:lang w:val="ro-RO"/>
        </w:rPr>
        <w:sectPr w:rsidR="00B4550A" w:rsidRPr="00E0488D" w:rsidSect="00933C17">
          <w:headerReference w:type="default" r:id="rId92"/>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93"/>
          <w:footerReference w:type="default" r:id="rId94"/>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lastRenderedPageBreak/>
        <w:t>Transport Rutier</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headerReference w:type="default" r:id="rId95"/>
          <w:footerReference w:type="default" r:id="rId96"/>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tabs>
          <w:tab w:val="clear" w:pos="680"/>
        </w:tabs>
        <w:ind w:left="851" w:hanging="851"/>
      </w:pPr>
      <w:bookmarkStart w:id="73" w:name="_Toc398020042"/>
      <w:bookmarkStart w:id="74" w:name="_Toc413060311"/>
      <w:r w:rsidRPr="00E0488D">
        <w:lastRenderedPageBreak/>
        <w:t>Transport Rutier</w:t>
      </w:r>
      <w:bookmarkEnd w:id="73"/>
      <w:bookmarkEnd w:id="74"/>
    </w:p>
    <w:p w:rsidR="00B4550A" w:rsidRPr="00E0488D" w:rsidRDefault="00B4550A" w:rsidP="00B4550A">
      <w:pPr>
        <w:rPr>
          <w:lang w:val="ro-RO"/>
        </w:rPr>
      </w:pPr>
    </w:p>
    <w:p w:rsidR="00B4550A" w:rsidRPr="00E0488D" w:rsidRDefault="00B4550A" w:rsidP="00BD59B2">
      <w:pPr>
        <w:pStyle w:val="Hdg2"/>
      </w:pPr>
      <w:bookmarkStart w:id="75" w:name="_Toc413060312"/>
      <w:bookmarkStart w:id="76" w:name="_Toc398020043"/>
      <w:r w:rsidRPr="00E0488D">
        <w:t>Structura Capitolulu</w:t>
      </w:r>
      <w:r w:rsidR="00AE1AD4">
        <w:t>i</w:t>
      </w:r>
      <w:bookmarkEnd w:id="75"/>
    </w:p>
    <w:p w:rsidR="00B4550A" w:rsidRPr="00E0488D" w:rsidRDefault="00B4550A" w:rsidP="002B7E09">
      <w:pPr>
        <w:pStyle w:val="NumberedParas"/>
      </w:pPr>
      <w:r w:rsidRPr="00E0488D">
        <w:t>Acest capitol descrie modalitatea în care intervențiile recomandate pentru sectorul rutier au fost identificate. Capitolul de față include următoarele elemente:</w:t>
      </w:r>
    </w:p>
    <w:p w:rsidR="00B4550A" w:rsidRPr="00E0488D" w:rsidRDefault="00B4550A" w:rsidP="00BC2B57">
      <w:pPr>
        <w:pStyle w:val="BulletLevel1"/>
      </w:pPr>
      <w:r w:rsidRPr="00E0488D">
        <w:t>Situația actuală;</w:t>
      </w:r>
    </w:p>
    <w:p w:rsidR="00B4550A" w:rsidRPr="00E0488D" w:rsidRDefault="00B4550A" w:rsidP="00BC2B57">
      <w:pPr>
        <w:pStyle w:val="BulletLevel1"/>
      </w:pPr>
      <w:r w:rsidRPr="00E0488D">
        <w:t>Obiectivele strategice;</w:t>
      </w:r>
    </w:p>
    <w:p w:rsidR="00B4550A" w:rsidRPr="00E0488D" w:rsidRDefault="00B4550A" w:rsidP="00BC2B57">
      <w:pPr>
        <w:pStyle w:val="BulletLevel1"/>
      </w:pPr>
      <w:r w:rsidRPr="00E0488D">
        <w:t>Obiectivele operaționale;</w:t>
      </w:r>
    </w:p>
    <w:p w:rsidR="00B4550A" w:rsidRPr="00E0488D" w:rsidRDefault="00B4550A" w:rsidP="00BC2B57">
      <w:pPr>
        <w:pStyle w:val="BulletLevel1"/>
      </w:pPr>
      <w:r w:rsidRPr="00E0488D">
        <w:t xml:space="preserve">Analiza </w:t>
      </w:r>
      <w:r w:rsidRPr="00BC2B57">
        <w:t>Cost</w:t>
      </w:r>
      <w:r w:rsidRPr="00E0488D">
        <w:t>-Beneficiu (ACB);</w:t>
      </w:r>
    </w:p>
    <w:p w:rsidR="00B4550A" w:rsidRPr="00E0488D" w:rsidRDefault="00B4550A" w:rsidP="00BC2B57">
      <w:pPr>
        <w:pStyle w:val="BulletLevel1"/>
      </w:pPr>
      <w:r w:rsidRPr="00E0488D">
        <w:t>Analiza Multi-Criterială (AMC)</w:t>
      </w:r>
    </w:p>
    <w:p w:rsidR="00B4550A" w:rsidRPr="00E0488D" w:rsidRDefault="00B4550A" w:rsidP="00BC2B57">
      <w:pPr>
        <w:pStyle w:val="BulletLevel1"/>
      </w:pPr>
      <w:r w:rsidRPr="00E0488D">
        <w:t>Cerințele privind întreținerea;</w:t>
      </w:r>
    </w:p>
    <w:p w:rsidR="00B4550A" w:rsidRPr="00E0488D" w:rsidRDefault="00B4550A" w:rsidP="00BC2B57">
      <w:pPr>
        <w:pStyle w:val="BulletLevel1"/>
      </w:pPr>
      <w:r w:rsidRPr="00E0488D">
        <w:t>Reforma instituțională; și</w:t>
      </w:r>
    </w:p>
    <w:p w:rsidR="00B4550A" w:rsidRPr="00E0488D" w:rsidRDefault="00B4550A" w:rsidP="00BC2B57">
      <w:pPr>
        <w:pStyle w:val="BulletLevel1"/>
      </w:pPr>
      <w:r w:rsidRPr="00E0488D">
        <w:t>Rezumatul intervențiilor.</w:t>
      </w:r>
    </w:p>
    <w:p w:rsidR="00B4550A" w:rsidRPr="00E0488D" w:rsidRDefault="00B4550A" w:rsidP="002B7E09">
      <w:pPr>
        <w:pStyle w:val="NumberedParas"/>
      </w:pPr>
      <w:r w:rsidRPr="00E0488D">
        <w:t>Modelul Național de Transport a fost utilizat în mod intensiv cu scopul justificării recomandărilor, în special în ceea ce privește definirea obiectivelor și a analizelor cost-beneficiu și multi-criteriale. Abordarea generală a fost de a identifica proiecte individuale potențiale, pe bază aspectelor specifice identificate și de a testa ulterior modalitatea în care aceste intervenții performează din punctul de vedere al ACB și AMC.</w:t>
      </w:r>
    </w:p>
    <w:p w:rsidR="00B4550A" w:rsidRPr="00E0488D" w:rsidRDefault="00B4550A" w:rsidP="002B7E09">
      <w:pPr>
        <w:pStyle w:val="NumberedParas"/>
      </w:pPr>
      <w:r w:rsidRPr="00E0488D">
        <w:t>Ulterior, proiectele au fost combinate în scenarii, ceea ce a implicat, în anumite cazuri, anumite modificări la nivelul proiectelor, cu scopul de a obține o rețea națională coerentă și logică, la fiecare etapă a analizei.</w:t>
      </w:r>
    </w:p>
    <w:p w:rsidR="00B4550A" w:rsidRPr="00E0488D" w:rsidRDefault="00B4550A" w:rsidP="00BD59B2">
      <w:pPr>
        <w:pStyle w:val="Hdg2"/>
      </w:pPr>
      <w:bookmarkStart w:id="77" w:name="_Toc413060313"/>
      <w:r w:rsidRPr="00E0488D">
        <w:t>Situația actual</w:t>
      </w:r>
      <w:bookmarkEnd w:id="76"/>
      <w:r w:rsidRPr="00E0488D">
        <w:t>ă</w:t>
      </w:r>
      <w:bookmarkEnd w:id="77"/>
    </w:p>
    <w:p w:rsidR="00B4550A" w:rsidRPr="00E0488D" w:rsidRDefault="00B4550A" w:rsidP="00B4550A">
      <w:pPr>
        <w:pStyle w:val="Hdg3"/>
        <w:rPr>
          <w:highlight w:val="yellow"/>
        </w:rPr>
      </w:pPr>
      <w:r w:rsidRPr="00E0488D">
        <w:t>Context – cota modală a transportului rutier</w:t>
      </w:r>
    </w:p>
    <w:p w:rsidR="00B4550A" w:rsidRPr="00E0488D" w:rsidRDefault="00B4550A" w:rsidP="002B7E09">
      <w:pPr>
        <w:pStyle w:val="NumberedParas"/>
      </w:pPr>
      <w:r w:rsidRPr="00E0488D">
        <w:t>Potrivit Institutului Național de Statistică, deplasările pe cale rutieră, efectuate pe teritoriul României, reprezintă aproximativ 75% din totalul deplasărilor efectuate în scopul transportului de călători</w:t>
      </w:r>
      <w:r w:rsidRPr="00E0488D">
        <w:rPr>
          <w:rStyle w:val="FootnoteReference"/>
          <w:vertAlign w:val="baseline"/>
        </w:rPr>
        <w:t xml:space="preserve"> </w:t>
      </w:r>
      <w:r w:rsidRPr="00E0488D">
        <w:t xml:space="preserve">și puțin sub 50% din deplasările destinat transportului de mărfuri (INS, date 2010). Aceste statistici atestă faptul că în ambele cazuri, transportul rutier reprezintă cel mai important și utilizat mod de transport, după cum este ilustrat în Figura 4.1. Kilometrii parcurși în scopul transportului de mărfuri sunt calculați în baza a numărul de tone-km, pentru fiecare mod. </w:t>
      </w:r>
    </w:p>
    <w:p w:rsidR="00B4550A" w:rsidRPr="00E0488D" w:rsidRDefault="00B4550A" w:rsidP="00B4550A">
      <w:pPr>
        <w:pStyle w:val="Caption"/>
        <w:keepNext/>
        <w:spacing w:after="120"/>
        <w:ind w:left="851"/>
        <w:rPr>
          <w:b/>
          <w:bCs w:val="0"/>
          <w:sz w:val="20"/>
          <w:szCs w:val="20"/>
          <w:lang w:val="ro-RO"/>
        </w:rPr>
      </w:pPr>
      <w:r w:rsidRPr="00E0488D">
        <w:rPr>
          <w:b/>
          <w:bCs w:val="0"/>
          <w:sz w:val="22"/>
          <w:szCs w:val="22"/>
          <w:lang w:val="ro-RO"/>
        </w:rPr>
        <w:t>Figura 4.1</w:t>
      </w:r>
      <w:r w:rsidRPr="00E0488D">
        <w:rPr>
          <w:b/>
          <w:bCs w:val="0"/>
          <w:sz w:val="22"/>
          <w:szCs w:val="22"/>
          <w:lang w:val="ro-RO"/>
        </w:rPr>
        <w:tab/>
        <w:t>Proporția kilometrilor parcurși pe fiecare mod de transport (2010</w:t>
      </w:r>
      <w:r w:rsidRPr="00E0488D">
        <w:rPr>
          <w:b/>
          <w:bCs w:val="0"/>
          <w:sz w:val="20"/>
          <w:szCs w:val="20"/>
          <w:lang w:val="ro-RO"/>
        </w:rPr>
        <w:t>)</w:t>
      </w:r>
    </w:p>
    <w:p w:rsidR="00B4550A" w:rsidRPr="00E0488D" w:rsidRDefault="00B4550A" w:rsidP="00B4550A">
      <w:pPr>
        <w:pStyle w:val="Body"/>
        <w:spacing w:before="0" w:after="0"/>
        <w:rPr>
          <w:lang w:val="ro-RO"/>
        </w:rPr>
      </w:pPr>
      <w:r w:rsidRPr="00E0488D">
        <w:rPr>
          <w:lang w:val="ro-RO"/>
        </w:rPr>
        <w:tab/>
      </w:r>
      <w:r w:rsidRPr="00E0488D">
        <w:rPr>
          <w:noProof/>
          <w:lang w:val="ro-RO" w:eastAsia="ro-RO"/>
        </w:rPr>
        <w:drawing>
          <wp:inline distT="0" distB="0" distL="0" distR="0" wp14:anchorId="111224DE" wp14:editId="001D053C">
            <wp:extent cx="2788266" cy="1682776"/>
            <wp:effectExtent l="19050" t="0" r="12084" b="0"/>
            <wp:docPr id="83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E0488D">
        <w:rPr>
          <w:lang w:val="ro-RO"/>
        </w:rPr>
        <w:t xml:space="preserve">  </w:t>
      </w:r>
      <w:r w:rsidRPr="00E0488D">
        <w:rPr>
          <w:noProof/>
          <w:lang w:val="ro-RO" w:eastAsia="ro-RO"/>
        </w:rPr>
        <w:drawing>
          <wp:inline distT="0" distB="0" distL="0" distR="0" wp14:anchorId="745E8531" wp14:editId="6928A40F">
            <wp:extent cx="2826508" cy="1693214"/>
            <wp:effectExtent l="19050" t="0" r="11942" b="2236"/>
            <wp:docPr id="105" name="Char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B4550A" w:rsidRPr="00E0488D" w:rsidRDefault="00B4550A" w:rsidP="00B4550A">
      <w:pPr>
        <w:pStyle w:val="Body"/>
        <w:spacing w:before="120"/>
        <w:rPr>
          <w:i w:val="0"/>
          <w:sz w:val="18"/>
          <w:szCs w:val="18"/>
          <w:lang w:val="ro-RO"/>
        </w:rPr>
      </w:pPr>
      <w:r w:rsidRPr="00E0488D">
        <w:rPr>
          <w:sz w:val="18"/>
          <w:szCs w:val="18"/>
          <w:lang w:val="ro-RO"/>
        </w:rPr>
        <w:lastRenderedPageBreak/>
        <w:t>Sursa: Institutul Național de Statistică (INS, date 2010)</w:t>
      </w:r>
    </w:p>
    <w:p w:rsidR="00B4550A" w:rsidRPr="00E0488D" w:rsidRDefault="00B4550A" w:rsidP="002B7E09">
      <w:pPr>
        <w:pStyle w:val="NumberedParas"/>
      </w:pPr>
      <w:r w:rsidRPr="00E0488D">
        <w:t xml:space="preserve">Rețeaua de drumuri din România este împărțită în cinci categorii:  </w:t>
      </w:r>
    </w:p>
    <w:p w:rsidR="00B4550A" w:rsidRPr="00E0488D" w:rsidRDefault="00B4550A" w:rsidP="00BC2B57">
      <w:pPr>
        <w:pStyle w:val="BulletLevel1"/>
      </w:pPr>
      <w:r w:rsidRPr="00E0488D">
        <w:t>Autostrăzi - A;</w:t>
      </w:r>
    </w:p>
    <w:p w:rsidR="00B4550A" w:rsidRPr="00E0488D" w:rsidRDefault="00B4550A" w:rsidP="00BC2B57">
      <w:pPr>
        <w:pStyle w:val="BulletLevel1"/>
      </w:pPr>
      <w:r w:rsidRPr="00E0488D">
        <w:t>Drumuri Naționale și Europene – DN/E;</w:t>
      </w:r>
    </w:p>
    <w:p w:rsidR="00B4550A" w:rsidRPr="00E0488D" w:rsidRDefault="00B4550A" w:rsidP="00BC2B57">
      <w:pPr>
        <w:pStyle w:val="BulletLevel1"/>
      </w:pPr>
      <w:r w:rsidRPr="00E0488D">
        <w:t>Drumuri Naționale – DN;</w:t>
      </w:r>
    </w:p>
    <w:p w:rsidR="00B4550A" w:rsidRPr="00E0488D" w:rsidRDefault="00B4550A" w:rsidP="00BC2B57">
      <w:pPr>
        <w:pStyle w:val="BulletLevel1"/>
      </w:pPr>
      <w:r w:rsidRPr="00E0488D">
        <w:t xml:space="preserve">Drumuri Județene – DJ; și </w:t>
      </w:r>
    </w:p>
    <w:p w:rsidR="00B4550A" w:rsidRPr="00E0488D" w:rsidRDefault="00B4550A" w:rsidP="00BC2B57">
      <w:pPr>
        <w:pStyle w:val="BulletLevel1"/>
      </w:pPr>
      <w:r w:rsidRPr="00E0488D">
        <w:t>Drumuri Comunale – DC.</w:t>
      </w:r>
    </w:p>
    <w:p w:rsidR="00B4550A" w:rsidRPr="00E0488D" w:rsidRDefault="00B4550A" w:rsidP="002B7E09">
      <w:pPr>
        <w:pStyle w:val="NumberedParas"/>
      </w:pPr>
      <w:r w:rsidRPr="00E0488D">
        <w:t xml:space="preserve">Rețeaua de autostrăzi și cea de drumuri naționale reprezintă doar 20% din întreaga rețea rutieră, după cum este prezentat în Tabelul 4.1. </w:t>
      </w:r>
    </w:p>
    <w:p w:rsidR="00B4550A" w:rsidRPr="00E0488D" w:rsidRDefault="00B4550A" w:rsidP="00B4550A">
      <w:pPr>
        <w:pStyle w:val="TNBody"/>
        <w:tabs>
          <w:tab w:val="clear" w:pos="567"/>
        </w:tabs>
        <w:ind w:left="851"/>
        <w:rPr>
          <w:b/>
          <w:sz w:val="22"/>
          <w:szCs w:val="22"/>
          <w:lang w:val="ro-RO"/>
        </w:rPr>
      </w:pPr>
      <w:r w:rsidRPr="00E0488D">
        <w:rPr>
          <w:b/>
          <w:sz w:val="22"/>
          <w:szCs w:val="22"/>
          <w:lang w:val="ro-RO"/>
        </w:rPr>
        <w:t>Tabelul 4.1</w:t>
      </w:r>
      <w:r w:rsidRPr="00E0488D">
        <w:rPr>
          <w:b/>
          <w:sz w:val="22"/>
          <w:szCs w:val="22"/>
          <w:lang w:val="ro-RO"/>
        </w:rPr>
        <w:tab/>
        <w:t xml:space="preserve">Lungimea rețelei rutiere pe categorii de drum </w:t>
      </w:r>
    </w:p>
    <w:tbl>
      <w:tblPr>
        <w:tblW w:w="581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843"/>
      </w:tblGrid>
      <w:tr w:rsidR="00B4550A" w:rsidRPr="00E0488D" w:rsidTr="003C7FC8">
        <w:trPr>
          <w:trHeight w:val="281"/>
        </w:trPr>
        <w:tc>
          <w:tcPr>
            <w:tcW w:w="2410" w:type="dxa"/>
            <w:shd w:val="clear" w:color="auto" w:fill="B8CCE4" w:themeFill="accent1" w:themeFillTint="66"/>
            <w:vAlign w:val="center"/>
          </w:tcPr>
          <w:p w:rsidR="00B4550A" w:rsidRPr="00E0488D" w:rsidRDefault="00B4550A" w:rsidP="003C7FC8">
            <w:pPr>
              <w:spacing w:before="60" w:line="276" w:lineRule="auto"/>
              <w:rPr>
                <w:b/>
                <w:sz w:val="22"/>
                <w:szCs w:val="22"/>
                <w:lang w:val="ro-RO"/>
              </w:rPr>
            </w:pPr>
            <w:r w:rsidRPr="00E0488D">
              <w:rPr>
                <w:b/>
                <w:sz w:val="22"/>
                <w:szCs w:val="22"/>
                <w:lang w:val="ro-RO"/>
              </w:rPr>
              <w:t>Categorie de drum</w:t>
            </w:r>
          </w:p>
        </w:tc>
        <w:tc>
          <w:tcPr>
            <w:tcW w:w="1559" w:type="dxa"/>
            <w:shd w:val="clear" w:color="auto" w:fill="B8CCE4" w:themeFill="accent1" w:themeFillTint="66"/>
            <w:vAlign w:val="center"/>
          </w:tcPr>
          <w:p w:rsidR="00B4550A" w:rsidRPr="00E0488D" w:rsidRDefault="00B4550A" w:rsidP="003C7FC8">
            <w:pPr>
              <w:spacing w:before="60" w:line="276" w:lineRule="auto"/>
              <w:jc w:val="center"/>
              <w:rPr>
                <w:b/>
                <w:sz w:val="22"/>
                <w:szCs w:val="22"/>
                <w:lang w:val="ro-RO"/>
              </w:rPr>
            </w:pPr>
            <w:r w:rsidRPr="00E0488D">
              <w:rPr>
                <w:b/>
                <w:sz w:val="22"/>
                <w:szCs w:val="22"/>
                <w:lang w:val="ro-RO"/>
              </w:rPr>
              <w:t>Kilometri</w:t>
            </w:r>
          </w:p>
        </w:tc>
        <w:tc>
          <w:tcPr>
            <w:tcW w:w="1843" w:type="dxa"/>
            <w:shd w:val="clear" w:color="auto" w:fill="B8CCE4" w:themeFill="accent1" w:themeFillTint="66"/>
            <w:vAlign w:val="center"/>
          </w:tcPr>
          <w:p w:rsidR="00B4550A" w:rsidRPr="00E0488D" w:rsidRDefault="00B4550A" w:rsidP="003C7FC8">
            <w:pPr>
              <w:spacing w:before="60" w:line="276" w:lineRule="auto"/>
              <w:jc w:val="center"/>
              <w:rPr>
                <w:b/>
                <w:sz w:val="22"/>
                <w:szCs w:val="22"/>
                <w:lang w:val="ro-RO"/>
              </w:rPr>
            </w:pPr>
            <w:r w:rsidRPr="00E0488D">
              <w:rPr>
                <w:b/>
                <w:sz w:val="22"/>
                <w:szCs w:val="22"/>
                <w:lang w:val="ro-RO"/>
              </w:rPr>
              <w:t>Pondere</w:t>
            </w:r>
          </w:p>
        </w:tc>
      </w:tr>
      <w:tr w:rsidR="00B4550A" w:rsidRPr="00E0488D" w:rsidTr="003C7FC8">
        <w:tc>
          <w:tcPr>
            <w:tcW w:w="2410" w:type="dxa"/>
            <w:vAlign w:val="center"/>
          </w:tcPr>
          <w:p w:rsidR="00B4550A" w:rsidRPr="00E0488D" w:rsidRDefault="00B4550A" w:rsidP="003C7FC8">
            <w:pPr>
              <w:spacing w:before="60" w:line="276" w:lineRule="auto"/>
              <w:rPr>
                <w:bCs/>
                <w:sz w:val="22"/>
                <w:szCs w:val="22"/>
                <w:lang w:val="ro-RO"/>
              </w:rPr>
            </w:pPr>
            <w:r w:rsidRPr="00E0488D">
              <w:rPr>
                <w:bCs/>
                <w:sz w:val="22"/>
                <w:szCs w:val="22"/>
                <w:lang w:val="ro-RO"/>
              </w:rPr>
              <w:t>Autostradă</w:t>
            </w:r>
          </w:p>
        </w:tc>
        <w:tc>
          <w:tcPr>
            <w:tcW w:w="1559"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362,6</w:t>
            </w:r>
          </w:p>
        </w:tc>
        <w:tc>
          <w:tcPr>
            <w:tcW w:w="1843"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0,5%</w:t>
            </w:r>
          </w:p>
        </w:tc>
      </w:tr>
      <w:tr w:rsidR="00B4550A" w:rsidRPr="00E0488D" w:rsidTr="003C7FC8">
        <w:tc>
          <w:tcPr>
            <w:tcW w:w="2410" w:type="dxa"/>
            <w:vAlign w:val="center"/>
          </w:tcPr>
          <w:p w:rsidR="00B4550A" w:rsidRPr="00E0488D" w:rsidRDefault="00B4550A" w:rsidP="003C7FC8">
            <w:pPr>
              <w:spacing w:before="60" w:line="276" w:lineRule="auto"/>
              <w:rPr>
                <w:bCs/>
                <w:sz w:val="22"/>
                <w:szCs w:val="22"/>
                <w:lang w:val="ro-RO"/>
              </w:rPr>
            </w:pPr>
            <w:r w:rsidRPr="00E0488D">
              <w:rPr>
                <w:bCs/>
                <w:sz w:val="22"/>
                <w:szCs w:val="22"/>
                <w:lang w:val="ro-RO"/>
              </w:rPr>
              <w:t>Național European</w:t>
            </w:r>
          </w:p>
        </w:tc>
        <w:tc>
          <w:tcPr>
            <w:tcW w:w="1559"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5.697,7</w:t>
            </w:r>
          </w:p>
        </w:tc>
        <w:tc>
          <w:tcPr>
            <w:tcW w:w="1843"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7,1%</w:t>
            </w:r>
          </w:p>
        </w:tc>
      </w:tr>
      <w:tr w:rsidR="00B4550A" w:rsidRPr="00E0488D" w:rsidTr="003C7FC8">
        <w:tc>
          <w:tcPr>
            <w:tcW w:w="2410" w:type="dxa"/>
            <w:vAlign w:val="center"/>
          </w:tcPr>
          <w:p w:rsidR="00B4550A" w:rsidRPr="00E0488D" w:rsidRDefault="00B4550A" w:rsidP="003C7FC8">
            <w:pPr>
              <w:spacing w:before="60" w:line="276" w:lineRule="auto"/>
              <w:rPr>
                <w:bCs/>
                <w:sz w:val="22"/>
                <w:szCs w:val="22"/>
                <w:lang w:val="ro-RO"/>
              </w:rPr>
            </w:pPr>
            <w:r w:rsidRPr="00E0488D">
              <w:rPr>
                <w:bCs/>
                <w:sz w:val="22"/>
                <w:szCs w:val="22"/>
                <w:lang w:val="ro-RO"/>
              </w:rPr>
              <w:t>Alte drumuri naționale</w:t>
            </w:r>
          </w:p>
        </w:tc>
        <w:tc>
          <w:tcPr>
            <w:tcW w:w="1559"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9.930,9</w:t>
            </w:r>
          </w:p>
        </w:tc>
        <w:tc>
          <w:tcPr>
            <w:tcW w:w="1843"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12,4%</w:t>
            </w:r>
          </w:p>
        </w:tc>
      </w:tr>
      <w:tr w:rsidR="00B4550A" w:rsidRPr="00E0488D" w:rsidTr="003C7FC8">
        <w:tc>
          <w:tcPr>
            <w:tcW w:w="2410" w:type="dxa"/>
            <w:vAlign w:val="center"/>
          </w:tcPr>
          <w:p w:rsidR="00B4550A" w:rsidRPr="00E0488D" w:rsidRDefault="00B4550A" w:rsidP="003C7FC8">
            <w:pPr>
              <w:spacing w:before="60" w:line="276" w:lineRule="auto"/>
              <w:rPr>
                <w:bCs/>
                <w:sz w:val="22"/>
                <w:szCs w:val="22"/>
                <w:lang w:val="ro-RO"/>
              </w:rPr>
            </w:pPr>
            <w:r w:rsidRPr="00E0488D">
              <w:rPr>
                <w:bCs/>
                <w:sz w:val="22"/>
                <w:szCs w:val="22"/>
                <w:lang w:val="ro-RO"/>
              </w:rPr>
              <w:t>Județean</w:t>
            </w:r>
          </w:p>
        </w:tc>
        <w:tc>
          <w:tcPr>
            <w:tcW w:w="1559"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36.009,8</w:t>
            </w:r>
          </w:p>
        </w:tc>
        <w:tc>
          <w:tcPr>
            <w:tcW w:w="1843"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45,1%</w:t>
            </w:r>
          </w:p>
        </w:tc>
      </w:tr>
      <w:tr w:rsidR="00B4550A" w:rsidRPr="00E0488D" w:rsidTr="003C7FC8">
        <w:tc>
          <w:tcPr>
            <w:tcW w:w="2410" w:type="dxa"/>
            <w:vAlign w:val="center"/>
          </w:tcPr>
          <w:p w:rsidR="00B4550A" w:rsidRPr="00E0488D" w:rsidRDefault="00B4550A" w:rsidP="003C7FC8">
            <w:pPr>
              <w:spacing w:before="60" w:line="276" w:lineRule="auto"/>
              <w:rPr>
                <w:bCs/>
                <w:sz w:val="22"/>
                <w:szCs w:val="22"/>
                <w:lang w:val="ro-RO"/>
              </w:rPr>
            </w:pPr>
            <w:r w:rsidRPr="00E0488D">
              <w:rPr>
                <w:bCs/>
                <w:sz w:val="22"/>
                <w:szCs w:val="22"/>
                <w:lang w:val="ro-RO"/>
              </w:rPr>
              <w:t>Comunal</w:t>
            </w:r>
          </w:p>
        </w:tc>
        <w:tc>
          <w:tcPr>
            <w:tcW w:w="1559"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27.780,8</w:t>
            </w:r>
          </w:p>
        </w:tc>
        <w:tc>
          <w:tcPr>
            <w:tcW w:w="1843"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34,8%</w:t>
            </w:r>
          </w:p>
        </w:tc>
      </w:tr>
      <w:tr w:rsidR="00B4550A" w:rsidRPr="00E0488D" w:rsidTr="003C7FC8">
        <w:trPr>
          <w:trHeight w:val="303"/>
        </w:trPr>
        <w:tc>
          <w:tcPr>
            <w:tcW w:w="2410" w:type="dxa"/>
            <w:vAlign w:val="center"/>
          </w:tcPr>
          <w:p w:rsidR="00B4550A" w:rsidRPr="00E0488D" w:rsidRDefault="00B4550A" w:rsidP="003C7FC8">
            <w:pPr>
              <w:spacing w:before="60" w:line="276" w:lineRule="auto"/>
              <w:rPr>
                <w:bCs/>
                <w:sz w:val="22"/>
                <w:szCs w:val="22"/>
                <w:lang w:val="ro-RO"/>
              </w:rPr>
            </w:pPr>
            <w:r w:rsidRPr="00E0488D">
              <w:rPr>
                <w:bCs/>
                <w:sz w:val="22"/>
                <w:szCs w:val="22"/>
                <w:lang w:val="ro-RO"/>
              </w:rPr>
              <w:t>Total</w:t>
            </w:r>
          </w:p>
        </w:tc>
        <w:tc>
          <w:tcPr>
            <w:tcW w:w="1559"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79.781,7</w:t>
            </w:r>
          </w:p>
        </w:tc>
        <w:tc>
          <w:tcPr>
            <w:tcW w:w="1843" w:type="dxa"/>
            <w:vAlign w:val="center"/>
          </w:tcPr>
          <w:p w:rsidR="00B4550A" w:rsidRPr="00E0488D" w:rsidRDefault="00B4550A" w:rsidP="003C7FC8">
            <w:pPr>
              <w:spacing w:before="60" w:line="276" w:lineRule="auto"/>
              <w:jc w:val="center"/>
              <w:rPr>
                <w:bCs/>
                <w:sz w:val="22"/>
                <w:szCs w:val="22"/>
                <w:lang w:val="ro-RO"/>
              </w:rPr>
            </w:pPr>
            <w:r w:rsidRPr="00E0488D">
              <w:rPr>
                <w:bCs/>
                <w:sz w:val="22"/>
                <w:szCs w:val="22"/>
                <w:lang w:val="ro-RO"/>
              </w:rPr>
              <w:t>-</w:t>
            </w:r>
          </w:p>
        </w:tc>
      </w:tr>
    </w:tbl>
    <w:p w:rsidR="00B4550A" w:rsidRPr="00E0488D" w:rsidRDefault="00B4550A" w:rsidP="00B4550A">
      <w:pPr>
        <w:spacing w:before="60"/>
        <w:ind w:left="680"/>
        <w:rPr>
          <w:i/>
          <w:lang w:val="ro-RO"/>
        </w:rPr>
      </w:pPr>
      <w:r w:rsidRPr="00E0488D">
        <w:rPr>
          <w:i/>
          <w:lang w:val="ro-RO"/>
        </w:rPr>
        <w:t>Sursa: Analiza AECOM a datelor obținute de la fiecare DRDP</w:t>
      </w:r>
    </w:p>
    <w:p w:rsidR="00B4550A" w:rsidRPr="00E0488D" w:rsidRDefault="00B4550A" w:rsidP="00B4550A">
      <w:pPr>
        <w:pStyle w:val="TNBody"/>
        <w:tabs>
          <w:tab w:val="clear" w:pos="567"/>
        </w:tabs>
        <w:ind w:left="680"/>
        <w:rPr>
          <w:sz w:val="22"/>
          <w:szCs w:val="22"/>
          <w:lang w:val="ro-RO"/>
        </w:rPr>
      </w:pPr>
    </w:p>
    <w:p w:rsidR="00B4550A" w:rsidRPr="00E0488D" w:rsidRDefault="00B4550A" w:rsidP="00B4550A">
      <w:pPr>
        <w:pStyle w:val="Hdg3"/>
      </w:pPr>
      <w:r w:rsidRPr="00E0488D">
        <w:t>Siguranță</w:t>
      </w:r>
    </w:p>
    <w:p w:rsidR="00B4550A" w:rsidRPr="00E0488D" w:rsidRDefault="00B4550A" w:rsidP="002B7E09">
      <w:pPr>
        <w:pStyle w:val="NumberedParas"/>
      </w:pPr>
      <w:r w:rsidRPr="00E0488D">
        <w:t xml:space="preserve">România se confruntă cu o problemă </w:t>
      </w:r>
      <w:r w:rsidRPr="00E0488D">
        <w:rPr>
          <w:rFonts w:cs="Arial"/>
        </w:rPr>
        <w:t>semnificativă în ceea ce privește numărul de accidente</w:t>
      </w:r>
      <w:r w:rsidRPr="00E0488D">
        <w:t xml:space="preserve"> rutiere, prin comparație cu alte țări din cadrul</w:t>
      </w:r>
      <w:r w:rsidRPr="00E0488D">
        <w:rPr>
          <w:rFonts w:cs="Arial"/>
        </w:rPr>
        <w:t xml:space="preserve"> </w:t>
      </w:r>
      <w:r w:rsidRPr="00E0488D">
        <w:t xml:space="preserve">Uniunii Europene (UE). Comisia Europeană utilizează trei indicatori distincți pentru măsurarea gradului de siguranță rutieră, după cu urmează: </w:t>
      </w:r>
    </w:p>
    <w:p w:rsidR="00B4550A" w:rsidRPr="00E0488D" w:rsidRDefault="00B4550A" w:rsidP="00BC2B57">
      <w:pPr>
        <w:pStyle w:val="BulletLevel1"/>
      </w:pPr>
      <w:r w:rsidRPr="00E0488D">
        <w:t>Număr decese la un milion de locuitori;</w:t>
      </w:r>
    </w:p>
    <w:p w:rsidR="00B4550A" w:rsidRPr="00E0488D" w:rsidRDefault="00B4550A" w:rsidP="00BC2B57">
      <w:pPr>
        <w:pStyle w:val="BulletLevel1"/>
      </w:pPr>
      <w:r w:rsidRPr="00E0488D">
        <w:rPr>
          <w:rFonts w:cs="Arial"/>
          <w:szCs w:val="22"/>
        </w:rPr>
        <w:t>Număr decese</w:t>
      </w:r>
      <w:r w:rsidRPr="00E0488D">
        <w:t xml:space="preserve"> la 10 miliarde de pasageri-kilometri; și </w:t>
      </w:r>
    </w:p>
    <w:p w:rsidR="00B4550A" w:rsidRPr="00E0488D" w:rsidRDefault="00B4550A" w:rsidP="00BC2B57">
      <w:pPr>
        <w:pStyle w:val="BulletLevel1"/>
      </w:pPr>
      <w:r w:rsidRPr="00E0488D">
        <w:rPr>
          <w:rFonts w:cs="Arial"/>
          <w:szCs w:val="22"/>
        </w:rPr>
        <w:t>Număr decese</w:t>
      </w:r>
      <w:r w:rsidRPr="00E0488D">
        <w:t xml:space="preserve"> la un milion de autoturisme.  </w:t>
      </w:r>
    </w:p>
    <w:p w:rsidR="00B4550A" w:rsidRPr="00E0488D" w:rsidRDefault="00B4550A" w:rsidP="002B7E09">
      <w:pPr>
        <w:pStyle w:val="NumberedParas"/>
      </w:pPr>
      <w:r w:rsidRPr="00E0488D">
        <w:t xml:space="preserve">În această ordine, clasamentul și poziția României sunt următoarele: </w:t>
      </w:r>
    </w:p>
    <w:p w:rsidR="00B4550A" w:rsidRPr="00E0488D" w:rsidRDefault="00B4550A" w:rsidP="00BC2B57">
      <w:pPr>
        <w:pStyle w:val="BulletLevel1"/>
      </w:pPr>
      <w:r w:rsidRPr="00E0488D">
        <w:t xml:space="preserve">Pe locul 24 din 28 – 94 față de media UE de 60; </w:t>
      </w:r>
    </w:p>
    <w:p w:rsidR="00B4550A" w:rsidRPr="00E0488D" w:rsidRDefault="00B4550A" w:rsidP="00BC2B57">
      <w:pPr>
        <w:pStyle w:val="BulletLevel1"/>
      </w:pPr>
      <w:r w:rsidRPr="00E0488D">
        <w:t>Pe locul 28 din 28 – 259 față de media  UE de 61; și</w:t>
      </w:r>
    </w:p>
    <w:p w:rsidR="00B4550A" w:rsidRPr="00E0488D" w:rsidRDefault="00B4550A" w:rsidP="00BC2B57">
      <w:pPr>
        <w:pStyle w:val="BulletLevel1"/>
      </w:pPr>
      <w:r w:rsidRPr="00E0488D">
        <w:t>Pe locul 28 din 28 – 466 față de media UE de 126.</w:t>
      </w:r>
    </w:p>
    <w:p w:rsidR="00B4550A" w:rsidRPr="00E0488D" w:rsidRDefault="00B4550A" w:rsidP="002B7E09">
      <w:pPr>
        <w:pStyle w:val="NumberedParas"/>
      </w:pPr>
      <w:r w:rsidRPr="00E0488D">
        <w:rPr>
          <w:rFonts w:cs="Arial"/>
        </w:rPr>
        <w:t xml:space="preserve">Conform acestor date </w:t>
      </w:r>
      <w:r w:rsidRPr="00E0488D">
        <w:t>se poate concluziona că România are cea mai mare rată a accidentelor mortale din Europa. În perioada 2007-2012 s-a înregistrat un număr de 8.401 decese doar pe rețeaua de drumuri naționale. Aceasta echivalează cu un număr mediu de 1.400 decese pe an, urmare a accidentelor înregistrate pe rețeaua de drumuri naționale, ceea ce deține, așa cum s-a descris anterior, o pondere de 20% din rețeaua națională.</w:t>
      </w:r>
    </w:p>
    <w:p w:rsidR="00B4550A" w:rsidRPr="00E0488D" w:rsidRDefault="00B4550A" w:rsidP="002B7E09">
      <w:pPr>
        <w:pStyle w:val="NumberedParas"/>
      </w:pPr>
      <w:r w:rsidRPr="00E0488D">
        <w:lastRenderedPageBreak/>
        <w:t>Tabelul următor prezintă o defalcare a accidentelor din cadrul bazei de date, în funcție de tipul de drum pe care acestea au loc. Această defalcare are rolul de a evidenția contribuția accidentelor ce au loc pe rețeaua națională la totalul general.</w:t>
      </w:r>
    </w:p>
    <w:p w:rsidR="00B4550A" w:rsidRPr="00E0488D" w:rsidRDefault="00B4550A" w:rsidP="00B4550A">
      <w:pPr>
        <w:tabs>
          <w:tab w:val="left" w:pos="1361"/>
          <w:tab w:val="left" w:pos="2041"/>
        </w:tabs>
        <w:spacing w:before="120" w:after="120" w:line="276" w:lineRule="auto"/>
        <w:ind w:left="851"/>
        <w:rPr>
          <w:b/>
          <w:sz w:val="22"/>
          <w:szCs w:val="22"/>
          <w:lang w:val="ro-RO"/>
        </w:rPr>
      </w:pPr>
      <w:r w:rsidRPr="00E0488D">
        <w:rPr>
          <w:b/>
          <w:sz w:val="22"/>
          <w:szCs w:val="22"/>
          <w:lang w:val="ro-RO"/>
        </w:rPr>
        <w:t>Tabelul 4.2 Numărul accidentelor pe categorii de drum</w:t>
      </w:r>
    </w:p>
    <w:tbl>
      <w:tblPr>
        <w:tblW w:w="995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7"/>
        <w:gridCol w:w="1063"/>
        <w:gridCol w:w="1063"/>
        <w:gridCol w:w="1063"/>
        <w:gridCol w:w="1063"/>
        <w:gridCol w:w="1063"/>
        <w:gridCol w:w="1063"/>
        <w:gridCol w:w="1063"/>
        <w:gridCol w:w="1064"/>
      </w:tblGrid>
      <w:tr w:rsidR="00B4550A" w:rsidRPr="00E0488D" w:rsidTr="003C7FC8">
        <w:trPr>
          <w:trHeight w:val="274"/>
        </w:trPr>
        <w:tc>
          <w:tcPr>
            <w:tcW w:w="1447" w:type="dxa"/>
            <w:shd w:val="clear" w:color="auto" w:fill="B8CCE4" w:themeFill="accent1" w:themeFillTint="66"/>
            <w:vAlign w:val="center"/>
          </w:tcPr>
          <w:p w:rsidR="00B4550A" w:rsidRPr="00E0488D" w:rsidRDefault="00B4550A" w:rsidP="003C7FC8">
            <w:pPr>
              <w:keepNext/>
              <w:keepLines/>
              <w:autoSpaceDE w:val="0"/>
              <w:autoSpaceDN w:val="0"/>
              <w:adjustRightInd w:val="0"/>
              <w:spacing w:before="60" w:after="60"/>
              <w:jc w:val="center"/>
              <w:rPr>
                <w:b/>
                <w:color w:val="000000"/>
                <w:sz w:val="22"/>
                <w:szCs w:val="22"/>
                <w:lang w:val="ro-RO" w:eastAsia="en-GB"/>
              </w:rPr>
            </w:pPr>
            <w:bookmarkStart w:id="78" w:name="OLE_LINK1"/>
            <w:r w:rsidRPr="00E0488D">
              <w:rPr>
                <w:b/>
                <w:color w:val="000000"/>
                <w:sz w:val="22"/>
                <w:szCs w:val="22"/>
                <w:lang w:val="ro-RO" w:eastAsia="en-GB"/>
              </w:rPr>
              <w:t>Categorie drum</w:t>
            </w:r>
          </w:p>
        </w:tc>
        <w:tc>
          <w:tcPr>
            <w:tcW w:w="1063" w:type="dxa"/>
            <w:shd w:val="clear" w:color="auto" w:fill="B8CCE4" w:themeFill="accent1" w:themeFillTint="66"/>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2007</w:t>
            </w:r>
          </w:p>
        </w:tc>
        <w:tc>
          <w:tcPr>
            <w:tcW w:w="1063" w:type="dxa"/>
            <w:shd w:val="clear" w:color="auto" w:fill="B8CCE4" w:themeFill="accent1" w:themeFillTint="66"/>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2008</w:t>
            </w:r>
          </w:p>
        </w:tc>
        <w:tc>
          <w:tcPr>
            <w:tcW w:w="1063" w:type="dxa"/>
            <w:shd w:val="clear" w:color="auto" w:fill="B8CCE4" w:themeFill="accent1" w:themeFillTint="66"/>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2009</w:t>
            </w:r>
          </w:p>
        </w:tc>
        <w:tc>
          <w:tcPr>
            <w:tcW w:w="1063" w:type="dxa"/>
            <w:shd w:val="clear" w:color="auto" w:fill="B8CCE4" w:themeFill="accent1" w:themeFillTint="66"/>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2010</w:t>
            </w:r>
          </w:p>
        </w:tc>
        <w:tc>
          <w:tcPr>
            <w:tcW w:w="1063" w:type="dxa"/>
            <w:shd w:val="clear" w:color="auto" w:fill="B8CCE4" w:themeFill="accent1" w:themeFillTint="66"/>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2011</w:t>
            </w:r>
          </w:p>
        </w:tc>
        <w:tc>
          <w:tcPr>
            <w:tcW w:w="1063" w:type="dxa"/>
            <w:shd w:val="clear" w:color="auto" w:fill="B8CCE4" w:themeFill="accent1" w:themeFillTint="66"/>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2012</w:t>
            </w:r>
          </w:p>
        </w:tc>
        <w:tc>
          <w:tcPr>
            <w:tcW w:w="2127" w:type="dxa"/>
            <w:gridSpan w:val="2"/>
            <w:shd w:val="clear" w:color="auto" w:fill="B8CCE4" w:themeFill="accent1" w:themeFillTint="66"/>
            <w:vAlign w:val="center"/>
          </w:tcPr>
          <w:p w:rsidR="00B4550A" w:rsidRPr="00E0488D" w:rsidRDefault="00B4550A" w:rsidP="003C7FC8">
            <w:pPr>
              <w:keepNext/>
              <w:keepLines/>
              <w:autoSpaceDE w:val="0"/>
              <w:autoSpaceDN w:val="0"/>
              <w:adjustRightInd w:val="0"/>
              <w:spacing w:before="60" w:after="60"/>
              <w:jc w:val="center"/>
              <w:rPr>
                <w:b/>
                <w:color w:val="000000"/>
                <w:sz w:val="22"/>
                <w:szCs w:val="22"/>
                <w:lang w:val="ro-RO" w:eastAsia="en-GB"/>
              </w:rPr>
            </w:pPr>
            <w:r w:rsidRPr="00E0488D">
              <w:rPr>
                <w:b/>
                <w:color w:val="000000"/>
                <w:sz w:val="22"/>
                <w:szCs w:val="22"/>
                <w:lang w:val="ro-RO" w:eastAsia="en-GB"/>
              </w:rPr>
              <w:t xml:space="preserve">Media 2007-12 </w:t>
            </w:r>
          </w:p>
        </w:tc>
      </w:tr>
      <w:tr w:rsidR="00B4550A" w:rsidRPr="00E0488D" w:rsidTr="003C7FC8">
        <w:trPr>
          <w:trHeight w:val="274"/>
        </w:trPr>
        <w:tc>
          <w:tcPr>
            <w:tcW w:w="1447" w:type="dxa"/>
            <w:vAlign w:val="center"/>
          </w:tcPr>
          <w:p w:rsidR="00B4550A" w:rsidRPr="00E0488D" w:rsidRDefault="00B4550A" w:rsidP="003C7FC8">
            <w:pPr>
              <w:keepNext/>
              <w:keepLines/>
              <w:autoSpaceDE w:val="0"/>
              <w:autoSpaceDN w:val="0"/>
              <w:adjustRightInd w:val="0"/>
              <w:spacing w:before="60" w:after="60"/>
              <w:jc w:val="center"/>
              <w:rPr>
                <w:color w:val="000000"/>
                <w:sz w:val="22"/>
                <w:szCs w:val="22"/>
                <w:lang w:val="ro-RO" w:eastAsia="en-GB"/>
              </w:rPr>
            </w:pPr>
            <w:r w:rsidRPr="00E0488D">
              <w:rPr>
                <w:color w:val="000000"/>
                <w:sz w:val="22"/>
                <w:szCs w:val="22"/>
                <w:lang w:val="ro-RO" w:eastAsia="en-GB"/>
              </w:rPr>
              <w:t>Autostradă</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120</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139</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101</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115</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107</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131</w:t>
            </w:r>
          </w:p>
        </w:tc>
        <w:tc>
          <w:tcPr>
            <w:tcW w:w="1063" w:type="dxa"/>
            <w:vAlign w:val="center"/>
          </w:tcPr>
          <w:p w:rsidR="00B4550A" w:rsidRPr="00E0488D" w:rsidRDefault="00B4550A" w:rsidP="003C7FC8">
            <w:pPr>
              <w:spacing w:before="60" w:after="60"/>
              <w:jc w:val="center"/>
              <w:rPr>
                <w:bCs/>
                <w:color w:val="000000"/>
                <w:sz w:val="22"/>
                <w:szCs w:val="22"/>
                <w:lang w:val="ro-RO"/>
              </w:rPr>
            </w:pPr>
            <w:r w:rsidRPr="00E0488D">
              <w:rPr>
                <w:bCs/>
                <w:color w:val="000000"/>
                <w:sz w:val="22"/>
                <w:szCs w:val="22"/>
                <w:lang w:val="ro-RO"/>
              </w:rPr>
              <w:t>119</w:t>
            </w:r>
          </w:p>
        </w:tc>
        <w:tc>
          <w:tcPr>
            <w:tcW w:w="1064" w:type="dxa"/>
            <w:vAlign w:val="center"/>
          </w:tcPr>
          <w:p w:rsidR="00B4550A" w:rsidRPr="00E0488D" w:rsidRDefault="00B4550A" w:rsidP="003C7FC8">
            <w:pPr>
              <w:spacing w:before="60" w:after="60"/>
              <w:jc w:val="center"/>
              <w:rPr>
                <w:bCs/>
                <w:color w:val="000000"/>
                <w:sz w:val="22"/>
                <w:szCs w:val="22"/>
                <w:lang w:val="ro-RO"/>
              </w:rPr>
            </w:pPr>
            <w:r w:rsidRPr="00E0488D">
              <w:rPr>
                <w:bCs/>
                <w:color w:val="000000"/>
                <w:sz w:val="22"/>
                <w:szCs w:val="22"/>
                <w:lang w:val="ro-RO"/>
              </w:rPr>
              <w:t>0,44%</w:t>
            </w:r>
          </w:p>
        </w:tc>
      </w:tr>
      <w:tr w:rsidR="00B4550A" w:rsidRPr="00E0488D" w:rsidTr="003C7FC8">
        <w:trPr>
          <w:trHeight w:val="274"/>
        </w:trPr>
        <w:tc>
          <w:tcPr>
            <w:tcW w:w="1447" w:type="dxa"/>
            <w:vAlign w:val="center"/>
          </w:tcPr>
          <w:p w:rsidR="00B4550A" w:rsidRPr="00E0488D" w:rsidRDefault="00B4550A" w:rsidP="003C7FC8">
            <w:pPr>
              <w:keepNext/>
              <w:keepLines/>
              <w:autoSpaceDE w:val="0"/>
              <w:autoSpaceDN w:val="0"/>
              <w:adjustRightInd w:val="0"/>
              <w:spacing w:before="60" w:after="60"/>
              <w:jc w:val="center"/>
              <w:rPr>
                <w:color w:val="000000"/>
                <w:sz w:val="22"/>
                <w:szCs w:val="22"/>
                <w:lang w:val="ro-RO" w:eastAsia="en-GB"/>
              </w:rPr>
            </w:pPr>
            <w:r w:rsidRPr="00E0488D">
              <w:rPr>
                <w:color w:val="000000"/>
                <w:sz w:val="22"/>
                <w:szCs w:val="22"/>
                <w:lang w:val="ro-RO" w:eastAsia="en-GB"/>
              </w:rPr>
              <w:t>Național</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7.092</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8.628</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8.195</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7.483</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7.119</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7.192</w:t>
            </w:r>
          </w:p>
        </w:tc>
        <w:tc>
          <w:tcPr>
            <w:tcW w:w="1063" w:type="dxa"/>
            <w:vAlign w:val="center"/>
          </w:tcPr>
          <w:p w:rsidR="00B4550A" w:rsidRPr="00E0488D" w:rsidRDefault="00B4550A" w:rsidP="003C7FC8">
            <w:pPr>
              <w:spacing w:before="60" w:after="60"/>
              <w:jc w:val="center"/>
              <w:rPr>
                <w:bCs/>
                <w:color w:val="000000"/>
                <w:sz w:val="22"/>
                <w:szCs w:val="22"/>
                <w:lang w:val="ro-RO"/>
              </w:rPr>
            </w:pPr>
            <w:r w:rsidRPr="00E0488D">
              <w:rPr>
                <w:bCs/>
                <w:color w:val="000000"/>
                <w:sz w:val="22"/>
                <w:szCs w:val="22"/>
                <w:lang w:val="ro-RO"/>
              </w:rPr>
              <w:t>7.618</w:t>
            </w:r>
          </w:p>
        </w:tc>
        <w:tc>
          <w:tcPr>
            <w:tcW w:w="1064" w:type="dxa"/>
            <w:vAlign w:val="center"/>
          </w:tcPr>
          <w:p w:rsidR="00B4550A" w:rsidRPr="00E0488D" w:rsidRDefault="00B4550A" w:rsidP="003C7FC8">
            <w:pPr>
              <w:spacing w:before="60" w:after="60"/>
              <w:jc w:val="center"/>
              <w:rPr>
                <w:bCs/>
                <w:color w:val="000000"/>
                <w:sz w:val="22"/>
                <w:szCs w:val="22"/>
                <w:lang w:val="ro-RO"/>
              </w:rPr>
            </w:pPr>
            <w:r w:rsidRPr="00E0488D">
              <w:rPr>
                <w:bCs/>
                <w:color w:val="000000"/>
                <w:sz w:val="22"/>
                <w:szCs w:val="22"/>
                <w:lang w:val="ro-RO"/>
              </w:rPr>
              <w:t>28,09%</w:t>
            </w:r>
          </w:p>
        </w:tc>
      </w:tr>
      <w:tr w:rsidR="00B4550A" w:rsidRPr="00E0488D" w:rsidTr="003C7FC8">
        <w:trPr>
          <w:trHeight w:val="274"/>
        </w:trPr>
        <w:tc>
          <w:tcPr>
            <w:tcW w:w="1447"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Județean</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3.262</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4.318</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4.295</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3.841</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3.924</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3.929</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3.928</w:t>
            </w:r>
          </w:p>
        </w:tc>
        <w:tc>
          <w:tcPr>
            <w:tcW w:w="1064"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14,48%</w:t>
            </w:r>
          </w:p>
        </w:tc>
      </w:tr>
      <w:tr w:rsidR="00B4550A" w:rsidRPr="00E0488D" w:rsidTr="003C7FC8">
        <w:trPr>
          <w:trHeight w:val="274"/>
        </w:trPr>
        <w:tc>
          <w:tcPr>
            <w:tcW w:w="1447"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Altele</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14.188</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16.776</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16.021</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14.557</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15.498</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15.676</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15.453</w:t>
            </w:r>
          </w:p>
        </w:tc>
        <w:tc>
          <w:tcPr>
            <w:tcW w:w="1064"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56,98%</w:t>
            </w:r>
          </w:p>
        </w:tc>
      </w:tr>
      <w:tr w:rsidR="00B4550A" w:rsidRPr="00E0488D" w:rsidTr="003C7FC8">
        <w:trPr>
          <w:trHeight w:val="274"/>
        </w:trPr>
        <w:tc>
          <w:tcPr>
            <w:tcW w:w="1447"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Total</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24.662</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29.861</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28.612</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25.996</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26.648</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26.928</w:t>
            </w:r>
          </w:p>
        </w:tc>
        <w:tc>
          <w:tcPr>
            <w:tcW w:w="1063"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27.118</w:t>
            </w:r>
          </w:p>
        </w:tc>
        <w:tc>
          <w:tcPr>
            <w:tcW w:w="1064"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w:t>
            </w:r>
          </w:p>
        </w:tc>
      </w:tr>
    </w:tbl>
    <w:bookmarkEnd w:id="78"/>
    <w:p w:rsidR="00B4550A" w:rsidRPr="00E0488D" w:rsidRDefault="00B4550A" w:rsidP="00B4550A">
      <w:pPr>
        <w:spacing w:before="120" w:after="120" w:line="276" w:lineRule="auto"/>
        <w:ind w:left="851"/>
        <w:rPr>
          <w:i/>
          <w:lang w:val="ro-RO"/>
        </w:rPr>
      </w:pPr>
      <w:r w:rsidRPr="00E0488D">
        <w:rPr>
          <w:i/>
          <w:lang w:val="ro-RO"/>
        </w:rPr>
        <w:t xml:space="preserve">Sursa: Analiza AECOM a bazei de date a accidentelor gestionată de către IGP </w:t>
      </w:r>
    </w:p>
    <w:p w:rsidR="00B4550A" w:rsidRPr="00E0488D" w:rsidRDefault="00B4550A" w:rsidP="002B7E09">
      <w:pPr>
        <w:pStyle w:val="NumberedParas"/>
      </w:pPr>
      <w:r w:rsidRPr="00E0488D">
        <w:t xml:space="preserve">Aproximativ 30% din totalul accidentelor corespund rețelei de autostrăzi și drumuri naționale, în contextul în care aceste categorii de drumuri dețin mai puțin de 20% din ansamblul rețelei rutiere naționale Impactul economic al acestor accidente este estimat la 1,2 miliarde de euro pe an. </w:t>
      </w:r>
    </w:p>
    <w:p w:rsidR="00B4550A" w:rsidRPr="00E0488D" w:rsidRDefault="00B4550A" w:rsidP="002B7E09">
      <w:pPr>
        <w:pStyle w:val="NumberedParas"/>
      </w:pPr>
      <w:r w:rsidRPr="00E0488D">
        <w:rPr>
          <w:rStyle w:val="hps"/>
          <w:rFonts w:cs="Arial"/>
          <w:color w:val="000000" w:themeColor="text1"/>
        </w:rPr>
        <w:t>Drumurile cu o singură bandă pe sens sunt recunoscute ca fiind</w:t>
      </w:r>
      <w:r w:rsidRPr="00E0488D">
        <w:t xml:space="preserve"> </w:t>
      </w:r>
      <w:r w:rsidRPr="00E0488D">
        <w:rPr>
          <w:rStyle w:val="hps"/>
          <w:rFonts w:cs="Arial"/>
          <w:color w:val="000000" w:themeColor="text1"/>
        </w:rPr>
        <w:t>cele mai periculoase</w:t>
      </w:r>
      <w:r w:rsidRPr="00E0488D">
        <w:t xml:space="preserve"> după cum rezultă </w:t>
      </w:r>
      <w:r w:rsidRPr="00E0488D">
        <w:rPr>
          <w:rStyle w:val="hps"/>
          <w:rFonts w:cs="Arial"/>
          <w:color w:val="000000" w:themeColor="text1"/>
        </w:rPr>
        <w:t>din studiile recente</w:t>
      </w:r>
      <w:r w:rsidRPr="00E0488D">
        <w:t xml:space="preserve"> efectuate de </w:t>
      </w:r>
      <w:r w:rsidRPr="00E0488D">
        <w:rPr>
          <w:rStyle w:val="hps"/>
          <w:rFonts w:cs="Arial"/>
          <w:color w:val="000000" w:themeColor="text1"/>
        </w:rPr>
        <w:t>EuroRAP</w:t>
      </w:r>
      <w:r w:rsidRPr="00E0488D">
        <w:t>, unde se concluzionează</w:t>
      </w:r>
      <w:r w:rsidRPr="00E0488D">
        <w:rPr>
          <w:rStyle w:val="hps"/>
          <w:rFonts w:cs="Arial"/>
          <w:color w:val="000000" w:themeColor="text1"/>
        </w:rPr>
        <w:t xml:space="preserve"> că</w:t>
      </w:r>
      <w:r w:rsidRPr="00E0488D">
        <w:t xml:space="preserve"> </w:t>
      </w:r>
      <w:r w:rsidRPr="00E0488D">
        <w:rPr>
          <w:rStyle w:val="hps"/>
          <w:rFonts w:cs="Arial"/>
          <w:color w:val="000000" w:themeColor="text1"/>
        </w:rPr>
        <w:t>în Europa</w:t>
      </w:r>
      <w:r w:rsidRPr="00E0488D">
        <w:t xml:space="preserve"> </w:t>
      </w:r>
      <w:r w:rsidRPr="00E0488D">
        <w:rPr>
          <w:rStyle w:val="hps"/>
          <w:rFonts w:cs="Arial"/>
          <w:color w:val="000000" w:themeColor="text1"/>
        </w:rPr>
        <w:t>riscul</w:t>
      </w:r>
      <w:r w:rsidRPr="00E0488D">
        <w:t xml:space="preserve"> de incidență a accidentelor pentru</w:t>
      </w:r>
      <w:r w:rsidRPr="00E0488D">
        <w:rPr>
          <w:rStyle w:val="hps"/>
          <w:rFonts w:cs="Arial"/>
          <w:color w:val="000000" w:themeColor="text1"/>
        </w:rPr>
        <w:t xml:space="preserve"> un</w:t>
      </w:r>
      <w:r w:rsidRPr="00E0488D">
        <w:t xml:space="preserve"> </w:t>
      </w:r>
      <w:r w:rsidRPr="00E0488D">
        <w:rPr>
          <w:rStyle w:val="hps"/>
          <w:rFonts w:cs="Arial"/>
          <w:color w:val="000000" w:themeColor="text1"/>
        </w:rPr>
        <w:t>drum</w:t>
      </w:r>
      <w:r w:rsidRPr="00E0488D">
        <w:t xml:space="preserve"> </w:t>
      </w:r>
      <w:r w:rsidRPr="00E0488D">
        <w:rPr>
          <w:rStyle w:val="hps"/>
          <w:rFonts w:cs="Arial"/>
          <w:color w:val="000000" w:themeColor="text1"/>
        </w:rPr>
        <w:t>cu o singură bandă pe sens</w:t>
      </w:r>
      <w:r w:rsidRPr="00E0488D">
        <w:t xml:space="preserve"> </w:t>
      </w:r>
      <w:r w:rsidRPr="00E0488D">
        <w:rPr>
          <w:rStyle w:val="hps"/>
          <w:rFonts w:cs="Arial"/>
          <w:color w:val="000000" w:themeColor="text1"/>
        </w:rPr>
        <w:t>este de patru</w:t>
      </w:r>
      <w:r w:rsidRPr="00E0488D">
        <w:t xml:space="preserve"> </w:t>
      </w:r>
      <w:r w:rsidRPr="00E0488D">
        <w:rPr>
          <w:rStyle w:val="hps"/>
          <w:rFonts w:cs="Arial"/>
          <w:color w:val="000000" w:themeColor="text1"/>
        </w:rPr>
        <w:t>ori mai mare decât</w:t>
      </w:r>
      <w:r w:rsidRPr="00E0488D">
        <w:t xml:space="preserve"> </w:t>
      </w:r>
      <w:r w:rsidRPr="00E0488D">
        <w:rPr>
          <w:rStyle w:val="hps"/>
          <w:rFonts w:cs="Arial"/>
          <w:color w:val="000000" w:themeColor="text1"/>
        </w:rPr>
        <w:t>pentru autostrăzi</w:t>
      </w:r>
      <w:r w:rsidRPr="00E0488D">
        <w:t xml:space="preserve">. </w:t>
      </w:r>
      <w:r w:rsidRPr="00E0488D">
        <w:rPr>
          <w:rStyle w:val="hps"/>
          <w:rFonts w:cs="Arial"/>
          <w:color w:val="000000" w:themeColor="text1"/>
        </w:rPr>
        <w:t>De asemenea, acest lucru reiese și din statisticile</w:t>
      </w:r>
      <w:r w:rsidRPr="00E0488D">
        <w:t xml:space="preserve"> </w:t>
      </w:r>
      <w:r w:rsidRPr="00E0488D">
        <w:rPr>
          <w:rStyle w:val="hps"/>
          <w:rFonts w:cs="Arial"/>
          <w:color w:val="000000" w:themeColor="text1"/>
        </w:rPr>
        <w:t>locale,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reflectă un risc</w:t>
      </w:r>
      <w:r w:rsidRPr="00E0488D">
        <w:t xml:space="preserve"> </w:t>
      </w:r>
      <w:r w:rsidRPr="00E0488D">
        <w:rPr>
          <w:rStyle w:val="hps"/>
          <w:rFonts w:cs="Arial"/>
          <w:color w:val="000000" w:themeColor="text1"/>
        </w:rPr>
        <w:t>semnificativ mai mare</w:t>
      </w:r>
      <w:r w:rsidRPr="00E0488D">
        <w:t xml:space="preserve"> </w:t>
      </w:r>
      <w:r w:rsidRPr="00E0488D">
        <w:rPr>
          <w:rStyle w:val="hps"/>
          <w:rFonts w:cs="Arial"/>
          <w:color w:val="000000" w:themeColor="text1"/>
        </w:rPr>
        <w:t>pentru drumurile cu o singură bandă pe sens</w:t>
      </w:r>
      <w:r w:rsidRPr="00E0488D">
        <w:t xml:space="preserve">: în cazul drumurilor naționale există un risc de </w:t>
      </w:r>
      <w:r w:rsidRPr="00E0488D">
        <w:rPr>
          <w:rStyle w:val="hps"/>
          <w:rFonts w:cs="Arial"/>
          <w:color w:val="000000" w:themeColor="text1"/>
        </w:rPr>
        <w:t>peste șase</w:t>
      </w:r>
      <w:r w:rsidRPr="00E0488D">
        <w:t xml:space="preserve"> </w:t>
      </w:r>
      <w:r w:rsidRPr="00E0488D">
        <w:rPr>
          <w:rStyle w:val="hps"/>
          <w:rFonts w:cs="Arial"/>
          <w:color w:val="000000" w:themeColor="text1"/>
        </w:rPr>
        <w:t>ori</w:t>
      </w:r>
      <w:r w:rsidRPr="00E0488D">
        <w:t xml:space="preserve"> </w:t>
      </w:r>
      <w:r w:rsidRPr="00E0488D">
        <w:rPr>
          <w:rStyle w:val="hps"/>
          <w:rFonts w:cs="Arial"/>
          <w:color w:val="000000" w:themeColor="text1"/>
        </w:rPr>
        <w:t>mai mare decât</w:t>
      </w:r>
      <w:r w:rsidRPr="00E0488D">
        <w:t xml:space="preserve"> pentru </w:t>
      </w:r>
      <w:r w:rsidRPr="00E0488D">
        <w:rPr>
          <w:rStyle w:val="hps"/>
          <w:rFonts w:cs="Arial"/>
          <w:color w:val="000000" w:themeColor="text1"/>
        </w:rPr>
        <w:t>autostrăzi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 peste trei</w:t>
      </w:r>
      <w:r w:rsidRPr="00E0488D">
        <w:t xml:space="preserve"> </w:t>
      </w:r>
      <w:r w:rsidRPr="00E0488D">
        <w:rPr>
          <w:rStyle w:val="hps"/>
          <w:rFonts w:cs="Arial"/>
          <w:color w:val="000000" w:themeColor="text1"/>
        </w:rPr>
        <w:t>ori mai mare</w:t>
      </w:r>
      <w:r w:rsidRPr="00E0488D">
        <w:t xml:space="preserve"> </w:t>
      </w:r>
      <w:r w:rsidRPr="00E0488D">
        <w:rPr>
          <w:rStyle w:val="hps"/>
          <w:rFonts w:cs="Arial"/>
          <w:color w:val="000000" w:themeColor="text1"/>
        </w:rPr>
        <w:t>în cazul în care</w:t>
      </w:r>
      <w:r w:rsidRPr="00E0488D">
        <w:t xml:space="preserve"> se iau în calcul doar </w:t>
      </w:r>
      <w:r w:rsidRPr="00E0488D">
        <w:rPr>
          <w:rStyle w:val="hps"/>
          <w:rFonts w:cs="Arial"/>
          <w:color w:val="000000" w:themeColor="text1"/>
        </w:rPr>
        <w:t>drumurile naționale</w:t>
      </w:r>
      <w:r w:rsidRPr="00E0488D">
        <w:t xml:space="preserve"> </w:t>
      </w:r>
      <w:r w:rsidRPr="00E0488D">
        <w:rPr>
          <w:rStyle w:val="hps"/>
          <w:rFonts w:cs="Arial"/>
          <w:color w:val="000000" w:themeColor="text1"/>
        </w:rPr>
        <w:t>din zonele interurbane</w:t>
      </w:r>
      <w:r w:rsidRPr="00E0488D">
        <w:t>. În prezent, un procent de aproximativ 90% din rețeaua națională este reprezentat de drumurile cu o singură bandă, ceea ce fără îndoială contribuie la statisticile defavorabile precum și la costuri economice semnificative asociate accidentelor rutiere.</w:t>
      </w:r>
    </w:p>
    <w:p w:rsidR="00B4550A" w:rsidRPr="00E0488D" w:rsidRDefault="00B4550A" w:rsidP="00B4550A">
      <w:pPr>
        <w:pStyle w:val="Hdg3"/>
      </w:pPr>
      <w:r w:rsidRPr="00E0488D">
        <w:t>Nivelul de serviciu</w:t>
      </w:r>
    </w:p>
    <w:p w:rsidR="00B4550A" w:rsidRPr="00E0488D" w:rsidRDefault="00B4550A" w:rsidP="002B7E09">
      <w:pPr>
        <w:pStyle w:val="NumberedParas"/>
        <w:rPr>
          <w:rFonts w:cs="Arial"/>
          <w:color w:val="000000" w:themeColor="text1"/>
        </w:rPr>
      </w:pPr>
      <w:r w:rsidRPr="00E0488D">
        <w:t xml:space="preserve">Nivelul de serviciu este de obicei analizat ținând cont de raportul volum-capacitate, însă acest lucru nu este aplicabil având în vedere condițiile specifice ale rețelei de drumuri din România. Deși fluxurile de trafic înregistrate pe cea mai mare parte a rețelei naționale nu sunt ridicate în comparație cu capacitatea teoretică, influența numărului mare de drumuri cu o bandă pe sensul de mers este semnificativ. </w:t>
      </w:r>
      <w:r w:rsidRPr="00E0488D">
        <w:rPr>
          <w:rStyle w:val="hps"/>
          <w:rFonts w:cs="Arial"/>
          <w:color w:val="000000" w:themeColor="text1"/>
        </w:rPr>
        <w:t>Chiar</w:t>
      </w:r>
      <w:r w:rsidRPr="00E0488D">
        <w:t xml:space="preserve"> cu fluxuri de trafic scăzute, </w:t>
      </w:r>
      <w:r w:rsidRPr="00E0488D">
        <w:rPr>
          <w:rStyle w:val="hps"/>
          <w:rFonts w:cs="Arial"/>
          <w:color w:val="000000" w:themeColor="text1"/>
        </w:rPr>
        <w:t>drumurile cu o singură bandă pe sens oferă</w:t>
      </w:r>
      <w:r w:rsidRPr="00E0488D">
        <w:t xml:space="preserve"> </w:t>
      </w:r>
      <w:r w:rsidRPr="00E0488D">
        <w:rPr>
          <w:rStyle w:val="hps"/>
          <w:rFonts w:cs="Arial"/>
          <w:color w:val="000000" w:themeColor="text1"/>
        </w:rPr>
        <w:t>oportunități</w:t>
      </w:r>
      <w:r w:rsidRPr="00E0488D">
        <w:t xml:space="preserve"> </w:t>
      </w:r>
      <w:r w:rsidRPr="00E0488D">
        <w:rPr>
          <w:rStyle w:val="hps"/>
          <w:rFonts w:cs="Arial"/>
          <w:color w:val="000000" w:themeColor="text1"/>
        </w:rPr>
        <w:t>limitate</w:t>
      </w:r>
      <w:r w:rsidRPr="00E0488D">
        <w:t xml:space="preserve"> </w:t>
      </w:r>
      <w:r w:rsidRPr="00E0488D">
        <w:rPr>
          <w:rStyle w:val="hps"/>
          <w:rFonts w:cs="Arial"/>
          <w:color w:val="000000" w:themeColor="text1"/>
        </w:rPr>
        <w:t>de depășire</w:t>
      </w:r>
      <w:r w:rsidRPr="00E0488D">
        <w:t xml:space="preserve"> </w:t>
      </w:r>
      <w:r w:rsidRPr="00E0488D">
        <w:rPr>
          <w:rStyle w:val="hps"/>
          <w:rFonts w:cs="Arial"/>
          <w:color w:val="000000" w:themeColor="text1"/>
        </w:rPr>
        <w:t>în siguranță,</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în cazul în care</w:t>
      </w:r>
      <w:r w:rsidRPr="00E0488D">
        <w:t xml:space="preserve"> </w:t>
      </w:r>
      <w:r w:rsidRPr="00E0488D">
        <w:rPr>
          <w:rStyle w:val="hps"/>
          <w:rFonts w:cs="Arial"/>
          <w:color w:val="000000" w:themeColor="text1"/>
        </w:rPr>
        <w:t>numărul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vehicule de transport mărfuri</w:t>
      </w:r>
      <w:r w:rsidRPr="00E0488D">
        <w:t xml:space="preserve"> </w:t>
      </w:r>
      <w:r w:rsidRPr="00E0488D">
        <w:rPr>
          <w:rStyle w:val="hps"/>
          <w:rFonts w:cs="Arial"/>
          <w:color w:val="000000" w:themeColor="text1"/>
        </w:rPr>
        <w:t>este mare</w:t>
      </w:r>
      <w:r w:rsidRPr="00E0488D">
        <w:rPr>
          <w:rFonts w:cs="Arial"/>
          <w:color w:val="000000" w:themeColor="text1"/>
        </w:rPr>
        <w:t>, așa cum se poate obs</w:t>
      </w:r>
      <w:r w:rsidRPr="00E0488D">
        <w:t>er</w:t>
      </w:r>
      <w:r w:rsidRPr="00E0488D">
        <w:rPr>
          <w:rFonts w:cs="Arial"/>
          <w:color w:val="000000" w:themeColor="text1"/>
        </w:rPr>
        <w:t xml:space="preserve">va în cazul </w:t>
      </w:r>
      <w:r w:rsidRPr="00E0488D">
        <w:rPr>
          <w:rStyle w:val="hps"/>
          <w:rFonts w:cs="Arial"/>
          <w:color w:val="000000" w:themeColor="text1"/>
        </w:rPr>
        <w:t>rețelei naționale</w:t>
      </w:r>
      <w:r w:rsidRPr="00E0488D">
        <w:rPr>
          <w:rFonts w:cs="Arial"/>
          <w:color w:val="000000" w:themeColor="text1"/>
        </w:rPr>
        <w:t xml:space="preserve">. </w:t>
      </w:r>
    </w:p>
    <w:p w:rsidR="00B4550A" w:rsidRPr="00E0488D" w:rsidRDefault="00B4550A" w:rsidP="002B7E09">
      <w:pPr>
        <w:pStyle w:val="NumberedParas"/>
      </w:pPr>
      <w:r w:rsidRPr="00E0488D">
        <w:rPr>
          <w:rStyle w:val="hps"/>
          <w:rFonts w:cs="Arial"/>
          <w:color w:val="000000" w:themeColor="text1"/>
        </w:rPr>
        <w:t>Lăsând la o parte proporția mică din</w:t>
      </w:r>
      <w:r w:rsidRPr="00E0488D">
        <w:t xml:space="preserve"> </w:t>
      </w:r>
      <w:r w:rsidRPr="00E0488D">
        <w:rPr>
          <w:rStyle w:val="hps"/>
          <w:rFonts w:cs="Arial"/>
          <w:color w:val="000000" w:themeColor="text1"/>
        </w:rPr>
        <w:t>rețeaua națională</w:t>
      </w:r>
      <w:r w:rsidRPr="00E0488D">
        <w:t xml:space="preserve"> care este la standard de autostradă </w:t>
      </w:r>
      <w:r w:rsidRPr="00E0488D">
        <w:rPr>
          <w:rStyle w:val="hps"/>
          <w:rFonts w:cs="Arial"/>
          <w:color w:val="000000" w:themeColor="text1"/>
        </w:rPr>
        <w:t>(</w:t>
      </w:r>
      <w:r w:rsidRPr="00E0488D">
        <w:t xml:space="preserve">mai puțin de 3%), </w:t>
      </w:r>
      <w:r w:rsidRPr="00E0488D">
        <w:rPr>
          <w:rStyle w:val="hps"/>
          <w:rFonts w:cs="Arial"/>
          <w:color w:val="000000" w:themeColor="text1"/>
        </w:rPr>
        <w:t>viteza medie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rețeaua națională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de aproximativ</w:t>
      </w:r>
      <w:r w:rsidRPr="00E0488D">
        <w:t xml:space="preserve"> </w:t>
      </w:r>
      <w:r w:rsidRPr="00E0488D">
        <w:rPr>
          <w:rStyle w:val="hps"/>
          <w:rFonts w:cs="Arial"/>
          <w:color w:val="000000" w:themeColor="text1"/>
        </w:rPr>
        <w:t>66</w:t>
      </w:r>
      <w:r w:rsidRPr="00E0488D">
        <w:t xml:space="preserve"> </w:t>
      </w:r>
      <w:r w:rsidRPr="00E0488D">
        <w:rPr>
          <w:rStyle w:val="hps"/>
          <w:rFonts w:cs="Arial"/>
          <w:color w:val="000000" w:themeColor="text1"/>
        </w:rPr>
        <w:t>km/h, pentru călătoriile inter-urbane. Acest lucru</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considerat suficient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rețea națională</w:t>
      </w:r>
      <w:r w:rsidRPr="00E0488D">
        <w:t xml:space="preserve"> </w:t>
      </w:r>
      <w:r w:rsidRPr="00E0488D">
        <w:rPr>
          <w:rStyle w:val="hps"/>
          <w:rFonts w:cs="Arial"/>
          <w:color w:val="000000" w:themeColor="text1"/>
        </w:rPr>
        <w:t>pentru care, potrivit comparațiilor internaționale, viteza medie ar trebui să înregistreze valori cuprinse între</w:t>
      </w:r>
      <w:r w:rsidRPr="00E0488D">
        <w:t xml:space="preserve"> </w:t>
      </w:r>
      <w:r w:rsidRPr="00E0488D">
        <w:rPr>
          <w:rStyle w:val="hps"/>
          <w:rFonts w:cs="Arial"/>
          <w:color w:val="000000" w:themeColor="text1"/>
        </w:rPr>
        <w:t>90</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100</w:t>
      </w:r>
      <w:r w:rsidRPr="00E0488D">
        <w:t xml:space="preserve"> </w:t>
      </w:r>
      <w:r w:rsidRPr="00E0488D">
        <w:rPr>
          <w:rStyle w:val="hps"/>
          <w:rFonts w:cs="Arial"/>
          <w:color w:val="000000" w:themeColor="text1"/>
        </w:rPr>
        <w:t>km/h, pentru a fi considerate adecvate</w:t>
      </w:r>
      <w:r w:rsidRPr="00E0488D">
        <w:t>. Cerințele TEN-T stabilite pentru rute deservite de autostrăzi  și drumuri expres la standarde înalte de calitate prevăd o viteză minimă de 100 km/h.</w:t>
      </w:r>
    </w:p>
    <w:p w:rsidR="00B4550A" w:rsidRPr="00E0488D" w:rsidRDefault="00B4550A" w:rsidP="00B4550A">
      <w:pPr>
        <w:spacing w:before="120" w:after="120" w:line="276" w:lineRule="auto"/>
        <w:ind w:left="851"/>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drawing>
          <wp:inline distT="0" distB="0" distL="0" distR="0" wp14:anchorId="5AAC50B5" wp14:editId="1FA1082C">
            <wp:extent cx="5969000" cy="5100435"/>
            <wp:effectExtent l="19050" t="19050" r="12700" b="24015"/>
            <wp:docPr id="107" name="Picture 0" descr="TargetSpeeds_Base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Speeds_Base_2011.png"/>
                    <pic:cNvPicPr/>
                  </pic:nvPicPr>
                  <pic:blipFill>
                    <a:blip r:embed="rId99" cstate="email">
                      <a:extLst>
                        <a:ext uri="{28A0092B-C50C-407E-A947-70E740481C1C}">
                          <a14:useLocalDpi xmlns:a14="http://schemas.microsoft.com/office/drawing/2010/main"/>
                        </a:ext>
                      </a:extLst>
                    </a:blip>
                    <a:stretch>
                      <a:fillRect/>
                    </a:stretch>
                  </pic:blipFill>
                  <pic:spPr>
                    <a:xfrm>
                      <a:off x="0" y="0"/>
                      <a:ext cx="5968658" cy="5100142"/>
                    </a:xfrm>
                    <a:prstGeom prst="rect">
                      <a:avLst/>
                    </a:prstGeom>
                    <a:ln>
                      <a:solidFill>
                        <a:schemeClr val="accent1"/>
                      </a:solidFill>
                    </a:ln>
                  </pic:spPr>
                </pic:pic>
              </a:graphicData>
            </a:graphic>
          </wp:inline>
        </w:drawing>
      </w:r>
    </w:p>
    <w:p w:rsidR="00B4550A" w:rsidRPr="00E0488D" w:rsidRDefault="00B4550A" w:rsidP="00B4550A">
      <w:pPr>
        <w:spacing w:before="120" w:after="120" w:line="276" w:lineRule="auto"/>
        <w:ind w:left="851"/>
        <w:rPr>
          <w:i/>
          <w:sz w:val="22"/>
          <w:szCs w:val="22"/>
          <w:lang w:val="ro-RO"/>
        </w:rPr>
      </w:pPr>
      <w:r w:rsidRPr="00E0488D">
        <w:rPr>
          <w:b/>
          <w:sz w:val="22"/>
          <w:szCs w:val="22"/>
          <w:lang w:val="ro-RO"/>
        </w:rPr>
        <w:t>Figura 4.2</w:t>
      </w:r>
      <w:r w:rsidRPr="00E0488D">
        <w:rPr>
          <w:b/>
          <w:sz w:val="22"/>
          <w:szCs w:val="22"/>
          <w:lang w:val="ro-RO"/>
        </w:rPr>
        <w:tab/>
        <w:t>Rețeaua națională – Viteze actuale versus viteze țintă</w:t>
      </w:r>
      <w:r w:rsidRPr="00E0488D">
        <w:rPr>
          <w:i/>
          <w:sz w:val="22"/>
          <w:szCs w:val="22"/>
          <w:lang w:val="ro-RO"/>
        </w:rPr>
        <w:t xml:space="preserve"> </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2B7E09">
      <w:pPr>
        <w:pStyle w:val="NumberedParas"/>
      </w:pPr>
      <w:r w:rsidRPr="00E0488D">
        <w:t xml:space="preserve">Doar drumurile marcate cu verde au viteze apropiate de cele considerate a fi adecvate pentru o rețea națională. Tabelul 4.3 include informații cu privire la lungimile de drum din fiecare interval. Mai mult de jumătate din rețeaua națională înregistrează viteze mai mici cu 70% față de viteza țintă. </w:t>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Tabelul 4.3</w:t>
      </w:r>
      <w:r w:rsidRPr="00E0488D">
        <w:rPr>
          <w:b/>
          <w:sz w:val="22"/>
          <w:szCs w:val="22"/>
          <w:lang w:val="ro-RO"/>
        </w:rPr>
        <w:tab/>
        <w:t xml:space="preserve">Viteza afectată vs. viteza țintă. Lungimea totală pentru fiecare interval </w:t>
      </w:r>
    </w:p>
    <w:tbl>
      <w:tblPr>
        <w:tblW w:w="2977"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276"/>
      </w:tblGrid>
      <w:tr w:rsidR="00B4550A" w:rsidRPr="00E0488D" w:rsidTr="003C7FC8">
        <w:trPr>
          <w:trHeight w:val="274"/>
        </w:trPr>
        <w:tc>
          <w:tcPr>
            <w:tcW w:w="1701" w:type="dxa"/>
            <w:shd w:val="clear" w:color="auto" w:fill="DBE5F1" w:themeFill="accent1" w:themeFillTint="33"/>
            <w:vAlign w:val="center"/>
          </w:tcPr>
          <w:p w:rsidR="00B4550A" w:rsidRPr="00E0488D" w:rsidRDefault="00B4550A" w:rsidP="003C7FC8">
            <w:pPr>
              <w:keepNext/>
              <w:keepLines/>
              <w:autoSpaceDE w:val="0"/>
              <w:autoSpaceDN w:val="0"/>
              <w:adjustRightInd w:val="0"/>
              <w:spacing w:before="60" w:after="60"/>
              <w:jc w:val="center"/>
              <w:rPr>
                <w:b/>
                <w:color w:val="000000"/>
                <w:sz w:val="22"/>
                <w:szCs w:val="22"/>
                <w:lang w:val="ro-RO" w:eastAsia="en-GB"/>
              </w:rPr>
            </w:pPr>
            <w:r w:rsidRPr="00E0488D">
              <w:rPr>
                <w:b/>
                <w:color w:val="000000"/>
                <w:sz w:val="22"/>
                <w:szCs w:val="22"/>
                <w:lang w:val="ro-RO" w:eastAsia="en-GB"/>
              </w:rPr>
              <w:t xml:space="preserve">Interval </w:t>
            </w:r>
          </w:p>
        </w:tc>
        <w:tc>
          <w:tcPr>
            <w:tcW w:w="1276" w:type="dxa"/>
            <w:shd w:val="clear" w:color="auto" w:fill="DBE5F1" w:themeFill="accent1" w:themeFillTint="33"/>
            <w:vAlign w:val="center"/>
          </w:tcPr>
          <w:p w:rsidR="00B4550A" w:rsidRPr="00E0488D" w:rsidRDefault="00B4550A" w:rsidP="003C7FC8">
            <w:pPr>
              <w:spacing w:before="60" w:after="60"/>
              <w:jc w:val="center"/>
              <w:rPr>
                <w:b/>
                <w:color w:val="000000"/>
                <w:sz w:val="22"/>
                <w:szCs w:val="22"/>
                <w:lang w:val="ro-RO"/>
              </w:rPr>
            </w:pPr>
            <w:r w:rsidRPr="00E0488D">
              <w:rPr>
                <w:b/>
                <w:color w:val="000000"/>
                <w:sz w:val="22"/>
                <w:szCs w:val="22"/>
                <w:lang w:val="ro-RO"/>
              </w:rPr>
              <w:t>Procentaj</w:t>
            </w:r>
          </w:p>
        </w:tc>
      </w:tr>
      <w:tr w:rsidR="00B4550A" w:rsidRPr="00E0488D" w:rsidTr="003C7FC8">
        <w:trPr>
          <w:trHeight w:val="274"/>
        </w:trPr>
        <w:tc>
          <w:tcPr>
            <w:tcW w:w="1701" w:type="dxa"/>
            <w:vAlign w:val="center"/>
          </w:tcPr>
          <w:p w:rsidR="00B4550A" w:rsidRPr="00E0488D" w:rsidRDefault="00B4550A" w:rsidP="003C7FC8">
            <w:pPr>
              <w:keepNext/>
              <w:keepLines/>
              <w:autoSpaceDE w:val="0"/>
              <w:autoSpaceDN w:val="0"/>
              <w:adjustRightInd w:val="0"/>
              <w:spacing w:before="60" w:after="60"/>
              <w:jc w:val="center"/>
              <w:rPr>
                <w:color w:val="000000"/>
                <w:sz w:val="22"/>
                <w:szCs w:val="22"/>
                <w:lang w:val="ro-RO" w:eastAsia="en-GB"/>
              </w:rPr>
            </w:pPr>
            <w:r w:rsidRPr="00E0488D">
              <w:rPr>
                <w:color w:val="000000"/>
                <w:sz w:val="22"/>
                <w:szCs w:val="22"/>
                <w:lang w:val="ro-RO" w:eastAsia="en-GB"/>
              </w:rPr>
              <w:t>&gt; 0,9</w:t>
            </w:r>
          </w:p>
        </w:tc>
        <w:tc>
          <w:tcPr>
            <w:tcW w:w="1276"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9,6%</w:t>
            </w:r>
          </w:p>
        </w:tc>
      </w:tr>
      <w:tr w:rsidR="00B4550A" w:rsidRPr="00E0488D" w:rsidTr="003C7FC8">
        <w:trPr>
          <w:trHeight w:val="274"/>
        </w:trPr>
        <w:tc>
          <w:tcPr>
            <w:tcW w:w="1701" w:type="dxa"/>
            <w:vAlign w:val="center"/>
          </w:tcPr>
          <w:p w:rsidR="00B4550A" w:rsidRPr="00E0488D" w:rsidRDefault="00B4550A" w:rsidP="003C7FC8">
            <w:pPr>
              <w:keepNext/>
              <w:keepLines/>
              <w:autoSpaceDE w:val="0"/>
              <w:autoSpaceDN w:val="0"/>
              <w:adjustRightInd w:val="0"/>
              <w:spacing w:before="60" w:after="60"/>
              <w:jc w:val="center"/>
              <w:rPr>
                <w:color w:val="000000"/>
                <w:sz w:val="22"/>
                <w:szCs w:val="22"/>
                <w:lang w:val="ro-RO" w:eastAsia="en-GB"/>
              </w:rPr>
            </w:pPr>
            <w:r w:rsidRPr="00E0488D">
              <w:rPr>
                <w:color w:val="000000"/>
                <w:sz w:val="22"/>
                <w:szCs w:val="22"/>
                <w:lang w:val="ro-RO" w:eastAsia="en-GB"/>
              </w:rPr>
              <w:t>0,8 până la 0,9</w:t>
            </w:r>
          </w:p>
        </w:tc>
        <w:tc>
          <w:tcPr>
            <w:tcW w:w="1276"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17,1%</w:t>
            </w:r>
          </w:p>
        </w:tc>
      </w:tr>
      <w:tr w:rsidR="00B4550A" w:rsidRPr="00E0488D" w:rsidTr="003C7FC8">
        <w:trPr>
          <w:trHeight w:val="274"/>
        </w:trPr>
        <w:tc>
          <w:tcPr>
            <w:tcW w:w="1701"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 xml:space="preserve">0,7 </w:t>
            </w:r>
            <w:r w:rsidRPr="00E0488D">
              <w:rPr>
                <w:color w:val="000000"/>
                <w:sz w:val="22"/>
                <w:szCs w:val="22"/>
                <w:lang w:val="ro-RO" w:eastAsia="en-GB"/>
              </w:rPr>
              <w:t xml:space="preserve">până la </w:t>
            </w:r>
            <w:r w:rsidRPr="00E0488D">
              <w:rPr>
                <w:color w:val="000000"/>
                <w:sz w:val="22"/>
                <w:szCs w:val="22"/>
                <w:lang w:val="ro-RO"/>
              </w:rPr>
              <w:t>0,8</w:t>
            </w:r>
          </w:p>
        </w:tc>
        <w:tc>
          <w:tcPr>
            <w:tcW w:w="1276"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22,4%</w:t>
            </w:r>
          </w:p>
        </w:tc>
      </w:tr>
      <w:tr w:rsidR="00B4550A" w:rsidRPr="00E0488D" w:rsidTr="003C7FC8">
        <w:trPr>
          <w:trHeight w:val="274"/>
        </w:trPr>
        <w:tc>
          <w:tcPr>
            <w:tcW w:w="1701"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&lt; 0,7</w:t>
            </w:r>
          </w:p>
        </w:tc>
        <w:tc>
          <w:tcPr>
            <w:tcW w:w="1276" w:type="dxa"/>
            <w:vAlign w:val="center"/>
          </w:tcPr>
          <w:p w:rsidR="00B4550A" w:rsidRPr="00E0488D" w:rsidRDefault="00B4550A" w:rsidP="003C7FC8">
            <w:pPr>
              <w:spacing w:before="60" w:after="60"/>
              <w:jc w:val="center"/>
              <w:rPr>
                <w:color w:val="000000"/>
                <w:sz w:val="22"/>
                <w:szCs w:val="22"/>
                <w:lang w:val="ro-RO"/>
              </w:rPr>
            </w:pPr>
            <w:r w:rsidRPr="00E0488D">
              <w:rPr>
                <w:color w:val="000000"/>
                <w:sz w:val="22"/>
                <w:szCs w:val="22"/>
                <w:lang w:val="ro-RO"/>
              </w:rPr>
              <w:t>50,9%</w:t>
            </w:r>
          </w:p>
        </w:tc>
      </w:tr>
    </w:tbl>
    <w:p w:rsidR="00B4550A" w:rsidRPr="00E0488D" w:rsidRDefault="00B4550A" w:rsidP="00B4550A">
      <w:pPr>
        <w:spacing w:before="120" w:after="120" w:line="276" w:lineRule="auto"/>
        <w:ind w:left="851"/>
        <w:rPr>
          <w:i/>
          <w:lang w:val="ro-RO"/>
        </w:rPr>
      </w:pPr>
      <w:r w:rsidRPr="00E0488D">
        <w:rPr>
          <w:i/>
          <w:lang w:val="ro-RO"/>
        </w:rPr>
        <w:t>Sursa: Modelul Național de Transport elaborat de către AECOM</w:t>
      </w:r>
    </w:p>
    <w:p w:rsidR="00B4550A" w:rsidRPr="00E0488D" w:rsidRDefault="00B4550A" w:rsidP="002B7E09">
      <w:pPr>
        <w:pStyle w:val="NumberedParas"/>
      </w:pPr>
      <w:r w:rsidRPr="00E0488D">
        <w:rPr>
          <w:rStyle w:val="hps"/>
          <w:rFonts w:cs="Arial"/>
          <w:color w:val="000000" w:themeColor="text1"/>
        </w:rPr>
        <w:lastRenderedPageBreak/>
        <w:t>Timpii mari de parcurs reflectă utilizarea ineficientă a timpului dar au</w:t>
      </w:r>
      <w:r w:rsidRPr="00E0488D">
        <w:t xml:space="preserve"> </w:t>
      </w:r>
      <w:r w:rsidRPr="00E0488D">
        <w:rPr>
          <w:rStyle w:val="hps"/>
          <w:rFonts w:cs="Arial"/>
          <w:color w:val="000000" w:themeColor="text1"/>
        </w:rPr>
        <w:t>și un</w:t>
      </w:r>
      <w:r w:rsidRPr="00E0488D">
        <w:t xml:space="preserve"> </w:t>
      </w:r>
      <w:r w:rsidRPr="00E0488D">
        <w:rPr>
          <w:rStyle w:val="hps"/>
          <w:rFonts w:cs="Arial"/>
          <w:color w:val="000000" w:themeColor="text1"/>
        </w:rPr>
        <w:t>impact</w:t>
      </w:r>
      <w:r w:rsidRPr="00E0488D">
        <w:t xml:space="preserve"> </w:t>
      </w:r>
      <w:r w:rsidRPr="00E0488D">
        <w:rPr>
          <w:rStyle w:val="hps"/>
          <w:rFonts w:cs="Arial"/>
          <w:color w:val="000000" w:themeColor="text1"/>
        </w:rPr>
        <w:t>economic</w:t>
      </w:r>
      <w:r w:rsidRPr="00E0488D">
        <w:t xml:space="preserve"> </w:t>
      </w:r>
      <w:r w:rsidRPr="00E0488D">
        <w:rPr>
          <w:rStyle w:val="hps"/>
          <w:rFonts w:cs="Arial"/>
          <w:color w:val="000000" w:themeColor="text1"/>
        </w:rPr>
        <w:t>negativ semnificativ,</w:t>
      </w:r>
      <w:r w:rsidRPr="00E0488D">
        <w:t xml:space="preserve"> </w:t>
      </w:r>
      <w:r w:rsidRPr="00E0488D">
        <w:rPr>
          <w:rStyle w:val="hps"/>
          <w:rFonts w:cs="Arial"/>
          <w:color w:val="000000" w:themeColor="text1"/>
        </w:rPr>
        <w:t>reducând</w:t>
      </w:r>
      <w:r w:rsidRPr="00E0488D">
        <w:t xml:space="preserve"> </w:t>
      </w:r>
      <w:r w:rsidRPr="00E0488D">
        <w:rPr>
          <w:rStyle w:val="hps"/>
          <w:rFonts w:cs="Arial"/>
          <w:color w:val="000000" w:themeColor="text1"/>
        </w:rPr>
        <w:t>oportunitățile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călătorie</w:t>
      </w:r>
      <w:r w:rsidRPr="00E0488D">
        <w:t xml:space="preserve"> </w:t>
      </w:r>
      <w:r w:rsidRPr="00E0488D">
        <w:rPr>
          <w:rStyle w:val="hps"/>
          <w:rFonts w:cs="Arial"/>
          <w:color w:val="000000" w:themeColor="text1"/>
        </w:rPr>
        <w:t>în interes personal sau de afaceri</w:t>
      </w:r>
      <w:r w:rsidRPr="00E0488D">
        <w:t xml:space="preserve">. </w:t>
      </w:r>
      <w:r w:rsidRPr="00E0488D">
        <w:rPr>
          <w:rStyle w:val="hps"/>
          <w:rFonts w:cs="Arial"/>
          <w:color w:val="000000" w:themeColor="text1"/>
        </w:rPr>
        <w:t>Pentru a</w:t>
      </w:r>
      <w:r w:rsidRPr="00E0488D">
        <w:t xml:space="preserve"> </w:t>
      </w:r>
      <w:r w:rsidRPr="00E0488D">
        <w:rPr>
          <w:rStyle w:val="hps"/>
          <w:rFonts w:cs="Arial"/>
          <w:color w:val="000000" w:themeColor="text1"/>
        </w:rPr>
        <w:t>concura</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nivel</w:t>
      </w:r>
      <w:r w:rsidRPr="00E0488D">
        <w:t xml:space="preserve"> </w:t>
      </w:r>
      <w:r w:rsidRPr="00E0488D">
        <w:rPr>
          <w:rStyle w:val="hps"/>
          <w:rFonts w:cs="Arial"/>
          <w:color w:val="000000" w:themeColor="text1"/>
        </w:rPr>
        <w:t>european,</w:t>
      </w:r>
      <w:r w:rsidRPr="00E0488D">
        <w:t xml:space="preserve"> </w:t>
      </w:r>
      <w:r w:rsidRPr="00E0488D">
        <w:rPr>
          <w:rStyle w:val="hps"/>
          <w:rFonts w:cs="Arial"/>
          <w:color w:val="000000" w:themeColor="text1"/>
        </w:rPr>
        <w:t>rețeaua de drumuri naționale</w:t>
      </w:r>
      <w:r w:rsidRPr="00E0488D">
        <w:t xml:space="preserve"> </w:t>
      </w:r>
      <w:r w:rsidRPr="00E0488D">
        <w:rPr>
          <w:rStyle w:val="hps"/>
          <w:rFonts w:cs="Arial"/>
          <w:color w:val="000000" w:themeColor="text1"/>
        </w:rPr>
        <w:t>are nevoie de</w:t>
      </w:r>
      <w:r w:rsidRPr="00E0488D">
        <w:t xml:space="preserve"> </w:t>
      </w:r>
      <w:r w:rsidRPr="00E0488D">
        <w:rPr>
          <w:rStyle w:val="hps"/>
          <w:rFonts w:cs="Arial"/>
          <w:color w:val="000000" w:themeColor="text1"/>
        </w:rPr>
        <w:t>îmbunătățirea</w:t>
      </w:r>
      <w:r w:rsidRPr="00E0488D">
        <w:t xml:space="preserve"> </w:t>
      </w:r>
      <w:r w:rsidRPr="00E0488D">
        <w:rPr>
          <w:rStyle w:val="hps"/>
          <w:rFonts w:cs="Arial"/>
          <w:color w:val="000000" w:themeColor="text1"/>
        </w:rPr>
        <w:t>timpului de călătorie</w:t>
      </w:r>
      <w:r w:rsidRPr="00E0488D">
        <w:t xml:space="preserve"> atât </w:t>
      </w:r>
      <w:r w:rsidRPr="00E0488D">
        <w:rPr>
          <w:rStyle w:val="hps"/>
          <w:rFonts w:cs="Arial"/>
          <w:color w:val="000000" w:themeColor="text1"/>
        </w:rPr>
        <w:t>în</w:t>
      </w:r>
      <w:r w:rsidRPr="00E0488D">
        <w:t xml:space="preserve"> </w:t>
      </w:r>
      <w:r w:rsidRPr="00E0488D">
        <w:rPr>
          <w:rStyle w:val="hps"/>
          <w:rFonts w:cs="Arial"/>
          <w:color w:val="000000" w:themeColor="text1"/>
        </w:rPr>
        <w:t>termeni</w:t>
      </w:r>
      <w:r w:rsidRPr="00E0488D">
        <w:t xml:space="preserve"> </w:t>
      </w:r>
      <w:r w:rsidRPr="00E0488D">
        <w:rPr>
          <w:rStyle w:val="hps"/>
          <w:rFonts w:cs="Arial"/>
          <w:color w:val="000000" w:themeColor="text1"/>
        </w:rPr>
        <w:t>absoluți cât și</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fiabilitatea</w:t>
      </w:r>
      <w:r w:rsidRPr="00E0488D">
        <w:t>.</w:t>
      </w:r>
    </w:p>
    <w:p w:rsidR="00B4550A" w:rsidRPr="00E0488D" w:rsidRDefault="00B4550A" w:rsidP="002B7E09">
      <w:pPr>
        <w:pStyle w:val="NumberedParas"/>
      </w:pPr>
      <w:r w:rsidRPr="00E0488D">
        <w:t>Modelul Național a fost utilizat și pentru cuantificarea timpului pierdut pe rețea, din punct de vedere cantitativ cât și din perspectivă spațială. Această analiză a fost cuantificată sub forma următorului indicator:</w:t>
      </w:r>
    </w:p>
    <w:p w:rsidR="00B4550A" w:rsidRPr="00E0488D" w:rsidRDefault="00B4550A" w:rsidP="00B4550A">
      <w:pPr>
        <w:spacing w:before="120" w:after="120" w:line="276" w:lineRule="auto"/>
        <w:ind w:left="1247" w:firstLine="454"/>
        <w:rPr>
          <w:rFonts w:ascii="Calibri math" w:hAnsi="Calibri math"/>
          <w:i/>
          <w:sz w:val="28"/>
          <w:szCs w:val="28"/>
          <w:lang w:val="ro-RO"/>
        </w:rPr>
      </w:pPr>
      <w:r w:rsidRPr="00E0488D">
        <w:rPr>
          <w:rFonts w:ascii="Calibri math" w:hAnsi="Calibri math"/>
          <w:i/>
          <w:sz w:val="28"/>
          <w:szCs w:val="28"/>
          <w:lang w:val="ro-RO"/>
        </w:rPr>
        <w:t xml:space="preserve">Timp pierdut = </w:t>
      </w:r>
      <m:oMath>
        <m:nary>
          <m:naryPr>
            <m:chr m:val="∑"/>
            <m:limLoc m:val="undOvr"/>
            <m:ctrlPr>
              <w:rPr>
                <w:rFonts w:ascii="Cambria Math" w:hAnsi="Cambria Math"/>
                <w:i/>
                <w:sz w:val="28"/>
                <w:szCs w:val="28"/>
                <w:lang w:val="ro-RO"/>
              </w:rPr>
            </m:ctrlPr>
          </m:naryPr>
          <m:sub>
            <m:r>
              <w:rPr>
                <w:rFonts w:ascii="Cambria Math" w:hAnsi="Cambria Math"/>
                <w:sz w:val="28"/>
                <w:szCs w:val="28"/>
                <w:lang w:val="ro-RO"/>
              </w:rPr>
              <m:t>i=0</m:t>
            </m:r>
          </m:sub>
          <m:sup>
            <m:r>
              <w:rPr>
                <w:rFonts w:ascii="Cambria Math" w:hAnsi="Cambria Math"/>
                <w:sz w:val="28"/>
                <w:szCs w:val="28"/>
                <w:lang w:val="ro-RO"/>
              </w:rPr>
              <m:t>n</m:t>
            </m:r>
          </m:sup>
          <m:e>
            <m:f>
              <m:fPr>
                <m:ctrlPr>
                  <w:rPr>
                    <w:rFonts w:ascii="Cambria Math" w:hAnsi="Cambria Math"/>
                    <w:i/>
                    <w:sz w:val="28"/>
                    <w:szCs w:val="28"/>
                    <w:lang w:val="ro-RO"/>
                  </w:rPr>
                </m:ctrlPr>
              </m:fPr>
              <m:num>
                <m:sSub>
                  <m:sSubPr>
                    <m:ctrlPr>
                      <w:rPr>
                        <w:rFonts w:ascii="Cambria Math" w:hAnsi="Cambria Math"/>
                        <w:i/>
                        <w:sz w:val="28"/>
                        <w:szCs w:val="28"/>
                        <w:lang w:val="ro-RO"/>
                      </w:rPr>
                    </m:ctrlPr>
                  </m:sSubPr>
                  <m:e>
                    <m:r>
                      <w:rPr>
                        <w:rFonts w:ascii="Cambria Math" w:hAnsi="Cambria Math"/>
                        <w:sz w:val="28"/>
                        <w:szCs w:val="28"/>
                        <w:lang w:val="ro-RO"/>
                      </w:rPr>
                      <m:t>Flux</m:t>
                    </m:r>
                  </m:e>
                  <m:sub>
                    <m:r>
                      <w:rPr>
                        <w:rFonts w:ascii="Cambria Math" w:hAnsi="Cambria Math"/>
                        <w:sz w:val="28"/>
                        <w:szCs w:val="28"/>
                        <w:lang w:val="ro-RO"/>
                      </w:rPr>
                      <m:t>i</m:t>
                    </m:r>
                  </m:sub>
                </m:sSub>
                <m:d>
                  <m:dPr>
                    <m:ctrlPr>
                      <w:rPr>
                        <w:rFonts w:ascii="Cambria Math" w:hAnsi="Cambria Math"/>
                        <w:i/>
                        <w:sz w:val="28"/>
                        <w:szCs w:val="28"/>
                        <w:lang w:val="ro-RO"/>
                      </w:rPr>
                    </m:ctrlPr>
                  </m:dPr>
                  <m:e>
                    <m:r>
                      <w:rPr>
                        <w:rFonts w:ascii="Cambria Math" w:hAnsi="Cambria Math"/>
                        <w:sz w:val="28"/>
                        <w:szCs w:val="28"/>
                        <w:lang w:val="ro-RO"/>
                      </w:rPr>
                      <m:t>Timp țintă-Timp ac</m:t>
                    </m:r>
                    <m:r>
                      <w:rPr>
                        <w:rFonts w:ascii="Cambria Math" w:hAnsi="Cambria Math"/>
                        <w:sz w:val="28"/>
                        <w:szCs w:val="28"/>
                        <w:lang w:val="ro-RO"/>
                      </w:rPr>
                      <m:t>tual</m:t>
                    </m:r>
                  </m:e>
                </m:d>
                <m:r>
                  <w:rPr>
                    <w:rFonts w:ascii="Cambria Math" w:hAnsi="Cambria Math"/>
                    <w:sz w:val="28"/>
                    <w:szCs w:val="28"/>
                    <w:lang w:val="ro-RO"/>
                  </w:rPr>
                  <m:t>×</m:t>
                </m:r>
                <m:sSub>
                  <m:sSubPr>
                    <m:ctrlPr>
                      <w:rPr>
                        <w:rFonts w:ascii="Cambria Math" w:hAnsi="Cambria Math"/>
                        <w:i/>
                        <w:sz w:val="28"/>
                        <w:szCs w:val="28"/>
                        <w:lang w:val="ro-RO"/>
                      </w:rPr>
                    </m:ctrlPr>
                  </m:sSubPr>
                  <m:e>
                    <m:r>
                      <w:rPr>
                        <w:rFonts w:ascii="Cambria Math" w:hAnsi="Cambria Math"/>
                        <w:sz w:val="28"/>
                        <w:szCs w:val="28"/>
                        <w:lang w:val="ro-RO"/>
                      </w:rPr>
                      <m:t>VT</m:t>
                    </m:r>
                  </m:e>
                  <m:sub>
                    <m:r>
                      <w:rPr>
                        <w:rFonts w:ascii="Cambria Math" w:hAnsi="Cambria Math"/>
                        <w:sz w:val="28"/>
                        <w:szCs w:val="28"/>
                        <w:lang w:val="ro-RO"/>
                      </w:rPr>
                      <m:t>i</m:t>
                    </m:r>
                  </m:sub>
                </m:sSub>
              </m:num>
              <m:den>
                <m:r>
                  <w:rPr>
                    <w:rFonts w:ascii="Cambria Math" w:hAnsi="Cambria Math"/>
                    <w:sz w:val="28"/>
                    <w:szCs w:val="28"/>
                    <w:lang w:val="ro-RO"/>
                  </w:rPr>
                  <m:t>Lungime</m:t>
                </m:r>
              </m:den>
            </m:f>
          </m:e>
        </m:nary>
      </m:oMath>
    </w:p>
    <w:p w:rsidR="00B4550A" w:rsidRPr="00E0488D" w:rsidRDefault="00B4550A" w:rsidP="00B4550A">
      <w:pPr>
        <w:spacing w:before="120" w:after="120" w:line="276" w:lineRule="auto"/>
        <w:ind w:left="1247" w:firstLine="454"/>
        <w:rPr>
          <w:i/>
          <w:sz w:val="22"/>
          <w:szCs w:val="22"/>
          <w:lang w:val="ro-RO"/>
        </w:rPr>
      </w:pPr>
    </w:p>
    <w:p w:rsidR="00B4550A" w:rsidRPr="00E0488D" w:rsidRDefault="00B4550A" w:rsidP="00B4550A">
      <w:pPr>
        <w:spacing w:before="120" w:after="120" w:line="276" w:lineRule="auto"/>
        <w:ind w:left="680"/>
        <w:rPr>
          <w:sz w:val="22"/>
          <w:szCs w:val="22"/>
          <w:lang w:val="ro-RO"/>
        </w:rPr>
      </w:pPr>
      <w:r w:rsidRPr="00E0488D">
        <w:rPr>
          <w:sz w:val="22"/>
          <w:szCs w:val="22"/>
          <w:lang w:val="ro-RO"/>
        </w:rPr>
        <w:t xml:space="preserve">Unde fiecare segment din rețea a fost evaluat și: </w:t>
      </w:r>
    </w:p>
    <w:p w:rsidR="00B4550A" w:rsidRPr="00E0488D" w:rsidRDefault="00B4550A" w:rsidP="00B4550A">
      <w:pPr>
        <w:spacing w:before="120" w:after="120" w:line="276" w:lineRule="auto"/>
        <w:ind w:left="680"/>
        <w:rPr>
          <w:sz w:val="22"/>
          <w:szCs w:val="22"/>
          <w:lang w:val="ro-RO"/>
        </w:rPr>
      </w:pPr>
      <w:r w:rsidRPr="00E0488D">
        <w:rPr>
          <w:sz w:val="22"/>
          <w:szCs w:val="22"/>
          <w:lang w:val="ro-RO"/>
        </w:rPr>
        <w:t>Flux de trafic =  Media Zilnică Anuală a Traficului (MZA);</w:t>
      </w:r>
    </w:p>
    <w:p w:rsidR="00B4550A" w:rsidRPr="00E0488D" w:rsidRDefault="00B4550A" w:rsidP="00B4550A">
      <w:pPr>
        <w:spacing w:before="120" w:after="120" w:line="276" w:lineRule="auto"/>
        <w:ind w:left="2410" w:hanging="709"/>
        <w:rPr>
          <w:sz w:val="22"/>
          <w:szCs w:val="22"/>
          <w:lang w:val="ro-RO"/>
        </w:rPr>
      </w:pPr>
      <w:r w:rsidRPr="00E0488D">
        <w:rPr>
          <w:sz w:val="22"/>
          <w:szCs w:val="22"/>
          <w:lang w:val="ro-RO"/>
        </w:rPr>
        <w:t xml:space="preserve">   i =  scopul deplasării cu autovehiculul  (de exemplu, navetă, interes de afaceri etc.); și</w:t>
      </w:r>
    </w:p>
    <w:p w:rsidR="00B4550A" w:rsidRPr="00E0488D" w:rsidRDefault="00B4550A" w:rsidP="00B4550A">
      <w:pPr>
        <w:spacing w:before="120" w:after="120" w:line="276" w:lineRule="auto"/>
        <w:ind w:left="1247"/>
        <w:rPr>
          <w:sz w:val="22"/>
          <w:szCs w:val="22"/>
          <w:lang w:val="ro-RO"/>
        </w:rPr>
      </w:pPr>
      <w:r w:rsidRPr="00E0488D">
        <w:rPr>
          <w:sz w:val="22"/>
          <w:szCs w:val="22"/>
          <w:lang w:val="ro-RO"/>
        </w:rPr>
        <w:t xml:space="preserve">       VT =  Valoarea Timpului.</w:t>
      </w:r>
    </w:p>
    <w:p w:rsidR="00B4550A" w:rsidRPr="00E0488D" w:rsidRDefault="00B4550A" w:rsidP="00B4550A">
      <w:pPr>
        <w:rPr>
          <w:sz w:val="22"/>
          <w:szCs w:val="22"/>
          <w:lang w:val="ro-RO"/>
        </w:rPr>
      </w:pPr>
    </w:p>
    <w:p w:rsidR="00B4550A" w:rsidRPr="00E0488D" w:rsidRDefault="00B4550A" w:rsidP="002B7E09">
      <w:pPr>
        <w:pStyle w:val="NumberedParas"/>
      </w:pPr>
      <w:r w:rsidRPr="00E0488D">
        <w:t>Rezultatul analizei pentru anul de referință este ilustrat în Figura 4.3. În valori monetare reprezintă  1.420 de milioane de Euro pe an.</w:t>
      </w:r>
    </w:p>
    <w:p w:rsidR="00B4550A" w:rsidRPr="00E0488D" w:rsidRDefault="00B4550A" w:rsidP="00B4550A">
      <w:pPr>
        <w:keepNext/>
        <w:spacing w:before="120" w:after="120" w:line="276" w:lineRule="auto"/>
        <w:ind w:left="851"/>
        <w:rPr>
          <w:sz w:val="22"/>
          <w:szCs w:val="22"/>
          <w:lang w:val="ro-RO"/>
        </w:rPr>
      </w:pPr>
      <w:r w:rsidRPr="00E0488D">
        <w:rPr>
          <w:noProof/>
          <w:sz w:val="22"/>
          <w:szCs w:val="22"/>
          <w:lang w:val="ro-RO" w:eastAsia="ro-RO"/>
        </w:rPr>
        <w:lastRenderedPageBreak/>
        <w:drawing>
          <wp:inline distT="0" distB="0" distL="0" distR="0">
            <wp:extent cx="6102000" cy="5070175"/>
            <wp:effectExtent l="19050" t="19050" r="13050" b="16175"/>
            <wp:docPr id="108" name="Picture 1" descr="Cost_Due_To_Lost_Time_wLabels_Filt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t_Due_To_Lost_Time_wLabels_Filtered.png"/>
                    <pic:cNvPicPr/>
                  </pic:nvPicPr>
                  <pic:blipFill>
                    <a:blip r:embed="rId100" cstate="email">
                      <a:extLst>
                        <a:ext uri="{28A0092B-C50C-407E-A947-70E740481C1C}">
                          <a14:useLocalDpi xmlns:a14="http://schemas.microsoft.com/office/drawing/2010/main"/>
                        </a:ext>
                      </a:extLst>
                    </a:blip>
                    <a:stretch>
                      <a:fillRect/>
                    </a:stretch>
                  </pic:blipFill>
                  <pic:spPr>
                    <a:xfrm>
                      <a:off x="0" y="0"/>
                      <a:ext cx="6102000" cy="5070175"/>
                    </a:xfrm>
                    <a:prstGeom prst="rect">
                      <a:avLst/>
                    </a:prstGeom>
                    <a:ln>
                      <a:solidFill>
                        <a:schemeClr val="accent1"/>
                      </a:solidFill>
                    </a:ln>
                  </pic:spPr>
                </pic:pic>
              </a:graphicData>
            </a:graphic>
          </wp:inline>
        </w:drawing>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Figura 4.3</w:t>
      </w:r>
      <w:r w:rsidRPr="00E0488D">
        <w:rPr>
          <w:b/>
          <w:sz w:val="22"/>
          <w:szCs w:val="22"/>
          <w:lang w:val="ro-RO"/>
        </w:rPr>
        <w:tab/>
        <w:t>Analiza timpului pierdut în cadrul rețelei – anul de referință</w:t>
      </w:r>
    </w:p>
    <w:p w:rsidR="00B4550A" w:rsidRPr="00E0488D" w:rsidRDefault="00B4550A" w:rsidP="00B4550A">
      <w:pPr>
        <w:spacing w:before="120" w:after="120" w:line="276" w:lineRule="auto"/>
        <w:ind w:left="851"/>
        <w:rPr>
          <w:i/>
          <w:lang w:val="ro-RO"/>
        </w:rPr>
      </w:pPr>
      <w:r w:rsidRPr="00E0488D">
        <w:rPr>
          <w:i/>
          <w:lang w:val="ro-RO"/>
        </w:rPr>
        <w:t>Sursa: Modelul Național de Transport elaborat de către AECOM</w:t>
      </w:r>
    </w:p>
    <w:p w:rsidR="00B4550A" w:rsidRPr="00E0488D" w:rsidRDefault="00B4550A" w:rsidP="002B7E09">
      <w:pPr>
        <w:pStyle w:val="NumberedParas"/>
      </w:pPr>
      <w:r w:rsidRPr="00E0488D">
        <w:t>Analiza evidențiază un număr semnificativ de coridoare incluzând (dar fără a se limita la) rutele:</w:t>
      </w:r>
    </w:p>
    <w:p w:rsidR="00B4550A" w:rsidRPr="00E0488D" w:rsidRDefault="00B4550A" w:rsidP="00BC2B57">
      <w:pPr>
        <w:pStyle w:val="BulletLevel1"/>
      </w:pPr>
      <w:r w:rsidRPr="00E0488D">
        <w:t>București – Ploiești – Brașov;</w:t>
      </w:r>
    </w:p>
    <w:p w:rsidR="00B4550A" w:rsidRPr="00E0488D" w:rsidRDefault="00B4550A" w:rsidP="00BC2B57">
      <w:pPr>
        <w:pStyle w:val="BulletLevel1"/>
      </w:pPr>
      <w:r w:rsidRPr="00E0488D">
        <w:t>București – Târgoviște – Găești;</w:t>
      </w:r>
    </w:p>
    <w:p w:rsidR="00B4550A" w:rsidRPr="00E0488D" w:rsidRDefault="00B4550A" w:rsidP="00BC2B57">
      <w:pPr>
        <w:pStyle w:val="BulletLevel1"/>
      </w:pPr>
      <w:r w:rsidRPr="00E0488D">
        <w:t>București – Giurgiu &amp; Alexandria;</w:t>
      </w:r>
    </w:p>
    <w:p w:rsidR="00B4550A" w:rsidRPr="00E0488D" w:rsidRDefault="00B4550A" w:rsidP="00BC2B57">
      <w:pPr>
        <w:pStyle w:val="BulletLevel1"/>
      </w:pPr>
      <w:r w:rsidRPr="00E0488D">
        <w:t>Pitești – Sibiu;</w:t>
      </w:r>
    </w:p>
    <w:p w:rsidR="00B4550A" w:rsidRPr="00E0488D" w:rsidRDefault="00B4550A" w:rsidP="00BC2B57">
      <w:pPr>
        <w:pStyle w:val="BulletLevel1"/>
      </w:pPr>
      <w:r w:rsidRPr="00E0488D">
        <w:t>Pitești – Craiova;</w:t>
      </w:r>
    </w:p>
    <w:p w:rsidR="00B4550A" w:rsidRPr="00E0488D" w:rsidRDefault="00B4550A" w:rsidP="00BC2B57">
      <w:pPr>
        <w:pStyle w:val="BulletLevel1"/>
      </w:pPr>
      <w:r w:rsidRPr="00E0488D">
        <w:t>București – Buzău – Bacău – Botoșani;</w:t>
      </w:r>
    </w:p>
    <w:p w:rsidR="00B4550A" w:rsidRPr="00E0488D" w:rsidRDefault="00B4550A" w:rsidP="00BC2B57">
      <w:pPr>
        <w:pStyle w:val="BulletLevel1"/>
      </w:pPr>
      <w:r w:rsidRPr="00E0488D">
        <w:t>Rutele la nord-est de Brăila / Galați: și</w:t>
      </w:r>
    </w:p>
    <w:p w:rsidR="00B4550A" w:rsidRPr="00E0488D" w:rsidRDefault="00B4550A" w:rsidP="00BC2B57">
      <w:pPr>
        <w:pStyle w:val="BulletLevel1"/>
      </w:pPr>
      <w:r w:rsidRPr="00E0488D">
        <w:t>Oradea – Cluj – Târgu Mureș – Iași.</w:t>
      </w:r>
    </w:p>
    <w:p w:rsidR="00B4550A" w:rsidRPr="00E0488D" w:rsidRDefault="00B4550A" w:rsidP="002B7E09">
      <w:pPr>
        <w:pStyle w:val="NumberedParas"/>
      </w:pPr>
      <w:r w:rsidRPr="00E0488D">
        <w:t xml:space="preserve">Întârzierile sunt frecvente iar vitezele reduse reprezintă o regulă, având drept consecință o slabă conectivitate/ accesibiltate pentru multe părți ale țării. </w:t>
      </w:r>
    </w:p>
    <w:p w:rsidR="00B4550A" w:rsidRPr="00E0488D" w:rsidRDefault="00B4550A" w:rsidP="00B4550A">
      <w:pPr>
        <w:pStyle w:val="Hdg3"/>
      </w:pPr>
      <w:r w:rsidRPr="00E0488D">
        <w:lastRenderedPageBreak/>
        <w:t xml:space="preserve">Starea tehnică a rețelei de drumuri </w:t>
      </w:r>
    </w:p>
    <w:p w:rsidR="00B4550A" w:rsidRPr="00E0488D" w:rsidRDefault="00B4550A" w:rsidP="002B7E09">
      <w:pPr>
        <w:pStyle w:val="NumberedParas"/>
      </w:pPr>
      <w:r w:rsidRPr="00E0488D">
        <w:t>CESTRIN a furnizat AECOM date cu privire la starea rețelei de drumuri naționale la data de 1 ianuarie 2012. Datele furnizate includ informații cu privire la tipul suprafeței de rulare, o evaluare a stării acesteia (pe baza valorilor indicelui de rugozitate IRR) și tipul de relief.</w:t>
      </w:r>
    </w:p>
    <w:p w:rsidR="00B4550A" w:rsidRPr="00E0488D" w:rsidRDefault="00B4550A" w:rsidP="002B7E09">
      <w:pPr>
        <w:pStyle w:val="NumberedParas"/>
      </w:pPr>
      <w:r w:rsidRPr="00E0488D">
        <w:t>Tabelul 4.4 ilustrează proporția din rețea care este considerată ca fiind în stare tehnică bună,  mediocră sau precară, în funcție de starea suprafeței de rulare și de topografie.</w:t>
      </w:r>
    </w:p>
    <w:p w:rsidR="00B4550A" w:rsidRPr="00E0488D" w:rsidRDefault="00B4550A" w:rsidP="002B7E09">
      <w:pPr>
        <w:pStyle w:val="NumberedParas"/>
        <w:numPr>
          <w:ilvl w:val="0"/>
          <w:numId w:val="0"/>
        </w:numPr>
        <w:ind w:left="851"/>
      </w:pP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Tabelul 4.4</w:t>
      </w:r>
      <w:r w:rsidRPr="00E0488D">
        <w:rPr>
          <w:b/>
          <w:sz w:val="22"/>
          <w:szCs w:val="22"/>
          <w:lang w:val="ro-RO"/>
        </w:rPr>
        <w:tab/>
        <w:t>Rețeaua de drumuri naționale – Starea suprafeței de rulare</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0"/>
        <w:gridCol w:w="1264"/>
        <w:gridCol w:w="8"/>
        <w:gridCol w:w="1091"/>
        <w:gridCol w:w="962"/>
        <w:gridCol w:w="962"/>
        <w:gridCol w:w="1099"/>
        <w:gridCol w:w="962"/>
        <w:gridCol w:w="963"/>
        <w:gridCol w:w="1081"/>
        <w:gridCol w:w="969"/>
      </w:tblGrid>
      <w:tr w:rsidR="00B4550A" w:rsidRPr="00E0488D" w:rsidTr="003C7FC8">
        <w:trPr>
          <w:cantSplit/>
          <w:trHeight w:val="1564"/>
        </w:trPr>
        <w:tc>
          <w:tcPr>
            <w:tcW w:w="1514" w:type="dxa"/>
            <w:gridSpan w:val="2"/>
            <w:shd w:val="clear" w:color="auto" w:fill="B8CCE4" w:themeFill="accent1" w:themeFillTint="66"/>
            <w:vAlign w:val="center"/>
          </w:tcPr>
          <w:p w:rsidR="00B4550A" w:rsidRPr="00E0488D" w:rsidRDefault="00B4550A" w:rsidP="003C7FC8">
            <w:pPr>
              <w:keepNext/>
              <w:autoSpaceDE w:val="0"/>
              <w:autoSpaceDN w:val="0"/>
              <w:adjustRightInd w:val="0"/>
              <w:spacing w:before="60" w:after="60"/>
              <w:jc w:val="center"/>
              <w:rPr>
                <w:b/>
                <w:color w:val="000000"/>
                <w:sz w:val="22"/>
                <w:szCs w:val="22"/>
                <w:lang w:val="ro-RO" w:eastAsia="en-GB"/>
              </w:rPr>
            </w:pPr>
          </w:p>
        </w:tc>
        <w:tc>
          <w:tcPr>
            <w:tcW w:w="1099" w:type="dxa"/>
            <w:gridSpan w:val="2"/>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Asfalt</w:t>
            </w:r>
          </w:p>
        </w:tc>
        <w:tc>
          <w:tcPr>
            <w:tcW w:w="962" w:type="dxa"/>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Beton</w:t>
            </w:r>
          </w:p>
        </w:tc>
        <w:tc>
          <w:tcPr>
            <w:tcW w:w="962" w:type="dxa"/>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Pavaj</w:t>
            </w:r>
          </w:p>
        </w:tc>
        <w:tc>
          <w:tcPr>
            <w:tcW w:w="1099" w:type="dxa"/>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Îmbrăcăminte bituminoasă ușoară</w:t>
            </w:r>
          </w:p>
        </w:tc>
        <w:tc>
          <w:tcPr>
            <w:tcW w:w="962" w:type="dxa"/>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Piatră</w:t>
            </w:r>
          </w:p>
        </w:tc>
        <w:tc>
          <w:tcPr>
            <w:tcW w:w="963" w:type="dxa"/>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Pământ</w:t>
            </w:r>
          </w:p>
        </w:tc>
        <w:tc>
          <w:tcPr>
            <w:tcW w:w="2050" w:type="dxa"/>
            <w:gridSpan w:val="2"/>
            <w:shd w:val="clear" w:color="auto" w:fill="B8CCE4" w:themeFill="accent1" w:themeFillTint="66"/>
            <w:textDirection w:val="btLr"/>
            <w:vAlign w:val="center"/>
          </w:tcPr>
          <w:p w:rsidR="00B4550A" w:rsidRPr="00E0488D" w:rsidRDefault="00B4550A" w:rsidP="003C7FC8">
            <w:pPr>
              <w:keepNext/>
              <w:autoSpaceDE w:val="0"/>
              <w:autoSpaceDN w:val="0"/>
              <w:adjustRightInd w:val="0"/>
              <w:spacing w:before="60" w:after="60"/>
              <w:ind w:left="113" w:right="113"/>
              <w:jc w:val="center"/>
              <w:rPr>
                <w:b/>
                <w:color w:val="000000"/>
                <w:sz w:val="22"/>
                <w:szCs w:val="22"/>
                <w:lang w:val="ro-RO" w:eastAsia="en-GB"/>
              </w:rPr>
            </w:pPr>
            <w:r w:rsidRPr="00E0488D">
              <w:rPr>
                <w:b/>
                <w:color w:val="000000"/>
                <w:sz w:val="22"/>
                <w:szCs w:val="22"/>
                <w:lang w:val="ro-RO" w:eastAsia="en-GB"/>
              </w:rPr>
              <w:t>Total</w:t>
            </w:r>
          </w:p>
        </w:tc>
      </w:tr>
      <w:tr w:rsidR="00B4550A" w:rsidRPr="00E0488D" w:rsidTr="003C7FC8">
        <w:trPr>
          <w:cantSplit/>
          <w:trHeight w:val="329"/>
        </w:trPr>
        <w:tc>
          <w:tcPr>
            <w:tcW w:w="250" w:type="dxa"/>
            <w:vMerge w:val="restart"/>
            <w:shd w:val="clear" w:color="auto" w:fill="auto"/>
            <w:textDirection w:val="btLr"/>
            <w:vAlign w:val="center"/>
          </w:tcPr>
          <w:p w:rsidR="00B4550A" w:rsidRPr="00E0488D" w:rsidRDefault="00B4550A" w:rsidP="003C7FC8">
            <w:pPr>
              <w:jc w:val="center"/>
              <w:rPr>
                <w:sz w:val="22"/>
                <w:lang w:val="ro-RO"/>
              </w:rPr>
            </w:pPr>
            <w:r w:rsidRPr="00E0488D">
              <w:rPr>
                <w:sz w:val="22"/>
                <w:lang w:val="ro-RO"/>
              </w:rPr>
              <w:t>Deal</w:t>
            </w: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Bună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19,2%</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0,8%</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0,3%</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20</w:t>
            </w:r>
            <w:r w:rsidRPr="00E0488D">
              <w:rPr>
                <w:color w:val="000000"/>
                <w:sz w:val="22"/>
                <w:szCs w:val="22"/>
                <w:lang w:val="ro-RO" w:eastAsia="en-GB"/>
              </w:rPr>
              <w:t>,</w:t>
            </w:r>
            <w:r w:rsidRPr="00E0488D">
              <w:rPr>
                <w:bCs/>
                <w:color w:val="000000"/>
                <w:sz w:val="22"/>
                <w:szCs w:val="22"/>
                <w:lang w:val="ro-RO" w:eastAsia="en-GB"/>
              </w:rPr>
              <w:t>4%</w:t>
            </w:r>
          </w:p>
        </w:tc>
        <w:tc>
          <w:tcPr>
            <w:tcW w:w="969" w:type="dxa"/>
            <w:vMerge w:val="restart"/>
            <w:shd w:val="clear" w:color="auto" w:fill="auto"/>
            <w:vAlign w:val="center"/>
          </w:tcPr>
          <w:p w:rsidR="00B4550A" w:rsidRPr="00E0488D" w:rsidRDefault="00B4550A" w:rsidP="003C7FC8">
            <w:pPr>
              <w:keepNext/>
              <w:autoSpaceDE w:val="0"/>
              <w:autoSpaceDN w:val="0"/>
              <w:adjustRightInd w:val="0"/>
              <w:spacing w:before="60" w:after="60"/>
              <w:jc w:val="center"/>
              <w:rPr>
                <w:bCs/>
                <w:color w:val="000000"/>
                <w:sz w:val="22"/>
                <w:szCs w:val="22"/>
                <w:lang w:val="ro-RO" w:eastAsia="en-GB"/>
              </w:rPr>
            </w:pPr>
            <w:r w:rsidRPr="00E0488D">
              <w:rPr>
                <w:bCs/>
                <w:color w:val="000000"/>
                <w:sz w:val="22"/>
                <w:szCs w:val="22"/>
                <w:lang w:val="ro-RO" w:eastAsia="en-GB"/>
              </w:rPr>
              <w:t>40</w:t>
            </w:r>
            <w:r w:rsidRPr="00E0488D">
              <w:rPr>
                <w:color w:val="000000"/>
                <w:sz w:val="22"/>
                <w:szCs w:val="22"/>
                <w:lang w:val="ro-RO" w:eastAsia="en-GB"/>
              </w:rPr>
              <w:t>,</w:t>
            </w:r>
            <w:r w:rsidRPr="00E0488D">
              <w:rPr>
                <w:bCs/>
                <w:color w:val="000000"/>
                <w:sz w:val="22"/>
                <w:szCs w:val="22"/>
                <w:lang w:val="ro-RO" w:eastAsia="en-GB"/>
              </w:rPr>
              <w:t>6%</w:t>
            </w:r>
          </w:p>
        </w:tc>
      </w:tr>
      <w:tr w:rsidR="00B4550A" w:rsidRPr="00E0488D" w:rsidTr="003C7FC8">
        <w:trPr>
          <w:cantSplit/>
          <w:trHeight w:val="329"/>
        </w:trPr>
        <w:tc>
          <w:tcPr>
            <w:tcW w:w="250" w:type="dxa"/>
            <w:vMerge/>
            <w:shd w:val="clear" w:color="auto" w:fill="auto"/>
            <w:textDirection w:val="btLr"/>
            <w:vAlign w:val="center"/>
          </w:tcPr>
          <w:p w:rsidR="00B4550A" w:rsidRPr="00E0488D" w:rsidRDefault="00B4550A" w:rsidP="003C7FC8">
            <w:pPr>
              <w:keepNext/>
              <w:autoSpaceDE w:val="0"/>
              <w:autoSpaceDN w:val="0"/>
              <w:adjustRightInd w:val="0"/>
              <w:spacing w:before="60" w:after="60"/>
              <w:ind w:left="113" w:right="113"/>
              <w:jc w:val="center"/>
              <w:rPr>
                <w:color w:val="000000"/>
                <w:sz w:val="22"/>
                <w:szCs w:val="22"/>
                <w:lang w:val="ro-RO" w:eastAsia="en-GB"/>
              </w:rPr>
            </w:pP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Mediocră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11,5%</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1,4%</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1,4%</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0,3%</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14</w:t>
            </w:r>
            <w:r w:rsidRPr="00E0488D">
              <w:rPr>
                <w:color w:val="000000"/>
                <w:sz w:val="22"/>
                <w:szCs w:val="22"/>
                <w:lang w:val="ro-RO" w:eastAsia="en-GB"/>
              </w:rPr>
              <w:t>,</w:t>
            </w:r>
            <w:r w:rsidRPr="00E0488D">
              <w:rPr>
                <w:bCs/>
                <w:color w:val="000000"/>
                <w:sz w:val="22"/>
                <w:szCs w:val="22"/>
                <w:lang w:val="ro-RO" w:eastAsia="en-GB"/>
              </w:rPr>
              <w:t>6%</w:t>
            </w:r>
          </w:p>
        </w:tc>
        <w:tc>
          <w:tcPr>
            <w:tcW w:w="969" w:type="dxa"/>
            <w:vMerge/>
            <w:shd w:val="clear" w:color="auto" w:fill="auto"/>
            <w:vAlign w:val="center"/>
          </w:tcPr>
          <w:p w:rsidR="00B4550A" w:rsidRPr="00E0488D" w:rsidRDefault="00B4550A" w:rsidP="003C7FC8">
            <w:pPr>
              <w:keepNext/>
              <w:autoSpaceDE w:val="0"/>
              <w:autoSpaceDN w:val="0"/>
              <w:adjustRightInd w:val="0"/>
              <w:spacing w:before="60" w:after="60"/>
              <w:jc w:val="center"/>
              <w:rPr>
                <w:b/>
                <w:bCs/>
                <w:color w:val="000000"/>
                <w:sz w:val="22"/>
                <w:szCs w:val="22"/>
                <w:lang w:val="ro-RO" w:eastAsia="en-GB"/>
              </w:rPr>
            </w:pPr>
          </w:p>
        </w:tc>
      </w:tr>
      <w:tr w:rsidR="00B4550A" w:rsidRPr="00E0488D" w:rsidTr="003C7FC8">
        <w:trPr>
          <w:cantSplit/>
          <w:trHeight w:val="329"/>
        </w:trPr>
        <w:tc>
          <w:tcPr>
            <w:tcW w:w="250" w:type="dxa"/>
            <w:vMerge/>
            <w:shd w:val="clear" w:color="auto" w:fill="auto"/>
            <w:textDirection w:val="btLr"/>
            <w:vAlign w:val="center"/>
          </w:tcPr>
          <w:p w:rsidR="00B4550A" w:rsidRPr="00E0488D" w:rsidRDefault="00B4550A" w:rsidP="003C7FC8">
            <w:pPr>
              <w:keepNext/>
              <w:autoSpaceDE w:val="0"/>
              <w:autoSpaceDN w:val="0"/>
              <w:adjustRightInd w:val="0"/>
              <w:spacing w:before="60" w:after="60"/>
              <w:ind w:left="113" w:right="113"/>
              <w:jc w:val="center"/>
              <w:rPr>
                <w:color w:val="000000"/>
                <w:sz w:val="22"/>
                <w:szCs w:val="22"/>
                <w:lang w:val="ro-RO" w:eastAsia="en-GB"/>
              </w:rPr>
            </w:pP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Precară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3,8%</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0,9%</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0,8%</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5</w:t>
            </w:r>
            <w:r w:rsidRPr="00E0488D">
              <w:rPr>
                <w:color w:val="000000"/>
                <w:sz w:val="22"/>
                <w:szCs w:val="22"/>
                <w:lang w:val="ro-RO" w:eastAsia="en-GB"/>
              </w:rPr>
              <w:t>,</w:t>
            </w:r>
            <w:r w:rsidRPr="00E0488D">
              <w:rPr>
                <w:bCs/>
                <w:color w:val="000000"/>
                <w:sz w:val="22"/>
                <w:szCs w:val="22"/>
                <w:lang w:val="ro-RO" w:eastAsia="en-GB"/>
              </w:rPr>
              <w:t>6%</w:t>
            </w:r>
          </w:p>
        </w:tc>
        <w:tc>
          <w:tcPr>
            <w:tcW w:w="969" w:type="dxa"/>
            <w:vMerge/>
            <w:shd w:val="clear" w:color="auto" w:fill="auto"/>
            <w:vAlign w:val="center"/>
          </w:tcPr>
          <w:p w:rsidR="00B4550A" w:rsidRPr="00E0488D" w:rsidRDefault="00B4550A" w:rsidP="003C7FC8">
            <w:pPr>
              <w:keepNext/>
              <w:autoSpaceDE w:val="0"/>
              <w:autoSpaceDN w:val="0"/>
              <w:adjustRightInd w:val="0"/>
              <w:spacing w:before="60" w:after="60"/>
              <w:jc w:val="center"/>
              <w:rPr>
                <w:b/>
                <w:bCs/>
                <w:color w:val="000000"/>
                <w:sz w:val="22"/>
                <w:szCs w:val="22"/>
                <w:lang w:val="ro-RO" w:eastAsia="en-GB"/>
              </w:rPr>
            </w:pPr>
          </w:p>
        </w:tc>
      </w:tr>
      <w:tr w:rsidR="00B4550A" w:rsidRPr="00E0488D" w:rsidTr="003C7FC8">
        <w:trPr>
          <w:cantSplit/>
          <w:trHeight w:val="329"/>
        </w:trPr>
        <w:tc>
          <w:tcPr>
            <w:tcW w:w="250" w:type="dxa"/>
            <w:vMerge w:val="restart"/>
            <w:shd w:val="clear" w:color="auto" w:fill="auto"/>
            <w:textDirection w:val="btLr"/>
            <w:vAlign w:val="center"/>
          </w:tcPr>
          <w:p w:rsidR="00B4550A" w:rsidRPr="00E0488D" w:rsidRDefault="00B4550A" w:rsidP="003C7FC8">
            <w:pPr>
              <w:jc w:val="center"/>
              <w:rPr>
                <w:sz w:val="22"/>
                <w:lang w:val="ro-RO"/>
              </w:rPr>
            </w:pPr>
            <w:r w:rsidRPr="00E0488D">
              <w:rPr>
                <w:sz w:val="22"/>
                <w:lang w:val="ro-RO"/>
              </w:rPr>
              <w:t>Munte</w:t>
            </w: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Bună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10,3%</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0,4%</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10</w:t>
            </w:r>
            <w:r w:rsidRPr="00E0488D">
              <w:rPr>
                <w:color w:val="000000"/>
                <w:sz w:val="22"/>
                <w:szCs w:val="22"/>
                <w:lang w:val="ro-RO" w:eastAsia="en-GB"/>
              </w:rPr>
              <w:t>,</w:t>
            </w:r>
            <w:r w:rsidRPr="00E0488D">
              <w:rPr>
                <w:bCs/>
                <w:color w:val="000000"/>
                <w:sz w:val="22"/>
                <w:szCs w:val="22"/>
                <w:lang w:val="ro-RO" w:eastAsia="en-GB"/>
              </w:rPr>
              <w:t>8%</w:t>
            </w:r>
          </w:p>
        </w:tc>
        <w:tc>
          <w:tcPr>
            <w:tcW w:w="969" w:type="dxa"/>
            <w:vMerge w:val="restart"/>
            <w:shd w:val="clear" w:color="auto" w:fill="auto"/>
            <w:vAlign w:val="center"/>
          </w:tcPr>
          <w:p w:rsidR="00B4550A" w:rsidRPr="00E0488D" w:rsidRDefault="00B4550A" w:rsidP="003C7FC8">
            <w:pPr>
              <w:keepNext/>
              <w:autoSpaceDE w:val="0"/>
              <w:autoSpaceDN w:val="0"/>
              <w:adjustRightInd w:val="0"/>
              <w:spacing w:before="60" w:after="60"/>
              <w:jc w:val="center"/>
              <w:rPr>
                <w:bCs/>
                <w:color w:val="000000"/>
                <w:sz w:val="22"/>
                <w:szCs w:val="22"/>
                <w:lang w:val="ro-RO" w:eastAsia="en-GB"/>
              </w:rPr>
            </w:pPr>
            <w:r w:rsidRPr="00E0488D">
              <w:rPr>
                <w:bCs/>
                <w:color w:val="000000"/>
                <w:sz w:val="22"/>
                <w:szCs w:val="22"/>
                <w:lang w:val="ro-RO" w:eastAsia="en-GB"/>
              </w:rPr>
              <w:t>18</w:t>
            </w:r>
            <w:r w:rsidRPr="00E0488D">
              <w:rPr>
                <w:color w:val="000000"/>
                <w:sz w:val="22"/>
                <w:szCs w:val="22"/>
                <w:lang w:val="ro-RO" w:eastAsia="en-GB"/>
              </w:rPr>
              <w:t>,</w:t>
            </w:r>
            <w:r w:rsidRPr="00E0488D">
              <w:rPr>
                <w:bCs/>
                <w:color w:val="000000"/>
                <w:sz w:val="22"/>
                <w:szCs w:val="22"/>
                <w:lang w:val="ro-RO" w:eastAsia="en-GB"/>
              </w:rPr>
              <w:t>3%</w:t>
            </w:r>
          </w:p>
        </w:tc>
      </w:tr>
      <w:tr w:rsidR="00B4550A" w:rsidRPr="00E0488D" w:rsidTr="003C7FC8">
        <w:trPr>
          <w:cantSplit/>
          <w:trHeight w:val="329"/>
        </w:trPr>
        <w:tc>
          <w:tcPr>
            <w:tcW w:w="250" w:type="dxa"/>
            <w:vMerge/>
            <w:shd w:val="clear" w:color="auto" w:fill="auto"/>
            <w:textDirection w:val="btLr"/>
            <w:vAlign w:val="center"/>
          </w:tcPr>
          <w:p w:rsidR="00B4550A" w:rsidRPr="00E0488D" w:rsidRDefault="00B4550A" w:rsidP="003C7FC8">
            <w:pPr>
              <w:keepNext/>
              <w:autoSpaceDE w:val="0"/>
              <w:autoSpaceDN w:val="0"/>
              <w:adjustRightInd w:val="0"/>
              <w:spacing w:before="60" w:after="60"/>
              <w:ind w:left="113" w:right="113"/>
              <w:jc w:val="center"/>
              <w:rPr>
                <w:color w:val="000000"/>
                <w:sz w:val="22"/>
                <w:szCs w:val="22"/>
                <w:lang w:val="ro-RO" w:eastAsia="en-GB"/>
              </w:rPr>
            </w:pP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Mediocră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4,0%</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0,2%</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0,2%</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4</w:t>
            </w:r>
            <w:r w:rsidRPr="00E0488D">
              <w:rPr>
                <w:color w:val="000000"/>
                <w:sz w:val="22"/>
                <w:szCs w:val="22"/>
                <w:lang w:val="ro-RO" w:eastAsia="en-GB"/>
              </w:rPr>
              <w:t>,</w:t>
            </w:r>
            <w:r w:rsidRPr="00E0488D">
              <w:rPr>
                <w:bCs/>
                <w:color w:val="000000"/>
                <w:sz w:val="22"/>
                <w:szCs w:val="22"/>
                <w:lang w:val="ro-RO" w:eastAsia="en-GB"/>
              </w:rPr>
              <w:t>5%</w:t>
            </w:r>
          </w:p>
        </w:tc>
        <w:tc>
          <w:tcPr>
            <w:tcW w:w="969" w:type="dxa"/>
            <w:vMerge/>
            <w:shd w:val="clear" w:color="auto" w:fill="auto"/>
            <w:vAlign w:val="center"/>
          </w:tcPr>
          <w:p w:rsidR="00B4550A" w:rsidRPr="00E0488D" w:rsidRDefault="00B4550A" w:rsidP="003C7FC8">
            <w:pPr>
              <w:keepNext/>
              <w:autoSpaceDE w:val="0"/>
              <w:autoSpaceDN w:val="0"/>
              <w:adjustRightInd w:val="0"/>
              <w:spacing w:before="60" w:after="60"/>
              <w:jc w:val="center"/>
              <w:rPr>
                <w:b/>
                <w:bCs/>
                <w:color w:val="000000"/>
                <w:sz w:val="22"/>
                <w:szCs w:val="22"/>
                <w:lang w:val="ro-RO" w:eastAsia="en-GB"/>
              </w:rPr>
            </w:pPr>
          </w:p>
        </w:tc>
      </w:tr>
      <w:tr w:rsidR="00B4550A" w:rsidRPr="00E0488D" w:rsidTr="003C7FC8">
        <w:trPr>
          <w:cantSplit/>
          <w:trHeight w:val="329"/>
        </w:trPr>
        <w:tc>
          <w:tcPr>
            <w:tcW w:w="250" w:type="dxa"/>
            <w:vMerge/>
            <w:shd w:val="clear" w:color="auto" w:fill="auto"/>
            <w:textDirection w:val="btLr"/>
            <w:vAlign w:val="center"/>
          </w:tcPr>
          <w:p w:rsidR="00B4550A" w:rsidRPr="00E0488D" w:rsidRDefault="00B4550A" w:rsidP="003C7FC8">
            <w:pPr>
              <w:keepNext/>
              <w:autoSpaceDE w:val="0"/>
              <w:autoSpaceDN w:val="0"/>
              <w:adjustRightInd w:val="0"/>
              <w:spacing w:before="60" w:after="60"/>
              <w:ind w:left="113" w:right="113"/>
              <w:jc w:val="center"/>
              <w:rPr>
                <w:color w:val="000000"/>
                <w:sz w:val="22"/>
                <w:szCs w:val="22"/>
                <w:lang w:val="ro-RO" w:eastAsia="en-GB"/>
              </w:rPr>
            </w:pP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Precară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1,2%</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0,3%</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0,5%</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0,9%</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2</w:t>
            </w:r>
            <w:r w:rsidRPr="00E0488D">
              <w:rPr>
                <w:color w:val="000000"/>
                <w:sz w:val="22"/>
                <w:szCs w:val="22"/>
                <w:lang w:val="ro-RO" w:eastAsia="en-GB"/>
              </w:rPr>
              <w:t>,</w:t>
            </w:r>
            <w:r w:rsidRPr="00E0488D">
              <w:rPr>
                <w:bCs/>
                <w:color w:val="000000"/>
                <w:sz w:val="22"/>
                <w:szCs w:val="22"/>
                <w:lang w:val="ro-RO" w:eastAsia="en-GB"/>
              </w:rPr>
              <w:t>9%</w:t>
            </w:r>
          </w:p>
        </w:tc>
        <w:tc>
          <w:tcPr>
            <w:tcW w:w="969" w:type="dxa"/>
            <w:vMerge/>
            <w:shd w:val="clear" w:color="auto" w:fill="auto"/>
            <w:vAlign w:val="center"/>
          </w:tcPr>
          <w:p w:rsidR="00B4550A" w:rsidRPr="00E0488D" w:rsidRDefault="00B4550A" w:rsidP="003C7FC8">
            <w:pPr>
              <w:keepNext/>
              <w:autoSpaceDE w:val="0"/>
              <w:autoSpaceDN w:val="0"/>
              <w:adjustRightInd w:val="0"/>
              <w:spacing w:before="60" w:after="60"/>
              <w:jc w:val="center"/>
              <w:rPr>
                <w:b/>
                <w:bCs/>
                <w:color w:val="000000"/>
                <w:sz w:val="22"/>
                <w:szCs w:val="22"/>
                <w:lang w:val="ro-RO" w:eastAsia="en-GB"/>
              </w:rPr>
            </w:pPr>
          </w:p>
        </w:tc>
      </w:tr>
      <w:tr w:rsidR="00B4550A" w:rsidRPr="00E0488D" w:rsidTr="003C7FC8">
        <w:trPr>
          <w:cantSplit/>
          <w:trHeight w:val="329"/>
        </w:trPr>
        <w:tc>
          <w:tcPr>
            <w:tcW w:w="250" w:type="dxa"/>
            <w:vMerge w:val="restart"/>
            <w:shd w:val="clear" w:color="auto" w:fill="auto"/>
            <w:textDirection w:val="btLr"/>
            <w:vAlign w:val="center"/>
          </w:tcPr>
          <w:p w:rsidR="00B4550A" w:rsidRPr="00E0488D" w:rsidRDefault="00B4550A" w:rsidP="003C7FC8">
            <w:pPr>
              <w:jc w:val="center"/>
              <w:rPr>
                <w:sz w:val="22"/>
                <w:lang w:val="ro-RO"/>
              </w:rPr>
            </w:pPr>
            <w:r w:rsidRPr="00E0488D">
              <w:rPr>
                <w:sz w:val="22"/>
                <w:lang w:val="ro-RO"/>
              </w:rPr>
              <w:t>Câmpie</w:t>
            </w: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Bună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19,9%</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1,0%</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0,7%</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21</w:t>
            </w:r>
            <w:r w:rsidRPr="00E0488D">
              <w:rPr>
                <w:color w:val="000000"/>
                <w:sz w:val="22"/>
                <w:szCs w:val="22"/>
                <w:lang w:val="ro-RO" w:eastAsia="en-GB"/>
              </w:rPr>
              <w:t>,</w:t>
            </w:r>
            <w:r w:rsidRPr="00E0488D">
              <w:rPr>
                <w:bCs/>
                <w:color w:val="000000"/>
                <w:sz w:val="22"/>
                <w:szCs w:val="22"/>
                <w:lang w:val="ro-RO" w:eastAsia="en-GB"/>
              </w:rPr>
              <w:t>7%</w:t>
            </w:r>
          </w:p>
        </w:tc>
        <w:tc>
          <w:tcPr>
            <w:tcW w:w="969" w:type="dxa"/>
            <w:vMerge w:val="restart"/>
            <w:shd w:val="clear" w:color="auto" w:fill="auto"/>
            <w:vAlign w:val="center"/>
          </w:tcPr>
          <w:p w:rsidR="00B4550A" w:rsidRPr="00E0488D" w:rsidRDefault="00B4550A" w:rsidP="003C7FC8">
            <w:pPr>
              <w:keepNext/>
              <w:autoSpaceDE w:val="0"/>
              <w:autoSpaceDN w:val="0"/>
              <w:adjustRightInd w:val="0"/>
              <w:spacing w:before="60" w:after="60"/>
              <w:jc w:val="center"/>
              <w:rPr>
                <w:bCs/>
                <w:color w:val="000000"/>
                <w:sz w:val="22"/>
                <w:szCs w:val="22"/>
                <w:lang w:val="ro-RO" w:eastAsia="en-GB"/>
              </w:rPr>
            </w:pPr>
            <w:r w:rsidRPr="00E0488D">
              <w:rPr>
                <w:bCs/>
                <w:color w:val="000000"/>
                <w:sz w:val="22"/>
                <w:szCs w:val="22"/>
                <w:lang w:val="ro-RO" w:eastAsia="en-GB"/>
              </w:rPr>
              <w:t>41</w:t>
            </w:r>
            <w:r w:rsidRPr="00E0488D">
              <w:rPr>
                <w:color w:val="000000"/>
                <w:sz w:val="22"/>
                <w:szCs w:val="22"/>
                <w:lang w:val="ro-RO" w:eastAsia="en-GB"/>
              </w:rPr>
              <w:t>,</w:t>
            </w:r>
            <w:r w:rsidRPr="00E0488D">
              <w:rPr>
                <w:bCs/>
                <w:color w:val="000000"/>
                <w:sz w:val="22"/>
                <w:szCs w:val="22"/>
                <w:lang w:val="ro-RO" w:eastAsia="en-GB"/>
              </w:rPr>
              <w:t>2%</w:t>
            </w:r>
          </w:p>
        </w:tc>
      </w:tr>
      <w:tr w:rsidR="00B4550A" w:rsidRPr="00E0488D" w:rsidTr="003C7FC8">
        <w:trPr>
          <w:cantSplit/>
          <w:trHeight w:val="329"/>
        </w:trPr>
        <w:tc>
          <w:tcPr>
            <w:tcW w:w="250" w:type="dxa"/>
            <w:vMerge/>
            <w:shd w:val="clear" w:color="auto" w:fill="auto"/>
            <w:vAlign w:val="center"/>
          </w:tcPr>
          <w:p w:rsidR="00B4550A" w:rsidRPr="00E0488D" w:rsidRDefault="00B4550A" w:rsidP="003C7FC8">
            <w:pPr>
              <w:keepNext/>
              <w:autoSpaceDE w:val="0"/>
              <w:autoSpaceDN w:val="0"/>
              <w:adjustRightInd w:val="0"/>
              <w:spacing w:before="60" w:after="60"/>
              <w:jc w:val="center"/>
              <w:rPr>
                <w:color w:val="000000"/>
                <w:sz w:val="22"/>
                <w:szCs w:val="22"/>
                <w:lang w:val="ro-RO" w:eastAsia="en-GB"/>
              </w:rPr>
            </w:pP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Mediocră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10,4%</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0,5%</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0,7%</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0,0%</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11</w:t>
            </w:r>
            <w:r w:rsidRPr="00E0488D">
              <w:rPr>
                <w:color w:val="000000"/>
                <w:sz w:val="22"/>
                <w:szCs w:val="22"/>
                <w:lang w:val="ro-RO" w:eastAsia="en-GB"/>
              </w:rPr>
              <w:t>,</w:t>
            </w:r>
            <w:r w:rsidRPr="00E0488D">
              <w:rPr>
                <w:bCs/>
                <w:color w:val="000000"/>
                <w:sz w:val="22"/>
                <w:szCs w:val="22"/>
                <w:lang w:val="ro-RO" w:eastAsia="en-GB"/>
              </w:rPr>
              <w:t>7%</w:t>
            </w:r>
          </w:p>
        </w:tc>
        <w:tc>
          <w:tcPr>
            <w:tcW w:w="969" w:type="dxa"/>
            <w:vMerge/>
            <w:shd w:val="clear" w:color="auto" w:fill="auto"/>
            <w:vAlign w:val="center"/>
          </w:tcPr>
          <w:p w:rsidR="00B4550A" w:rsidRPr="00E0488D" w:rsidRDefault="00B4550A" w:rsidP="003C7FC8">
            <w:pPr>
              <w:keepNext/>
              <w:autoSpaceDE w:val="0"/>
              <w:autoSpaceDN w:val="0"/>
              <w:adjustRightInd w:val="0"/>
              <w:spacing w:before="60" w:after="60"/>
              <w:jc w:val="center"/>
              <w:rPr>
                <w:b/>
                <w:bCs/>
                <w:color w:val="000000"/>
                <w:sz w:val="22"/>
                <w:szCs w:val="22"/>
                <w:lang w:val="ro-RO" w:eastAsia="en-GB"/>
              </w:rPr>
            </w:pPr>
          </w:p>
        </w:tc>
      </w:tr>
      <w:tr w:rsidR="00B4550A" w:rsidRPr="00E0488D" w:rsidTr="003C7FC8">
        <w:trPr>
          <w:cantSplit/>
          <w:trHeight w:val="329"/>
        </w:trPr>
        <w:tc>
          <w:tcPr>
            <w:tcW w:w="250" w:type="dxa"/>
            <w:vMerge/>
            <w:shd w:val="clear" w:color="auto" w:fill="auto"/>
            <w:vAlign w:val="center"/>
          </w:tcPr>
          <w:p w:rsidR="00B4550A" w:rsidRPr="00E0488D" w:rsidRDefault="00B4550A" w:rsidP="003C7FC8">
            <w:pPr>
              <w:keepNext/>
              <w:autoSpaceDE w:val="0"/>
              <w:autoSpaceDN w:val="0"/>
              <w:adjustRightInd w:val="0"/>
              <w:spacing w:before="60" w:after="60"/>
              <w:jc w:val="center"/>
              <w:rPr>
                <w:color w:val="000000"/>
                <w:sz w:val="22"/>
                <w:szCs w:val="22"/>
                <w:lang w:val="ro-RO" w:eastAsia="en-GB"/>
              </w:rPr>
            </w:pPr>
          </w:p>
        </w:tc>
        <w:tc>
          <w:tcPr>
            <w:tcW w:w="1272" w:type="dxa"/>
            <w:gridSpan w:val="2"/>
            <w:shd w:val="clear" w:color="auto" w:fill="auto"/>
            <w:vAlign w:val="center"/>
          </w:tcPr>
          <w:p w:rsidR="00B4550A" w:rsidRPr="00E0488D" w:rsidRDefault="00B4550A" w:rsidP="003C7FC8">
            <w:pPr>
              <w:jc w:val="center"/>
              <w:rPr>
                <w:sz w:val="22"/>
                <w:lang w:val="ro-RO"/>
              </w:rPr>
            </w:pPr>
            <w:r w:rsidRPr="00E0488D">
              <w:rPr>
                <w:sz w:val="22"/>
                <w:lang w:val="ro-RO"/>
              </w:rPr>
              <w:t>Precară</w:t>
            </w:r>
          </w:p>
        </w:tc>
        <w:tc>
          <w:tcPr>
            <w:tcW w:w="1091"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5,5%</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0,6%</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1,4%</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0,1%</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7</w:t>
            </w:r>
            <w:r w:rsidRPr="00E0488D">
              <w:rPr>
                <w:color w:val="000000"/>
                <w:sz w:val="22"/>
                <w:szCs w:val="22"/>
                <w:lang w:val="ro-RO" w:eastAsia="en-GB"/>
              </w:rPr>
              <w:t>,</w:t>
            </w:r>
            <w:r w:rsidRPr="00E0488D">
              <w:rPr>
                <w:bCs/>
                <w:color w:val="000000"/>
                <w:sz w:val="22"/>
                <w:szCs w:val="22"/>
                <w:lang w:val="ro-RO" w:eastAsia="en-GB"/>
              </w:rPr>
              <w:t>7%</w:t>
            </w:r>
          </w:p>
        </w:tc>
        <w:tc>
          <w:tcPr>
            <w:tcW w:w="969" w:type="dxa"/>
            <w:vMerge/>
            <w:shd w:val="clear" w:color="auto" w:fill="auto"/>
            <w:vAlign w:val="center"/>
          </w:tcPr>
          <w:p w:rsidR="00B4550A" w:rsidRPr="00E0488D" w:rsidRDefault="00B4550A" w:rsidP="003C7FC8">
            <w:pPr>
              <w:keepNext/>
              <w:autoSpaceDE w:val="0"/>
              <w:autoSpaceDN w:val="0"/>
              <w:adjustRightInd w:val="0"/>
              <w:spacing w:before="60" w:after="60"/>
              <w:jc w:val="center"/>
              <w:rPr>
                <w:b/>
                <w:bCs/>
                <w:color w:val="000000"/>
                <w:sz w:val="22"/>
                <w:szCs w:val="22"/>
                <w:lang w:val="ro-RO" w:eastAsia="en-GB"/>
              </w:rPr>
            </w:pPr>
          </w:p>
        </w:tc>
      </w:tr>
      <w:tr w:rsidR="00B4550A" w:rsidRPr="00E0488D" w:rsidTr="003C7FC8">
        <w:trPr>
          <w:cantSplit/>
          <w:trHeight w:val="329"/>
        </w:trPr>
        <w:tc>
          <w:tcPr>
            <w:tcW w:w="1514" w:type="dxa"/>
            <w:gridSpan w:val="2"/>
            <w:shd w:val="clear" w:color="auto" w:fill="auto"/>
            <w:vAlign w:val="center"/>
          </w:tcPr>
          <w:p w:rsidR="00B4550A" w:rsidRPr="00E0488D" w:rsidRDefault="00B4550A" w:rsidP="003C7FC8">
            <w:pPr>
              <w:keepNext/>
              <w:autoSpaceDE w:val="0"/>
              <w:autoSpaceDN w:val="0"/>
              <w:adjustRightInd w:val="0"/>
              <w:spacing w:before="80" w:after="80"/>
              <w:jc w:val="center"/>
              <w:rPr>
                <w:color w:val="000000"/>
                <w:sz w:val="22"/>
                <w:szCs w:val="22"/>
                <w:lang w:val="ro-RO" w:eastAsia="en-GB"/>
              </w:rPr>
            </w:pPr>
            <w:r w:rsidRPr="00E0488D">
              <w:rPr>
                <w:color w:val="000000"/>
                <w:sz w:val="22"/>
                <w:szCs w:val="22"/>
                <w:lang w:val="ro-RO" w:eastAsia="en-GB"/>
              </w:rPr>
              <w:t>Total</w:t>
            </w:r>
          </w:p>
        </w:tc>
        <w:tc>
          <w:tcPr>
            <w:tcW w:w="1099" w:type="dxa"/>
            <w:gridSpan w:val="2"/>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85,7%</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6</w:t>
            </w:r>
            <w:r w:rsidRPr="00E0488D">
              <w:rPr>
                <w:color w:val="000000"/>
                <w:sz w:val="22"/>
                <w:szCs w:val="22"/>
                <w:lang w:val="ro-RO" w:eastAsia="en-GB"/>
              </w:rPr>
              <w:t>,</w:t>
            </w:r>
            <w:r w:rsidRPr="00E0488D">
              <w:rPr>
                <w:bCs/>
                <w:color w:val="000000"/>
                <w:sz w:val="22"/>
                <w:szCs w:val="22"/>
                <w:lang w:val="ro-RO" w:eastAsia="en-GB"/>
              </w:rPr>
              <w:t>3%</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0</w:t>
            </w:r>
            <w:r w:rsidRPr="00E0488D">
              <w:rPr>
                <w:color w:val="000000"/>
                <w:sz w:val="22"/>
                <w:szCs w:val="22"/>
                <w:lang w:val="ro-RO" w:eastAsia="en-GB"/>
              </w:rPr>
              <w:t>,</w:t>
            </w:r>
            <w:r w:rsidRPr="00E0488D">
              <w:rPr>
                <w:bCs/>
                <w:color w:val="000000"/>
                <w:sz w:val="22"/>
                <w:szCs w:val="22"/>
                <w:lang w:val="ro-RO" w:eastAsia="en-GB"/>
              </w:rPr>
              <w:t>2%</w:t>
            </w:r>
          </w:p>
        </w:tc>
        <w:tc>
          <w:tcPr>
            <w:tcW w:w="1099"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6</w:t>
            </w:r>
            <w:r w:rsidRPr="00E0488D">
              <w:rPr>
                <w:color w:val="000000"/>
                <w:sz w:val="22"/>
                <w:szCs w:val="22"/>
                <w:lang w:val="ro-RO" w:eastAsia="en-GB"/>
              </w:rPr>
              <w:t>,</w:t>
            </w:r>
            <w:r w:rsidRPr="00E0488D">
              <w:rPr>
                <w:bCs/>
                <w:color w:val="000000"/>
                <w:sz w:val="22"/>
                <w:szCs w:val="22"/>
                <w:lang w:val="ro-RO" w:eastAsia="en-GB"/>
              </w:rPr>
              <w:t>0%</w:t>
            </w:r>
          </w:p>
        </w:tc>
        <w:tc>
          <w:tcPr>
            <w:tcW w:w="962"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1</w:t>
            </w:r>
            <w:r w:rsidRPr="00E0488D">
              <w:rPr>
                <w:color w:val="000000"/>
                <w:sz w:val="22"/>
                <w:szCs w:val="22"/>
                <w:lang w:val="ro-RO" w:eastAsia="en-GB"/>
              </w:rPr>
              <w:t>,</w:t>
            </w:r>
            <w:r w:rsidRPr="00E0488D">
              <w:rPr>
                <w:bCs/>
                <w:color w:val="000000"/>
                <w:sz w:val="22"/>
                <w:szCs w:val="22"/>
                <w:lang w:val="ro-RO" w:eastAsia="en-GB"/>
              </w:rPr>
              <w:t>6%</w:t>
            </w:r>
          </w:p>
        </w:tc>
        <w:tc>
          <w:tcPr>
            <w:tcW w:w="963"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0</w:t>
            </w:r>
            <w:r w:rsidRPr="00E0488D">
              <w:rPr>
                <w:color w:val="000000"/>
                <w:sz w:val="22"/>
                <w:szCs w:val="22"/>
                <w:lang w:val="ro-RO" w:eastAsia="en-GB"/>
              </w:rPr>
              <w:t>,</w:t>
            </w:r>
            <w:r w:rsidRPr="00E0488D">
              <w:rPr>
                <w:bCs/>
                <w:color w:val="000000"/>
                <w:sz w:val="22"/>
                <w:szCs w:val="22"/>
                <w:lang w:val="ro-RO" w:eastAsia="en-GB"/>
              </w:rPr>
              <w:t>1%</w:t>
            </w:r>
          </w:p>
        </w:tc>
        <w:tc>
          <w:tcPr>
            <w:tcW w:w="1081" w:type="dxa"/>
            <w:shd w:val="clear" w:color="auto" w:fill="auto"/>
            <w:vAlign w:val="center"/>
          </w:tcPr>
          <w:p w:rsidR="00B4550A" w:rsidRPr="00E0488D" w:rsidRDefault="00B4550A" w:rsidP="003C7FC8">
            <w:pPr>
              <w:keepNext/>
              <w:autoSpaceDE w:val="0"/>
              <w:autoSpaceDN w:val="0"/>
              <w:adjustRightInd w:val="0"/>
              <w:spacing w:before="80" w:after="80"/>
              <w:jc w:val="center"/>
              <w:rPr>
                <w:bCs/>
                <w:color w:val="000000"/>
                <w:sz w:val="22"/>
                <w:szCs w:val="22"/>
                <w:lang w:val="ro-RO" w:eastAsia="en-GB"/>
              </w:rPr>
            </w:pPr>
            <w:r w:rsidRPr="00E0488D">
              <w:rPr>
                <w:bCs/>
                <w:color w:val="000000"/>
                <w:sz w:val="22"/>
                <w:szCs w:val="22"/>
                <w:lang w:val="ro-RO" w:eastAsia="en-GB"/>
              </w:rPr>
              <w:t>100</w:t>
            </w:r>
            <w:r w:rsidRPr="00E0488D">
              <w:rPr>
                <w:color w:val="000000"/>
                <w:sz w:val="22"/>
                <w:szCs w:val="22"/>
                <w:lang w:val="ro-RO" w:eastAsia="en-GB"/>
              </w:rPr>
              <w:t>,</w:t>
            </w:r>
            <w:r w:rsidRPr="00E0488D">
              <w:rPr>
                <w:bCs/>
                <w:color w:val="000000"/>
                <w:sz w:val="22"/>
                <w:szCs w:val="22"/>
                <w:lang w:val="ro-RO" w:eastAsia="en-GB"/>
              </w:rPr>
              <w:t>0%</w:t>
            </w:r>
          </w:p>
        </w:tc>
        <w:tc>
          <w:tcPr>
            <w:tcW w:w="969" w:type="dxa"/>
            <w:shd w:val="clear" w:color="auto" w:fill="auto"/>
            <w:vAlign w:val="center"/>
          </w:tcPr>
          <w:p w:rsidR="00B4550A" w:rsidRPr="00E0488D" w:rsidRDefault="00B4550A" w:rsidP="003C7FC8">
            <w:pPr>
              <w:keepNext/>
              <w:autoSpaceDE w:val="0"/>
              <w:autoSpaceDN w:val="0"/>
              <w:adjustRightInd w:val="0"/>
              <w:spacing w:before="60" w:after="60"/>
              <w:jc w:val="center"/>
              <w:rPr>
                <w:bCs/>
                <w:color w:val="000000"/>
                <w:sz w:val="22"/>
                <w:szCs w:val="22"/>
                <w:lang w:val="ro-RO" w:eastAsia="en-GB"/>
              </w:rPr>
            </w:pPr>
            <w:r w:rsidRPr="00E0488D">
              <w:rPr>
                <w:bCs/>
                <w:color w:val="000000"/>
                <w:sz w:val="22"/>
                <w:szCs w:val="22"/>
                <w:lang w:val="ro-RO" w:eastAsia="en-GB"/>
              </w:rPr>
              <w:t>100</w:t>
            </w:r>
            <w:r w:rsidRPr="00E0488D">
              <w:rPr>
                <w:color w:val="000000"/>
                <w:sz w:val="22"/>
                <w:szCs w:val="22"/>
                <w:lang w:val="ro-RO" w:eastAsia="en-GB"/>
              </w:rPr>
              <w:t>,</w:t>
            </w:r>
            <w:r w:rsidRPr="00E0488D">
              <w:rPr>
                <w:bCs/>
                <w:color w:val="000000"/>
                <w:sz w:val="22"/>
                <w:szCs w:val="22"/>
                <w:lang w:val="ro-RO" w:eastAsia="en-GB"/>
              </w:rPr>
              <w:t>0%</w:t>
            </w:r>
          </w:p>
        </w:tc>
      </w:tr>
    </w:tbl>
    <w:p w:rsidR="00B4550A" w:rsidRPr="00E0488D" w:rsidRDefault="00B4550A" w:rsidP="00B4550A">
      <w:pPr>
        <w:spacing w:before="120" w:after="120" w:line="276" w:lineRule="auto"/>
        <w:ind w:left="851"/>
        <w:rPr>
          <w:i/>
          <w:sz w:val="28"/>
          <w:szCs w:val="22"/>
          <w:lang w:val="ro-RO"/>
        </w:rPr>
      </w:pPr>
      <w:r w:rsidRPr="00E0488D">
        <w:rPr>
          <w:i/>
          <w:sz w:val="22"/>
          <w:lang w:val="ro-RO"/>
        </w:rPr>
        <w:t>Sursa: Analiza datelor CESTRIN</w:t>
      </w:r>
    </w:p>
    <w:p w:rsidR="00B4550A" w:rsidRPr="00E0488D" w:rsidRDefault="00B4550A" w:rsidP="002B7E09">
      <w:pPr>
        <w:pStyle w:val="NumberedParas"/>
      </w:pPr>
      <w:r w:rsidRPr="00E0488D">
        <w:t>Un aspect important îl constituie faptul că puțin peste 50% din rețeaua națională este considerată a fi în stare tehnică bună, în proporție de 30% este considerată a fi în stare tehnică mediocră, iar 20% într-o stare tehnică precară. Așteptările sunt ca rețeaua de drumuri naționale să fie la cele mai înalte standarde pentru orice țară.</w:t>
      </w:r>
      <w:r w:rsidRPr="00E0488D" w:rsidDel="00A05BFA">
        <w:t xml:space="preserve"> </w:t>
      </w:r>
      <w:r w:rsidRPr="00E0488D">
        <w:t>S-au obținut informații suplimentare referitoare la proporția rețelei de drumuri naționale pentru care durata de viață este depășită. Acest aspect este ilustrat in Figura 4.4. Un procent de 48% din toate drumurile au anumite secțiuni în stare tehnică proastă, pentru care proporția lungimii totale este de 24%. Nu există diferențe referitoare la topografie, sugerând astfel o problemă la nivelul întregii rețele.</w:t>
      </w:r>
    </w:p>
    <w:p w:rsidR="00B4550A" w:rsidRPr="00E0488D" w:rsidRDefault="00B4550A" w:rsidP="002B7E09">
      <w:pPr>
        <w:pStyle w:val="NumberedParas"/>
        <w:rPr>
          <w:rFonts w:ascii="ArialMT" w:hAnsi="ArialMT" w:cs="ArialMT"/>
        </w:rPr>
      </w:pPr>
      <w:r w:rsidRPr="00E0488D">
        <w:t xml:space="preserve">Deși există referințe empirice referitoare la calitatea relativă a rețelei din România, precum și anumite anchete subiective efectuate de către Forumul Economic Mondial spre exemplu, care </w:t>
      </w:r>
      <w:r w:rsidRPr="00E0488D">
        <w:rPr>
          <w:rFonts w:ascii="ArialMT" w:hAnsi="ArialMT" w:cs="ArialMT"/>
        </w:rPr>
        <w:t>în documentul lor „Raportul global al competitivității (2011-2012)”, plasează România pe locul 137 din 142 de țări analizate din punct de vedere al calității infrastructurii rutiere, nu am reușit să obținem date coerente pentru efectuarea unei comparații.</w:t>
      </w:r>
      <w:r w:rsidRPr="00E0488D">
        <w:t xml:space="preserve"> Am analizat ponderea </w:t>
      </w:r>
      <w:r w:rsidRPr="00E0488D">
        <w:lastRenderedPageBreak/>
        <w:t>autostrăzilor la nivel european, ca valoare de aproximare, dat fiind faptul că acestea implică un anume standard și nivel de calitate. Rezultatele sunt prezentate in F</w:t>
      </w:r>
      <w:r w:rsidRPr="00E0488D">
        <w:rPr>
          <w:rFonts w:ascii="ArialMT" w:hAnsi="ArialMT" w:cs="ArialMT"/>
        </w:rPr>
        <w:t xml:space="preserve">igurile 4.5 și 4.6. </w:t>
      </w:r>
    </w:p>
    <w:p w:rsidR="00B4550A" w:rsidRPr="00E0488D" w:rsidRDefault="00B4550A" w:rsidP="002B7E09">
      <w:pPr>
        <w:pStyle w:val="NumberedParas"/>
      </w:pPr>
      <w:r w:rsidRPr="00E0488D">
        <w:t xml:space="preserve">Analizând ambii indicatori utilizați, reiese că proporția relativă a drumurilor considerate a fi la standard de autostradă este una mică față de restul Europei. </w:t>
      </w:r>
    </w:p>
    <w:p w:rsidR="00B4550A" w:rsidRPr="00E0488D" w:rsidRDefault="00B4550A" w:rsidP="00B4550A">
      <w:pPr>
        <w:spacing w:before="120" w:after="120" w:line="276" w:lineRule="auto"/>
        <w:ind w:left="680" w:firstLine="171"/>
        <w:rPr>
          <w:rFonts w:ascii="ArialMT" w:hAnsi="ArialMT" w:cs="ArialMT"/>
          <w:sz w:val="22"/>
          <w:szCs w:val="22"/>
          <w:lang w:val="ro-RO"/>
        </w:rPr>
      </w:pPr>
      <w:r w:rsidRPr="00E0488D">
        <w:rPr>
          <w:rFonts w:ascii="ArialMT" w:hAnsi="ArialMT" w:cs="ArialMT"/>
          <w:noProof/>
          <w:sz w:val="22"/>
          <w:szCs w:val="22"/>
          <w:lang w:val="ro-RO" w:eastAsia="ro-RO"/>
        </w:rPr>
        <w:drawing>
          <wp:inline distT="0" distB="0" distL="0" distR="0">
            <wp:extent cx="5700408" cy="3733495"/>
            <wp:effectExtent l="0" t="0" r="0" b="635"/>
            <wp:docPr id="109"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4550A" w:rsidRPr="00E0488D" w:rsidRDefault="00B4550A" w:rsidP="00B4550A">
      <w:pPr>
        <w:spacing w:before="120" w:after="120" w:line="276" w:lineRule="auto"/>
        <w:ind w:left="851"/>
        <w:rPr>
          <w:i/>
          <w:sz w:val="22"/>
          <w:szCs w:val="22"/>
          <w:lang w:val="ro-RO"/>
        </w:rPr>
      </w:pPr>
      <w:r w:rsidRPr="00E0488D">
        <w:rPr>
          <w:rFonts w:ascii="ArialMT" w:hAnsi="ArialMT" w:cs="ArialMT"/>
          <w:i/>
          <w:sz w:val="22"/>
          <w:szCs w:val="22"/>
          <w:lang w:val="ro-RO"/>
        </w:rPr>
        <w:t>S</w:t>
      </w:r>
      <w:r w:rsidRPr="00E0488D">
        <w:rPr>
          <w:i/>
          <w:sz w:val="22"/>
          <w:szCs w:val="22"/>
          <w:lang w:val="ro-RO"/>
        </w:rPr>
        <w:t>ursa: CNADNR</w:t>
      </w:r>
    </w:p>
    <w:p w:rsidR="00B4550A" w:rsidRPr="00E0488D" w:rsidRDefault="00B4550A" w:rsidP="00B4550A">
      <w:pPr>
        <w:keepNext/>
        <w:spacing w:before="120" w:after="120" w:line="276" w:lineRule="auto"/>
        <w:ind w:left="851"/>
        <w:rPr>
          <w:rFonts w:ascii="ArialMT" w:hAnsi="ArialMT" w:cs="ArialMT"/>
          <w:b/>
          <w:sz w:val="22"/>
          <w:szCs w:val="22"/>
          <w:lang w:val="ro-RO"/>
        </w:rPr>
      </w:pPr>
      <w:r w:rsidRPr="00E0488D">
        <w:rPr>
          <w:rFonts w:ascii="ArialMT" w:hAnsi="ArialMT" w:cs="ArialMT"/>
          <w:b/>
          <w:sz w:val="22"/>
          <w:szCs w:val="22"/>
          <w:lang w:val="ro-RO"/>
        </w:rPr>
        <w:t>Figura 4.4</w:t>
      </w:r>
      <w:r w:rsidRPr="00E0488D">
        <w:rPr>
          <w:rFonts w:ascii="ArialMT" w:hAnsi="ArialMT" w:cs="ArialMT"/>
          <w:b/>
          <w:sz w:val="22"/>
          <w:szCs w:val="22"/>
          <w:lang w:val="ro-RO"/>
        </w:rPr>
        <w:tab/>
        <w:t xml:space="preserve">Proporția rețelei naționale cu durata de viață expirată </w:t>
      </w:r>
    </w:p>
    <w:p w:rsidR="00B4550A" w:rsidRPr="00E0488D" w:rsidRDefault="00B4550A" w:rsidP="00B4550A">
      <w:pPr>
        <w:spacing w:before="120" w:after="120" w:line="276" w:lineRule="auto"/>
        <w:ind w:left="851"/>
        <w:rPr>
          <w:i/>
          <w:sz w:val="22"/>
          <w:szCs w:val="22"/>
          <w:lang w:val="ro-RO"/>
        </w:rPr>
      </w:pP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lastRenderedPageBreak/>
        <w:t>Figura 4.5</w:t>
      </w:r>
      <w:r w:rsidRPr="00E0488D">
        <w:rPr>
          <w:b/>
          <w:sz w:val="22"/>
          <w:szCs w:val="22"/>
          <w:lang w:val="ro-RO"/>
        </w:rPr>
        <w:tab/>
        <w:t>Lungime autostrăzi la 100.000 de persoane (2005)</w:t>
      </w:r>
    </w:p>
    <w:p w:rsidR="00B4550A" w:rsidRPr="00E0488D" w:rsidRDefault="00B4550A" w:rsidP="00B4550A">
      <w:pPr>
        <w:spacing w:before="120" w:after="120" w:line="276" w:lineRule="auto"/>
        <w:ind w:left="851" w:hanging="851"/>
        <w:rPr>
          <w:sz w:val="22"/>
          <w:szCs w:val="22"/>
          <w:lang w:val="ro-RO"/>
        </w:rPr>
      </w:pPr>
      <w:r w:rsidRPr="00E0488D">
        <w:rPr>
          <w:sz w:val="22"/>
          <w:szCs w:val="22"/>
          <w:lang w:val="ro-RO"/>
        </w:rPr>
        <w:tab/>
      </w:r>
      <w:r w:rsidRPr="00E0488D">
        <w:rPr>
          <w:noProof/>
          <w:sz w:val="22"/>
          <w:szCs w:val="22"/>
          <w:lang w:val="ro-RO" w:eastAsia="ro-RO"/>
        </w:rPr>
        <w:drawing>
          <wp:inline distT="0" distB="0" distL="0" distR="0">
            <wp:extent cx="5680953" cy="3738902"/>
            <wp:effectExtent l="0" t="0" r="0" b="0"/>
            <wp:docPr id="110"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 xml:space="preserve">Sursa: Analiza AECOM a datelor Eurostat </w:t>
      </w:r>
    </w:p>
    <w:p w:rsidR="00B4550A" w:rsidRPr="00E0488D" w:rsidRDefault="00B4550A" w:rsidP="00B4550A">
      <w:pPr>
        <w:tabs>
          <w:tab w:val="left" w:pos="851"/>
        </w:tabs>
        <w:spacing w:before="120" w:after="120" w:line="276" w:lineRule="auto"/>
        <w:ind w:left="1418" w:hanging="851"/>
        <w:rPr>
          <w:sz w:val="22"/>
          <w:szCs w:val="22"/>
          <w:lang w:val="ro-RO"/>
        </w:rPr>
      </w:pPr>
      <w:r w:rsidRPr="00E0488D">
        <w:rPr>
          <w:noProof/>
          <w:sz w:val="22"/>
          <w:szCs w:val="22"/>
          <w:lang w:val="ro-RO" w:eastAsia="ro-RO"/>
        </w:rPr>
        <w:drawing>
          <wp:inline distT="0" distB="0" distL="0" distR="0">
            <wp:extent cx="6102000" cy="3988871"/>
            <wp:effectExtent l="19050" t="0" r="13050" b="0"/>
            <wp:docPr id="11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B4550A" w:rsidRPr="00E0488D" w:rsidRDefault="00B4550A" w:rsidP="00B4550A">
      <w:pPr>
        <w:keepNext/>
        <w:tabs>
          <w:tab w:val="left" w:pos="680"/>
        </w:tabs>
        <w:spacing w:before="120" w:after="120" w:line="276" w:lineRule="auto"/>
        <w:ind w:left="851"/>
        <w:rPr>
          <w:b/>
          <w:sz w:val="22"/>
          <w:szCs w:val="22"/>
          <w:lang w:val="ro-RO"/>
        </w:rPr>
      </w:pPr>
      <w:r w:rsidRPr="00E0488D">
        <w:rPr>
          <w:b/>
          <w:sz w:val="22"/>
          <w:szCs w:val="22"/>
          <w:lang w:val="ro-RO"/>
        </w:rPr>
        <w:t xml:space="preserve">Figura 4.6 </w:t>
      </w:r>
      <w:r w:rsidRPr="00E0488D">
        <w:rPr>
          <w:b/>
          <w:sz w:val="22"/>
          <w:szCs w:val="22"/>
          <w:lang w:val="ro-RO"/>
        </w:rPr>
        <w:tab/>
        <w:t>Procentul drumurilor clasificate drept autostrăzi din cadrul rețelei (2005)</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Analiza AECOM a datelor Eurostat</w:t>
      </w:r>
    </w:p>
    <w:p w:rsidR="00B4550A" w:rsidRPr="00E0488D" w:rsidRDefault="00B4550A" w:rsidP="00B4550A">
      <w:pPr>
        <w:pStyle w:val="Hdg3"/>
      </w:pPr>
      <w:r w:rsidRPr="00E0488D">
        <w:lastRenderedPageBreak/>
        <w:t>Întreținere</w:t>
      </w:r>
    </w:p>
    <w:p w:rsidR="00B4550A" w:rsidRPr="00E0488D" w:rsidRDefault="00B4550A" w:rsidP="002B7E09">
      <w:pPr>
        <w:pStyle w:val="NumberedParas"/>
      </w:pPr>
      <w:r w:rsidRPr="00E0488D">
        <w:rPr>
          <w:rStyle w:val="hps"/>
          <w:rFonts w:cs="Arial"/>
          <w:color w:val="000000" w:themeColor="text1"/>
        </w:rPr>
        <w:t>În prezent, sunt în vigoare</w:t>
      </w:r>
      <w:r w:rsidRPr="00E0488D">
        <w:t xml:space="preserve"> </w:t>
      </w:r>
      <w:r w:rsidRPr="00E0488D">
        <w:rPr>
          <w:rStyle w:val="hps"/>
          <w:rFonts w:cs="Arial"/>
          <w:color w:val="000000" w:themeColor="text1"/>
        </w:rPr>
        <w:t>50 de</w:t>
      </w:r>
      <w:r w:rsidRPr="00E0488D">
        <w:t xml:space="preserve"> </w:t>
      </w:r>
      <w:r w:rsidRPr="00E0488D">
        <w:rPr>
          <w:rStyle w:val="hps"/>
          <w:rFonts w:cs="Arial"/>
          <w:color w:val="000000" w:themeColor="text1"/>
        </w:rPr>
        <w:t>contracte-cadru</w:t>
      </w:r>
      <w:r w:rsidRPr="00E0488D">
        <w:t xml:space="preserve">, care </w:t>
      </w:r>
      <w:r w:rsidRPr="00E0488D">
        <w:rPr>
          <w:rStyle w:val="hps"/>
          <w:rFonts w:cs="Arial"/>
          <w:color w:val="000000" w:themeColor="text1"/>
        </w:rPr>
        <w:t>acoperă</w:t>
      </w:r>
      <w:r w:rsidRPr="00E0488D">
        <w:t xml:space="preserve"> </w:t>
      </w:r>
      <w:r w:rsidRPr="00E0488D">
        <w:rPr>
          <w:rStyle w:val="hps"/>
          <w:rFonts w:cs="Arial"/>
          <w:color w:val="000000" w:themeColor="text1"/>
        </w:rPr>
        <w:t>activitățile de întreținere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rețeaua națională</w:t>
      </w:r>
      <w:r w:rsidRPr="00E0488D">
        <w:t xml:space="preserve"> </w:t>
      </w:r>
      <w:r w:rsidRPr="00E0488D">
        <w:rPr>
          <w:rStyle w:val="hps"/>
          <w:rFonts w:cs="Arial"/>
          <w:color w:val="000000" w:themeColor="text1"/>
        </w:rPr>
        <w:t>și care se reînnoiesc</w:t>
      </w:r>
      <w:r w:rsidRPr="00E0488D">
        <w:t xml:space="preserve"> </w:t>
      </w:r>
      <w:r w:rsidRPr="00E0488D">
        <w:rPr>
          <w:rStyle w:val="hps"/>
          <w:rFonts w:cs="Arial"/>
          <w:color w:val="000000" w:themeColor="text1"/>
        </w:rPr>
        <w:t>la fiecare doi ani</w:t>
      </w:r>
      <w:r w:rsidRPr="00E0488D">
        <w:t xml:space="preserve">. În Marea Britanie, țară ce deține o rețea de autostrăzi de zece ori mai amplă, există 13 contracte-cadru încheiate pe criterii zonale. În restul Europei sunt predominante contracte standard cu valabilitate cuprinsă între 5 și 10 ani.  </w:t>
      </w:r>
    </w:p>
    <w:p w:rsidR="00B4550A" w:rsidRPr="00E0488D" w:rsidRDefault="00B4550A" w:rsidP="002B7E09">
      <w:pPr>
        <w:pStyle w:val="NumberedParas"/>
      </w:pPr>
      <w:r w:rsidRPr="00E0488D">
        <w:rPr>
          <w:rStyle w:val="hps"/>
          <w:rFonts w:cs="Arial"/>
          <w:color w:val="000000" w:themeColor="text1"/>
        </w:rPr>
        <w:t>Studiul de caz</w:t>
      </w:r>
      <w:r w:rsidRPr="00E0488D">
        <w:t xml:space="preserve"> </w:t>
      </w:r>
      <w:r w:rsidRPr="00E0488D">
        <w:rPr>
          <w:rStyle w:val="hps"/>
          <w:rFonts w:cs="Arial"/>
          <w:color w:val="000000" w:themeColor="text1"/>
        </w:rPr>
        <w:t>Rijkswaterstaat din Olanda a indicat</w:t>
      </w:r>
      <w:r w:rsidRPr="00E0488D">
        <w:t xml:space="preserve"> </w:t>
      </w:r>
      <w:r w:rsidRPr="00E0488D">
        <w:rPr>
          <w:rStyle w:val="hps"/>
          <w:rFonts w:cs="Arial"/>
          <w:color w:val="000000" w:themeColor="text1"/>
        </w:rPr>
        <w:t>economii de 20</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costurile</w:t>
      </w:r>
      <w:r w:rsidRPr="00E0488D">
        <w:t xml:space="preserve"> </w:t>
      </w:r>
      <w:r w:rsidRPr="00E0488D">
        <w:rPr>
          <w:rStyle w:val="hps"/>
          <w:rFonts w:cs="Arial"/>
          <w:color w:val="000000" w:themeColor="text1"/>
        </w:rPr>
        <w:t>de întreținere a drumurilor</w:t>
      </w:r>
      <w:r w:rsidRPr="00E0488D">
        <w:t xml:space="preserve">, </w:t>
      </w:r>
      <w:r w:rsidRPr="00E0488D">
        <w:rPr>
          <w:rStyle w:val="hps"/>
          <w:rFonts w:cs="Arial"/>
          <w:color w:val="000000" w:themeColor="text1"/>
        </w:rPr>
        <w:t>prin extinderea</w:t>
      </w:r>
      <w:r w:rsidRPr="00E0488D">
        <w:t xml:space="preserve"> </w:t>
      </w:r>
      <w:r w:rsidRPr="00E0488D">
        <w:rPr>
          <w:rStyle w:val="hps"/>
          <w:rFonts w:cs="Arial"/>
          <w:color w:val="000000" w:themeColor="text1"/>
        </w:rPr>
        <w:t>duratelor contractuale</w:t>
      </w:r>
      <w:r w:rsidRPr="00E0488D">
        <w:t xml:space="preserve"> </w:t>
      </w:r>
      <w:r w:rsidRPr="00E0488D">
        <w:rPr>
          <w:rStyle w:val="hps"/>
          <w:rFonts w:cs="Arial"/>
          <w:color w:val="000000" w:themeColor="text1"/>
        </w:rPr>
        <w:t>de la 1-2</w:t>
      </w:r>
      <w:r w:rsidRPr="00E0488D">
        <w:t xml:space="preserve"> </w:t>
      </w:r>
      <w:r w:rsidRPr="00E0488D">
        <w:rPr>
          <w:rStyle w:val="hps"/>
          <w:rFonts w:cs="Arial"/>
          <w:color w:val="000000" w:themeColor="text1"/>
        </w:rPr>
        <w:t>ani</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5-7 ani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gruparea</w:t>
      </w:r>
      <w:r w:rsidRPr="00E0488D">
        <w:t xml:space="preserve"> </w:t>
      </w:r>
      <w:r w:rsidRPr="00E0488D">
        <w:rPr>
          <w:rStyle w:val="hps"/>
          <w:rFonts w:cs="Arial"/>
          <w:color w:val="000000" w:themeColor="text1"/>
        </w:rPr>
        <w:t>mai multor activități</w:t>
      </w:r>
      <w:r w:rsidRPr="00E0488D">
        <w:t xml:space="preserve"> </w:t>
      </w:r>
      <w:r w:rsidRPr="00E0488D">
        <w:rPr>
          <w:rStyle w:val="hps"/>
          <w:rFonts w:cs="Arial"/>
          <w:color w:val="000000" w:themeColor="text1"/>
        </w:rPr>
        <w:t>de întreținere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același contract. În</w:t>
      </w:r>
      <w:r w:rsidRPr="00E0488D">
        <w:t xml:space="preserve"> </w:t>
      </w:r>
      <w:r w:rsidRPr="00E0488D">
        <w:rPr>
          <w:rStyle w:val="hps"/>
          <w:rFonts w:cs="Arial"/>
          <w:color w:val="000000" w:themeColor="text1"/>
        </w:rPr>
        <w:t>plus față de aceste</w:t>
      </w:r>
      <w:r w:rsidRPr="00E0488D">
        <w:t xml:space="preserve"> </w:t>
      </w:r>
      <w:r w:rsidRPr="00E0488D">
        <w:rPr>
          <w:rStyle w:val="hps"/>
          <w:rFonts w:cs="Arial"/>
          <w:color w:val="000000" w:themeColor="text1"/>
        </w:rPr>
        <w:t>economii</w:t>
      </w:r>
      <w:r w:rsidRPr="00E0488D">
        <w:t xml:space="preserve"> </w:t>
      </w:r>
      <w:r w:rsidRPr="00E0488D">
        <w:rPr>
          <w:rStyle w:val="hps"/>
          <w:rFonts w:cs="Arial"/>
          <w:color w:val="000000" w:themeColor="text1"/>
        </w:rPr>
        <w:t>contractuale</w:t>
      </w:r>
      <w:r w:rsidRPr="00E0488D">
        <w:t xml:space="preserve">, </w:t>
      </w:r>
      <w:r w:rsidRPr="00E0488D">
        <w:rPr>
          <w:rStyle w:val="hps"/>
          <w:rFonts w:cs="Arial"/>
          <w:color w:val="000000" w:themeColor="text1"/>
        </w:rPr>
        <w:t>perioadele contractuale</w:t>
      </w:r>
      <w:r w:rsidRPr="00E0488D">
        <w:t xml:space="preserve"> </w:t>
      </w:r>
      <w:r w:rsidRPr="00E0488D">
        <w:rPr>
          <w:rStyle w:val="hps"/>
          <w:rFonts w:cs="Arial"/>
          <w:color w:val="000000" w:themeColor="text1"/>
        </w:rPr>
        <w:t>mai lungi</w:t>
      </w:r>
      <w:r w:rsidRPr="00E0488D">
        <w:t xml:space="preserve"> </w:t>
      </w:r>
      <w:r w:rsidRPr="00E0488D">
        <w:rPr>
          <w:rStyle w:val="hps"/>
          <w:rFonts w:cs="Arial"/>
          <w:color w:val="000000" w:themeColor="text1"/>
        </w:rPr>
        <w:t>stimulează</w:t>
      </w:r>
      <w:r w:rsidRPr="00E0488D">
        <w:t xml:space="preserve"> </w:t>
      </w:r>
      <w:r w:rsidRPr="00E0488D">
        <w:rPr>
          <w:rStyle w:val="hps"/>
          <w:rFonts w:cs="Arial"/>
          <w:color w:val="000000" w:themeColor="text1"/>
        </w:rPr>
        <w:t>furnizorii</w:t>
      </w:r>
      <w:r w:rsidRPr="00E0488D">
        <w:t xml:space="preserve"> </w:t>
      </w:r>
      <w:r w:rsidRPr="00E0488D">
        <w:rPr>
          <w:rStyle w:val="hps"/>
          <w:rFonts w:cs="Arial"/>
          <w:color w:val="000000" w:themeColor="text1"/>
        </w:rPr>
        <w:t>să facă investiții</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utilaje</w:t>
      </w:r>
      <w:r w:rsidRPr="00E0488D">
        <w:t xml:space="preserve">, care se pot dovedi rentabile din punct de vedere </w:t>
      </w:r>
      <w:r w:rsidRPr="00E0488D">
        <w:rPr>
          <w:rStyle w:val="hps"/>
          <w:rFonts w:cs="Arial"/>
          <w:color w:val="000000" w:themeColor="text1"/>
        </w:rPr>
        <w:t xml:space="preserve">comercial. </w:t>
      </w:r>
    </w:p>
    <w:p w:rsidR="00B4550A" w:rsidRPr="00E0488D" w:rsidRDefault="00B4550A" w:rsidP="002B7E09">
      <w:pPr>
        <w:pStyle w:val="NumberedParas"/>
        <w:rPr>
          <w:rStyle w:val="hps"/>
        </w:rPr>
      </w:pPr>
      <w:r w:rsidRPr="00E0488D">
        <w:rPr>
          <w:rStyle w:val="hps"/>
          <w:rFonts w:cs="Arial"/>
          <w:color w:val="000000" w:themeColor="text1"/>
        </w:rPr>
        <w:t>Discuțiile</w:t>
      </w:r>
      <w:r w:rsidRPr="00E0488D">
        <w:t xml:space="preserve"> </w:t>
      </w:r>
      <w:r w:rsidRPr="00E0488D">
        <w:rPr>
          <w:rStyle w:val="hps"/>
          <w:rFonts w:cs="Arial"/>
          <w:color w:val="000000" w:themeColor="text1"/>
        </w:rPr>
        <w:t>cu furnizorii</w:t>
      </w:r>
      <w:r w:rsidRPr="00E0488D">
        <w:t xml:space="preserve"> </w:t>
      </w:r>
      <w:r w:rsidRPr="00E0488D">
        <w:rPr>
          <w:rStyle w:val="hps"/>
          <w:rFonts w:cs="Arial"/>
          <w:color w:val="000000" w:themeColor="text1"/>
        </w:rPr>
        <w:t>din Marea Britanie</w:t>
      </w:r>
      <w:r w:rsidRPr="00E0488D">
        <w:t xml:space="preserve"> </w:t>
      </w:r>
      <w:r w:rsidRPr="00E0488D">
        <w:rPr>
          <w:rStyle w:val="hps"/>
          <w:rFonts w:cs="Arial"/>
          <w:color w:val="000000" w:themeColor="text1"/>
        </w:rPr>
        <w:t>au demonstrat</w:t>
      </w:r>
      <w:r w:rsidRPr="00E0488D">
        <w:t xml:space="preserve">, de asemenea, </w:t>
      </w:r>
      <w:r w:rsidRPr="00E0488D">
        <w:rPr>
          <w:rStyle w:val="hps"/>
          <w:rFonts w:cs="Arial"/>
          <w:color w:val="000000" w:themeColor="text1"/>
        </w:rPr>
        <w:t>că</w:t>
      </w:r>
      <w:r w:rsidRPr="00E0488D">
        <w:t xml:space="preserve"> </w:t>
      </w:r>
      <w:r w:rsidRPr="00E0488D">
        <w:rPr>
          <w:rStyle w:val="hps"/>
          <w:rFonts w:cs="Arial"/>
          <w:color w:val="000000" w:themeColor="text1"/>
        </w:rPr>
        <w:t>achiziționarea unui lot de</w:t>
      </w:r>
      <w:r w:rsidRPr="00E0488D">
        <w:t xml:space="preserve"> </w:t>
      </w:r>
      <w:r w:rsidRPr="00E0488D">
        <w:rPr>
          <w:rStyle w:val="hps"/>
          <w:rFonts w:cs="Arial"/>
          <w:color w:val="000000" w:themeColor="text1"/>
        </w:rPr>
        <w:t>materiale</w:t>
      </w:r>
      <w:r w:rsidRPr="00E0488D">
        <w:t xml:space="preserve"> </w:t>
      </w:r>
      <w:r w:rsidRPr="00E0488D">
        <w:rPr>
          <w:rStyle w:val="hps"/>
          <w:rFonts w:cs="Arial"/>
          <w:color w:val="000000" w:themeColor="text1"/>
        </w:rPr>
        <w:t>printr-un</w:t>
      </w:r>
      <w:r w:rsidRPr="00E0488D">
        <w:t xml:space="preserve"> </w:t>
      </w:r>
      <w:r w:rsidRPr="00E0488D">
        <w:rPr>
          <w:rStyle w:val="hps"/>
          <w:rFonts w:cs="Arial"/>
          <w:color w:val="000000" w:themeColor="text1"/>
        </w:rPr>
        <w:t>program extins</w:t>
      </w:r>
      <w:r w:rsidRPr="00E0488D">
        <w:t xml:space="preserve"> </w:t>
      </w:r>
      <w:r w:rsidRPr="00E0488D">
        <w:rPr>
          <w:rStyle w:val="hps"/>
          <w:rFonts w:cs="Arial"/>
          <w:color w:val="000000" w:themeColor="text1"/>
        </w:rPr>
        <w:t>poate</w:t>
      </w:r>
      <w:r w:rsidRPr="00E0488D">
        <w:t xml:space="preserve"> </w:t>
      </w:r>
      <w:r w:rsidRPr="00E0488D">
        <w:rPr>
          <w:rStyle w:val="hps"/>
          <w:rFonts w:cs="Arial"/>
          <w:color w:val="000000" w:themeColor="text1"/>
        </w:rPr>
        <w:t>oferi</w:t>
      </w:r>
      <w:r w:rsidRPr="00E0488D">
        <w:t xml:space="preserve"> </w:t>
      </w:r>
      <w:r w:rsidRPr="00E0488D">
        <w:rPr>
          <w:rStyle w:val="hps"/>
          <w:rFonts w:cs="Arial"/>
          <w:color w:val="000000" w:themeColor="text1"/>
        </w:rPr>
        <w:t>o mai mare eficiență,</w:t>
      </w:r>
      <w:r w:rsidRPr="00E0488D">
        <w:t xml:space="preserve"> </w:t>
      </w:r>
      <w:r w:rsidRPr="00E0488D">
        <w:rPr>
          <w:rStyle w:val="hps"/>
          <w:rFonts w:cs="Arial"/>
          <w:color w:val="000000" w:themeColor="text1"/>
        </w:rPr>
        <w:t>iar economiile</w:t>
      </w:r>
      <w:r w:rsidRPr="00E0488D">
        <w:t xml:space="preserve"> </w:t>
      </w:r>
      <w:r w:rsidRPr="00E0488D">
        <w:rPr>
          <w:rStyle w:val="hps"/>
          <w:rFonts w:cs="Arial"/>
          <w:color w:val="000000" w:themeColor="text1"/>
        </w:rPr>
        <w:t>par să fie semnificative. Contractorii</w:t>
      </w:r>
      <w:r w:rsidRPr="00E0488D">
        <w:t xml:space="preserve"> </w:t>
      </w:r>
      <w:r w:rsidRPr="00E0488D">
        <w:rPr>
          <w:rStyle w:val="hps"/>
          <w:rFonts w:cs="Arial"/>
          <w:color w:val="000000" w:themeColor="text1"/>
        </w:rPr>
        <w:t>ar putea folosi</w:t>
      </w:r>
      <w:r w:rsidRPr="00E0488D">
        <w:t xml:space="preserve"> </w:t>
      </w:r>
      <w:r w:rsidRPr="00E0488D">
        <w:rPr>
          <w:rStyle w:val="hps"/>
          <w:rFonts w:cs="Arial"/>
          <w:color w:val="000000" w:themeColor="text1"/>
        </w:rPr>
        <w:t>instalațiile</w:t>
      </w:r>
      <w:r w:rsidRPr="00E0488D">
        <w:t xml:space="preserve"> </w:t>
      </w:r>
      <w:r w:rsidRPr="00E0488D">
        <w:rPr>
          <w:rStyle w:val="hps"/>
          <w:rFonts w:cs="Arial"/>
          <w:color w:val="000000" w:themeColor="text1"/>
        </w:rPr>
        <w:t>lor</w:t>
      </w:r>
      <w:r w:rsidRPr="00E0488D">
        <w:t xml:space="preserve"> </w:t>
      </w:r>
      <w:r w:rsidRPr="00E0488D">
        <w:rPr>
          <w:rStyle w:val="hps"/>
          <w:rFonts w:cs="Arial"/>
          <w:color w:val="000000" w:themeColor="text1"/>
        </w:rPr>
        <w:t>fixe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mobile,</w:t>
      </w:r>
      <w:r w:rsidRPr="00E0488D">
        <w:t xml:space="preserve"> </w:t>
      </w:r>
      <w:r w:rsidRPr="00E0488D">
        <w:rPr>
          <w:rStyle w:val="hps"/>
          <w:rFonts w:cs="Arial"/>
          <w:color w:val="000000" w:themeColor="text1"/>
        </w:rPr>
        <w:t>cu o</w:t>
      </w:r>
      <w:r w:rsidRPr="00E0488D">
        <w:t xml:space="preserve"> </w:t>
      </w:r>
      <w:r w:rsidRPr="00E0488D">
        <w:rPr>
          <w:rStyle w:val="hps"/>
          <w:rFonts w:cs="Arial"/>
          <w:color w:val="000000" w:themeColor="text1"/>
        </w:rPr>
        <w:t>eficiență</w:t>
      </w:r>
      <w:r w:rsidRPr="00E0488D">
        <w:t xml:space="preserve"> </w:t>
      </w:r>
      <w:r w:rsidRPr="00E0488D">
        <w:rPr>
          <w:rStyle w:val="hps"/>
          <w:rFonts w:cs="Arial"/>
          <w:color w:val="000000" w:themeColor="text1"/>
        </w:rPr>
        <w:t>semnificativ mai mare,</w:t>
      </w:r>
      <w:r w:rsidRPr="00E0488D">
        <w:t xml:space="preserve"> </w:t>
      </w:r>
      <w:r w:rsidRPr="00E0488D">
        <w:rPr>
          <w:rStyle w:val="hps"/>
          <w:rFonts w:cs="Arial"/>
          <w:color w:val="000000" w:themeColor="text1"/>
        </w:rPr>
        <w:t>în cazul în care</w:t>
      </w:r>
      <w:r w:rsidRPr="00E0488D">
        <w:t xml:space="preserve"> </w:t>
      </w:r>
      <w:r w:rsidRPr="00E0488D">
        <w:rPr>
          <w:rStyle w:val="hps"/>
          <w:rFonts w:cs="Arial"/>
          <w:color w:val="000000" w:themeColor="text1"/>
        </w:rPr>
        <w:t>contractele ar includ</w:t>
      </w:r>
      <w:r w:rsidRPr="00E0488D">
        <w:t xml:space="preserve">e </w:t>
      </w:r>
      <w:r w:rsidRPr="00E0488D">
        <w:rPr>
          <w:rStyle w:val="hps"/>
          <w:rFonts w:cs="Arial"/>
          <w:color w:val="000000" w:themeColor="text1"/>
        </w:rPr>
        <w:t>atât</w:t>
      </w:r>
      <w:r w:rsidRPr="00E0488D">
        <w:t xml:space="preserve"> </w:t>
      </w:r>
      <w:r w:rsidRPr="00E0488D">
        <w:rPr>
          <w:rStyle w:val="hps"/>
          <w:rFonts w:cs="Arial"/>
          <w:color w:val="000000" w:themeColor="text1"/>
        </w:rPr>
        <w:t>drumurile</w:t>
      </w:r>
      <w:r w:rsidRPr="00E0488D">
        <w:t xml:space="preserve"> </w:t>
      </w:r>
      <w:r w:rsidRPr="00E0488D">
        <w:rPr>
          <w:rStyle w:val="hps"/>
          <w:rFonts w:cs="Arial"/>
          <w:color w:val="000000" w:themeColor="text1"/>
        </w:rPr>
        <w:t>naționale, cât și pe cele locale.</w:t>
      </w:r>
    </w:p>
    <w:p w:rsidR="00B4550A" w:rsidRPr="00E0488D" w:rsidRDefault="00B4550A" w:rsidP="002B7E09">
      <w:pPr>
        <w:pStyle w:val="NumberedParas"/>
      </w:pPr>
      <w:r w:rsidRPr="00E0488D">
        <w:t xml:space="preserve">Valoarea necesarului pentru întreținere a fost stabilită în baza raportului Băncii Mondiale, „Studiu privind recuperarea costurilor din sectorul de transport rutier și feroviar în România”, pregătit de către AECOM. </w:t>
      </w:r>
      <w:r w:rsidRPr="00E0488D">
        <w:rPr>
          <w:rFonts w:cs="Arial"/>
          <w:color w:val="000000" w:themeColor="text1"/>
        </w:rPr>
        <w:t>Modelul u</w:t>
      </w:r>
      <w:r w:rsidRPr="00E0488D">
        <w:t>t</w:t>
      </w:r>
      <w:r w:rsidRPr="00E0488D">
        <w:rPr>
          <w:rFonts w:cs="Arial"/>
          <w:color w:val="000000" w:themeColor="text1"/>
        </w:rPr>
        <w:t>ilizat în cadru</w:t>
      </w:r>
      <w:r w:rsidRPr="00E0488D">
        <w:t>l</w:t>
      </w:r>
      <w:r w:rsidRPr="00E0488D">
        <w:rPr>
          <w:rFonts w:cs="Arial"/>
          <w:color w:val="000000" w:themeColor="text1"/>
        </w:rPr>
        <w:t xml:space="preserve"> acelui rapo</w:t>
      </w:r>
      <w:r w:rsidRPr="00E0488D">
        <w:t>r</w:t>
      </w:r>
      <w:r w:rsidRPr="00E0488D">
        <w:rPr>
          <w:rFonts w:cs="Arial"/>
          <w:color w:val="000000" w:themeColor="text1"/>
        </w:rPr>
        <w:t>t a</w:t>
      </w:r>
      <w:r w:rsidRPr="00E0488D">
        <w:t>r</w:t>
      </w:r>
      <w:r w:rsidRPr="00E0488D">
        <w:rPr>
          <w:rFonts w:cs="Arial"/>
          <w:color w:val="000000" w:themeColor="text1"/>
        </w:rPr>
        <w:t>e la</w:t>
      </w:r>
      <w:r w:rsidRPr="00E0488D">
        <w:t xml:space="preserve"> </w:t>
      </w:r>
      <w:r w:rsidRPr="00E0488D">
        <w:rPr>
          <w:rFonts w:cs="Arial"/>
          <w:color w:val="000000" w:themeColor="text1"/>
        </w:rPr>
        <w:t>ba</w:t>
      </w:r>
      <w:r w:rsidRPr="00E0488D">
        <w:t>z</w:t>
      </w:r>
      <w:r w:rsidRPr="00E0488D">
        <w:rPr>
          <w:rFonts w:cs="Arial"/>
          <w:color w:val="000000" w:themeColor="text1"/>
        </w:rPr>
        <w:t>ă chelt</w:t>
      </w:r>
      <w:r w:rsidRPr="00E0488D">
        <w:t>u</w:t>
      </w:r>
      <w:r w:rsidRPr="00E0488D">
        <w:rPr>
          <w:rFonts w:cs="Arial"/>
          <w:color w:val="000000" w:themeColor="text1"/>
        </w:rPr>
        <w:t>ieli</w:t>
      </w:r>
      <w:r w:rsidRPr="00E0488D">
        <w:t>l</w:t>
      </w:r>
      <w:r w:rsidRPr="00E0488D">
        <w:rPr>
          <w:rFonts w:cs="Arial"/>
          <w:color w:val="000000" w:themeColor="text1"/>
        </w:rPr>
        <w:t>e cu cicl</w:t>
      </w:r>
      <w:r w:rsidRPr="00E0488D">
        <w:t>u</w:t>
      </w:r>
      <w:r w:rsidRPr="00E0488D">
        <w:rPr>
          <w:rFonts w:cs="Arial"/>
          <w:color w:val="000000" w:themeColor="text1"/>
        </w:rPr>
        <w:t xml:space="preserve"> de viață din Scenariu</w:t>
      </w:r>
      <w:r w:rsidRPr="00E0488D">
        <w:t>l</w:t>
      </w:r>
      <w:r w:rsidRPr="00E0488D">
        <w:rPr>
          <w:rFonts w:cs="Arial"/>
          <w:color w:val="000000" w:themeColor="text1"/>
        </w:rPr>
        <w:t xml:space="preserve"> de Bază (</w:t>
      </w:r>
      <w:r w:rsidRPr="00E0488D">
        <w:rPr>
          <w:rFonts w:cs="Arial"/>
          <w:i/>
          <w:color w:val="000000" w:themeColor="text1"/>
        </w:rPr>
        <w:t>Base C</w:t>
      </w:r>
      <w:r w:rsidRPr="00E0488D">
        <w:rPr>
          <w:i/>
        </w:rPr>
        <w:t>a</w:t>
      </w:r>
      <w:r w:rsidRPr="00E0488D">
        <w:rPr>
          <w:rFonts w:cs="Arial"/>
          <w:i/>
          <w:color w:val="000000" w:themeColor="text1"/>
        </w:rPr>
        <w:t>se Lifecycle Expendit</w:t>
      </w:r>
      <w:r w:rsidRPr="00E0488D">
        <w:rPr>
          <w:i/>
        </w:rPr>
        <w:t>ur</w:t>
      </w:r>
      <w:r w:rsidRPr="00E0488D">
        <w:rPr>
          <w:rFonts w:cs="Arial"/>
          <w:i/>
          <w:color w:val="000000" w:themeColor="text1"/>
        </w:rPr>
        <w:t>e (C</w:t>
      </w:r>
      <w:r w:rsidRPr="00E0488D">
        <w:rPr>
          <w:i/>
        </w:rPr>
        <w:t>a</w:t>
      </w:r>
      <w:r w:rsidRPr="00E0488D">
        <w:rPr>
          <w:rFonts w:cs="Arial"/>
          <w:i/>
          <w:color w:val="000000" w:themeColor="text1"/>
        </w:rPr>
        <w:t>pEx)</w:t>
      </w:r>
      <w:r w:rsidRPr="00E0488D">
        <w:rPr>
          <w:rFonts w:cs="Arial"/>
          <w:color w:val="000000" w:themeColor="text1"/>
        </w:rPr>
        <w:t>), ch</w:t>
      </w:r>
      <w:r w:rsidRPr="00E0488D">
        <w:t>e</w:t>
      </w:r>
      <w:r w:rsidRPr="00E0488D">
        <w:rPr>
          <w:rFonts w:cs="Arial"/>
          <w:color w:val="000000" w:themeColor="text1"/>
        </w:rPr>
        <w:t>ltuielile de operare și întreținer</w:t>
      </w:r>
      <w:r w:rsidRPr="00E0488D">
        <w:t>e (</w:t>
      </w:r>
      <w:r w:rsidRPr="00E0488D">
        <w:rPr>
          <w:i/>
        </w:rPr>
        <w:t>Operations and Maintenance Expenditure (OpEx)</w:t>
      </w:r>
      <w:r w:rsidRPr="00E0488D">
        <w:t>), precum și prognoze ale veniturilor pentru rețelele rutiere și feroviare din România.</w:t>
      </w:r>
    </w:p>
    <w:p w:rsidR="00B4550A" w:rsidRPr="00E0488D" w:rsidRDefault="00B4550A" w:rsidP="002B7E09">
      <w:pPr>
        <w:pStyle w:val="NumberedParas"/>
      </w:pPr>
      <w:r w:rsidRPr="00E0488D">
        <w:t>Prognozele CAPEX si OPEX au fost generate de următoarele estimări cheie:</w:t>
      </w:r>
    </w:p>
    <w:p w:rsidR="00B4550A" w:rsidRPr="00E0488D" w:rsidRDefault="00B4550A" w:rsidP="00BC2B57">
      <w:pPr>
        <w:pStyle w:val="BulletLevel1"/>
      </w:pPr>
      <w:r w:rsidRPr="00E0488D">
        <w:t xml:space="preserve">Caracteristici fizice ale activelor; </w:t>
      </w:r>
    </w:p>
    <w:p w:rsidR="00B4550A" w:rsidRPr="00E0488D" w:rsidRDefault="00B4550A" w:rsidP="00BC2B57">
      <w:pPr>
        <w:pStyle w:val="BulletLevel1"/>
      </w:pPr>
      <w:r w:rsidRPr="00E0488D">
        <w:t xml:space="preserve">Factori socio-economici cheie, precum creșterea PIB și ați indicatori specifici (cum ar fi creșterea gradului de motorizare, în cazul modelului rutier);  </w:t>
      </w:r>
    </w:p>
    <w:p w:rsidR="00B4550A" w:rsidRPr="00E0488D" w:rsidRDefault="00B4550A" w:rsidP="00BC2B57">
      <w:pPr>
        <w:pStyle w:val="BulletLevel1"/>
      </w:pPr>
      <w:r w:rsidRPr="00E0488D">
        <w:t>Factori de mediu aferenți proiectului, precum volumul de trafic inițial și volumul de trafic prognozat;</w:t>
      </w:r>
    </w:p>
    <w:p w:rsidR="00B4550A" w:rsidRPr="00E0488D" w:rsidRDefault="00B4550A" w:rsidP="00BC2B57">
      <w:pPr>
        <w:pStyle w:val="BulletLevel1"/>
      </w:pPr>
      <w:r w:rsidRPr="00E0488D">
        <w:t xml:space="preserve">Standarde și practici locale aplicabile costurilor de operare și de întreținere și costurilor cu durată de viață; </w:t>
      </w:r>
    </w:p>
    <w:p w:rsidR="00B4550A" w:rsidRPr="00E0488D" w:rsidRDefault="00B4550A" w:rsidP="00BC2B57">
      <w:pPr>
        <w:pStyle w:val="BulletLevel1"/>
      </w:pPr>
      <w:r w:rsidRPr="00E0488D">
        <w:t>Ipoteze privind costurile unitare (obținute din comparații de referință și informații locale);</w:t>
      </w:r>
    </w:p>
    <w:p w:rsidR="00B4550A" w:rsidRPr="00E0488D" w:rsidRDefault="00B4550A" w:rsidP="00BC2B57">
      <w:pPr>
        <w:pStyle w:val="BulletLevel1"/>
      </w:pPr>
      <w:r w:rsidRPr="00E0488D">
        <w:t xml:space="preserve">Strategie de întreținere recomandată (de exemplu, pentru structura rutieră); și </w:t>
      </w:r>
    </w:p>
    <w:p w:rsidR="00B4550A" w:rsidRPr="00E0488D" w:rsidRDefault="00B4550A" w:rsidP="00BC2B57">
      <w:pPr>
        <w:pStyle w:val="BulletLevel1"/>
      </w:pPr>
      <w:r w:rsidRPr="00E0488D">
        <w:t>Programe de reabilitare recomandate.</w:t>
      </w:r>
    </w:p>
    <w:p w:rsidR="00B4550A" w:rsidRPr="00E0488D" w:rsidRDefault="00B4550A" w:rsidP="002B7E09">
      <w:pPr>
        <w:pStyle w:val="NumberedParas"/>
      </w:pPr>
      <w:r w:rsidRPr="00E0488D">
        <w:t xml:space="preserve">Estimările veniturilor obținute au fost determinate de următoarele estimări cheie:   </w:t>
      </w:r>
    </w:p>
    <w:p w:rsidR="00B4550A" w:rsidRPr="00E0488D" w:rsidRDefault="00B4550A" w:rsidP="00BC2B57">
      <w:pPr>
        <w:pStyle w:val="BulletLevel1"/>
      </w:pPr>
      <w:r w:rsidRPr="00E0488D">
        <w:t>Caracteristici fizice ale activelor;</w:t>
      </w:r>
    </w:p>
    <w:p w:rsidR="00B4550A" w:rsidRPr="00E0488D" w:rsidRDefault="00B4550A" w:rsidP="00BC2B57">
      <w:pPr>
        <w:pStyle w:val="BulletLevel1"/>
      </w:pPr>
      <w:r w:rsidRPr="00E0488D">
        <w:t xml:space="preserve">Factori socio-economici cheie, precum creșterea PIB și ați indicatori specifici (cum ar fi creșterea gradului de motorizare, în cazul modelului rutier);  </w:t>
      </w:r>
    </w:p>
    <w:p w:rsidR="00B4550A" w:rsidRPr="00E0488D" w:rsidRDefault="00B4550A" w:rsidP="00BC2B57">
      <w:pPr>
        <w:pStyle w:val="BulletLevel1"/>
      </w:pPr>
      <w:r w:rsidRPr="00E0488D">
        <w:t>Factori de mediu aferenți proiectului, precum volumul de trafic inițial și volumul de trafic prognozat;</w:t>
      </w:r>
    </w:p>
    <w:p w:rsidR="00B4550A" w:rsidRPr="00E0488D" w:rsidRDefault="00B4550A" w:rsidP="00BC2B57">
      <w:pPr>
        <w:pStyle w:val="BulletLevel1"/>
      </w:pPr>
      <w:r w:rsidRPr="00E0488D">
        <w:t>Taxe pentru participanții la trafic; și</w:t>
      </w:r>
    </w:p>
    <w:p w:rsidR="00B4550A" w:rsidRPr="00E0488D" w:rsidRDefault="00B4550A" w:rsidP="00BC2B57">
      <w:pPr>
        <w:pStyle w:val="BulletLevel1"/>
      </w:pPr>
      <w:r w:rsidRPr="00E0488D">
        <w:lastRenderedPageBreak/>
        <w:t>Alte surse de venit.</w:t>
      </w:r>
    </w:p>
    <w:p w:rsidR="00B4550A" w:rsidRPr="00E0488D" w:rsidRDefault="00B4550A" w:rsidP="002B7E09">
      <w:pPr>
        <w:pStyle w:val="NumberedParas"/>
      </w:pPr>
      <w:r w:rsidRPr="00E0488D">
        <w:t>Activitatea de elaborare a Strategiei Naționale de Transport, a dus la o optimizare suplimentară a modelului prin intermediul informațiilor noi legate de starea rețelei rutiere, ținând cont că aceasta a fost elaborată cu ajutorul CESTRIN. Rezultatele acestui proces sunt furnizate în Tabelul 4.5 din Tabelul de mai jos:</w:t>
      </w:r>
    </w:p>
    <w:p w:rsidR="00B4550A" w:rsidRPr="00E0488D" w:rsidRDefault="00B4550A" w:rsidP="00B4550A">
      <w:pPr>
        <w:tabs>
          <w:tab w:val="left" w:pos="680"/>
        </w:tabs>
        <w:spacing w:before="240" w:after="120" w:line="276" w:lineRule="auto"/>
        <w:ind w:left="1560" w:hanging="709"/>
        <w:rPr>
          <w:b/>
          <w:sz w:val="22"/>
          <w:szCs w:val="22"/>
          <w:lang w:val="ro-RO"/>
        </w:rPr>
      </w:pPr>
      <w:r w:rsidRPr="00E0488D">
        <w:rPr>
          <w:b/>
          <w:sz w:val="22"/>
          <w:szCs w:val="22"/>
          <w:lang w:val="ro-RO"/>
        </w:rPr>
        <w:t>Tabelul 4.5</w:t>
      </w:r>
      <w:r w:rsidRPr="00E0488D">
        <w:rPr>
          <w:b/>
          <w:sz w:val="22"/>
          <w:szCs w:val="22"/>
          <w:lang w:val="ro-RO"/>
        </w:rPr>
        <w:tab/>
        <w:t>Costuri necesare pentru întreținere și costul asociat duratei de viață (milioane de lei)</w:t>
      </w:r>
    </w:p>
    <w:tbl>
      <w:tblPr>
        <w:tblW w:w="979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486"/>
        <w:gridCol w:w="1713"/>
        <w:gridCol w:w="1073"/>
        <w:gridCol w:w="1337"/>
        <w:gridCol w:w="1842"/>
        <w:gridCol w:w="1011"/>
      </w:tblGrid>
      <w:tr w:rsidR="00B4550A" w:rsidRPr="00E0488D" w:rsidTr="003C7FC8">
        <w:trPr>
          <w:trHeight w:val="255"/>
        </w:trPr>
        <w:tc>
          <w:tcPr>
            <w:tcW w:w="1337" w:type="dxa"/>
            <w:vMerge w:val="restart"/>
            <w:shd w:val="clear" w:color="auto" w:fill="B8CCE4" w:themeFill="accent1" w:themeFillTint="66"/>
            <w:noWrap/>
            <w:vAlign w:val="center"/>
            <w:hideMark/>
          </w:tcPr>
          <w:p w:rsidR="00B4550A" w:rsidRPr="00E0488D" w:rsidRDefault="00B4550A" w:rsidP="003C7FC8">
            <w:pPr>
              <w:spacing w:before="60" w:after="60"/>
              <w:jc w:val="center"/>
              <w:rPr>
                <w:b/>
                <w:sz w:val="22"/>
                <w:szCs w:val="22"/>
                <w:lang w:val="ro-RO" w:eastAsia="en-GB"/>
              </w:rPr>
            </w:pPr>
            <w:r w:rsidRPr="00E0488D">
              <w:rPr>
                <w:b/>
                <w:sz w:val="22"/>
                <w:szCs w:val="22"/>
                <w:lang w:val="ro-RO" w:eastAsia="en-GB"/>
              </w:rPr>
              <w:t>Perioada</w:t>
            </w:r>
          </w:p>
        </w:tc>
        <w:tc>
          <w:tcPr>
            <w:tcW w:w="4272" w:type="dxa"/>
            <w:gridSpan w:val="3"/>
            <w:shd w:val="clear" w:color="auto" w:fill="B8CCE4" w:themeFill="accent1" w:themeFillTint="66"/>
            <w:noWrap/>
            <w:vAlign w:val="center"/>
            <w:hideMark/>
          </w:tcPr>
          <w:p w:rsidR="00B4550A" w:rsidRPr="00E0488D" w:rsidRDefault="00B4550A" w:rsidP="003C7FC8">
            <w:pPr>
              <w:spacing w:before="60" w:after="60"/>
              <w:jc w:val="center"/>
              <w:rPr>
                <w:b/>
                <w:bCs/>
                <w:sz w:val="22"/>
                <w:szCs w:val="22"/>
                <w:lang w:val="ro-RO" w:eastAsia="en-GB"/>
              </w:rPr>
            </w:pPr>
            <w:r w:rsidRPr="00E0488D">
              <w:rPr>
                <w:b/>
                <w:bCs/>
                <w:sz w:val="22"/>
                <w:szCs w:val="22"/>
                <w:lang w:val="ro-RO" w:eastAsia="en-GB"/>
              </w:rPr>
              <w:t>Total costuri</w:t>
            </w:r>
          </w:p>
        </w:tc>
        <w:tc>
          <w:tcPr>
            <w:tcW w:w="4190" w:type="dxa"/>
            <w:gridSpan w:val="3"/>
            <w:shd w:val="clear" w:color="auto" w:fill="B8CCE4" w:themeFill="accent1" w:themeFillTint="66"/>
            <w:noWrap/>
            <w:vAlign w:val="center"/>
            <w:hideMark/>
          </w:tcPr>
          <w:p w:rsidR="00B4550A" w:rsidRPr="00E0488D" w:rsidRDefault="00B4550A" w:rsidP="003C7FC8">
            <w:pPr>
              <w:spacing w:before="60" w:after="60"/>
              <w:jc w:val="center"/>
              <w:rPr>
                <w:b/>
                <w:bCs/>
                <w:sz w:val="22"/>
                <w:szCs w:val="22"/>
                <w:lang w:val="ro-RO" w:eastAsia="en-GB"/>
              </w:rPr>
            </w:pPr>
            <w:r w:rsidRPr="00E0488D">
              <w:rPr>
                <w:b/>
                <w:bCs/>
                <w:sz w:val="22"/>
                <w:szCs w:val="22"/>
                <w:lang w:val="ro-RO" w:eastAsia="en-GB"/>
              </w:rPr>
              <w:t>Media anuală</w:t>
            </w:r>
          </w:p>
        </w:tc>
      </w:tr>
      <w:tr w:rsidR="00B4550A" w:rsidRPr="00E0488D" w:rsidTr="003C7FC8">
        <w:trPr>
          <w:trHeight w:val="255"/>
        </w:trPr>
        <w:tc>
          <w:tcPr>
            <w:tcW w:w="1337" w:type="dxa"/>
            <w:vMerge/>
            <w:shd w:val="clear" w:color="auto" w:fill="B8CCE4" w:themeFill="accent1" w:themeFillTint="66"/>
            <w:noWrap/>
            <w:vAlign w:val="center"/>
            <w:hideMark/>
          </w:tcPr>
          <w:p w:rsidR="00B4550A" w:rsidRPr="00E0488D" w:rsidRDefault="00B4550A" w:rsidP="003C7FC8">
            <w:pPr>
              <w:spacing w:before="60" w:after="60"/>
              <w:jc w:val="center"/>
              <w:rPr>
                <w:b/>
                <w:sz w:val="22"/>
                <w:szCs w:val="22"/>
                <w:lang w:val="ro-RO" w:eastAsia="en-GB"/>
              </w:rPr>
            </w:pPr>
          </w:p>
        </w:tc>
        <w:tc>
          <w:tcPr>
            <w:tcW w:w="1486" w:type="dxa"/>
            <w:shd w:val="clear" w:color="auto" w:fill="B8CCE4" w:themeFill="accent1" w:themeFillTint="66"/>
            <w:noWrap/>
            <w:vAlign w:val="center"/>
            <w:hideMark/>
          </w:tcPr>
          <w:p w:rsidR="00B4550A" w:rsidRPr="00E0488D" w:rsidRDefault="00B4550A" w:rsidP="003C7FC8">
            <w:pPr>
              <w:spacing w:before="60" w:after="60"/>
              <w:jc w:val="center"/>
              <w:rPr>
                <w:b/>
                <w:sz w:val="22"/>
                <w:szCs w:val="22"/>
                <w:lang w:val="ro-RO" w:eastAsia="en-GB"/>
              </w:rPr>
            </w:pPr>
            <w:r w:rsidRPr="00E0488D">
              <w:rPr>
                <w:b/>
                <w:sz w:val="22"/>
                <w:szCs w:val="22"/>
                <w:lang w:val="ro-RO" w:eastAsia="en-GB"/>
              </w:rPr>
              <w:t>Întreținere</w:t>
            </w:r>
          </w:p>
        </w:tc>
        <w:tc>
          <w:tcPr>
            <w:tcW w:w="1713" w:type="dxa"/>
            <w:shd w:val="clear" w:color="auto" w:fill="B8CCE4" w:themeFill="accent1" w:themeFillTint="66"/>
            <w:noWrap/>
            <w:vAlign w:val="center"/>
            <w:hideMark/>
          </w:tcPr>
          <w:p w:rsidR="00B4550A" w:rsidRPr="00E0488D" w:rsidRDefault="00B4550A" w:rsidP="003C7FC8">
            <w:pPr>
              <w:spacing w:before="60" w:after="60"/>
              <w:jc w:val="center"/>
              <w:rPr>
                <w:b/>
                <w:sz w:val="22"/>
                <w:szCs w:val="22"/>
                <w:lang w:val="ro-RO" w:eastAsia="en-GB"/>
              </w:rPr>
            </w:pPr>
            <w:r w:rsidRPr="00E0488D">
              <w:rPr>
                <w:b/>
                <w:sz w:val="22"/>
                <w:szCs w:val="22"/>
                <w:lang w:val="ro-RO" w:eastAsia="en-GB"/>
              </w:rPr>
              <w:t>Durata de viață</w:t>
            </w:r>
          </w:p>
        </w:tc>
        <w:tc>
          <w:tcPr>
            <w:tcW w:w="1073" w:type="dxa"/>
            <w:shd w:val="clear" w:color="auto" w:fill="B8CCE4" w:themeFill="accent1" w:themeFillTint="66"/>
            <w:noWrap/>
            <w:vAlign w:val="center"/>
            <w:hideMark/>
          </w:tcPr>
          <w:p w:rsidR="00B4550A" w:rsidRPr="00E0488D" w:rsidRDefault="00B4550A" w:rsidP="003C7FC8">
            <w:pPr>
              <w:spacing w:before="60" w:after="60"/>
              <w:jc w:val="center"/>
              <w:rPr>
                <w:b/>
                <w:bCs/>
                <w:sz w:val="22"/>
                <w:szCs w:val="22"/>
                <w:lang w:val="ro-RO" w:eastAsia="en-GB"/>
              </w:rPr>
            </w:pPr>
            <w:r w:rsidRPr="00E0488D">
              <w:rPr>
                <w:b/>
                <w:bCs/>
                <w:sz w:val="22"/>
                <w:szCs w:val="22"/>
                <w:lang w:val="ro-RO" w:eastAsia="en-GB"/>
              </w:rPr>
              <w:t>Total</w:t>
            </w:r>
          </w:p>
        </w:tc>
        <w:tc>
          <w:tcPr>
            <w:tcW w:w="1337" w:type="dxa"/>
            <w:shd w:val="clear" w:color="auto" w:fill="B8CCE4" w:themeFill="accent1" w:themeFillTint="66"/>
            <w:noWrap/>
            <w:vAlign w:val="center"/>
            <w:hideMark/>
          </w:tcPr>
          <w:p w:rsidR="00B4550A" w:rsidRPr="00E0488D" w:rsidRDefault="00B4550A" w:rsidP="003C7FC8">
            <w:pPr>
              <w:spacing w:before="60" w:after="60"/>
              <w:jc w:val="center"/>
              <w:rPr>
                <w:b/>
                <w:sz w:val="22"/>
                <w:szCs w:val="22"/>
                <w:lang w:val="ro-RO" w:eastAsia="en-GB"/>
              </w:rPr>
            </w:pPr>
            <w:r w:rsidRPr="00E0488D">
              <w:rPr>
                <w:b/>
                <w:sz w:val="22"/>
                <w:szCs w:val="22"/>
                <w:lang w:val="ro-RO" w:eastAsia="en-GB"/>
              </w:rPr>
              <w:t>Întreținere</w:t>
            </w:r>
          </w:p>
        </w:tc>
        <w:tc>
          <w:tcPr>
            <w:tcW w:w="1842" w:type="dxa"/>
            <w:shd w:val="clear" w:color="auto" w:fill="B8CCE4" w:themeFill="accent1" w:themeFillTint="66"/>
            <w:noWrap/>
            <w:vAlign w:val="center"/>
            <w:hideMark/>
          </w:tcPr>
          <w:p w:rsidR="00B4550A" w:rsidRPr="00E0488D" w:rsidRDefault="00B4550A" w:rsidP="003C7FC8">
            <w:pPr>
              <w:spacing w:before="60" w:after="60"/>
              <w:jc w:val="center"/>
              <w:rPr>
                <w:b/>
                <w:sz w:val="22"/>
                <w:szCs w:val="22"/>
                <w:lang w:val="ro-RO" w:eastAsia="en-GB"/>
              </w:rPr>
            </w:pPr>
            <w:r w:rsidRPr="00E0488D">
              <w:rPr>
                <w:b/>
                <w:sz w:val="22"/>
                <w:szCs w:val="22"/>
                <w:lang w:val="ro-RO" w:eastAsia="en-GB"/>
              </w:rPr>
              <w:t>Durata de viață</w:t>
            </w:r>
          </w:p>
        </w:tc>
        <w:tc>
          <w:tcPr>
            <w:tcW w:w="1011" w:type="dxa"/>
            <w:shd w:val="clear" w:color="auto" w:fill="B8CCE4" w:themeFill="accent1" w:themeFillTint="66"/>
            <w:noWrap/>
            <w:vAlign w:val="center"/>
            <w:hideMark/>
          </w:tcPr>
          <w:p w:rsidR="00B4550A" w:rsidRPr="00E0488D" w:rsidRDefault="00B4550A" w:rsidP="003C7FC8">
            <w:pPr>
              <w:spacing w:before="60" w:after="60"/>
              <w:jc w:val="center"/>
              <w:rPr>
                <w:b/>
                <w:bCs/>
                <w:sz w:val="22"/>
                <w:szCs w:val="22"/>
                <w:lang w:val="ro-RO" w:eastAsia="en-GB"/>
              </w:rPr>
            </w:pPr>
            <w:r w:rsidRPr="00E0488D">
              <w:rPr>
                <w:b/>
                <w:bCs/>
                <w:sz w:val="22"/>
                <w:szCs w:val="22"/>
                <w:lang w:val="ro-RO" w:eastAsia="en-GB"/>
              </w:rPr>
              <w:t>Total</w:t>
            </w:r>
          </w:p>
        </w:tc>
      </w:tr>
      <w:tr w:rsidR="00B4550A" w:rsidRPr="00E0488D" w:rsidTr="003C7FC8">
        <w:trPr>
          <w:trHeight w:val="255"/>
        </w:trPr>
        <w:tc>
          <w:tcPr>
            <w:tcW w:w="1337" w:type="dxa"/>
            <w:shd w:val="clear" w:color="000000" w:fill="FFFFFF"/>
            <w:noWrap/>
            <w:vAlign w:val="center"/>
            <w:hideMark/>
          </w:tcPr>
          <w:p w:rsidR="00B4550A" w:rsidRPr="00E0488D" w:rsidRDefault="00B4550A" w:rsidP="003C7FC8">
            <w:pPr>
              <w:spacing w:before="60" w:after="60"/>
              <w:jc w:val="center"/>
              <w:rPr>
                <w:bCs/>
                <w:sz w:val="22"/>
                <w:szCs w:val="22"/>
                <w:lang w:val="ro-RO" w:eastAsia="en-GB"/>
              </w:rPr>
            </w:pPr>
            <w:r w:rsidRPr="00E0488D">
              <w:rPr>
                <w:bCs/>
                <w:sz w:val="22"/>
                <w:szCs w:val="22"/>
                <w:lang w:val="ro-RO" w:eastAsia="en-GB"/>
              </w:rPr>
              <w:t>2014-2020</w:t>
            </w:r>
          </w:p>
        </w:tc>
        <w:tc>
          <w:tcPr>
            <w:tcW w:w="1486"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6.033,3</w:t>
            </w:r>
          </w:p>
        </w:tc>
        <w:tc>
          <w:tcPr>
            <w:tcW w:w="1713"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36.924,6</w:t>
            </w:r>
          </w:p>
        </w:tc>
        <w:tc>
          <w:tcPr>
            <w:tcW w:w="1073" w:type="dxa"/>
            <w:shd w:val="clear" w:color="000000" w:fill="FFFFFF"/>
            <w:noWrap/>
            <w:vAlign w:val="center"/>
            <w:hideMark/>
          </w:tcPr>
          <w:p w:rsidR="00B4550A" w:rsidRPr="00E0488D" w:rsidRDefault="00B4550A" w:rsidP="003C7FC8">
            <w:pPr>
              <w:spacing w:before="60" w:after="60"/>
              <w:jc w:val="center"/>
              <w:rPr>
                <w:bCs/>
                <w:sz w:val="22"/>
                <w:szCs w:val="22"/>
                <w:lang w:val="ro-RO" w:eastAsia="en-GB"/>
              </w:rPr>
            </w:pPr>
            <w:r w:rsidRPr="00E0488D">
              <w:rPr>
                <w:bCs/>
                <w:sz w:val="22"/>
                <w:szCs w:val="22"/>
                <w:lang w:val="ro-RO" w:eastAsia="en-GB"/>
              </w:rPr>
              <w:t>42.957,9</w:t>
            </w:r>
          </w:p>
        </w:tc>
        <w:tc>
          <w:tcPr>
            <w:tcW w:w="1337"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861,9</w:t>
            </w:r>
          </w:p>
        </w:tc>
        <w:tc>
          <w:tcPr>
            <w:tcW w:w="1842"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5.274,9</w:t>
            </w:r>
          </w:p>
        </w:tc>
        <w:tc>
          <w:tcPr>
            <w:tcW w:w="1011" w:type="dxa"/>
            <w:shd w:val="clear" w:color="000000" w:fill="FFFFFF"/>
            <w:noWrap/>
            <w:vAlign w:val="center"/>
            <w:hideMark/>
          </w:tcPr>
          <w:p w:rsidR="00B4550A" w:rsidRPr="00E0488D" w:rsidRDefault="00B4550A" w:rsidP="003C7FC8">
            <w:pPr>
              <w:spacing w:before="60" w:after="60"/>
              <w:jc w:val="center"/>
              <w:rPr>
                <w:bCs/>
                <w:sz w:val="22"/>
                <w:szCs w:val="22"/>
                <w:lang w:val="ro-RO" w:eastAsia="en-GB"/>
              </w:rPr>
            </w:pPr>
            <w:r w:rsidRPr="00E0488D">
              <w:rPr>
                <w:bCs/>
                <w:sz w:val="22"/>
                <w:szCs w:val="22"/>
                <w:lang w:val="ro-RO" w:eastAsia="en-GB"/>
              </w:rPr>
              <w:t>6.136,8</w:t>
            </w:r>
          </w:p>
        </w:tc>
      </w:tr>
      <w:tr w:rsidR="00B4550A" w:rsidRPr="00E0488D" w:rsidTr="003C7FC8">
        <w:trPr>
          <w:trHeight w:val="255"/>
        </w:trPr>
        <w:tc>
          <w:tcPr>
            <w:tcW w:w="1337" w:type="dxa"/>
            <w:shd w:val="clear" w:color="000000" w:fill="FFFFFF"/>
            <w:noWrap/>
            <w:vAlign w:val="center"/>
            <w:hideMark/>
          </w:tcPr>
          <w:p w:rsidR="00B4550A" w:rsidRPr="00E0488D" w:rsidRDefault="00B4550A" w:rsidP="003C7FC8">
            <w:pPr>
              <w:spacing w:before="60" w:after="60"/>
              <w:jc w:val="center"/>
              <w:rPr>
                <w:bCs/>
                <w:sz w:val="22"/>
                <w:szCs w:val="22"/>
                <w:lang w:val="ro-RO" w:eastAsia="en-GB"/>
              </w:rPr>
            </w:pPr>
            <w:r w:rsidRPr="00E0488D">
              <w:rPr>
                <w:bCs/>
                <w:sz w:val="22"/>
                <w:szCs w:val="22"/>
                <w:lang w:val="ro-RO" w:eastAsia="en-GB"/>
              </w:rPr>
              <w:t>2021-2030</w:t>
            </w:r>
          </w:p>
        </w:tc>
        <w:tc>
          <w:tcPr>
            <w:tcW w:w="1486"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8.260,4</w:t>
            </w:r>
          </w:p>
        </w:tc>
        <w:tc>
          <w:tcPr>
            <w:tcW w:w="1713"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59.113,5</w:t>
            </w:r>
          </w:p>
        </w:tc>
        <w:tc>
          <w:tcPr>
            <w:tcW w:w="1073" w:type="dxa"/>
            <w:shd w:val="clear" w:color="000000" w:fill="FFFFFF"/>
            <w:noWrap/>
            <w:vAlign w:val="center"/>
            <w:hideMark/>
          </w:tcPr>
          <w:p w:rsidR="00B4550A" w:rsidRPr="00E0488D" w:rsidRDefault="00B4550A" w:rsidP="003C7FC8">
            <w:pPr>
              <w:spacing w:before="60" w:after="60"/>
              <w:jc w:val="center"/>
              <w:rPr>
                <w:bCs/>
                <w:sz w:val="22"/>
                <w:szCs w:val="22"/>
                <w:lang w:val="ro-RO" w:eastAsia="en-GB"/>
              </w:rPr>
            </w:pPr>
            <w:r w:rsidRPr="00E0488D">
              <w:rPr>
                <w:bCs/>
                <w:sz w:val="22"/>
                <w:szCs w:val="22"/>
                <w:lang w:val="ro-RO" w:eastAsia="en-GB"/>
              </w:rPr>
              <w:t>67.373,9</w:t>
            </w:r>
          </w:p>
        </w:tc>
        <w:tc>
          <w:tcPr>
            <w:tcW w:w="1337"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826,0</w:t>
            </w:r>
          </w:p>
        </w:tc>
        <w:tc>
          <w:tcPr>
            <w:tcW w:w="1842" w:type="dxa"/>
            <w:shd w:val="clear" w:color="000000" w:fill="FFFFFF"/>
            <w:noWrap/>
            <w:vAlign w:val="center"/>
            <w:hideMark/>
          </w:tcPr>
          <w:p w:rsidR="00B4550A" w:rsidRPr="00E0488D" w:rsidRDefault="00B4550A" w:rsidP="003C7FC8">
            <w:pPr>
              <w:spacing w:before="60" w:after="60"/>
              <w:jc w:val="center"/>
              <w:rPr>
                <w:sz w:val="22"/>
                <w:szCs w:val="22"/>
                <w:lang w:val="ro-RO" w:eastAsia="en-GB"/>
              </w:rPr>
            </w:pPr>
            <w:r w:rsidRPr="00E0488D">
              <w:rPr>
                <w:sz w:val="22"/>
                <w:szCs w:val="22"/>
                <w:lang w:val="ro-RO" w:eastAsia="en-GB"/>
              </w:rPr>
              <w:t>5.911,3</w:t>
            </w:r>
          </w:p>
        </w:tc>
        <w:tc>
          <w:tcPr>
            <w:tcW w:w="1011" w:type="dxa"/>
            <w:shd w:val="clear" w:color="000000" w:fill="FFFFFF"/>
            <w:noWrap/>
            <w:vAlign w:val="center"/>
            <w:hideMark/>
          </w:tcPr>
          <w:p w:rsidR="00B4550A" w:rsidRPr="00E0488D" w:rsidRDefault="00B4550A" w:rsidP="003C7FC8">
            <w:pPr>
              <w:spacing w:before="60" w:after="60"/>
              <w:jc w:val="center"/>
              <w:rPr>
                <w:bCs/>
                <w:sz w:val="22"/>
                <w:szCs w:val="22"/>
                <w:lang w:val="ro-RO" w:eastAsia="en-GB"/>
              </w:rPr>
            </w:pPr>
            <w:r w:rsidRPr="00E0488D">
              <w:rPr>
                <w:bCs/>
                <w:sz w:val="22"/>
                <w:szCs w:val="22"/>
                <w:lang w:val="ro-RO" w:eastAsia="en-GB"/>
              </w:rPr>
              <w:t>6.737,4</w:t>
            </w:r>
          </w:p>
        </w:tc>
      </w:tr>
    </w:tbl>
    <w:p w:rsidR="00B4550A" w:rsidRPr="00E0488D" w:rsidRDefault="00B4550A" w:rsidP="00B4550A">
      <w:pPr>
        <w:spacing w:before="120" w:after="120" w:line="276" w:lineRule="auto"/>
        <w:ind w:left="851"/>
        <w:rPr>
          <w:i/>
          <w:lang w:val="ro-RO"/>
        </w:rPr>
      </w:pPr>
      <w:r w:rsidRPr="00E0488D">
        <w:rPr>
          <w:i/>
          <w:lang w:val="ro-RO"/>
        </w:rPr>
        <w:t>Sursa: AECOM</w:t>
      </w:r>
    </w:p>
    <w:p w:rsidR="00B4550A" w:rsidRPr="00E0488D" w:rsidRDefault="00B4550A" w:rsidP="00B4550A">
      <w:pPr>
        <w:pStyle w:val="Hdg3"/>
      </w:pPr>
      <w:r w:rsidRPr="00E0488D">
        <w:t>Tendințe viitoare</w:t>
      </w:r>
    </w:p>
    <w:p w:rsidR="00B4550A" w:rsidRPr="00E0488D" w:rsidRDefault="00B4550A" w:rsidP="002B7E09">
      <w:pPr>
        <w:pStyle w:val="NumberedParas"/>
      </w:pPr>
      <w:r w:rsidRPr="00E0488D">
        <w:t>Cu toate că transportul rutier este unul dintre cele mai importante moduri de transport călători în România, trebuie luat în considerare și gradul curent de motorizare, precum și felul în care acesta se poate modifica pe viitor, deoarece influențează în mod direct alegerea acestui mod de transport.</w:t>
      </w:r>
    </w:p>
    <w:p w:rsidR="00B4550A" w:rsidRPr="00E0488D" w:rsidRDefault="00B4550A" w:rsidP="002B7E09">
      <w:pPr>
        <w:pStyle w:val="NumberedParas"/>
      </w:pPr>
      <w:r w:rsidRPr="00E0488D">
        <w:t xml:space="preserve">Gradul de motorizare a înregistrat o creștere constantă în România, tendința de creștere pe termen lung fiind în jur de 5% pe an. Această creștere trebuie totuși analizată în context, prin comparație cu gradul de motorizare din restul Europei. Comparația este furnizată în Figura 4.7, valorile pentru România fiind marcate cu roșu.  </w:t>
      </w:r>
    </w:p>
    <w:p w:rsidR="00B4550A" w:rsidRPr="00E0488D" w:rsidRDefault="00B4550A" w:rsidP="00B4550A">
      <w:pPr>
        <w:keepNext/>
        <w:spacing w:before="120" w:after="120" w:line="276" w:lineRule="auto"/>
        <w:ind w:left="851"/>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drawing>
          <wp:inline distT="0" distB="0" distL="0" distR="0">
            <wp:extent cx="5636567" cy="3607640"/>
            <wp:effectExtent l="19050" t="0" r="21283" b="0"/>
            <wp:docPr id="11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B4550A" w:rsidRPr="00E0488D" w:rsidRDefault="00B4550A" w:rsidP="00B4550A">
      <w:pPr>
        <w:spacing w:before="120" w:after="120" w:line="276" w:lineRule="auto"/>
        <w:ind w:left="851"/>
        <w:rPr>
          <w:i/>
          <w:lang w:val="ro-RO"/>
        </w:rPr>
      </w:pPr>
      <w:r w:rsidRPr="00E0488D">
        <w:rPr>
          <w:i/>
          <w:lang w:val="ro-RO"/>
        </w:rPr>
        <w:lastRenderedPageBreak/>
        <w:t xml:space="preserve">Sursa: Analiza AECOM a datelor Eurostat </w:t>
      </w:r>
    </w:p>
    <w:p w:rsidR="00B4550A" w:rsidRPr="00E0488D" w:rsidRDefault="00B4550A" w:rsidP="00B4550A">
      <w:pPr>
        <w:spacing w:before="120" w:after="120" w:line="276" w:lineRule="auto"/>
        <w:ind w:left="851"/>
        <w:rPr>
          <w:i/>
          <w:lang w:val="ro-RO"/>
        </w:rPr>
      </w:pPr>
      <w:r w:rsidRPr="00E0488D">
        <w:rPr>
          <w:b/>
          <w:sz w:val="22"/>
          <w:szCs w:val="22"/>
          <w:lang w:val="ro-RO"/>
        </w:rPr>
        <w:t>Figura 4.7</w:t>
      </w:r>
      <w:r w:rsidRPr="00E0488D">
        <w:rPr>
          <w:b/>
          <w:sz w:val="22"/>
          <w:szCs w:val="22"/>
          <w:lang w:val="ro-RO"/>
        </w:rPr>
        <w:tab/>
        <w:t>Comparația gradului de motorizare pentru țările din UE (2010)</w:t>
      </w:r>
    </w:p>
    <w:p w:rsidR="00B4550A" w:rsidRPr="00E0488D" w:rsidRDefault="00B4550A" w:rsidP="002B7E09">
      <w:pPr>
        <w:pStyle w:val="NumberedParas"/>
      </w:pPr>
      <w:r w:rsidRPr="00E0488D">
        <w:t>În mod evident, gradul de motorizare este relativ scăzut comparativ cu restul țărilor europene. Este rezonabil să estimăm faptul că acesta va crește semnificativ de-a lungul timpului, ceea ce va avea un impact direct asupra posibilității ca transportul rutier să devină modul de transport preferat pentru și mai mulți călători decât în prezent.</w:t>
      </w:r>
    </w:p>
    <w:p w:rsidR="00B4550A" w:rsidRPr="00E0488D" w:rsidRDefault="00B4550A" w:rsidP="002B7E09">
      <w:pPr>
        <w:pStyle w:val="NumberedParas"/>
      </w:pPr>
      <w:r w:rsidRPr="00E0488D">
        <w:rPr>
          <w:rStyle w:val="hps"/>
          <w:rFonts w:cs="Arial"/>
          <w:color w:val="000000" w:themeColor="text1"/>
        </w:rPr>
        <w:t>Sectorul rutier</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cel mai important element</w:t>
      </w:r>
      <w:r w:rsidRPr="00E0488D">
        <w:t xml:space="preserve"> </w:t>
      </w:r>
      <w:r w:rsidRPr="00E0488D">
        <w:rPr>
          <w:rStyle w:val="hps"/>
          <w:rFonts w:cs="Arial"/>
          <w:color w:val="000000" w:themeColor="text1"/>
        </w:rPr>
        <w:t>din sistemul</w:t>
      </w:r>
      <w:r w:rsidRPr="00E0488D">
        <w:t xml:space="preserve"> </w:t>
      </w:r>
      <w:r w:rsidRPr="00E0488D">
        <w:rPr>
          <w:rStyle w:val="hps"/>
          <w:rFonts w:cs="Arial"/>
          <w:color w:val="000000" w:themeColor="text1"/>
        </w:rPr>
        <w:t>de transport</w:t>
      </w:r>
      <w:r w:rsidRPr="00E0488D">
        <w:t xml:space="preserve"> </w:t>
      </w:r>
      <w:r w:rsidRPr="00E0488D">
        <w:rPr>
          <w:rStyle w:val="hps"/>
          <w:rFonts w:cs="Arial"/>
          <w:color w:val="000000" w:themeColor="text1"/>
        </w:rPr>
        <w:t>românesc</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ceea ce privește</w:t>
      </w:r>
      <w:r w:rsidRPr="00E0488D">
        <w:t xml:space="preserve"> </w:t>
      </w:r>
      <w:r w:rsidRPr="00E0488D">
        <w:rPr>
          <w:rStyle w:val="hps"/>
          <w:rFonts w:cs="Arial"/>
          <w:color w:val="000000" w:themeColor="text1"/>
        </w:rPr>
        <w:t>transportul de</w:t>
      </w:r>
      <w:r w:rsidRPr="00E0488D">
        <w:t xml:space="preserve"> </w:t>
      </w:r>
      <w:r w:rsidRPr="00E0488D">
        <w:rPr>
          <w:rStyle w:val="hps"/>
          <w:rFonts w:cs="Arial"/>
          <w:color w:val="000000" w:themeColor="text1"/>
        </w:rPr>
        <w:t>călători și</w:t>
      </w:r>
      <w:r w:rsidRPr="00E0488D">
        <w:t xml:space="preserve"> </w:t>
      </w:r>
      <w:r w:rsidRPr="00E0488D">
        <w:rPr>
          <w:rStyle w:val="hps"/>
          <w:rFonts w:cs="Arial"/>
          <w:color w:val="000000" w:themeColor="text1"/>
        </w:rPr>
        <w:t>de mărfuri. Rețeaua de drumuri</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aproximativ 75</w:t>
      </w:r>
      <w:r w:rsidRPr="00E0488D">
        <w:t xml:space="preserve">% </w:t>
      </w:r>
      <w:r w:rsidRPr="00E0488D">
        <w:rPr>
          <w:rStyle w:val="hps"/>
          <w:rFonts w:cs="Arial"/>
          <w:color w:val="000000" w:themeColor="text1"/>
        </w:rPr>
        <w:t>din totalul</w:t>
      </w:r>
      <w:r w:rsidRPr="00E0488D">
        <w:t xml:space="preserve"> </w:t>
      </w:r>
      <w:r w:rsidRPr="00E0488D">
        <w:rPr>
          <w:rStyle w:val="hps"/>
          <w:rFonts w:cs="Arial"/>
          <w:color w:val="000000" w:themeColor="text1"/>
        </w:rPr>
        <w:t>de pasageri-kilometri și</w:t>
      </w:r>
      <w:r w:rsidRPr="00E0488D">
        <w:t xml:space="preserve"> </w:t>
      </w:r>
      <w:r w:rsidRPr="00E0488D">
        <w:rPr>
          <w:rStyle w:val="hps"/>
          <w:rFonts w:cs="Arial"/>
          <w:color w:val="000000" w:themeColor="text1"/>
        </w:rPr>
        <w:t>aproape</w:t>
      </w:r>
      <w:r w:rsidRPr="00E0488D">
        <w:t xml:space="preserve"> </w:t>
      </w:r>
      <w:r w:rsidRPr="00E0488D">
        <w:rPr>
          <w:rStyle w:val="hps"/>
          <w:rFonts w:cs="Arial"/>
          <w:color w:val="000000" w:themeColor="text1"/>
        </w:rPr>
        <w:t>50</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 xml:space="preserve">total mărfuri-kilometri. </w:t>
      </w:r>
      <w:r w:rsidRPr="00E0488D">
        <w:t>Având în vedere faptul că modelul din Scenariul de Referință se referă la anul de prognoză 2020, creșterea a fost aplicată diverselor matrice de cerere de călătorii care sunt incluse în procesul de modelare. Următorul Tabel 5.6 rezumă matricele de călătorie totale pentru anul de referință 2011 și pentru Scenariul de referință pentru 2020.</w:t>
      </w:r>
    </w:p>
    <w:p w:rsidR="00B4550A" w:rsidRPr="00E0488D" w:rsidRDefault="00B4550A" w:rsidP="002B7E09">
      <w:pPr>
        <w:pStyle w:val="NumberedParas"/>
      </w:pPr>
      <w:r w:rsidRPr="00E0488D">
        <w:t xml:space="preserve">Scenariul de referință reprezintă scenariul modelat care include toate proiectele care dispun de un nivel suficient de angajare pentru a se putea presupune în mod rezonabil că ele vor fi construite până în 2020. Informațiile referitoare la proiectele din scenariul de referință sunt cuprinse în Capitolul 10. </w:t>
      </w:r>
    </w:p>
    <w:p w:rsidR="00B4550A" w:rsidRPr="00E0488D" w:rsidRDefault="00B4550A" w:rsidP="002B7E09">
      <w:pPr>
        <w:pStyle w:val="NumberedParas"/>
      </w:pPr>
      <w:r w:rsidRPr="00E0488D">
        <w:t>Acest lucru denotă faptul că cererea totală de transport rutier este prognozată să crească cu mai puțin de 20%. În termeni absoluți, creșterea numărului de călătorii efectuate cu autovehicule este mai mare dar există și o creștere proporțională în ceea ce privește transportul rutier de marfă.</w:t>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t>Tabelul 4.6</w:t>
      </w:r>
      <w:r w:rsidRPr="00E0488D">
        <w:rPr>
          <w:b/>
          <w:sz w:val="22"/>
          <w:szCs w:val="22"/>
          <w:lang w:val="ro-RO"/>
        </w:rPr>
        <w:tab/>
        <w:t>Număr total călătorii pentru anul de referință 2011 și Scenariul de referință 2020</w:t>
      </w:r>
    </w:p>
    <w:tbl>
      <w:tblPr>
        <w:tblW w:w="9933" w:type="dxa"/>
        <w:tblInd w:w="392" w:type="dxa"/>
        <w:tblLook w:val="04A0" w:firstRow="1" w:lastRow="0" w:firstColumn="1" w:lastColumn="0" w:noHBand="0" w:noVBand="1"/>
      </w:tblPr>
      <w:tblGrid>
        <w:gridCol w:w="1739"/>
        <w:gridCol w:w="1344"/>
        <w:gridCol w:w="1195"/>
        <w:gridCol w:w="840"/>
        <w:gridCol w:w="1195"/>
        <w:gridCol w:w="840"/>
        <w:gridCol w:w="1317"/>
        <w:gridCol w:w="1463"/>
      </w:tblGrid>
      <w:tr w:rsidR="00B4550A" w:rsidRPr="00E0488D" w:rsidTr="003C7FC8">
        <w:trPr>
          <w:trHeight w:val="300"/>
        </w:trPr>
        <w:tc>
          <w:tcPr>
            <w:tcW w:w="1739"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Tipul de autovehicul</w:t>
            </w:r>
          </w:p>
        </w:tc>
        <w:tc>
          <w:tcPr>
            <w:tcW w:w="134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Scopul călătoriei</w:t>
            </w:r>
          </w:p>
        </w:tc>
        <w:tc>
          <w:tcPr>
            <w:tcW w:w="6850" w:type="dxa"/>
            <w:gridSpan w:val="6"/>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rFonts w:cs="Arial"/>
                <w:b/>
                <w:bCs/>
                <w:color w:val="000000"/>
                <w:sz w:val="22"/>
                <w:szCs w:val="22"/>
                <w:lang w:val="ro-RO"/>
              </w:rPr>
              <w:t>Total matrice călătorie</w:t>
            </w:r>
          </w:p>
        </w:tc>
      </w:tr>
      <w:tr w:rsidR="00B4550A" w:rsidRPr="00E0488D" w:rsidTr="003C7FC8">
        <w:trPr>
          <w:trHeight w:val="900"/>
        </w:trPr>
        <w:tc>
          <w:tcPr>
            <w:tcW w:w="1739"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p>
        </w:tc>
        <w:tc>
          <w:tcPr>
            <w:tcW w:w="1344"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p>
        </w:tc>
        <w:tc>
          <w:tcPr>
            <w:tcW w:w="2035" w:type="dxa"/>
            <w:gridSpan w:val="2"/>
            <w:tcBorders>
              <w:top w:val="single" w:sz="4" w:space="0" w:color="auto"/>
              <w:left w:val="nil"/>
              <w:bottom w:val="single" w:sz="4" w:space="0" w:color="auto"/>
              <w:right w:val="single" w:sz="4" w:space="0" w:color="000000"/>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Anul de referință 2011</w:t>
            </w:r>
          </w:p>
        </w:tc>
        <w:tc>
          <w:tcPr>
            <w:tcW w:w="0" w:type="auto"/>
            <w:gridSpan w:val="2"/>
            <w:tcBorders>
              <w:top w:val="single" w:sz="4" w:space="0" w:color="auto"/>
              <w:left w:val="nil"/>
              <w:bottom w:val="single" w:sz="4" w:space="0" w:color="auto"/>
              <w:right w:val="single" w:sz="4" w:space="0" w:color="000000"/>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Scenariul de referință 2020</w:t>
            </w:r>
          </w:p>
        </w:tc>
        <w:tc>
          <w:tcPr>
            <w:tcW w:w="0" w:type="auto"/>
            <w:tcBorders>
              <w:top w:val="nil"/>
              <w:left w:val="nil"/>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Modificare în termeni absoluți</w:t>
            </w:r>
          </w:p>
        </w:tc>
        <w:tc>
          <w:tcPr>
            <w:tcW w:w="0" w:type="auto"/>
            <w:tcBorders>
              <w:top w:val="nil"/>
              <w:left w:val="nil"/>
              <w:bottom w:val="single" w:sz="4" w:space="0" w:color="auto"/>
              <w:right w:val="single" w:sz="4" w:space="0" w:color="auto"/>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Modificare procentuală</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Autoturism</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Afaceri</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282,410</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12.0%</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350,072</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12.9%</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+67,662</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+24.0%</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Autoturism</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Navetă</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780,498</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33.1%</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757,071</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27.9%</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-23,427</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-3.0%</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Autoturism</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Afaceri personale</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1,056,692</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44.9%</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1,309,886</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48.3%</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+253,194</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+24.0%</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Autoturism</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Vacanță</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236,231</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10.0%</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295,534</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10.9%</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+59,303</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+25.1%</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color w:val="000000"/>
                <w:sz w:val="22"/>
                <w:szCs w:val="22"/>
                <w:lang w:val="ro-RO"/>
              </w:rPr>
              <w:t>Autoturism</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Total</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2,355,831</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keepNext/>
              <w:spacing w:before="60" w:after="60"/>
              <w:jc w:val="center"/>
              <w:rPr>
                <w:b/>
                <w:color w:val="000000"/>
                <w:sz w:val="22"/>
                <w:szCs w:val="22"/>
                <w:highlight w:val="yellow"/>
                <w:lang w:val="ro-RO"/>
              </w:rPr>
            </w:pPr>
            <w:r w:rsidRPr="00E0488D">
              <w:rPr>
                <w:rFonts w:ascii="Calibri" w:hAnsi="Calibri"/>
                <w:color w:val="000000"/>
                <w:sz w:val="22"/>
                <w:szCs w:val="22"/>
                <w:lang w:val="ro-RO"/>
              </w:rPr>
              <w:t> </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2,712,563</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keepNext/>
              <w:spacing w:before="60" w:after="60"/>
              <w:jc w:val="center"/>
              <w:rPr>
                <w:b/>
                <w:color w:val="000000"/>
                <w:sz w:val="22"/>
                <w:szCs w:val="22"/>
                <w:highlight w:val="yellow"/>
                <w:lang w:val="ro-RO"/>
              </w:rPr>
            </w:pPr>
            <w:r w:rsidRPr="00E0488D">
              <w:rPr>
                <w:rFonts w:ascii="Calibri" w:hAnsi="Calibri"/>
                <w:color w:val="000000"/>
                <w:sz w:val="22"/>
                <w:szCs w:val="22"/>
                <w:lang w:val="ro-RO"/>
              </w:rPr>
              <w:t> </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+356,732</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+15.1%</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Transport marfă</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Total</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582,982</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keepNext/>
              <w:spacing w:before="60" w:after="60"/>
              <w:jc w:val="center"/>
              <w:rPr>
                <w:b/>
                <w:color w:val="000000"/>
                <w:sz w:val="22"/>
                <w:szCs w:val="22"/>
                <w:highlight w:val="yellow"/>
                <w:lang w:val="ro-RO"/>
              </w:rPr>
            </w:pPr>
            <w:r w:rsidRPr="00E0488D">
              <w:rPr>
                <w:rFonts w:ascii="Calibri" w:hAnsi="Calibri"/>
                <w:color w:val="000000"/>
                <w:sz w:val="22"/>
                <w:szCs w:val="22"/>
                <w:lang w:val="ro-RO"/>
              </w:rPr>
              <w:t> </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762,913</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keepNext/>
              <w:spacing w:before="60" w:after="60"/>
              <w:jc w:val="center"/>
              <w:rPr>
                <w:b/>
                <w:color w:val="000000"/>
                <w:sz w:val="22"/>
                <w:szCs w:val="22"/>
                <w:highlight w:val="yellow"/>
                <w:lang w:val="ro-RO"/>
              </w:rPr>
            </w:pPr>
            <w:r w:rsidRPr="00E0488D">
              <w:rPr>
                <w:rFonts w:ascii="Calibri" w:hAnsi="Calibri"/>
                <w:color w:val="000000"/>
                <w:sz w:val="22"/>
                <w:szCs w:val="22"/>
                <w:lang w:val="ro-RO"/>
              </w:rPr>
              <w:t> </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+179,931</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+30.9%</w:t>
            </w:r>
          </w:p>
        </w:tc>
      </w:tr>
      <w:tr w:rsidR="00B4550A" w:rsidRPr="00E0488D" w:rsidTr="003C7FC8">
        <w:trPr>
          <w:trHeight w:val="340"/>
        </w:trPr>
        <w:tc>
          <w:tcPr>
            <w:tcW w:w="1739"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Toate</w:t>
            </w:r>
          </w:p>
        </w:tc>
        <w:tc>
          <w:tcPr>
            <w:tcW w:w="1344"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Total</w:t>
            </w:r>
          </w:p>
        </w:tc>
        <w:tc>
          <w:tcPr>
            <w:tcW w:w="1195" w:type="dxa"/>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2,938,813</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keepNext/>
              <w:spacing w:before="60" w:after="60"/>
              <w:jc w:val="center"/>
              <w:rPr>
                <w:b/>
                <w:color w:val="000000"/>
                <w:sz w:val="22"/>
                <w:szCs w:val="22"/>
                <w:highlight w:val="yellow"/>
                <w:lang w:val="ro-RO"/>
              </w:rPr>
            </w:pPr>
            <w:r w:rsidRPr="00E0488D">
              <w:rPr>
                <w:rFonts w:ascii="Calibri" w:hAnsi="Calibri"/>
                <w:color w:val="000000"/>
                <w:sz w:val="22"/>
                <w:szCs w:val="22"/>
                <w:lang w:val="ro-RO"/>
              </w:rPr>
              <w:t> </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3,475,476</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keepNext/>
              <w:spacing w:before="60" w:after="60"/>
              <w:jc w:val="center"/>
              <w:rPr>
                <w:b/>
                <w:color w:val="000000"/>
                <w:sz w:val="22"/>
                <w:szCs w:val="22"/>
                <w:highlight w:val="yellow"/>
                <w:lang w:val="ro-RO"/>
              </w:rPr>
            </w:pPr>
            <w:r w:rsidRPr="00E0488D">
              <w:rPr>
                <w:rFonts w:ascii="Calibri" w:hAnsi="Calibri"/>
                <w:color w:val="000000"/>
                <w:sz w:val="22"/>
                <w:szCs w:val="22"/>
                <w:lang w:val="ro-RO"/>
              </w:rPr>
              <w:t> </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+536,663</w:t>
            </w:r>
          </w:p>
        </w:tc>
        <w:tc>
          <w:tcPr>
            <w:tcW w:w="0" w:type="auto"/>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b/>
                <w:color w:val="000000"/>
                <w:sz w:val="22"/>
                <w:szCs w:val="22"/>
                <w:lang w:val="ro-RO"/>
              </w:rPr>
            </w:pPr>
            <w:r w:rsidRPr="00E0488D">
              <w:rPr>
                <w:rFonts w:cs="Arial"/>
                <w:b/>
                <w:bCs/>
                <w:color w:val="000000"/>
                <w:sz w:val="22"/>
                <w:szCs w:val="22"/>
                <w:lang w:val="ro-RO"/>
              </w:rPr>
              <w:t>+18.3%</w:t>
            </w:r>
          </w:p>
        </w:tc>
      </w:tr>
    </w:tbl>
    <w:p w:rsidR="00B4550A" w:rsidRPr="00E0488D" w:rsidRDefault="00B4550A" w:rsidP="00B4550A">
      <w:pPr>
        <w:spacing w:before="120" w:after="120" w:line="276" w:lineRule="auto"/>
        <w:ind w:left="851"/>
        <w:rPr>
          <w:i/>
          <w:lang w:val="ro-RO"/>
        </w:rPr>
      </w:pPr>
      <w:r w:rsidRPr="00E0488D">
        <w:rPr>
          <w:i/>
          <w:lang w:val="ro-RO"/>
        </w:rPr>
        <w:t xml:space="preserve">Sursa: Modelul Național de Transport elaborat de către AECOM </w:t>
      </w:r>
    </w:p>
    <w:p w:rsidR="00B4550A" w:rsidRPr="00E0488D" w:rsidRDefault="00B4550A" w:rsidP="002B7E09">
      <w:pPr>
        <w:pStyle w:val="NumberedParas"/>
      </w:pPr>
      <w:r w:rsidRPr="00E0488D">
        <w:t xml:space="preserve">În secțiunile următoare, sunt prezentate rezultatele modelului pentru Scenariul de Referință cu anul de referință la echivalentul din anul de referință 2011. </w:t>
      </w:r>
    </w:p>
    <w:p w:rsidR="00B4550A" w:rsidRPr="00E0488D" w:rsidRDefault="00B4550A" w:rsidP="002B7E09">
      <w:pPr>
        <w:pStyle w:val="NumberedParas"/>
      </w:pPr>
      <w:r w:rsidRPr="00E0488D">
        <w:t>Tabelele 4.7 – 4.9 arată modificările prognozate de model în termeni de vehicule-km, vehicule-ore și viteza medie pentru călătoriile cu autoturismul.</w:t>
      </w:r>
    </w:p>
    <w:p w:rsidR="0030066D" w:rsidRDefault="0030066D">
      <w:pPr>
        <w:rPr>
          <w:b/>
          <w:sz w:val="22"/>
          <w:szCs w:val="22"/>
          <w:lang w:val="ro-RO"/>
        </w:rPr>
      </w:pPr>
      <w:r>
        <w:rPr>
          <w:b/>
          <w:sz w:val="22"/>
          <w:szCs w:val="22"/>
          <w:lang w:val="ro-RO"/>
        </w:rPr>
        <w:br w:type="page"/>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lastRenderedPageBreak/>
        <w:t>Tabelul 4.7</w:t>
      </w:r>
      <w:r w:rsidRPr="00E0488D">
        <w:rPr>
          <w:b/>
          <w:sz w:val="22"/>
          <w:szCs w:val="22"/>
          <w:lang w:val="ro-RO"/>
        </w:rPr>
        <w:tab/>
        <w:t>Vehicule-km (autoturisme) – Anul de referință 2011 și Scenariul de referință 2020</w:t>
      </w:r>
    </w:p>
    <w:tbl>
      <w:tblPr>
        <w:tblW w:w="8896"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838"/>
      </w:tblGrid>
      <w:tr w:rsidR="00B4550A" w:rsidRPr="00E0488D" w:rsidTr="003C7FC8">
        <w:tc>
          <w:tcPr>
            <w:tcW w:w="1843" w:type="dxa"/>
            <w:vMerge w:val="restart"/>
            <w:shd w:val="clear" w:color="auto" w:fill="DBE5F1" w:themeFill="accent1" w:themeFillTint="33"/>
            <w:vAlign w:val="center"/>
          </w:tcPr>
          <w:p w:rsidR="00B4550A" w:rsidRPr="00E0488D" w:rsidRDefault="00B4550A" w:rsidP="003C7FC8">
            <w:pPr>
              <w:rPr>
                <w:b/>
                <w:sz w:val="22"/>
                <w:szCs w:val="22"/>
                <w:lang w:val="ro-RO"/>
              </w:rPr>
            </w:pPr>
            <w:r w:rsidRPr="00E0488D">
              <w:rPr>
                <w:b/>
                <w:sz w:val="22"/>
                <w:szCs w:val="22"/>
                <w:lang w:val="ro-RO"/>
              </w:rPr>
              <w:t>Categoria de drum</w:t>
            </w:r>
          </w:p>
        </w:tc>
        <w:tc>
          <w:tcPr>
            <w:tcW w:w="7053" w:type="dxa"/>
            <w:gridSpan w:val="4"/>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Vehicul-km – Autoturisme</w:t>
            </w:r>
          </w:p>
        </w:tc>
      </w:tr>
      <w:tr w:rsidR="00B4550A" w:rsidRPr="00E0488D" w:rsidTr="003C7FC8">
        <w:tc>
          <w:tcPr>
            <w:tcW w:w="1843" w:type="dxa"/>
            <w:vMerge/>
            <w:shd w:val="clear" w:color="auto" w:fill="DBE5F1" w:themeFill="accent1" w:themeFillTint="33"/>
            <w:vAlign w:val="center"/>
          </w:tcPr>
          <w:p w:rsidR="00B4550A" w:rsidRPr="00E0488D" w:rsidRDefault="00B4550A" w:rsidP="003C7FC8">
            <w:pPr>
              <w:rPr>
                <w:b/>
                <w:sz w:val="22"/>
                <w:szCs w:val="22"/>
                <w:lang w:val="ro-RO"/>
              </w:rPr>
            </w:pPr>
          </w:p>
        </w:tc>
        <w:tc>
          <w:tcPr>
            <w:tcW w:w="1738" w:type="dxa"/>
            <w:shd w:val="clear" w:color="auto" w:fill="DBE5F1" w:themeFill="accent1" w:themeFillTint="33"/>
            <w:vAlign w:val="center"/>
          </w:tcPr>
          <w:p w:rsidR="00B4550A" w:rsidRPr="00E0488D" w:rsidRDefault="00B4550A" w:rsidP="003C7FC8">
            <w:pPr>
              <w:jc w:val="center"/>
              <w:rPr>
                <w:b/>
                <w:bCs/>
                <w:sz w:val="22"/>
                <w:szCs w:val="22"/>
                <w:lang w:val="ro-RO"/>
              </w:rPr>
            </w:pPr>
            <w:r w:rsidRPr="00E0488D">
              <w:rPr>
                <w:b/>
                <w:bCs/>
                <w:color w:val="000000"/>
                <w:sz w:val="22"/>
                <w:szCs w:val="22"/>
                <w:lang w:val="ro-RO"/>
              </w:rPr>
              <w:t>Anul de referință 2011</w:t>
            </w:r>
          </w:p>
        </w:tc>
        <w:tc>
          <w:tcPr>
            <w:tcW w:w="1739" w:type="dxa"/>
            <w:shd w:val="clear" w:color="auto" w:fill="DBE5F1" w:themeFill="accent1" w:themeFillTint="33"/>
            <w:vAlign w:val="center"/>
          </w:tcPr>
          <w:p w:rsidR="00B4550A" w:rsidRPr="00E0488D" w:rsidRDefault="00B4550A" w:rsidP="003C7FC8">
            <w:pPr>
              <w:jc w:val="center"/>
              <w:rPr>
                <w:b/>
                <w:bCs/>
                <w:sz w:val="22"/>
                <w:szCs w:val="22"/>
                <w:lang w:val="ro-RO"/>
              </w:rPr>
            </w:pPr>
            <w:r w:rsidRPr="00E0488D">
              <w:rPr>
                <w:b/>
                <w:bCs/>
                <w:color w:val="000000"/>
                <w:sz w:val="22"/>
                <w:szCs w:val="22"/>
                <w:lang w:val="ro-RO"/>
              </w:rPr>
              <w:t>Scenariul de referință 2020</w:t>
            </w:r>
          </w:p>
        </w:tc>
        <w:tc>
          <w:tcPr>
            <w:tcW w:w="1738" w:type="dxa"/>
            <w:shd w:val="clear" w:color="auto" w:fill="DBE5F1" w:themeFill="accent1" w:themeFillTint="33"/>
            <w:vAlign w:val="center"/>
          </w:tcPr>
          <w:p w:rsidR="00B4550A" w:rsidRPr="00E0488D" w:rsidRDefault="00B4550A" w:rsidP="003C7FC8">
            <w:pPr>
              <w:jc w:val="center"/>
              <w:rPr>
                <w:b/>
                <w:bCs/>
                <w:sz w:val="22"/>
                <w:szCs w:val="22"/>
                <w:lang w:val="ro-RO"/>
              </w:rPr>
            </w:pPr>
            <w:r w:rsidRPr="00E0488D">
              <w:rPr>
                <w:b/>
                <w:bCs/>
                <w:color w:val="000000"/>
                <w:sz w:val="22"/>
                <w:szCs w:val="22"/>
                <w:lang w:val="ro-RO"/>
              </w:rPr>
              <w:t>Modificare în termeni absoluți</w:t>
            </w:r>
          </w:p>
        </w:tc>
        <w:tc>
          <w:tcPr>
            <w:tcW w:w="1838" w:type="dxa"/>
            <w:shd w:val="clear" w:color="auto" w:fill="DBE5F1" w:themeFill="accent1" w:themeFillTint="33"/>
            <w:vAlign w:val="center"/>
          </w:tcPr>
          <w:p w:rsidR="00B4550A" w:rsidRPr="00E0488D" w:rsidRDefault="00B4550A" w:rsidP="003C7FC8">
            <w:pPr>
              <w:jc w:val="center"/>
              <w:rPr>
                <w:b/>
                <w:bCs/>
                <w:sz w:val="22"/>
                <w:szCs w:val="22"/>
                <w:lang w:val="ro-RO"/>
              </w:rPr>
            </w:pPr>
            <w:r w:rsidRPr="00E0488D">
              <w:rPr>
                <w:b/>
                <w:bCs/>
                <w:color w:val="000000"/>
                <w:sz w:val="22"/>
                <w:szCs w:val="22"/>
                <w:lang w:val="ro-RO"/>
              </w:rPr>
              <w:t>Modificare în procente</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Autostradă</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5,221,090</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16,547,260</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+11,326,170</w:t>
            </w:r>
          </w:p>
        </w:tc>
        <w:tc>
          <w:tcPr>
            <w:tcW w:w="18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+216.9%</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național</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50,464,502</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66,597,842</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+16,133,340</w:t>
            </w:r>
          </w:p>
        </w:tc>
        <w:tc>
          <w:tcPr>
            <w:tcW w:w="18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+32.0%</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județean</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8,235,621</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9,816,889</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+1,581,269</w:t>
            </w:r>
          </w:p>
        </w:tc>
        <w:tc>
          <w:tcPr>
            <w:tcW w:w="18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+19.2%</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local</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2,399,483</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2,764,667</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+365,184</w:t>
            </w:r>
          </w:p>
        </w:tc>
        <w:tc>
          <w:tcPr>
            <w:tcW w:w="18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+15.2%</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Toate călătoriile</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66,320,696</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95,726,658</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+29,405,962</w:t>
            </w:r>
          </w:p>
        </w:tc>
        <w:tc>
          <w:tcPr>
            <w:tcW w:w="18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+44.3%</w:t>
            </w:r>
          </w:p>
        </w:tc>
      </w:tr>
    </w:tbl>
    <w:p w:rsidR="00B4550A" w:rsidRPr="00E0488D" w:rsidRDefault="00B4550A" w:rsidP="00B4550A">
      <w:pPr>
        <w:spacing w:before="120" w:after="120" w:line="276" w:lineRule="auto"/>
        <w:ind w:left="851"/>
        <w:rPr>
          <w:i/>
          <w:lang w:val="ro-RO"/>
        </w:rPr>
      </w:pPr>
      <w:r w:rsidRPr="00E0488D">
        <w:rPr>
          <w:i/>
          <w:lang w:val="ro-RO"/>
        </w:rPr>
        <w:t xml:space="preserve">Sursa: Modelul Național de Transport elaborat de către AECOM </w:t>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t>Tabelul 4.8</w:t>
      </w:r>
      <w:r w:rsidRPr="00E0488D">
        <w:rPr>
          <w:b/>
          <w:sz w:val="22"/>
          <w:szCs w:val="22"/>
          <w:lang w:val="ro-RO"/>
        </w:rPr>
        <w:tab/>
        <w:t>Vehicule-ore (autoturisme) – Anul de referință 2011 și Scenariul de referință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B4550A" w:rsidRPr="00E0488D" w:rsidTr="003C7FC8">
        <w:tc>
          <w:tcPr>
            <w:tcW w:w="1843" w:type="dxa"/>
            <w:vMerge w:val="restart"/>
            <w:shd w:val="clear" w:color="auto" w:fill="DBE5F1" w:themeFill="accent1" w:themeFillTint="33"/>
            <w:vAlign w:val="center"/>
          </w:tcPr>
          <w:p w:rsidR="00B4550A" w:rsidRPr="00E0488D" w:rsidRDefault="00B4550A" w:rsidP="003C7FC8">
            <w:pPr>
              <w:rPr>
                <w:b/>
                <w:sz w:val="22"/>
                <w:szCs w:val="22"/>
                <w:lang w:val="ro-RO"/>
              </w:rPr>
            </w:pPr>
            <w:r w:rsidRPr="00E0488D">
              <w:rPr>
                <w:b/>
                <w:sz w:val="22"/>
                <w:szCs w:val="22"/>
                <w:lang w:val="ro-RO"/>
              </w:rPr>
              <w:t>Categoria de drum</w:t>
            </w:r>
          </w:p>
        </w:tc>
        <w:tc>
          <w:tcPr>
            <w:tcW w:w="6766" w:type="dxa"/>
            <w:gridSpan w:val="4"/>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Vehicul-ore – Autoturisme</w:t>
            </w:r>
          </w:p>
        </w:tc>
      </w:tr>
      <w:tr w:rsidR="00B4550A" w:rsidRPr="00E0488D" w:rsidTr="003C7FC8">
        <w:trPr>
          <w:trHeight w:val="670"/>
        </w:trPr>
        <w:tc>
          <w:tcPr>
            <w:tcW w:w="1843" w:type="dxa"/>
            <w:vMerge/>
            <w:shd w:val="clear" w:color="auto" w:fill="DBE5F1" w:themeFill="accent1" w:themeFillTint="33"/>
            <w:vAlign w:val="center"/>
          </w:tcPr>
          <w:p w:rsidR="00B4550A" w:rsidRPr="00E0488D" w:rsidRDefault="00B4550A" w:rsidP="003C7FC8">
            <w:pPr>
              <w:rPr>
                <w:b/>
                <w:sz w:val="22"/>
                <w:szCs w:val="22"/>
                <w:lang w:val="ro-RO"/>
              </w:rPr>
            </w:pPr>
          </w:p>
        </w:tc>
        <w:tc>
          <w:tcPr>
            <w:tcW w:w="1738"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39"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Scenariul de referință 2020</w:t>
            </w:r>
          </w:p>
        </w:tc>
        <w:tc>
          <w:tcPr>
            <w:tcW w:w="1738"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Modificare în termeni absoluți</w:t>
            </w:r>
          </w:p>
        </w:tc>
        <w:tc>
          <w:tcPr>
            <w:tcW w:w="1551"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Modificare în procente</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Autostradă</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42,449</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130,728</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+88,279</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+208.0%</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național</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776,878</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1,045,929</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+269,050</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+34.6%</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județean</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181,060</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215,950</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+34,890</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+19.3%</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Local</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74,264</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86,166</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+11,902</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+16.0%</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Toate călătoriile</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1,074,651</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1,478,773</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+404,122</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+37.6%</w:t>
            </w:r>
          </w:p>
        </w:tc>
      </w:tr>
    </w:tbl>
    <w:p w:rsidR="00B4550A" w:rsidRPr="00E0488D" w:rsidRDefault="00B4550A" w:rsidP="00B4550A">
      <w:pPr>
        <w:spacing w:before="120" w:after="120" w:line="276" w:lineRule="auto"/>
        <w:ind w:left="851"/>
        <w:rPr>
          <w:i/>
          <w:lang w:val="ro-RO"/>
        </w:rPr>
      </w:pPr>
      <w:r w:rsidRPr="00E0488D">
        <w:rPr>
          <w:i/>
          <w:lang w:val="ro-RO"/>
        </w:rPr>
        <w:t xml:space="preserve">Sursa: Modelul Național de Transport elaborat de către AECOM </w:t>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t>Tabelul 4.9</w:t>
      </w:r>
      <w:r w:rsidRPr="00E0488D">
        <w:rPr>
          <w:b/>
          <w:sz w:val="22"/>
          <w:szCs w:val="22"/>
          <w:lang w:val="ro-RO"/>
        </w:rPr>
        <w:tab/>
        <w:t xml:space="preserve">Viteza vehiculelor (autoturisme) – Anul de referință 2011 și Scenariul de referință 2020 </w:t>
      </w:r>
    </w:p>
    <w:tbl>
      <w:tblPr>
        <w:tblW w:w="8520" w:type="dxa"/>
        <w:tblInd w:w="851" w:type="dxa"/>
        <w:tblLook w:val="04A0" w:firstRow="1" w:lastRow="0" w:firstColumn="1" w:lastColumn="0" w:noHBand="0" w:noVBand="1"/>
      </w:tblPr>
      <w:tblGrid>
        <w:gridCol w:w="1720"/>
        <w:gridCol w:w="1700"/>
        <w:gridCol w:w="1700"/>
        <w:gridCol w:w="1700"/>
        <w:gridCol w:w="1700"/>
      </w:tblGrid>
      <w:tr w:rsidR="00B4550A" w:rsidRPr="00E0488D" w:rsidTr="003C7FC8">
        <w:trPr>
          <w:cantSplit/>
          <w:trHeight w:val="300"/>
        </w:trPr>
        <w:tc>
          <w:tcPr>
            <w:tcW w:w="1720" w:type="dxa"/>
            <w:vMerge w:val="restart"/>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hideMark/>
          </w:tcPr>
          <w:p w:rsidR="00B4550A" w:rsidRPr="00E0488D" w:rsidRDefault="00B4550A" w:rsidP="003C7FC8">
            <w:pPr>
              <w:keepNext/>
              <w:spacing w:before="60" w:after="60"/>
              <w:rPr>
                <w:b/>
                <w:bCs/>
                <w:color w:val="000000"/>
                <w:sz w:val="22"/>
                <w:szCs w:val="22"/>
                <w:lang w:val="ro-RO"/>
              </w:rPr>
            </w:pPr>
            <w:r w:rsidRPr="00E0488D">
              <w:rPr>
                <w:b/>
                <w:bCs/>
                <w:color w:val="000000"/>
                <w:sz w:val="22"/>
                <w:szCs w:val="22"/>
                <w:lang w:val="ro-RO"/>
              </w:rPr>
              <w:t>Categoria de drum</w:t>
            </w:r>
          </w:p>
        </w:tc>
        <w:tc>
          <w:tcPr>
            <w:tcW w:w="6800" w:type="dxa"/>
            <w:gridSpan w:val="4"/>
            <w:tcBorders>
              <w:top w:val="single" w:sz="8" w:space="0" w:color="auto"/>
              <w:left w:val="nil"/>
              <w:bottom w:val="single" w:sz="8" w:space="0" w:color="auto"/>
              <w:right w:val="single" w:sz="8" w:space="0" w:color="000000"/>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Viteza medie – Autoturisme</w:t>
            </w:r>
          </w:p>
        </w:tc>
      </w:tr>
      <w:tr w:rsidR="00B4550A" w:rsidRPr="00E0488D" w:rsidTr="003C7FC8">
        <w:trPr>
          <w:cantSplit/>
          <w:trHeight w:val="564"/>
        </w:trPr>
        <w:tc>
          <w:tcPr>
            <w:tcW w:w="1720" w:type="dxa"/>
            <w:vMerge/>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hideMark/>
          </w:tcPr>
          <w:p w:rsidR="00B4550A" w:rsidRPr="00E0488D" w:rsidRDefault="00B4550A" w:rsidP="003C7FC8">
            <w:pPr>
              <w:keepNext/>
              <w:spacing w:before="60" w:after="60"/>
              <w:rPr>
                <w:b/>
                <w:bCs/>
                <w:color w:val="000000"/>
                <w:sz w:val="22"/>
                <w:szCs w:val="22"/>
                <w:lang w:val="ro-RO"/>
              </w:rPr>
            </w:pP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Scenariul de referință 2020</w:t>
            </w: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Modificare în termeni absoluți</w:t>
            </w: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Modificare în procente</w:t>
            </w:r>
          </w:p>
        </w:tc>
      </w:tr>
      <w:tr w:rsidR="00B4550A" w:rsidRPr="00E0488D" w:rsidTr="003C7FC8">
        <w:trPr>
          <w:cantSplit/>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Autostradă</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123.0</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126.6</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+3.6</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+2.9%</w:t>
            </w:r>
          </w:p>
        </w:tc>
      </w:tr>
      <w:tr w:rsidR="00B4550A" w:rsidRPr="00E0488D" w:rsidTr="003C7FC8">
        <w:trPr>
          <w:cantSplit/>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Drum național</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65.0</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63.7</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-2.0%</w:t>
            </w:r>
          </w:p>
        </w:tc>
      </w:tr>
      <w:tr w:rsidR="00B4550A" w:rsidRPr="00E0488D" w:rsidTr="003C7FC8">
        <w:trPr>
          <w:cantSplit/>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Drum județean</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45.5</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45.5</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-0.0</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-0.1%</w:t>
            </w:r>
          </w:p>
        </w:tc>
      </w:tr>
      <w:tr w:rsidR="00B4550A" w:rsidRPr="00E0488D" w:rsidTr="003C7FC8">
        <w:trPr>
          <w:cantSplit/>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Local</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32.3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32.1</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-0.2</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-0.7%</w:t>
            </w:r>
          </w:p>
        </w:tc>
      </w:tr>
    </w:tbl>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2B7E09">
      <w:pPr>
        <w:pStyle w:val="NumberedParas"/>
      </w:pPr>
      <w:r w:rsidRPr="00E0488D">
        <w:t>Creșterea cu 44% a numărului de vehicule-km față de o creștere cu doar 15% a numărului de deplasări arată faptul că deplasările se desfășoară pe distanțe mai mari, urmare a creșterii gradului de accesibilitate și a îmbunătățirii condițiilor tehnice ale rețelei de drumuri. Creșterea mai redusă a numărului de vehicule-ore, în comparație cu numărul de vehicule-km arată, de asemenea, creșterea vitezelor medii de circulație, ca și consecință a proiectelor din Scenariul de Referință.</w:t>
      </w:r>
    </w:p>
    <w:p w:rsidR="00B4550A" w:rsidRPr="00E0488D" w:rsidRDefault="00B4550A" w:rsidP="002B7E09">
      <w:pPr>
        <w:pStyle w:val="NumberedParas"/>
      </w:pPr>
      <w:r w:rsidRPr="00E0488D">
        <w:t xml:space="preserve">Figura 4.8 indică impactul Scenariului de referință potrivit prognozelor modelului național de transport,  prin comparație cu anul de referință pentru autoturisme, aplicat indicatorilor în discuție de mai sus. </w:t>
      </w:r>
    </w:p>
    <w:p w:rsidR="00B4550A" w:rsidRPr="00E0488D" w:rsidRDefault="00B4550A" w:rsidP="00B4550A">
      <w:pPr>
        <w:spacing w:before="120" w:after="120" w:line="276" w:lineRule="auto"/>
        <w:ind w:left="851"/>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lastRenderedPageBreak/>
        <w:drawing>
          <wp:inline distT="0" distB="0" distL="0" distR="0">
            <wp:extent cx="5787006" cy="3889243"/>
            <wp:effectExtent l="19050" t="0" r="23244" b="0"/>
            <wp:docPr id="1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B4550A">
      <w:pPr>
        <w:spacing w:before="120" w:after="120" w:line="276" w:lineRule="auto"/>
        <w:ind w:left="851"/>
        <w:rPr>
          <w:i/>
          <w:sz w:val="22"/>
          <w:szCs w:val="22"/>
          <w:lang w:val="ro-RO"/>
        </w:rPr>
      </w:pPr>
      <w:r w:rsidRPr="00E0488D">
        <w:rPr>
          <w:b/>
          <w:sz w:val="22"/>
          <w:szCs w:val="22"/>
          <w:lang w:val="ro-RO"/>
        </w:rPr>
        <w:t>Figura 4.8</w:t>
      </w:r>
      <w:r w:rsidRPr="00E0488D">
        <w:rPr>
          <w:b/>
          <w:sz w:val="22"/>
          <w:szCs w:val="22"/>
          <w:lang w:val="ro-RO"/>
        </w:rPr>
        <w:tab/>
        <w:t>Comparație an de referință – scenariu de referință (2020) – autoturisme</w:t>
      </w:r>
    </w:p>
    <w:p w:rsidR="00B4550A" w:rsidRPr="00E0488D" w:rsidRDefault="00B4550A" w:rsidP="002B7E09">
      <w:pPr>
        <w:pStyle w:val="NumberedParas"/>
      </w:pPr>
      <w:r w:rsidRPr="00E0488D">
        <w:t>Tabelele 4.10 – 4.12 prezintă modificările prognozate de model în termeni de vehicul-km, vehicul-ore și viteza medie pentru toate transporturile de marfă.</w:t>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t>Tabelul 4.10</w:t>
      </w:r>
      <w:r w:rsidRPr="00E0488D">
        <w:rPr>
          <w:b/>
          <w:sz w:val="22"/>
          <w:szCs w:val="22"/>
          <w:lang w:val="ro-RO"/>
        </w:rPr>
        <w:tab/>
        <w:t>Vehicule-km (mărfuri) – Anul de referință 2011 și Scenariul de referință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B4550A" w:rsidRPr="00E0488D" w:rsidTr="003C7FC8">
        <w:tc>
          <w:tcPr>
            <w:tcW w:w="1843" w:type="dxa"/>
            <w:vMerge w:val="restart"/>
            <w:shd w:val="clear" w:color="auto" w:fill="DBE5F1" w:themeFill="accent1" w:themeFillTint="33"/>
            <w:vAlign w:val="center"/>
          </w:tcPr>
          <w:p w:rsidR="00B4550A" w:rsidRPr="00E0488D" w:rsidRDefault="00B4550A" w:rsidP="003C7FC8">
            <w:pPr>
              <w:keepNext/>
              <w:spacing w:before="60" w:after="60"/>
              <w:rPr>
                <w:b/>
                <w:sz w:val="22"/>
                <w:szCs w:val="22"/>
                <w:lang w:val="ro-RO"/>
              </w:rPr>
            </w:pPr>
            <w:r w:rsidRPr="00E0488D">
              <w:rPr>
                <w:b/>
                <w:sz w:val="22"/>
                <w:szCs w:val="22"/>
                <w:lang w:val="ro-RO"/>
              </w:rPr>
              <w:t>Categoria de drum</w:t>
            </w:r>
          </w:p>
        </w:tc>
        <w:tc>
          <w:tcPr>
            <w:tcW w:w="6766" w:type="dxa"/>
            <w:gridSpan w:val="4"/>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Vehicule-km (mărfuri)</w:t>
            </w:r>
          </w:p>
        </w:tc>
      </w:tr>
      <w:tr w:rsidR="00B4550A" w:rsidRPr="00E0488D" w:rsidTr="003C7FC8">
        <w:tc>
          <w:tcPr>
            <w:tcW w:w="1843" w:type="dxa"/>
            <w:vMerge/>
            <w:shd w:val="clear" w:color="auto" w:fill="DBE5F1" w:themeFill="accent1" w:themeFillTint="33"/>
            <w:vAlign w:val="center"/>
          </w:tcPr>
          <w:p w:rsidR="00B4550A" w:rsidRPr="00E0488D" w:rsidRDefault="00B4550A" w:rsidP="003C7FC8">
            <w:pPr>
              <w:keepNext/>
              <w:spacing w:before="60" w:after="60"/>
              <w:rPr>
                <w:b/>
                <w:sz w:val="22"/>
                <w:szCs w:val="22"/>
                <w:lang w:val="ro-RO"/>
              </w:rPr>
            </w:pPr>
          </w:p>
        </w:tc>
        <w:tc>
          <w:tcPr>
            <w:tcW w:w="1738"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39"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Scenariul de referință 2020</w:t>
            </w:r>
          </w:p>
        </w:tc>
        <w:tc>
          <w:tcPr>
            <w:tcW w:w="1738"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Modificare în termeni absoluți</w:t>
            </w:r>
          </w:p>
        </w:tc>
        <w:tc>
          <w:tcPr>
            <w:tcW w:w="1551"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Modificare în procente</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Autostradă</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4,122,421</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12,645,813</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+8,523,392</w:t>
            </w:r>
          </w:p>
        </w:tc>
        <w:tc>
          <w:tcPr>
            <w:tcW w:w="1551"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+206.8%</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național</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33,530,573</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38,909,327</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+5,378,754</w:t>
            </w:r>
          </w:p>
        </w:tc>
        <w:tc>
          <w:tcPr>
            <w:tcW w:w="1551"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+16.0%</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județean</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3,329,595</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3,856,655</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+527,060</w:t>
            </w:r>
          </w:p>
        </w:tc>
        <w:tc>
          <w:tcPr>
            <w:tcW w:w="1551"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+15.8%</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Local</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556,033</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649,580</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+93,547</w:t>
            </w:r>
          </w:p>
        </w:tc>
        <w:tc>
          <w:tcPr>
            <w:tcW w:w="1551"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+16.8%</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Toate călătoriile</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41,538,622</w:t>
            </w:r>
          </w:p>
        </w:tc>
        <w:tc>
          <w:tcPr>
            <w:tcW w:w="1739"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56,061,375</w:t>
            </w:r>
          </w:p>
        </w:tc>
        <w:tc>
          <w:tcPr>
            <w:tcW w:w="1738"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+14,522,753</w:t>
            </w:r>
          </w:p>
        </w:tc>
        <w:tc>
          <w:tcPr>
            <w:tcW w:w="1551" w:type="dxa"/>
            <w:vAlign w:val="center"/>
          </w:tcPr>
          <w:p w:rsidR="00B4550A" w:rsidRPr="00E0488D" w:rsidRDefault="00B4550A" w:rsidP="003C7FC8">
            <w:pPr>
              <w:jc w:val="center"/>
              <w:rPr>
                <w:color w:val="000000"/>
                <w:sz w:val="22"/>
                <w:szCs w:val="22"/>
                <w:lang w:val="ro-RO"/>
              </w:rPr>
            </w:pPr>
            <w:r w:rsidRPr="00E0488D">
              <w:rPr>
                <w:rFonts w:cs="Arial"/>
                <w:color w:val="000000"/>
                <w:sz w:val="22"/>
                <w:szCs w:val="22"/>
                <w:lang w:val="ro-RO"/>
              </w:rPr>
              <w:t>+35.0%</w:t>
            </w:r>
          </w:p>
        </w:tc>
      </w:tr>
    </w:tbl>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t>Tabelul 4.11</w:t>
      </w:r>
      <w:r w:rsidRPr="00E0488D">
        <w:rPr>
          <w:b/>
          <w:sz w:val="22"/>
          <w:szCs w:val="22"/>
          <w:lang w:val="ro-RO"/>
        </w:rPr>
        <w:tab/>
        <w:t>Vehicule-ore (mărfuri) – Anul de referință 2011 și Scenariul de referință 2020</w:t>
      </w:r>
    </w:p>
    <w:tbl>
      <w:tblPr>
        <w:tblW w:w="860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38"/>
        <w:gridCol w:w="1739"/>
        <w:gridCol w:w="1738"/>
        <w:gridCol w:w="1551"/>
      </w:tblGrid>
      <w:tr w:rsidR="00B4550A" w:rsidRPr="00E0488D" w:rsidTr="003C7FC8">
        <w:tc>
          <w:tcPr>
            <w:tcW w:w="1843" w:type="dxa"/>
            <w:vMerge w:val="restart"/>
            <w:shd w:val="clear" w:color="auto" w:fill="DBE5F1" w:themeFill="accent1" w:themeFillTint="33"/>
            <w:vAlign w:val="center"/>
          </w:tcPr>
          <w:p w:rsidR="00B4550A" w:rsidRPr="00E0488D" w:rsidRDefault="00B4550A" w:rsidP="003C7FC8">
            <w:pPr>
              <w:spacing w:before="60" w:after="60"/>
              <w:rPr>
                <w:b/>
                <w:sz w:val="22"/>
                <w:szCs w:val="22"/>
                <w:lang w:val="ro-RO"/>
              </w:rPr>
            </w:pPr>
            <w:r w:rsidRPr="00E0488D">
              <w:rPr>
                <w:b/>
                <w:sz w:val="22"/>
                <w:szCs w:val="22"/>
                <w:lang w:val="ro-RO"/>
              </w:rPr>
              <w:t>Categoria de drum</w:t>
            </w:r>
          </w:p>
        </w:tc>
        <w:tc>
          <w:tcPr>
            <w:tcW w:w="6766" w:type="dxa"/>
            <w:gridSpan w:val="4"/>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Vehicule-ore (mărfuri)</w:t>
            </w:r>
          </w:p>
        </w:tc>
      </w:tr>
      <w:tr w:rsidR="00B4550A" w:rsidRPr="00E0488D" w:rsidTr="003C7FC8">
        <w:tc>
          <w:tcPr>
            <w:tcW w:w="1843" w:type="dxa"/>
            <w:vMerge/>
            <w:shd w:val="clear" w:color="auto" w:fill="DBE5F1" w:themeFill="accent1" w:themeFillTint="33"/>
            <w:vAlign w:val="center"/>
          </w:tcPr>
          <w:p w:rsidR="00B4550A" w:rsidRPr="00E0488D" w:rsidRDefault="00B4550A" w:rsidP="003C7FC8">
            <w:pPr>
              <w:spacing w:before="60" w:after="60"/>
              <w:rPr>
                <w:b/>
                <w:sz w:val="22"/>
                <w:szCs w:val="22"/>
                <w:lang w:val="ro-RO"/>
              </w:rPr>
            </w:pPr>
          </w:p>
        </w:tc>
        <w:tc>
          <w:tcPr>
            <w:tcW w:w="1738"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39"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38"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551" w:type="dxa"/>
            <w:shd w:val="clear" w:color="auto" w:fill="DBE5F1" w:themeFill="accent1" w:themeFillTint="33"/>
            <w:vAlign w:val="center"/>
          </w:tcPr>
          <w:p w:rsidR="00B4550A" w:rsidRPr="00E0488D" w:rsidRDefault="00B4550A" w:rsidP="003C7FC8">
            <w:pPr>
              <w:jc w:val="center"/>
              <w:rPr>
                <w:b/>
                <w:sz w:val="22"/>
                <w:szCs w:val="22"/>
                <w:lang w:val="ro-RO"/>
              </w:rPr>
            </w:pPr>
            <w:r w:rsidRPr="00E0488D">
              <w:rPr>
                <w:b/>
                <w:sz w:val="22"/>
                <w:szCs w:val="22"/>
                <w:lang w:val="ro-RO"/>
              </w:rPr>
              <w:t>Anul de referință 2011</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Autostradă</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68,744</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199,828</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+131,084</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+190.7%</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național</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744,698</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899,495</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+154,797</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+20.8%</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Drum județean</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105,872</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124,002</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+18,129</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+17.1%</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t>Local</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26,163</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30,786</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+4,623</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+17.7%</w:t>
            </w:r>
          </w:p>
        </w:tc>
      </w:tr>
      <w:tr w:rsidR="00B4550A" w:rsidRPr="00E0488D" w:rsidTr="003C7FC8">
        <w:tc>
          <w:tcPr>
            <w:tcW w:w="1843" w:type="dxa"/>
            <w:vAlign w:val="center"/>
          </w:tcPr>
          <w:p w:rsidR="00B4550A" w:rsidRPr="00E0488D" w:rsidRDefault="00B4550A" w:rsidP="003C7FC8">
            <w:pPr>
              <w:rPr>
                <w:bCs/>
                <w:sz w:val="22"/>
                <w:szCs w:val="22"/>
                <w:lang w:val="ro-RO"/>
              </w:rPr>
            </w:pPr>
            <w:r w:rsidRPr="00E0488D">
              <w:rPr>
                <w:bCs/>
                <w:sz w:val="22"/>
                <w:szCs w:val="22"/>
                <w:lang w:val="ro-RO"/>
              </w:rPr>
              <w:lastRenderedPageBreak/>
              <w:t>Toate călătoriile</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945,477</w:t>
            </w:r>
          </w:p>
        </w:tc>
        <w:tc>
          <w:tcPr>
            <w:tcW w:w="1739"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1,254,110</w:t>
            </w:r>
          </w:p>
        </w:tc>
        <w:tc>
          <w:tcPr>
            <w:tcW w:w="1738"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+308,633</w:t>
            </w:r>
          </w:p>
        </w:tc>
        <w:tc>
          <w:tcPr>
            <w:tcW w:w="1551" w:type="dxa"/>
            <w:vAlign w:val="center"/>
          </w:tcPr>
          <w:p w:rsidR="00B4550A" w:rsidRPr="00E0488D" w:rsidRDefault="00B4550A" w:rsidP="003C7FC8">
            <w:pPr>
              <w:keepNext/>
              <w:jc w:val="center"/>
              <w:rPr>
                <w:color w:val="000000"/>
                <w:sz w:val="22"/>
                <w:szCs w:val="22"/>
                <w:lang w:val="ro-RO"/>
              </w:rPr>
            </w:pPr>
            <w:r w:rsidRPr="00E0488D">
              <w:rPr>
                <w:rFonts w:cs="Arial"/>
                <w:color w:val="000000"/>
                <w:sz w:val="22"/>
                <w:szCs w:val="22"/>
                <w:lang w:val="ro-RO"/>
              </w:rPr>
              <w:t>+32.6%</w:t>
            </w:r>
          </w:p>
        </w:tc>
      </w:tr>
    </w:tbl>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B4550A">
      <w:pPr>
        <w:keepNext/>
        <w:spacing w:before="120" w:after="120" w:line="276" w:lineRule="auto"/>
        <w:ind w:left="851" w:hanging="567"/>
        <w:rPr>
          <w:b/>
          <w:sz w:val="22"/>
          <w:szCs w:val="22"/>
          <w:lang w:val="ro-RO"/>
        </w:rPr>
      </w:pPr>
      <w:r w:rsidRPr="00E0488D">
        <w:rPr>
          <w:b/>
          <w:sz w:val="22"/>
          <w:szCs w:val="22"/>
          <w:lang w:val="ro-RO"/>
        </w:rPr>
        <w:t>Tabelul 4.12</w:t>
      </w:r>
      <w:r w:rsidRPr="00E0488D">
        <w:rPr>
          <w:b/>
          <w:sz w:val="22"/>
          <w:szCs w:val="22"/>
          <w:lang w:val="ro-RO"/>
        </w:rPr>
        <w:tab/>
        <w:t>Viteza vehiculelor (mărfuri) – Anul de referință 2011 și Scenariul de referință 2020</w:t>
      </w:r>
    </w:p>
    <w:tbl>
      <w:tblPr>
        <w:tblW w:w="8520" w:type="dxa"/>
        <w:tblInd w:w="851" w:type="dxa"/>
        <w:tblLook w:val="04A0" w:firstRow="1" w:lastRow="0" w:firstColumn="1" w:lastColumn="0" w:noHBand="0" w:noVBand="1"/>
      </w:tblPr>
      <w:tblGrid>
        <w:gridCol w:w="1720"/>
        <w:gridCol w:w="1700"/>
        <w:gridCol w:w="1700"/>
        <w:gridCol w:w="1700"/>
        <w:gridCol w:w="1700"/>
      </w:tblGrid>
      <w:tr w:rsidR="00B4550A" w:rsidRPr="00E0488D" w:rsidTr="003C7FC8">
        <w:trPr>
          <w:trHeight w:val="300"/>
        </w:trPr>
        <w:tc>
          <w:tcPr>
            <w:tcW w:w="1720" w:type="dxa"/>
            <w:vMerge w:val="restart"/>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hideMark/>
          </w:tcPr>
          <w:p w:rsidR="00B4550A" w:rsidRPr="00E0488D" w:rsidRDefault="00B4550A" w:rsidP="003C7FC8">
            <w:pPr>
              <w:keepNext/>
              <w:spacing w:before="60" w:after="60"/>
              <w:rPr>
                <w:b/>
                <w:bCs/>
                <w:color w:val="000000"/>
                <w:sz w:val="22"/>
                <w:szCs w:val="22"/>
                <w:lang w:val="ro-RO"/>
              </w:rPr>
            </w:pPr>
            <w:r w:rsidRPr="00E0488D">
              <w:rPr>
                <w:b/>
                <w:bCs/>
                <w:color w:val="000000"/>
                <w:sz w:val="22"/>
                <w:szCs w:val="22"/>
                <w:lang w:val="ro-RO"/>
              </w:rPr>
              <w:t>Categoria de drum</w:t>
            </w:r>
          </w:p>
        </w:tc>
        <w:tc>
          <w:tcPr>
            <w:tcW w:w="6800" w:type="dxa"/>
            <w:gridSpan w:val="4"/>
            <w:tcBorders>
              <w:top w:val="single" w:sz="8" w:space="0" w:color="auto"/>
              <w:left w:val="nil"/>
              <w:bottom w:val="single" w:sz="8" w:space="0" w:color="auto"/>
              <w:right w:val="single" w:sz="8" w:space="0" w:color="000000"/>
            </w:tcBorders>
            <w:shd w:val="clear" w:color="auto" w:fill="DBE5F1" w:themeFill="accent1" w:themeFillTint="33"/>
            <w:vAlign w:val="center"/>
            <w:hideMark/>
          </w:tcPr>
          <w:p w:rsidR="00B4550A" w:rsidRPr="00E0488D" w:rsidRDefault="00B4550A" w:rsidP="003C7FC8">
            <w:pPr>
              <w:keepNext/>
              <w:spacing w:before="60" w:after="60"/>
              <w:jc w:val="center"/>
              <w:rPr>
                <w:b/>
                <w:bCs/>
                <w:color w:val="000000"/>
                <w:sz w:val="22"/>
                <w:szCs w:val="22"/>
                <w:lang w:val="ro-RO"/>
              </w:rPr>
            </w:pPr>
            <w:r w:rsidRPr="00E0488D">
              <w:rPr>
                <w:b/>
                <w:bCs/>
                <w:color w:val="000000"/>
                <w:sz w:val="22"/>
                <w:szCs w:val="22"/>
                <w:lang w:val="ro-RO"/>
              </w:rPr>
              <w:t>Viteza medie – mărfuri</w:t>
            </w:r>
          </w:p>
        </w:tc>
      </w:tr>
      <w:tr w:rsidR="00B4550A" w:rsidRPr="00E0488D" w:rsidTr="003C7FC8">
        <w:trPr>
          <w:trHeight w:val="564"/>
        </w:trPr>
        <w:tc>
          <w:tcPr>
            <w:tcW w:w="1720" w:type="dxa"/>
            <w:vMerge/>
            <w:tcBorders>
              <w:top w:val="single" w:sz="8" w:space="0" w:color="auto"/>
              <w:left w:val="single" w:sz="8" w:space="0" w:color="auto"/>
              <w:bottom w:val="single" w:sz="8" w:space="0" w:color="000000"/>
              <w:right w:val="single" w:sz="8" w:space="0" w:color="auto"/>
            </w:tcBorders>
            <w:shd w:val="clear" w:color="auto" w:fill="DBE5F1" w:themeFill="accent1" w:themeFillTint="33"/>
            <w:vAlign w:val="center"/>
            <w:hideMark/>
          </w:tcPr>
          <w:p w:rsidR="00B4550A" w:rsidRPr="00E0488D" w:rsidRDefault="00B4550A" w:rsidP="003C7FC8">
            <w:pPr>
              <w:keepNext/>
              <w:spacing w:before="60" w:after="60"/>
              <w:rPr>
                <w:b/>
                <w:bCs/>
                <w:color w:val="000000"/>
                <w:sz w:val="22"/>
                <w:szCs w:val="22"/>
                <w:lang w:val="ro-RO"/>
              </w:rPr>
            </w:pP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Anul de referință 2011</w:t>
            </w:r>
          </w:p>
        </w:tc>
        <w:tc>
          <w:tcPr>
            <w:tcW w:w="1700" w:type="dxa"/>
            <w:tcBorders>
              <w:top w:val="nil"/>
              <w:left w:val="nil"/>
              <w:bottom w:val="single" w:sz="8" w:space="0" w:color="auto"/>
              <w:right w:val="single" w:sz="8" w:space="0" w:color="auto"/>
            </w:tcBorders>
            <w:shd w:val="clear" w:color="auto" w:fill="DBE5F1" w:themeFill="accent1" w:themeFillTint="33"/>
            <w:vAlign w:val="center"/>
            <w:hideMark/>
          </w:tcPr>
          <w:p w:rsidR="00B4550A" w:rsidRPr="00E0488D" w:rsidRDefault="00B4550A" w:rsidP="003C7FC8">
            <w:pPr>
              <w:jc w:val="center"/>
              <w:rPr>
                <w:b/>
                <w:sz w:val="22"/>
                <w:szCs w:val="22"/>
                <w:lang w:val="ro-RO"/>
              </w:rPr>
            </w:pPr>
            <w:r w:rsidRPr="00E0488D">
              <w:rPr>
                <w:b/>
                <w:sz w:val="22"/>
                <w:szCs w:val="22"/>
                <w:lang w:val="ro-RO"/>
              </w:rPr>
              <w:t>Anul de referință 2011</w:t>
            </w:r>
          </w:p>
        </w:tc>
      </w:tr>
      <w:tr w:rsidR="00B4550A" w:rsidRPr="00E0488D" w:rsidTr="003C7FC8">
        <w:trPr>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Autostradă</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60.0</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63.3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+5.5%</w:t>
            </w:r>
          </w:p>
        </w:tc>
      </w:tr>
      <w:tr w:rsidR="00B4550A" w:rsidRPr="00E0488D" w:rsidTr="003C7FC8">
        <w:trPr>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Drum național</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45.0</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43.3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-3.9%</w:t>
            </w:r>
          </w:p>
        </w:tc>
      </w:tr>
      <w:tr w:rsidR="00B4550A" w:rsidRPr="00E0488D" w:rsidTr="003C7FC8">
        <w:trPr>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Drum județean</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31.4</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31.1</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w:t>
            </w:r>
          </w:p>
        </w:tc>
      </w:tr>
      <w:tr w:rsidR="00B4550A" w:rsidRPr="00E0488D" w:rsidTr="003C7FC8">
        <w:trPr>
          <w:trHeight w:val="300"/>
        </w:trPr>
        <w:tc>
          <w:tcPr>
            <w:tcW w:w="1720" w:type="dxa"/>
            <w:tcBorders>
              <w:top w:val="nil"/>
              <w:left w:val="single" w:sz="8" w:space="0" w:color="auto"/>
              <w:bottom w:val="single" w:sz="8" w:space="0" w:color="auto"/>
              <w:right w:val="single" w:sz="8" w:space="0" w:color="auto"/>
            </w:tcBorders>
            <w:shd w:val="clear" w:color="auto" w:fill="auto"/>
            <w:vAlign w:val="center"/>
            <w:hideMark/>
          </w:tcPr>
          <w:p w:rsidR="00B4550A" w:rsidRPr="00E0488D" w:rsidRDefault="00B4550A" w:rsidP="003C7FC8">
            <w:pPr>
              <w:rPr>
                <w:bCs/>
                <w:sz w:val="22"/>
                <w:szCs w:val="22"/>
                <w:lang w:val="ro-RO"/>
              </w:rPr>
            </w:pPr>
            <w:r w:rsidRPr="00E0488D">
              <w:rPr>
                <w:bCs/>
                <w:sz w:val="22"/>
                <w:szCs w:val="22"/>
                <w:lang w:val="ro-RO"/>
              </w:rPr>
              <w:t>Local</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21.3</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21.1</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-0.2</w:t>
            </w:r>
          </w:p>
        </w:tc>
        <w:tc>
          <w:tcPr>
            <w:tcW w:w="1700" w:type="dxa"/>
            <w:tcBorders>
              <w:top w:val="nil"/>
              <w:left w:val="nil"/>
              <w:bottom w:val="single" w:sz="8" w:space="0" w:color="auto"/>
              <w:right w:val="single" w:sz="8" w:space="0" w:color="auto"/>
            </w:tcBorders>
            <w:shd w:val="clear" w:color="auto" w:fill="auto"/>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-0.7%</w:t>
            </w:r>
          </w:p>
        </w:tc>
      </w:tr>
    </w:tbl>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2B7E09">
      <w:pPr>
        <w:pStyle w:val="NumberedParas"/>
      </w:pPr>
      <w:r w:rsidRPr="00E0488D">
        <w:t xml:space="preserve">Figura 4.9 ilustrează impactul Scenariului de referință prin comparație cu anul de referință pentru vehicule de transport marfă pentru aceiași indicatori folosiți și pentru autoturisme. În ceea ce privește transportul de marfă, creșterea traficului este mai mare decât pentru autoturisme, (31% comparativ cu 15%), însă impactul general este similar cu cel raportat pentru autoturisme. </w:t>
      </w:r>
    </w:p>
    <w:p w:rsidR="00B4550A" w:rsidRPr="00E0488D" w:rsidRDefault="00B4550A" w:rsidP="002B7E09">
      <w:pPr>
        <w:pStyle w:val="NumberedParas"/>
      </w:pPr>
      <w:r w:rsidRPr="00E0488D">
        <w:t xml:space="preserve">S-a înregistrat o creștere semnificativă a numărului kilometrilor parcurși de vehiculele pe autostradă este semnificativă (207%) și o creștere mai modestă (16%) a traficului pentru rețeaua de drumuri naționale. Ca și în cazul autoturismelor, rețeaua de drumuri și autostrăzile în special, devin un mod mult mai atractiv de transport ca urmare a implementării proiectelor din Scenariul de referință. </w:t>
      </w:r>
    </w:p>
    <w:p w:rsidR="00B4550A" w:rsidRPr="00E0488D" w:rsidRDefault="004F3676" w:rsidP="00B4550A">
      <w:pPr>
        <w:keepNext/>
        <w:tabs>
          <w:tab w:val="left" w:pos="680"/>
        </w:tabs>
        <w:spacing w:before="120" w:after="120" w:line="276" w:lineRule="auto"/>
        <w:ind w:left="851"/>
        <w:rPr>
          <w:sz w:val="22"/>
          <w:szCs w:val="22"/>
          <w:lang w:val="ro-RO"/>
        </w:rPr>
      </w:pPr>
      <w:r w:rsidRPr="00E0488D">
        <w:rPr>
          <w:noProof/>
          <w:sz w:val="22"/>
          <w:szCs w:val="22"/>
          <w:lang w:val="ro-RO" w:eastAsia="ro-RO"/>
        </w:rPr>
        <w:drawing>
          <wp:inline distT="0" distB="0" distL="0" distR="0">
            <wp:extent cx="5943600" cy="3884930"/>
            <wp:effectExtent l="19050" t="0" r="19050" b="1270"/>
            <wp:docPr id="11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B4550A" w:rsidRPr="00E0488D" w:rsidRDefault="00B4550A" w:rsidP="00B4550A">
      <w:pPr>
        <w:spacing w:after="120" w:line="276" w:lineRule="auto"/>
        <w:ind w:left="851"/>
        <w:rPr>
          <w:b/>
          <w:sz w:val="22"/>
          <w:szCs w:val="22"/>
          <w:lang w:val="ro-RO"/>
        </w:rPr>
      </w:pPr>
      <w:r w:rsidRPr="00E0488D">
        <w:rPr>
          <w:b/>
          <w:sz w:val="22"/>
          <w:szCs w:val="22"/>
          <w:lang w:val="ro-RO"/>
        </w:rPr>
        <w:t>Figura 4.9</w:t>
      </w:r>
      <w:r w:rsidRPr="00E0488D">
        <w:rPr>
          <w:b/>
          <w:sz w:val="22"/>
          <w:szCs w:val="22"/>
          <w:lang w:val="ro-RO"/>
        </w:rPr>
        <w:tab/>
        <w:t>Comparație an de referință cu scenariu de referință (2020) – Mărfuri</w:t>
      </w:r>
    </w:p>
    <w:p w:rsidR="00B4550A" w:rsidRPr="00E0488D" w:rsidRDefault="00B4550A" w:rsidP="00B4550A">
      <w:pPr>
        <w:spacing w:after="120" w:line="276" w:lineRule="auto"/>
        <w:ind w:left="851"/>
        <w:rPr>
          <w:i/>
          <w:sz w:val="22"/>
          <w:szCs w:val="22"/>
          <w:lang w:val="ro-RO"/>
        </w:rPr>
      </w:pPr>
      <w:r w:rsidRPr="00E0488D">
        <w:rPr>
          <w:i/>
          <w:sz w:val="22"/>
          <w:szCs w:val="22"/>
          <w:lang w:val="ro-RO"/>
        </w:rPr>
        <w:lastRenderedPageBreak/>
        <w:t>Sursa: Modelul Național de Transport elaborat de către AECOM</w:t>
      </w:r>
    </w:p>
    <w:p w:rsidR="00B4550A" w:rsidRPr="00E0488D" w:rsidRDefault="00B4550A" w:rsidP="00B4550A">
      <w:pPr>
        <w:spacing w:after="120" w:line="276" w:lineRule="auto"/>
        <w:ind w:left="851"/>
        <w:rPr>
          <w:i/>
          <w:sz w:val="22"/>
          <w:szCs w:val="22"/>
          <w:lang w:val="ro-RO"/>
        </w:rPr>
      </w:pPr>
    </w:p>
    <w:p w:rsidR="00B4550A" w:rsidRPr="00E0488D" w:rsidRDefault="00B4550A" w:rsidP="002B7E09">
      <w:pPr>
        <w:pStyle w:val="NumberedParas"/>
      </w:pPr>
      <w:r w:rsidRPr="00E0488D">
        <w:rPr>
          <w:rStyle w:val="hps"/>
          <w:rFonts w:cs="Arial"/>
          <w:color w:val="000000" w:themeColor="text1"/>
        </w:rPr>
        <w:t>Din rularea modelului pentru Scenariul de referință se estimează creșteri semnificative</w:t>
      </w:r>
      <w:r w:rsidRPr="00E0488D">
        <w:t xml:space="preserve"> </w:t>
      </w:r>
      <w:r w:rsidRPr="00E0488D">
        <w:rPr>
          <w:rStyle w:val="hps"/>
          <w:rFonts w:cs="Arial"/>
          <w:color w:val="000000" w:themeColor="text1"/>
        </w:rPr>
        <w:t>observate</w:t>
      </w:r>
      <w:r w:rsidRPr="00E0488D">
        <w:t xml:space="preserve"> </w:t>
      </w:r>
      <w:r w:rsidRPr="00E0488D">
        <w:rPr>
          <w:rStyle w:val="hps"/>
          <w:rFonts w:cs="Arial"/>
          <w:color w:val="000000" w:themeColor="text1"/>
        </w:rPr>
        <w:t>pe multe</w:t>
      </w:r>
      <w:r w:rsidRPr="00E0488D">
        <w:t xml:space="preserve"> </w:t>
      </w:r>
      <w:r w:rsidRPr="00E0488D">
        <w:rPr>
          <w:rStyle w:val="hps"/>
          <w:rFonts w:cs="Arial"/>
          <w:color w:val="000000" w:themeColor="text1"/>
        </w:rPr>
        <w:t>dintre principalele</w:t>
      </w:r>
      <w:r w:rsidRPr="00E0488D">
        <w:t xml:space="preserve"> </w:t>
      </w:r>
      <w:r w:rsidRPr="00E0488D">
        <w:rPr>
          <w:rStyle w:val="hps"/>
          <w:rFonts w:cs="Arial"/>
          <w:color w:val="000000" w:themeColor="text1"/>
        </w:rPr>
        <w:t>coridoare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trafic de autoturisme,</w:t>
      </w:r>
      <w:r w:rsidRPr="00E0488D">
        <w:t xml:space="preserve"> </w:t>
      </w:r>
      <w:r w:rsidRPr="00E0488D">
        <w:rPr>
          <w:rStyle w:val="hps"/>
          <w:rFonts w:cs="Arial"/>
          <w:color w:val="000000" w:themeColor="text1"/>
        </w:rPr>
        <w:t>reflectând</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serie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factori,</w:t>
      </w:r>
      <w:r w:rsidRPr="00E0488D">
        <w:t xml:space="preserve"> </w:t>
      </w:r>
      <w:r w:rsidRPr="00E0488D">
        <w:rPr>
          <w:rStyle w:val="hps"/>
          <w:rFonts w:cs="Arial"/>
          <w:color w:val="000000" w:themeColor="text1"/>
        </w:rPr>
        <w:t>despre care s-a vorbit anterior în acest</w:t>
      </w:r>
      <w:r w:rsidRPr="00E0488D">
        <w:t xml:space="preserve"> </w:t>
      </w:r>
      <w:r w:rsidRPr="00E0488D">
        <w:rPr>
          <w:rStyle w:val="hps"/>
          <w:rFonts w:cs="Arial"/>
          <w:color w:val="000000" w:themeColor="text1"/>
        </w:rPr>
        <w:t>raport</w:t>
      </w:r>
      <w:r w:rsidRPr="00E0488D">
        <w:t>, dintre care amintim:</w:t>
      </w:r>
    </w:p>
    <w:p w:rsidR="00B4550A" w:rsidRPr="00E0488D" w:rsidRDefault="00B4550A" w:rsidP="00BC2B57">
      <w:pPr>
        <w:pStyle w:val="BulletLevel1"/>
      </w:pPr>
      <w:r w:rsidRPr="00E0488D">
        <w:t>Nivelul crescut al gradului de motorizare;</w:t>
      </w:r>
    </w:p>
    <w:p w:rsidR="00B4550A" w:rsidRPr="00E0488D" w:rsidRDefault="00B4550A" w:rsidP="00BC2B57">
      <w:pPr>
        <w:pStyle w:val="BulletLevel1"/>
      </w:pPr>
      <w:r w:rsidRPr="00E0488D">
        <w:t>Îmbunătățiri aduse rețelei naționale de drumuri; și</w:t>
      </w:r>
    </w:p>
    <w:p w:rsidR="00B4550A" w:rsidRPr="00E0488D" w:rsidRDefault="00B4550A" w:rsidP="00BC2B57">
      <w:pPr>
        <w:pStyle w:val="BulletLevel1"/>
      </w:pPr>
      <w:r w:rsidRPr="00E0488D">
        <w:t>Scăderea performanței serviciilor de transport feroviar, aspect discutat în cadrul Capitolului 6.</w:t>
      </w:r>
    </w:p>
    <w:p w:rsidR="00B4550A" w:rsidRPr="00E0488D" w:rsidRDefault="00B4550A" w:rsidP="002B7E09">
      <w:pPr>
        <w:pStyle w:val="NumberedParas"/>
      </w:pPr>
      <w:r w:rsidRPr="00E0488D">
        <w:rPr>
          <w:rStyle w:val="hps"/>
          <w:rFonts w:cs="Arial"/>
          <w:color w:val="000000" w:themeColor="text1"/>
        </w:rPr>
        <w:t>Fără</w:t>
      </w:r>
      <w:r w:rsidRPr="00E0488D">
        <w:t xml:space="preserve"> </w:t>
      </w:r>
      <w:r w:rsidRPr="00E0488D">
        <w:rPr>
          <w:rStyle w:val="hps"/>
          <w:rFonts w:cs="Arial"/>
          <w:color w:val="000000" w:themeColor="text1"/>
        </w:rPr>
        <w:t>îmbunătățirea ofertei</w:t>
      </w:r>
      <w:r w:rsidRPr="00E0488D">
        <w:t xml:space="preserve"> </w:t>
      </w:r>
      <w:r w:rsidRPr="00E0488D">
        <w:rPr>
          <w:rStyle w:val="hps"/>
          <w:rFonts w:cs="Arial"/>
          <w:color w:val="000000" w:themeColor="text1"/>
        </w:rPr>
        <w:t>de transport public</w:t>
      </w:r>
      <w:r w:rsidRPr="00E0488D">
        <w:t xml:space="preserve"> se ajunge la </w:t>
      </w:r>
      <w:r w:rsidRPr="00E0488D">
        <w:rPr>
          <w:rStyle w:val="hps"/>
          <w:rFonts w:cs="Arial"/>
          <w:color w:val="000000" w:themeColor="text1"/>
        </w:rPr>
        <w:t>schimbarea</w:t>
      </w:r>
      <w:r w:rsidRPr="00E0488D">
        <w:t xml:space="preserve"> </w:t>
      </w:r>
      <w:r w:rsidRPr="00E0488D">
        <w:rPr>
          <w:rStyle w:val="hps"/>
          <w:rFonts w:cs="Arial"/>
          <w:color w:val="000000" w:themeColor="text1"/>
        </w:rPr>
        <w:t>modului de transport, respectiv trecerea la transportul cu</w:t>
      </w:r>
      <w:r w:rsidRPr="00E0488D">
        <w:t xml:space="preserve"> </w:t>
      </w:r>
      <w:r w:rsidRPr="00E0488D">
        <w:rPr>
          <w:rStyle w:val="hps"/>
          <w:rFonts w:cs="Arial"/>
          <w:color w:val="000000" w:themeColor="text1"/>
        </w:rPr>
        <w:t>autoturismul,</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creștere</w:t>
      </w:r>
      <w:r w:rsidRPr="00E0488D">
        <w:t xml:space="preserve"> </w:t>
      </w:r>
      <w:r w:rsidRPr="00E0488D">
        <w:rPr>
          <w:rStyle w:val="hps"/>
          <w:rFonts w:cs="Arial"/>
          <w:color w:val="000000" w:themeColor="text1"/>
        </w:rPr>
        <w:t>a numărului de călătorii cu autoturismul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peste</w:t>
      </w:r>
      <w:r w:rsidRPr="00E0488D">
        <w:t xml:space="preserve"> </w:t>
      </w:r>
      <w:r w:rsidRPr="00E0488D">
        <w:rPr>
          <w:rStyle w:val="hps"/>
          <w:rFonts w:cs="Arial"/>
          <w:color w:val="000000" w:themeColor="text1"/>
        </w:rPr>
        <w:t>15</w:t>
      </w:r>
      <w:r w:rsidRPr="00E0488D">
        <w:t xml:space="preserve">%, față de </w:t>
      </w:r>
      <w:r w:rsidRPr="00E0488D">
        <w:rPr>
          <w:rStyle w:val="hps"/>
          <w:rFonts w:cs="Arial"/>
          <w:color w:val="000000" w:themeColor="text1"/>
        </w:rPr>
        <w:t>creșterea totală</w:t>
      </w:r>
      <w:r w:rsidRPr="00E0488D">
        <w:t xml:space="preserve"> </w:t>
      </w:r>
      <w:r w:rsidRPr="00E0488D">
        <w:rPr>
          <w:rStyle w:val="hps"/>
          <w:rFonts w:cs="Arial"/>
          <w:color w:val="000000" w:themeColor="text1"/>
        </w:rPr>
        <w:t>a</w:t>
      </w:r>
      <w:r w:rsidRPr="00E0488D">
        <w:t xml:space="preserve"> numărului de călătorii </w:t>
      </w:r>
      <w:r w:rsidRPr="00E0488D">
        <w:rPr>
          <w:rStyle w:val="hps"/>
          <w:rFonts w:cs="Arial"/>
          <w:color w:val="000000" w:themeColor="text1"/>
        </w:rPr>
        <w:t>pentru</w:t>
      </w:r>
      <w:r w:rsidRPr="00E0488D">
        <w:t xml:space="preserve"> </w:t>
      </w:r>
      <w:r w:rsidRPr="00E0488D">
        <w:rPr>
          <w:rStyle w:val="hps"/>
          <w:rFonts w:cs="Arial"/>
          <w:color w:val="000000" w:themeColor="text1"/>
        </w:rPr>
        <w:t>toate modurile</w:t>
      </w:r>
      <w:r w:rsidRPr="00E0488D">
        <w:t xml:space="preserve"> de transport, </w:t>
      </w:r>
      <w:r w:rsidRPr="00E0488D">
        <w:rPr>
          <w:rStyle w:val="hps"/>
          <w:rFonts w:cs="Arial"/>
          <w:color w:val="000000" w:themeColor="text1"/>
        </w:rPr>
        <w:t>care este</w:t>
      </w:r>
      <w:r w:rsidRPr="00E0488D">
        <w:t xml:space="preserve"> </w:t>
      </w:r>
      <w:r w:rsidRPr="00E0488D">
        <w:rPr>
          <w:rStyle w:val="hps"/>
          <w:rFonts w:cs="Arial"/>
          <w:color w:val="000000" w:themeColor="text1"/>
        </w:rPr>
        <w:t>sub</w:t>
      </w:r>
      <w:r w:rsidRPr="00E0488D">
        <w:t xml:space="preserve"> </w:t>
      </w:r>
      <w:r w:rsidRPr="00E0488D">
        <w:rPr>
          <w:rStyle w:val="hps"/>
          <w:rFonts w:cs="Arial"/>
          <w:color w:val="000000" w:themeColor="text1"/>
        </w:rPr>
        <w:t>11</w:t>
      </w:r>
      <w:r w:rsidRPr="00E0488D">
        <w:t xml:space="preserve">%. De asemenea, se estimează </w:t>
      </w:r>
      <w:r w:rsidRPr="00E0488D">
        <w:rPr>
          <w:rStyle w:val="hps"/>
          <w:rFonts w:cs="Arial"/>
          <w:color w:val="000000" w:themeColor="text1"/>
        </w:rPr>
        <w:t>călătorii efectuate pe</w:t>
      </w:r>
      <w:r w:rsidRPr="00E0488D">
        <w:t xml:space="preserve"> distanțe </w:t>
      </w:r>
      <w:r w:rsidRPr="00E0488D">
        <w:rPr>
          <w:rStyle w:val="hps"/>
          <w:rFonts w:cs="Arial"/>
          <w:color w:val="000000" w:themeColor="text1"/>
        </w:rPr>
        <w:t>mai lungi</w:t>
      </w:r>
      <w:r w:rsidRPr="00E0488D">
        <w:t xml:space="preserve">, </w:t>
      </w:r>
      <w:r w:rsidRPr="00E0488D">
        <w:rPr>
          <w:rStyle w:val="hps"/>
          <w:rFonts w:cs="Arial"/>
          <w:color w:val="000000" w:themeColor="text1"/>
        </w:rPr>
        <w:t>cu o</w:t>
      </w:r>
      <w:r w:rsidRPr="00E0488D">
        <w:t xml:space="preserve"> creștere aferentă a numărului de pasageri-</w:t>
      </w:r>
      <w:r w:rsidRPr="00E0488D">
        <w:rPr>
          <w:rStyle w:val="hps"/>
          <w:rFonts w:cs="Arial"/>
          <w:color w:val="000000" w:themeColor="text1"/>
        </w:rPr>
        <w:t>kilometri</w:t>
      </w:r>
      <w:r w:rsidRPr="00E0488D">
        <w:t xml:space="preserve">, care este </w:t>
      </w:r>
      <w:r w:rsidRPr="00E0488D">
        <w:rPr>
          <w:rStyle w:val="hps"/>
          <w:rFonts w:cs="Arial"/>
          <w:color w:val="000000" w:themeColor="text1"/>
        </w:rPr>
        <w:t>tot mai mare în cazul transportului cu</w:t>
      </w:r>
      <w:r w:rsidRPr="00E0488D">
        <w:t xml:space="preserve"> </w:t>
      </w:r>
      <w:r w:rsidRPr="00E0488D">
        <w:rPr>
          <w:rStyle w:val="hps"/>
          <w:rFonts w:cs="Arial"/>
          <w:color w:val="000000" w:themeColor="text1"/>
        </w:rPr>
        <w:t>autoturismul, respectiv de peste</w:t>
      </w:r>
      <w:r w:rsidRPr="00E0488D">
        <w:t xml:space="preserve"> </w:t>
      </w:r>
      <w:r w:rsidRPr="00E0488D">
        <w:rPr>
          <w:rStyle w:val="hps"/>
          <w:rFonts w:cs="Arial"/>
          <w:color w:val="000000" w:themeColor="text1"/>
        </w:rPr>
        <w:t>44</w:t>
      </w:r>
      <w:r w:rsidRPr="00E0488D">
        <w:t xml:space="preserve">% față de procentul </w:t>
      </w:r>
      <w:r w:rsidRPr="00E0488D">
        <w:rPr>
          <w:rStyle w:val="hps"/>
          <w:rFonts w:cs="Arial"/>
          <w:color w:val="000000" w:themeColor="text1"/>
        </w:rPr>
        <w:t>pentru toate modurile</w:t>
      </w:r>
      <w:r w:rsidRPr="00E0488D">
        <w:t xml:space="preserve"> </w:t>
      </w:r>
      <w:r w:rsidRPr="00E0488D">
        <w:rPr>
          <w:rStyle w:val="hps"/>
          <w:rFonts w:cs="Arial"/>
          <w:color w:val="000000" w:themeColor="text1"/>
        </w:rPr>
        <w:t>de</w:t>
      </w:r>
      <w:r w:rsidRPr="00E0488D">
        <w:t xml:space="preserve"> transport de 27%. </w:t>
      </w:r>
    </w:p>
    <w:p w:rsidR="00B4550A" w:rsidRPr="00E0488D" w:rsidRDefault="00B4550A" w:rsidP="002B7E09">
      <w:pPr>
        <w:pStyle w:val="NumberedParas"/>
      </w:pPr>
      <w:r w:rsidRPr="00E0488D">
        <w:rPr>
          <w:rStyle w:val="hps"/>
          <w:rFonts w:cs="Arial"/>
          <w:color w:val="000000" w:themeColor="text1"/>
        </w:rPr>
        <w:t>Cele mai semnificative</w:t>
      </w:r>
      <w:r w:rsidRPr="00E0488D">
        <w:t xml:space="preserve"> </w:t>
      </w:r>
      <w:r w:rsidRPr="00E0488D">
        <w:rPr>
          <w:rStyle w:val="hps"/>
          <w:rFonts w:cs="Arial"/>
          <w:color w:val="000000" w:themeColor="text1"/>
        </w:rPr>
        <w:t>creșteri</w:t>
      </w:r>
      <w:r w:rsidRPr="00E0488D">
        <w:t xml:space="preserve"> </w:t>
      </w:r>
      <w:r w:rsidRPr="00E0488D">
        <w:rPr>
          <w:rStyle w:val="hps"/>
          <w:rFonts w:cs="Arial"/>
          <w:color w:val="000000" w:themeColor="text1"/>
        </w:rPr>
        <w:t>sunt în</w:t>
      </w:r>
      <w:r w:rsidRPr="00E0488D">
        <w:t xml:space="preserve"> </w:t>
      </w:r>
      <w:r w:rsidRPr="00E0488D">
        <w:rPr>
          <w:rStyle w:val="hps"/>
          <w:rFonts w:cs="Arial"/>
          <w:color w:val="000000" w:themeColor="text1"/>
        </w:rPr>
        <w:t>înregistrate pe coridorul</w:t>
      </w:r>
      <w:r w:rsidRPr="00E0488D">
        <w:t xml:space="preserve"> </w:t>
      </w:r>
      <w:r w:rsidRPr="00E0488D">
        <w:rPr>
          <w:rStyle w:val="hps"/>
          <w:rFonts w:cs="Arial"/>
          <w:color w:val="000000" w:themeColor="text1"/>
        </w:rPr>
        <w:t>est-vest</w:t>
      </w:r>
      <w:r w:rsidRPr="00E0488D">
        <w:t xml:space="preserve">, </w:t>
      </w:r>
      <w:r w:rsidRPr="00E0488D">
        <w:rPr>
          <w:rStyle w:val="hps"/>
          <w:rFonts w:cs="Arial"/>
          <w:color w:val="000000" w:themeColor="text1"/>
        </w:rPr>
        <w:t>Constanța</w:t>
      </w:r>
      <w:r w:rsidRPr="00E0488D">
        <w:rPr>
          <w:rStyle w:val="atn"/>
          <w:rFonts w:cs="Arial"/>
          <w:color w:val="000000" w:themeColor="text1"/>
        </w:rPr>
        <w:t>-</w:t>
      </w:r>
      <w:r w:rsidRPr="00E0488D">
        <w:t>București</w:t>
      </w:r>
      <w:r w:rsidRPr="00E0488D">
        <w:rPr>
          <w:rStyle w:val="atn"/>
          <w:rFonts w:cs="Arial"/>
          <w:color w:val="000000" w:themeColor="text1"/>
        </w:rPr>
        <w:t>-</w:t>
      </w:r>
      <w:r w:rsidRPr="00E0488D">
        <w:t>Sibiu</w:t>
      </w:r>
      <w:r w:rsidRPr="00E0488D">
        <w:rPr>
          <w:rStyle w:val="atn"/>
          <w:rFonts w:cs="Arial"/>
          <w:color w:val="000000" w:themeColor="text1"/>
        </w:rPr>
        <w:t>-</w:t>
      </w:r>
      <w:r w:rsidRPr="00E0488D">
        <w:t xml:space="preserve">Arad, dar </w:t>
      </w:r>
      <w:r w:rsidRPr="00E0488D">
        <w:rPr>
          <w:rStyle w:val="hps"/>
          <w:rFonts w:cs="Arial"/>
          <w:color w:val="000000" w:themeColor="text1"/>
        </w:rPr>
        <w:t>cu</w:t>
      </w:r>
      <w:r w:rsidRPr="00E0488D">
        <w:t xml:space="preserve"> </w:t>
      </w:r>
      <w:r w:rsidRPr="00E0488D">
        <w:rPr>
          <w:rStyle w:val="hps"/>
          <w:rFonts w:cs="Arial"/>
          <w:color w:val="000000" w:themeColor="text1"/>
        </w:rPr>
        <w:t>creșteri</w:t>
      </w:r>
      <w:r w:rsidRPr="00E0488D">
        <w:t xml:space="preserve"> </w:t>
      </w:r>
      <w:r w:rsidRPr="00E0488D">
        <w:rPr>
          <w:rStyle w:val="hps"/>
          <w:rFonts w:cs="Arial"/>
          <w:color w:val="000000" w:themeColor="text1"/>
        </w:rPr>
        <w:t>notabile</w:t>
      </w:r>
      <w:r w:rsidRPr="00E0488D">
        <w:t xml:space="preserve"> și </w:t>
      </w:r>
      <w:r w:rsidRPr="00E0488D">
        <w:rPr>
          <w:rStyle w:val="hps"/>
          <w:rFonts w:cs="Arial"/>
          <w:color w:val="000000" w:themeColor="text1"/>
        </w:rPr>
        <w:t>pentru transportul din partea de nord-sud</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București</w:t>
      </w:r>
      <w:r w:rsidRPr="00E0488D">
        <w:rPr>
          <w:rStyle w:val="atn"/>
          <w:rFonts w:cs="Arial"/>
          <w:color w:val="000000" w:themeColor="text1"/>
        </w:rPr>
        <w:t>-</w:t>
      </w:r>
      <w:r w:rsidRPr="00E0488D">
        <w:t>Buzău</w:t>
      </w:r>
      <w:r w:rsidRPr="00E0488D">
        <w:rPr>
          <w:rStyle w:val="atn"/>
          <w:rFonts w:cs="Arial"/>
          <w:color w:val="000000" w:themeColor="text1"/>
        </w:rPr>
        <w:t>-</w:t>
      </w:r>
      <w:r w:rsidRPr="00E0488D">
        <w:t xml:space="preserve">Bacău </w:t>
      </w:r>
      <w:r w:rsidRPr="00E0488D">
        <w:rPr>
          <w:rStyle w:val="hps"/>
          <w:rFonts w:cs="Arial"/>
          <w:color w:val="000000" w:themeColor="text1"/>
        </w:rPr>
        <w:t>și</w:t>
      </w:r>
      <w:r w:rsidRPr="00E0488D">
        <w:t xml:space="preserve"> </w:t>
      </w:r>
      <w:r w:rsidRPr="00E0488D">
        <w:rPr>
          <w:rStyle w:val="hps"/>
          <w:rFonts w:cs="Arial"/>
          <w:color w:val="000000" w:themeColor="text1"/>
        </w:rPr>
        <w:t>Sibiu</w:t>
      </w:r>
      <w:r w:rsidRPr="00E0488D">
        <w:rPr>
          <w:rStyle w:val="atn"/>
          <w:rFonts w:cs="Arial"/>
          <w:color w:val="000000" w:themeColor="text1"/>
        </w:rPr>
        <w:t>-</w:t>
      </w:r>
      <w:r w:rsidRPr="00E0488D">
        <w:t>Cluj.</w:t>
      </w:r>
    </w:p>
    <w:p w:rsidR="00B4550A" w:rsidRPr="00E0488D" w:rsidRDefault="00B4550A" w:rsidP="002B7E09">
      <w:pPr>
        <w:pStyle w:val="NumberedParas"/>
      </w:pPr>
      <w:r w:rsidRPr="00E0488D">
        <w:t>T</w:t>
      </w:r>
      <w:r w:rsidRPr="00E0488D">
        <w:rPr>
          <w:rStyle w:val="hps"/>
          <w:rFonts w:cs="Arial"/>
          <w:color w:val="000000" w:themeColor="text1"/>
        </w:rPr>
        <w:t>ransportul</w:t>
      </w:r>
      <w:r w:rsidRPr="00E0488D">
        <w:t xml:space="preserve"> </w:t>
      </w:r>
      <w:r w:rsidRPr="00E0488D">
        <w:rPr>
          <w:rStyle w:val="hps"/>
          <w:rFonts w:cs="Arial"/>
          <w:color w:val="000000" w:themeColor="text1"/>
        </w:rPr>
        <w:t>rutier de marfă înregistrează tipare</w:t>
      </w:r>
      <w:r w:rsidRPr="00E0488D">
        <w:t xml:space="preserve"> </w:t>
      </w:r>
      <w:r w:rsidRPr="00E0488D">
        <w:rPr>
          <w:rStyle w:val="hps"/>
          <w:rFonts w:cs="Arial"/>
          <w:color w:val="000000" w:themeColor="text1"/>
        </w:rPr>
        <w:t>similare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creștere</w:t>
      </w:r>
      <w:r w:rsidRPr="00E0488D">
        <w:t xml:space="preserve">, cu </w:t>
      </w:r>
      <w:r w:rsidRPr="00E0488D">
        <w:rPr>
          <w:rStyle w:val="hps"/>
          <w:rFonts w:cs="Arial"/>
          <w:color w:val="000000" w:themeColor="text1"/>
        </w:rPr>
        <w:t>volume</w:t>
      </w:r>
      <w:r w:rsidRPr="00E0488D">
        <w:t xml:space="preserve"> </w:t>
      </w:r>
      <w:r w:rsidRPr="00E0488D">
        <w:rPr>
          <w:rStyle w:val="hps"/>
          <w:rFonts w:cs="Arial"/>
          <w:color w:val="000000" w:themeColor="text1"/>
        </w:rPr>
        <w:t>de peste</w:t>
      </w:r>
      <w:r w:rsidRPr="00E0488D">
        <w:t xml:space="preserve"> </w:t>
      </w:r>
      <w:r w:rsidRPr="00E0488D">
        <w:rPr>
          <w:rStyle w:val="hps"/>
          <w:rFonts w:cs="Arial"/>
          <w:color w:val="000000" w:themeColor="text1"/>
        </w:rPr>
        <w:t>31</w:t>
      </w:r>
      <w:r w:rsidRPr="00E0488D">
        <w:t xml:space="preserve">%, </w:t>
      </w:r>
      <w:r w:rsidRPr="00E0488D">
        <w:rPr>
          <w:rStyle w:val="hps"/>
          <w:rFonts w:cs="Arial"/>
          <w:color w:val="000000" w:themeColor="text1"/>
        </w:rPr>
        <w:t>în comparație cu procentul</w:t>
      </w:r>
      <w:r w:rsidRPr="00E0488D">
        <w:t xml:space="preserve"> </w:t>
      </w:r>
      <w:r w:rsidRPr="00E0488D">
        <w:rPr>
          <w:rStyle w:val="hps"/>
          <w:rFonts w:cs="Arial"/>
          <w:color w:val="000000" w:themeColor="text1"/>
        </w:rPr>
        <w:t>total de aproximativ</w:t>
      </w:r>
      <w:r w:rsidRPr="00E0488D">
        <w:t xml:space="preserve"> </w:t>
      </w:r>
      <w:r w:rsidRPr="00E0488D">
        <w:rPr>
          <w:rStyle w:val="hps"/>
          <w:rFonts w:cs="Arial"/>
          <w:color w:val="000000" w:themeColor="text1"/>
        </w:rPr>
        <w:t>27%. Din nou,</w:t>
      </w:r>
      <w:r w:rsidRPr="00E0488D">
        <w:t xml:space="preserve"> </w:t>
      </w:r>
      <w:r w:rsidRPr="00E0488D">
        <w:rPr>
          <w:rStyle w:val="hps"/>
          <w:rFonts w:cs="Arial"/>
          <w:color w:val="000000" w:themeColor="text1"/>
        </w:rPr>
        <w:t>se observă creșterea distanței de</w:t>
      </w:r>
      <w:r w:rsidRPr="00E0488D">
        <w:t xml:space="preserve"> </w:t>
      </w:r>
      <w:r w:rsidRPr="00E0488D">
        <w:rPr>
          <w:rStyle w:val="hps"/>
          <w:rFonts w:cs="Arial"/>
          <w:color w:val="000000" w:themeColor="text1"/>
        </w:rPr>
        <w:t>călătorie parcurse în cazul</w:t>
      </w:r>
      <w:r w:rsidRPr="00E0488D">
        <w:t xml:space="preserve"> </w:t>
      </w:r>
      <w:r w:rsidRPr="00E0488D">
        <w:rPr>
          <w:rStyle w:val="hps"/>
          <w:rFonts w:cs="Arial"/>
          <w:color w:val="000000" w:themeColor="text1"/>
        </w:rPr>
        <w:t>transportului rutier de mărfuri</w:t>
      </w:r>
      <w:r w:rsidRPr="00E0488D">
        <w:t xml:space="preserve"> unde </w:t>
      </w:r>
      <w:r w:rsidRPr="00E0488D">
        <w:rPr>
          <w:rStyle w:val="hps"/>
          <w:rFonts w:cs="Arial"/>
          <w:color w:val="000000" w:themeColor="text1"/>
        </w:rPr>
        <w:t>tonele-kilometru</w:t>
      </w:r>
      <w:r w:rsidRPr="00E0488D">
        <w:t xml:space="preserve"> înregistrează o</w:t>
      </w:r>
      <w:r w:rsidRPr="00E0488D">
        <w:rPr>
          <w:rStyle w:val="hps"/>
          <w:rFonts w:cs="Arial"/>
          <w:color w:val="000000" w:themeColor="text1"/>
        </w:rPr>
        <w:t xml:space="preserve"> creștere de</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36</w:t>
      </w:r>
      <w:r w:rsidRPr="00E0488D">
        <w:t xml:space="preserve">% </w:t>
      </w:r>
      <w:r w:rsidRPr="00E0488D">
        <w:rPr>
          <w:rStyle w:val="hps"/>
          <w:rFonts w:cs="Arial"/>
          <w:color w:val="000000" w:themeColor="text1"/>
        </w:rPr>
        <w:t>față de procentul</w:t>
      </w:r>
      <w:r w:rsidRPr="00E0488D">
        <w:t xml:space="preserve"> </w:t>
      </w:r>
      <w:r w:rsidRPr="00E0488D">
        <w:rPr>
          <w:rStyle w:val="hps"/>
          <w:rFonts w:cs="Arial"/>
          <w:color w:val="000000" w:themeColor="text1"/>
        </w:rPr>
        <w:t>pentru toate modurile</w:t>
      </w:r>
      <w:r w:rsidRPr="00E0488D">
        <w:t xml:space="preserve"> de transport, respectiv </w:t>
      </w:r>
      <w:r w:rsidRPr="00E0488D">
        <w:rPr>
          <w:rStyle w:val="hps"/>
          <w:rFonts w:cs="Arial"/>
          <w:color w:val="000000" w:themeColor="text1"/>
        </w:rPr>
        <w:t>de</w:t>
      </w:r>
      <w:r w:rsidRPr="00E0488D">
        <w:t xml:space="preserve"> doar </w:t>
      </w:r>
      <w:r w:rsidRPr="00E0488D">
        <w:rPr>
          <w:rStyle w:val="hps"/>
          <w:rFonts w:cs="Arial"/>
          <w:color w:val="000000" w:themeColor="text1"/>
        </w:rPr>
        <w:t>32</w:t>
      </w:r>
      <w:r w:rsidRPr="00E0488D">
        <w:t>%.</w:t>
      </w:r>
    </w:p>
    <w:p w:rsidR="00B4550A" w:rsidRPr="00E0488D" w:rsidRDefault="00B4550A" w:rsidP="002B7E09">
      <w:pPr>
        <w:pStyle w:val="NumberedParas"/>
      </w:pPr>
      <w:r w:rsidRPr="00E0488D">
        <w:t xml:space="preserve">Pe scurt, modelul național de transport prognozează creșteri semnificative ale numărului de călătorii pe rețeaua rutieră, atât pentru autoturisme cât și pentru vehicule de marfă, fapt ce va avea ca rezultat o serie de probleme de capacitate și nivel de serviciu dacă nu se realizează îmbunătățiri ale rețelei. Principalele probleme care au fost identificate se pot rezuma după cum urmează: </w:t>
      </w:r>
    </w:p>
    <w:p w:rsidR="00B4550A" w:rsidRPr="00E0488D" w:rsidRDefault="00B4550A" w:rsidP="00BC2B57">
      <w:pPr>
        <w:pStyle w:val="BulletLevel1"/>
      </w:pPr>
      <w:r w:rsidRPr="00E0488D">
        <w:t>Accesibilitate scăzută către comerțul internațional;</w:t>
      </w:r>
    </w:p>
    <w:p w:rsidR="00B4550A" w:rsidRPr="00E0488D" w:rsidRDefault="00B4550A" w:rsidP="00BC2B57">
      <w:pPr>
        <w:pStyle w:val="BulletLevel1"/>
      </w:pPr>
      <w:r w:rsidRPr="00E0488D">
        <w:t>Timpi de parcurs mari care duc la servicii necompetitive;</w:t>
      </w:r>
    </w:p>
    <w:p w:rsidR="00B4550A" w:rsidRPr="00E0488D" w:rsidRDefault="00B4550A" w:rsidP="00BC2B57">
      <w:pPr>
        <w:pStyle w:val="BulletLevel1"/>
      </w:pPr>
      <w:r w:rsidRPr="00E0488D">
        <w:t>Costuri mari de administrare pentru transportatorii locali și naționali;</w:t>
      </w:r>
    </w:p>
    <w:p w:rsidR="00B4550A" w:rsidRPr="00E0488D" w:rsidRDefault="00B4550A" w:rsidP="00BC2B57">
      <w:pPr>
        <w:pStyle w:val="BulletLevel1"/>
      </w:pPr>
      <w:r w:rsidRPr="00E0488D">
        <w:t>Întârzieri înregistrate la punctele de trecere a frontierei;</w:t>
      </w:r>
    </w:p>
    <w:p w:rsidR="00B4550A" w:rsidRPr="00E0488D" w:rsidRDefault="00B4550A" w:rsidP="00BC2B57">
      <w:pPr>
        <w:pStyle w:val="BulletLevel1"/>
      </w:pPr>
      <w:r w:rsidRPr="00E0488D">
        <w:t>Rate crescute ale accidentelor soldate cu decese în comparație cu restul țărilor UE.</w:t>
      </w:r>
    </w:p>
    <w:p w:rsidR="00B4550A" w:rsidRPr="00E0488D" w:rsidRDefault="00B4550A" w:rsidP="00BC2B57">
      <w:pPr>
        <w:pStyle w:val="BulletLevel1"/>
      </w:pPr>
      <w:r w:rsidRPr="00E0488D">
        <w:t>Lipsa parcărilor cu bune condiții de siguranță și securitate pentru vehiculele de marfă</w:t>
      </w:r>
    </w:p>
    <w:p w:rsidR="00B4550A" w:rsidRPr="00E0488D" w:rsidRDefault="00B4550A" w:rsidP="00BC2B57">
      <w:pPr>
        <w:pStyle w:val="BulletLevel1"/>
      </w:pPr>
      <w:r w:rsidRPr="00E0488D">
        <w:t>Întreținerea inadecvată a activelor;</w:t>
      </w:r>
    </w:p>
    <w:p w:rsidR="00B4550A" w:rsidRPr="00E0488D" w:rsidRDefault="00B4550A" w:rsidP="00BC2B57">
      <w:pPr>
        <w:pStyle w:val="BulletLevel1"/>
      </w:pPr>
      <w:r w:rsidRPr="00E0488D">
        <w:t xml:space="preserve">Probleme de stabilitate și capacitate instituțională și organizatorică; </w:t>
      </w:r>
    </w:p>
    <w:p w:rsidR="00B4550A" w:rsidRPr="00E0488D" w:rsidRDefault="00B4550A" w:rsidP="00BC2B57">
      <w:pPr>
        <w:pStyle w:val="BulletLevel1"/>
      </w:pPr>
      <w:r w:rsidRPr="00E0488D">
        <w:t>Greutăți pe osie prea mari care duc la deprecierea semnificativă a suprafeței carosabile.</w:t>
      </w:r>
    </w:p>
    <w:p w:rsidR="00B4550A" w:rsidRPr="00E0488D" w:rsidRDefault="00B4550A" w:rsidP="00BD59B2">
      <w:pPr>
        <w:pStyle w:val="Hdg2"/>
      </w:pPr>
      <w:bookmarkStart w:id="79" w:name="_Toc398020044"/>
      <w:bookmarkStart w:id="80" w:name="_Toc413060314"/>
      <w:r w:rsidRPr="00E0488D">
        <w:t>Obiective strategice</w:t>
      </w:r>
      <w:bookmarkEnd w:id="79"/>
      <w:bookmarkEnd w:id="80"/>
    </w:p>
    <w:p w:rsidR="00B4550A" w:rsidRPr="00E0488D" w:rsidRDefault="00B4550A" w:rsidP="002B7E09">
      <w:pPr>
        <w:pStyle w:val="NumberedParas"/>
      </w:pPr>
      <w:r w:rsidRPr="00E0488D">
        <w:t xml:space="preserve">Obiectivele strategice identificate pentru sectorul de transport rutier sunt următoarele: </w:t>
      </w:r>
    </w:p>
    <w:p w:rsidR="00B4550A" w:rsidRPr="00E0488D" w:rsidRDefault="00B4550A" w:rsidP="00BC2B57">
      <w:pPr>
        <w:pStyle w:val="BulletLevel1"/>
      </w:pPr>
      <w:r w:rsidRPr="00E0488D">
        <w:lastRenderedPageBreak/>
        <w:t>Îmbunătățirea mobilității populației și a traficului aferent transportului de mărfuri în cadrul rețelei TEN-T de bază și a rețelei extinse, prin construcția unei rețele de autostrăzi și drumuri expres;</w:t>
      </w:r>
    </w:p>
    <w:p w:rsidR="00B4550A" w:rsidRPr="00E0488D" w:rsidRDefault="00B4550A" w:rsidP="00BC2B57">
      <w:pPr>
        <w:pStyle w:val="BulletLevel1"/>
      </w:pPr>
      <w:r w:rsidRPr="00E0488D">
        <w:t>Asigurarea accesului pentru populație și pentru mediul de afaceri la rețeaua TEN-T de bază și la rețeaua extinsă, prin construcția coridoarelor de legătură națională;</w:t>
      </w:r>
    </w:p>
    <w:p w:rsidR="00B4550A" w:rsidRPr="00E0488D" w:rsidRDefault="00B4550A" w:rsidP="00BC2B57">
      <w:pPr>
        <w:pStyle w:val="BulletLevel1"/>
      </w:pPr>
      <w:r w:rsidRPr="00E0488D">
        <w:t>Asigurarea unei rețele de transport rutier sigure și operaționale, care să contribuie la reducerea numărului de accidente rutiere, precum și la reducerea timpilor de călătorie;</w:t>
      </w:r>
    </w:p>
    <w:p w:rsidR="00B4550A" w:rsidRPr="00E0488D" w:rsidRDefault="00B4550A" w:rsidP="00BC2B57">
      <w:pPr>
        <w:pStyle w:val="BulletLevel1"/>
      </w:pPr>
      <w:r w:rsidRPr="00E0488D">
        <w:t xml:space="preserve">Asigurarea accesului internațional prin intermediul legăturilor cu țările vecine; și </w:t>
      </w:r>
    </w:p>
    <w:p w:rsidR="00B4550A" w:rsidRPr="00E0488D" w:rsidRDefault="00B4550A" w:rsidP="00BC2B57">
      <w:pPr>
        <w:pStyle w:val="BulletLevel1"/>
      </w:pPr>
      <w:r w:rsidRPr="00E0488D">
        <w:t>Asigurarea unei rețele de transport propice mediului înconjurător, prin implementarea proiectelor de variantă de ocolire.</w:t>
      </w:r>
    </w:p>
    <w:p w:rsidR="00B4550A" w:rsidRPr="00E0488D" w:rsidRDefault="00B4550A" w:rsidP="002B7E09">
      <w:pPr>
        <w:pStyle w:val="NumberedParas"/>
      </w:pPr>
      <w:r w:rsidRPr="00E0488D">
        <w:t>În contextul finanțărilor limitate, se resimte nevoia concentrării politicilor și investițiilor naționale asupra porțiunilor de rețea rutieră care, din punct de vedere al rolului și al utilității, alcătuiesc sectorul principal al rețelei naționale. Acest concept este Rețeaua Economică Primară (REP).</w:t>
      </w:r>
    </w:p>
    <w:p w:rsidR="00B4550A" w:rsidRPr="00E0488D" w:rsidRDefault="00B4550A" w:rsidP="002B7E09">
      <w:pPr>
        <w:pStyle w:val="NumberedParas"/>
      </w:pPr>
      <w:r w:rsidRPr="00E0488D">
        <w:t xml:space="preserve">Definirea Rețelei Economice Primare pentru sectorul de transport rutier reprezintă o funcție a următorilor factori:  </w:t>
      </w:r>
    </w:p>
    <w:p w:rsidR="00B4550A" w:rsidRPr="00E0488D" w:rsidRDefault="00B4550A" w:rsidP="00BC2B57">
      <w:pPr>
        <w:pStyle w:val="BulletLevel1"/>
      </w:pPr>
      <w:r w:rsidRPr="00E0488D">
        <w:t xml:space="preserve">Conectivitatea între centrele populate importante și centrele importante definite de un nivel al populației mai mare de 125.000;  </w:t>
      </w:r>
    </w:p>
    <w:p w:rsidR="00B4550A" w:rsidRPr="00E0488D" w:rsidRDefault="00B4550A" w:rsidP="00BC2B57">
      <w:pPr>
        <w:pStyle w:val="BulletLevel1"/>
      </w:pPr>
      <w:r w:rsidRPr="00E0488D">
        <w:t>Conectivitatea cu puncte de deschidere către exterior, precum treceri de frontieră, aeroporturi și porturi; și</w:t>
      </w:r>
    </w:p>
    <w:p w:rsidR="00B4550A" w:rsidRPr="00E0488D" w:rsidRDefault="00B4550A" w:rsidP="00BC2B57">
      <w:pPr>
        <w:pStyle w:val="BulletLevel1"/>
      </w:pPr>
      <w:r w:rsidRPr="00E0488D">
        <w:t xml:space="preserve">Coridoare de o importanță majoră din punct de vedere economic, caracterizate printr-o capacitate mare ce permite transportul intensiv de mărfuri. </w:t>
      </w:r>
    </w:p>
    <w:p w:rsidR="00B4550A" w:rsidRPr="00E0488D" w:rsidRDefault="00B4550A" w:rsidP="002B7E09">
      <w:pPr>
        <w:pStyle w:val="NumberedParas"/>
      </w:pPr>
      <w:r w:rsidRPr="00E0488D">
        <w:t xml:space="preserve">Centrele populate și punctele de trecere a frontierei ce au fost utilizate pentru definirea rețelei primare sunt prezentate în Tabelele 4.13 și 4.14.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Tabelul 4.13</w:t>
      </w:r>
      <w:r w:rsidRPr="00E0488D">
        <w:rPr>
          <w:b/>
          <w:sz w:val="22"/>
          <w:szCs w:val="22"/>
          <w:lang w:val="ro-RO"/>
        </w:rPr>
        <w:tab/>
        <w:t xml:space="preserve">Cele mai populate 20 de orașe </w:t>
      </w:r>
    </w:p>
    <w:tbl>
      <w:tblPr>
        <w:tblW w:w="9474"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1881"/>
        <w:gridCol w:w="1881"/>
        <w:gridCol w:w="1024"/>
        <w:gridCol w:w="1879"/>
        <w:gridCol w:w="1883"/>
      </w:tblGrid>
      <w:tr w:rsidR="00B4550A" w:rsidRPr="00E0488D" w:rsidTr="003C7FC8">
        <w:trPr>
          <w:cantSplit/>
        </w:trPr>
        <w:tc>
          <w:tcPr>
            <w:tcW w:w="926" w:type="dxa"/>
            <w:shd w:val="clear" w:color="auto" w:fill="B8CCE4" w:themeFill="accent1" w:themeFillTint="66"/>
            <w:vAlign w:val="center"/>
          </w:tcPr>
          <w:p w:rsidR="00B4550A" w:rsidRPr="00E0488D" w:rsidRDefault="00B4550A" w:rsidP="003C7FC8">
            <w:pPr>
              <w:spacing w:before="60" w:after="60"/>
              <w:jc w:val="center"/>
              <w:rPr>
                <w:b/>
                <w:sz w:val="22"/>
                <w:szCs w:val="22"/>
                <w:lang w:val="ro-RO"/>
              </w:rPr>
            </w:pPr>
            <w:r w:rsidRPr="00E0488D">
              <w:rPr>
                <w:b/>
                <w:sz w:val="22"/>
                <w:szCs w:val="22"/>
                <w:lang w:val="ro-RO"/>
              </w:rPr>
              <w:t>Ordine</w:t>
            </w:r>
          </w:p>
        </w:tc>
        <w:tc>
          <w:tcPr>
            <w:tcW w:w="1881" w:type="dxa"/>
            <w:shd w:val="clear" w:color="auto" w:fill="B8CCE4" w:themeFill="accent1" w:themeFillTint="66"/>
          </w:tcPr>
          <w:p w:rsidR="00B4550A" w:rsidRPr="00E0488D" w:rsidRDefault="00B4550A" w:rsidP="003C7FC8">
            <w:pPr>
              <w:spacing w:before="60" w:after="60"/>
              <w:jc w:val="center"/>
              <w:rPr>
                <w:b/>
                <w:sz w:val="22"/>
                <w:szCs w:val="22"/>
                <w:lang w:val="ro-RO"/>
              </w:rPr>
            </w:pPr>
            <w:r w:rsidRPr="00E0488D">
              <w:rPr>
                <w:b/>
                <w:sz w:val="22"/>
                <w:szCs w:val="22"/>
                <w:lang w:val="ro-RO"/>
              </w:rPr>
              <w:t>Oraș</w:t>
            </w:r>
          </w:p>
        </w:tc>
        <w:tc>
          <w:tcPr>
            <w:tcW w:w="1881" w:type="dxa"/>
            <w:shd w:val="clear" w:color="auto" w:fill="B8CCE4" w:themeFill="accent1" w:themeFillTint="66"/>
          </w:tcPr>
          <w:p w:rsidR="00B4550A" w:rsidRPr="00E0488D" w:rsidRDefault="00B4550A" w:rsidP="003C7FC8">
            <w:pPr>
              <w:spacing w:before="60" w:after="60"/>
              <w:jc w:val="center"/>
              <w:rPr>
                <w:b/>
                <w:sz w:val="22"/>
                <w:szCs w:val="22"/>
                <w:lang w:val="ro-RO"/>
              </w:rPr>
            </w:pPr>
            <w:r w:rsidRPr="00E0488D">
              <w:rPr>
                <w:b/>
                <w:sz w:val="22"/>
                <w:szCs w:val="22"/>
                <w:lang w:val="ro-RO"/>
              </w:rPr>
              <w:t>Populație</w:t>
            </w:r>
          </w:p>
        </w:tc>
        <w:tc>
          <w:tcPr>
            <w:tcW w:w="1024" w:type="dxa"/>
            <w:shd w:val="clear" w:color="auto" w:fill="B8CCE4" w:themeFill="accent1" w:themeFillTint="66"/>
            <w:vAlign w:val="center"/>
          </w:tcPr>
          <w:p w:rsidR="00B4550A" w:rsidRPr="00E0488D" w:rsidRDefault="00B4550A" w:rsidP="003C7FC8">
            <w:pPr>
              <w:spacing w:before="60" w:after="60"/>
              <w:jc w:val="center"/>
              <w:rPr>
                <w:b/>
                <w:sz w:val="22"/>
                <w:szCs w:val="22"/>
                <w:lang w:val="ro-RO"/>
              </w:rPr>
            </w:pPr>
            <w:r w:rsidRPr="00E0488D">
              <w:rPr>
                <w:b/>
                <w:sz w:val="22"/>
                <w:szCs w:val="22"/>
                <w:lang w:val="ro-RO"/>
              </w:rPr>
              <w:t>Ordine</w:t>
            </w:r>
          </w:p>
        </w:tc>
        <w:tc>
          <w:tcPr>
            <w:tcW w:w="1879" w:type="dxa"/>
            <w:shd w:val="clear" w:color="auto" w:fill="B8CCE4" w:themeFill="accent1" w:themeFillTint="66"/>
          </w:tcPr>
          <w:p w:rsidR="00B4550A" w:rsidRPr="00E0488D" w:rsidRDefault="00B4550A" w:rsidP="003C7FC8">
            <w:pPr>
              <w:spacing w:before="60" w:after="60"/>
              <w:jc w:val="center"/>
              <w:rPr>
                <w:b/>
                <w:sz w:val="22"/>
                <w:szCs w:val="22"/>
                <w:lang w:val="ro-RO"/>
              </w:rPr>
            </w:pPr>
            <w:r w:rsidRPr="00E0488D">
              <w:rPr>
                <w:b/>
                <w:sz w:val="22"/>
                <w:szCs w:val="22"/>
                <w:lang w:val="ro-RO"/>
              </w:rPr>
              <w:t>Oraș</w:t>
            </w:r>
          </w:p>
        </w:tc>
        <w:tc>
          <w:tcPr>
            <w:tcW w:w="1883" w:type="dxa"/>
            <w:shd w:val="clear" w:color="auto" w:fill="B8CCE4" w:themeFill="accent1" w:themeFillTint="66"/>
          </w:tcPr>
          <w:p w:rsidR="00B4550A" w:rsidRPr="00E0488D" w:rsidRDefault="00B4550A" w:rsidP="003C7FC8">
            <w:pPr>
              <w:spacing w:before="60" w:after="60"/>
              <w:jc w:val="center"/>
              <w:rPr>
                <w:b/>
                <w:sz w:val="22"/>
                <w:szCs w:val="22"/>
                <w:lang w:val="ro-RO"/>
              </w:rPr>
            </w:pPr>
            <w:r w:rsidRPr="00E0488D">
              <w:rPr>
                <w:b/>
                <w:sz w:val="22"/>
                <w:szCs w:val="22"/>
                <w:lang w:val="ro-RO"/>
              </w:rPr>
              <w:t>Populație</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1</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București</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1.883,425</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11</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Brăila</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180</w:t>
            </w:r>
            <w:r w:rsidRPr="00E0488D">
              <w:rPr>
                <w:color w:val="000000"/>
                <w:sz w:val="22"/>
                <w:szCs w:val="22"/>
                <w:lang w:val="ro-RO"/>
              </w:rPr>
              <w:t>.</w:t>
            </w:r>
            <w:r w:rsidRPr="00E0488D">
              <w:rPr>
                <w:sz w:val="22"/>
                <w:szCs w:val="22"/>
                <w:lang w:val="ro-RO"/>
              </w:rPr>
              <w:t>302</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2</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Cluj-Napoca</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324.576</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12</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Arad</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159</w:t>
            </w:r>
            <w:r w:rsidRPr="00E0488D">
              <w:rPr>
                <w:color w:val="000000"/>
                <w:sz w:val="22"/>
                <w:szCs w:val="22"/>
                <w:lang w:val="ro-RO"/>
              </w:rPr>
              <w:t>.</w:t>
            </w:r>
            <w:r w:rsidRPr="00E0488D">
              <w:rPr>
                <w:sz w:val="22"/>
                <w:szCs w:val="22"/>
                <w:lang w:val="ro-RO"/>
              </w:rPr>
              <w:t>704</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3</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Timișoara</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319.279</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13</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Pitești</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155</w:t>
            </w:r>
            <w:r w:rsidRPr="00E0488D">
              <w:rPr>
                <w:color w:val="000000"/>
                <w:sz w:val="22"/>
                <w:szCs w:val="22"/>
                <w:lang w:val="ro-RO"/>
              </w:rPr>
              <w:t>.</w:t>
            </w:r>
            <w:r w:rsidRPr="00E0488D">
              <w:rPr>
                <w:sz w:val="22"/>
                <w:szCs w:val="22"/>
                <w:lang w:val="ro-RO"/>
              </w:rPr>
              <w:t>383</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4</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Iași</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290</w:t>
            </w:r>
            <w:r w:rsidRPr="00E0488D">
              <w:rPr>
                <w:color w:val="000000"/>
                <w:sz w:val="22"/>
                <w:szCs w:val="22"/>
                <w:lang w:val="ro-RO"/>
              </w:rPr>
              <w:t>.</w:t>
            </w:r>
            <w:r w:rsidRPr="00E0488D">
              <w:rPr>
                <w:sz w:val="22"/>
                <w:szCs w:val="22"/>
                <w:lang w:val="ro-RO"/>
              </w:rPr>
              <w:t>422</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14</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Sibiu</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147</w:t>
            </w:r>
            <w:r w:rsidRPr="00E0488D">
              <w:rPr>
                <w:color w:val="000000"/>
                <w:sz w:val="22"/>
                <w:szCs w:val="22"/>
                <w:lang w:val="ro-RO"/>
              </w:rPr>
              <w:t>.</w:t>
            </w:r>
            <w:r w:rsidRPr="00E0488D">
              <w:rPr>
                <w:sz w:val="22"/>
                <w:szCs w:val="22"/>
                <w:lang w:val="ro-RO"/>
              </w:rPr>
              <w:t>245</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5</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Constanța</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283</w:t>
            </w:r>
            <w:r w:rsidRPr="00E0488D">
              <w:rPr>
                <w:color w:val="000000"/>
                <w:sz w:val="22"/>
                <w:szCs w:val="22"/>
                <w:lang w:val="ro-RO"/>
              </w:rPr>
              <w:t>.</w:t>
            </w:r>
            <w:r w:rsidRPr="00E0488D">
              <w:rPr>
                <w:sz w:val="22"/>
                <w:szCs w:val="22"/>
                <w:lang w:val="ro-RO"/>
              </w:rPr>
              <w:t>872</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15</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Bacău</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144</w:t>
            </w:r>
            <w:r w:rsidRPr="00E0488D">
              <w:rPr>
                <w:color w:val="000000"/>
                <w:sz w:val="22"/>
                <w:szCs w:val="22"/>
                <w:lang w:val="ro-RO"/>
              </w:rPr>
              <w:t>.</w:t>
            </w:r>
            <w:r w:rsidRPr="00E0488D">
              <w:rPr>
                <w:sz w:val="22"/>
                <w:szCs w:val="22"/>
                <w:lang w:val="ro-RO"/>
              </w:rPr>
              <w:t>307</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6</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Craiova</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269</w:t>
            </w:r>
            <w:r w:rsidRPr="00E0488D">
              <w:rPr>
                <w:color w:val="000000"/>
                <w:sz w:val="22"/>
                <w:szCs w:val="22"/>
                <w:lang w:val="ro-RO"/>
              </w:rPr>
              <w:t>.</w:t>
            </w:r>
            <w:r w:rsidRPr="00E0488D">
              <w:rPr>
                <w:sz w:val="22"/>
                <w:szCs w:val="22"/>
                <w:lang w:val="ro-RO"/>
              </w:rPr>
              <w:t>506</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16</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Târgu Mureș</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134</w:t>
            </w:r>
            <w:r w:rsidRPr="00E0488D">
              <w:rPr>
                <w:color w:val="000000"/>
                <w:sz w:val="22"/>
                <w:szCs w:val="22"/>
                <w:lang w:val="ro-RO"/>
              </w:rPr>
              <w:t>.</w:t>
            </w:r>
            <w:r w:rsidRPr="00E0488D">
              <w:rPr>
                <w:sz w:val="22"/>
                <w:szCs w:val="22"/>
                <w:lang w:val="ro-RO"/>
              </w:rPr>
              <w:t>290</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7</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Brașov</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253</w:t>
            </w:r>
            <w:r w:rsidRPr="00E0488D">
              <w:rPr>
                <w:color w:val="000000"/>
                <w:sz w:val="22"/>
                <w:szCs w:val="22"/>
                <w:lang w:val="ro-RO"/>
              </w:rPr>
              <w:t>.</w:t>
            </w:r>
            <w:r w:rsidRPr="00E0488D">
              <w:rPr>
                <w:sz w:val="22"/>
                <w:szCs w:val="22"/>
                <w:lang w:val="ro-RO"/>
              </w:rPr>
              <w:t>200</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17</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Baia Mare</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123</w:t>
            </w:r>
            <w:r w:rsidRPr="00E0488D">
              <w:rPr>
                <w:color w:val="000000"/>
                <w:sz w:val="22"/>
                <w:szCs w:val="22"/>
                <w:lang w:val="ro-RO"/>
              </w:rPr>
              <w:t>.</w:t>
            </w:r>
            <w:r w:rsidRPr="00E0488D">
              <w:rPr>
                <w:sz w:val="22"/>
                <w:szCs w:val="22"/>
                <w:lang w:val="ro-RO"/>
              </w:rPr>
              <w:t>738</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8</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Galați</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249</w:t>
            </w:r>
            <w:r w:rsidRPr="00E0488D">
              <w:rPr>
                <w:color w:val="000000"/>
                <w:sz w:val="22"/>
                <w:szCs w:val="22"/>
                <w:lang w:val="ro-RO"/>
              </w:rPr>
              <w:t>.</w:t>
            </w:r>
            <w:r w:rsidRPr="00E0488D">
              <w:rPr>
                <w:sz w:val="22"/>
                <w:szCs w:val="22"/>
                <w:lang w:val="ro-RO"/>
              </w:rPr>
              <w:t>342</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18</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Buzău</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115</w:t>
            </w:r>
            <w:r w:rsidRPr="00E0488D">
              <w:rPr>
                <w:color w:val="000000"/>
                <w:sz w:val="22"/>
                <w:szCs w:val="22"/>
                <w:lang w:val="ro-RO"/>
              </w:rPr>
              <w:t>.</w:t>
            </w:r>
            <w:r w:rsidRPr="00E0488D">
              <w:rPr>
                <w:sz w:val="22"/>
                <w:szCs w:val="22"/>
                <w:lang w:val="ro-RO"/>
              </w:rPr>
              <w:t>494</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9</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Ploiești</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209</w:t>
            </w:r>
            <w:r w:rsidRPr="00E0488D">
              <w:rPr>
                <w:color w:val="000000"/>
                <w:sz w:val="22"/>
                <w:szCs w:val="22"/>
                <w:lang w:val="ro-RO"/>
              </w:rPr>
              <w:t>.</w:t>
            </w:r>
            <w:r w:rsidRPr="00E0488D">
              <w:rPr>
                <w:sz w:val="22"/>
                <w:szCs w:val="22"/>
                <w:lang w:val="ro-RO"/>
              </w:rPr>
              <w:t>945</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19</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Botoșani</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106</w:t>
            </w:r>
            <w:r w:rsidRPr="00E0488D">
              <w:rPr>
                <w:color w:val="000000"/>
                <w:sz w:val="22"/>
                <w:szCs w:val="22"/>
                <w:lang w:val="ro-RO"/>
              </w:rPr>
              <w:t>.</w:t>
            </w:r>
            <w:r w:rsidRPr="00E0488D">
              <w:rPr>
                <w:sz w:val="22"/>
                <w:szCs w:val="22"/>
                <w:lang w:val="ro-RO"/>
              </w:rPr>
              <w:t>847</w:t>
            </w:r>
          </w:p>
        </w:tc>
      </w:tr>
      <w:tr w:rsidR="00B4550A" w:rsidRPr="00E0488D" w:rsidTr="003C7FC8">
        <w:trPr>
          <w:cantSplit/>
        </w:trPr>
        <w:tc>
          <w:tcPr>
            <w:tcW w:w="926" w:type="dxa"/>
            <w:vAlign w:val="center"/>
          </w:tcPr>
          <w:p w:rsidR="00B4550A" w:rsidRPr="00E0488D" w:rsidRDefault="00B4550A" w:rsidP="003C7FC8">
            <w:pPr>
              <w:spacing w:before="60" w:after="60"/>
              <w:jc w:val="center"/>
              <w:rPr>
                <w:sz w:val="22"/>
                <w:szCs w:val="22"/>
                <w:lang w:val="ro-RO"/>
              </w:rPr>
            </w:pPr>
            <w:r w:rsidRPr="00E0488D">
              <w:rPr>
                <w:sz w:val="22"/>
                <w:szCs w:val="22"/>
                <w:lang w:val="ro-RO"/>
              </w:rPr>
              <w:t>10</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Oradea</w:t>
            </w:r>
          </w:p>
        </w:tc>
        <w:tc>
          <w:tcPr>
            <w:tcW w:w="1881"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196</w:t>
            </w:r>
            <w:r w:rsidRPr="00E0488D">
              <w:rPr>
                <w:color w:val="000000"/>
                <w:sz w:val="22"/>
                <w:szCs w:val="22"/>
                <w:lang w:val="ro-RO"/>
              </w:rPr>
              <w:t>.</w:t>
            </w:r>
            <w:r w:rsidRPr="00E0488D">
              <w:rPr>
                <w:sz w:val="22"/>
                <w:szCs w:val="22"/>
                <w:lang w:val="ro-RO"/>
              </w:rPr>
              <w:t>367</w:t>
            </w:r>
          </w:p>
        </w:tc>
        <w:tc>
          <w:tcPr>
            <w:tcW w:w="1024" w:type="dxa"/>
          </w:tcPr>
          <w:p w:rsidR="00B4550A" w:rsidRPr="00E0488D" w:rsidRDefault="00B4550A" w:rsidP="003C7FC8">
            <w:pPr>
              <w:spacing w:before="60" w:after="60"/>
              <w:jc w:val="center"/>
              <w:rPr>
                <w:sz w:val="22"/>
                <w:szCs w:val="22"/>
                <w:lang w:val="ro-RO"/>
              </w:rPr>
            </w:pPr>
            <w:r w:rsidRPr="00E0488D">
              <w:rPr>
                <w:sz w:val="22"/>
                <w:szCs w:val="22"/>
                <w:lang w:val="ro-RO"/>
              </w:rPr>
              <w:t>20</w:t>
            </w:r>
          </w:p>
        </w:tc>
        <w:tc>
          <w:tcPr>
            <w:tcW w:w="1879"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Satu Mare</w:t>
            </w:r>
          </w:p>
        </w:tc>
        <w:tc>
          <w:tcPr>
            <w:tcW w:w="1883" w:type="dxa"/>
            <w:vAlign w:val="bottom"/>
          </w:tcPr>
          <w:p w:rsidR="00B4550A" w:rsidRPr="00E0488D" w:rsidRDefault="00B4550A" w:rsidP="003C7FC8">
            <w:pPr>
              <w:spacing w:before="60" w:after="60"/>
              <w:jc w:val="center"/>
              <w:rPr>
                <w:sz w:val="22"/>
                <w:szCs w:val="22"/>
                <w:lang w:val="ro-RO"/>
              </w:rPr>
            </w:pPr>
            <w:r w:rsidRPr="00E0488D">
              <w:rPr>
                <w:sz w:val="22"/>
                <w:szCs w:val="22"/>
                <w:lang w:val="ro-RO"/>
              </w:rPr>
              <w:t>102</w:t>
            </w:r>
            <w:r w:rsidRPr="00E0488D">
              <w:rPr>
                <w:color w:val="000000"/>
                <w:sz w:val="22"/>
                <w:szCs w:val="22"/>
                <w:lang w:val="ro-RO"/>
              </w:rPr>
              <w:t>.</w:t>
            </w:r>
            <w:r w:rsidRPr="00E0488D">
              <w:rPr>
                <w:sz w:val="22"/>
                <w:szCs w:val="22"/>
                <w:lang w:val="ro-RO"/>
              </w:rPr>
              <w:t>441</w:t>
            </w:r>
          </w:p>
        </w:tc>
      </w:tr>
    </w:tbl>
    <w:p w:rsidR="00B4550A" w:rsidRPr="00E0488D" w:rsidRDefault="00B4550A" w:rsidP="00B4550A">
      <w:pPr>
        <w:spacing w:before="120" w:after="120" w:line="276" w:lineRule="auto"/>
        <w:ind w:left="851"/>
        <w:rPr>
          <w:i/>
          <w:lang w:val="ro-RO"/>
        </w:rPr>
      </w:pPr>
      <w:r w:rsidRPr="00E0488D">
        <w:rPr>
          <w:i/>
          <w:lang w:val="ro-RO"/>
        </w:rPr>
        <w:t>Sursa: Recensământul Național din România 2012</w:t>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lastRenderedPageBreak/>
        <w:t>Tabelul 4.14</w:t>
      </w:r>
      <w:r w:rsidRPr="00E0488D">
        <w:rPr>
          <w:b/>
          <w:sz w:val="22"/>
          <w:szCs w:val="22"/>
          <w:lang w:val="ro-RO"/>
        </w:rPr>
        <w:tab/>
        <w:t>Cele mai importante 10 puncte de trecere a frontierei (Fluxul de trafic al vehiculelor de transport mărfuri – MZA, 2011)</w:t>
      </w:r>
    </w:p>
    <w:tbl>
      <w:tblPr>
        <w:tblW w:w="9474"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2417"/>
        <w:gridCol w:w="1648"/>
        <w:gridCol w:w="2391"/>
        <w:gridCol w:w="2093"/>
      </w:tblGrid>
      <w:tr w:rsidR="00B4550A" w:rsidRPr="00E0488D" w:rsidTr="003C7FC8">
        <w:tc>
          <w:tcPr>
            <w:tcW w:w="882" w:type="dxa"/>
            <w:vMerge w:val="restart"/>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Ordine</w:t>
            </w:r>
          </w:p>
        </w:tc>
        <w:tc>
          <w:tcPr>
            <w:tcW w:w="2432" w:type="dxa"/>
            <w:vMerge w:val="restart"/>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Punct de trecere a frontierei</w:t>
            </w:r>
          </w:p>
        </w:tc>
        <w:tc>
          <w:tcPr>
            <w:tcW w:w="1653" w:type="dxa"/>
            <w:vMerge w:val="restart"/>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Total vehicule grele de transport marfă</w:t>
            </w:r>
          </w:p>
        </w:tc>
        <w:tc>
          <w:tcPr>
            <w:tcW w:w="4507" w:type="dxa"/>
            <w:gridSpan w:val="2"/>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Proporția din fluxului total la granițe</w:t>
            </w:r>
          </w:p>
        </w:tc>
      </w:tr>
      <w:tr w:rsidR="00B4550A" w:rsidRPr="00E0488D" w:rsidTr="003C7FC8">
        <w:tc>
          <w:tcPr>
            <w:tcW w:w="882" w:type="dxa"/>
            <w:vMerge/>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p>
        </w:tc>
        <w:tc>
          <w:tcPr>
            <w:tcW w:w="2432" w:type="dxa"/>
            <w:vMerge/>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p>
        </w:tc>
        <w:tc>
          <w:tcPr>
            <w:tcW w:w="1653" w:type="dxa"/>
            <w:vMerge/>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p>
        </w:tc>
        <w:tc>
          <w:tcPr>
            <w:tcW w:w="2404" w:type="dxa"/>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Individual</w:t>
            </w:r>
          </w:p>
        </w:tc>
        <w:tc>
          <w:tcPr>
            <w:tcW w:w="2103" w:type="dxa"/>
            <w:shd w:val="clear" w:color="auto" w:fill="DBE5F1" w:themeFill="accent1" w:themeFillTint="33"/>
            <w:vAlign w:val="center"/>
          </w:tcPr>
          <w:p w:rsidR="00B4550A" w:rsidRPr="00E0488D" w:rsidRDefault="00B4550A" w:rsidP="003C7FC8">
            <w:pPr>
              <w:keepNext/>
              <w:spacing w:before="60" w:after="60"/>
              <w:jc w:val="center"/>
              <w:rPr>
                <w:b/>
                <w:sz w:val="22"/>
                <w:szCs w:val="22"/>
                <w:lang w:val="ro-RO"/>
              </w:rPr>
            </w:pPr>
            <w:r w:rsidRPr="00E0488D">
              <w:rPr>
                <w:b/>
                <w:sz w:val="22"/>
                <w:szCs w:val="22"/>
                <w:lang w:val="ro-RO"/>
              </w:rPr>
              <w:t>Cumulativ</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Nădlac</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w:t>
            </w:r>
            <w:r w:rsidRPr="00E0488D">
              <w:rPr>
                <w:color w:val="000000"/>
                <w:sz w:val="22"/>
                <w:szCs w:val="22"/>
                <w:lang w:val="ro-RO"/>
              </w:rPr>
              <w:t>.</w:t>
            </w:r>
            <w:r w:rsidRPr="00E0488D">
              <w:rPr>
                <w:sz w:val="22"/>
                <w:szCs w:val="22"/>
                <w:lang w:val="ro-RO"/>
              </w:rPr>
              <w:t>778</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22,7%</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22,7%</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Borș</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w:t>
            </w:r>
            <w:r w:rsidRPr="00E0488D">
              <w:rPr>
                <w:color w:val="000000"/>
                <w:sz w:val="22"/>
                <w:szCs w:val="22"/>
                <w:lang w:val="ro-RO"/>
              </w:rPr>
              <w:t>.</w:t>
            </w:r>
            <w:r w:rsidRPr="00E0488D">
              <w:rPr>
                <w:sz w:val="22"/>
                <w:szCs w:val="22"/>
                <w:lang w:val="ro-RO"/>
              </w:rPr>
              <w:t>498</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19,2%</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41,9%</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3</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Giurgiu</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w:t>
            </w:r>
            <w:r w:rsidRPr="00E0488D">
              <w:rPr>
                <w:color w:val="000000"/>
                <w:sz w:val="22"/>
                <w:szCs w:val="22"/>
                <w:lang w:val="ro-RO"/>
              </w:rPr>
              <w:t>.</w:t>
            </w:r>
            <w:r w:rsidRPr="00E0488D">
              <w:rPr>
                <w:sz w:val="22"/>
                <w:szCs w:val="22"/>
                <w:lang w:val="ro-RO"/>
              </w:rPr>
              <w:t>126</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14,4%</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56,3%</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4</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Vărșand</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680</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8,7%</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65,0%</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5</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Stânca-Costești</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501</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6,4%</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71,4%</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6</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Petea</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298</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3,8%</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75,2%</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7</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Bechet</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290</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3,7%</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78,9%</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8</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Siret</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234</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3,0%</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81,9%</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9</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Calafat</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155</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2,0%</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83,9%</w:t>
            </w:r>
          </w:p>
        </w:tc>
      </w:tr>
      <w:tr w:rsidR="00B4550A" w:rsidRPr="00E0488D" w:rsidTr="003C7FC8">
        <w:tc>
          <w:tcPr>
            <w:tcW w:w="88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10</w:t>
            </w:r>
          </w:p>
        </w:tc>
        <w:tc>
          <w:tcPr>
            <w:tcW w:w="2432"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Negru Vodă</w:t>
            </w:r>
          </w:p>
        </w:tc>
        <w:tc>
          <w:tcPr>
            <w:tcW w:w="165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153</w:t>
            </w:r>
          </w:p>
        </w:tc>
        <w:tc>
          <w:tcPr>
            <w:tcW w:w="2404"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2,0%</w:t>
            </w:r>
          </w:p>
        </w:tc>
        <w:tc>
          <w:tcPr>
            <w:tcW w:w="2103" w:type="dxa"/>
            <w:vAlign w:val="center"/>
          </w:tcPr>
          <w:p w:rsidR="00B4550A" w:rsidRPr="00E0488D" w:rsidRDefault="00B4550A" w:rsidP="003C7FC8">
            <w:pPr>
              <w:keepNext/>
              <w:spacing w:before="60" w:after="60"/>
              <w:jc w:val="center"/>
              <w:rPr>
                <w:sz w:val="22"/>
                <w:szCs w:val="22"/>
                <w:lang w:val="ro-RO"/>
              </w:rPr>
            </w:pPr>
            <w:r w:rsidRPr="00E0488D">
              <w:rPr>
                <w:sz w:val="22"/>
                <w:szCs w:val="22"/>
                <w:lang w:val="ro-RO"/>
              </w:rPr>
              <w:t>85,8%</w:t>
            </w:r>
          </w:p>
        </w:tc>
      </w:tr>
    </w:tbl>
    <w:p w:rsidR="00B4550A" w:rsidRPr="00E0488D" w:rsidRDefault="00B4550A" w:rsidP="00B4550A">
      <w:pPr>
        <w:spacing w:before="120" w:after="120" w:line="276" w:lineRule="auto"/>
        <w:ind w:left="851"/>
        <w:rPr>
          <w:i/>
          <w:lang w:val="ro-RO"/>
        </w:rPr>
      </w:pPr>
      <w:r w:rsidRPr="00E0488D">
        <w:rPr>
          <w:i/>
          <w:lang w:val="ro-RO"/>
        </w:rPr>
        <w:t>Sursa: Autoritatea Vamală din România</w:t>
      </w:r>
    </w:p>
    <w:p w:rsidR="00B4550A" w:rsidRPr="00E0488D" w:rsidRDefault="00B4550A" w:rsidP="002B7E09">
      <w:pPr>
        <w:pStyle w:val="NumberedParas"/>
      </w:pPr>
      <w:r w:rsidRPr="00E0488D">
        <w:t>Potrivit Modelului Național de Transport, coridoarele care permit un trafic mare al vehiculelor de transport mărfuri sunt cele prezentate în Figura 4.10, împreună cu cele mai populate douăzeci de centre urbane și cele mai importate 10 puncte vamale.De asemenea, Figura 4.11 prezintă un grafic similar, dar ținând cont de fluxurile de trafic total vehicule.</w:t>
      </w:r>
    </w:p>
    <w:p w:rsidR="00B4550A" w:rsidRPr="00E0488D" w:rsidRDefault="00B4550A" w:rsidP="002B7E09">
      <w:pPr>
        <w:pStyle w:val="NumberedParas"/>
      </w:pPr>
      <w:r w:rsidRPr="00E0488D">
        <w:t xml:space="preserve">Combinația dintre centre de populație, fluxuri de vehicule și puncte primare de trecere a frontierei conduce la definirea Rețelei Economice Primare, după cum este prezentat în Figura 4.12. Astfel, au fost preluate rezultatele ilustrate în Figurile 5.10 și 5.11, iar conexiunile relevante au fost marcate cu roșu. De asemenea, este important de menționat și strânsa legătură dintre aceasta și coridoarele TEN-T, după cum este ilustrat în Figura 4.13. </w:t>
      </w:r>
    </w:p>
    <w:p w:rsidR="00B4550A" w:rsidRPr="00E0488D" w:rsidRDefault="00B4550A" w:rsidP="002B7E09">
      <w:pPr>
        <w:pStyle w:val="NumberedParas"/>
      </w:pPr>
      <w:r w:rsidRPr="00E0488D">
        <w:t xml:space="preserve">Pe lângă acestea, am efectuat o analiză a deplasărilor semnificative la nivel global, pentru a identifica cele mai importante deplasări efectuate la nivel internațional, regional și la nivel de județ. Rezultatele acestei analize sunt prezentate în Figurile 4.14 și 4.16.  </w:t>
      </w:r>
    </w:p>
    <w:p w:rsidR="00B4550A" w:rsidRPr="00E0488D" w:rsidRDefault="00B4550A" w:rsidP="00B4550A">
      <w:pPr>
        <w:pStyle w:val="Body"/>
        <w:rPr>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lastRenderedPageBreak/>
        <w:drawing>
          <wp:inline distT="0" distB="0" distL="0" distR="0">
            <wp:extent cx="6102000" cy="5779999"/>
            <wp:effectExtent l="19050" t="19050" r="13050" b="11201"/>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6102000" cy="5779999"/>
                    </a:xfrm>
                    <a:prstGeom prst="rect">
                      <a:avLst/>
                    </a:prstGeom>
                    <a:noFill/>
                    <a:ln w="12700">
                      <a:solidFill>
                        <a:schemeClr val="accent1"/>
                      </a:solidFill>
                      <a:miter lim="800000"/>
                      <a:headEnd/>
                      <a:tailEnd/>
                    </a:ln>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4.10</w:t>
      </w:r>
      <w:r w:rsidRPr="00E0488D">
        <w:rPr>
          <w:b/>
          <w:sz w:val="22"/>
          <w:szCs w:val="22"/>
          <w:lang w:val="ro-RO"/>
        </w:rPr>
        <w:tab/>
        <w:t xml:space="preserve">Fluxul vehiculelor de transport mărfuri, centrele urbane și punctele importante de trecere a frontierei pe cale rutieră </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B4550A">
      <w:pPr>
        <w:spacing w:before="120" w:after="120" w:line="276" w:lineRule="auto"/>
        <w:ind w:left="851"/>
        <w:rPr>
          <w:i/>
          <w:sz w:val="22"/>
          <w:szCs w:val="22"/>
          <w:lang w:val="ro-RO"/>
        </w:rPr>
      </w:pPr>
    </w:p>
    <w:p w:rsidR="00B4550A" w:rsidRPr="00E0488D" w:rsidRDefault="00B4550A" w:rsidP="00B4550A">
      <w:pPr>
        <w:keepNext/>
        <w:spacing w:before="120" w:after="120" w:line="276" w:lineRule="auto"/>
        <w:ind w:left="851"/>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drawing>
          <wp:inline distT="0" distB="0" distL="0" distR="0">
            <wp:extent cx="6102000" cy="5774069"/>
            <wp:effectExtent l="19050" t="19050" r="13050" b="17131"/>
            <wp:docPr id="1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102000" cy="5774069"/>
                    </a:xfrm>
                    <a:prstGeom prst="rect">
                      <a:avLst/>
                    </a:prstGeom>
                    <a:noFill/>
                    <a:ln w="12700">
                      <a:solidFill>
                        <a:schemeClr val="accent1"/>
                      </a:solidFill>
                      <a:miter lim="800000"/>
                      <a:headEnd/>
                      <a:tailEnd/>
                    </a:ln>
                  </pic:spPr>
                </pic:pic>
              </a:graphicData>
            </a:graphic>
          </wp:inline>
        </w:drawing>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Figura 4.11</w:t>
      </w:r>
      <w:r w:rsidRPr="00E0488D">
        <w:rPr>
          <w:b/>
          <w:sz w:val="22"/>
          <w:szCs w:val="22"/>
          <w:lang w:val="ro-RO"/>
        </w:rPr>
        <w:tab/>
        <w:t>Fluxuri total vehicule, centrele urbane și punctele importante de trecere a frontierei pe cale rutieră</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B4550A">
      <w:pPr>
        <w:keepNext/>
        <w:spacing w:before="120" w:after="120" w:line="276" w:lineRule="auto"/>
        <w:ind w:left="851"/>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drawing>
          <wp:inline distT="0" distB="0" distL="0" distR="0">
            <wp:extent cx="6102000" cy="4991306"/>
            <wp:effectExtent l="19050" t="19050" r="13050" b="18844"/>
            <wp:docPr id="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6102000" cy="4991306"/>
                    </a:xfrm>
                    <a:prstGeom prst="rect">
                      <a:avLst/>
                    </a:prstGeom>
                    <a:noFill/>
                    <a:ln w="12700">
                      <a:solidFill>
                        <a:schemeClr val="accent1"/>
                      </a:solidFill>
                      <a:miter lim="800000"/>
                      <a:headEnd/>
                      <a:tailEnd/>
                    </a:ln>
                  </pic:spPr>
                </pic:pic>
              </a:graphicData>
            </a:graphic>
          </wp:inline>
        </w:drawing>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Figura 4.12</w:t>
      </w:r>
      <w:r w:rsidRPr="00E0488D">
        <w:rPr>
          <w:b/>
          <w:sz w:val="22"/>
          <w:szCs w:val="22"/>
          <w:lang w:val="ro-RO"/>
        </w:rPr>
        <w:tab/>
        <w:t>Rețeaua Economică Primară recomandată (suprapusă peste rezultatele analizei din cadrul Modelului Național)</w:t>
      </w:r>
    </w:p>
    <w:p w:rsidR="00B4550A" w:rsidRPr="00E0488D" w:rsidRDefault="00B4550A" w:rsidP="00B4550A">
      <w:pPr>
        <w:spacing w:before="120" w:after="120" w:line="276" w:lineRule="auto"/>
        <w:ind w:left="851"/>
        <w:rPr>
          <w:i/>
          <w:sz w:val="22"/>
          <w:szCs w:val="22"/>
          <w:lang w:val="ro-RO"/>
        </w:rPr>
      </w:pPr>
      <w:r w:rsidRPr="00E0488D">
        <w:rPr>
          <w:i/>
          <w:sz w:val="22"/>
          <w:szCs w:val="22"/>
          <w:lang w:val="ro-RO"/>
        </w:rPr>
        <w:t>Sursa: Modelul Național de Transport elaborat de către AECOM</w:t>
      </w:r>
    </w:p>
    <w:p w:rsidR="00B4550A" w:rsidRPr="00E0488D" w:rsidRDefault="00B4550A" w:rsidP="00B4550A">
      <w:pPr>
        <w:spacing w:before="120" w:after="120" w:line="276" w:lineRule="auto"/>
        <w:ind w:left="851"/>
        <w:rPr>
          <w:i/>
          <w:sz w:val="22"/>
          <w:szCs w:val="22"/>
          <w:lang w:val="ro-RO"/>
        </w:rPr>
      </w:pPr>
    </w:p>
    <w:p w:rsidR="00B4550A" w:rsidRPr="00E0488D" w:rsidRDefault="00B4550A" w:rsidP="00B4550A">
      <w:pPr>
        <w:keepNext/>
        <w:spacing w:before="120" w:after="120" w:line="276" w:lineRule="auto"/>
        <w:ind w:left="851"/>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sz w:val="22"/>
          <w:szCs w:val="22"/>
          <w:lang w:val="ro-RO" w:eastAsia="ro-RO"/>
        </w:rPr>
        <w:drawing>
          <wp:inline distT="0" distB="0" distL="0" distR="0">
            <wp:extent cx="6102000" cy="4970550"/>
            <wp:effectExtent l="19050" t="19050" r="13050" b="20550"/>
            <wp:docPr id="1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6102000" cy="4970550"/>
                    </a:xfrm>
                    <a:prstGeom prst="rect">
                      <a:avLst/>
                    </a:prstGeom>
                    <a:noFill/>
                    <a:ln w="12700">
                      <a:solidFill>
                        <a:schemeClr val="accent1"/>
                      </a:solidFill>
                      <a:miter lim="800000"/>
                      <a:headEnd/>
                      <a:tailEnd/>
                    </a:ln>
                  </pic:spPr>
                </pic:pic>
              </a:graphicData>
            </a:graphic>
          </wp:inline>
        </w:drawing>
      </w:r>
    </w:p>
    <w:p w:rsidR="00B4550A" w:rsidRPr="00E0488D" w:rsidRDefault="00B4550A" w:rsidP="00B4550A">
      <w:pPr>
        <w:pStyle w:val="Body"/>
        <w:ind w:left="851"/>
        <w:rPr>
          <w:b/>
          <w:lang w:val="ro-RO"/>
        </w:rPr>
      </w:pPr>
      <w:r w:rsidRPr="00E0488D">
        <w:rPr>
          <w:b/>
          <w:lang w:val="ro-RO"/>
        </w:rPr>
        <w:t>Figura 4.13</w:t>
      </w:r>
      <w:r w:rsidRPr="00E0488D">
        <w:rPr>
          <w:b/>
          <w:lang w:val="ro-RO"/>
        </w:rPr>
        <w:tab/>
        <w:t>Corelarea dintre REP (roșu) și TEN-T (violet)</w:t>
      </w:r>
    </w:p>
    <w:p w:rsidR="00B4550A" w:rsidRPr="00E0488D" w:rsidRDefault="00B4550A" w:rsidP="00B4550A">
      <w:pPr>
        <w:pStyle w:val="Body"/>
        <w:ind w:left="851"/>
        <w:rPr>
          <w:lang w:val="ro-RO"/>
        </w:rPr>
      </w:pPr>
      <w:r w:rsidRPr="00E0488D">
        <w:rPr>
          <w:lang w:val="ro-RO"/>
        </w:rPr>
        <w:t>Sursa: Modelul Național de Transport elaborat de către AECOM</w:t>
      </w:r>
    </w:p>
    <w:p w:rsidR="00B4550A" w:rsidRPr="00E0488D" w:rsidRDefault="00B4550A" w:rsidP="00B4550A">
      <w:pPr>
        <w:pStyle w:val="Body"/>
        <w:ind w:left="851"/>
        <w:rPr>
          <w:lang w:val="ro-RO"/>
        </w:rPr>
      </w:pPr>
    </w:p>
    <w:p w:rsidR="00B4550A" w:rsidRPr="00E0488D" w:rsidRDefault="00B4550A" w:rsidP="00B4550A">
      <w:pPr>
        <w:rPr>
          <w:lang w:val="ro-RO"/>
        </w:rPr>
      </w:pPr>
    </w:p>
    <w:p w:rsidR="00B4550A" w:rsidRPr="00E0488D" w:rsidRDefault="00B4550A" w:rsidP="00B4550A">
      <w:pPr>
        <w:rPr>
          <w:i/>
          <w:sz w:val="22"/>
          <w:szCs w:val="22"/>
          <w:lang w:val="ro-RO"/>
        </w:rPr>
      </w:pPr>
    </w:p>
    <w:p w:rsidR="00B4550A" w:rsidRPr="00E0488D" w:rsidRDefault="00B4550A" w:rsidP="00B4550A">
      <w:pPr>
        <w:pStyle w:val="Body"/>
        <w:rPr>
          <w:lang w:val="ro-RO"/>
        </w:rPr>
        <w:sectPr w:rsidR="00B4550A" w:rsidRPr="00E0488D" w:rsidSect="00933C17">
          <w:headerReference w:type="default" r:id="rId111"/>
          <w:pgSz w:w="11907" w:h="16840" w:code="9"/>
          <w:pgMar w:top="1418" w:right="709" w:bottom="1418" w:left="907" w:header="357" w:footer="567" w:gutter="0"/>
          <w:cols w:space="187"/>
          <w:docGrid w:linePitch="360"/>
        </w:sectPr>
      </w:pPr>
    </w:p>
    <w:p w:rsidR="00B4550A" w:rsidRPr="00E0488D" w:rsidRDefault="00B4550A" w:rsidP="00B4550A">
      <w:pPr>
        <w:rPr>
          <w:i/>
          <w:sz w:val="22"/>
          <w:szCs w:val="22"/>
          <w:lang w:val="ro-RO"/>
        </w:rPr>
      </w:pPr>
    </w:p>
    <w:p w:rsidR="00B4550A" w:rsidRPr="00E0488D" w:rsidRDefault="00B4550A" w:rsidP="00BD59B2">
      <w:pPr>
        <w:pStyle w:val="Hdg2"/>
      </w:pPr>
      <w:bookmarkStart w:id="81" w:name="_Toc398020045"/>
      <w:bookmarkStart w:id="82" w:name="_Toc413060315"/>
      <w:r w:rsidRPr="00E0488D">
        <w:t>Obiective operaționale</w:t>
      </w:r>
      <w:bookmarkEnd w:id="81"/>
      <w:bookmarkEnd w:id="82"/>
    </w:p>
    <w:p w:rsidR="00B4550A" w:rsidRPr="00E0488D" w:rsidRDefault="00B4550A" w:rsidP="00B4550A">
      <w:pPr>
        <w:pStyle w:val="Hdg3"/>
      </w:pPr>
      <w:r w:rsidRPr="00E0488D">
        <w:t xml:space="preserve">Introducere </w:t>
      </w:r>
    </w:p>
    <w:p w:rsidR="00B4550A" w:rsidRPr="00E0488D" w:rsidRDefault="00B4550A" w:rsidP="002B7E09">
      <w:pPr>
        <w:pStyle w:val="NumberedParas"/>
      </w:pPr>
      <w:r w:rsidRPr="00E0488D">
        <w:t>Intervențiile propuse vor sprijini următoarele obiective operaționale, indicate în Figura 4.14 în care sunt prezentate în relație cu obiectivele strategice (generale) și problemele</w:t>
      </w:r>
    </w:p>
    <w:p w:rsidR="00B4550A" w:rsidRPr="00E0488D" w:rsidRDefault="00B4550A" w:rsidP="00B4550A">
      <w:pPr>
        <w:keepNext/>
        <w:spacing w:after="120"/>
        <w:ind w:left="567" w:firstLine="284"/>
        <w:rPr>
          <w:lang w:val="ro-RO"/>
        </w:rPr>
      </w:pPr>
      <w:r w:rsidRPr="00E0488D">
        <w:rPr>
          <w:b/>
          <w:sz w:val="22"/>
          <w:szCs w:val="22"/>
          <w:lang w:val="ro-RO"/>
        </w:rPr>
        <w:t xml:space="preserve">Figura 4.14 Legături între Probleme, Intervenții și Obiective Operaționale </w:t>
      </w:r>
    </w:p>
    <w:p w:rsidR="00B4550A" w:rsidRPr="00E0488D" w:rsidRDefault="00966D0E" w:rsidP="00B4550A">
      <w:pPr>
        <w:rPr>
          <w:lang w:val="ro-RO"/>
        </w:rPr>
      </w:pPr>
      <w:r>
        <w:rPr>
          <w:lang w:val="ro-RO"/>
        </w:rPr>
      </w:r>
      <w:r>
        <w:rPr>
          <w:lang w:val="ro-RO"/>
        </w:rPr>
        <w:pict>
          <v:group id="_x0000_s1532" editas="canvas" style="width:514.75pt;height:529.35pt;mso-position-horizontal-relative:char;mso-position-vertical-relative:line" coordsize="10295,10587">
            <o:lock v:ext="edit" aspectratio="t"/>
            <v:shape id="_x0000_s1533" type="#_x0000_t75" style="position:absolute;width:10295;height:10587" o:preferrelative="f">
              <v:fill o:detectmouseclick="t"/>
              <v:path o:extrusionok="t" o:connecttype="none"/>
              <o:lock v:ext="edit" text="t"/>
            </v:shape>
            <v:rect id="_x0000_s1534" style="position:absolute;left:9039;top:807;width:1234;height:539" fillcolor="#e6b9b8" stroked="f"/>
            <v:shape id="_x0000_s1535" style="position:absolute;left:9022;top:791;width:1267;height:571" coordsize="1808,816" path="m,24hdc,11,11,,24,hal1784,hdc1798,,1808,11,1808,24hal1808,792hdc1808,806,1798,816,1784,816hal24,816hdc11,816,,806,,792hal,24hdxm48,792hal24,768r1760,l1760,792r,-768l1784,48,24,48,48,24r,768hdxe" fillcolor="#c0504d" strokecolor="#c0504d" strokeweight=".05pt">
              <v:path arrowok="t"/>
              <o:lock v:ext="edit" verticies="t"/>
            </v:shape>
            <v:rect id="_x0000_s1536" style="position:absolute;left:9087;top:874;width:1186;height:195" filled="f" stroked="f">
              <v:textbox style="mso-next-textbox:#_x0000_s1536;mso-fit-shape-to-text:t" inset="0,0,0,0">
                <w:txbxContent>
                  <w:p w:rsidR="001F544B" w:rsidRDefault="001F544B" w:rsidP="00B4550A">
                    <w:r>
                      <w:rPr>
                        <w:rFonts w:ascii="Calibri" w:hAnsi="Calibri" w:cs="Calibri"/>
                        <w:b/>
                        <w:bCs/>
                        <w:color w:val="FFFFFF"/>
                        <w:sz w:val="16"/>
                        <w:szCs w:val="16"/>
                      </w:rPr>
                      <w:t>Dezvoltare</w:t>
                    </w:r>
                  </w:p>
                </w:txbxContent>
              </v:textbox>
            </v:rect>
            <v:rect id="_x0000_s1537" style="position:absolute;left:9087;top:1076;width:997;height:195" filled="f" stroked="f">
              <v:textbox style="mso-next-textbox:#_x0000_s1537;mso-fit-shape-to-text:t" inset="0,0,0,0">
                <w:txbxContent>
                  <w:p w:rsidR="001F544B" w:rsidRDefault="001F544B" w:rsidP="00B4550A">
                    <w:r>
                      <w:rPr>
                        <w:rFonts w:ascii="Calibri" w:hAnsi="Calibri" w:cs="Calibri"/>
                        <w:b/>
                        <w:bCs/>
                        <w:color w:val="FFFFFF"/>
                        <w:sz w:val="16"/>
                        <w:szCs w:val="16"/>
                      </w:rPr>
                      <w:t>Economică</w:t>
                    </w:r>
                  </w:p>
                </w:txbxContent>
              </v:textbox>
            </v:rect>
            <v:rect id="_x0000_s1538" style="position:absolute;left:9039;top:3779;width:1234;height:538" fillcolor="#fac090" stroked="f"/>
            <v:shape id="_x0000_s1539" style="position:absolute;left:9022;top:3762;width:1267;height:572" coordsize="1808,816" path="m,24hdc,11,11,,24,hal1784,hdc1798,,1808,11,1808,24hal1808,792hdc1808,806,1798,816,1784,816hal24,816hdc11,816,,806,,792hal,24hdxm48,792hal24,768r1760,l1760,792r,-768l1784,48,24,48,48,24r,768hdxe" fillcolor="#e46c0a" strokecolor="#e46c0a" strokeweight=".05pt">
              <v:path arrowok="t"/>
              <o:lock v:ext="edit" verticies="t"/>
            </v:shape>
            <v:rect id="_x0000_s1540" style="position:absolute;left:9183;top:3846;width:901;height:195" filled="f" stroked="f">
              <v:textbox style="mso-next-textbox:#_x0000_s1540;mso-fit-shape-to-text:t" inset="0,0,0,0">
                <w:txbxContent>
                  <w:p w:rsidR="001F544B" w:rsidRDefault="001F544B" w:rsidP="00B4550A">
                    <w:r>
                      <w:rPr>
                        <w:rFonts w:ascii="Calibri" w:hAnsi="Calibri" w:cs="Calibri"/>
                        <w:b/>
                        <w:bCs/>
                        <w:color w:val="FFFFFF"/>
                        <w:sz w:val="16"/>
                        <w:szCs w:val="16"/>
                      </w:rPr>
                      <w:t xml:space="preserve">Eficiență </w:t>
                    </w:r>
                  </w:p>
                </w:txbxContent>
              </v:textbox>
            </v:rect>
            <v:rect id="_x0000_s1541" style="position:absolute;left:9183;top:4048;width:769;height:195" filled="f" stroked="f">
              <v:textbox style="mso-next-textbox:#_x0000_s1541;mso-fit-shape-to-text:t" inset="0,0,0,0">
                <w:txbxContent>
                  <w:p w:rsidR="001F544B" w:rsidRDefault="001F544B" w:rsidP="00B4550A">
                    <w:r>
                      <w:rPr>
                        <w:rFonts w:ascii="Calibri" w:hAnsi="Calibri" w:cs="Calibri"/>
                        <w:b/>
                        <w:bCs/>
                        <w:color w:val="FFFFFF"/>
                        <w:sz w:val="16"/>
                        <w:szCs w:val="16"/>
                      </w:rPr>
                      <w:t>Economică</w:t>
                    </w:r>
                  </w:p>
                </w:txbxContent>
              </v:textbox>
            </v:rect>
            <v:rect id="_x0000_s1542" style="position:absolute;left:9039;top:6739;width:1234;height:538" fillcolor="#b3a2c7" stroked="f"/>
            <v:shape id="_x0000_s1543" style="position:absolute;left:9022;top:6722;width:1267;height:572" coordsize="1808,816" path="m,24hdc,11,11,,24,hal1784,hdc1798,,1808,11,1808,24hal1808,792hdc1808,806,1798,816,1784,816hal24,816hdc11,816,,806,,792hal,24hdxm48,792hal24,768r1760,l1760,792r,-768l1784,48,24,48,48,24r,768hdxe" fillcolor="#604a7b" strokecolor="#604a7b" strokeweight=".05pt">
              <v:path arrowok="t"/>
              <o:lock v:ext="edit" verticies="t"/>
            </v:shape>
            <v:rect id="_x0000_s1544" style="position:absolute;left:9247;top:6907;width:789;height:195" filled="f" stroked="f">
              <v:textbox style="mso-next-textbox:#_x0000_s1544;mso-fit-shape-to-text:t" inset="0,0,0,0">
                <w:txbxContent>
                  <w:p w:rsidR="001F544B" w:rsidRDefault="001F544B" w:rsidP="00B4550A">
                    <w:r>
                      <w:rPr>
                        <w:rFonts w:ascii="Calibri" w:hAnsi="Calibri" w:cs="Calibri"/>
                        <w:b/>
                        <w:bCs/>
                        <w:color w:val="FFFFFF"/>
                        <w:sz w:val="16"/>
                        <w:szCs w:val="16"/>
                      </w:rPr>
                      <w:t>Siguranță</w:t>
                    </w:r>
                  </w:p>
                </w:txbxContent>
              </v:textbox>
            </v:rect>
            <v:rect id="_x0000_s1545" style="position:absolute;left:9039;top:9183;width:1234;height:550" fillcolor="#77933c" stroked="f"/>
            <v:shape id="_x0000_s1546" style="position:absolute;left:9022;top:9166;width:1267;height:584" coordsize="1808,832" path="m,24hdc,11,11,,24,hal1784,hdc1798,,1808,11,1808,24hal1808,808hdc1808,822,1798,832,1784,832hal24,832hdc11,832,,822,,808hal,24hdxm48,808hal24,784r1760,l1760,808r,-784l1784,48,24,48,48,24r,784hdxe" fillcolor="#4f6228" strokecolor="#4f6228" strokeweight=".05pt">
              <v:path arrowok="t"/>
              <o:lock v:ext="edit" verticies="t"/>
            </v:shape>
            <v:rect id="_x0000_s1547" style="position:absolute;left:9183;top:9359;width:1022;height:249" filled="f" stroked="f">
              <v:textbox style="mso-next-textbox:#_x0000_s1547" inset="0,0,0,0">
                <w:txbxContent>
                  <w:p w:rsidR="001F544B" w:rsidRDefault="001F544B" w:rsidP="00B4550A">
                    <w:r>
                      <w:rPr>
                        <w:rFonts w:ascii="Calibri" w:hAnsi="Calibri" w:cs="Calibri"/>
                        <w:b/>
                        <w:bCs/>
                        <w:color w:val="FFFFFF"/>
                        <w:sz w:val="16"/>
                        <w:szCs w:val="16"/>
                      </w:rPr>
                      <w:t>Sustenabilitate</w:t>
                    </w:r>
                  </w:p>
                </w:txbxContent>
              </v:textbox>
            </v:rect>
            <v:rect id="_x0000_s1548" style="position:absolute;left:22;top:807;width:2434;height:539" fillcolor="#4f81bd" stroked="f"/>
            <v:shape id="_x0000_s1549" style="position:absolute;left:6;top:791;width:2467;height:571" coordsize="3520,816" path="m,24hdc,11,11,,24,hal3496,hdc3510,,3520,11,3520,24hal3520,792hdc3520,806,3510,816,3496,816hal24,816hdc11,816,,806,,792hal,24hdxm48,792hal24,768r3472,l3472,792r,-768l3496,48,24,48,48,24r,768hdxe" fillcolor="#254061" strokecolor="#254061" strokeweight=".05pt">
              <v:path arrowok="t"/>
              <o:lock v:ext="edit" verticies="t"/>
            </v:shape>
            <v:rect id="_x0000_s1550" style="position:absolute;left:140;top:874;width:1768;height:195;mso-wrap-style:none" filled="f" stroked="f">
              <v:textbox style="mso-next-textbox:#_x0000_s1550;mso-fit-shape-to-text:t" inset="0,0,0,0">
                <w:txbxContent>
                  <w:p w:rsidR="001F544B" w:rsidRPr="00FC0E12" w:rsidRDefault="001F544B" w:rsidP="00B4550A">
                    <w:pPr>
                      <w:rPr>
                        <w:lang w:val="ro-RO"/>
                      </w:rPr>
                    </w:pPr>
                    <w:r w:rsidRPr="003C1A89">
                      <w:rPr>
                        <w:rFonts w:ascii="Calibri" w:hAnsi="Calibri" w:cs="Calibri"/>
                        <w:b/>
                        <w:bCs/>
                        <w:color w:val="FFFFFF"/>
                        <w:sz w:val="16"/>
                        <w:szCs w:val="16"/>
                        <w:lang w:val="ro-RO"/>
                      </w:rPr>
                      <w:t>Poluarea aerului și zgomot</w:t>
                    </w:r>
                  </w:p>
                </w:txbxContent>
              </v:textbox>
            </v:rect>
            <v:rect id="_x0000_s1551" style="position:absolute;left:91;top:1060;width:2281;height:195;mso-wrap-style:none" filled="f" stroked="f">
              <v:textbox style="mso-next-textbox:#_x0000_s1551;mso-fit-shape-to-text:t" inset="0,0,0,0">
                <w:txbxContent>
                  <w:p w:rsidR="001F544B" w:rsidRDefault="001F544B" w:rsidP="00B4550A">
                    <w:r>
                      <w:rPr>
                        <w:rFonts w:ascii="Calibri" w:hAnsi="Calibri" w:cs="Calibri"/>
                        <w:b/>
                        <w:bCs/>
                        <w:color w:val="FFFFFF"/>
                        <w:sz w:val="16"/>
                        <w:szCs w:val="16"/>
                      </w:rPr>
                      <w:t xml:space="preserve">rezultate din accesibilitate scăzută </w:t>
                    </w:r>
                  </w:p>
                </w:txbxContent>
              </v:textbox>
            </v:rect>
            <v:rect id="_x0000_s1552" style="position:absolute;left:22;top:8365;width:2434;height:538" fillcolor="#4f81bd" stroked="f"/>
            <v:shape id="_x0000_s1553" style="position:absolute;left:6;top:8348;width:2467;height:572" coordsize="3520,816" path="m,24hdc,11,11,,24,hal3496,hdc3510,,3520,11,3520,24hal3520,792hdc3520,806,3510,816,3496,816hal24,816hdc11,816,,806,,792hal,24hdxm48,792hal24,768r3472,l3472,792r,-768l3496,48,24,48,48,24r,768hdxe" fillcolor="#254061" strokecolor="#254061" strokeweight=".05pt">
              <v:path arrowok="t"/>
              <o:lock v:ext="edit" verticies="t"/>
            </v:shape>
            <v:rect id="_x0000_s1554" style="position:absolute;left:22;top:8440;width:2350;height:463" filled="f" stroked="f">
              <v:textbox style="mso-next-textbox:#_x0000_s1554" inset="0,0,0,0">
                <w:txbxContent>
                  <w:p w:rsidR="001F544B" w:rsidRDefault="001F544B" w:rsidP="00B4550A">
                    <w:r>
                      <w:rPr>
                        <w:rFonts w:ascii="Calibri" w:hAnsi="Calibri" w:cs="Calibri"/>
                        <w:b/>
                        <w:bCs/>
                        <w:color w:val="FFFFFF"/>
                        <w:sz w:val="16"/>
                        <w:szCs w:val="16"/>
                      </w:rPr>
                      <w:t>Întreținerea inedicvată a activelor</w:t>
                    </w:r>
                  </w:p>
                </w:txbxContent>
              </v:textbox>
            </v:rect>
            <v:rect id="_x0000_s1555" style="position:absolute;left:22;top:3779;width:2434;height:538" fillcolor="#4f81bd" stroked="f"/>
            <v:shape id="_x0000_s1556" style="position:absolute;left:6;top:3762;width:2467;height:572" coordsize="3520,816" path="m,24hdc,11,11,,24,hal3496,hdc3510,,3520,11,3520,24hal3520,792hdc3520,806,3510,816,3496,816hal24,816hdc11,816,,806,,792hal,24hdxm48,792hal24,768r3472,l3472,792r,-768l3496,48,24,48,48,24r,768hdxe" fillcolor="#254061" strokecolor="#254061" strokeweight=".05pt">
              <v:path arrowok="t"/>
              <o:lock v:ext="edit" verticies="t"/>
            </v:shape>
            <v:rect id="_x0000_s1557" style="position:absolute;left:297;top:3846;width:97;height:207;mso-wrap-style:none" filled="f" stroked="f">
              <v:textbox style="mso-next-textbox:#_x0000_s1557;mso-fit-shape-to-text:t" inset="0,0,0,0">
                <w:txbxContent>
                  <w:p w:rsidR="001F544B" w:rsidRDefault="001F544B" w:rsidP="00B4550A"/>
                </w:txbxContent>
              </v:textbox>
            </v:rect>
            <v:rect id="_x0000_s1558" style="position:absolute;left:91;top:3846;width:2281;height:218" filled="f" stroked="f">
              <v:textbox style="mso-next-textbox:#_x0000_s1558" inset="0,0,0,0">
                <w:txbxContent>
                  <w:p w:rsidR="001F544B" w:rsidRDefault="001F544B" w:rsidP="00B4550A">
                    <w:r>
                      <w:rPr>
                        <w:rFonts w:ascii="Calibri" w:hAnsi="Calibri" w:cs="Calibri"/>
                        <w:b/>
                        <w:bCs/>
                        <w:color w:val="FFFFFF"/>
                        <w:sz w:val="16"/>
                        <w:szCs w:val="16"/>
                      </w:rPr>
                      <w:t xml:space="preserve">Timpi mari de parcurs care duc la </w:t>
                    </w:r>
                  </w:p>
                </w:txbxContent>
              </v:textbox>
            </v:rect>
            <v:rect id="_x0000_s1559" style="position:absolute;left:140;top:4048;width:2137;height:195" filled="f" stroked="f">
              <v:textbox style="mso-next-textbox:#_x0000_s1559;mso-fit-shape-to-text:t" inset="0,0,0,0">
                <w:txbxContent>
                  <w:p w:rsidR="001F544B" w:rsidRDefault="001F544B" w:rsidP="00B4550A">
                    <w:r>
                      <w:rPr>
                        <w:rFonts w:ascii="Calibri" w:hAnsi="Calibri" w:cs="Calibri"/>
                        <w:b/>
                        <w:bCs/>
                        <w:color w:val="FFFFFF"/>
                        <w:sz w:val="16"/>
                        <w:szCs w:val="16"/>
                      </w:rPr>
                      <w:t xml:space="preserve">servicii necompetitive </w:t>
                    </w:r>
                  </w:p>
                </w:txbxContent>
              </v:textbox>
            </v:rect>
            <v:rect id="_x0000_s1560" style="position:absolute;left:34;top:5113;width:2433;height:527" fillcolor="#4f81bd" stroked="f"/>
            <v:shape id="_x0000_s1561" style="position:absolute;left:17;top:5096;width:2467;height:561" coordsize="3520,800" path="m,24hdc,11,11,,24,hal3496,hdc3510,,3520,11,3520,24hal3520,776hdc3520,790,3510,800,3496,800hal24,800hdc11,800,,790,,776hal,24hdxm48,776hal24,752r3472,l3472,776r,-752l3496,48,24,48,48,24r,752hdxe" fillcolor="#254061" strokecolor="#254061" strokeweight=".05pt">
              <v:path arrowok="t"/>
              <o:lock v:ext="edit" verticies="t"/>
            </v:shape>
            <v:rect id="_x0000_s1562" style="position:absolute;left:174;top:5174;width:2198;height:214" filled="f" stroked="f">
              <v:textbox style="mso-next-textbox:#_x0000_s1562" inset="0,0,0,0">
                <w:txbxContent>
                  <w:p w:rsidR="001F544B" w:rsidRDefault="001F544B" w:rsidP="00B4550A">
                    <w:r>
                      <w:rPr>
                        <w:rFonts w:ascii="Calibri" w:hAnsi="Calibri" w:cs="Calibri"/>
                        <w:b/>
                        <w:bCs/>
                        <w:color w:val="FFFFFF"/>
                        <w:sz w:val="16"/>
                        <w:szCs w:val="16"/>
                      </w:rPr>
                      <w:t>Costuri mari de administstrare</w:t>
                    </w:r>
                  </w:p>
                </w:txbxContent>
              </v:textbox>
            </v:rect>
            <v:rect id="_x0000_s1563" style="position:absolute;left:1665;top:5174;width:545;height:195;mso-wrap-style:none" filled="f" stroked="f">
              <v:textbox style="mso-next-textbox:#_x0000_s1563;mso-fit-shape-to-text:t" inset="0,0,0,0">
                <w:txbxContent>
                  <w:p w:rsidR="001F544B" w:rsidRDefault="001F544B" w:rsidP="00B4550A">
                    <w:r>
                      <w:rPr>
                        <w:rFonts w:ascii="Calibri" w:hAnsi="Calibri" w:cs="Calibri"/>
                        <w:b/>
                        <w:bCs/>
                        <w:color w:val="FFFFFF"/>
                        <w:sz w:val="16"/>
                        <w:szCs w:val="16"/>
                      </w:rPr>
                      <w:t xml:space="preserve">costs on </w:t>
                    </w:r>
                  </w:p>
                </w:txbxContent>
              </v:textbox>
            </v:rect>
            <v:rect id="_x0000_s1564" style="position:absolute;left:34;top:5376;width:2422;height:195" filled="f" stroked="f">
              <v:textbox style="mso-next-textbox:#_x0000_s1564;mso-fit-shape-to-text:t" inset="0,0,0,0">
                <w:txbxContent>
                  <w:p w:rsidR="001F544B" w:rsidRDefault="001F544B" w:rsidP="00B4550A">
                    <w:r>
                      <w:rPr>
                        <w:rFonts w:ascii="Calibri" w:hAnsi="Calibri" w:cs="Calibri"/>
                        <w:b/>
                        <w:bCs/>
                        <w:color w:val="FFFFFF"/>
                        <w:sz w:val="16"/>
                        <w:szCs w:val="16"/>
                      </w:rPr>
                      <w:t>pentru transportatorii locali și nat.</w:t>
                    </w:r>
                  </w:p>
                </w:txbxContent>
              </v:textbox>
            </v:rect>
            <v:rect id="_x0000_s1565" style="position:absolute;left:34;top:5920;width:2433;height:550" fillcolor="#4f81bd" stroked="f"/>
            <v:shape id="_x0000_s1566" style="position:absolute;left:17;top:5904;width:2467;height:583" coordsize="3520,832" path="m,24hdc,11,11,,24,hal3496,hdc3510,,3520,11,3520,24hal3520,808hdc3520,822,3510,832,3496,832hal24,832hdc11,832,,822,,808hal,24hdxm48,808hal24,784r3472,l3472,808r,-784l3496,48,24,48,48,24r,784hdxe" fillcolor="#254061" strokecolor="#254061" strokeweight=".05pt">
              <v:path arrowok="t"/>
              <o:lock v:ext="edit" verticies="t"/>
            </v:shape>
            <v:rect id="_x0000_s1567" style="position:absolute;left:34;top:6094;width:2338;height:290" filled="f" stroked="f">
              <v:textbox style="mso-next-textbox:#_x0000_s1567" inset="0,0,0,0">
                <w:txbxContent>
                  <w:p w:rsidR="001F544B" w:rsidRDefault="001F544B" w:rsidP="00B4550A">
                    <w:r>
                      <w:rPr>
                        <w:rFonts w:ascii="Calibri" w:hAnsi="Calibri" w:cs="Calibri"/>
                        <w:b/>
                        <w:bCs/>
                        <w:color w:val="FFFFFF"/>
                        <w:sz w:val="16"/>
                        <w:szCs w:val="16"/>
                      </w:rPr>
                      <w:t>Întârzieri la trecerea frontierei</w:t>
                    </w:r>
                  </w:p>
                </w:txbxContent>
              </v:textbox>
            </v:rect>
            <v:rect id="_x0000_s1568" style="position:absolute;left:22;top:6739;width:2434;height:538" fillcolor="#4f81bd" stroked="f"/>
            <v:shape id="_x0000_s1569" style="position:absolute;left:6;top:6722;width:2467;height:572" coordsize="3520,816" path="m,24hdc,11,11,,24,hal3496,hdc3510,,3520,11,3520,24hal3520,792hdc3520,806,3510,816,3496,816hal24,816hdc11,816,,806,,792hal,24hdxm48,792hal24,768r3472,l3472,792r,-768l3496,48,24,48,48,24r,768hdxe" fillcolor="#254061" strokecolor="#254061" strokeweight=".05pt">
              <v:path arrowok="t"/>
              <o:lock v:ext="edit" verticies="t"/>
            </v:shape>
            <v:rect id="_x0000_s1570" style="position:absolute;left:91;top:6807;width:2365;height:218" filled="f" stroked="f">
              <v:textbox style="mso-next-textbox:#_x0000_s1570" inset="0,0,0,0">
                <w:txbxContent>
                  <w:p w:rsidR="001F544B" w:rsidRDefault="001F544B" w:rsidP="00B4550A">
                    <w:r>
                      <w:rPr>
                        <w:rFonts w:ascii="Calibri" w:hAnsi="Calibri" w:cs="Calibri"/>
                        <w:b/>
                        <w:bCs/>
                        <w:color w:val="FFFFFF"/>
                        <w:sz w:val="16"/>
                        <w:szCs w:val="16"/>
                      </w:rPr>
                      <w:t xml:space="preserve">Rata mare de decese în comparație </w:t>
                    </w:r>
                  </w:p>
                </w:txbxContent>
              </v:textbox>
            </v:rect>
            <v:rect id="_x0000_s1571" style="position:absolute;left:454;top:7009;width:1120;height:195;mso-wrap-style:none" filled="f" stroked="f">
              <v:textbox style="mso-next-textbox:#_x0000_s1571;mso-fit-shape-to-text:t" inset="0,0,0,0">
                <w:txbxContent>
                  <w:p w:rsidR="001F544B" w:rsidRDefault="001F544B" w:rsidP="00B4550A">
                    <w:r>
                      <w:rPr>
                        <w:rFonts w:ascii="Calibri" w:hAnsi="Calibri" w:cs="Calibri"/>
                        <w:b/>
                        <w:bCs/>
                        <w:color w:val="FFFFFF"/>
                        <w:sz w:val="16"/>
                        <w:szCs w:val="16"/>
                      </w:rPr>
                      <w:t>cu restul Europei</w:t>
                    </w:r>
                  </w:p>
                </w:txbxContent>
              </v:textbox>
            </v:rect>
            <v:rect id="_x0000_s1572" style="position:absolute;left:34;top:9194;width:2433;height:550" fillcolor="#4f81bd" stroked="f"/>
            <v:shape id="_x0000_s1573" style="position:absolute;left:22;top:9166;width:2467;height:584" coordsize="3520,832" path="m,24hdc,11,11,,24,hal3496,hdc3510,,3520,11,3520,24hal3520,808hdc3520,822,3510,832,3496,832hal24,832hdc11,832,,822,,808hal,24hdxm48,808hal24,784r3472,l3472,808r,-784l3496,48,24,48,48,24r,784hdxe" fillcolor="#254061" strokecolor="#254061" strokeweight=".05pt">
              <v:path arrowok="t"/>
              <o:lock v:ext="edit" verticies="t"/>
            </v:shape>
            <v:rect id="_x0000_s1574" style="position:absolute;left:91;top:9259;width:2393;height:143" filled="f" stroked="f">
              <v:textbox style="mso-next-textbox:#_x0000_s1574" inset="0,0,0,0">
                <w:txbxContent>
                  <w:p w:rsidR="001F544B" w:rsidRDefault="001F544B" w:rsidP="00B4550A">
                    <w:r>
                      <w:rPr>
                        <w:rFonts w:ascii="Calibri" w:hAnsi="Calibri" w:cs="Calibri"/>
                        <w:b/>
                        <w:bCs/>
                        <w:color w:val="FFFFFF"/>
                        <w:sz w:val="16"/>
                        <w:szCs w:val="16"/>
                      </w:rPr>
                      <w:t xml:space="preserve">Probleme de stabilitate și  cacapacitate Institutional and organisation </w:t>
                    </w:r>
                  </w:p>
                </w:txbxContent>
              </v:textbox>
            </v:rect>
            <v:rect id="_x0000_s1575" style="position:absolute;left:91;top:9461;width:1985;height:195" filled="f" stroked="f">
              <v:textbox style="mso-next-textbox:#_x0000_s1575;mso-fit-shape-to-text:t" inset="0,0,0,0">
                <w:txbxContent>
                  <w:p w:rsidR="001F544B" w:rsidRDefault="001F544B" w:rsidP="00B4550A">
                    <w:r>
                      <w:rPr>
                        <w:rFonts w:ascii="Calibri" w:hAnsi="Calibri" w:cs="Calibri"/>
                        <w:b/>
                        <w:bCs/>
                        <w:color w:val="FFFFFF"/>
                        <w:sz w:val="16"/>
                        <w:szCs w:val="16"/>
                      </w:rPr>
                      <w:t xml:space="preserve">capacitate instituțională </w:t>
                    </w:r>
                  </w:p>
                </w:txbxContent>
              </v:textbox>
            </v:rect>
            <v:rect id="_x0000_s1576" style="position:absolute;left:34;top:2422;width:2433;height:538" fillcolor="#4f81bd" stroked="f"/>
            <v:shape id="_x0000_s1577" style="position:absolute;left:17;top:2405;width:2467;height:572" coordsize="3520,816" path="m,24hdc,11,11,,24,hal3496,hdc3510,,3520,11,3520,24hal3520,792hdc3520,806,3510,816,3496,816hal24,816hdc11,816,,806,,792hal,24hdxm48,792hal24,768r3472,l3472,792r,-768l3496,48,24,48,48,24r,768hdxe" fillcolor="#254061" strokecolor="#254061" strokeweight=".05pt">
              <v:path arrowok="t"/>
              <o:lock v:ext="edit" verticies="t"/>
            </v:shape>
            <v:rect id="_x0000_s1578" style="position:absolute;left:151;top:2490;width:1739;height:184" filled="f" stroked="f">
              <v:textbox style="mso-next-textbox:#_x0000_s1578" inset="0,0,0,0">
                <w:txbxContent>
                  <w:p w:rsidR="001F544B" w:rsidRDefault="001F544B" w:rsidP="00B4550A">
                    <w:r>
                      <w:rPr>
                        <w:rFonts w:ascii="Calibri" w:hAnsi="Calibri" w:cs="Calibri"/>
                        <w:b/>
                        <w:bCs/>
                        <w:color w:val="FFFFFF"/>
                        <w:sz w:val="16"/>
                        <w:szCs w:val="16"/>
                      </w:rPr>
                      <w:t xml:space="preserve">Accesibilitate scăzută  la Poor accessibility to </w:t>
                    </w:r>
                  </w:p>
                </w:txbxContent>
              </v:textbox>
            </v:rect>
            <v:rect id="_x0000_s1579" style="position:absolute;left:599;top:2692;width:1773;height:195" filled="f" stroked="f">
              <v:textbox style="mso-next-textbox:#_x0000_s1579" inset="0,0,0,0">
                <w:txbxContent>
                  <w:p w:rsidR="001F544B" w:rsidRDefault="001F544B" w:rsidP="00B4550A">
                    <w:r>
                      <w:rPr>
                        <w:rFonts w:ascii="Calibri" w:hAnsi="Calibri" w:cs="Calibri"/>
                        <w:b/>
                        <w:bCs/>
                        <w:color w:val="FFFFFF"/>
                        <w:sz w:val="16"/>
                        <w:szCs w:val="16"/>
                      </w:rPr>
                      <w:t xml:space="preserve">comerțul  internațional </w:t>
                    </w:r>
                  </w:p>
                </w:txbxContent>
              </v:textbox>
            </v:rect>
            <v:rect id="_x0000_s1580" style="position:absolute;left:1531;top:2692;width:301;height:195;mso-wrap-style:none" filled="f" stroked="f">
              <v:textbox style="mso-next-textbox:#_x0000_s1580;mso-fit-shape-to-text:t" inset="0,0,0,0">
                <w:txbxContent>
                  <w:p w:rsidR="001F544B" w:rsidRDefault="001F544B" w:rsidP="00B4550A">
                    <w:r>
                      <w:rPr>
                        <w:rFonts w:ascii="Calibri" w:hAnsi="Calibri" w:cs="Calibri"/>
                        <w:b/>
                        <w:bCs/>
                        <w:color w:val="FFFFFF"/>
                        <w:sz w:val="16"/>
                        <w:szCs w:val="16"/>
                      </w:rPr>
                      <w:t>tade</w:t>
                    </w:r>
                  </w:p>
                </w:txbxContent>
              </v:textbox>
            </v:rect>
            <v:rect id="_x0000_s1581" style="position:absolute;left:3734;top:22;width:4094;height:337" stroked="f"/>
            <v:shape id="_x0000_s1582" style="position:absolute;left:3718;top:6;width:4127;height:370" coordsize="5888,528" path="m,24hdc,11,11,,24,hal5864,hdc5878,,5888,11,5888,24hal5888,504hdc5888,518,5878,528,5864,528hal24,528hdc11,528,,518,,504hal,24hdxm48,504hal24,480r5840,l5840,504r,-480l5864,48,24,48,48,24r,480hdxe" fillcolor="#c0504d" strokecolor="#c0504d" strokeweight=".05pt">
              <v:path arrowok="t"/>
              <o:lock v:ext="edit" verticies="t"/>
            </v:shape>
            <v:rect id="_x0000_s1583" style="position:absolute;left:3887;top:93;width:2893;height:195" filled="f" stroked="f">
              <v:textbox style="mso-next-textbox:#_x0000_s1583;mso-fit-shape-to-text:t" inset="0,0,0,0">
                <w:txbxContent>
                  <w:p w:rsidR="001F544B" w:rsidRDefault="001F544B" w:rsidP="00B4550A">
                    <w:r>
                      <w:rPr>
                        <w:rFonts w:ascii="Calibri" w:hAnsi="Calibri" w:cs="Calibri"/>
                        <w:color w:val="000000"/>
                        <w:sz w:val="16"/>
                        <w:szCs w:val="16"/>
                      </w:rPr>
                      <w:t>Creșterea accesibilității la piețe occidentale</w:t>
                    </w:r>
                  </w:p>
                </w:txbxContent>
              </v:textbox>
            </v:rect>
            <v:rect id="_x0000_s1584" style="position:absolute;left:6097;top:93;width:97;height:207;mso-wrap-style:none" filled="f" stroked="f">
              <v:textbox style="mso-next-textbox:#_x0000_s1584;mso-fit-shape-to-text:t" inset="0,0,0,0">
                <w:txbxContent>
                  <w:p w:rsidR="001F544B" w:rsidRDefault="001F544B" w:rsidP="00B4550A"/>
                </w:txbxContent>
              </v:textbox>
            </v:rect>
            <v:rect id="_x0000_s1585" style="position:absolute;left:6691;top:93;width:49;height:195;mso-wrap-style:none" filled="f" stroked="f">
              <v:textbox style="mso-next-textbox:#_x0000_s1585;mso-fit-shape-to-text:t" inset="0,0,0,0">
                <w:txbxContent>
                  <w:p w:rsidR="001F544B" w:rsidRDefault="001F544B" w:rsidP="00B4550A">
                    <w:r>
                      <w:rPr>
                        <w:rFonts w:ascii="Calibri" w:hAnsi="Calibri" w:cs="Calibri"/>
                        <w:color w:val="000000"/>
                        <w:sz w:val="16"/>
                        <w:szCs w:val="16"/>
                      </w:rPr>
                      <w:t>-</w:t>
                    </w:r>
                  </w:p>
                </w:txbxContent>
              </v:textbox>
            </v:rect>
            <v:rect id="_x0000_s1586" style="position:absolute;left:6769;top:93;width:370;height:195;mso-wrap-style:none" filled="f" stroked="f">
              <v:textbox style="mso-next-textbox:#_x0000_s1586;mso-fit-shape-to-text:t" inset="0,0,0,0">
                <w:txbxContent>
                  <w:p w:rsidR="001F544B" w:rsidRDefault="001F544B" w:rsidP="00B4550A">
                    <w:r>
                      <w:rPr>
                        <w:rFonts w:ascii="Calibri" w:hAnsi="Calibri" w:cs="Calibri"/>
                        <w:color w:val="000000"/>
                        <w:sz w:val="16"/>
                        <w:szCs w:val="16"/>
                      </w:rPr>
                      <w:t xml:space="preserve">Braila </w:t>
                    </w:r>
                  </w:p>
                </w:txbxContent>
              </v:textbox>
            </v:rect>
            <v:rect id="_x0000_s1587" style="position:absolute;left:7184;top:93;width:49;height:195;mso-wrap-style:none" filled="f" stroked="f">
              <v:textbox style="mso-next-textbox:#_x0000_s1587;mso-fit-shape-to-text:t" inset="0,0,0,0">
                <w:txbxContent>
                  <w:p w:rsidR="001F544B" w:rsidRDefault="001F544B" w:rsidP="00B4550A">
                    <w:r>
                      <w:rPr>
                        <w:rFonts w:ascii="Calibri" w:hAnsi="Calibri" w:cs="Calibri"/>
                        <w:color w:val="000000"/>
                        <w:sz w:val="16"/>
                        <w:szCs w:val="16"/>
                      </w:rPr>
                      <w:t>-</w:t>
                    </w:r>
                  </w:p>
                </w:txbxContent>
              </v:textbox>
            </v:rect>
            <v:rect id="_x0000_s1588" style="position:absolute;left:7274;top:93;width:382;height:195;mso-wrap-style:none" filled="f" stroked="f">
              <v:textbox style="mso-next-textbox:#_x0000_s1588;mso-fit-shape-to-text:t" inset="0,0,0,0">
                <w:txbxContent>
                  <w:p w:rsidR="001F544B" w:rsidRDefault="001F544B" w:rsidP="00B4550A">
                    <w:r>
                      <w:rPr>
                        <w:rFonts w:ascii="Calibri" w:hAnsi="Calibri" w:cs="Calibri"/>
                        <w:color w:val="000000"/>
                        <w:sz w:val="16"/>
                        <w:szCs w:val="16"/>
                      </w:rPr>
                      <w:t>Galati</w:t>
                    </w:r>
                  </w:p>
                </w:txbxContent>
              </v:textbox>
            </v:rect>
            <v:rect id="_x0000_s1589" style="position:absolute;left:22;top:10024;width:2434;height:538" fillcolor="#4f81bd" stroked="f"/>
            <v:shape id="_x0000_s1590" style="position:absolute;left:6;top:10007;width:2467;height:572" coordsize="3520,816" path="m,24hdc,11,11,,24,hal3496,hdc3510,,3520,11,3520,24hal3520,792hdc3520,806,3510,816,3496,816hal24,816hdc11,816,,806,,792hal,24hdxm48,792hal24,768r3472,l3472,792r,-768l3496,48,24,48,48,24r,768hdxe" fillcolor="#254061" strokecolor="#254061" strokeweight=".05pt">
              <v:path arrowok="t"/>
              <o:lock v:ext="edit" verticies="t"/>
            </v:shape>
            <v:rect id="_x0000_s1591" style="position:absolute;left:286;top:10095;width:1905;height:195;mso-wrap-style:none" filled="f" stroked="f">
              <v:textbox style="mso-next-textbox:#_x0000_s1591;mso-fit-shape-to-text:t" inset="0,0,0,0">
                <w:txbxContent>
                  <w:p w:rsidR="001F544B" w:rsidRDefault="001F544B" w:rsidP="00B4550A">
                    <w:r>
                      <w:rPr>
                        <w:rFonts w:ascii="Calibri" w:hAnsi="Calibri" w:cs="Calibri"/>
                        <w:b/>
                        <w:bCs/>
                        <w:color w:val="FFFFFF"/>
                        <w:sz w:val="16"/>
                        <w:szCs w:val="16"/>
                      </w:rPr>
                      <w:t xml:space="preserve">Greutatea pe osie prea mare </w:t>
                    </w:r>
                  </w:p>
                </w:txbxContent>
              </v:textbox>
            </v:rect>
            <v:rect id="_x0000_s1592" style="position:absolute;left:151;top:10297;width:1745;height:195;mso-wrap-style:none" filled="f" stroked="f">
              <v:textbox style="mso-next-textbox:#_x0000_s1592;mso-fit-shape-to-text:t" inset="0,0,0,0">
                <w:txbxContent>
                  <w:p w:rsidR="001F544B" w:rsidRDefault="001F544B" w:rsidP="00B4550A">
                    <w:r>
                      <w:rPr>
                        <w:rFonts w:ascii="Calibri" w:hAnsi="Calibri" w:cs="Calibri"/>
                        <w:b/>
                        <w:bCs/>
                        <w:color w:val="FFFFFF"/>
                        <w:sz w:val="16"/>
                        <w:szCs w:val="16"/>
                      </w:rPr>
                      <w:t>strică suprafața carosabilă</w:t>
                    </w:r>
                  </w:p>
                </w:txbxContent>
              </v:textbox>
            </v:rect>
            <v:rect id="_x0000_s1593" style="position:absolute;left:3723;top:3308;width:4094;height:359" stroked="f"/>
            <v:shape id="_x0000_s1594" style="position:absolute;left:3706;top:3291;width:4127;height:392" coordsize="5888,560" path="m,24hdc,11,11,,24,hal5864,hdc5878,,5888,11,5888,24hal5888,536hdc5888,550,5878,560,5864,560hal24,560hdc11,560,,550,,536hal,24hdxm48,536hal24,512r5840,l5840,536r,-512l5864,48,24,48,48,24r,512hdxe" fillcolor="#e46c0a" strokecolor="#e46c0a" strokeweight=".05pt">
              <v:path arrowok="t"/>
              <o:lock v:ext="edit" verticies="t"/>
            </v:shape>
            <v:rect id="_x0000_s1595" style="position:absolute;left:4011;top:3387;width:2651;height:195;mso-wrap-style:none" filled="f" stroked="f">
              <v:textbox style="mso-next-textbox:#_x0000_s1595;mso-fit-shape-to-text:t" inset="0,0,0,0">
                <w:txbxContent>
                  <w:p w:rsidR="001F544B" w:rsidRPr="005E35EE" w:rsidRDefault="001F544B" w:rsidP="00B4550A">
                    <w:pPr>
                      <w:rPr>
                        <w:lang w:val="en-US"/>
                      </w:rPr>
                    </w:pPr>
                    <w:r>
                      <w:rPr>
                        <w:rFonts w:ascii="Calibri" w:hAnsi="Calibri" w:cs="Calibri"/>
                        <w:color w:val="000000"/>
                        <w:sz w:val="16"/>
                        <w:szCs w:val="16"/>
                        <w:lang w:val="en-US"/>
                      </w:rPr>
                      <w:t>Creșterea vitezelor pe reteaua de Nivel 1</w:t>
                    </w:r>
                  </w:p>
                </w:txbxContent>
              </v:textbox>
            </v:rect>
            <v:rect id="_x0000_s1596" style="position:absolute;left:3662;top:4945;width:4155;height:706" stroked="f"/>
            <v:shape id="_x0000_s1597" style="position:absolute;left:3706;top:5085;width:4127;height:583" coordsize="5888,832" path="m,24hdc,11,11,,24,hal5864,hdc5878,,5888,11,5888,24hal5888,808hdc5888,822,5878,832,5864,832hal24,832hdc11,832,,822,,808hal,24hdxm48,808hal24,784r5840,l5840,808r,-784l5864,48,24,48,48,24r,784hdxe" fillcolor="#e46c0a" strokecolor="#e46c0a" strokeweight=".05pt">
              <v:path arrowok="t"/>
              <o:lock v:ext="edit" verticies="t"/>
            </v:shape>
            <v:rect id="_x0000_s1598" style="position:absolute;left:3951;top:5174;width:3779;height:397" filled="f" stroked="f">
              <v:textbox style="mso-next-textbox:#_x0000_s1598" inset="0,0,0,0">
                <w:txbxContent>
                  <w:p w:rsidR="001F544B" w:rsidRPr="006214DD" w:rsidRDefault="001F544B" w:rsidP="00B4550A">
                    <w:r>
                      <w:rPr>
                        <w:rFonts w:ascii="Calibri" w:hAnsi="Calibri" w:cs="Calibri"/>
                        <w:color w:val="000000"/>
                        <w:sz w:val="16"/>
                        <w:szCs w:val="16"/>
                        <w:lang w:val="ro-RO"/>
                      </w:rPr>
                      <w:t xml:space="preserve">Minimizarea costurilor </w:t>
                    </w:r>
                  </w:p>
                </w:txbxContent>
              </v:textbox>
            </v:rect>
            <v:rect id="_x0000_s1599" style="position:absolute;left:5603;top:5174;width:953;height:195;mso-wrap-style:none" filled="f" stroked="f">
              <v:textbox style="mso-next-textbox:#_x0000_s1599;mso-fit-shape-to-text:t" inset="0,0,0,0">
                <w:txbxContent>
                  <w:p w:rsidR="001F544B" w:rsidRPr="006214DD" w:rsidRDefault="001F544B" w:rsidP="00B4550A">
                    <w:pPr>
                      <w:rPr>
                        <w:lang w:val="ro-RO"/>
                      </w:rPr>
                    </w:pPr>
                    <w:r>
                      <w:rPr>
                        <w:rFonts w:ascii="Calibri" w:hAnsi="Calibri" w:cs="Calibri"/>
                        <w:color w:val="000000"/>
                        <w:sz w:val="16"/>
                        <w:szCs w:val="16"/>
                        <w:lang w:val="ro-RO"/>
                      </w:rPr>
                      <w:t>Administrative</w:t>
                    </w:r>
                  </w:p>
                </w:txbxContent>
              </v:textbox>
            </v:rect>
            <v:rect id="_x0000_s1600" style="position:absolute;left:6669;top:5174;width:97;height:207;mso-wrap-style:none" filled="f" stroked="f">
              <v:textbox style="mso-next-textbox:#_x0000_s1600;mso-fit-shape-to-text:t" inset="0,0,0,0">
                <w:txbxContent>
                  <w:p w:rsidR="001F544B" w:rsidRPr="006214DD" w:rsidRDefault="001F544B" w:rsidP="00B4550A"/>
                </w:txbxContent>
              </v:textbox>
            </v:rect>
            <v:rect id="_x0000_s1601" style="position:absolute;left:3784;top:5376;width:3434;height:391" filled="f" stroked="f">
              <v:textbox style="mso-next-textbox:#_x0000_s1601;mso-fit-shape-to-text:t" inset="0,0,0,0">
                <w:txbxContent>
                  <w:p w:rsidR="001F544B" w:rsidRPr="00961A52" w:rsidRDefault="001F544B" w:rsidP="00B4550A">
                    <w:pPr>
                      <w:rPr>
                        <w:lang w:val="nl-BE"/>
                      </w:rPr>
                    </w:pPr>
                    <w:r w:rsidRPr="00961A52">
                      <w:rPr>
                        <w:rFonts w:ascii="Calibri" w:hAnsi="Calibri" w:cs="Calibri"/>
                        <w:color w:val="000000"/>
                        <w:sz w:val="16"/>
                        <w:szCs w:val="16"/>
                        <w:lang w:val="nl-BE"/>
                      </w:rPr>
                      <w:t xml:space="preserve">Pentru  instituțiile guvernamentale și industria de transport </w:t>
                    </w:r>
                  </w:p>
                </w:txbxContent>
              </v:textbox>
            </v:rect>
            <v:rect id="_x0000_s1602" style="position:absolute;left:3723;top:6840;width:4094;height:336" stroked="f"/>
            <v:shape id="_x0000_s1603" style="position:absolute;left:3706;top:6722;width:4127;height:555" coordsize="5888,528" path="m,24hdc,11,11,,24,hal5864,hdc5878,,5888,11,5888,24hal5888,504hdc5888,518,5878,528,5864,528hal24,528hdc11,528,,518,,504hal,24hdxm48,504hal24,480r5840,l5840,504r,-480l5864,48,24,48,48,24r,480hdxe" fillcolor="#604a7b" strokecolor="#604a7b" strokeweight=".05pt">
              <v:path arrowok="t"/>
              <o:lock v:ext="edit" verticies="t"/>
            </v:shape>
            <v:rect id="_x0000_s1604" style="position:absolute;left:3882;top:6739;width:3996;height:397" filled="f" stroked="f">
              <v:textbox style="mso-next-textbox:#_x0000_s1604" inset="0,0,0,0">
                <w:txbxContent>
                  <w:p w:rsidR="001F544B" w:rsidRDefault="001F544B" w:rsidP="00B4550A">
                    <w:r>
                      <w:rPr>
                        <w:rFonts w:ascii="Calibri" w:hAnsi="Calibri" w:cs="Calibri"/>
                        <w:color w:val="000000"/>
                        <w:sz w:val="16"/>
                        <w:szCs w:val="16"/>
                      </w:rPr>
                      <w:t>Reducere la jumăttate a nr. accidentelor pana in 2020 și la nivelul UE până în 2030</w:t>
                    </w:r>
                  </w:p>
                </w:txbxContent>
              </v:textbox>
            </v:rect>
            <v:rect id="_x0000_s1605" style="position:absolute;left:3723;top:5909;width:4094;height:561" stroked="f"/>
            <v:shape id="_x0000_s1606" style="position:absolute;left:3706;top:5892;width:4127;height:595" coordsize="5888,848" path="m,24hdc,11,11,,24,hal5864,hdc5878,,5888,11,5888,24hal5888,824hdc5888,838,5878,848,5864,848hal24,848hdc11,848,,838,,824hal,24hdxm48,824hal24,800r5840,l5840,824r,-800l5864,48,24,48,48,24r,800hdxe" fillcolor="#e46c0a" strokecolor="#e46c0a" strokeweight=".05pt">
              <v:path arrowok="t"/>
              <o:lock v:ext="edit" verticies="t"/>
            </v:shape>
            <v:rect id="_x0000_s1607" style="position:absolute;left:3854;top:5988;width:3876;height:195" filled="f" stroked="f">
              <v:textbox style="mso-next-textbox:#_x0000_s1607;mso-fit-shape-to-text:t" inset="0,0,0,0">
                <w:txbxContent>
                  <w:p w:rsidR="001F544B" w:rsidRDefault="001F544B" w:rsidP="00B4550A">
                    <w:r>
                      <w:rPr>
                        <w:rFonts w:ascii="Calibri" w:hAnsi="Calibri" w:cs="Calibri"/>
                        <w:color w:val="000000"/>
                        <w:sz w:val="16"/>
                        <w:szCs w:val="16"/>
                      </w:rPr>
                      <w:t>Reducerea întârzierilor la frontieră, maximum 40 min</w:t>
                    </w:r>
                  </w:p>
                </w:txbxContent>
              </v:textbox>
            </v:rect>
            <v:rect id="_x0000_s1608" style="position:absolute;left:3887;top:6189;width:1878;height:195" filled="f" stroked="f">
              <v:textbox style="mso-next-textbox:#_x0000_s1608;mso-fit-shape-to-text:t" inset="0,0,0,0">
                <w:txbxContent>
                  <w:p w:rsidR="001F544B" w:rsidRDefault="001F544B" w:rsidP="00B4550A">
                    <w:r>
                      <w:rPr>
                        <w:rFonts w:ascii="Calibri" w:hAnsi="Calibri" w:cs="Calibri"/>
                        <w:color w:val="000000"/>
                        <w:sz w:val="16"/>
                        <w:szCs w:val="16"/>
                      </w:rPr>
                      <w:t>timp de așteptare</w:t>
                    </w:r>
                  </w:p>
                </w:txbxContent>
              </v:textbox>
            </v:rect>
            <v:rect id="_x0000_s1609" style="position:absolute;left:5839;top:6189;width:1885;height:195;mso-wrap-style:none" filled="f" stroked="f">
              <v:textbox style="mso-next-textbox:#_x0000_s1609;mso-fit-shape-to-text:t" inset="0,0,0,0">
                <w:txbxContent>
                  <w:p w:rsidR="001F544B" w:rsidRDefault="001F544B" w:rsidP="00B4550A">
                    <w:r>
                      <w:rPr>
                        <w:rFonts w:ascii="Calibri" w:hAnsi="Calibri" w:cs="Calibri"/>
                        <w:color w:val="000000"/>
                        <w:sz w:val="16"/>
                        <w:szCs w:val="16"/>
                      </w:rPr>
                      <w:t xml:space="preserve">(Potrivit normelor europene) </w:t>
                    </w:r>
                  </w:p>
                </w:txbxContent>
              </v:textbox>
            </v:rect>
            <v:rect id="_x0000_s1610" style="position:absolute;left:3723;top:605;width:4094;height:337" stroked="f"/>
            <v:shape id="_x0000_s1611" style="position:absolute;left:3706;top:589;width:4127;height:370" coordsize="5888,528" path="m,24hdc,11,11,,24,hal5864,hdc5878,,5888,11,5888,24hal5888,504hdc5888,518,5878,528,5864,528hal24,528hdc11,528,,518,,504hal,24hdxm48,504hal24,480r5840,l5840,504r,-480l5864,48,24,48,48,24r,480hdxe" fillcolor="#c0504d" strokecolor="#c0504d" strokeweight=".05pt">
              <v:path arrowok="t"/>
              <o:lock v:ext="edit" verticies="t"/>
            </v:shape>
            <v:rect id="_x0000_s1612" style="position:absolute;left:3999;top:669;width:2860;height:195" filled="f" stroked="f">
              <v:textbox style="mso-next-textbox:#_x0000_s1612;mso-fit-shape-to-text:t" inset="0,0,0,0">
                <w:txbxContent>
                  <w:p w:rsidR="001F544B" w:rsidRDefault="001F544B" w:rsidP="00B4550A">
                    <w:r>
                      <w:rPr>
                        <w:rFonts w:ascii="Calibri" w:hAnsi="Calibri" w:cs="Calibri"/>
                        <w:color w:val="000000"/>
                        <w:sz w:val="16"/>
                        <w:szCs w:val="16"/>
                      </w:rPr>
                      <w:t>Creșterea accesibilității la piețe occidentale</w:t>
                    </w:r>
                  </w:p>
                </w:txbxContent>
              </v:textbox>
            </v:rect>
            <v:rect id="_x0000_s1613" style="position:absolute;left:6209;top:669;width:97;height:207;mso-wrap-style:none" filled="f" stroked="f">
              <v:textbox style="mso-next-textbox:#_x0000_s1613;mso-fit-shape-to-text:t" inset="0,0,0,0">
                <w:txbxContent>
                  <w:p w:rsidR="001F544B" w:rsidRDefault="001F544B" w:rsidP="00B4550A"/>
                </w:txbxContent>
              </v:textbox>
            </v:rect>
            <v:rect id="_x0000_s1614" style="position:absolute;left:6803;top:669;width:49;height:195;mso-wrap-style:none" filled="f" stroked="f">
              <v:textbox style="mso-next-textbox:#_x0000_s1614;mso-fit-shape-to-text:t" inset="0,0,0,0">
                <w:txbxContent>
                  <w:p w:rsidR="001F544B" w:rsidRDefault="001F544B" w:rsidP="00B4550A">
                    <w:r>
                      <w:rPr>
                        <w:rFonts w:ascii="Calibri" w:hAnsi="Calibri" w:cs="Calibri"/>
                        <w:color w:val="000000"/>
                        <w:sz w:val="16"/>
                        <w:szCs w:val="16"/>
                      </w:rPr>
                      <w:t>-</w:t>
                    </w:r>
                  </w:p>
                </w:txbxContent>
              </v:textbox>
            </v:rect>
            <v:rect id="_x0000_s1615" style="position:absolute;left:6882;top:669;width:791;height:195;mso-wrap-style:none" filled="f" stroked="f">
              <v:textbox style="mso-next-textbox:#_x0000_s1615;mso-fit-shape-to-text:t" inset="0,0,0,0">
                <w:txbxContent>
                  <w:p w:rsidR="001F544B" w:rsidRDefault="001F544B" w:rsidP="00B4550A">
                    <w:r>
                      <w:rPr>
                        <w:rFonts w:ascii="Calibri" w:hAnsi="Calibri" w:cs="Calibri"/>
                        <w:color w:val="000000"/>
                        <w:sz w:val="16"/>
                        <w:szCs w:val="16"/>
                      </w:rPr>
                      <w:t xml:space="preserve">Regiunea SE </w:t>
                    </w:r>
                  </w:p>
                </w:txbxContent>
              </v:textbox>
            </v:rect>
            <v:rect id="_x0000_s1616" style="position:absolute;left:3723;top:1200;width:4094;height:336" stroked="f"/>
            <v:shape id="_x0000_s1617" style="position:absolute;left:3706;top:1183;width:4127;height:370" coordsize="5888,528" path="m,24hdc,11,11,,24,hal5864,hdc5878,,5888,11,5888,24hal5888,504hdc5888,518,5878,528,5864,528hal24,528hdc11,528,,518,,504hal,24hdxm48,504hal24,480r5840,l5840,504r,-480l5864,48,24,48,48,24r,480hdxe" fillcolor="#c0504d" strokecolor="#c0504d" strokeweight=".05pt">
              <v:path arrowok="t"/>
              <o:lock v:ext="edit" verticies="t"/>
            </v:shape>
            <v:rect id="_x0000_s1618" style="position:absolute;left:3854;top:1268;width:2949;height:207" filled="f" stroked="f">
              <v:textbox style="mso-next-textbox:#_x0000_s1618" inset="0,0,0,0">
                <w:txbxContent>
                  <w:p w:rsidR="001F544B" w:rsidRDefault="001F544B" w:rsidP="00B4550A">
                    <w:r>
                      <w:rPr>
                        <w:rFonts w:ascii="Calibri" w:hAnsi="Calibri" w:cs="Calibri"/>
                        <w:color w:val="000000"/>
                        <w:sz w:val="16"/>
                        <w:szCs w:val="16"/>
                      </w:rPr>
                      <w:t>Creșterea accesibilității la piețe  occidentale</w:t>
                    </w:r>
                  </w:p>
                </w:txbxContent>
              </v:textbox>
            </v:rect>
            <v:rect id="_x0000_s1619" style="position:absolute;left:6886;top:1268;width:84;height:207;flip:x" filled="f" stroked="f">
              <v:textbox style="mso-next-textbox:#_x0000_s1619;mso-fit-shape-to-text:t" inset="0,0,0,0">
                <w:txbxContent>
                  <w:p w:rsidR="001F544B" w:rsidRDefault="001F544B" w:rsidP="00B4550A">
                    <w:r>
                      <w:rPr>
                        <w:rFonts w:ascii="Calibri" w:hAnsi="Calibri" w:cs="Calibri"/>
                        <w:color w:val="000000"/>
                        <w:sz w:val="16"/>
                        <w:szCs w:val="16"/>
                      </w:rPr>
                      <w:t xml:space="preserve"> </w:t>
                    </w:r>
                  </w:p>
                </w:txbxContent>
              </v:textbox>
            </v:rect>
            <v:rect id="_x0000_s1620" style="position:absolute;left:6837;top:1268;width:49;height:195;mso-wrap-style:none" filled="f" stroked="f">
              <v:textbox style="mso-next-textbox:#_x0000_s1620;mso-fit-shape-to-text:t" inset="0,0,0,0">
                <w:txbxContent>
                  <w:p w:rsidR="001F544B" w:rsidRDefault="001F544B" w:rsidP="00B4550A">
                    <w:r>
                      <w:rPr>
                        <w:rFonts w:ascii="Calibri" w:hAnsi="Calibri" w:cs="Calibri"/>
                        <w:color w:val="000000"/>
                        <w:sz w:val="16"/>
                        <w:szCs w:val="16"/>
                      </w:rPr>
                      <w:t>-</w:t>
                    </w:r>
                  </w:p>
                </w:txbxContent>
              </v:textbox>
            </v:rect>
            <v:rect id="_x0000_s1621" style="position:absolute;left:6915;top:1268;width:713;height:195;mso-wrap-style:none" filled="f" stroked="f">
              <v:textbox style="mso-next-textbox:#_x0000_s1621;mso-fit-shape-to-text:t" inset="0,0,0,0">
                <w:txbxContent>
                  <w:p w:rsidR="001F544B" w:rsidRDefault="001F544B" w:rsidP="00B4550A">
                    <w:r>
                      <w:rPr>
                        <w:rFonts w:ascii="Calibri" w:hAnsi="Calibri" w:cs="Calibri"/>
                        <w:color w:val="000000"/>
                        <w:sz w:val="16"/>
                        <w:szCs w:val="16"/>
                      </w:rPr>
                      <w:t xml:space="preserve">Regiunea S </w:t>
                    </w:r>
                  </w:p>
                </w:txbxContent>
              </v:textbox>
            </v:rect>
            <v:rect id="_x0000_s1622" style="position:absolute;left:3723;top:3880;width:4094;height:336" stroked="f"/>
            <v:shape id="_x0000_s1623" style="position:absolute;left:3706;top:3863;width:4127;height:370" coordsize="5888,528" path="m,24hdc,11,11,,24,hal5864,hdc5878,,5888,11,5888,24hal5888,504hdc5888,518,5878,528,5864,528hal24,528hdc11,528,,518,,504hal,24hdxm48,504hal24,480r5840,l5840,504r,-480l5864,48,24,48,48,24r,480hdxe" fillcolor="#e46c0a" strokecolor="#e46c0a" strokeweight=".05pt">
              <v:path arrowok="t"/>
              <o:lock v:ext="edit" verticies="t"/>
            </v:shape>
            <v:rect id="_x0000_s1624" style="position:absolute;left:4011;top:3947;width:3085;height:269" filled="f" stroked="f">
              <v:textbox style="mso-next-textbox:#_x0000_s1624" inset="0,0,0,0">
                <w:txbxContent>
                  <w:p w:rsidR="001F544B" w:rsidRPr="005E35EE" w:rsidRDefault="001F544B" w:rsidP="00B4550A">
                    <w:pPr>
                      <w:rPr>
                        <w:lang w:val="ro-RO"/>
                      </w:rPr>
                    </w:pPr>
                    <w:r>
                      <w:rPr>
                        <w:rFonts w:ascii="Calibri" w:hAnsi="Calibri" w:cs="Calibri"/>
                        <w:color w:val="000000"/>
                        <w:sz w:val="16"/>
                        <w:szCs w:val="16"/>
                        <w:lang w:val="ro-RO"/>
                      </w:rPr>
                      <w:t>Creșterea vitezelor pe rețeaua de Nivel 2</w:t>
                    </w:r>
                  </w:p>
                </w:txbxContent>
              </v:textbox>
            </v:rect>
            <v:rect id="_x0000_s1625" style="position:absolute;left:3723;top:4463;width:4094;height:336" stroked="f"/>
            <v:shape id="_x0000_s1626" style="position:absolute;left:3706;top:4446;width:4127;height:370" coordsize="5888,528" path="m,24hdc,11,11,,24,hal5864,hdc5878,,5888,11,5888,24hal5888,504hdc5888,518,5878,528,5864,528hal24,528hdc11,528,,518,,504hal,24hdxm48,504hal24,480r5840,l5840,504r,-480l5864,48,24,48,48,24r,480hdxe" fillcolor="#e46c0a" strokecolor="#e46c0a" strokeweight=".05pt">
              <v:path arrowok="t"/>
              <o:lock v:ext="edit" verticies="t"/>
            </v:shape>
            <v:rect id="_x0000_s1627" style="position:absolute;left:3999;top:4534;width:2929;height:195" filled="f" stroked="f">
              <v:textbox style="mso-next-textbox:#_x0000_s1627;mso-fit-shape-to-text:t" inset="0,0,0,0">
                <w:txbxContent>
                  <w:p w:rsidR="001F544B" w:rsidRPr="005E35EE" w:rsidRDefault="001F544B" w:rsidP="00B4550A">
                    <w:pPr>
                      <w:rPr>
                        <w:lang w:val="ro-RO"/>
                      </w:rPr>
                    </w:pPr>
                    <w:r>
                      <w:rPr>
                        <w:rFonts w:ascii="Calibri" w:hAnsi="Calibri" w:cs="Calibri"/>
                        <w:color w:val="000000"/>
                        <w:sz w:val="16"/>
                        <w:szCs w:val="16"/>
                        <w:lang w:val="ro-RO"/>
                      </w:rPr>
                      <w:t>Proiecte drumuri naționale și rute de ocolire</w:t>
                    </w:r>
                  </w:p>
                </w:txbxContent>
              </v:textbox>
            </v:rect>
            <v:rect id="_x0000_s1628" style="position:absolute;left:22;top:7546;width:2434;height:550" fillcolor="#4f81bd" stroked="f"/>
            <v:shape id="_x0000_s1629" style="position:absolute;left:6;top:7529;width:2467;height:583" coordsize="3520,832" path="m,24hdc,11,11,,24,hal3496,hdc3510,,3520,11,3520,24hal3520,808hdc3520,822,3510,832,3496,832hal24,832hdc11,832,,822,,808hal,24hdxm48,808hal24,784r3472,l3472,808r,-784l3496,48,24,48,48,24r,784hdxe" fillcolor="#254061" strokecolor="#254061" strokeweight=".05pt">
              <v:path arrowok="t"/>
              <o:lock v:ext="edit" verticies="t"/>
            </v:shape>
            <v:rect id="_x0000_s1630" style="position:absolute;left:34;top:7546;width:2422;height:449" filled="f" stroked="f">
              <v:textbox style="mso-next-textbox:#_x0000_s1630" inset="0,0,0,0">
                <w:txbxContent>
                  <w:p w:rsidR="001F544B" w:rsidRDefault="001F544B" w:rsidP="00B4550A">
                    <w:r>
                      <w:rPr>
                        <w:rFonts w:ascii="Calibri" w:hAnsi="Calibri" w:cs="Calibri"/>
                        <w:b/>
                        <w:bCs/>
                        <w:color w:val="FFFFFF"/>
                        <w:sz w:val="16"/>
                        <w:szCs w:val="16"/>
                      </w:rPr>
                      <w:t>Lipsa parcărilor sigure și securizate pentru vehiculele de marfă</w:t>
                    </w:r>
                  </w:p>
                </w:txbxContent>
              </v:textbox>
            </v:rect>
            <v:rect id="_x0000_s1631" style="position:absolute;left:1777;top:7721;width:97;height:207;mso-wrap-style:none" filled="f" stroked="f">
              <v:textbox style="mso-next-textbox:#_x0000_s1631;mso-fit-shape-to-text:t" inset="0,0,0,0">
                <w:txbxContent>
                  <w:p w:rsidR="001F544B" w:rsidRDefault="001F544B" w:rsidP="00B4550A"/>
                </w:txbxContent>
              </v:textbox>
            </v:rect>
            <v:rect id="_x0000_s1632" style="position:absolute;left:3711;top:7630;width:4094;height:348" stroked="f"/>
            <v:shape id="_x0000_s1633" style="position:absolute;left:3706;top:7630;width:4127;height:382" coordsize="5888,544" path="m,24hdc,11,11,,24,hal5864,hdc5878,,5888,11,5888,24hal5888,520hdc5888,534,5878,544,5864,544hal24,544hdc11,544,,534,,520hal,24hdxm48,520hal24,496r5840,l5840,520r,-496l5864,48,24,48,48,24r,496hdxe" fillcolor="#604a7b" strokecolor="#604a7b" strokeweight=".05pt">
              <v:path arrowok="t"/>
              <o:lock v:ext="edit" verticies="t"/>
            </v:shape>
            <v:rect id="_x0000_s1634" style="position:absolute;left:3784;top:7630;width:3804;height:382" filled="f" stroked="f">
              <v:textbox style="mso-next-textbox:#_x0000_s1634" inset="0,0,0,0">
                <w:txbxContent>
                  <w:p w:rsidR="001F544B" w:rsidRDefault="001F544B" w:rsidP="00B4550A">
                    <w:r>
                      <w:rPr>
                        <w:rFonts w:ascii="Calibri" w:hAnsi="Calibri" w:cs="Calibri"/>
                        <w:color w:val="000000"/>
                        <w:sz w:val="16"/>
                        <w:szCs w:val="16"/>
                      </w:rPr>
                      <w:t>Măsuri de siguranță și securitate pentru HGV la nivel UE</w:t>
                    </w:r>
                  </w:p>
                </w:txbxContent>
              </v:textbox>
            </v:rect>
            <v:rect id="_x0000_s1635" style="position:absolute;left:3723;top:8365;width:4094;height:549" stroked="f"/>
            <v:shape id="_x0000_s1636" style="position:absolute;left:3706;top:8348;width:4127;height:583" coordsize="5888,832" path="m,24hdc,11,11,,24,hal5864,hdc5878,,5888,11,5888,24hal5888,808hdc5888,822,5878,832,5864,832hal24,832hdc11,832,,822,,808hal,24hdxm48,808hal24,784r5840,l5840,808r,-784l5864,48,24,48,48,24r,784hdxe" fillcolor="#4f6228" strokecolor="#4f6228" strokeweight=".05pt">
              <v:path arrowok="t"/>
              <o:lock v:ext="edit" verticies="t"/>
            </v:shape>
            <v:rect id="_x0000_s1637" style="position:absolute;left:3784;top:8440;width:3776;height:391" filled="f" stroked="f">
              <v:textbox style="mso-next-textbox:#_x0000_s1637;mso-fit-shape-to-text:t" inset="0,0,0,0">
                <w:txbxContent>
                  <w:p w:rsidR="001F544B" w:rsidRDefault="001F544B" w:rsidP="00B4550A">
                    <w:r>
                      <w:rPr>
                        <w:rFonts w:ascii="Calibri" w:hAnsi="Calibri" w:cs="Calibri"/>
                        <w:color w:val="000000"/>
                        <w:sz w:val="16"/>
                        <w:szCs w:val="16"/>
                      </w:rPr>
                      <w:t xml:space="preserve">Îmbunătățirea întreținerii pentru a menține carosabilul în condiții bune </w:t>
                    </w:r>
                  </w:p>
                </w:txbxContent>
              </v:textbox>
            </v:rect>
            <v:rect id="_x0000_s1638" style="position:absolute;left:4713;top:8651;width:2426;height:195" filled="f" stroked="f">
              <v:textbox style="mso-next-textbox:#_x0000_s1638;mso-fit-shape-to-text:t" inset="0,0,0,0">
                <w:txbxContent>
                  <w:p w:rsidR="001F544B" w:rsidRDefault="001F544B" w:rsidP="00B4550A">
                    <w:r>
                      <w:rPr>
                        <w:rFonts w:ascii="Calibri" w:hAnsi="Calibri" w:cs="Calibri"/>
                        <w:color w:val="000000"/>
                        <w:sz w:val="16"/>
                        <w:szCs w:val="16"/>
                      </w:rPr>
                      <w:t xml:space="preserve"> așa cum sunt definite de CESTRIN)</w:t>
                    </w:r>
                  </w:p>
                </w:txbxContent>
              </v:textbox>
            </v:rect>
            <v:rect id="_x0000_s1639" style="position:absolute;left:3723;top:1783;width:4094;height:347" stroked="f"/>
            <v:shape id="_x0000_s1640" style="position:absolute;left:3706;top:1766;width:4127;height:381" coordsize="5888,544" path="m,24hdc,11,11,,24,hal5864,hdc5878,,5888,11,5888,24hal5888,520hdc5888,534,5878,544,5864,544hal24,544hdc11,544,,534,,520hal,24hdxm48,520hal24,496r5840,l5840,520r,-496l5864,48,24,48,48,24r,496hdxe" fillcolor="#c0504d" strokecolor="#c0504d" strokeweight=".05pt">
              <v:path arrowok="t"/>
              <o:lock v:ext="edit" verticies="t"/>
            </v:shape>
            <v:rect id="_x0000_s1641" style="position:absolute;left:3887;top:1856;width:3083;height:195" filled="f" stroked="f">
              <v:textbox style="mso-next-textbox:#_x0000_s1641;mso-fit-shape-to-text:t" inset="0,0,0,0">
                <w:txbxContent>
                  <w:p w:rsidR="001F544B" w:rsidRDefault="001F544B" w:rsidP="00B4550A">
                    <w:r>
                      <w:rPr>
                        <w:rFonts w:ascii="Calibri" w:hAnsi="Calibri" w:cs="Calibri"/>
                        <w:color w:val="000000"/>
                        <w:sz w:val="16"/>
                        <w:szCs w:val="16"/>
                      </w:rPr>
                      <w:t>Minimizarea impacturilor de mediu</w:t>
                    </w:r>
                  </w:p>
                </w:txbxContent>
              </v:textbox>
            </v:rect>
            <v:shape id="_x0000_s1642" style="position:absolute;left:3662;top:1721;width:4216;height:482" coordsize="6016,688" path="m,24hdc,11,11,,24,hal5992,hdc6006,,6016,11,6016,24hal6016,664hdc6016,678,6006,688,5992,688hal24,688hdc11,688,,678,,664hal,24hdxm48,664hal24,640r5968,l5968,664r,-640l5992,48,24,48,48,24r,640hdxe" fillcolor="#4f6228" strokecolor="#4f6228" strokeweight=".05pt">
              <v:path arrowok="t"/>
              <o:lock v:ext="edit" verticies="t"/>
            </v:shape>
            <v:rect id="_x0000_s1643" style="position:absolute;left:3734;top:9183;width:4083;height:561" stroked="f"/>
            <v:shape id="_x0000_s1644" style="position:absolute;left:3718;top:9166;width:4115;height:595" coordsize="5872,848" path="m,24hdc,11,11,,24,hal5848,hdc5862,,5872,11,5872,24hal5872,824hdc5872,838,5862,848,5848,848hal24,848hdc11,848,,838,,824hal,24hdxm48,824hal24,800r5824,l5824,824r,-800l5848,48,24,48,48,24r,800hdxe" fillcolor="#4f6228" strokecolor="#4f6228" strokeweight=".05pt">
              <v:path arrowok="t"/>
              <o:lock v:ext="edit" verticies="t"/>
            </v:shape>
            <v:rect id="_x0000_s1645" style="position:absolute;left:3854;top:9265;width:3974;height:391" filled="f" stroked="f">
              <v:textbox style="mso-next-textbox:#_x0000_s1645;mso-fit-shape-to-text:t" inset="0,0,0,0">
                <w:txbxContent>
                  <w:p w:rsidR="001F544B" w:rsidRDefault="001F544B" w:rsidP="00B4550A">
                    <w:r>
                      <w:rPr>
                        <w:rFonts w:ascii="Calibri" w:hAnsi="Calibri" w:cs="Calibri"/>
                        <w:color w:val="000000"/>
                        <w:sz w:val="16"/>
                        <w:szCs w:val="16"/>
                      </w:rPr>
                      <w:t>Creșterea capacității pentru a asigura un management eficient  al activităților din sectorul rutier</w:t>
                    </w:r>
                  </w:p>
                </w:txbxContent>
              </v:textbox>
            </v:rect>
            <v:shape id="_x0000_s1646" style="position:absolute;left:3662;top:9110;width:4216;height:696" coordsize="6016,992" path="m,24hdc,11,11,,24,hal5992,hdc6006,,6016,11,6016,24hal6016,968hdc6016,982,6006,992,5992,992hal24,992hdc11,992,,982,,968hal,24hdxm48,968hal24,944r5968,l5968,968r,-944l5992,48,24,48,48,24r,944hdxe" fillcolor="#e46c0a" strokecolor="#e46c0a" strokeweight=".05pt">
              <v:path arrowok="t"/>
              <o:lock v:ext="edit" verticies="t"/>
            </v:shape>
            <v:rect id="_x0000_s1647" style="position:absolute;left:3734;top:10125;width:4083;height:337" stroked="f"/>
            <v:shape id="_x0000_s1648" style="position:absolute;left:3718;top:10108;width:4115;height:370" coordsize="5872,528" path="m,24hdc,11,11,,24,hal5848,hdc5862,,5872,11,5872,24hal5872,504hdc5872,518,5862,528,5848,528hal24,528hdc11,528,,518,,504hal,24hdxm48,504hal24,480r5824,l5824,504r,-480l5848,48,24,48,48,24r,480hdxe" fillcolor="#4f6228" strokecolor="#4f6228" strokeweight=".05pt">
              <v:path arrowok="t"/>
              <o:lock v:ext="edit" verticies="t"/>
            </v:shape>
            <v:rect id="_x0000_s1649" style="position:absolute;left:3854;top:10196;width:97;height:207;mso-wrap-style:none" filled="f" stroked="f">
              <v:textbox style="mso-next-textbox:#_x0000_s1649;mso-fit-shape-to-text:t" inset="0,0,0,0">
                <w:txbxContent>
                  <w:p w:rsidR="001F544B" w:rsidRDefault="001F544B" w:rsidP="00B4550A"/>
                </w:txbxContent>
              </v:textbox>
            </v:rect>
            <v:rect id="_x0000_s1650" style="position:absolute;left:3784;top:10196;width:3818;height:195" filled="f" stroked="f">
              <v:textbox style="mso-next-textbox:#_x0000_s1650;mso-fit-shape-to-text:t" inset="0,0,0,0">
                <w:txbxContent>
                  <w:p w:rsidR="001F544B" w:rsidRDefault="001F544B" w:rsidP="00B4550A">
                    <w:r>
                      <w:rPr>
                        <w:rFonts w:ascii="Calibri" w:hAnsi="Calibri" w:cs="Calibri"/>
                        <w:color w:val="000000"/>
                        <w:sz w:val="16"/>
                        <w:szCs w:val="16"/>
                      </w:rPr>
                      <w:t>Reducerea degradării cauzate de supraîncărcarea pe osie</w:t>
                    </w:r>
                  </w:p>
                </w:txbxContent>
              </v:textbox>
            </v:rect>
            <v:shape id="_x0000_s1651" style="position:absolute;left:3662;top:10052;width:4216;height:482" coordsize="6016,688" path="m,24hdc,11,11,,24,hal5992,hdc6006,,6016,11,6016,24hal6016,664hdc6016,678,6006,688,5992,688hal24,688hdc11,688,,678,,664hal,24hdxm48,664hal24,640r5968,l5968,664r,-640l5992,48,24,48,48,24r,640hdxe" fillcolor="#c0504d" strokecolor="#c0504d" strokeweight=".05pt">
              <v:path arrowok="t"/>
              <o:lock v:ext="edit" verticies="t"/>
            </v:shape>
            <v:rect id="_x0000_s1652" style="position:absolute;left:3723;top:2523;width:4082;height:336" stroked="f"/>
            <v:shape id="_x0000_s1653" style="position:absolute;left:3706;top:2506;width:4116;height:370" coordsize="5872,528" path="m,24hdc,11,11,,24,hal5848,hdc5862,,5872,11,5872,24hal5872,504hdc5872,518,5862,528,5848,528hal24,528hdc11,528,,518,,504hal,24hdxm48,504hal24,480r5824,l5824,504r,-480l5848,48,24,48,48,24r,480hdxe" fillcolor="#c0504d" strokecolor="#c0504d" strokeweight=".05pt">
              <v:path arrowok="t"/>
              <o:lock v:ext="edit" verticies="t"/>
            </v:shape>
            <v:rect id="_x0000_s1654" style="position:absolute;left:3734;top:2591;width:3103;height:402" filled="f" stroked="f">
              <v:textbox style="mso-next-textbox:#_x0000_s1654;mso-fit-shape-to-text:t" inset="0,0,0,0">
                <w:txbxContent>
                  <w:p w:rsidR="001F544B" w:rsidRDefault="001F544B" w:rsidP="00B4550A">
                    <w:r>
                      <w:rPr>
                        <w:rFonts w:ascii="Calibri" w:hAnsi="Calibri" w:cs="Calibri"/>
                        <w:color w:val="000000"/>
                        <w:sz w:val="16"/>
                        <w:szCs w:val="16"/>
                      </w:rPr>
                      <w:t>Creșterea accesibilității la piețe  occidentale</w:t>
                    </w:r>
                  </w:p>
                  <w:p w:rsidR="001F544B" w:rsidRDefault="001F544B" w:rsidP="00B4550A"/>
                </w:txbxContent>
              </v:textbox>
            </v:rect>
            <v:rect id="_x0000_s1655" style="position:absolute;left:6781;top:2591;width:49;height:195;mso-wrap-style:none" filled="f" stroked="f">
              <v:textbox style="mso-next-textbox:#_x0000_s1655;mso-fit-shape-to-text:t" inset="0,0,0,0">
                <w:txbxContent>
                  <w:p w:rsidR="001F544B" w:rsidRDefault="001F544B" w:rsidP="00B4550A">
                    <w:r>
                      <w:rPr>
                        <w:rFonts w:ascii="Calibri" w:hAnsi="Calibri" w:cs="Calibri"/>
                        <w:color w:val="000000"/>
                        <w:sz w:val="16"/>
                        <w:szCs w:val="16"/>
                      </w:rPr>
                      <w:t>-</w:t>
                    </w:r>
                  </w:p>
                </w:txbxContent>
              </v:textbox>
            </v:rect>
            <v:rect id="_x0000_s1656" style="position:absolute;left:6691;top:2591;width:1236;height:195" filled="f" stroked="f">
              <v:textbox style="mso-next-textbox:#_x0000_s1656;mso-fit-shape-to-text:t" inset="0,0,0,0">
                <w:txbxContent>
                  <w:p w:rsidR="001F544B" w:rsidRDefault="001F544B" w:rsidP="00B4550A">
                    <w:r>
                      <w:rPr>
                        <w:rFonts w:ascii="Calibri" w:hAnsi="Calibri" w:cs="Calibri"/>
                        <w:color w:val="000000"/>
                        <w:sz w:val="16"/>
                        <w:szCs w:val="16"/>
                      </w:rPr>
                      <w:t>– Regiunea NE</w:t>
                    </w:r>
                  </w:p>
                </w:txbxContent>
              </v:textbox>
            </v:rect>
            <v:shape id="_x0000_s1657" style="position:absolute;left:3662;top:2472;width:4216;height:449" coordsize="6016,640" path="m,24hdc,11,11,,24,hal5992,hdc6006,,6016,11,6016,24hal6016,616hdc6016,630,6006,640,5992,640hal24,640hdc11,640,,630,,616hal,24hdxm48,616hal24,592r5968,l5968,616r,-592l5992,48,24,48,48,24r,592hdxe" fillcolor="#e46c0a" strokecolor="#e46c0a" strokeweight=".05pt">
              <v:path arrowok="t"/>
              <o:lock v:ext="edit" verticies="t"/>
            </v:shape>
            <v:shape id="_x0000_s1658" style="position:absolute;left:2456;top:174;width:1279;height:915" coordsize="1825,1306" path="m,1258r913,l889,1282,889,24hdc889,11,900,,913,hal1825,r,48l913,48,937,24r,1258hdc937,1295,926,1306,913,1306hal,1306r,-48xe" fillcolor="#4a7ebb" strokecolor="#4a7ebb" strokeweight=".05pt">
              <v:path arrowok="t"/>
            </v:shape>
            <v:shape id="_x0000_s1659" style="position:absolute;left:2456;top:1060;width:1279;height:915" coordsize="1825,1306" path="m,l913,hdc926,,937,11,937,24hal937,1282r-24,-24l1825,1258r,48l913,1306hdc900,1306,889,1295,889,1282hal889,24r24,24l,48,,xe" fillcolor="#4a7ebb" strokecolor="#4a7ebb" strokeweight=".05pt">
              <v:path arrowok="t"/>
            </v:shape>
            <v:shape id="_x0000_s1660" style="position:absolute;left:2456;top:757;width:1268;height:339" coordsize="1809,484" path="m,436r915,l891,460r,-436hdc891,11,902,,915,hal1809,r,48l915,48,939,24r,436hdc939,473,928,484,915,484hal,484,,436xe" fillcolor="#4a7ebb" strokecolor="#4a7ebb" strokeweight=".05pt">
              <v:path arrowok="t"/>
            </v:shape>
            <v:shape id="_x0000_s1661" style="position:absolute;left:2456;top:1060;width:1268;height:328" coordsize="1809,468" path="m,l915,hdc928,,939,11,939,24hal939,444,915,420r894,l1809,468r-894,hdc902,468,891,457,891,444hal891,24r24,24l,48,,xe" fillcolor="#4a7ebb" strokecolor="#4a7ebb" strokeweight=".05pt">
              <v:path arrowok="t"/>
            </v:shape>
            <v:rect id="_x0000_s1662" style="position:absolute;left:2467;top:2674;width:1257;height:34" fillcolor="#4a7ebb" strokecolor="#4a7ebb" strokeweight=".05pt">
              <v:stroke joinstyle="round"/>
            </v:rect>
            <v:rect id="_x0000_s1663" style="position:absolute;left:2456;top:4031;width:1268;height:34" fillcolor="#4a7ebb" strokecolor="#4a7ebb" strokeweight=".05pt">
              <v:stroke joinstyle="round"/>
            </v:rect>
            <v:shape id="_x0000_s1664" style="position:absolute;left:2456;top:3482;width:1268;height:588" coordsize="1809,839" path="m,791r905,l881,815r,-791hdc881,11,892,,905,hal1809,r,48l905,48,929,24r,791hdc929,828,918,839,905,839hal,839,,791xe" fillcolor="#4a7ebb" strokecolor="#4a7ebb" strokeweight=".05pt">
              <v:path arrowok="t"/>
            </v:shape>
            <v:shape id="_x0000_s1665" style="position:absolute;left:2456;top:4031;width:1268;height:622" coordsize="1809,887" path="m,l905,hdc918,,929,11,929,24hal929,863,905,839r904,l1809,887r-904,hdc892,887,881,876,881,863hal881,24r24,24l,48,,xe" fillcolor="#4a7ebb" strokecolor="#4a7ebb" strokeweight=".05pt">
              <v:path arrowok="t"/>
            </v:shape>
            <v:rect id="_x0000_s1666" style="position:absolute;left:2467;top:5354;width:1257;height:34" fillcolor="#4a7ebb" strokecolor="#4a7ebb" strokeweight=".05pt">
              <v:stroke joinstyle="round"/>
            </v:rect>
            <v:rect id="_x0000_s1667" style="position:absolute;left:2467;top:6173;width:1257;height:33" fillcolor="#4a7ebb" strokecolor="#4a7ebb" strokeweight=".05pt">
              <v:stroke joinstyle="round"/>
            </v:rect>
            <v:rect id="_x0000_s1668" style="position:absolute;left:2456;top:6991;width:1268;height:34" fillcolor="#4a7ebb" strokecolor="#4a7ebb" strokeweight=".05pt">
              <v:stroke joinstyle="round"/>
            </v:rect>
            <v:rect id="_x0000_s1669" style="position:absolute;left:2456;top:7810;width:1268;height:33" fillcolor="#4a7ebb" strokecolor="#4a7ebb" strokeweight=".05pt">
              <v:stroke joinstyle="round"/>
            </v:rect>
            <v:rect id="_x0000_s1670" style="position:absolute;left:2456;top:8617;width:1268;height:34" fillcolor="#4a7ebb" strokecolor="#4a7ebb" strokeweight=".05pt">
              <v:stroke joinstyle="round"/>
            </v:rect>
            <v:rect id="_x0000_s1671" style="position:absolute;left:2467;top:9447;width:1257;height:33" fillcolor="#4a7ebb" strokecolor="#4a7ebb" strokeweight=".05pt">
              <v:stroke joinstyle="round"/>
            </v:rect>
            <v:rect id="_x0000_s1672" style="position:absolute;left:2456;top:10277;width:1279;height:33" fillcolor="#4a7ebb" strokecolor="#4a7ebb" strokeweight=".05pt">
              <v:stroke joinstyle="round"/>
            </v:rect>
            <v:shape id="_x0000_s1673" style="position:absolute;left:7861;top:2674;width:1179;height:1390" coordsize="1681,1983" path="m,l965,hdc978,,989,11,989,24hal989,1959r-24,-24l1681,1935r,48l965,1983hdc952,1983,941,1973,941,1959hal941,24r24,24l,48,,xe" fillcolor="#e46c0a" strokecolor="#e46c0a" strokeweight=".05pt">
              <v:path arrowok="t"/>
            </v:shape>
            <v:shape id="_x0000_s1674" style="position:absolute;left:7861;top:4031;width:1179;height:5447" coordsize="1681,7772" path="m,7724r963,l939,7748,939,24hdc939,11,950,,963,hal1681,r,48l963,48,987,24r,7724hdc987,7762,976,7772,963,7772hal,7772r,-48xe" fillcolor="#e46c0a" strokecolor="#e46c0a" strokeweight=".05pt">
              <v:path arrowok="t"/>
            </v:shape>
            <v:shape id="_x0000_s1675" style="position:absolute;left:7817;top:174;width:1223;height:915" coordsize="1745,1306" path="m,l866,hdc880,,890,11,890,24hal890,1282r-24,-24l1745,1258r,48l866,1306hdc853,1306,842,1295,842,1282hal842,24r24,24l,48,,xe" fillcolor="#c0504d" strokecolor="#c0504d" strokeweight=".05pt">
              <v:path arrowok="t"/>
            </v:shape>
            <v:shape id="_x0000_s1676" style="position:absolute;left:7817;top:757;width:1223;height:339" coordsize="1745,484" path="m,l873,hdc886,,897,11,897,24hal897,460,873,436r872,l1745,484r-872,hdc860,484,849,473,849,460hal849,24r24,24l,48,,xe" fillcolor="#c0504d" strokecolor="#c0504d" strokeweight=".05pt">
              <v:path arrowok="t"/>
            </v:shape>
            <v:shape id="_x0000_s1677" style="position:absolute;left:7817;top:1060;width:1223;height:328" coordsize="1745,468" path="m,420r873,l849,444r,-420hdc849,11,859,,873,hal1745,r,48l873,48,897,24r,420hdc897,457,886,468,873,468hal,468,,420xe" fillcolor="#c0504d" strokecolor="#c0504d" strokeweight=".05pt">
              <v:path arrowok="t"/>
            </v:shape>
            <v:shape id="_x0000_s1678" style="position:absolute;left:7861;top:1060;width:1179;height:9254" coordsize="1681,13206" path="m,13158r805,l781,13182,781,24hdc781,11,792,,805,hal1681,r,48l805,48,829,24r,13158hdc829,13196,818,13206,805,13206hal,13206r,-48xe" fillcolor="#c0504d" strokecolor="#c0504d" strokeweight=".05pt">
              <v:path arrowok="t"/>
            </v:shape>
            <v:shape id="_x0000_s1679" style="position:absolute;left:7817;top:3470;width:1223;height:600" coordsize="1745,855" path="m,l1028,hdc1041,,1052,11,1052,24hal1052,831r-24,-24l1745,807r,48l1028,855hdc1015,855,1004,844,1004,831hal1004,24r24,24l,48,,xe" fillcolor="#e46c0a" strokecolor="#e46c0a" strokeweight=".05pt">
              <v:path arrowok="t"/>
            </v:shape>
            <v:rect id="_x0000_s1680" style="position:absolute;left:7817;top:4031;width:1223;height:34" fillcolor="#e46c0a" strokecolor="#e46c0a" strokeweight=".05pt">
              <v:stroke joinstyle="round"/>
            </v:rect>
            <v:shape id="_x0000_s1681" style="position:absolute;left:7817;top:4031;width:1223;height:622" coordsize="1745,887" path="m,839r1035,l1011,863r,-839hdc1011,11,1021,,1035,hal1745,r,48l1035,48r24,-24l1059,863hdc1059,876,1048,887,1035,887hal,887,,839xe" fillcolor="#e46c0a" strokecolor="#e46c0a" strokeweight=".05pt">
              <v:path arrowok="t"/>
            </v:shape>
            <v:shape id="_x0000_s1682" style="position:absolute;left:7817;top:4031;width:1223;height:1356" coordsize="1745,1935" path="m,1887r1035,l1011,1911r,-1887hdc1011,11,1021,,1035,hal1745,r,48l1035,48r24,-24l1059,1911hdc1059,1924,1048,1935,1035,1935hal,1935r,-48xe" fillcolor="#e46c0a" strokecolor="#e46c0a" strokeweight=".05pt">
              <v:path arrowok="t"/>
            </v:shape>
            <v:shape id="_x0000_s1683" style="position:absolute;left:7817;top:4031;width:1223;height:2181" coordsize="1745,3112" path="m,3064r1035,l1011,3088r,-3064hdc1011,11,1021,,1035,hal1745,r,48l1035,48r24,-24l1059,3088hdc1059,3101,1048,3112,1035,3112hal,3112r,-48xe" fillcolor="#e46c0a" strokecolor="#e46c0a" strokeweight=".05pt">
              <v:path arrowok="t"/>
            </v:shape>
            <v:rect id="_x0000_s1684" style="position:absolute;left:7817;top:6991;width:1223;height:34" fillcolor="#604a7b" strokecolor="#604a7b" strokeweight=".05pt">
              <v:stroke joinstyle="round"/>
            </v:rect>
            <v:shape id="_x0000_s1685" style="position:absolute;left:7817;top:6991;width:1223;height:847" coordsize="1745,1209" path="m,1161r703,l679,1185,679,24hdc679,11,690,,703,hal1745,r,48l703,48,727,24r,1161hdc727,1199,716,1209,703,1209hal,1209r,-48xe" fillcolor="#604a7b" strokecolor="#604a7b" strokeweight=".05pt">
              <v:path arrowok="t"/>
            </v:shape>
            <v:shape id="_x0000_s1686" style="position:absolute;left:7817;top:8617;width:1223;height:859" coordsize="1745,1226" path="m,l1199,hdc1213,,1223,11,1223,24hal1223,1202r-24,-24l1745,1178r,48l1199,1226hdc1186,1226,1175,1215,1175,1202hal1175,24r24,24l,48,,xe" fillcolor="#4f6228" strokecolor="#4f6228" strokeweight=".05pt">
              <v:path arrowok="t"/>
            </v:shape>
            <v:shape id="_x0000_s1687" style="position:absolute;left:7794;top:9458;width:1223;height:859" coordsize="1745,1226" path="m,1178r1227,l1203,1202r,-1178hdc1203,11,1214,,1227,hal1745,r,48l1227,48r24,-24l1251,1202hdc1251,1215,1240,1226,1227,1226hal,1226r,-48xe" fillcolor="#4f6228" strokecolor="#4f6228" strokeweight=".05pt">
              <v:path arrowok="t"/>
            </v:shape>
            <v:shape id="_x0000_s1688" style="position:absolute;left:7817;top:1060;width:1223;height:1649" coordsize="1745,2354" path="m,2306r871,l847,2330,847,24hdc847,11,858,,871,hal1745,r,48l871,48,895,24r,2306hdc895,2344,884,2354,871,2354hal,2354r,-48xe" fillcolor="#c0504d" strokecolor="#c0504d" strokeweight=".05pt">
              <v:path arrowok="t"/>
            </v:shape>
            <v:rect id="_x0000_s1689" style="position:absolute;left:7817;top:9447;width:1223;height:33" fillcolor="#4f6228" strokecolor="#4f6228" strokeweight=".05pt">
              <v:stroke joinstyle="round"/>
            </v:rect>
            <v:shape id="_x0000_s1690" style="position:absolute;left:7861;top:1934;width:1179;height:7537" coordsize="1681,10755" path="m,l1135,hdc1148,,1159,11,1159,24hal1159,10731r-24,-24l1681,10707r,48l1135,10755hdc1122,10755,1111,10745,1111,10731hal1111,24r24,24l,48,,xe" fillcolor="#4f6228" strokecolor="#4f6228" strokeweight=".05pt">
              <v:path arrowok="t"/>
            </v:shape>
            <v:rect id="_x0000_s1691" style="position:absolute;left:7861;top:10176;width:573;height:33" fillcolor="#c0504d" strokecolor="#c0504d" strokeweight=".05pt">
              <v:stroke joinstyle="round"/>
            </v:rect>
            <v:rect id="_x0000_s1692" style="position:absolute;left:7861;top:9368;width:685;height:34" fillcolor="#e46c0a" strokecolor="#e46c0a" strokeweight=".05pt">
              <v:stroke joinstyle="round"/>
            </v:rect>
            <v:shape id="_x0000_s1693" style="position:absolute;left:7817;top:1060;width:1223;height:915" coordsize="1745,1306" path="m,1258r869,l845,1282,845,24hdc845,11,856,,869,hal1745,r,48l869,48,893,24r,1258hdc893,1295,882,1306,869,1306hal,1306r,-48xe" fillcolor="#c0504d" strokecolor="#c0504d" strokeweight=".05pt">
              <v:path arrowok="t"/>
            </v:shape>
            <v:rect id="_x0000_s1694" style="position:absolute;left:7861;top:2742;width:685;height:33" fillcolor="#e46c0a" strokecolor="#e46c0a" strokeweight=".05pt">
              <v:stroke joinstyle="round"/>
            </v:rect>
            <v:rect id="_x0000_s1695" style="position:absolute;left:8439;top:2629;width:113;height:113" strokecolor="white" strokeweight=".05pt">
              <v:stroke joinstyle="round"/>
            </v:rect>
            <v:rect id="_x0000_s1696" style="position:absolute;left:8445;top:1923;width:247;height:101" strokecolor="white" strokeweight=".05pt">
              <v:stroke joinstyle="round"/>
            </v:rect>
            <v:rect id="_x0000_s1697" style="position:absolute;left:7861;top:2035;width:786;height:34" fillcolor="#4f6228" strokecolor="#4f6228" strokeweight=".05pt">
              <v:stroke joinstyle="round"/>
            </v:rect>
            <v:rect id="_x0000_s1698" style="position:absolute;left:8433;top:9402;width:192;height:56" strokecolor="white" strokeweight=".05pt">
              <v:stroke joinstyle="round"/>
            </v:rect>
            <v:rect id="_x0000_s1699" style="position:absolute;left:7867;top:10209;width:651;height:68" strokecolor="white" strokeweight=".05pt">
              <v:stroke joinstyle="round"/>
            </v:rect>
            <w10:wrap type="none"/>
            <w10:anchorlock/>
          </v:group>
        </w:pict>
      </w:r>
    </w:p>
    <w:p w:rsidR="00B4550A" w:rsidRPr="00E0488D" w:rsidRDefault="00B4550A" w:rsidP="00B4550A">
      <w:pPr>
        <w:tabs>
          <w:tab w:val="left" w:pos="8422"/>
        </w:tabs>
        <w:rPr>
          <w:lang w:val="ro-RO"/>
        </w:rPr>
      </w:pPr>
      <w:r w:rsidRPr="00E0488D">
        <w:rPr>
          <w:i/>
          <w:sz w:val="22"/>
          <w:szCs w:val="22"/>
          <w:lang w:val="ro-RO"/>
        </w:rPr>
        <w:t xml:space="preserve">Sursa – Analiza AECOM </w:t>
      </w:r>
      <w:r w:rsidRPr="00E0488D">
        <w:rPr>
          <w:i/>
          <w:sz w:val="22"/>
          <w:szCs w:val="22"/>
          <w:lang w:val="ro-RO"/>
        </w:rPr>
        <w:tab/>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2B7E09">
      <w:pPr>
        <w:pStyle w:val="NumberedParas"/>
      </w:pPr>
      <w:r w:rsidRPr="00E0488D">
        <w:lastRenderedPageBreak/>
        <w:t>Tabelul 4.15 prezintă pe scurt principalele probleme identificate pe baza datelor justificative, cu obiectivele operaționale descrise mai sus alocate pentru fiecare tip de probleme. Intervențiile propuse și gradul de adecvare al acestora pentru testare cu ajutorul Modelului Național sunt incluse în diagramă.</w:t>
      </w:r>
    </w:p>
    <w:p w:rsidR="00B4550A" w:rsidRPr="00E0488D" w:rsidRDefault="00B4550A" w:rsidP="00BD59B2">
      <w:pPr>
        <w:pStyle w:val="Hdg2"/>
        <w:sectPr w:rsidR="00B4550A" w:rsidRPr="00E0488D" w:rsidSect="00933C17">
          <w:pgSz w:w="11907" w:h="16840" w:code="9"/>
          <w:pgMar w:top="1418" w:right="709" w:bottom="1418" w:left="907" w:header="357" w:footer="567" w:gutter="0"/>
          <w:cols w:space="187"/>
          <w:docGrid w:linePitch="360"/>
        </w:sectPr>
      </w:pPr>
    </w:p>
    <w:p w:rsidR="00B4550A" w:rsidRPr="00E0488D" w:rsidRDefault="00B4550A" w:rsidP="00B4550A">
      <w:pPr>
        <w:pStyle w:val="Body"/>
        <w:rPr>
          <w:lang w:val="ro-RO"/>
        </w:rPr>
      </w:pPr>
    </w:p>
    <w:p w:rsidR="00B4550A" w:rsidRPr="00E0488D" w:rsidRDefault="00B4550A" w:rsidP="00B4550A">
      <w:pPr>
        <w:spacing w:before="120" w:after="120" w:line="276" w:lineRule="auto"/>
        <w:rPr>
          <w:b/>
          <w:sz w:val="22"/>
          <w:szCs w:val="22"/>
          <w:lang w:val="ro-RO"/>
        </w:rPr>
      </w:pPr>
      <w:r w:rsidRPr="00E0488D">
        <w:rPr>
          <w:b/>
          <w:sz w:val="22"/>
          <w:szCs w:val="22"/>
          <w:lang w:val="ro-RO"/>
        </w:rPr>
        <w:t xml:space="preserve">Tabelul 4.15: Obiective generale și date justificative pentru transportul rutier de persoane și mărfuri </w:t>
      </w:r>
    </w:p>
    <w:tbl>
      <w:tblPr>
        <w:tblW w:w="21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676"/>
        <w:gridCol w:w="1417"/>
        <w:gridCol w:w="2268"/>
        <w:gridCol w:w="3544"/>
        <w:gridCol w:w="2268"/>
        <w:gridCol w:w="851"/>
        <w:gridCol w:w="3543"/>
        <w:gridCol w:w="993"/>
        <w:gridCol w:w="850"/>
        <w:gridCol w:w="1134"/>
        <w:gridCol w:w="1701"/>
        <w:gridCol w:w="1134"/>
      </w:tblGrid>
      <w:tr w:rsidR="00B4550A" w:rsidRPr="00E0488D" w:rsidTr="003C7FC8">
        <w:trPr>
          <w:tblHeader/>
        </w:trPr>
        <w:tc>
          <w:tcPr>
            <w:tcW w:w="1417" w:type="dxa"/>
            <w:vMerge w:val="restart"/>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Obiectiv general</w:t>
            </w:r>
          </w:p>
        </w:tc>
        <w:tc>
          <w:tcPr>
            <w:tcW w:w="4361" w:type="dxa"/>
            <w:gridSpan w:val="3"/>
            <w:shd w:val="clear" w:color="auto" w:fill="C6D9F1"/>
            <w:vAlign w:val="center"/>
          </w:tcPr>
          <w:p w:rsidR="00B4550A" w:rsidRPr="00E0488D" w:rsidRDefault="00B4550A" w:rsidP="003C7FC8">
            <w:pPr>
              <w:jc w:val="center"/>
              <w:rPr>
                <w:rFonts w:cs="Arial"/>
                <w:b/>
                <w:sz w:val="20"/>
                <w:szCs w:val="20"/>
                <w:lang w:val="ro-RO"/>
              </w:rPr>
            </w:pPr>
            <w:r w:rsidRPr="00E0488D">
              <w:rPr>
                <w:rFonts w:cs="Arial"/>
                <w:b/>
                <w:sz w:val="20"/>
                <w:szCs w:val="20"/>
                <w:lang w:val="ro-RO"/>
              </w:rPr>
              <w:t>Problema</w:t>
            </w:r>
          </w:p>
        </w:tc>
        <w:tc>
          <w:tcPr>
            <w:tcW w:w="3544" w:type="dxa"/>
            <w:vMerge w:val="restart"/>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Sumar al datelor justificative / metric</w:t>
            </w:r>
          </w:p>
        </w:tc>
        <w:tc>
          <w:tcPr>
            <w:tcW w:w="3119" w:type="dxa"/>
            <w:gridSpan w:val="2"/>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 xml:space="preserve">Obiective operaționale </w:t>
            </w:r>
          </w:p>
        </w:tc>
        <w:tc>
          <w:tcPr>
            <w:tcW w:w="3543" w:type="dxa"/>
            <w:shd w:val="clear" w:color="auto" w:fill="C6D9F1"/>
            <w:vAlign w:val="center"/>
          </w:tcPr>
          <w:p w:rsidR="00B4550A" w:rsidRPr="00E0488D" w:rsidRDefault="00B4550A" w:rsidP="003C7FC8">
            <w:pPr>
              <w:jc w:val="center"/>
              <w:rPr>
                <w:rFonts w:cs="Arial"/>
                <w:b/>
                <w:sz w:val="20"/>
                <w:szCs w:val="20"/>
                <w:lang w:val="ro-RO"/>
              </w:rPr>
            </w:pPr>
            <w:r w:rsidRPr="00E0488D">
              <w:rPr>
                <w:rFonts w:cs="Arial"/>
                <w:b/>
                <w:sz w:val="20"/>
                <w:szCs w:val="20"/>
                <w:lang w:val="ro-RO"/>
              </w:rPr>
              <w:t>Intervenții</w:t>
            </w:r>
          </w:p>
        </w:tc>
        <w:tc>
          <w:tcPr>
            <w:tcW w:w="4678" w:type="dxa"/>
            <w:gridSpan w:val="4"/>
            <w:shd w:val="clear" w:color="auto" w:fill="C6D9F1"/>
            <w:vAlign w:val="center"/>
          </w:tcPr>
          <w:p w:rsidR="00B4550A" w:rsidRPr="00E0488D" w:rsidRDefault="00B4550A" w:rsidP="003C7FC8">
            <w:pPr>
              <w:jc w:val="center"/>
              <w:rPr>
                <w:rFonts w:cs="Arial"/>
                <w:b/>
                <w:sz w:val="20"/>
                <w:szCs w:val="20"/>
                <w:lang w:val="ro-RO"/>
              </w:rPr>
            </w:pPr>
            <w:r w:rsidRPr="00E0488D">
              <w:rPr>
                <w:rFonts w:cs="Arial"/>
                <w:b/>
                <w:sz w:val="20"/>
                <w:szCs w:val="20"/>
                <w:lang w:val="ro-RO"/>
              </w:rPr>
              <w:t>Plan testare</w:t>
            </w:r>
          </w:p>
        </w:tc>
        <w:tc>
          <w:tcPr>
            <w:tcW w:w="1134" w:type="dxa"/>
            <w:vMerge w:val="restart"/>
            <w:shd w:val="clear" w:color="auto" w:fill="C6D9F1"/>
          </w:tcPr>
          <w:p w:rsidR="00B4550A" w:rsidRPr="00E0488D" w:rsidRDefault="00B4550A" w:rsidP="003C7FC8">
            <w:pPr>
              <w:rPr>
                <w:rFonts w:cs="Arial"/>
                <w:b/>
                <w:sz w:val="20"/>
                <w:szCs w:val="20"/>
                <w:lang w:val="ro-RO"/>
              </w:rPr>
            </w:pPr>
            <w:r w:rsidRPr="00E0488D">
              <w:rPr>
                <w:rFonts w:cs="Arial"/>
                <w:b/>
                <w:sz w:val="20"/>
                <w:szCs w:val="20"/>
                <w:lang w:val="ro-RO"/>
              </w:rPr>
              <w:t>Proiect/intervenție pe  număr/ referință</w:t>
            </w:r>
          </w:p>
          <w:p w:rsidR="00B4550A" w:rsidRPr="00E0488D" w:rsidRDefault="00B4550A" w:rsidP="003C7FC8">
            <w:pPr>
              <w:rPr>
                <w:rFonts w:cs="Arial"/>
                <w:b/>
                <w:sz w:val="20"/>
                <w:szCs w:val="20"/>
                <w:lang w:val="ro-RO"/>
              </w:rPr>
            </w:pPr>
          </w:p>
        </w:tc>
      </w:tr>
      <w:tr w:rsidR="00B4550A" w:rsidRPr="00E0488D" w:rsidTr="003C7FC8">
        <w:trPr>
          <w:tblHeader/>
        </w:trPr>
        <w:tc>
          <w:tcPr>
            <w:tcW w:w="1417" w:type="dxa"/>
            <w:vMerge/>
            <w:shd w:val="clear" w:color="auto" w:fill="C6D9F1"/>
            <w:vAlign w:val="center"/>
          </w:tcPr>
          <w:p w:rsidR="00B4550A" w:rsidRPr="00E0488D" w:rsidRDefault="00B4550A" w:rsidP="003C7FC8">
            <w:pPr>
              <w:rPr>
                <w:rFonts w:cs="Arial"/>
                <w:sz w:val="20"/>
                <w:szCs w:val="20"/>
                <w:lang w:val="ro-RO"/>
              </w:rPr>
            </w:pPr>
          </w:p>
        </w:tc>
        <w:tc>
          <w:tcPr>
            <w:tcW w:w="676"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Nr.</w:t>
            </w:r>
          </w:p>
        </w:tc>
        <w:tc>
          <w:tcPr>
            <w:tcW w:w="1417"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Categorie</w:t>
            </w:r>
          </w:p>
        </w:tc>
        <w:tc>
          <w:tcPr>
            <w:tcW w:w="2268"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Descriere</w:t>
            </w:r>
          </w:p>
        </w:tc>
        <w:tc>
          <w:tcPr>
            <w:tcW w:w="3544" w:type="dxa"/>
            <w:vMerge/>
            <w:shd w:val="clear" w:color="auto" w:fill="C6D9F1"/>
          </w:tcPr>
          <w:p w:rsidR="00B4550A" w:rsidRPr="00E0488D" w:rsidRDefault="00B4550A" w:rsidP="003C7FC8">
            <w:pPr>
              <w:rPr>
                <w:rFonts w:cs="Arial"/>
                <w:sz w:val="20"/>
                <w:szCs w:val="20"/>
                <w:lang w:val="ro-RO"/>
              </w:rPr>
            </w:pPr>
          </w:p>
        </w:tc>
        <w:tc>
          <w:tcPr>
            <w:tcW w:w="2268"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Descriere</w:t>
            </w:r>
          </w:p>
        </w:tc>
        <w:tc>
          <w:tcPr>
            <w:tcW w:w="851"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Ref.</w:t>
            </w:r>
          </w:p>
        </w:tc>
        <w:tc>
          <w:tcPr>
            <w:tcW w:w="3543"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Descriere / Alternative</w:t>
            </w:r>
          </w:p>
        </w:tc>
        <w:tc>
          <w:tcPr>
            <w:tcW w:w="993"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Potrivit pentru testare</w:t>
            </w:r>
          </w:p>
        </w:tc>
        <w:tc>
          <w:tcPr>
            <w:tcW w:w="850"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MZA  Ref.</w:t>
            </w:r>
          </w:p>
        </w:tc>
        <w:tc>
          <w:tcPr>
            <w:tcW w:w="1134"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Îmbunătățire de testat</w:t>
            </w:r>
          </w:p>
        </w:tc>
        <w:tc>
          <w:tcPr>
            <w:tcW w:w="1701" w:type="dxa"/>
            <w:shd w:val="clear" w:color="auto" w:fill="C6D9F1"/>
            <w:vAlign w:val="center"/>
          </w:tcPr>
          <w:p w:rsidR="00B4550A" w:rsidRPr="00E0488D" w:rsidRDefault="00B4550A" w:rsidP="003C7FC8">
            <w:pPr>
              <w:rPr>
                <w:rFonts w:cs="Arial"/>
                <w:b/>
                <w:sz w:val="20"/>
                <w:szCs w:val="20"/>
                <w:lang w:val="ro-RO"/>
              </w:rPr>
            </w:pPr>
            <w:r w:rsidRPr="00E0488D">
              <w:rPr>
                <w:rFonts w:cs="Arial"/>
                <w:b/>
                <w:sz w:val="20"/>
                <w:szCs w:val="20"/>
                <w:lang w:val="ro-RO"/>
              </w:rPr>
              <w:t>Nivel agregare de testat</w:t>
            </w:r>
          </w:p>
        </w:tc>
        <w:tc>
          <w:tcPr>
            <w:tcW w:w="1134" w:type="dxa"/>
            <w:vMerge/>
            <w:shd w:val="clear" w:color="auto" w:fill="C6D9F1"/>
          </w:tcPr>
          <w:p w:rsidR="00B4550A" w:rsidRPr="00E0488D" w:rsidRDefault="00B4550A" w:rsidP="003C7FC8">
            <w:pPr>
              <w:rPr>
                <w:lang w:val="ro-RO"/>
              </w:rPr>
            </w:pPr>
          </w:p>
        </w:tc>
      </w:tr>
      <w:tr w:rsidR="00B4550A" w:rsidRPr="00E0488D" w:rsidTr="003C7FC8">
        <w:tc>
          <w:tcPr>
            <w:tcW w:w="1417" w:type="dxa"/>
            <w:vMerge w:val="restart"/>
            <w:shd w:val="clear" w:color="auto" w:fill="auto"/>
            <w:vAlign w:val="center"/>
          </w:tcPr>
          <w:p w:rsidR="00B4550A" w:rsidRPr="00E0488D" w:rsidRDefault="00B4550A" w:rsidP="003C7FC8">
            <w:pPr>
              <w:spacing w:before="60" w:after="60"/>
              <w:jc w:val="both"/>
              <w:rPr>
                <w:rFonts w:cs="Arial"/>
                <w:sz w:val="20"/>
                <w:szCs w:val="20"/>
                <w:lang w:val="ro-RO"/>
              </w:rPr>
            </w:pPr>
            <w:r w:rsidRPr="00E0488D">
              <w:rPr>
                <w:lang w:val="ro-RO"/>
              </w:rPr>
              <w:t>Sustenabilitate</w:t>
            </w:r>
          </w:p>
        </w:tc>
        <w:tc>
          <w:tcPr>
            <w:tcW w:w="676" w:type="dxa"/>
            <w:vMerge w:val="restart"/>
            <w:shd w:val="clear" w:color="auto" w:fill="auto"/>
            <w:vAlign w:val="center"/>
          </w:tcPr>
          <w:p w:rsidR="00B4550A" w:rsidRPr="00E0488D" w:rsidRDefault="00B4550A" w:rsidP="003C7FC8">
            <w:pPr>
              <w:spacing w:before="60" w:after="60"/>
              <w:jc w:val="both"/>
              <w:rPr>
                <w:rFonts w:cs="Arial"/>
                <w:sz w:val="20"/>
                <w:szCs w:val="20"/>
                <w:lang w:val="ro-RO"/>
              </w:rPr>
            </w:pPr>
            <w:r w:rsidRPr="00E0488D">
              <w:rPr>
                <w:lang w:val="ro-RO"/>
              </w:rPr>
              <w:t>01</w:t>
            </w:r>
          </w:p>
        </w:tc>
        <w:tc>
          <w:tcPr>
            <w:tcW w:w="1417" w:type="dxa"/>
            <w:vMerge w:val="restart"/>
            <w:shd w:val="clear" w:color="auto" w:fill="auto"/>
            <w:vAlign w:val="center"/>
          </w:tcPr>
          <w:p w:rsidR="00B4550A" w:rsidRPr="00E0488D" w:rsidRDefault="00B4550A" w:rsidP="003C7FC8">
            <w:pPr>
              <w:spacing w:before="60" w:after="60"/>
              <w:jc w:val="both"/>
              <w:rPr>
                <w:rFonts w:cs="Arial"/>
                <w:sz w:val="20"/>
                <w:szCs w:val="20"/>
                <w:lang w:val="ro-RO"/>
              </w:rPr>
            </w:pPr>
            <w:r w:rsidRPr="00E0488D">
              <w:rPr>
                <w:lang w:val="ro-RO"/>
              </w:rPr>
              <w:t>Întreținere inadecvată</w:t>
            </w:r>
          </w:p>
        </w:tc>
        <w:tc>
          <w:tcPr>
            <w:tcW w:w="2268" w:type="dxa"/>
            <w:vMerge w:val="restart"/>
            <w:shd w:val="clear" w:color="auto" w:fill="auto"/>
            <w:vAlign w:val="center"/>
          </w:tcPr>
          <w:p w:rsidR="00B4550A" w:rsidRPr="00E0488D" w:rsidRDefault="00B4550A" w:rsidP="003C7FC8">
            <w:pPr>
              <w:spacing w:before="60" w:after="60"/>
              <w:rPr>
                <w:lang w:val="ro-RO"/>
              </w:rPr>
            </w:pPr>
            <w:r w:rsidRPr="00E0488D">
              <w:rPr>
                <w:lang w:val="ro-RO"/>
              </w:rPr>
              <w:t xml:space="preserve">Active existente și viitoare din rețeaua națională întreținute inadecvat pun în pericol sustenabiltiatea rețelei pe termen lung </w:t>
            </w:r>
          </w:p>
          <w:p w:rsidR="00B4550A" w:rsidRPr="00E0488D" w:rsidRDefault="00B4550A" w:rsidP="003C7FC8">
            <w:pPr>
              <w:spacing w:before="60" w:after="60"/>
              <w:rPr>
                <w:rFonts w:cs="Arial"/>
                <w:sz w:val="20"/>
                <w:szCs w:val="20"/>
                <w:lang w:val="ro-RO"/>
              </w:rPr>
            </w:pPr>
          </w:p>
        </w:tc>
        <w:tc>
          <w:tcPr>
            <w:tcW w:w="3544" w:type="dxa"/>
            <w:vMerge w:val="restart"/>
            <w:shd w:val="clear" w:color="auto" w:fill="auto"/>
            <w:vAlign w:val="center"/>
          </w:tcPr>
          <w:p w:rsidR="00B4550A" w:rsidRPr="00E0488D" w:rsidRDefault="00B4550A" w:rsidP="003C7FC8">
            <w:pPr>
              <w:rPr>
                <w:lang w:val="ro-RO"/>
              </w:rPr>
            </w:pPr>
            <w:r w:rsidRPr="00E0488D">
              <w:rPr>
                <w:lang w:val="ro-RO"/>
              </w:rPr>
              <w:t>Doar puțin peste 50% din rețeaua națională este clasificată ca fiind în stare bună,  30% din aceasta fiind în stare medie, iar 20% în stare proastă.</w:t>
            </w:r>
          </w:p>
          <w:p w:rsidR="00B4550A" w:rsidRPr="00E0488D" w:rsidRDefault="00B4550A" w:rsidP="003C7FC8">
            <w:pPr>
              <w:rPr>
                <w:lang w:val="ro-RO"/>
              </w:rPr>
            </w:pPr>
          </w:p>
          <w:p w:rsidR="00B4550A" w:rsidRPr="00E0488D" w:rsidRDefault="00B4550A" w:rsidP="003C7FC8">
            <w:pPr>
              <w:rPr>
                <w:lang w:val="ro-RO"/>
              </w:rPr>
            </w:pPr>
            <w:r w:rsidRPr="00E0488D">
              <w:rPr>
                <w:lang w:val="ro-RO"/>
              </w:rPr>
              <w:t>Peste 60% din rețeaua națională este clasificată ca având durata de viață expirată.</w:t>
            </w:r>
          </w:p>
          <w:p w:rsidR="00B4550A" w:rsidRPr="00E0488D" w:rsidRDefault="00B4550A" w:rsidP="003C7FC8">
            <w:pPr>
              <w:rPr>
                <w:lang w:val="ro-RO"/>
              </w:rPr>
            </w:pPr>
          </w:p>
          <w:p w:rsidR="00B4550A" w:rsidRPr="00E0488D" w:rsidRDefault="00B4550A" w:rsidP="00687448">
            <w:pPr>
              <w:numPr>
                <w:ilvl w:val="0"/>
                <w:numId w:val="19"/>
              </w:numPr>
              <w:spacing w:before="60" w:after="60" w:line="264" w:lineRule="auto"/>
              <w:ind w:left="459" w:hanging="284"/>
              <w:jc w:val="both"/>
              <w:rPr>
                <w:rFonts w:cs="Arial"/>
                <w:sz w:val="20"/>
                <w:szCs w:val="20"/>
                <w:lang w:val="ro-RO"/>
              </w:rPr>
            </w:pPr>
            <w:r w:rsidRPr="00E0488D">
              <w:rPr>
                <w:lang w:val="ro-RO"/>
              </w:rPr>
              <w:t>A se consulata anexa E: Întreținere</w:t>
            </w:r>
          </w:p>
        </w:tc>
        <w:tc>
          <w:tcPr>
            <w:tcW w:w="2268" w:type="dxa"/>
            <w:vMerge w:val="restart"/>
            <w:shd w:val="clear" w:color="auto" w:fill="auto"/>
            <w:vAlign w:val="center"/>
          </w:tcPr>
          <w:p w:rsidR="00B4550A" w:rsidRPr="00E0488D" w:rsidRDefault="00B4550A" w:rsidP="003C7FC8">
            <w:pPr>
              <w:spacing w:before="60" w:after="60"/>
              <w:rPr>
                <w:rFonts w:cs="Arial"/>
                <w:sz w:val="20"/>
                <w:szCs w:val="20"/>
                <w:lang w:val="ro-RO"/>
              </w:rPr>
            </w:pPr>
            <w:r w:rsidRPr="00E0488D">
              <w:rPr>
                <w:lang w:val="ro-RO"/>
              </w:rPr>
              <w:t xml:space="preserve">Îmbunătățirea întreținerii pentru a asigura un bun standard de calitate al suprafeței carosabile (așa cum este acesta definit de studiul de viabiltate CESTRIN), cel puțin pe rețeaua economică primară și la un nivel bun/mediu pentru restul rețelei naționale </w:t>
            </w:r>
          </w:p>
        </w:tc>
        <w:tc>
          <w:tcPr>
            <w:tcW w:w="851" w:type="dxa"/>
            <w:shd w:val="clear" w:color="auto" w:fill="auto"/>
            <w:vAlign w:val="center"/>
          </w:tcPr>
          <w:p w:rsidR="00B4550A" w:rsidRPr="00E0488D" w:rsidRDefault="00B4550A" w:rsidP="003C7FC8">
            <w:pPr>
              <w:rPr>
                <w:lang w:val="ro-RO"/>
              </w:rPr>
            </w:pPr>
            <w:r w:rsidRPr="00E0488D">
              <w:rPr>
                <w:lang w:val="ro-RO"/>
              </w:rPr>
              <w:t>OR01</w:t>
            </w:r>
          </w:p>
          <w:p w:rsidR="00B4550A" w:rsidRPr="00E0488D" w:rsidRDefault="00B4550A" w:rsidP="003C7FC8">
            <w:pPr>
              <w:spacing w:before="60" w:after="60"/>
              <w:jc w:val="both"/>
              <w:rPr>
                <w:rFonts w:cs="Arial"/>
                <w:sz w:val="20"/>
                <w:szCs w:val="20"/>
                <w:lang w:val="ro-RO"/>
              </w:rPr>
            </w:pPr>
          </w:p>
        </w:tc>
        <w:tc>
          <w:tcPr>
            <w:tcW w:w="3543" w:type="dxa"/>
            <w:shd w:val="clear" w:color="auto" w:fill="auto"/>
            <w:vAlign w:val="center"/>
          </w:tcPr>
          <w:p w:rsidR="00B4550A" w:rsidRPr="00E0488D" w:rsidRDefault="00B4550A" w:rsidP="003C7FC8">
            <w:pPr>
              <w:rPr>
                <w:lang w:val="ro-RO"/>
              </w:rPr>
            </w:pPr>
            <w:r w:rsidRPr="00E0488D">
              <w:rPr>
                <w:lang w:val="ro-RO"/>
              </w:rPr>
              <w:t>Adoptarea unor sisteme PMS de cea mai bună practică pentru prioritizarea lucrărilor de întreținere a drumurilor. În particular, asigurarea prin reglementare, că PMS reprezintă baza pentru planificarea lucrărilor de întreținere și că acestea sunt în permanență actualizate și utilizate în acest scop.</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spacing w:before="60" w:after="60"/>
              <w:jc w:val="both"/>
              <w:rPr>
                <w:rFonts w:cs="Arial"/>
                <w:sz w:val="20"/>
                <w:szCs w:val="20"/>
                <w:lang w:val="ro-RO"/>
              </w:rPr>
            </w:pPr>
            <w:r w:rsidRPr="00E0488D">
              <w:rPr>
                <w:lang w:val="ro-RO"/>
              </w:rPr>
              <w:t>N</w:t>
            </w:r>
          </w:p>
        </w:tc>
        <w:tc>
          <w:tcPr>
            <w:tcW w:w="850" w:type="dxa"/>
            <w:shd w:val="clear" w:color="auto" w:fill="auto"/>
            <w:vAlign w:val="center"/>
          </w:tcPr>
          <w:p w:rsidR="00B4550A" w:rsidRPr="00E0488D" w:rsidRDefault="00B4550A" w:rsidP="003C7FC8">
            <w:pPr>
              <w:spacing w:before="60" w:after="60"/>
              <w:jc w:val="both"/>
              <w:rPr>
                <w:rFonts w:cs="Arial"/>
                <w:sz w:val="20"/>
                <w:szCs w:val="20"/>
                <w:lang w:val="ro-RO"/>
              </w:rPr>
            </w:pPr>
            <w:r w:rsidRPr="00E0488D">
              <w:rPr>
                <w:lang w:val="ro-RO"/>
              </w:rPr>
              <w:t>N.A.</w:t>
            </w: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r w:rsidRPr="00E0488D">
              <w:rPr>
                <w:lang w:val="ro-RO"/>
              </w:rPr>
              <w:t>N.A.</w:t>
            </w:r>
          </w:p>
        </w:tc>
        <w:tc>
          <w:tcPr>
            <w:tcW w:w="1701" w:type="dxa"/>
            <w:vAlign w:val="center"/>
          </w:tcPr>
          <w:p w:rsidR="00B4550A" w:rsidRPr="00E0488D" w:rsidRDefault="00B4550A" w:rsidP="003C7FC8">
            <w:pPr>
              <w:spacing w:before="60" w:after="60"/>
              <w:jc w:val="both"/>
              <w:rPr>
                <w:lang w:val="ro-RO"/>
              </w:rPr>
            </w:pPr>
            <w:r w:rsidRPr="00E0488D">
              <w:rPr>
                <w:lang w:val="ro-RO"/>
              </w:rPr>
              <w:t>N.A.</w:t>
            </w:r>
          </w:p>
        </w:tc>
        <w:tc>
          <w:tcPr>
            <w:tcW w:w="1134" w:type="dxa"/>
            <w:shd w:val="clear" w:color="auto" w:fill="auto"/>
            <w:vAlign w:val="center"/>
          </w:tcPr>
          <w:p w:rsidR="00B4550A" w:rsidRPr="00E0488D" w:rsidRDefault="00B4550A" w:rsidP="003C7FC8">
            <w:pPr>
              <w:spacing w:before="60" w:after="60"/>
              <w:jc w:val="center"/>
              <w:rPr>
                <w:rFonts w:cs="Arial"/>
                <w:sz w:val="20"/>
                <w:szCs w:val="20"/>
                <w:lang w:val="ro-RO"/>
              </w:rPr>
            </w:pPr>
            <w:r w:rsidRPr="00E0488D">
              <w:rPr>
                <w:lang w:val="ro-RO"/>
              </w:rPr>
              <w:t>H60</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OR02</w:t>
            </w:r>
          </w:p>
        </w:tc>
        <w:tc>
          <w:tcPr>
            <w:tcW w:w="3543" w:type="dxa"/>
            <w:shd w:val="clear" w:color="auto" w:fill="auto"/>
            <w:vAlign w:val="center"/>
          </w:tcPr>
          <w:p w:rsidR="00B4550A" w:rsidRPr="00E0488D" w:rsidRDefault="00B4550A" w:rsidP="003C7FC8">
            <w:pPr>
              <w:rPr>
                <w:lang w:val="ro-RO"/>
              </w:rPr>
            </w:pPr>
            <w:r w:rsidRPr="00E0488D">
              <w:rPr>
                <w:lang w:val="ro-RO"/>
              </w:rPr>
              <w:t>Realizarea unei revizii detaliate a activelor, datelor și sistemelor existente pentru a stabili gradul de acuratețe, finalizare și adecvare a inventarului și datelor de anchete disponibile în prezent și asupra functionalității sistemului de gestionare a activelor precum PMS, BMS, etc, împreună cu măsurile necesare de îmbunătățire.</w:t>
            </w: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H61</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OR03</w:t>
            </w:r>
          </w:p>
        </w:tc>
        <w:tc>
          <w:tcPr>
            <w:tcW w:w="3543" w:type="dxa"/>
            <w:shd w:val="clear" w:color="auto" w:fill="auto"/>
            <w:vAlign w:val="center"/>
          </w:tcPr>
          <w:p w:rsidR="00B4550A" w:rsidRPr="00E0488D" w:rsidRDefault="00B4550A" w:rsidP="003C7FC8">
            <w:pPr>
              <w:rPr>
                <w:b/>
                <w:lang w:val="ro-RO"/>
              </w:rPr>
            </w:pPr>
            <w:r w:rsidRPr="00E0488D">
              <w:rPr>
                <w:lang w:val="ro-RO"/>
              </w:rPr>
              <w:t xml:space="preserve">Desfășurarea unei analize detaliate a necesarului de fonduri pentru operare și întreținere (atât pentru recuperarea restanțelor cât și pentru lucrările de întreținere periodică și planificată pentru toate activele curente și planificate) și nivelul fondurilor alocate istoric pentru identificarea necesarului anual real de finanțare pentru operare și întreținere și rezervarea fondurilor. Ca măsură temporară bugetele anuale pentru întreținere pe 2015 ar trebui crescute de la nivelul istoric de 158 M EUR la un nivel minim de 1.363 M EUR </w:t>
            </w:r>
            <w:r w:rsidRPr="00E0488D">
              <w:rPr>
                <w:b/>
                <w:lang w:val="ro-RO"/>
              </w:rPr>
              <w:t>(aceste cifre trebuie confirmate în urma unor discuții cu CNANDR).</w:t>
            </w:r>
          </w:p>
          <w:p w:rsidR="00B4550A" w:rsidRPr="00E0488D" w:rsidRDefault="00B4550A" w:rsidP="003C7FC8">
            <w:pPr>
              <w:rPr>
                <w:lang w:val="ro-RO"/>
              </w:rPr>
            </w:pPr>
          </w:p>
          <w:p w:rsidR="00B4550A" w:rsidRPr="00E0488D" w:rsidRDefault="00B4550A" w:rsidP="003C7FC8">
            <w:pPr>
              <w:rPr>
                <w:lang w:val="ro-RO"/>
              </w:rPr>
            </w:pPr>
            <w:r w:rsidRPr="00E0488D">
              <w:rPr>
                <w:lang w:val="ro-RO"/>
              </w:rPr>
              <w:t>Acest buget trebuie asigurat pe termen lung prin angajamentul guvernului sprijinit de surse adecvate de venituri suplimentare (ex. creșterea nivelurilor rovignetelor.  Ar trebui de asemenea realizat un studiu de fezabilitate separat pentru opțiunile privind taxarea utilizatorilor în funcție de distanța parcursă.</w:t>
            </w:r>
          </w:p>
          <w:p w:rsidR="00B4550A" w:rsidRPr="00E0488D" w:rsidRDefault="00B4550A" w:rsidP="003C7FC8">
            <w:pPr>
              <w:rPr>
                <w:lang w:val="ro-RO"/>
              </w:rPr>
            </w:pPr>
          </w:p>
          <w:p w:rsidR="00B4550A" w:rsidRPr="00E0488D" w:rsidRDefault="00B4550A" w:rsidP="003C7FC8">
            <w:pPr>
              <w:rPr>
                <w:lang w:val="ro-RO"/>
              </w:rPr>
            </w:pPr>
            <w:r w:rsidRPr="00E0488D">
              <w:rPr>
                <w:lang w:val="ro-RO"/>
              </w:rPr>
              <w:t>Se va efectua un test preliminar cu ajutorul Modelului Național de Transport pentru evaluarea impactului uintroducerii sistemului de taxare în funcție de distanță.</w:t>
            </w:r>
          </w:p>
        </w:tc>
        <w:tc>
          <w:tcPr>
            <w:tcW w:w="993" w:type="dxa"/>
            <w:shd w:val="clear" w:color="auto" w:fill="auto"/>
            <w:vAlign w:val="center"/>
          </w:tcPr>
          <w:p w:rsidR="00B4550A" w:rsidRPr="00E0488D" w:rsidRDefault="00B4550A" w:rsidP="003C7FC8">
            <w:pPr>
              <w:jc w:val="center"/>
              <w:rPr>
                <w:lang w:val="ro-RO"/>
              </w:rPr>
            </w:pPr>
            <w:r w:rsidRPr="00E0488D">
              <w:rPr>
                <w:lang w:val="ro-RO"/>
              </w:rPr>
              <w:t>Da (test de nivel generic pentru opțiunea taxării)</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Network level</w:t>
            </w:r>
          </w:p>
        </w:tc>
        <w:tc>
          <w:tcPr>
            <w:tcW w:w="1134" w:type="dxa"/>
            <w:shd w:val="clear" w:color="auto" w:fill="auto"/>
            <w:vAlign w:val="center"/>
          </w:tcPr>
          <w:p w:rsidR="00B4550A" w:rsidRPr="00E0488D" w:rsidRDefault="00B4550A" w:rsidP="003C7FC8">
            <w:pPr>
              <w:jc w:val="center"/>
              <w:rPr>
                <w:lang w:val="ro-RO"/>
              </w:rPr>
            </w:pPr>
            <w:r w:rsidRPr="00E0488D">
              <w:rPr>
                <w:lang w:val="ro-RO"/>
              </w:rPr>
              <w:t>H62</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OR04</w:t>
            </w:r>
          </w:p>
        </w:tc>
        <w:tc>
          <w:tcPr>
            <w:tcW w:w="3543" w:type="dxa"/>
            <w:shd w:val="clear" w:color="auto" w:fill="auto"/>
            <w:vAlign w:val="center"/>
          </w:tcPr>
          <w:p w:rsidR="00B4550A" w:rsidRPr="00E0488D" w:rsidRDefault="00B4550A" w:rsidP="003C7FC8">
            <w:pPr>
              <w:rPr>
                <w:lang w:val="ro-RO"/>
              </w:rPr>
            </w:pPr>
            <w:r w:rsidRPr="00E0488D">
              <w:rPr>
                <w:lang w:val="ro-RO"/>
              </w:rPr>
              <w:t>Introducerea unui sistem eficient și eficace pentru prioritizare și alocarea cheltuielilor de operare și întreținere pe bază multi-anuală și dezvoltarea unor planuri de eliminare a restanțelor pentru toate activele majore (drumuri și poduri).</w:t>
            </w: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H63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OR05</w:t>
            </w:r>
          </w:p>
        </w:tc>
        <w:tc>
          <w:tcPr>
            <w:tcW w:w="3543" w:type="dxa"/>
            <w:shd w:val="clear" w:color="auto" w:fill="auto"/>
            <w:vAlign w:val="center"/>
          </w:tcPr>
          <w:p w:rsidR="00B4550A" w:rsidRPr="00E0488D" w:rsidRDefault="00B4550A" w:rsidP="003C7FC8">
            <w:pPr>
              <w:rPr>
                <w:lang w:val="ro-RO"/>
              </w:rPr>
            </w:pPr>
            <w:r w:rsidRPr="00E0488D">
              <w:rPr>
                <w:lang w:val="ro-RO"/>
              </w:rPr>
              <w:t xml:space="preserve">Verificarea standardelor și specificațiilor relevante O&amp;M pentru a vedea dacă sunt corecte, potrivite și se pot aplica și pentru definirea parametrilor adecvați de „Calitatea serviciilor” pe care ar trebui să </w:t>
            </w:r>
            <w:r w:rsidRPr="00E0488D">
              <w:rPr>
                <w:lang w:val="ro-RO"/>
              </w:rPr>
              <w:lastRenderedPageBreak/>
              <w:t xml:space="preserve">îi asigure rețeaua. </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lastRenderedPageBreak/>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H64</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OR06</w:t>
            </w:r>
          </w:p>
        </w:tc>
        <w:tc>
          <w:tcPr>
            <w:tcW w:w="3543" w:type="dxa"/>
            <w:shd w:val="clear" w:color="auto" w:fill="auto"/>
            <w:vAlign w:val="center"/>
          </w:tcPr>
          <w:p w:rsidR="00B4550A" w:rsidRPr="00E0488D" w:rsidRDefault="00B4550A" w:rsidP="003C7FC8">
            <w:pPr>
              <w:rPr>
                <w:lang w:val="ro-RO"/>
              </w:rPr>
            </w:pPr>
            <w:r w:rsidRPr="00E0488D">
              <w:rPr>
                <w:lang w:val="ro-RO"/>
              </w:rPr>
              <w:t xml:space="preserve">Reforma practicilor curente de întreținere  </w:t>
            </w:r>
          </w:p>
          <w:p w:rsidR="00B4550A" w:rsidRPr="00E0488D" w:rsidRDefault="00B4550A" w:rsidP="003C7FC8">
            <w:pPr>
              <w:rPr>
                <w:lang w:val="ro-RO"/>
              </w:rPr>
            </w:pPr>
            <w:r w:rsidRPr="00E0488D">
              <w:rPr>
                <w:lang w:val="ro-RO"/>
              </w:rPr>
              <w:t xml:space="preserve"> (&gt;100 contracte de max 2 ani) prin acordarea sistematică a contractelor pe termen mai lung (5-7 ani), contracte bazate pe performanță la scară regională.</w:t>
            </w:r>
          </w:p>
          <w:p w:rsidR="00B4550A" w:rsidRPr="00E0488D" w:rsidRDefault="00B4550A" w:rsidP="003C7FC8">
            <w:pPr>
              <w:rPr>
                <w:lang w:val="ro-RO"/>
              </w:rPr>
            </w:pP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N.A.</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H65</w:t>
            </w:r>
          </w:p>
        </w:tc>
      </w:tr>
      <w:tr w:rsidR="00B4550A" w:rsidRPr="00E0488D" w:rsidTr="003C7FC8">
        <w:tc>
          <w:tcPr>
            <w:tcW w:w="1417" w:type="dxa"/>
            <w:vMerge w:val="restart"/>
            <w:shd w:val="clear" w:color="auto" w:fill="auto"/>
            <w:vAlign w:val="center"/>
          </w:tcPr>
          <w:p w:rsidR="00B4550A" w:rsidRPr="00E0488D" w:rsidRDefault="00B4550A" w:rsidP="003C7FC8">
            <w:pPr>
              <w:jc w:val="center"/>
              <w:rPr>
                <w:lang w:val="ro-RO"/>
              </w:rPr>
            </w:pPr>
          </w:p>
        </w:tc>
        <w:tc>
          <w:tcPr>
            <w:tcW w:w="676" w:type="dxa"/>
            <w:vMerge w:val="restart"/>
            <w:shd w:val="clear" w:color="auto" w:fill="auto"/>
            <w:vAlign w:val="center"/>
          </w:tcPr>
          <w:p w:rsidR="00B4550A" w:rsidRPr="00E0488D" w:rsidRDefault="00B4550A" w:rsidP="003C7FC8">
            <w:pPr>
              <w:jc w:val="center"/>
              <w:rPr>
                <w:lang w:val="ro-RO"/>
              </w:rPr>
            </w:pPr>
            <w:r w:rsidRPr="00E0488D">
              <w:rPr>
                <w:lang w:val="ro-RO"/>
              </w:rPr>
              <w:t>02</w:t>
            </w:r>
          </w:p>
        </w:tc>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 xml:space="preserve">Management &amp; Operare </w:t>
            </w:r>
          </w:p>
        </w:tc>
        <w:tc>
          <w:tcPr>
            <w:tcW w:w="2268" w:type="dxa"/>
            <w:vMerge w:val="restart"/>
            <w:shd w:val="clear" w:color="auto" w:fill="auto"/>
            <w:vAlign w:val="center"/>
          </w:tcPr>
          <w:p w:rsidR="00B4550A" w:rsidRPr="00E0488D" w:rsidRDefault="00B4550A" w:rsidP="003C7FC8">
            <w:pPr>
              <w:jc w:val="center"/>
              <w:rPr>
                <w:lang w:val="ro-RO"/>
              </w:rPr>
            </w:pPr>
            <w:r w:rsidRPr="00E0488D">
              <w:rPr>
                <w:lang w:val="ro-RO"/>
              </w:rPr>
              <w:t>Probleme de capacitate instituțională</w:t>
            </w:r>
          </w:p>
          <w:p w:rsidR="00B4550A" w:rsidRPr="00E0488D" w:rsidRDefault="00B4550A" w:rsidP="003C7FC8">
            <w:pPr>
              <w:jc w:val="center"/>
              <w:rPr>
                <w:lang w:val="ro-RO"/>
              </w:rPr>
            </w:pPr>
            <w:r w:rsidRPr="00E0488D">
              <w:rPr>
                <w:lang w:val="ro-RO"/>
              </w:rPr>
              <w:t xml:space="preserve">Deteriorarea semnificatvă a activelor rutiere (preponderent pavaje și structuri) prin încărcarea excesivă pe osie </w:t>
            </w:r>
          </w:p>
        </w:tc>
        <w:tc>
          <w:tcPr>
            <w:tcW w:w="3544" w:type="dxa"/>
            <w:shd w:val="clear" w:color="auto" w:fill="auto"/>
            <w:vAlign w:val="center"/>
          </w:tcPr>
          <w:p w:rsidR="00B4550A" w:rsidRPr="00E0488D" w:rsidRDefault="00B4550A" w:rsidP="003C7FC8">
            <w:pPr>
              <w:rPr>
                <w:lang w:val="ro-RO"/>
              </w:rPr>
            </w:pPr>
            <w:r w:rsidRPr="00E0488D">
              <w:rPr>
                <w:lang w:val="ro-RO"/>
              </w:rPr>
              <w:t>La toate nivelurile – lipsa sentimentului de proprietate, schimbări organizaționale frecvente, dinamica foarte ridicată a personalului, adecvarea resurselor umane și a experienței acestora, opțiuni de instruire adecvate, etc.  .</w:t>
            </w:r>
          </w:p>
        </w:tc>
        <w:tc>
          <w:tcPr>
            <w:tcW w:w="2268" w:type="dxa"/>
            <w:shd w:val="clear" w:color="auto" w:fill="auto"/>
            <w:vAlign w:val="center"/>
          </w:tcPr>
          <w:p w:rsidR="00B4550A" w:rsidRPr="00E0488D" w:rsidRDefault="00B4550A" w:rsidP="003C7FC8">
            <w:pPr>
              <w:rPr>
                <w:lang w:val="ro-RO"/>
              </w:rPr>
            </w:pPr>
            <w:r w:rsidRPr="00E0488D">
              <w:rPr>
                <w:lang w:val="ro-RO"/>
              </w:rPr>
              <w:t xml:space="preserve">Stabilitate instituțională și organizațională îmbunătățită  și capacitatea de a asigura un management eficient și eficace al activităților din sectorul rutier pe parcursul tuturor fazelor de proiect planificare și pregătire, implementare, operare și întreținere). </w:t>
            </w: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OR07</w:t>
            </w:r>
          </w:p>
        </w:tc>
        <w:tc>
          <w:tcPr>
            <w:tcW w:w="3543" w:type="dxa"/>
            <w:shd w:val="clear" w:color="auto" w:fill="auto"/>
            <w:vAlign w:val="center"/>
          </w:tcPr>
          <w:p w:rsidR="00B4550A" w:rsidRPr="00E0488D" w:rsidRDefault="00B4550A" w:rsidP="003C7FC8">
            <w:pPr>
              <w:rPr>
                <w:lang w:val="ro-RO"/>
              </w:rPr>
            </w:pPr>
            <w:r w:rsidRPr="00E0488D">
              <w:rPr>
                <w:lang w:val="ro-RO"/>
              </w:rPr>
              <w:t xml:space="preserve">Auditarea și revizuirea situației existente urmată de identificarea măsurilor relevante și recomandărilor în ce privește organizarea departamentelor care vor răspunde de toate stadiile ciclului de proiect, finalizate cu o Analiză a Neovilor de Instruire pentru tot personalul cheie. </w:t>
            </w: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Numirea și păstrarea managementului prin intermediul unor contracte pe bază de performanță, încheiate pe termen mai lung cu Ministerul. </w:t>
            </w:r>
          </w:p>
        </w:tc>
        <w:tc>
          <w:tcPr>
            <w:tcW w:w="993" w:type="dxa"/>
            <w:shd w:val="clear" w:color="auto" w:fill="auto"/>
            <w:vAlign w:val="center"/>
          </w:tcPr>
          <w:p w:rsidR="00B4550A" w:rsidRPr="00E0488D" w:rsidRDefault="00B4550A" w:rsidP="003C7FC8">
            <w:pPr>
              <w:jc w:val="center"/>
              <w:rPr>
                <w:lang w:val="ro-RO"/>
              </w:rPr>
            </w:pPr>
            <w:r w:rsidRPr="00E0488D">
              <w:rPr>
                <w:lang w:val="ro-RO"/>
              </w:rPr>
              <w:t>N.A.</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H66</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highlight w:val="yellow"/>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shd w:val="clear" w:color="auto" w:fill="auto"/>
            <w:vAlign w:val="center"/>
          </w:tcPr>
          <w:p w:rsidR="00B4550A" w:rsidRPr="00E0488D" w:rsidRDefault="00B4550A" w:rsidP="003C7FC8">
            <w:pPr>
              <w:rPr>
                <w:lang w:val="ro-RO"/>
              </w:rPr>
            </w:pPr>
            <w:r w:rsidRPr="00E0488D">
              <w:rPr>
                <w:lang w:val="ro-RO"/>
              </w:rPr>
              <w:t xml:space="preserve">Efectul încărcării excesive pe osie asupra duratei de viață estimate (proiectate) a activelor este considerabil și bine documentat (ex. Liddle, 1963). </w:t>
            </w: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Date provenind din baza de date CESTRIN WIM sugerează că 20% din camioanele cu 4 osii sunt supraîncărcate (deoarece acestea pot cântări până la 50 de tone) iar aceasta este o problemă majoră (a se vedea Anexa E). </w:t>
            </w:r>
          </w:p>
        </w:tc>
        <w:tc>
          <w:tcPr>
            <w:tcW w:w="2268" w:type="dxa"/>
            <w:shd w:val="clear" w:color="auto" w:fill="auto"/>
            <w:vAlign w:val="center"/>
          </w:tcPr>
          <w:p w:rsidR="00B4550A" w:rsidRPr="00E0488D" w:rsidRDefault="00B4550A" w:rsidP="003C7FC8">
            <w:pPr>
              <w:rPr>
                <w:lang w:val="ro-RO"/>
              </w:rPr>
            </w:pPr>
            <w:r w:rsidRPr="00E0488D">
              <w:rPr>
                <w:lang w:val="ro-RO"/>
              </w:rPr>
              <w:t xml:space="preserve">Limitarea procesului de deteriorare a drumurilor cauzat de supraîncărcarea camioanelor. </w:t>
            </w:r>
          </w:p>
        </w:tc>
        <w:tc>
          <w:tcPr>
            <w:tcW w:w="851" w:type="dxa"/>
            <w:shd w:val="clear" w:color="auto" w:fill="auto"/>
            <w:vAlign w:val="center"/>
          </w:tcPr>
          <w:p w:rsidR="00B4550A" w:rsidRPr="00E0488D" w:rsidRDefault="00B4550A" w:rsidP="003C7FC8">
            <w:pPr>
              <w:rPr>
                <w:lang w:val="ro-RO"/>
              </w:rPr>
            </w:pPr>
            <w:r w:rsidRPr="00E0488D">
              <w:rPr>
                <w:lang w:val="ro-RO"/>
              </w:rPr>
              <w:t>OR08</w:t>
            </w:r>
          </w:p>
        </w:tc>
        <w:tc>
          <w:tcPr>
            <w:tcW w:w="3543" w:type="dxa"/>
            <w:shd w:val="clear" w:color="auto" w:fill="auto"/>
            <w:vAlign w:val="center"/>
          </w:tcPr>
          <w:p w:rsidR="00B4550A" w:rsidRPr="00E0488D" w:rsidRDefault="00B4550A" w:rsidP="003C7FC8">
            <w:pPr>
              <w:rPr>
                <w:lang w:val="ro-RO"/>
              </w:rPr>
            </w:pPr>
            <w:r w:rsidRPr="00E0488D">
              <w:rPr>
                <w:lang w:val="ro-RO"/>
              </w:rPr>
              <w:t xml:space="preserve">Verificarea adecvării legislației privind încărcarea maximă pe osie și asigurarea aplicării eficiente a acesteia prin intermediul verificărilor ad-hoc și amenzilor aplicate pentru neconformitate. </w:t>
            </w: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Asigurarea respectării unor proceduri suficiente de monitorizare și verificare. </w:t>
            </w:r>
          </w:p>
        </w:tc>
        <w:tc>
          <w:tcPr>
            <w:tcW w:w="993" w:type="dxa"/>
            <w:shd w:val="clear" w:color="auto" w:fill="auto"/>
            <w:vAlign w:val="center"/>
          </w:tcPr>
          <w:p w:rsidR="00B4550A" w:rsidRPr="00E0488D" w:rsidRDefault="00B4550A" w:rsidP="003C7FC8">
            <w:pPr>
              <w:jc w:val="center"/>
              <w:rPr>
                <w:lang w:val="ro-RO"/>
              </w:rPr>
            </w:pPr>
            <w:r w:rsidRPr="00E0488D">
              <w:rPr>
                <w:lang w:val="ro-RO"/>
              </w:rPr>
              <w:t>N.A.</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aN.A.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highlight w:val="yellow"/>
                <w:lang w:val="ro-RO"/>
              </w:rPr>
            </w:pPr>
            <w:r w:rsidRPr="00E0488D">
              <w:rPr>
                <w:lang w:val="ro-RO"/>
              </w:rPr>
              <w:t>H67</w:t>
            </w:r>
          </w:p>
        </w:tc>
      </w:tr>
      <w:tr w:rsidR="00B4550A" w:rsidRPr="00E0488D" w:rsidTr="003C7FC8">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Eficiență economică</w:t>
            </w:r>
          </w:p>
          <w:p w:rsidR="00B4550A" w:rsidRPr="00E0488D" w:rsidRDefault="00B4550A" w:rsidP="003C7FC8">
            <w:pPr>
              <w:jc w:val="center"/>
              <w:rPr>
                <w:lang w:val="ro-RO"/>
              </w:rPr>
            </w:pPr>
          </w:p>
        </w:tc>
        <w:tc>
          <w:tcPr>
            <w:tcW w:w="676" w:type="dxa"/>
            <w:vMerge w:val="restart"/>
            <w:shd w:val="clear" w:color="auto" w:fill="auto"/>
            <w:vAlign w:val="center"/>
          </w:tcPr>
          <w:p w:rsidR="00B4550A" w:rsidRPr="00E0488D" w:rsidRDefault="00B4550A" w:rsidP="003C7FC8">
            <w:pPr>
              <w:jc w:val="center"/>
              <w:rPr>
                <w:lang w:val="ro-RO"/>
              </w:rPr>
            </w:pPr>
            <w:r w:rsidRPr="00E0488D">
              <w:rPr>
                <w:lang w:val="ro-RO"/>
              </w:rPr>
              <w:t>03</w:t>
            </w:r>
          </w:p>
        </w:tc>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Deficit de infrastructură</w:t>
            </w:r>
          </w:p>
        </w:tc>
        <w:tc>
          <w:tcPr>
            <w:tcW w:w="2268" w:type="dxa"/>
            <w:vMerge w:val="restart"/>
            <w:shd w:val="clear" w:color="auto" w:fill="auto"/>
            <w:vAlign w:val="center"/>
          </w:tcPr>
          <w:p w:rsidR="00B4550A" w:rsidRPr="00E0488D" w:rsidRDefault="00B4550A" w:rsidP="003C7FC8">
            <w:pPr>
              <w:jc w:val="center"/>
              <w:rPr>
                <w:lang w:val="ro-RO"/>
              </w:rPr>
            </w:pPr>
            <w:r w:rsidRPr="00E0488D">
              <w:rPr>
                <w:lang w:val="ro-RO"/>
              </w:rPr>
              <w:t>Timpi de parcurs mari care duc la servicii necompetitive pe coridoarele cheie de conectivitate națională.</w:t>
            </w:r>
          </w:p>
        </w:tc>
        <w:tc>
          <w:tcPr>
            <w:tcW w:w="3544" w:type="dxa"/>
            <w:vMerge w:val="restart"/>
            <w:shd w:val="clear" w:color="auto" w:fill="auto"/>
            <w:vAlign w:val="center"/>
          </w:tcPr>
          <w:p w:rsidR="00B4550A" w:rsidRPr="00E0488D" w:rsidRDefault="00B4550A" w:rsidP="003C7FC8">
            <w:pPr>
              <w:rPr>
                <w:lang w:val="ro-RO"/>
              </w:rPr>
            </w:pPr>
            <w:r w:rsidRPr="00E0488D">
              <w:rPr>
                <w:lang w:val="ro-RO"/>
              </w:rPr>
              <w:t>Mai puțin de 3% din rețea este la nivel de autostradă.</w:t>
            </w:r>
          </w:p>
          <w:p w:rsidR="00B4550A" w:rsidRPr="00E0488D" w:rsidRDefault="00B4550A" w:rsidP="003C7FC8">
            <w:pPr>
              <w:rPr>
                <w:lang w:val="ro-RO"/>
              </w:rPr>
            </w:pPr>
            <w:r w:rsidRPr="00E0488D">
              <w:rPr>
                <w:lang w:val="ro-RO"/>
              </w:rPr>
              <w:t>Viteza medie pentru tronsoane non-autostradă este de 66 km/h.</w:t>
            </w:r>
          </w:p>
          <w:p w:rsidR="00B4550A" w:rsidRPr="00E0488D" w:rsidRDefault="00B4550A" w:rsidP="003C7FC8">
            <w:pPr>
              <w:rPr>
                <w:lang w:val="ro-RO"/>
              </w:rPr>
            </w:pPr>
          </w:p>
          <w:p w:rsidR="00B4550A" w:rsidRPr="00E0488D" w:rsidRDefault="00B4550A" w:rsidP="003C7FC8">
            <w:pPr>
              <w:rPr>
                <w:lang w:val="ro-RO"/>
              </w:rPr>
            </w:pPr>
            <w:r w:rsidRPr="00E0488D">
              <w:rPr>
                <w:lang w:val="ro-RO"/>
              </w:rPr>
              <w:t>A se consulta analiza detaliată a modelului național din Anexa B. Impactul economic al întârzierilor (Scenariul de referință 2020) și Figura A1..</w:t>
            </w:r>
          </w:p>
        </w:tc>
        <w:tc>
          <w:tcPr>
            <w:tcW w:w="2268" w:type="dxa"/>
            <w:shd w:val="clear" w:color="auto" w:fill="auto"/>
            <w:vAlign w:val="center"/>
          </w:tcPr>
          <w:p w:rsidR="00B4550A" w:rsidRPr="00E0488D" w:rsidRDefault="00B4550A" w:rsidP="003C7FC8">
            <w:pPr>
              <w:rPr>
                <w:lang w:val="ro-RO"/>
              </w:rPr>
            </w:pPr>
            <w:r w:rsidRPr="00E0488D">
              <w:rPr>
                <w:lang w:val="ro-RO"/>
              </w:rPr>
              <w:t>Vieze de circulație îmbunătățite pe coridorul București – Centru  (</w:t>
            </w:r>
            <w:r w:rsidRPr="00E0488D">
              <w:rPr>
                <w:b/>
                <w:lang w:val="ro-RO"/>
              </w:rPr>
              <w:t>București-Brașov).</w:t>
            </w:r>
          </w:p>
        </w:tc>
        <w:tc>
          <w:tcPr>
            <w:tcW w:w="851" w:type="dxa"/>
            <w:shd w:val="clear" w:color="auto" w:fill="auto"/>
            <w:vAlign w:val="center"/>
          </w:tcPr>
          <w:p w:rsidR="00B4550A" w:rsidRPr="00E0488D" w:rsidRDefault="00B4550A" w:rsidP="003C7FC8">
            <w:pPr>
              <w:rPr>
                <w:lang w:val="ro-RO"/>
              </w:rPr>
            </w:pPr>
            <w:r w:rsidRPr="00E0488D">
              <w:rPr>
                <w:lang w:val="ro-RO"/>
              </w:rPr>
              <w:t>OR1</w:t>
            </w:r>
          </w:p>
        </w:tc>
        <w:tc>
          <w:tcPr>
            <w:tcW w:w="3543" w:type="dxa"/>
            <w:shd w:val="clear" w:color="auto" w:fill="auto"/>
            <w:vAlign w:val="center"/>
          </w:tcPr>
          <w:p w:rsidR="00B4550A" w:rsidRPr="00E0488D" w:rsidRDefault="00B4550A" w:rsidP="003C7FC8">
            <w:pPr>
              <w:rPr>
                <w:lang w:val="ro-RO"/>
              </w:rPr>
            </w:pPr>
            <w:r w:rsidRPr="00E0488D">
              <w:rPr>
                <w:lang w:val="ro-RO"/>
              </w:rPr>
              <w:t>Ploiesti-Comarnic-Brasov</w:t>
            </w:r>
          </w:p>
        </w:tc>
        <w:tc>
          <w:tcPr>
            <w:tcW w:w="993" w:type="dxa"/>
            <w:shd w:val="clear" w:color="auto" w:fill="auto"/>
            <w:vAlign w:val="center"/>
          </w:tcPr>
          <w:p w:rsidR="00B4550A" w:rsidRPr="00E0488D" w:rsidRDefault="00B4550A" w:rsidP="003C7FC8">
            <w:pPr>
              <w:jc w:val="center"/>
              <w:rPr>
                <w:lang w:val="ro-RO"/>
              </w:rPr>
            </w:pPr>
            <w:r w:rsidRPr="00E0488D">
              <w:rPr>
                <w:lang w:val="ro-RO"/>
              </w:rPr>
              <w:t>D</w:t>
            </w:r>
          </w:p>
        </w:tc>
        <w:tc>
          <w:tcPr>
            <w:tcW w:w="850" w:type="dxa"/>
            <w:shd w:val="clear" w:color="auto" w:fill="auto"/>
            <w:vAlign w:val="center"/>
          </w:tcPr>
          <w:p w:rsidR="00B4550A" w:rsidRPr="00E0488D" w:rsidRDefault="00B4550A" w:rsidP="003C7FC8">
            <w:pPr>
              <w:jc w:val="center"/>
              <w:rPr>
                <w:lang w:val="ro-RO"/>
              </w:rPr>
            </w:pPr>
            <w:r w:rsidRPr="00E0488D">
              <w:rPr>
                <w:lang w:val="ro-RO"/>
              </w:rPr>
              <w:t>65,000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Autostrada2x2</w:t>
            </w:r>
          </w:p>
        </w:tc>
        <w:tc>
          <w:tcPr>
            <w:tcW w:w="1701" w:type="dxa"/>
            <w:vAlign w:val="center"/>
          </w:tcPr>
          <w:p w:rsidR="00B4550A" w:rsidRPr="00E0488D" w:rsidRDefault="00B4550A" w:rsidP="003C7FC8">
            <w:pPr>
              <w:jc w:val="center"/>
              <w:rPr>
                <w:lang w:val="ro-RO"/>
              </w:rPr>
            </w:pPr>
            <w:r w:rsidRPr="00E0488D">
              <w:rPr>
                <w:lang w:val="ro-RO"/>
              </w:rPr>
              <w:t xml:space="preserve">Testat comparativ cu Scenariul de Referință </w:t>
            </w:r>
          </w:p>
        </w:tc>
        <w:tc>
          <w:tcPr>
            <w:tcW w:w="1134" w:type="dxa"/>
            <w:shd w:val="clear" w:color="auto" w:fill="auto"/>
            <w:vAlign w:val="center"/>
          </w:tcPr>
          <w:p w:rsidR="00B4550A" w:rsidRPr="00E0488D" w:rsidRDefault="00B4550A" w:rsidP="003C7FC8">
            <w:pPr>
              <w:jc w:val="center"/>
              <w:rPr>
                <w:lang w:val="ro-RO"/>
              </w:rPr>
            </w:pPr>
            <w:r w:rsidRPr="00E0488D">
              <w:rPr>
                <w:lang w:val="ro-RO"/>
              </w:rPr>
              <w:t>H1</w:t>
            </w:r>
          </w:p>
          <w:p w:rsidR="00B4550A" w:rsidRPr="00E0488D" w:rsidRDefault="00B4550A" w:rsidP="003C7FC8">
            <w:pPr>
              <w:jc w:val="center"/>
              <w:rPr>
                <w:lang w:val="ro-RO"/>
              </w:rPr>
            </w:pPr>
            <w:r w:rsidRPr="00E0488D">
              <w:rPr>
                <w:lang w:val="ro-RO"/>
              </w:rPr>
              <w:t>H8</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vitezelor de circulație pe Coridorul București- Vest (</w:t>
            </w:r>
            <w:r w:rsidRPr="00E0488D">
              <w:rPr>
                <w:b/>
                <w:lang w:val="ro-RO"/>
              </w:rPr>
              <w:t>București – Sibiu)</w:t>
            </w:r>
            <w:r w:rsidRPr="00E0488D">
              <w:rPr>
                <w:lang w:val="ro-RO"/>
              </w:rPr>
              <w:t xml:space="preserve"> </w:t>
            </w:r>
          </w:p>
        </w:tc>
        <w:tc>
          <w:tcPr>
            <w:tcW w:w="851" w:type="dxa"/>
            <w:shd w:val="clear" w:color="auto" w:fill="auto"/>
            <w:vAlign w:val="center"/>
          </w:tcPr>
          <w:p w:rsidR="00B4550A" w:rsidRPr="00E0488D" w:rsidRDefault="00B4550A" w:rsidP="003C7FC8">
            <w:pPr>
              <w:rPr>
                <w:lang w:val="ro-RO"/>
              </w:rPr>
            </w:pPr>
            <w:r w:rsidRPr="00E0488D">
              <w:rPr>
                <w:lang w:val="ro-RO"/>
              </w:rPr>
              <w:t>OR2</w:t>
            </w:r>
          </w:p>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Opțiunea 1: Pitesti – Sibiu</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57,000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lang w:val="ro-RO"/>
              </w:rPr>
            </w:pPr>
            <w:r w:rsidRPr="00E0488D">
              <w:rPr>
                <w:lang w:val="ro-RO"/>
              </w:rPr>
              <w:t>Fiecare opțiune testată comparativ cu Scenariul de Referință și Scenariul de Referință plus alternativa.</w:t>
            </w:r>
          </w:p>
        </w:tc>
        <w:tc>
          <w:tcPr>
            <w:tcW w:w="1134" w:type="dxa"/>
            <w:shd w:val="clear" w:color="auto" w:fill="auto"/>
            <w:vAlign w:val="center"/>
          </w:tcPr>
          <w:p w:rsidR="00B4550A" w:rsidRPr="00E0488D" w:rsidRDefault="00B4550A" w:rsidP="003C7FC8">
            <w:pPr>
              <w:jc w:val="center"/>
              <w:rPr>
                <w:lang w:val="ro-RO"/>
              </w:rPr>
            </w:pPr>
            <w:r w:rsidRPr="00E0488D">
              <w:rPr>
                <w:lang w:val="ro-RO"/>
              </w:rPr>
              <w:t>H2</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Opțiunea 2: Ploiesti–Comarnic-Brasov-Sibiu</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65,000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lang w:val="ro-RO"/>
              </w:rPr>
            </w:pPr>
            <w:r w:rsidRPr="00E0488D">
              <w:rPr>
                <w:lang w:val="ro-RO"/>
              </w:rPr>
              <w:t>H1, H7, H8</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Îmbunătățirea vitezelor de circulație pe coridorul București- Nord Est  (București – Bacău- Iași)  </w:t>
            </w:r>
          </w:p>
        </w:tc>
        <w:tc>
          <w:tcPr>
            <w:tcW w:w="851" w:type="dxa"/>
            <w:shd w:val="clear" w:color="auto" w:fill="auto"/>
            <w:vAlign w:val="center"/>
          </w:tcPr>
          <w:p w:rsidR="00B4550A" w:rsidRPr="00E0488D" w:rsidRDefault="00B4550A" w:rsidP="003C7FC8">
            <w:pPr>
              <w:rPr>
                <w:lang w:val="ro-RO"/>
              </w:rPr>
            </w:pPr>
            <w:r w:rsidRPr="00E0488D">
              <w:rPr>
                <w:lang w:val="ro-RO"/>
              </w:rPr>
              <w:t>OR3</w:t>
            </w:r>
          </w:p>
        </w:tc>
        <w:tc>
          <w:tcPr>
            <w:tcW w:w="3543" w:type="dxa"/>
            <w:shd w:val="clear" w:color="auto" w:fill="auto"/>
            <w:vAlign w:val="center"/>
          </w:tcPr>
          <w:p w:rsidR="00B4550A" w:rsidRPr="00E0488D" w:rsidRDefault="00B4550A" w:rsidP="003C7FC8">
            <w:pPr>
              <w:rPr>
                <w:lang w:val="ro-RO"/>
              </w:rPr>
            </w:pPr>
            <w:r w:rsidRPr="00E0488D">
              <w:rPr>
                <w:lang w:val="ro-RO"/>
              </w:rPr>
              <w:t>Opțiunea 1: Ploiești-Buzău - Bacău-Iași</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highlight w:val="yellow"/>
                <w:lang w:val="ro-RO"/>
              </w:rPr>
            </w:pPr>
            <w:r w:rsidRPr="00E0488D">
              <w:rPr>
                <w:lang w:val="ro-RO"/>
              </w:rPr>
              <w:t>47,000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highlight w:val="yellow"/>
                <w:lang w:val="ro-RO"/>
              </w:rPr>
            </w:pPr>
            <w:r w:rsidRPr="00E0488D">
              <w:rPr>
                <w:lang w:val="ro-RO"/>
              </w:rPr>
              <w:t>Fiecare opțiune testată comparativ cu Scenariul de Referință și Scenariul de Referință plus alternativa</w:t>
            </w:r>
          </w:p>
        </w:tc>
        <w:tc>
          <w:tcPr>
            <w:tcW w:w="1134" w:type="dxa"/>
            <w:shd w:val="clear" w:color="auto" w:fill="auto"/>
            <w:vAlign w:val="center"/>
          </w:tcPr>
          <w:p w:rsidR="00B4550A" w:rsidRPr="00E0488D" w:rsidRDefault="00B4550A" w:rsidP="003C7FC8">
            <w:pPr>
              <w:jc w:val="center"/>
              <w:rPr>
                <w:lang w:val="ro-RO"/>
              </w:rPr>
            </w:pPr>
            <w:r w:rsidRPr="00E0488D">
              <w:rPr>
                <w:lang w:val="ro-RO"/>
              </w:rPr>
              <w:t>H38</w:t>
            </w:r>
          </w:p>
          <w:p w:rsidR="00B4550A" w:rsidRPr="00E0488D" w:rsidRDefault="00B4550A" w:rsidP="003C7FC8">
            <w:pPr>
              <w:jc w:val="center"/>
              <w:rPr>
                <w:lang w:val="ro-RO"/>
              </w:rPr>
            </w:pPr>
            <w:r w:rsidRPr="00E0488D">
              <w:rPr>
                <w:lang w:val="ro-RO"/>
              </w:rPr>
              <w:t>H13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Opțiunea 2: Ploiești-Brașov-Bacău-Iași</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highlight w:val="yellow"/>
                <w:lang w:val="ro-RO"/>
              </w:rPr>
            </w:pPr>
            <w:r w:rsidRPr="00E0488D">
              <w:rPr>
                <w:lang w:val="ro-RO"/>
              </w:rPr>
              <w:t>65,000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lang w:val="ro-RO"/>
              </w:rPr>
            </w:pPr>
            <w:r w:rsidRPr="00E0488D">
              <w:rPr>
                <w:lang w:val="ro-RO"/>
              </w:rPr>
              <w:t>H1, H8, H12, H13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 xml:space="preserve">București-Bacău-Iași </w:t>
            </w:r>
            <w:r w:rsidRPr="00E0488D">
              <w:rPr>
                <w:i/>
                <w:lang w:val="ro-RO"/>
              </w:rPr>
              <w:t xml:space="preserve">via Pașcani (folosind opțiunea preferată între opțiunile 1 și 2 pentru ruta până la Bacău) </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lang w:val="ro-RO"/>
              </w:rPr>
            </w:pPr>
            <w:r w:rsidRPr="00E0488D">
              <w:rPr>
                <w:lang w:val="ro-RO"/>
              </w:rPr>
              <w:t xml:space="preserve">Scenariul de Referință plus opțiunea cu cea mai bună performanță între 1 și 2 </w:t>
            </w:r>
          </w:p>
        </w:tc>
        <w:tc>
          <w:tcPr>
            <w:tcW w:w="1134" w:type="dxa"/>
            <w:shd w:val="clear" w:color="auto" w:fill="auto"/>
            <w:vAlign w:val="center"/>
          </w:tcPr>
          <w:p w:rsidR="00B4550A" w:rsidRPr="00E0488D" w:rsidRDefault="00B4550A" w:rsidP="003C7FC8">
            <w:pPr>
              <w:jc w:val="center"/>
              <w:rPr>
                <w:lang w:val="ro-RO"/>
              </w:rPr>
            </w:pPr>
            <w:r w:rsidRPr="00E0488D">
              <w:rPr>
                <w:lang w:val="ro-RO"/>
              </w:rPr>
              <w:t>TBC</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vitezelor de circulație pe Coridorul București – Sud-Vest</w:t>
            </w:r>
          </w:p>
          <w:p w:rsidR="00B4550A" w:rsidRPr="00E0488D" w:rsidRDefault="00B4550A" w:rsidP="003C7FC8">
            <w:pPr>
              <w:rPr>
                <w:lang w:val="ro-RO"/>
              </w:rPr>
            </w:pPr>
            <w:r w:rsidRPr="00E0488D">
              <w:rPr>
                <w:lang w:val="ro-RO"/>
              </w:rPr>
              <w:t>(</w:t>
            </w:r>
            <w:r w:rsidRPr="00E0488D">
              <w:rPr>
                <w:b/>
                <w:lang w:val="ro-RO"/>
              </w:rPr>
              <w:t>București - Craiova</w:t>
            </w:r>
            <w:r w:rsidRPr="00E0488D">
              <w:rPr>
                <w:lang w:val="ro-RO"/>
              </w:rPr>
              <w:t>)</w:t>
            </w: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lastRenderedPageBreak/>
              <w:t>OR4</w:t>
            </w:r>
          </w:p>
        </w:tc>
        <w:tc>
          <w:tcPr>
            <w:tcW w:w="3543" w:type="dxa"/>
            <w:shd w:val="clear" w:color="auto" w:fill="auto"/>
            <w:vAlign w:val="center"/>
          </w:tcPr>
          <w:p w:rsidR="00B4550A" w:rsidRPr="00E0488D" w:rsidRDefault="00B4550A" w:rsidP="003C7FC8">
            <w:pPr>
              <w:rPr>
                <w:lang w:val="ro-RO"/>
              </w:rPr>
            </w:pPr>
            <w:r w:rsidRPr="00E0488D">
              <w:rPr>
                <w:lang w:val="ro-RO"/>
              </w:rPr>
              <w:t>Opțiunea 1: Pitesti-Craiova</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highlight w:val="yellow"/>
                <w:lang w:val="ro-RO"/>
              </w:rPr>
            </w:pPr>
            <w:r w:rsidRPr="00E0488D">
              <w:rPr>
                <w:lang w:val="ro-RO"/>
              </w:rPr>
              <w:t>37,000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highlight w:val="yellow"/>
                <w:lang w:val="ro-RO"/>
              </w:rPr>
            </w:pPr>
            <w:r w:rsidRPr="00E0488D">
              <w:rPr>
                <w:lang w:val="ro-RO"/>
              </w:rPr>
              <w:t xml:space="preserve">Fiecare opțiune testată comparativ cu Scenariul de Referință și </w:t>
            </w:r>
            <w:r w:rsidRPr="00E0488D">
              <w:rPr>
                <w:lang w:val="ro-RO"/>
              </w:rPr>
              <w:lastRenderedPageBreak/>
              <w:t>Scenariul de Referință plus alternativa</w:t>
            </w:r>
          </w:p>
        </w:tc>
        <w:tc>
          <w:tcPr>
            <w:tcW w:w="1134" w:type="dxa"/>
            <w:shd w:val="clear" w:color="auto" w:fill="auto"/>
            <w:vAlign w:val="center"/>
          </w:tcPr>
          <w:p w:rsidR="00B4550A" w:rsidRPr="00E0488D" w:rsidRDefault="00B4550A" w:rsidP="003C7FC8">
            <w:pPr>
              <w:jc w:val="center"/>
              <w:rPr>
                <w:lang w:val="ro-RO"/>
              </w:rPr>
            </w:pPr>
            <w:r w:rsidRPr="00E0488D">
              <w:rPr>
                <w:lang w:val="ro-RO"/>
              </w:rPr>
              <w:lastRenderedPageBreak/>
              <w:t>H6</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Option 2: Bucharest-Alexandria-Craiova</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highlight w:val="yellow"/>
                <w:lang w:val="ro-RO"/>
              </w:rPr>
            </w:pPr>
            <w:r w:rsidRPr="00E0488D">
              <w:rPr>
                <w:lang w:val="ro-RO"/>
              </w:rPr>
              <w:t>42,000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highlight w:val="yellow"/>
                <w:lang w:val="ro-RO"/>
              </w:rPr>
            </w:pPr>
          </w:p>
        </w:tc>
        <w:tc>
          <w:tcPr>
            <w:tcW w:w="1134" w:type="dxa"/>
            <w:shd w:val="clear" w:color="auto" w:fill="auto"/>
            <w:vAlign w:val="center"/>
          </w:tcPr>
          <w:p w:rsidR="00B4550A" w:rsidRPr="00E0488D" w:rsidRDefault="00B4550A" w:rsidP="003C7FC8">
            <w:pPr>
              <w:jc w:val="center"/>
              <w:rPr>
                <w:lang w:val="ro-RO"/>
              </w:rPr>
            </w:pPr>
            <w:r w:rsidRPr="00E0488D">
              <w:rPr>
                <w:lang w:val="ro-RO"/>
              </w:rPr>
              <w:t>H9</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vitezelor de circulație pe coridorul Nord Est – Centru – Vest (Iași – Brașov/Cluj – Granița HU)</w:t>
            </w:r>
          </w:p>
        </w:tc>
        <w:tc>
          <w:tcPr>
            <w:tcW w:w="851" w:type="dxa"/>
            <w:shd w:val="clear" w:color="auto" w:fill="auto"/>
            <w:vAlign w:val="center"/>
          </w:tcPr>
          <w:p w:rsidR="00B4550A" w:rsidRPr="00E0488D" w:rsidRDefault="00B4550A" w:rsidP="003C7FC8">
            <w:pPr>
              <w:rPr>
                <w:lang w:val="ro-RO"/>
              </w:rPr>
            </w:pPr>
            <w:r w:rsidRPr="00E0488D">
              <w:rPr>
                <w:lang w:val="ro-RO"/>
              </w:rPr>
              <w:t>OR5</w:t>
            </w:r>
          </w:p>
        </w:tc>
        <w:tc>
          <w:tcPr>
            <w:tcW w:w="3543" w:type="dxa"/>
            <w:shd w:val="clear" w:color="auto" w:fill="auto"/>
            <w:vAlign w:val="center"/>
          </w:tcPr>
          <w:p w:rsidR="00B4550A" w:rsidRPr="00E0488D" w:rsidRDefault="00B4550A" w:rsidP="003C7FC8">
            <w:pPr>
              <w:rPr>
                <w:lang w:val="ro-RO"/>
              </w:rPr>
            </w:pPr>
            <w:r w:rsidRPr="00E0488D">
              <w:rPr>
                <w:lang w:val="ro-RO"/>
              </w:rPr>
              <w:t>Opțiunea 1: Iași - Turda + Nădășelu - Bors</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highlight w:val="yellow"/>
                <w:lang w:val="ro-RO"/>
              </w:rPr>
            </w:pPr>
            <w:r w:rsidRPr="00E0488D">
              <w:rPr>
                <w:lang w:val="ro-RO"/>
              </w:rPr>
              <w:t>35,000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highlight w:val="yellow"/>
                <w:lang w:val="ro-RO"/>
              </w:rPr>
            </w:pPr>
            <w:r w:rsidRPr="00E0488D">
              <w:rPr>
                <w:lang w:val="ro-RO"/>
              </w:rPr>
              <w:t>Fiecare opțiune testată comparativ cu Scenariul de Referință și Scenariul de Referință plus alternativa</w:t>
            </w:r>
          </w:p>
        </w:tc>
        <w:tc>
          <w:tcPr>
            <w:tcW w:w="1134" w:type="dxa"/>
            <w:shd w:val="clear" w:color="auto" w:fill="auto"/>
            <w:vAlign w:val="center"/>
          </w:tcPr>
          <w:p w:rsidR="00B4550A" w:rsidRPr="00E0488D" w:rsidRDefault="00B4550A" w:rsidP="003C7FC8">
            <w:pPr>
              <w:jc w:val="center"/>
              <w:rPr>
                <w:lang w:val="ro-RO"/>
              </w:rPr>
            </w:pPr>
            <w:r w:rsidRPr="00E0488D">
              <w:rPr>
                <w:lang w:val="ro-RO"/>
              </w:rPr>
              <w:t>H14</w:t>
            </w:r>
          </w:p>
          <w:p w:rsidR="00B4550A" w:rsidRPr="00E0488D" w:rsidRDefault="00B4550A" w:rsidP="003C7FC8">
            <w:pPr>
              <w:jc w:val="center"/>
              <w:rPr>
                <w:lang w:val="ro-RO"/>
              </w:rPr>
            </w:pPr>
            <w:r w:rsidRPr="00E0488D">
              <w:rPr>
                <w:lang w:val="ro-RO"/>
              </w:rPr>
              <w:t>H15</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Opțiunea 2: Iași – Bacău – Brașov – Sibiu</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44,000</w:t>
            </w:r>
          </w:p>
        </w:tc>
        <w:tc>
          <w:tcPr>
            <w:tcW w:w="1134" w:type="dxa"/>
            <w:shd w:val="clear" w:color="auto" w:fill="auto"/>
            <w:vAlign w:val="center"/>
          </w:tcPr>
          <w:p w:rsidR="00B4550A" w:rsidRPr="00E0488D" w:rsidRDefault="00B4550A" w:rsidP="003C7FC8">
            <w:pPr>
              <w:jc w:val="center"/>
              <w:rPr>
                <w:lang w:val="ro-RO"/>
              </w:rPr>
            </w:pPr>
            <w:r w:rsidRPr="00E0488D">
              <w:rPr>
                <w:lang w:val="ro-RO"/>
              </w:rPr>
              <w:t>Autostrada 2x2</w:t>
            </w:r>
          </w:p>
        </w:tc>
        <w:tc>
          <w:tcPr>
            <w:tcW w:w="1701" w:type="dxa"/>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lang w:val="ro-RO"/>
              </w:rPr>
            </w:pPr>
            <w:r w:rsidRPr="00E0488D">
              <w:rPr>
                <w:lang w:val="ro-RO"/>
              </w:rPr>
              <w:t>H7, H12, H13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Agregarea tuturor obiectivelor pentru coridoare naționale </w:t>
            </w:r>
          </w:p>
        </w:tc>
        <w:tc>
          <w:tcPr>
            <w:tcW w:w="851" w:type="dxa"/>
            <w:shd w:val="clear" w:color="auto" w:fill="auto"/>
            <w:vAlign w:val="center"/>
          </w:tcPr>
          <w:p w:rsidR="00B4550A" w:rsidRPr="00E0488D" w:rsidRDefault="00B4550A" w:rsidP="003C7FC8">
            <w:pPr>
              <w:rPr>
                <w:lang w:val="ro-RO"/>
              </w:rPr>
            </w:pPr>
            <w:r w:rsidRPr="00E0488D">
              <w:rPr>
                <w:lang w:val="ro-RO"/>
              </w:rPr>
              <w:t>OR1+OR2+OR3+OR4+OR5</w:t>
            </w:r>
          </w:p>
        </w:tc>
        <w:tc>
          <w:tcPr>
            <w:tcW w:w="3543" w:type="dxa"/>
            <w:shd w:val="clear" w:color="auto" w:fill="auto"/>
            <w:vAlign w:val="center"/>
          </w:tcPr>
          <w:p w:rsidR="00B4550A" w:rsidRPr="00E0488D" w:rsidRDefault="00B4550A" w:rsidP="003C7FC8">
            <w:pPr>
              <w:rPr>
                <w:lang w:val="ro-RO"/>
              </w:rPr>
            </w:pPr>
            <w:r w:rsidRPr="00E0488D">
              <w:rPr>
                <w:lang w:val="ro-RO"/>
              </w:rPr>
              <w:t xml:space="preserve">Opțiunea A: suma celor mai bune opțiuni din cele disponibile între OR1 - OR5 </w:t>
            </w:r>
          </w:p>
          <w:p w:rsidR="00B4550A" w:rsidRPr="00E0488D" w:rsidRDefault="00B4550A" w:rsidP="003C7FC8">
            <w:pPr>
              <w:rPr>
                <w:lang w:val="ro-RO"/>
              </w:rPr>
            </w:pPr>
            <w:r w:rsidRPr="00E0488D">
              <w:rPr>
                <w:lang w:val="ro-RO"/>
              </w:rPr>
              <w:t xml:space="preserve">Opțiunea B: Combinație de variante bazată pe rețelele Core TEN-T. </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TBC</w:t>
            </w:r>
          </w:p>
        </w:tc>
        <w:tc>
          <w:tcPr>
            <w:tcW w:w="1701" w:type="dxa"/>
            <w:vAlign w:val="center"/>
          </w:tcPr>
          <w:p w:rsidR="00B4550A" w:rsidRPr="00E0488D" w:rsidRDefault="00B4550A" w:rsidP="003C7FC8">
            <w:pPr>
              <w:jc w:val="center"/>
              <w:rPr>
                <w:lang w:val="ro-RO"/>
              </w:rPr>
            </w:pPr>
            <w:r w:rsidRPr="00E0488D">
              <w:rPr>
                <w:lang w:val="ro-RO"/>
              </w:rPr>
              <w:t>Aggregate tests OR1+Or2+OR3+OR4+OR5</w:t>
            </w:r>
          </w:p>
        </w:tc>
        <w:tc>
          <w:tcPr>
            <w:tcW w:w="1134" w:type="dxa"/>
            <w:shd w:val="clear" w:color="auto" w:fill="auto"/>
            <w:vAlign w:val="center"/>
          </w:tcPr>
          <w:p w:rsidR="00B4550A" w:rsidRPr="00E0488D" w:rsidRDefault="00B4550A" w:rsidP="003C7FC8">
            <w:pPr>
              <w:jc w:val="center"/>
              <w:rPr>
                <w:lang w:val="ro-RO"/>
              </w:rPr>
            </w:pPr>
            <w:r w:rsidRPr="00E0488D">
              <w:rPr>
                <w:lang w:val="ro-RO"/>
              </w:rPr>
              <w:t>TBC</w:t>
            </w:r>
          </w:p>
        </w:tc>
      </w:tr>
      <w:tr w:rsidR="00B4550A" w:rsidRPr="00E0488D" w:rsidTr="003C7FC8">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Eficiență economică</w:t>
            </w:r>
          </w:p>
          <w:p w:rsidR="00B4550A" w:rsidRPr="00E0488D" w:rsidRDefault="00B4550A" w:rsidP="003C7FC8">
            <w:pPr>
              <w:jc w:val="center"/>
              <w:rPr>
                <w:lang w:val="ro-RO"/>
              </w:rPr>
            </w:pPr>
          </w:p>
        </w:tc>
        <w:tc>
          <w:tcPr>
            <w:tcW w:w="676" w:type="dxa"/>
            <w:vMerge w:val="restart"/>
            <w:shd w:val="clear" w:color="auto" w:fill="auto"/>
            <w:vAlign w:val="center"/>
          </w:tcPr>
          <w:p w:rsidR="00B4550A" w:rsidRPr="00E0488D" w:rsidRDefault="00B4550A" w:rsidP="003C7FC8">
            <w:pPr>
              <w:jc w:val="center"/>
              <w:rPr>
                <w:lang w:val="ro-RO"/>
              </w:rPr>
            </w:pPr>
            <w:r w:rsidRPr="00E0488D">
              <w:rPr>
                <w:lang w:val="ro-RO"/>
              </w:rPr>
              <w:t>04</w:t>
            </w:r>
          </w:p>
        </w:tc>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 xml:space="preserve">Deficit de infrastructură </w:t>
            </w:r>
          </w:p>
        </w:tc>
        <w:tc>
          <w:tcPr>
            <w:tcW w:w="2268" w:type="dxa"/>
            <w:vMerge w:val="restart"/>
            <w:shd w:val="clear" w:color="auto" w:fill="auto"/>
            <w:vAlign w:val="center"/>
          </w:tcPr>
          <w:p w:rsidR="00B4550A" w:rsidRPr="00E0488D" w:rsidRDefault="00B4550A" w:rsidP="003C7FC8">
            <w:pPr>
              <w:jc w:val="center"/>
              <w:rPr>
                <w:lang w:val="ro-RO"/>
              </w:rPr>
            </w:pPr>
            <w:r w:rsidRPr="00E0488D">
              <w:rPr>
                <w:lang w:val="ro-RO"/>
              </w:rPr>
              <w:t xml:space="preserve">Timpi de parcurs mari, care conduc la servicii </w:t>
            </w:r>
            <w:r w:rsidRPr="00E0488D">
              <w:rPr>
                <w:b/>
                <w:lang w:val="ro-RO"/>
              </w:rPr>
              <w:t>necompetitive pe alte segemente semnificative de conectivitate regională</w:t>
            </w:r>
            <w:r w:rsidRPr="00E0488D">
              <w:rPr>
                <w:lang w:val="ro-RO"/>
              </w:rPr>
              <w:t xml:space="preserve">  </w:t>
            </w:r>
          </w:p>
          <w:p w:rsidR="00B4550A" w:rsidRPr="00E0488D" w:rsidRDefault="00B4550A" w:rsidP="003C7FC8">
            <w:pPr>
              <w:jc w:val="center"/>
              <w:rPr>
                <w:lang w:val="ro-RO"/>
              </w:rPr>
            </w:pPr>
          </w:p>
        </w:tc>
        <w:tc>
          <w:tcPr>
            <w:tcW w:w="3544" w:type="dxa"/>
            <w:vMerge w:val="restart"/>
            <w:shd w:val="clear" w:color="auto" w:fill="auto"/>
            <w:vAlign w:val="center"/>
          </w:tcPr>
          <w:p w:rsidR="00B4550A" w:rsidRPr="00E0488D" w:rsidRDefault="00B4550A" w:rsidP="003C7FC8">
            <w:pPr>
              <w:rPr>
                <w:lang w:val="ro-RO"/>
              </w:rPr>
            </w:pPr>
            <w:r w:rsidRPr="00E0488D">
              <w:rPr>
                <w:lang w:val="ro-RO"/>
              </w:rPr>
              <w:t>Mai puțin de 3% din rețea este la stadard de autostradă.</w:t>
            </w:r>
          </w:p>
          <w:p w:rsidR="00B4550A" w:rsidRPr="00E0488D" w:rsidRDefault="00B4550A" w:rsidP="003C7FC8">
            <w:pPr>
              <w:rPr>
                <w:lang w:val="ro-RO"/>
              </w:rPr>
            </w:pPr>
          </w:p>
          <w:p w:rsidR="00B4550A" w:rsidRPr="00E0488D" w:rsidRDefault="00B4550A" w:rsidP="003C7FC8">
            <w:pPr>
              <w:rPr>
                <w:lang w:val="ro-RO"/>
              </w:rPr>
            </w:pPr>
            <w:r w:rsidRPr="00E0488D">
              <w:rPr>
                <w:lang w:val="ro-RO"/>
              </w:rPr>
              <w:t>Viteza medie pentru tronsoanele non-autostradă este de 66km/h.</w:t>
            </w: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r w:rsidRPr="00E0488D">
              <w:rPr>
                <w:lang w:val="ro-RO"/>
              </w:rPr>
              <w:t>A se consulta analiza modelului național din Anexa A. Impactul economic al întârzierilor (Scenariul de referință 2020).</w:t>
            </w: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Proiectele identificate prin analiza rețelelor de nivel 1 finalizate folosind timpul pierdut, viteza țintă și analiza nivelului de servicii ca date de intrare pentru proiectele de Nivel 2. Testele implicate în această etapă sunt cele considerate a avea cea mai mare probabilitate de apariție potrivit informațiilor existente dar care pot fi rafinate după finalizarea testelor de Nivel 1. </w:t>
            </w:r>
          </w:p>
          <w:p w:rsidR="00B4550A" w:rsidRPr="00E0488D" w:rsidRDefault="00B4550A" w:rsidP="003C7FC8">
            <w:pPr>
              <w:rPr>
                <w:lang w:val="ro-RO"/>
              </w:rPr>
            </w:pPr>
          </w:p>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Îmbunătățirea vitezelor de circulație pe segementul  </w:t>
            </w:r>
            <w:r w:rsidRPr="00E0488D">
              <w:rPr>
                <w:b/>
                <w:lang w:val="ro-RO"/>
              </w:rPr>
              <w:t>Brăila – Galați – Focșani</w:t>
            </w:r>
            <w:r w:rsidRPr="00E0488D">
              <w:rPr>
                <w:lang w:val="ro-RO"/>
              </w:rPr>
              <w:t xml:space="preserve"> </w:t>
            </w:r>
          </w:p>
        </w:tc>
        <w:tc>
          <w:tcPr>
            <w:tcW w:w="851" w:type="dxa"/>
            <w:shd w:val="clear" w:color="auto" w:fill="auto"/>
            <w:vAlign w:val="center"/>
          </w:tcPr>
          <w:p w:rsidR="00B4550A" w:rsidRPr="00E0488D" w:rsidRDefault="00B4550A" w:rsidP="003C7FC8">
            <w:pPr>
              <w:rPr>
                <w:lang w:val="ro-RO"/>
              </w:rPr>
            </w:pPr>
            <w:r w:rsidRPr="00E0488D">
              <w:rPr>
                <w:lang w:val="ro-RO"/>
              </w:rPr>
              <w:t>OR6</w:t>
            </w:r>
          </w:p>
        </w:tc>
        <w:tc>
          <w:tcPr>
            <w:tcW w:w="3543" w:type="dxa"/>
            <w:shd w:val="clear" w:color="auto" w:fill="auto"/>
            <w:vAlign w:val="center"/>
          </w:tcPr>
          <w:p w:rsidR="00B4550A" w:rsidRPr="00E0488D" w:rsidRDefault="00B4550A" w:rsidP="003C7FC8">
            <w:pPr>
              <w:rPr>
                <w:lang w:val="ro-RO"/>
              </w:rPr>
            </w:pPr>
            <w:r w:rsidRPr="00E0488D">
              <w:rPr>
                <w:lang w:val="ro-RO"/>
              </w:rPr>
              <w:t>Focșani-Galați-Brăila</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RDefault="00B4550A" w:rsidP="003C7FC8">
            <w:pPr>
              <w:jc w:val="center"/>
              <w:rPr>
                <w:lang w:val="ro-RO"/>
              </w:rPr>
            </w:pPr>
            <w:r w:rsidRPr="00E0488D">
              <w:rPr>
                <w:lang w:val="ro-RO"/>
              </w:rPr>
              <w:t>H39</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Îmbunătățirea vitezelor de circulație în vecinătatea zonelor </w:t>
            </w:r>
            <w:r w:rsidRPr="00E0488D">
              <w:rPr>
                <w:b/>
                <w:lang w:val="ro-RO"/>
              </w:rPr>
              <w:t>Suceava, Botoșani și Siret</w:t>
            </w:r>
            <w:r w:rsidRPr="00E0488D">
              <w:rPr>
                <w:lang w:val="ro-RO"/>
              </w:rPr>
              <w:t xml:space="preserve"> </w:t>
            </w:r>
          </w:p>
        </w:tc>
        <w:tc>
          <w:tcPr>
            <w:tcW w:w="851" w:type="dxa"/>
            <w:shd w:val="clear" w:color="auto" w:fill="auto"/>
            <w:vAlign w:val="center"/>
          </w:tcPr>
          <w:p w:rsidR="00B4550A" w:rsidRPr="00E0488D" w:rsidRDefault="00B4550A" w:rsidP="003C7FC8">
            <w:pPr>
              <w:rPr>
                <w:lang w:val="ro-RO"/>
              </w:rPr>
            </w:pPr>
            <w:r w:rsidRPr="00E0488D">
              <w:rPr>
                <w:lang w:val="ro-RO"/>
              </w:rPr>
              <w:t>OR7</w:t>
            </w:r>
          </w:p>
        </w:tc>
        <w:tc>
          <w:tcPr>
            <w:tcW w:w="3543" w:type="dxa"/>
            <w:shd w:val="clear" w:color="auto" w:fill="auto"/>
            <w:vAlign w:val="center"/>
          </w:tcPr>
          <w:p w:rsidR="00B4550A" w:rsidRPr="00E0488D" w:rsidRDefault="00B4550A" w:rsidP="003C7FC8">
            <w:pPr>
              <w:rPr>
                <w:lang w:val="ro-RO"/>
              </w:rPr>
            </w:pPr>
            <w:r w:rsidRPr="00E0488D">
              <w:rPr>
                <w:lang w:val="ro-RO"/>
              </w:rPr>
              <w:t>Bacău-Suceava</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RDefault="00B4550A" w:rsidP="003C7FC8">
            <w:pPr>
              <w:jc w:val="center"/>
              <w:rPr>
                <w:lang w:val="ro-RO"/>
              </w:rPr>
            </w:pPr>
            <w:r w:rsidRPr="00E0488D">
              <w:rPr>
                <w:lang w:val="ro-RO"/>
              </w:rPr>
              <w:t>H40</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Suceava-Siret</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RDefault="00B4550A" w:rsidP="003C7FC8">
            <w:pPr>
              <w:jc w:val="center"/>
              <w:rPr>
                <w:lang w:val="ro-RO"/>
              </w:rPr>
            </w:pPr>
            <w:r w:rsidRPr="00E0488D">
              <w:rPr>
                <w:lang w:val="ro-RO"/>
              </w:rPr>
              <w:t>H41</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p>
        </w:tc>
        <w:tc>
          <w:tcPr>
            <w:tcW w:w="3543" w:type="dxa"/>
            <w:shd w:val="clear" w:color="auto" w:fill="auto"/>
            <w:vAlign w:val="center"/>
          </w:tcPr>
          <w:p w:rsidR="00B4550A" w:rsidRPr="00E0488D" w:rsidRDefault="00B4550A" w:rsidP="003C7FC8">
            <w:pPr>
              <w:rPr>
                <w:lang w:val="ro-RO"/>
              </w:rPr>
            </w:pPr>
            <w:r w:rsidRPr="00E0488D">
              <w:rPr>
                <w:lang w:val="ro-RO"/>
              </w:rPr>
              <w:t>Suceava-Botoșani</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RDefault="00B4550A" w:rsidP="003C7FC8">
            <w:pPr>
              <w:jc w:val="center"/>
              <w:rPr>
                <w:lang w:val="ro-RO"/>
              </w:rPr>
            </w:pPr>
            <w:r w:rsidRPr="00E0488D">
              <w:rPr>
                <w:lang w:val="ro-RO"/>
              </w:rPr>
              <w:t>H42</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Îmbunătățirea vitezelor de circulație pe tronsonul </w:t>
            </w:r>
            <w:r w:rsidRPr="00E0488D">
              <w:rPr>
                <w:b/>
                <w:lang w:val="ro-RO"/>
              </w:rPr>
              <w:t>Bacau – Piatra Neamt</w:t>
            </w:r>
            <w:r w:rsidRPr="00E0488D">
              <w:rPr>
                <w:lang w:val="ro-RO"/>
              </w:rPr>
              <w:t xml:space="preserve"> </w:t>
            </w:r>
          </w:p>
        </w:tc>
        <w:tc>
          <w:tcPr>
            <w:tcW w:w="851" w:type="dxa"/>
            <w:shd w:val="clear" w:color="auto" w:fill="auto"/>
            <w:vAlign w:val="center"/>
          </w:tcPr>
          <w:p w:rsidR="00B4550A" w:rsidRPr="00E0488D" w:rsidRDefault="00B4550A" w:rsidP="003C7FC8">
            <w:pPr>
              <w:rPr>
                <w:lang w:val="ro-RO"/>
              </w:rPr>
            </w:pPr>
            <w:r w:rsidRPr="00E0488D">
              <w:rPr>
                <w:lang w:val="ro-RO"/>
              </w:rPr>
              <w:t>OR8</w:t>
            </w:r>
          </w:p>
        </w:tc>
        <w:tc>
          <w:tcPr>
            <w:tcW w:w="3543" w:type="dxa"/>
            <w:shd w:val="clear" w:color="auto" w:fill="auto"/>
            <w:vAlign w:val="center"/>
          </w:tcPr>
          <w:p w:rsidR="00B4550A" w:rsidRPr="00E0488D" w:rsidDel="00B129A5" w:rsidRDefault="00B4550A" w:rsidP="003C7FC8">
            <w:pPr>
              <w:rPr>
                <w:lang w:val="ro-RO"/>
              </w:rPr>
            </w:pPr>
            <w:r w:rsidRPr="00E0488D">
              <w:rPr>
                <w:lang w:val="ro-RO"/>
              </w:rPr>
              <w:t>Bacau-Piatra Neamt</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Del="00B129A5" w:rsidRDefault="00B4550A" w:rsidP="003C7FC8">
            <w:pPr>
              <w:jc w:val="center"/>
              <w:rPr>
                <w:lang w:val="ro-RO"/>
              </w:rPr>
            </w:pPr>
            <w:r w:rsidRPr="00E0488D">
              <w:rPr>
                <w:lang w:val="ro-RO"/>
              </w:rPr>
              <w:t>H43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Îmbunătățirea vitezelor de circulație pe tronsonul </w:t>
            </w:r>
            <w:r w:rsidRPr="00E0488D">
              <w:rPr>
                <w:b/>
                <w:lang w:val="ro-RO"/>
              </w:rPr>
              <w:t>Cluj - Dej</w:t>
            </w:r>
            <w:r w:rsidRPr="00E0488D">
              <w:rPr>
                <w:lang w:val="ro-RO"/>
              </w:rPr>
              <w:t xml:space="preserve"> link</w:t>
            </w:r>
          </w:p>
        </w:tc>
        <w:tc>
          <w:tcPr>
            <w:tcW w:w="851" w:type="dxa"/>
            <w:shd w:val="clear" w:color="auto" w:fill="auto"/>
            <w:vAlign w:val="center"/>
          </w:tcPr>
          <w:p w:rsidR="00B4550A" w:rsidRPr="00E0488D" w:rsidRDefault="00B4550A" w:rsidP="003C7FC8">
            <w:pPr>
              <w:rPr>
                <w:lang w:val="ro-RO"/>
              </w:rPr>
            </w:pPr>
            <w:r w:rsidRPr="00E0488D">
              <w:rPr>
                <w:lang w:val="ro-RO"/>
              </w:rPr>
              <w:t>OR9</w:t>
            </w:r>
          </w:p>
        </w:tc>
        <w:tc>
          <w:tcPr>
            <w:tcW w:w="3543" w:type="dxa"/>
            <w:shd w:val="clear" w:color="auto" w:fill="auto"/>
            <w:vAlign w:val="center"/>
          </w:tcPr>
          <w:p w:rsidR="00B4550A" w:rsidRPr="00E0488D" w:rsidDel="00B129A5" w:rsidRDefault="00B4550A" w:rsidP="003C7FC8">
            <w:pPr>
              <w:rPr>
                <w:lang w:val="ro-RO"/>
              </w:rPr>
            </w:pPr>
            <w:r w:rsidRPr="00E0488D">
              <w:rPr>
                <w:lang w:val="ro-RO"/>
              </w:rPr>
              <w:t>Cluj / Targu Mures - Halmeu</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RDefault="00B4550A" w:rsidP="003C7FC8">
            <w:pPr>
              <w:jc w:val="center"/>
              <w:rPr>
                <w:lang w:val="ro-RO"/>
              </w:rPr>
            </w:pPr>
            <w:r w:rsidRPr="00E0488D">
              <w:rPr>
                <w:lang w:val="ro-RO"/>
              </w:rPr>
              <w:t>H30</w:t>
            </w:r>
          </w:p>
          <w:p w:rsidR="00B4550A" w:rsidRPr="00E0488D" w:rsidDel="00B129A5" w:rsidRDefault="00B4550A" w:rsidP="003C7FC8">
            <w:pPr>
              <w:jc w:val="center"/>
              <w:rPr>
                <w:lang w:val="ro-RO"/>
              </w:rPr>
            </w:pPr>
            <w:r w:rsidRPr="00E0488D">
              <w:rPr>
                <w:lang w:val="ro-RO"/>
              </w:rPr>
              <w:t>H31</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vitezelor de circulație pe tronsonul Craiova - Lugoj</w:t>
            </w:r>
          </w:p>
        </w:tc>
        <w:tc>
          <w:tcPr>
            <w:tcW w:w="851" w:type="dxa"/>
            <w:shd w:val="clear" w:color="auto" w:fill="auto"/>
            <w:vAlign w:val="center"/>
          </w:tcPr>
          <w:p w:rsidR="00B4550A" w:rsidRPr="00E0488D" w:rsidRDefault="00B4550A" w:rsidP="003C7FC8">
            <w:pPr>
              <w:rPr>
                <w:lang w:val="ro-RO"/>
              </w:rPr>
            </w:pPr>
            <w:r w:rsidRPr="00E0488D">
              <w:rPr>
                <w:lang w:val="ro-RO"/>
              </w:rPr>
              <w:t>OR10</w:t>
            </w:r>
          </w:p>
        </w:tc>
        <w:tc>
          <w:tcPr>
            <w:tcW w:w="3543" w:type="dxa"/>
            <w:shd w:val="clear" w:color="auto" w:fill="auto"/>
            <w:vAlign w:val="center"/>
          </w:tcPr>
          <w:p w:rsidR="00B4550A" w:rsidRPr="00E0488D" w:rsidDel="00B129A5" w:rsidRDefault="00B4550A" w:rsidP="003C7FC8">
            <w:pPr>
              <w:rPr>
                <w:lang w:val="ro-RO"/>
              </w:rPr>
            </w:pPr>
            <w:r w:rsidRPr="00E0488D">
              <w:rPr>
                <w:lang w:val="ro-RO"/>
              </w:rPr>
              <w:t>Craiova-Lugoj</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Del="00B129A5" w:rsidRDefault="00B4550A" w:rsidP="003C7FC8">
            <w:pPr>
              <w:jc w:val="center"/>
              <w:rPr>
                <w:lang w:val="ro-RO"/>
              </w:rPr>
            </w:pPr>
            <w:r w:rsidRPr="00E0488D">
              <w:rPr>
                <w:lang w:val="ro-RO"/>
              </w:rPr>
              <w:t>H28</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Constanta-Tulcea-Braila/Galati</w:t>
            </w:r>
          </w:p>
        </w:tc>
        <w:tc>
          <w:tcPr>
            <w:tcW w:w="851" w:type="dxa"/>
            <w:shd w:val="clear" w:color="auto" w:fill="auto"/>
            <w:vAlign w:val="center"/>
          </w:tcPr>
          <w:p w:rsidR="00B4550A" w:rsidRPr="00E0488D" w:rsidRDefault="00B4550A" w:rsidP="003C7FC8">
            <w:pPr>
              <w:rPr>
                <w:lang w:val="ro-RO"/>
              </w:rPr>
            </w:pPr>
            <w:r w:rsidRPr="00E0488D">
              <w:rPr>
                <w:lang w:val="ro-RO"/>
              </w:rPr>
              <w:t>OR11</w:t>
            </w:r>
          </w:p>
        </w:tc>
        <w:tc>
          <w:tcPr>
            <w:tcW w:w="3543" w:type="dxa"/>
            <w:shd w:val="clear" w:color="auto" w:fill="auto"/>
            <w:vAlign w:val="center"/>
          </w:tcPr>
          <w:p w:rsidR="00B4550A" w:rsidRPr="00E0488D" w:rsidRDefault="00B4550A" w:rsidP="003C7FC8">
            <w:pPr>
              <w:rPr>
                <w:lang w:val="ro-RO"/>
              </w:rPr>
            </w:pPr>
            <w:r w:rsidRPr="00E0488D">
              <w:rPr>
                <w:lang w:val="ro-RO"/>
              </w:rPr>
              <w:t>Constanta-Tulcea-Braila/Galati</w:t>
            </w:r>
          </w:p>
        </w:tc>
        <w:tc>
          <w:tcPr>
            <w:tcW w:w="993" w:type="dxa"/>
            <w:shd w:val="clear" w:color="auto" w:fill="auto"/>
            <w:vAlign w:val="center"/>
          </w:tcPr>
          <w:p w:rsidR="00B4550A" w:rsidRPr="00E0488D" w:rsidRDefault="00B4550A" w:rsidP="003C7FC8">
            <w:pPr>
              <w:jc w:val="center"/>
              <w:rPr>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lang w:val="ro-RO"/>
              </w:rPr>
            </w:pPr>
            <w:r w:rsidRPr="00E0488D">
              <w:rPr>
                <w:lang w:val="ro-RO"/>
              </w:rPr>
              <w:t>Drum expres</w:t>
            </w:r>
          </w:p>
        </w:tc>
        <w:tc>
          <w:tcPr>
            <w:tcW w:w="1701" w:type="dxa"/>
            <w:vAlign w:val="center"/>
          </w:tcPr>
          <w:p w:rsidR="00B4550A" w:rsidRPr="00E0488D" w:rsidRDefault="00B4550A" w:rsidP="003C7FC8">
            <w:pPr>
              <w:jc w:val="center"/>
              <w:rPr>
                <w:lang w:val="ro-RO"/>
              </w:rPr>
            </w:pPr>
            <w:r w:rsidRPr="00E0488D">
              <w:rPr>
                <w:lang w:val="ro-RO"/>
              </w:rPr>
              <w:t>Scheme versus Ref. Case plus L1</w:t>
            </w:r>
          </w:p>
        </w:tc>
        <w:tc>
          <w:tcPr>
            <w:tcW w:w="1134" w:type="dxa"/>
            <w:shd w:val="clear" w:color="auto" w:fill="auto"/>
            <w:vAlign w:val="center"/>
          </w:tcPr>
          <w:p w:rsidR="00B4550A" w:rsidRPr="00E0488D" w:rsidDel="00B129A5" w:rsidRDefault="00B4550A" w:rsidP="003C7FC8">
            <w:pPr>
              <w:jc w:val="center"/>
              <w:rPr>
                <w:lang w:val="ro-RO"/>
              </w:rPr>
            </w:pPr>
            <w:r w:rsidRPr="00E0488D">
              <w:rPr>
                <w:lang w:val="ro-RO"/>
              </w:rPr>
              <w:t>H36</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i/>
                <w:lang w:val="ro-RO"/>
              </w:rPr>
            </w:pPr>
            <w:r w:rsidRPr="00E0488D">
              <w:rPr>
                <w:i/>
                <w:lang w:val="ro-RO"/>
              </w:rPr>
              <w:t xml:space="preserve">Urmează a fi confirmat – rute identificate în urma testării opțiunilor de nivel 1 și opțiunilor de nivel 2 </w:t>
            </w:r>
          </w:p>
        </w:tc>
        <w:tc>
          <w:tcPr>
            <w:tcW w:w="851" w:type="dxa"/>
            <w:shd w:val="clear" w:color="auto" w:fill="auto"/>
            <w:vAlign w:val="center"/>
          </w:tcPr>
          <w:p w:rsidR="00B4550A" w:rsidRPr="00E0488D" w:rsidRDefault="00B4550A" w:rsidP="003C7FC8">
            <w:pPr>
              <w:rPr>
                <w:i/>
                <w:lang w:val="ro-RO"/>
              </w:rPr>
            </w:pPr>
            <w:r w:rsidRPr="00E0488D">
              <w:rPr>
                <w:i/>
                <w:lang w:val="ro-RO"/>
              </w:rPr>
              <w:t>OR12</w:t>
            </w:r>
          </w:p>
        </w:tc>
        <w:tc>
          <w:tcPr>
            <w:tcW w:w="3543" w:type="dxa"/>
            <w:shd w:val="clear" w:color="auto" w:fill="auto"/>
            <w:vAlign w:val="center"/>
          </w:tcPr>
          <w:p w:rsidR="00B4550A" w:rsidRPr="00E0488D" w:rsidDel="00B129A5" w:rsidRDefault="00B4550A" w:rsidP="003C7FC8">
            <w:pPr>
              <w:rPr>
                <w:i/>
                <w:lang w:val="ro-RO"/>
              </w:rPr>
            </w:pPr>
            <w:r w:rsidRPr="00E0488D">
              <w:rPr>
                <w:i/>
                <w:lang w:val="ro-RO"/>
              </w:rPr>
              <w:t>TBC</w:t>
            </w:r>
          </w:p>
        </w:tc>
        <w:tc>
          <w:tcPr>
            <w:tcW w:w="993" w:type="dxa"/>
            <w:shd w:val="clear" w:color="auto" w:fill="auto"/>
            <w:vAlign w:val="center"/>
          </w:tcPr>
          <w:p w:rsidR="00B4550A" w:rsidRPr="00E0488D" w:rsidRDefault="00B4550A" w:rsidP="003C7FC8">
            <w:pPr>
              <w:jc w:val="center"/>
              <w:rPr>
                <w:i/>
                <w:lang w:val="ro-RO"/>
              </w:rPr>
            </w:pPr>
            <w:r w:rsidRPr="00E0488D">
              <w:rPr>
                <w:lang w:val="ro-RO"/>
              </w:rPr>
              <w:t>Da</w:t>
            </w:r>
          </w:p>
        </w:tc>
        <w:tc>
          <w:tcPr>
            <w:tcW w:w="850" w:type="dxa"/>
            <w:shd w:val="clear" w:color="auto" w:fill="auto"/>
            <w:vAlign w:val="center"/>
          </w:tcPr>
          <w:p w:rsidR="00B4550A" w:rsidRPr="00E0488D" w:rsidRDefault="00B4550A" w:rsidP="003C7FC8">
            <w:pPr>
              <w:jc w:val="center"/>
              <w:rPr>
                <w:lang w:val="ro-RO"/>
              </w:rPr>
            </w:pPr>
            <w:r w:rsidRPr="00E0488D">
              <w:rPr>
                <w:lang w:val="ro-RO"/>
              </w:rPr>
              <w:t>TBC</w:t>
            </w:r>
          </w:p>
        </w:tc>
        <w:tc>
          <w:tcPr>
            <w:tcW w:w="1134" w:type="dxa"/>
            <w:shd w:val="clear" w:color="auto" w:fill="auto"/>
            <w:vAlign w:val="center"/>
          </w:tcPr>
          <w:p w:rsidR="00B4550A" w:rsidRPr="00E0488D" w:rsidRDefault="00B4550A" w:rsidP="003C7FC8">
            <w:pPr>
              <w:jc w:val="center"/>
              <w:rPr>
                <w:i/>
                <w:lang w:val="ro-RO"/>
              </w:rPr>
            </w:pPr>
            <w:r w:rsidRPr="00E0488D">
              <w:rPr>
                <w:i/>
                <w:lang w:val="ro-RO"/>
              </w:rPr>
              <w:t>TBC</w:t>
            </w:r>
          </w:p>
        </w:tc>
        <w:tc>
          <w:tcPr>
            <w:tcW w:w="1701" w:type="dxa"/>
            <w:vAlign w:val="center"/>
          </w:tcPr>
          <w:p w:rsidR="00B4550A" w:rsidRPr="00E0488D" w:rsidRDefault="00B4550A" w:rsidP="003C7FC8">
            <w:pPr>
              <w:jc w:val="center"/>
              <w:rPr>
                <w:i/>
                <w:lang w:val="ro-RO"/>
              </w:rPr>
            </w:pPr>
            <w:r w:rsidRPr="00E0488D">
              <w:rPr>
                <w:i/>
                <w:lang w:val="ro-RO"/>
              </w:rPr>
              <w:t>TBC</w:t>
            </w:r>
          </w:p>
        </w:tc>
        <w:tc>
          <w:tcPr>
            <w:tcW w:w="1134" w:type="dxa"/>
            <w:shd w:val="clear" w:color="auto" w:fill="auto"/>
            <w:vAlign w:val="center"/>
          </w:tcPr>
          <w:p w:rsidR="00B4550A" w:rsidRPr="00E0488D" w:rsidDel="00B129A5" w:rsidRDefault="00B4550A" w:rsidP="003C7FC8">
            <w:pPr>
              <w:jc w:val="center"/>
              <w:rPr>
                <w:i/>
                <w:lang w:val="ro-RO"/>
              </w:rPr>
            </w:pPr>
            <w:r w:rsidRPr="00E0488D">
              <w:rPr>
                <w:i/>
                <w:lang w:val="ro-RO"/>
              </w:rPr>
              <w:t>TBC</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shd w:val="clear" w:color="auto" w:fill="auto"/>
            <w:vAlign w:val="center"/>
          </w:tcPr>
          <w:p w:rsidR="00B4550A" w:rsidRPr="00E0488D" w:rsidRDefault="00B4550A" w:rsidP="003C7FC8">
            <w:pPr>
              <w:jc w:val="center"/>
              <w:rPr>
                <w:lang w:val="ro-RO"/>
              </w:rPr>
            </w:pPr>
            <w:r w:rsidRPr="00E0488D">
              <w:rPr>
                <w:lang w:val="ro-RO"/>
              </w:rPr>
              <w:t xml:space="preserve">Timpi de parcurs mari care conduc la servicii necompetitive pe restul segementelor din rețeaua națională </w:t>
            </w:r>
          </w:p>
        </w:tc>
        <w:tc>
          <w:tcPr>
            <w:tcW w:w="3544" w:type="dxa"/>
            <w:shd w:val="clear" w:color="auto" w:fill="auto"/>
            <w:vAlign w:val="center"/>
          </w:tcPr>
          <w:p w:rsidR="00B4550A" w:rsidRPr="00E0488D" w:rsidRDefault="00B4550A" w:rsidP="003C7FC8">
            <w:pPr>
              <w:rPr>
                <w:lang w:val="ro-RO"/>
              </w:rPr>
            </w:pPr>
            <w:r w:rsidRPr="00E0488D">
              <w:rPr>
                <w:lang w:val="ro-RO"/>
              </w:rPr>
              <w:t>Proiecte / Locații identificate ulterior testării proiectelor de Nivel 1 și Nivel 2 și cele pentru rute de ocolire.</w:t>
            </w:r>
          </w:p>
          <w:p w:rsidR="00B4550A" w:rsidRPr="00E0488D" w:rsidRDefault="00B4550A" w:rsidP="003C7FC8">
            <w:pPr>
              <w:rPr>
                <w:lang w:val="ro-RO"/>
              </w:rPr>
            </w:pPr>
            <w:r w:rsidRPr="00E0488D">
              <w:rPr>
                <w:lang w:val="ro-RO"/>
              </w:rPr>
              <w:t xml:space="preserve">Considerarea opțiunilor 2+1  </w:t>
            </w:r>
          </w:p>
        </w:tc>
        <w:tc>
          <w:tcPr>
            <w:tcW w:w="2268" w:type="dxa"/>
            <w:shd w:val="clear" w:color="auto" w:fill="auto"/>
            <w:vAlign w:val="center"/>
          </w:tcPr>
          <w:p w:rsidR="00B4550A" w:rsidRPr="00E0488D" w:rsidRDefault="00B4550A" w:rsidP="003C7FC8">
            <w:pPr>
              <w:rPr>
                <w:i/>
                <w:lang w:val="ro-RO"/>
              </w:rPr>
            </w:pPr>
            <w:r w:rsidRPr="00E0488D">
              <w:rPr>
                <w:i/>
                <w:lang w:val="ro-RO"/>
              </w:rPr>
              <w:t xml:space="preserve">Urmează a fi confirmat – rute identificate în urma testării opțiunilor de nivel 1 și opțiunilor de nivel 2 Testarea variantelor de ocolire </w:t>
            </w:r>
          </w:p>
          <w:p w:rsidR="00B4550A" w:rsidRPr="00E0488D" w:rsidRDefault="00B4550A" w:rsidP="003C7FC8">
            <w:pPr>
              <w:rPr>
                <w:i/>
                <w:highlight w:val="yellow"/>
                <w:lang w:val="ro-RO"/>
              </w:rPr>
            </w:pPr>
          </w:p>
        </w:tc>
        <w:tc>
          <w:tcPr>
            <w:tcW w:w="851" w:type="dxa"/>
            <w:shd w:val="clear" w:color="auto" w:fill="auto"/>
            <w:vAlign w:val="center"/>
          </w:tcPr>
          <w:p w:rsidR="00B4550A" w:rsidRPr="00E0488D" w:rsidRDefault="00B4550A" w:rsidP="003C7FC8">
            <w:pPr>
              <w:ind w:left="720"/>
              <w:contextualSpacing/>
              <w:rPr>
                <w:i/>
                <w:lang w:val="ro-RO"/>
              </w:rPr>
            </w:pPr>
            <w:r w:rsidRPr="00E0488D">
              <w:rPr>
                <w:i/>
                <w:lang w:val="ro-RO"/>
              </w:rPr>
              <w:t>OR13</w:t>
            </w:r>
          </w:p>
        </w:tc>
        <w:tc>
          <w:tcPr>
            <w:tcW w:w="3543" w:type="dxa"/>
            <w:shd w:val="clear" w:color="auto" w:fill="auto"/>
            <w:vAlign w:val="center"/>
          </w:tcPr>
          <w:p w:rsidR="00B4550A" w:rsidRPr="00E0488D" w:rsidRDefault="00B4550A" w:rsidP="003C7FC8">
            <w:pPr>
              <w:rPr>
                <w:i/>
                <w:lang w:val="ro-RO"/>
              </w:rPr>
            </w:pPr>
          </w:p>
        </w:tc>
        <w:tc>
          <w:tcPr>
            <w:tcW w:w="993" w:type="dxa"/>
            <w:shd w:val="clear" w:color="auto" w:fill="auto"/>
            <w:vAlign w:val="center"/>
          </w:tcPr>
          <w:p w:rsidR="00B4550A" w:rsidRPr="00E0488D" w:rsidRDefault="00B4550A" w:rsidP="003C7FC8">
            <w:pPr>
              <w:jc w:val="center"/>
              <w:rPr>
                <w:i/>
                <w:lang w:val="ro-RO"/>
              </w:rPr>
            </w:pPr>
          </w:p>
        </w:tc>
        <w:tc>
          <w:tcPr>
            <w:tcW w:w="850" w:type="dxa"/>
            <w:shd w:val="clear" w:color="auto" w:fill="auto"/>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i/>
                <w:lang w:val="ro-RO"/>
              </w:rPr>
            </w:pPr>
          </w:p>
        </w:tc>
        <w:tc>
          <w:tcPr>
            <w:tcW w:w="1701" w:type="dxa"/>
            <w:vAlign w:val="center"/>
          </w:tcPr>
          <w:p w:rsidR="00B4550A" w:rsidRPr="00E0488D" w:rsidRDefault="00B4550A" w:rsidP="003C7FC8">
            <w:pPr>
              <w:jc w:val="center"/>
              <w:rPr>
                <w:i/>
                <w:lang w:val="ro-RO"/>
              </w:rPr>
            </w:pPr>
          </w:p>
        </w:tc>
        <w:tc>
          <w:tcPr>
            <w:tcW w:w="1134" w:type="dxa"/>
            <w:shd w:val="clear" w:color="auto" w:fill="auto"/>
            <w:vAlign w:val="center"/>
          </w:tcPr>
          <w:p w:rsidR="00B4550A" w:rsidRPr="00E0488D" w:rsidRDefault="00B4550A" w:rsidP="003C7FC8">
            <w:pPr>
              <w:jc w:val="center"/>
              <w:rPr>
                <w:i/>
                <w:lang w:val="ro-RO"/>
              </w:rPr>
            </w:pP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shd w:val="clear" w:color="auto" w:fill="auto"/>
            <w:vAlign w:val="center"/>
          </w:tcPr>
          <w:p w:rsidR="00B4550A" w:rsidRPr="00E0488D" w:rsidRDefault="00B4550A" w:rsidP="003C7FC8">
            <w:pPr>
              <w:jc w:val="center"/>
              <w:rPr>
                <w:lang w:val="ro-RO"/>
              </w:rPr>
            </w:pPr>
            <w:r w:rsidRPr="00E0488D">
              <w:rPr>
                <w:lang w:val="ro-RO"/>
              </w:rPr>
              <w:t>05</w:t>
            </w:r>
          </w:p>
        </w:tc>
        <w:tc>
          <w:tcPr>
            <w:tcW w:w="1417" w:type="dxa"/>
            <w:shd w:val="clear" w:color="auto" w:fill="auto"/>
            <w:vAlign w:val="center"/>
          </w:tcPr>
          <w:p w:rsidR="00B4550A" w:rsidRPr="00E0488D" w:rsidRDefault="00B4550A" w:rsidP="003C7FC8">
            <w:pPr>
              <w:jc w:val="center"/>
              <w:rPr>
                <w:lang w:val="ro-RO"/>
              </w:rPr>
            </w:pPr>
            <w:r w:rsidRPr="00E0488D">
              <w:rPr>
                <w:lang w:val="ro-RO"/>
              </w:rPr>
              <w:t>Management &amp; Operare</w:t>
            </w:r>
          </w:p>
        </w:tc>
        <w:tc>
          <w:tcPr>
            <w:tcW w:w="2268" w:type="dxa"/>
            <w:shd w:val="clear" w:color="auto" w:fill="auto"/>
            <w:vAlign w:val="center"/>
          </w:tcPr>
          <w:p w:rsidR="00B4550A" w:rsidRPr="00E0488D" w:rsidRDefault="00B4550A" w:rsidP="003C7FC8">
            <w:pPr>
              <w:jc w:val="center"/>
              <w:rPr>
                <w:lang w:val="ro-RO"/>
              </w:rPr>
            </w:pPr>
            <w:r w:rsidRPr="00E0488D">
              <w:rPr>
                <w:lang w:val="ro-RO"/>
              </w:rPr>
              <w:t xml:space="preserve">Costuri administrative mari pentru transportatorii locali și naționali provenite din regimuri de taxare complexe și necoordonate </w:t>
            </w:r>
          </w:p>
        </w:tc>
        <w:tc>
          <w:tcPr>
            <w:tcW w:w="3544" w:type="dxa"/>
            <w:shd w:val="clear" w:color="auto" w:fill="auto"/>
            <w:vAlign w:val="center"/>
          </w:tcPr>
          <w:p w:rsidR="00B4550A" w:rsidRPr="00E0488D" w:rsidRDefault="00B4550A" w:rsidP="003C7FC8">
            <w:pPr>
              <w:rPr>
                <w:lang w:val="ro-RO"/>
              </w:rPr>
            </w:pPr>
            <w:r w:rsidRPr="00E0488D">
              <w:rPr>
                <w:lang w:val="ro-RO"/>
              </w:rPr>
              <w:t xml:space="preserve">Lipsa unui regim de taxare coorodnat cu autoritățile locale și municipale care aplică taxe suplimentare peste rovignetă. </w:t>
            </w: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Aceste rovignete nu sunt coorodonate sau ușor de plătit de către transportatorii internaționali sau regionali. </w:t>
            </w:r>
          </w:p>
        </w:tc>
        <w:tc>
          <w:tcPr>
            <w:tcW w:w="2268" w:type="dxa"/>
            <w:shd w:val="clear" w:color="auto" w:fill="auto"/>
            <w:vAlign w:val="center"/>
          </w:tcPr>
          <w:p w:rsidR="00B4550A" w:rsidRPr="00E0488D" w:rsidRDefault="00B4550A" w:rsidP="003C7FC8">
            <w:pPr>
              <w:rPr>
                <w:lang w:val="ro-RO"/>
              </w:rPr>
            </w:pPr>
            <w:r w:rsidRPr="00E0488D">
              <w:rPr>
                <w:lang w:val="ro-RO"/>
              </w:rPr>
              <w:t xml:space="preserve">Minimizarea poverii administrative pentru toate aspectele ce țin de procedurile guvernamentale sau ale industriei de transport, referitor la taxarea vehiculelor de transport mărfuri </w:t>
            </w: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OR14</w:t>
            </w:r>
          </w:p>
        </w:tc>
        <w:tc>
          <w:tcPr>
            <w:tcW w:w="3543" w:type="dxa"/>
            <w:shd w:val="clear" w:color="auto" w:fill="auto"/>
            <w:vAlign w:val="center"/>
          </w:tcPr>
          <w:p w:rsidR="00B4550A" w:rsidRPr="00E0488D" w:rsidRDefault="00B4550A" w:rsidP="003C7FC8">
            <w:pPr>
              <w:rPr>
                <w:lang w:val="ro-RO"/>
              </w:rPr>
            </w:pPr>
            <w:r w:rsidRPr="00E0488D">
              <w:rPr>
                <w:lang w:val="ro-RO"/>
              </w:rPr>
              <w:t xml:space="preserve">Introducerea unui singur sistem de taxare coordonat care să acopere întreaga rețea rutieră. Sistemul va fi accesibil tuturor utilizatorilor potențiali (naționali și internaționali prin intermediul unui program pe internet. Aceasta necesită un act legislativ. Ministerul se va ocupa de distribuirea veniturilor. </w:t>
            </w:r>
          </w:p>
        </w:tc>
        <w:tc>
          <w:tcPr>
            <w:tcW w:w="993" w:type="dxa"/>
            <w:shd w:val="clear" w:color="auto" w:fill="auto"/>
            <w:vAlign w:val="center"/>
          </w:tcPr>
          <w:p w:rsidR="00B4550A" w:rsidRPr="00E0488D" w:rsidRDefault="00B4550A" w:rsidP="003C7FC8">
            <w:pPr>
              <w:jc w:val="center"/>
              <w:rPr>
                <w:lang w:val="ro-RO"/>
              </w:rPr>
            </w:pPr>
            <w:r w:rsidRPr="00E0488D">
              <w:rPr>
                <w:lang w:val="ro-RO"/>
              </w:rPr>
              <w:t>N.A</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H63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shd w:val="clear" w:color="auto" w:fill="auto"/>
            <w:vAlign w:val="center"/>
          </w:tcPr>
          <w:p w:rsidR="00B4550A" w:rsidRPr="00E0488D" w:rsidRDefault="00B4550A" w:rsidP="003C7FC8">
            <w:pPr>
              <w:jc w:val="center"/>
              <w:rPr>
                <w:lang w:val="ro-RO"/>
              </w:rPr>
            </w:pPr>
            <w:r w:rsidRPr="00E0488D">
              <w:rPr>
                <w:lang w:val="ro-RO"/>
              </w:rPr>
              <w:t>06</w:t>
            </w:r>
          </w:p>
        </w:tc>
        <w:tc>
          <w:tcPr>
            <w:tcW w:w="1417" w:type="dxa"/>
            <w:shd w:val="clear" w:color="auto" w:fill="auto"/>
            <w:vAlign w:val="center"/>
          </w:tcPr>
          <w:p w:rsidR="00B4550A" w:rsidRPr="00E0488D" w:rsidRDefault="00B4550A" w:rsidP="003C7FC8">
            <w:pPr>
              <w:jc w:val="center"/>
              <w:rPr>
                <w:lang w:val="ro-RO"/>
              </w:rPr>
            </w:pPr>
            <w:r w:rsidRPr="00E0488D">
              <w:rPr>
                <w:lang w:val="ro-RO"/>
              </w:rPr>
              <w:t>Management &amp; Operare</w:t>
            </w:r>
          </w:p>
        </w:tc>
        <w:tc>
          <w:tcPr>
            <w:tcW w:w="2268" w:type="dxa"/>
            <w:shd w:val="clear" w:color="auto" w:fill="auto"/>
            <w:vAlign w:val="center"/>
          </w:tcPr>
          <w:p w:rsidR="00B4550A" w:rsidRPr="00E0488D" w:rsidRDefault="00B4550A" w:rsidP="003C7FC8">
            <w:pPr>
              <w:jc w:val="center"/>
              <w:rPr>
                <w:lang w:val="ro-RO"/>
              </w:rPr>
            </w:pPr>
            <w:r w:rsidRPr="00E0488D">
              <w:rPr>
                <w:lang w:val="ro-RO"/>
              </w:rPr>
              <w:t xml:space="preserve">Întârzieri excesive la anumite puncte de </w:t>
            </w:r>
            <w:r w:rsidRPr="00E0488D">
              <w:rPr>
                <w:lang w:val="ro-RO"/>
              </w:rPr>
              <w:lastRenderedPageBreak/>
              <w:t xml:space="preserve">trecere a frontierei </w:t>
            </w:r>
          </w:p>
        </w:tc>
        <w:tc>
          <w:tcPr>
            <w:tcW w:w="3544" w:type="dxa"/>
            <w:shd w:val="clear" w:color="auto" w:fill="auto"/>
            <w:vAlign w:val="center"/>
          </w:tcPr>
          <w:p w:rsidR="00B4550A" w:rsidRPr="00E0488D" w:rsidRDefault="00B4550A" w:rsidP="003C7FC8">
            <w:pPr>
              <w:rPr>
                <w:lang w:val="ro-RO"/>
              </w:rPr>
            </w:pPr>
            <w:r w:rsidRPr="00E0488D">
              <w:rPr>
                <w:lang w:val="ro-RO"/>
              </w:rPr>
              <w:lastRenderedPageBreak/>
              <w:t xml:space="preserve">Recomandările din partea guvernului ungar de a evita anumite rute sunt </w:t>
            </w:r>
            <w:r w:rsidRPr="00E0488D">
              <w:rPr>
                <w:lang w:val="ro-RO"/>
              </w:rPr>
              <w:lastRenderedPageBreak/>
              <w:t xml:space="preserve">sprijinite de probe empirice oferite de transportatori, referitoare la vama Nădlac: cozi de 7 km și întârzieri de până la 12 ore. </w:t>
            </w:r>
          </w:p>
          <w:p w:rsidR="00B4550A" w:rsidRPr="00E0488D" w:rsidRDefault="00B4550A" w:rsidP="003C7FC8">
            <w:pPr>
              <w:rPr>
                <w:lang w:val="ro-RO"/>
              </w:rPr>
            </w:pPr>
            <w:r w:rsidRPr="00E0488D">
              <w:rPr>
                <w:lang w:val="ro-RO"/>
              </w:rPr>
              <w:t xml:space="preserve">A se consulta și Anexa F pentru răspunsuri mai detaliate din partea reprezentanților transportatorilor. </w:t>
            </w:r>
          </w:p>
          <w:p w:rsidR="00B4550A" w:rsidRPr="00E0488D" w:rsidRDefault="00B4550A" w:rsidP="003C7FC8">
            <w:pPr>
              <w:rPr>
                <w:lang w:val="ro-RO"/>
              </w:rPr>
            </w:pPr>
            <w:r w:rsidRPr="00E0488D">
              <w:rPr>
                <w:lang w:val="ro-RO"/>
              </w:rPr>
              <w:t xml:space="preserve"> </w:t>
            </w:r>
          </w:p>
        </w:tc>
        <w:tc>
          <w:tcPr>
            <w:tcW w:w="2268" w:type="dxa"/>
            <w:shd w:val="clear" w:color="auto" w:fill="auto"/>
            <w:vAlign w:val="center"/>
          </w:tcPr>
          <w:p w:rsidR="00B4550A" w:rsidRPr="00E0488D" w:rsidRDefault="00B4550A" w:rsidP="003C7FC8">
            <w:pPr>
              <w:rPr>
                <w:lang w:val="ro-RO"/>
              </w:rPr>
            </w:pPr>
            <w:r w:rsidRPr="00E0488D">
              <w:rPr>
                <w:lang w:val="ro-RO"/>
              </w:rPr>
              <w:lastRenderedPageBreak/>
              <w:t xml:space="preserve">Reducerea întârzierilor la punctele de trecere a </w:t>
            </w:r>
            <w:r w:rsidRPr="00E0488D">
              <w:rPr>
                <w:lang w:val="ro-RO"/>
              </w:rPr>
              <w:lastRenderedPageBreak/>
              <w:t>frontierei astfel încât timpul maxim de așteptare pentru orice vehicul să fie de 40 de minute, așa cum este prevăzut în Standardele Europene, TTFSE.</w:t>
            </w:r>
          </w:p>
          <w:p w:rsidR="00B4550A" w:rsidRPr="00E0488D" w:rsidRDefault="00B4550A" w:rsidP="003C7FC8">
            <w:pPr>
              <w:rPr>
                <w:lang w:val="ro-RO"/>
              </w:rPr>
            </w:pP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lastRenderedPageBreak/>
              <w:t>OR15</w:t>
            </w:r>
          </w:p>
        </w:tc>
        <w:tc>
          <w:tcPr>
            <w:tcW w:w="3543" w:type="dxa"/>
            <w:shd w:val="clear" w:color="auto" w:fill="auto"/>
            <w:vAlign w:val="center"/>
          </w:tcPr>
          <w:p w:rsidR="00B4550A" w:rsidRPr="00E0488D" w:rsidRDefault="00B4550A" w:rsidP="003C7FC8">
            <w:pPr>
              <w:rPr>
                <w:lang w:val="ro-RO"/>
              </w:rPr>
            </w:pPr>
            <w:r w:rsidRPr="00E0488D">
              <w:rPr>
                <w:lang w:val="ro-RO"/>
              </w:rPr>
              <w:t xml:space="preserve">Utilizarea sistemelor ITS pentru a oferi informații privind rutele alternative cu o </w:t>
            </w:r>
            <w:r w:rsidRPr="00E0488D">
              <w:rPr>
                <w:lang w:val="ro-RO"/>
              </w:rPr>
              <w:lastRenderedPageBreak/>
              <w:t xml:space="preserve">gestionare mai bună a condițiilor de trecere a frontierei. </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p>
        </w:tc>
        <w:tc>
          <w:tcPr>
            <w:tcW w:w="850" w:type="dxa"/>
            <w:shd w:val="clear" w:color="auto" w:fill="auto"/>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lang w:val="ro-RO"/>
              </w:rPr>
            </w:pPr>
          </w:p>
        </w:tc>
        <w:tc>
          <w:tcPr>
            <w:tcW w:w="1701" w:type="dxa"/>
            <w:vAlign w:val="center"/>
          </w:tcPr>
          <w:p w:rsidR="00B4550A" w:rsidRPr="00E0488D" w:rsidRDefault="00B4550A" w:rsidP="003C7FC8">
            <w:pPr>
              <w:jc w:val="center"/>
              <w:rPr>
                <w:lang w:val="ro-RO"/>
              </w:rPr>
            </w:pPr>
          </w:p>
        </w:tc>
        <w:tc>
          <w:tcPr>
            <w:tcW w:w="1134" w:type="dxa"/>
            <w:shd w:val="clear" w:color="auto" w:fill="auto"/>
            <w:vAlign w:val="center"/>
          </w:tcPr>
          <w:p w:rsidR="00B4550A" w:rsidRPr="00E0488D" w:rsidRDefault="00B4550A" w:rsidP="003C7FC8">
            <w:pPr>
              <w:jc w:val="center"/>
              <w:rPr>
                <w:lang w:val="ro-RO"/>
              </w:rPr>
            </w:pPr>
            <w:r w:rsidRPr="00E0488D">
              <w:rPr>
                <w:lang w:val="ro-RO"/>
              </w:rPr>
              <w:t>H64</w:t>
            </w:r>
          </w:p>
        </w:tc>
      </w:tr>
      <w:tr w:rsidR="00B4550A" w:rsidRPr="00E0488D" w:rsidTr="003C7FC8">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lastRenderedPageBreak/>
              <w:t>Dezvoltare economică (Accesibilitate)</w:t>
            </w:r>
          </w:p>
        </w:tc>
        <w:tc>
          <w:tcPr>
            <w:tcW w:w="676" w:type="dxa"/>
            <w:vMerge w:val="restart"/>
            <w:shd w:val="clear" w:color="auto" w:fill="auto"/>
            <w:vAlign w:val="center"/>
          </w:tcPr>
          <w:p w:rsidR="00B4550A" w:rsidRPr="00E0488D" w:rsidRDefault="00B4550A" w:rsidP="003C7FC8">
            <w:pPr>
              <w:jc w:val="both"/>
              <w:rPr>
                <w:lang w:val="ro-RO"/>
              </w:rPr>
            </w:pPr>
            <w:r w:rsidRPr="00E0488D">
              <w:rPr>
                <w:lang w:val="ro-RO"/>
              </w:rPr>
              <w:t>07</w:t>
            </w:r>
          </w:p>
        </w:tc>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Deficit de infrastructură</w:t>
            </w:r>
          </w:p>
        </w:tc>
        <w:tc>
          <w:tcPr>
            <w:tcW w:w="2268" w:type="dxa"/>
            <w:vMerge w:val="restart"/>
            <w:shd w:val="clear" w:color="auto" w:fill="auto"/>
            <w:vAlign w:val="center"/>
          </w:tcPr>
          <w:p w:rsidR="00B4550A" w:rsidRPr="00E0488D" w:rsidRDefault="00B4550A" w:rsidP="003C7FC8">
            <w:pPr>
              <w:jc w:val="center"/>
              <w:rPr>
                <w:lang w:val="ro-RO"/>
              </w:rPr>
            </w:pPr>
            <w:r w:rsidRPr="00E0488D">
              <w:rPr>
                <w:lang w:val="ro-RO"/>
              </w:rPr>
              <w:t xml:space="preserve">Slab grad de accesibilitate către comerțul internațional din anumite arii  care poate îngreuna  dezvoltarea economică </w:t>
            </w:r>
          </w:p>
          <w:p w:rsidR="00B4550A" w:rsidRPr="00E0488D" w:rsidRDefault="00B4550A" w:rsidP="003C7FC8">
            <w:pPr>
              <w:jc w:val="center"/>
              <w:rPr>
                <w:lang w:val="ro-RO"/>
              </w:rPr>
            </w:pPr>
          </w:p>
        </w:tc>
        <w:tc>
          <w:tcPr>
            <w:tcW w:w="3544" w:type="dxa"/>
            <w:vMerge w:val="restart"/>
            <w:shd w:val="clear" w:color="auto" w:fill="auto"/>
            <w:vAlign w:val="center"/>
          </w:tcPr>
          <w:p w:rsidR="00B4550A" w:rsidRPr="00E0488D" w:rsidRDefault="00B4550A" w:rsidP="003C7FC8">
            <w:pPr>
              <w:rPr>
                <w:lang w:val="ro-RO"/>
              </w:rPr>
            </w:pPr>
            <w:r w:rsidRPr="00E0488D">
              <w:rPr>
                <w:lang w:val="ro-RO"/>
              </w:rPr>
              <w:t>Analiza accesibilității la invel internațional – Figura A6</w:t>
            </w:r>
          </w:p>
        </w:tc>
        <w:tc>
          <w:tcPr>
            <w:tcW w:w="2268" w:type="dxa"/>
            <w:shd w:val="clear" w:color="auto" w:fill="auto"/>
            <w:vAlign w:val="center"/>
          </w:tcPr>
          <w:p w:rsidR="00B4550A" w:rsidRPr="00E0488D" w:rsidRDefault="00B4550A" w:rsidP="003C7FC8">
            <w:pPr>
              <w:rPr>
                <w:lang w:val="ro-RO"/>
              </w:rPr>
            </w:pPr>
            <w:r w:rsidRPr="00E0488D">
              <w:rPr>
                <w:lang w:val="ro-RO"/>
              </w:rPr>
              <w:t>Îmbunătățirea accesibilității către piețele occidentale a regiunii Nord- Est (Iasi/Suceava/Bacau)</w:t>
            </w:r>
          </w:p>
        </w:tc>
        <w:tc>
          <w:tcPr>
            <w:tcW w:w="851" w:type="dxa"/>
            <w:shd w:val="clear" w:color="auto" w:fill="auto"/>
            <w:vAlign w:val="center"/>
          </w:tcPr>
          <w:p w:rsidR="00B4550A" w:rsidRPr="00E0488D" w:rsidRDefault="00B4550A" w:rsidP="003C7FC8">
            <w:pPr>
              <w:jc w:val="center"/>
              <w:rPr>
                <w:lang w:val="ro-RO"/>
              </w:rPr>
            </w:pPr>
            <w:r w:rsidRPr="00E0488D">
              <w:rPr>
                <w:lang w:val="ro-RO"/>
              </w:rPr>
              <w:t>OR16</w:t>
            </w:r>
          </w:p>
        </w:tc>
        <w:tc>
          <w:tcPr>
            <w:tcW w:w="3543" w:type="dxa"/>
            <w:shd w:val="clear" w:color="auto" w:fill="auto"/>
            <w:vAlign w:val="center"/>
          </w:tcPr>
          <w:p w:rsidR="00B4550A" w:rsidRPr="00E0488D" w:rsidRDefault="00B4550A" w:rsidP="003C7FC8">
            <w:pPr>
              <w:jc w:val="center"/>
              <w:rPr>
                <w:lang w:val="ro-RO"/>
              </w:rPr>
            </w:pPr>
            <w:r w:rsidRPr="00E0488D">
              <w:rPr>
                <w:lang w:val="ro-RO"/>
              </w:rPr>
              <w:t>Tratat în cadrul intervențiilor pentru OR3</w:t>
            </w:r>
          </w:p>
        </w:tc>
        <w:tc>
          <w:tcPr>
            <w:tcW w:w="993" w:type="dxa"/>
            <w:shd w:val="clear" w:color="auto" w:fill="auto"/>
            <w:vAlign w:val="center"/>
          </w:tcPr>
          <w:p w:rsidR="00B4550A" w:rsidRPr="00E0488D" w:rsidRDefault="00B4550A" w:rsidP="003C7FC8">
            <w:pPr>
              <w:jc w:val="center"/>
              <w:rPr>
                <w:lang w:val="ro-RO"/>
              </w:rPr>
            </w:pPr>
            <w:r w:rsidRPr="00E0488D">
              <w:rPr>
                <w:lang w:val="ro-RO"/>
              </w:rPr>
              <w:t>Tratat în cadrul  O3</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c>
          <w:tcPr>
            <w:tcW w:w="1701" w:type="dxa"/>
            <w:vAlign w:val="center"/>
          </w:tcPr>
          <w:p w:rsidR="00B4550A" w:rsidRPr="00E0488D" w:rsidRDefault="00B4550A" w:rsidP="003C7FC8">
            <w:pPr>
              <w:spacing w:before="60" w:after="60"/>
              <w:jc w:val="both"/>
              <w:rPr>
                <w:rFonts w:cs="Arial"/>
                <w:sz w:val="20"/>
                <w:szCs w:val="20"/>
                <w:lang w:val="ro-RO"/>
              </w:rPr>
            </w:pP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accesibilității către piețele occidentale a regiunii Braila – Galati</w:t>
            </w:r>
          </w:p>
        </w:tc>
        <w:tc>
          <w:tcPr>
            <w:tcW w:w="851" w:type="dxa"/>
            <w:shd w:val="clear" w:color="auto" w:fill="auto"/>
            <w:vAlign w:val="center"/>
          </w:tcPr>
          <w:p w:rsidR="00B4550A" w:rsidRPr="00E0488D" w:rsidRDefault="00B4550A" w:rsidP="003C7FC8">
            <w:pPr>
              <w:jc w:val="center"/>
              <w:rPr>
                <w:lang w:val="ro-RO"/>
              </w:rPr>
            </w:pPr>
            <w:r w:rsidRPr="00E0488D">
              <w:rPr>
                <w:lang w:val="ro-RO"/>
              </w:rPr>
              <w:t>OR17</w:t>
            </w:r>
          </w:p>
        </w:tc>
        <w:tc>
          <w:tcPr>
            <w:tcW w:w="3543" w:type="dxa"/>
            <w:shd w:val="clear" w:color="auto" w:fill="auto"/>
            <w:vAlign w:val="center"/>
          </w:tcPr>
          <w:p w:rsidR="00B4550A" w:rsidRPr="00E0488D" w:rsidRDefault="00B4550A" w:rsidP="003C7FC8">
            <w:pPr>
              <w:jc w:val="center"/>
              <w:rPr>
                <w:lang w:val="ro-RO"/>
              </w:rPr>
            </w:pPr>
            <w:r w:rsidRPr="00E0488D">
              <w:rPr>
                <w:lang w:val="ro-RO"/>
              </w:rPr>
              <w:t>Tratat în cadrul intervențiilor pentru OR6</w:t>
            </w:r>
          </w:p>
        </w:tc>
        <w:tc>
          <w:tcPr>
            <w:tcW w:w="993" w:type="dxa"/>
            <w:shd w:val="clear" w:color="auto" w:fill="auto"/>
            <w:vAlign w:val="center"/>
          </w:tcPr>
          <w:p w:rsidR="00B4550A" w:rsidRPr="00E0488D" w:rsidRDefault="00B4550A" w:rsidP="003C7FC8">
            <w:pPr>
              <w:jc w:val="center"/>
              <w:rPr>
                <w:lang w:val="ro-RO"/>
              </w:rPr>
            </w:pPr>
            <w:r w:rsidRPr="00E0488D">
              <w:rPr>
                <w:lang w:val="ro-RO"/>
              </w:rPr>
              <w:t>Tratat în cadrul OR6</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c>
          <w:tcPr>
            <w:tcW w:w="1701" w:type="dxa"/>
            <w:vAlign w:val="center"/>
          </w:tcPr>
          <w:p w:rsidR="00B4550A" w:rsidRPr="00E0488D" w:rsidRDefault="00B4550A" w:rsidP="003C7FC8">
            <w:pPr>
              <w:spacing w:before="60" w:after="60"/>
              <w:jc w:val="both"/>
              <w:rPr>
                <w:rFonts w:cs="Arial"/>
                <w:sz w:val="20"/>
                <w:szCs w:val="20"/>
                <w:lang w:val="ro-RO"/>
              </w:rPr>
            </w:pP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accesibilității către piețele occidentale a regiunii Sud-Est (Constanta)</w:t>
            </w:r>
          </w:p>
        </w:tc>
        <w:tc>
          <w:tcPr>
            <w:tcW w:w="851" w:type="dxa"/>
            <w:shd w:val="clear" w:color="auto" w:fill="auto"/>
            <w:vAlign w:val="center"/>
          </w:tcPr>
          <w:p w:rsidR="00B4550A" w:rsidRPr="00E0488D" w:rsidRDefault="00B4550A" w:rsidP="003C7FC8">
            <w:pPr>
              <w:jc w:val="center"/>
              <w:rPr>
                <w:lang w:val="ro-RO"/>
              </w:rPr>
            </w:pPr>
            <w:r w:rsidRPr="00E0488D">
              <w:rPr>
                <w:lang w:val="ro-RO"/>
              </w:rPr>
              <w:t>OR18</w:t>
            </w:r>
          </w:p>
        </w:tc>
        <w:tc>
          <w:tcPr>
            <w:tcW w:w="3543" w:type="dxa"/>
            <w:shd w:val="clear" w:color="auto" w:fill="auto"/>
            <w:vAlign w:val="center"/>
          </w:tcPr>
          <w:p w:rsidR="00B4550A" w:rsidRPr="00E0488D" w:rsidRDefault="00B4550A" w:rsidP="003C7FC8">
            <w:pPr>
              <w:jc w:val="center"/>
              <w:rPr>
                <w:lang w:val="ro-RO"/>
              </w:rPr>
            </w:pPr>
            <w:r w:rsidRPr="00E0488D">
              <w:rPr>
                <w:lang w:val="ro-RO"/>
              </w:rPr>
              <w:t>Tratat în cadrul intervențiilor pentru OR2</w:t>
            </w:r>
          </w:p>
        </w:tc>
        <w:tc>
          <w:tcPr>
            <w:tcW w:w="993" w:type="dxa"/>
            <w:shd w:val="clear" w:color="auto" w:fill="auto"/>
            <w:vAlign w:val="center"/>
          </w:tcPr>
          <w:p w:rsidR="00B4550A" w:rsidRPr="00E0488D" w:rsidRDefault="00B4550A" w:rsidP="003C7FC8">
            <w:pPr>
              <w:jc w:val="center"/>
              <w:rPr>
                <w:lang w:val="ro-RO"/>
              </w:rPr>
            </w:pPr>
            <w:r w:rsidRPr="00E0488D">
              <w:rPr>
                <w:lang w:val="ro-RO"/>
              </w:rPr>
              <w:t>Tratat în cadrul  OR2</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c>
          <w:tcPr>
            <w:tcW w:w="1701" w:type="dxa"/>
            <w:vAlign w:val="center"/>
          </w:tcPr>
          <w:p w:rsidR="00B4550A" w:rsidRPr="00E0488D" w:rsidRDefault="00B4550A" w:rsidP="003C7FC8">
            <w:pPr>
              <w:spacing w:before="60" w:after="60"/>
              <w:jc w:val="both"/>
              <w:rPr>
                <w:rFonts w:cs="Arial"/>
                <w:sz w:val="20"/>
                <w:szCs w:val="20"/>
                <w:lang w:val="ro-RO"/>
              </w:rPr>
            </w:pP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Îmbunătățirea accesibilității către piețele occidentale a regiunii Sud (Craiova)</w:t>
            </w: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jc w:val="center"/>
              <w:rPr>
                <w:lang w:val="ro-RO"/>
              </w:rPr>
            </w:pPr>
            <w:r w:rsidRPr="00E0488D">
              <w:rPr>
                <w:lang w:val="ro-RO"/>
              </w:rPr>
              <w:t>OR19</w:t>
            </w:r>
          </w:p>
        </w:tc>
        <w:tc>
          <w:tcPr>
            <w:tcW w:w="3543" w:type="dxa"/>
            <w:shd w:val="clear" w:color="auto" w:fill="auto"/>
            <w:vAlign w:val="center"/>
          </w:tcPr>
          <w:p w:rsidR="00B4550A" w:rsidRPr="00E0488D" w:rsidRDefault="00B4550A" w:rsidP="003C7FC8">
            <w:pPr>
              <w:jc w:val="center"/>
              <w:rPr>
                <w:lang w:val="ro-RO"/>
              </w:rPr>
            </w:pPr>
            <w:r w:rsidRPr="00E0488D">
              <w:rPr>
                <w:lang w:val="ro-RO"/>
              </w:rPr>
              <w:t>Tratat în cadrul intervențiilor pentru OR10</w:t>
            </w:r>
          </w:p>
        </w:tc>
        <w:tc>
          <w:tcPr>
            <w:tcW w:w="993" w:type="dxa"/>
            <w:shd w:val="clear" w:color="auto" w:fill="auto"/>
            <w:vAlign w:val="center"/>
          </w:tcPr>
          <w:p w:rsidR="00B4550A" w:rsidRPr="00E0488D" w:rsidRDefault="00B4550A" w:rsidP="003C7FC8">
            <w:pPr>
              <w:jc w:val="center"/>
              <w:rPr>
                <w:lang w:val="ro-RO"/>
              </w:rPr>
            </w:pPr>
            <w:r w:rsidRPr="00E0488D">
              <w:rPr>
                <w:lang w:val="ro-RO"/>
              </w:rPr>
              <w:t>Tratat în cadrul  OR10</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c>
          <w:tcPr>
            <w:tcW w:w="1701" w:type="dxa"/>
            <w:vAlign w:val="center"/>
          </w:tcPr>
          <w:p w:rsidR="00B4550A" w:rsidRPr="00E0488D" w:rsidRDefault="00B4550A" w:rsidP="003C7FC8">
            <w:pPr>
              <w:spacing w:before="60" w:after="60"/>
              <w:jc w:val="both"/>
              <w:rPr>
                <w:rFonts w:cs="Arial"/>
                <w:sz w:val="20"/>
                <w:szCs w:val="20"/>
                <w:lang w:val="ro-RO"/>
              </w:rPr>
            </w:pPr>
          </w:p>
        </w:tc>
        <w:tc>
          <w:tcPr>
            <w:tcW w:w="1134" w:type="dxa"/>
            <w:shd w:val="clear" w:color="auto" w:fill="auto"/>
            <w:vAlign w:val="center"/>
          </w:tcPr>
          <w:p w:rsidR="00B4550A" w:rsidRPr="00E0488D" w:rsidRDefault="00B4550A" w:rsidP="003C7FC8">
            <w:pPr>
              <w:spacing w:before="60" w:after="60"/>
              <w:jc w:val="both"/>
              <w:rPr>
                <w:rFonts w:cs="Arial"/>
                <w:sz w:val="20"/>
                <w:szCs w:val="20"/>
                <w:lang w:val="ro-RO"/>
              </w:rPr>
            </w:pPr>
          </w:p>
        </w:tc>
      </w:tr>
      <w:tr w:rsidR="00B4550A" w:rsidRPr="00E0488D" w:rsidTr="003C7FC8">
        <w:tc>
          <w:tcPr>
            <w:tcW w:w="1417" w:type="dxa"/>
            <w:shd w:val="clear" w:color="auto" w:fill="auto"/>
            <w:vAlign w:val="center"/>
          </w:tcPr>
          <w:p w:rsidR="00B4550A" w:rsidRPr="00E0488D" w:rsidRDefault="00B4550A" w:rsidP="003C7FC8">
            <w:pPr>
              <w:jc w:val="center"/>
              <w:rPr>
                <w:lang w:val="ro-RO"/>
              </w:rPr>
            </w:pPr>
            <w:r w:rsidRPr="00E0488D">
              <w:rPr>
                <w:lang w:val="ro-RO"/>
              </w:rPr>
              <w:t>Sustenabilitate de mediu</w:t>
            </w:r>
          </w:p>
        </w:tc>
        <w:tc>
          <w:tcPr>
            <w:tcW w:w="676" w:type="dxa"/>
            <w:shd w:val="clear" w:color="auto" w:fill="auto"/>
            <w:vAlign w:val="center"/>
          </w:tcPr>
          <w:p w:rsidR="00B4550A" w:rsidRPr="00E0488D" w:rsidRDefault="00B4550A" w:rsidP="003C7FC8">
            <w:pPr>
              <w:jc w:val="center"/>
              <w:rPr>
                <w:lang w:val="ro-RO"/>
              </w:rPr>
            </w:pPr>
            <w:r w:rsidRPr="00E0488D">
              <w:rPr>
                <w:lang w:val="ro-RO"/>
              </w:rPr>
              <w:t>08</w:t>
            </w:r>
          </w:p>
        </w:tc>
        <w:tc>
          <w:tcPr>
            <w:tcW w:w="1417" w:type="dxa"/>
            <w:shd w:val="clear" w:color="auto" w:fill="auto"/>
            <w:vAlign w:val="center"/>
          </w:tcPr>
          <w:p w:rsidR="00B4550A" w:rsidRPr="00E0488D" w:rsidRDefault="00B4550A" w:rsidP="003C7FC8">
            <w:pPr>
              <w:jc w:val="center"/>
              <w:rPr>
                <w:lang w:val="ro-RO"/>
              </w:rPr>
            </w:pPr>
            <w:r w:rsidRPr="00E0488D">
              <w:rPr>
                <w:lang w:val="ro-RO"/>
              </w:rPr>
              <w:t>Deficit de infrastructură</w:t>
            </w:r>
          </w:p>
        </w:tc>
        <w:tc>
          <w:tcPr>
            <w:tcW w:w="2268" w:type="dxa"/>
            <w:shd w:val="clear" w:color="auto" w:fill="auto"/>
            <w:vAlign w:val="center"/>
          </w:tcPr>
          <w:p w:rsidR="00B4550A" w:rsidRPr="00E0488D" w:rsidRDefault="00B4550A" w:rsidP="003C7FC8">
            <w:pPr>
              <w:jc w:val="center"/>
              <w:rPr>
                <w:lang w:val="ro-RO"/>
              </w:rPr>
            </w:pPr>
            <w:r w:rsidRPr="00E0488D">
              <w:rPr>
                <w:lang w:val="ro-RO"/>
              </w:rPr>
              <w:t xml:space="preserve">Traficul greu care tranzitează localitățile duce la poluarea aerului și zgomot care afectează comunitățile </w:t>
            </w:r>
          </w:p>
        </w:tc>
        <w:tc>
          <w:tcPr>
            <w:tcW w:w="3544" w:type="dxa"/>
            <w:shd w:val="clear" w:color="auto" w:fill="auto"/>
            <w:vAlign w:val="center"/>
          </w:tcPr>
          <w:p w:rsidR="00B4550A" w:rsidRPr="00E0488D" w:rsidRDefault="00B4550A" w:rsidP="003C7FC8">
            <w:pPr>
              <w:rPr>
                <w:lang w:val="ro-RO"/>
              </w:rPr>
            </w:pPr>
            <w:r w:rsidRPr="00E0488D">
              <w:rPr>
                <w:lang w:val="ro-RO"/>
              </w:rPr>
              <w:t>Analiza celor mai mari volume ale traficului de tranzit (după implementarea cazului de referință, Strategiilor de Nivel 1 și de Nivel 2 pentru a identifica dacă sunt păstrate proiectele potențiale de rute ocolitoare.</w:t>
            </w:r>
          </w:p>
        </w:tc>
        <w:tc>
          <w:tcPr>
            <w:tcW w:w="2268" w:type="dxa"/>
            <w:shd w:val="clear" w:color="auto" w:fill="auto"/>
            <w:vAlign w:val="center"/>
          </w:tcPr>
          <w:p w:rsidR="00B4550A" w:rsidRPr="00E0488D" w:rsidRDefault="00B4550A" w:rsidP="003C7FC8">
            <w:pPr>
              <w:rPr>
                <w:lang w:val="ro-RO"/>
              </w:rPr>
            </w:pPr>
            <w:r w:rsidRPr="00E0488D">
              <w:rPr>
                <w:lang w:val="ro-RO"/>
              </w:rPr>
              <w:t xml:space="preserve">Minimizarea impactului asupra mediului local (zgomot, calitatea aerului) asociate cu infrastructura națională de transport </w:t>
            </w:r>
          </w:p>
        </w:tc>
        <w:tc>
          <w:tcPr>
            <w:tcW w:w="851" w:type="dxa"/>
            <w:shd w:val="clear" w:color="auto" w:fill="auto"/>
            <w:vAlign w:val="center"/>
          </w:tcPr>
          <w:p w:rsidR="00B4550A" w:rsidRPr="00E0488D" w:rsidRDefault="00B4550A" w:rsidP="003C7FC8">
            <w:pPr>
              <w:rPr>
                <w:lang w:val="ro-RO"/>
              </w:rPr>
            </w:pPr>
            <w:r w:rsidRPr="00E0488D">
              <w:rPr>
                <w:lang w:val="ro-RO"/>
              </w:rPr>
              <w:t>OR20</w:t>
            </w:r>
          </w:p>
        </w:tc>
        <w:tc>
          <w:tcPr>
            <w:tcW w:w="3543" w:type="dxa"/>
            <w:shd w:val="clear" w:color="auto" w:fill="auto"/>
            <w:vAlign w:val="center"/>
          </w:tcPr>
          <w:p w:rsidR="00B4550A" w:rsidRPr="00E0488D" w:rsidRDefault="00B4550A" w:rsidP="003C7FC8">
            <w:pPr>
              <w:rPr>
                <w:lang w:val="ro-RO"/>
              </w:rPr>
            </w:pPr>
            <w:r w:rsidRPr="00E0488D">
              <w:rPr>
                <w:lang w:val="ro-RO"/>
              </w:rPr>
              <w:t xml:space="preserve">Concentrarea pe satele cu volume semnificative de trafic după testarea strategiei de Nivel 1 și identificarea și testarea acestora cu ajutorul modelului </w:t>
            </w:r>
          </w:p>
          <w:p w:rsidR="00B4550A" w:rsidRPr="00E0488D" w:rsidRDefault="00B4550A" w:rsidP="003C7FC8">
            <w:pPr>
              <w:rPr>
                <w:lang w:val="ro-RO"/>
              </w:rPr>
            </w:pP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 xml:space="preserve">Da </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TBC</w:t>
            </w:r>
          </w:p>
        </w:tc>
        <w:tc>
          <w:tcPr>
            <w:tcW w:w="1701" w:type="dxa"/>
            <w:vAlign w:val="center"/>
          </w:tcPr>
          <w:p w:rsidR="00B4550A" w:rsidRPr="00E0488D" w:rsidRDefault="00B4550A" w:rsidP="003C7FC8">
            <w:pPr>
              <w:jc w:val="center"/>
              <w:rPr>
                <w:lang w:val="ro-RO"/>
              </w:rPr>
            </w:pPr>
            <w:r w:rsidRPr="00E0488D">
              <w:rPr>
                <w:lang w:val="ro-RO"/>
              </w:rPr>
              <w:t>Individual</w:t>
            </w:r>
          </w:p>
        </w:tc>
        <w:tc>
          <w:tcPr>
            <w:tcW w:w="1134" w:type="dxa"/>
            <w:shd w:val="clear" w:color="auto" w:fill="auto"/>
            <w:vAlign w:val="center"/>
          </w:tcPr>
          <w:p w:rsidR="00B4550A" w:rsidRPr="00E0488D" w:rsidRDefault="00B4550A" w:rsidP="003C7FC8">
            <w:pPr>
              <w:jc w:val="center"/>
              <w:rPr>
                <w:lang w:val="ro-RO"/>
              </w:rPr>
            </w:pPr>
            <w:r w:rsidRPr="00E0488D">
              <w:rPr>
                <w:lang w:val="ro-RO"/>
              </w:rPr>
              <w:t>H90</w:t>
            </w:r>
          </w:p>
        </w:tc>
      </w:tr>
      <w:tr w:rsidR="00B4550A" w:rsidRPr="00E0488D" w:rsidTr="003C7FC8">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Siguranță și securitate</w:t>
            </w:r>
          </w:p>
        </w:tc>
        <w:tc>
          <w:tcPr>
            <w:tcW w:w="676" w:type="dxa"/>
            <w:vMerge w:val="restart"/>
            <w:shd w:val="clear" w:color="auto" w:fill="auto"/>
            <w:vAlign w:val="center"/>
          </w:tcPr>
          <w:p w:rsidR="00B4550A" w:rsidRPr="00E0488D" w:rsidRDefault="00B4550A" w:rsidP="003C7FC8">
            <w:pPr>
              <w:jc w:val="center"/>
              <w:rPr>
                <w:lang w:val="ro-RO"/>
              </w:rPr>
            </w:pPr>
            <w:r w:rsidRPr="00E0488D">
              <w:rPr>
                <w:lang w:val="ro-RO"/>
              </w:rPr>
              <w:t>09</w:t>
            </w:r>
          </w:p>
          <w:p w:rsidR="00B4550A" w:rsidRPr="00E0488D" w:rsidRDefault="00B4550A" w:rsidP="003C7FC8">
            <w:pPr>
              <w:jc w:val="center"/>
              <w:rPr>
                <w:lang w:val="ro-RO"/>
              </w:rPr>
            </w:pPr>
          </w:p>
        </w:tc>
        <w:tc>
          <w:tcPr>
            <w:tcW w:w="1417" w:type="dxa"/>
            <w:vMerge w:val="restart"/>
            <w:shd w:val="clear" w:color="auto" w:fill="auto"/>
            <w:vAlign w:val="center"/>
          </w:tcPr>
          <w:p w:rsidR="00B4550A" w:rsidRPr="00E0488D" w:rsidRDefault="00B4550A" w:rsidP="003C7FC8">
            <w:pPr>
              <w:jc w:val="center"/>
              <w:rPr>
                <w:lang w:val="ro-RO"/>
              </w:rPr>
            </w:pPr>
            <w:r w:rsidRPr="00E0488D">
              <w:rPr>
                <w:lang w:val="ro-RO"/>
              </w:rPr>
              <w:t>Siguranță</w:t>
            </w:r>
          </w:p>
          <w:p w:rsidR="00B4550A" w:rsidRPr="00E0488D" w:rsidRDefault="00B4550A" w:rsidP="003C7FC8">
            <w:pPr>
              <w:jc w:val="center"/>
              <w:rPr>
                <w:lang w:val="ro-RO"/>
              </w:rPr>
            </w:pPr>
          </w:p>
        </w:tc>
        <w:tc>
          <w:tcPr>
            <w:tcW w:w="2268" w:type="dxa"/>
            <w:vMerge w:val="restart"/>
            <w:shd w:val="clear" w:color="auto" w:fill="auto"/>
            <w:vAlign w:val="center"/>
          </w:tcPr>
          <w:p w:rsidR="00B4550A" w:rsidRPr="00E0488D" w:rsidRDefault="00B4550A" w:rsidP="003C7FC8">
            <w:pPr>
              <w:jc w:val="center"/>
              <w:rPr>
                <w:lang w:val="ro-RO"/>
              </w:rPr>
            </w:pPr>
            <w:r w:rsidRPr="00E0488D">
              <w:rPr>
                <w:lang w:val="ro-RO"/>
              </w:rPr>
              <w:t>Rate foarte mari ale accidentelor soldate cu decese pe rețeaua rutieră, în comparație cu alte țări europene</w:t>
            </w:r>
          </w:p>
          <w:p w:rsidR="00B4550A" w:rsidRPr="00E0488D" w:rsidRDefault="00B4550A" w:rsidP="003C7FC8">
            <w:pPr>
              <w:jc w:val="center"/>
              <w:rPr>
                <w:lang w:val="ro-RO"/>
              </w:rPr>
            </w:pPr>
          </w:p>
          <w:p w:rsidR="00B4550A" w:rsidRPr="00E0488D" w:rsidRDefault="00B4550A" w:rsidP="003C7FC8">
            <w:pPr>
              <w:jc w:val="center"/>
              <w:rPr>
                <w:lang w:val="ro-RO"/>
              </w:rPr>
            </w:pPr>
          </w:p>
        </w:tc>
        <w:tc>
          <w:tcPr>
            <w:tcW w:w="3544" w:type="dxa"/>
            <w:vMerge w:val="restart"/>
            <w:shd w:val="clear" w:color="auto" w:fill="auto"/>
            <w:vAlign w:val="center"/>
          </w:tcPr>
          <w:p w:rsidR="00B4550A" w:rsidRPr="00E0488D" w:rsidRDefault="00B4550A" w:rsidP="003C7FC8">
            <w:pPr>
              <w:rPr>
                <w:lang w:val="ro-RO"/>
              </w:rPr>
            </w:pPr>
            <w:r w:rsidRPr="00E0488D">
              <w:rPr>
                <w:lang w:val="ro-RO"/>
              </w:rPr>
              <w:t>Romania înregistrează 259 de decese la 10 mld. Pkm (față de media UE care este de 61) și 466 de decese la un miion de autoturisme (față de media europeană de 126). Este țara cu cele mai slabe rezultate pentru ambii indici. Rețeaua națională înregistrează 50% din totalul accidentelor soldate cu decese.</w:t>
            </w: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28% din accidentele mortale înregistrate pe rețeaua națională menționează “pietoni pe carosabil”, ca factor cauzator. </w:t>
            </w:r>
          </w:p>
          <w:p w:rsidR="00B4550A" w:rsidRPr="00E0488D" w:rsidRDefault="00B4550A" w:rsidP="003C7FC8">
            <w:pPr>
              <w:rPr>
                <w:lang w:val="ro-RO"/>
              </w:rPr>
            </w:pPr>
          </w:p>
          <w:p w:rsidR="00B4550A" w:rsidRPr="00E0488D" w:rsidRDefault="00B4550A" w:rsidP="003C7FC8">
            <w:pPr>
              <w:rPr>
                <w:lang w:val="ro-RO"/>
              </w:rPr>
            </w:pPr>
            <w:r w:rsidRPr="00E0488D">
              <w:rPr>
                <w:lang w:val="ro-RO"/>
              </w:rPr>
              <w:t>O mare proporție a accidentelor înregistrate spre sfârșitul zilei sugerează faptul că oboseala este în multe cazuri, un factor favorizant.</w:t>
            </w:r>
          </w:p>
          <w:p w:rsidR="00B4550A" w:rsidRPr="00E0488D" w:rsidRDefault="00B4550A" w:rsidP="003C7FC8">
            <w:pPr>
              <w:rPr>
                <w:lang w:val="ro-RO"/>
              </w:rPr>
            </w:pPr>
          </w:p>
          <w:p w:rsidR="00B4550A" w:rsidRPr="00E0488D" w:rsidRDefault="00B4550A" w:rsidP="003C7FC8">
            <w:pPr>
              <w:rPr>
                <w:lang w:val="ro-RO"/>
              </w:rPr>
            </w:pPr>
            <w:r w:rsidRPr="00E0488D">
              <w:rPr>
                <w:lang w:val="ro-RO"/>
              </w:rPr>
              <w:t>A se consulta analiza suplimentară din Anexa C: Accidente pietoni și Anexa D: accidente rutiere cu identificarea punctelor negre în Figura C1.</w:t>
            </w: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Procedurile RSA (Road Safety Audits nu sunt aplicate adecvat și sunt ineficiente. Directiva UE  2008/96E/EC a fost transpusă în legislația românească dar normele metodologice care să o însoțească nu au fost emise.  </w:t>
            </w:r>
          </w:p>
        </w:tc>
        <w:tc>
          <w:tcPr>
            <w:tcW w:w="2268" w:type="dxa"/>
            <w:vMerge w:val="restart"/>
            <w:shd w:val="clear" w:color="auto" w:fill="auto"/>
            <w:vAlign w:val="center"/>
          </w:tcPr>
          <w:p w:rsidR="00B4550A" w:rsidRPr="00E0488D" w:rsidRDefault="00B4550A" w:rsidP="003C7FC8">
            <w:pPr>
              <w:rPr>
                <w:lang w:val="ro-RO"/>
              </w:rPr>
            </w:pPr>
            <w:r w:rsidRPr="00E0488D">
              <w:rPr>
                <w:lang w:val="ro-RO"/>
              </w:rPr>
              <w:t>Scăderea la jumătate a ratei accidentelor până în 2020 și la nivelul UE până în 2030</w:t>
            </w: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OR21</w:t>
            </w:r>
          </w:p>
        </w:tc>
        <w:tc>
          <w:tcPr>
            <w:tcW w:w="3543" w:type="dxa"/>
            <w:shd w:val="clear" w:color="auto" w:fill="auto"/>
            <w:vAlign w:val="center"/>
          </w:tcPr>
          <w:p w:rsidR="00B4550A" w:rsidRPr="00E0488D" w:rsidRDefault="00B4550A" w:rsidP="003C7FC8">
            <w:pPr>
              <w:rPr>
                <w:lang w:val="ro-RO"/>
              </w:rPr>
            </w:pPr>
            <w:r w:rsidRPr="00E0488D">
              <w:rPr>
                <w:lang w:val="ro-RO"/>
              </w:rPr>
              <w:t>Infrastructura – sate lineare (pachete , de ex.: constructie trotuare, reducerea vitezei,  mini-sens giratoriu, semafoare la trecerile de pietoni) – vor fi asigurate pentru toate satele lineare cu MZA &gt; 15.000 în 2020 - Scenariul de referință.</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tabs>
                <w:tab w:val="left" w:pos="680"/>
                <w:tab w:val="right" w:leader="dot" w:pos="10291"/>
              </w:tabs>
              <w:ind w:left="1360" w:right="170" w:hanging="680"/>
              <w:jc w:val="center"/>
              <w:rPr>
                <w:lang w:val="ro-RO"/>
              </w:rPr>
            </w:pPr>
            <w:r w:rsidRPr="00E0488D">
              <w:rPr>
                <w:lang w:val="ro-RO"/>
              </w:rPr>
              <w:t>N</w:t>
            </w:r>
          </w:p>
        </w:tc>
        <w:tc>
          <w:tcPr>
            <w:tcW w:w="850" w:type="dxa"/>
            <w:shd w:val="clear" w:color="auto" w:fill="auto"/>
            <w:vAlign w:val="center"/>
          </w:tcPr>
          <w:p w:rsidR="00B4550A" w:rsidRPr="00E0488D" w:rsidRDefault="00B4550A" w:rsidP="003C7FC8">
            <w:pPr>
              <w:tabs>
                <w:tab w:val="left" w:pos="680"/>
                <w:tab w:val="right" w:leader="dot" w:pos="10291"/>
              </w:tabs>
              <w:ind w:left="1360" w:right="170" w:hanging="680"/>
              <w:jc w:val="center"/>
              <w:rPr>
                <w:lang w:val="ro-RO"/>
              </w:rPr>
            </w:pPr>
            <w:r w:rsidRPr="00E0488D">
              <w:rPr>
                <w:lang w:val="ro-RO"/>
              </w:rPr>
              <w:t>n/a</w:t>
            </w:r>
          </w:p>
        </w:tc>
        <w:tc>
          <w:tcPr>
            <w:tcW w:w="1134" w:type="dxa"/>
            <w:shd w:val="clear" w:color="auto" w:fill="auto"/>
            <w:vAlign w:val="center"/>
          </w:tcPr>
          <w:p w:rsidR="00B4550A" w:rsidRPr="00E0488D" w:rsidRDefault="00B4550A" w:rsidP="003C7FC8">
            <w:pPr>
              <w:tabs>
                <w:tab w:val="left" w:pos="680"/>
                <w:tab w:val="right" w:leader="dot" w:pos="10291"/>
              </w:tabs>
              <w:ind w:left="1360" w:right="170" w:hanging="680"/>
              <w:jc w:val="center"/>
              <w:rPr>
                <w:lang w:val="ro-RO"/>
              </w:rPr>
            </w:pPr>
            <w:r w:rsidRPr="00E0488D">
              <w:rPr>
                <w:lang w:val="ro-RO"/>
              </w:rPr>
              <w:t>n/a</w:t>
            </w:r>
          </w:p>
        </w:tc>
        <w:tc>
          <w:tcPr>
            <w:tcW w:w="1701" w:type="dxa"/>
            <w:vAlign w:val="center"/>
          </w:tcPr>
          <w:p w:rsidR="00B4550A" w:rsidRPr="00E0488D" w:rsidRDefault="00B4550A" w:rsidP="003C7FC8">
            <w:pPr>
              <w:tabs>
                <w:tab w:val="left" w:pos="680"/>
                <w:tab w:val="right" w:leader="dot" w:pos="10291"/>
              </w:tabs>
              <w:ind w:left="1360" w:right="170" w:hanging="680"/>
              <w:jc w:val="center"/>
              <w:rPr>
                <w:lang w:val="ro-RO"/>
              </w:rPr>
            </w:pPr>
            <w:r w:rsidRPr="00E0488D">
              <w:rPr>
                <w:lang w:val="ro-RO"/>
              </w:rPr>
              <w:t>n/a</w:t>
            </w:r>
          </w:p>
        </w:tc>
        <w:tc>
          <w:tcPr>
            <w:tcW w:w="1134" w:type="dxa"/>
            <w:shd w:val="clear" w:color="auto" w:fill="auto"/>
            <w:vAlign w:val="center"/>
          </w:tcPr>
          <w:p w:rsidR="00B4550A" w:rsidRPr="00E0488D" w:rsidRDefault="00B4550A" w:rsidP="003C7FC8">
            <w:pPr>
              <w:tabs>
                <w:tab w:val="left" w:pos="680"/>
                <w:tab w:val="right" w:leader="dot" w:pos="10291"/>
              </w:tabs>
              <w:ind w:left="1360" w:right="170" w:hanging="680"/>
              <w:jc w:val="center"/>
              <w:rPr>
                <w:lang w:val="ro-RO"/>
              </w:rPr>
            </w:pPr>
            <w:r w:rsidRPr="00E0488D">
              <w:rPr>
                <w:lang w:val="ro-RO"/>
              </w:rPr>
              <w:t>H91</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OR22</w:t>
            </w:r>
          </w:p>
        </w:tc>
        <w:tc>
          <w:tcPr>
            <w:tcW w:w="3543" w:type="dxa"/>
            <w:shd w:val="clear" w:color="auto" w:fill="auto"/>
            <w:vAlign w:val="center"/>
          </w:tcPr>
          <w:p w:rsidR="00B4550A" w:rsidRPr="00E0488D" w:rsidRDefault="00B4550A" w:rsidP="003C7FC8">
            <w:pPr>
              <w:rPr>
                <w:lang w:val="ro-RO"/>
              </w:rPr>
            </w:pPr>
            <w:r w:rsidRPr="00E0488D">
              <w:rPr>
                <w:lang w:val="ro-RO"/>
              </w:rPr>
              <w:t xml:space="preserve">Infrastructura – construire bariere de siguranță (ex. New Jersey) pe toate drumurile 2x2 – realizarea unor studii de fezabilitate separate pentru identificarea și stabilirea costurilor pentru </w:t>
            </w:r>
          </w:p>
          <w:p w:rsidR="00B4550A" w:rsidRPr="00E0488D" w:rsidRDefault="00B4550A" w:rsidP="003C7FC8">
            <w:pPr>
              <w:rPr>
                <w:lang w:val="ro-RO"/>
              </w:rPr>
            </w:pPr>
            <w:r w:rsidRPr="00E0488D">
              <w:rPr>
                <w:lang w:val="ro-RO"/>
              </w:rPr>
              <w:t>building safety barriers (e.g. New Jersey) on all 2x2 roads – undertake separate feasibility study to identify + cost all the respective sections.</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H92</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OR23</w:t>
            </w:r>
          </w:p>
        </w:tc>
        <w:tc>
          <w:tcPr>
            <w:tcW w:w="3543" w:type="dxa"/>
            <w:shd w:val="clear" w:color="auto" w:fill="auto"/>
            <w:vAlign w:val="center"/>
          </w:tcPr>
          <w:p w:rsidR="00B4550A" w:rsidRPr="00E0488D" w:rsidRDefault="00B4550A" w:rsidP="003C7FC8">
            <w:pPr>
              <w:rPr>
                <w:lang w:val="ro-RO"/>
              </w:rPr>
            </w:pPr>
            <w:r w:rsidRPr="00E0488D">
              <w:rPr>
                <w:lang w:val="ro-RO"/>
              </w:rPr>
              <w:t xml:space="preserve">Infrastructura– probleme specifice punctuale: identificarea acțiunilor pentru eliminarea punctelor negre prin studierea și proiectarea măsurior de îmbunătățire a siguranței ca măsură pentru abordarea punctelor negre identificate în Figura C1 (excluzând punctele negre care vor fi eliminate prin intermediul proiectelor de Nivel 1 și Nivel 2). </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H93</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OR24</w:t>
            </w:r>
          </w:p>
        </w:tc>
        <w:tc>
          <w:tcPr>
            <w:tcW w:w="3543" w:type="dxa"/>
            <w:shd w:val="clear" w:color="auto" w:fill="auto"/>
            <w:vAlign w:val="center"/>
          </w:tcPr>
          <w:p w:rsidR="00B4550A" w:rsidRPr="00E0488D" w:rsidRDefault="00B4550A" w:rsidP="003C7FC8">
            <w:pPr>
              <w:rPr>
                <w:lang w:val="ro-RO"/>
              </w:rPr>
            </w:pPr>
            <w:r w:rsidRPr="00E0488D">
              <w:rPr>
                <w:lang w:val="ro-RO"/>
              </w:rPr>
              <w:t>Infrastructura: Asigurarea unor zone adecvate de odihnă în anumite puncte pe rețeaua națională plasate la o distanță de maximum 2 ore de condus .</w:t>
            </w:r>
          </w:p>
          <w:p w:rsidR="00B4550A" w:rsidRPr="00E0488D" w:rsidRDefault="00B4550A" w:rsidP="003C7FC8">
            <w:pPr>
              <w:rPr>
                <w:lang w:val="ro-RO"/>
              </w:rPr>
            </w:pPr>
            <w:r w:rsidRPr="00E0488D">
              <w:rPr>
                <w:lang w:val="ro-RO"/>
              </w:rPr>
              <w:t xml:space="preserve"> </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H94</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OR25</w:t>
            </w:r>
          </w:p>
        </w:tc>
        <w:tc>
          <w:tcPr>
            <w:tcW w:w="3543" w:type="dxa"/>
            <w:shd w:val="clear" w:color="auto" w:fill="auto"/>
            <w:vAlign w:val="center"/>
          </w:tcPr>
          <w:p w:rsidR="00B4550A" w:rsidRPr="00E0488D" w:rsidRDefault="00B4550A" w:rsidP="003C7FC8">
            <w:pPr>
              <w:rPr>
                <w:lang w:val="ro-RO"/>
              </w:rPr>
            </w:pPr>
            <w:r w:rsidRPr="00E0488D">
              <w:rPr>
                <w:lang w:val="ro-RO"/>
              </w:rPr>
              <w:t>Creșterea siguranței și securității operarii vehiculelor grele de marfă (HGV) la nivelul corespunzător recomandărilor din Directiva 2008/96/EC și Directiva 2010/40/EU (Articolul 3) care necesită asigurarea serviciilor de informare și rezervare pentru locuri de parcare sigure și securizatepentru camioane și vehicule comerciale..</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H95</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Del="008B41CE" w:rsidRDefault="00B4550A" w:rsidP="003C7FC8">
            <w:pPr>
              <w:rPr>
                <w:lang w:val="ro-RO"/>
              </w:rPr>
            </w:pPr>
            <w:r w:rsidRPr="00E0488D">
              <w:rPr>
                <w:lang w:val="ro-RO"/>
              </w:rPr>
              <w:t>OR26</w:t>
            </w:r>
          </w:p>
        </w:tc>
        <w:tc>
          <w:tcPr>
            <w:tcW w:w="3543" w:type="dxa"/>
            <w:shd w:val="clear" w:color="auto" w:fill="auto"/>
            <w:vAlign w:val="center"/>
          </w:tcPr>
          <w:p w:rsidR="00B4550A" w:rsidRPr="00E0488D" w:rsidRDefault="00B4550A" w:rsidP="003C7FC8">
            <w:pPr>
              <w:rPr>
                <w:lang w:val="ro-RO"/>
              </w:rPr>
            </w:pPr>
            <w:r w:rsidRPr="00E0488D">
              <w:rPr>
                <w:lang w:val="ro-RO"/>
              </w:rPr>
              <w:t>Asigurarea aplicării eficiente a procedurilor RSA prin introducerea Normelor Metodologice însoțitoare și prin aplicarea acestora în toate fazele de proiect.</w:t>
            </w:r>
          </w:p>
          <w:p w:rsidR="00B4550A" w:rsidRPr="00E0488D" w:rsidRDefault="00B4550A" w:rsidP="003C7FC8">
            <w:pPr>
              <w:rPr>
                <w:lang w:val="ro-RO"/>
              </w:rPr>
            </w:pP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H96</w:t>
            </w:r>
          </w:p>
        </w:tc>
      </w:tr>
      <w:tr w:rsidR="00B4550A" w:rsidRPr="00E0488D" w:rsidTr="003C7FC8">
        <w:tc>
          <w:tcPr>
            <w:tcW w:w="1417" w:type="dxa"/>
            <w:vMerge/>
            <w:shd w:val="clear" w:color="auto" w:fill="auto"/>
            <w:vAlign w:val="center"/>
          </w:tcPr>
          <w:p w:rsidR="00B4550A" w:rsidRPr="00E0488D" w:rsidRDefault="00B4550A" w:rsidP="003C7FC8">
            <w:pPr>
              <w:jc w:val="center"/>
              <w:rPr>
                <w:lang w:val="ro-RO"/>
              </w:rPr>
            </w:pPr>
          </w:p>
        </w:tc>
        <w:tc>
          <w:tcPr>
            <w:tcW w:w="676" w:type="dxa"/>
            <w:vMerge/>
            <w:shd w:val="clear" w:color="auto" w:fill="auto"/>
            <w:vAlign w:val="center"/>
          </w:tcPr>
          <w:p w:rsidR="00B4550A" w:rsidRPr="00E0488D" w:rsidRDefault="00B4550A" w:rsidP="003C7FC8">
            <w:pPr>
              <w:jc w:val="center"/>
              <w:rPr>
                <w:lang w:val="ro-RO"/>
              </w:rPr>
            </w:pPr>
          </w:p>
        </w:tc>
        <w:tc>
          <w:tcPr>
            <w:tcW w:w="1417" w:type="dxa"/>
            <w:vMerge/>
            <w:shd w:val="clear" w:color="auto" w:fill="auto"/>
            <w:vAlign w:val="center"/>
          </w:tcPr>
          <w:p w:rsidR="00B4550A" w:rsidRPr="00E0488D" w:rsidRDefault="00B4550A" w:rsidP="003C7FC8">
            <w:pPr>
              <w:jc w:val="center"/>
              <w:rPr>
                <w:lang w:val="ro-RO"/>
              </w:rPr>
            </w:pPr>
          </w:p>
        </w:tc>
        <w:tc>
          <w:tcPr>
            <w:tcW w:w="2268" w:type="dxa"/>
            <w:vMerge/>
            <w:shd w:val="clear" w:color="auto" w:fill="auto"/>
            <w:vAlign w:val="center"/>
          </w:tcPr>
          <w:p w:rsidR="00B4550A" w:rsidRPr="00E0488D" w:rsidRDefault="00B4550A" w:rsidP="003C7FC8">
            <w:pPr>
              <w:jc w:val="center"/>
              <w:rPr>
                <w:lang w:val="ro-RO"/>
              </w:rPr>
            </w:pPr>
          </w:p>
        </w:tc>
        <w:tc>
          <w:tcPr>
            <w:tcW w:w="3544" w:type="dxa"/>
            <w:vMerge/>
            <w:shd w:val="clear" w:color="auto" w:fill="auto"/>
            <w:vAlign w:val="center"/>
          </w:tcPr>
          <w:p w:rsidR="00B4550A" w:rsidRPr="00E0488D" w:rsidRDefault="00B4550A" w:rsidP="003C7FC8">
            <w:pPr>
              <w:rPr>
                <w:lang w:val="ro-RO"/>
              </w:rPr>
            </w:pPr>
          </w:p>
        </w:tc>
        <w:tc>
          <w:tcPr>
            <w:tcW w:w="2268" w:type="dxa"/>
            <w:vMerge/>
            <w:shd w:val="clear" w:color="auto" w:fill="auto"/>
            <w:vAlign w:val="center"/>
          </w:tcPr>
          <w:p w:rsidR="00B4550A" w:rsidRPr="00E0488D" w:rsidRDefault="00B4550A" w:rsidP="003C7FC8">
            <w:pPr>
              <w:rPr>
                <w:lang w:val="ro-RO"/>
              </w:rPr>
            </w:pPr>
          </w:p>
        </w:tc>
        <w:tc>
          <w:tcPr>
            <w:tcW w:w="851" w:type="dxa"/>
            <w:shd w:val="clear" w:color="auto" w:fill="auto"/>
            <w:vAlign w:val="center"/>
          </w:tcPr>
          <w:p w:rsidR="00B4550A" w:rsidRPr="00E0488D" w:rsidDel="008B41CE" w:rsidRDefault="00B4550A" w:rsidP="003C7FC8">
            <w:pPr>
              <w:rPr>
                <w:lang w:val="ro-RO"/>
              </w:rPr>
            </w:pPr>
            <w:r w:rsidRPr="00E0488D">
              <w:rPr>
                <w:lang w:val="ro-RO"/>
              </w:rPr>
              <w:t>OR27</w:t>
            </w:r>
          </w:p>
        </w:tc>
        <w:tc>
          <w:tcPr>
            <w:tcW w:w="3543" w:type="dxa"/>
            <w:shd w:val="clear" w:color="auto" w:fill="auto"/>
            <w:vAlign w:val="center"/>
          </w:tcPr>
          <w:p w:rsidR="00B4550A" w:rsidRPr="00E0488D" w:rsidRDefault="00B4550A" w:rsidP="003C7FC8">
            <w:pPr>
              <w:rPr>
                <w:lang w:val="ro-RO"/>
              </w:rPr>
            </w:pPr>
            <w:r w:rsidRPr="00E0488D">
              <w:rPr>
                <w:lang w:val="ro-RO"/>
              </w:rPr>
              <w:t>Revizuirea structurii instituționale a Consiliului Inter-Ministerial Pentru Siguranța Traficului – în prezent condus operațional (de un Secretariat executiv) la nivel prea scăzut (o unitate a ARR)și astfel, incapabil să acționeze eficient atât în ce privește crearea de politici, coorodnarea înter-instituțională (Poliția Rutieră, CNADNR, RAR) cât și la nivel de aplicare/implementare a reglementărilor</w:t>
            </w: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Pentru a fi eficient, Secretariatului ar trebui să i se acorde o mai mare autoritate și vizibilitate, (de ex. subordonat direct cabinetului PM) </w:t>
            </w: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La nivel operațional Secretariatul ar trebui sprijinit prin intermediul AT specializate pentru diagnoza situației și identificarea unui Plan de Acțiune puternic și cuprinzător. </w:t>
            </w: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H97</w:t>
            </w:r>
          </w:p>
        </w:tc>
      </w:tr>
      <w:tr w:rsidR="00B4550A" w:rsidRPr="00E0488D" w:rsidTr="003C7FC8">
        <w:tc>
          <w:tcPr>
            <w:tcW w:w="1417" w:type="dxa"/>
            <w:shd w:val="clear" w:color="auto" w:fill="auto"/>
            <w:vAlign w:val="center"/>
          </w:tcPr>
          <w:p w:rsidR="00B4550A" w:rsidRPr="00E0488D" w:rsidRDefault="00B4550A" w:rsidP="003C7FC8">
            <w:pPr>
              <w:jc w:val="center"/>
              <w:rPr>
                <w:lang w:val="ro-RO"/>
              </w:rPr>
            </w:pPr>
          </w:p>
        </w:tc>
        <w:tc>
          <w:tcPr>
            <w:tcW w:w="676" w:type="dxa"/>
            <w:shd w:val="clear" w:color="auto" w:fill="auto"/>
            <w:vAlign w:val="center"/>
          </w:tcPr>
          <w:p w:rsidR="00B4550A" w:rsidRPr="00E0488D" w:rsidRDefault="00B4550A" w:rsidP="003C7FC8">
            <w:pPr>
              <w:jc w:val="center"/>
              <w:rPr>
                <w:lang w:val="ro-RO"/>
              </w:rPr>
            </w:pPr>
            <w:r w:rsidRPr="00E0488D">
              <w:rPr>
                <w:lang w:val="ro-RO"/>
              </w:rPr>
              <w:t>10</w:t>
            </w:r>
          </w:p>
        </w:tc>
        <w:tc>
          <w:tcPr>
            <w:tcW w:w="1417" w:type="dxa"/>
            <w:shd w:val="clear" w:color="auto" w:fill="auto"/>
            <w:vAlign w:val="center"/>
          </w:tcPr>
          <w:p w:rsidR="00B4550A" w:rsidRPr="00E0488D" w:rsidRDefault="00B4550A" w:rsidP="003C7FC8">
            <w:pPr>
              <w:jc w:val="center"/>
              <w:rPr>
                <w:lang w:val="ro-RO"/>
              </w:rPr>
            </w:pPr>
            <w:r w:rsidRPr="00E0488D">
              <w:rPr>
                <w:lang w:val="ro-RO"/>
              </w:rPr>
              <w:t>Securitate</w:t>
            </w:r>
          </w:p>
        </w:tc>
        <w:tc>
          <w:tcPr>
            <w:tcW w:w="2268" w:type="dxa"/>
            <w:shd w:val="clear" w:color="auto" w:fill="auto"/>
            <w:vAlign w:val="center"/>
          </w:tcPr>
          <w:p w:rsidR="00B4550A" w:rsidRPr="00E0488D" w:rsidRDefault="00B4550A" w:rsidP="003C7FC8">
            <w:pPr>
              <w:jc w:val="center"/>
              <w:rPr>
                <w:lang w:val="ro-RO"/>
              </w:rPr>
            </w:pPr>
            <w:r w:rsidRPr="00E0488D">
              <w:rPr>
                <w:lang w:val="ro-RO"/>
              </w:rPr>
              <w:t>Lipsa parcărilor sigure și securizate pentru vehiculele de mărfuri</w:t>
            </w:r>
          </w:p>
          <w:p w:rsidR="00B4550A" w:rsidRPr="00E0488D" w:rsidRDefault="00B4550A" w:rsidP="003C7FC8">
            <w:pPr>
              <w:jc w:val="center"/>
              <w:rPr>
                <w:lang w:val="ro-RO"/>
              </w:rPr>
            </w:pPr>
          </w:p>
          <w:p w:rsidR="00B4550A" w:rsidRPr="00E0488D" w:rsidRDefault="00B4550A" w:rsidP="003C7FC8">
            <w:pPr>
              <w:jc w:val="center"/>
              <w:rPr>
                <w:lang w:val="ro-RO"/>
              </w:rPr>
            </w:pPr>
          </w:p>
        </w:tc>
        <w:tc>
          <w:tcPr>
            <w:tcW w:w="3544" w:type="dxa"/>
            <w:shd w:val="clear" w:color="auto" w:fill="auto"/>
            <w:vAlign w:val="center"/>
          </w:tcPr>
          <w:p w:rsidR="00B4550A" w:rsidRPr="00E0488D" w:rsidRDefault="00B4550A" w:rsidP="003C7FC8">
            <w:pPr>
              <w:rPr>
                <w:lang w:val="ro-RO"/>
              </w:rPr>
            </w:pPr>
            <w:r w:rsidRPr="00E0488D">
              <w:rPr>
                <w:lang w:val="ro-RO"/>
              </w:rPr>
              <w:t>În prezent nu există nici un fel de prevederi pentru parcarea sigură a camioanelor de marfă, nici măcar în cadrul noilor proiecte de autostrăzi. Aceasta reaprezintă o problemă de siguranță și securitate pentru transportatorii de marfă și alți utilizatori ai drumurilor și impune asupra sistemului costuri care nu sunt necesare.</w:t>
            </w:r>
          </w:p>
          <w:p w:rsidR="00B4550A" w:rsidRPr="00E0488D" w:rsidRDefault="00B4550A" w:rsidP="003C7FC8">
            <w:pPr>
              <w:rPr>
                <w:lang w:val="ro-RO"/>
              </w:rPr>
            </w:pPr>
          </w:p>
          <w:p w:rsidR="00B4550A" w:rsidRPr="00E0488D" w:rsidRDefault="00B4550A" w:rsidP="003C7FC8">
            <w:pPr>
              <w:rPr>
                <w:lang w:val="ro-RO"/>
              </w:rPr>
            </w:pPr>
          </w:p>
          <w:p w:rsidR="00B4550A" w:rsidRPr="00E0488D" w:rsidRDefault="00B4550A" w:rsidP="003C7FC8">
            <w:pPr>
              <w:rPr>
                <w:lang w:val="ro-RO"/>
              </w:rPr>
            </w:pPr>
            <w:r w:rsidRPr="00E0488D">
              <w:rPr>
                <w:lang w:val="ro-RO"/>
              </w:rPr>
              <w:t xml:space="preserve">Directiva 2008/96/EC și Directiva 2010/40/EU (Articolul 3) solicită asigurarea serviciilor de informare și rezervări pentru parcări sigure și securizate pentru camioane și vehicule comerciale. </w:t>
            </w:r>
          </w:p>
          <w:p w:rsidR="00B4550A" w:rsidRPr="00E0488D" w:rsidRDefault="00B4550A" w:rsidP="003C7FC8">
            <w:pPr>
              <w:rPr>
                <w:lang w:val="ro-RO"/>
              </w:rPr>
            </w:pPr>
          </w:p>
          <w:p w:rsidR="00B4550A" w:rsidRPr="00E0488D" w:rsidRDefault="00B4550A" w:rsidP="003C7FC8">
            <w:pPr>
              <w:rPr>
                <w:lang w:val="ro-RO"/>
              </w:rPr>
            </w:pPr>
          </w:p>
        </w:tc>
        <w:tc>
          <w:tcPr>
            <w:tcW w:w="2268" w:type="dxa"/>
            <w:shd w:val="clear" w:color="auto" w:fill="auto"/>
            <w:vAlign w:val="center"/>
          </w:tcPr>
          <w:p w:rsidR="00B4550A" w:rsidRPr="00E0488D" w:rsidRDefault="00B4550A" w:rsidP="003C7FC8">
            <w:pPr>
              <w:rPr>
                <w:lang w:val="ro-RO"/>
              </w:rPr>
            </w:pPr>
            <w:r w:rsidRPr="00E0488D">
              <w:rPr>
                <w:lang w:val="ro-RO"/>
              </w:rPr>
              <w:t xml:space="preserve">Creșterea gradului de siguranță și securitate a operării vehiculelor de marfă la nivelul cerințelor și practicilor europene. </w:t>
            </w:r>
          </w:p>
          <w:p w:rsidR="00B4550A" w:rsidRPr="00E0488D" w:rsidRDefault="00B4550A" w:rsidP="003C7FC8">
            <w:pPr>
              <w:rPr>
                <w:lang w:val="ro-RO"/>
              </w:rPr>
            </w:pPr>
          </w:p>
        </w:tc>
        <w:tc>
          <w:tcPr>
            <w:tcW w:w="851" w:type="dxa"/>
            <w:shd w:val="clear" w:color="auto" w:fill="auto"/>
            <w:vAlign w:val="center"/>
          </w:tcPr>
          <w:p w:rsidR="00B4550A" w:rsidRPr="00E0488D" w:rsidRDefault="00B4550A" w:rsidP="003C7FC8">
            <w:pPr>
              <w:rPr>
                <w:lang w:val="ro-RO"/>
              </w:rPr>
            </w:pPr>
            <w:r w:rsidRPr="00E0488D">
              <w:rPr>
                <w:lang w:val="ro-RO"/>
              </w:rPr>
              <w:t>OR28</w:t>
            </w:r>
          </w:p>
        </w:tc>
        <w:tc>
          <w:tcPr>
            <w:tcW w:w="3543" w:type="dxa"/>
            <w:shd w:val="clear" w:color="auto" w:fill="auto"/>
            <w:vAlign w:val="center"/>
          </w:tcPr>
          <w:p w:rsidR="00B4550A" w:rsidRPr="00E0488D" w:rsidRDefault="00B4550A" w:rsidP="003C7FC8">
            <w:pPr>
              <w:rPr>
                <w:lang w:val="ro-RO"/>
              </w:rPr>
            </w:pPr>
            <w:r w:rsidRPr="00E0488D">
              <w:rPr>
                <w:lang w:val="ro-RO"/>
              </w:rPr>
              <w:t xml:space="preserve">Ex. Reglementarea1315/2013 solicită </w:t>
            </w:r>
          </w:p>
          <w:p w:rsidR="00B4550A" w:rsidRPr="00E0488D" w:rsidRDefault="00B4550A" w:rsidP="003C7FC8">
            <w:pPr>
              <w:rPr>
                <w:lang w:val="ro-RO"/>
              </w:rPr>
            </w:pPr>
            <w:r w:rsidRPr="00E0488D">
              <w:rPr>
                <w:lang w:val="ro-RO"/>
              </w:rPr>
              <w:t xml:space="preserve">Pentru rețeaua TEN-T zone potrivite de parcare plasate la fiecare 100 de km – Deoarece întreaga rețea TEN-T (Core și Comprehensive) cuprinde aproximativ 4.900 km, aceasta implică 49 de astfel de unități sau, doar pentru rețeaua Core, de 27. Costurile unitare pentru o zonă de servicii sunt de aproximativ 20 miloane de Euro, deci costul total ar fi de 540de milioane de EUR pentru rețeaua CORE și 980 de milioane pentru core și comprehensive.  </w:t>
            </w:r>
          </w:p>
        </w:tc>
        <w:tc>
          <w:tcPr>
            <w:tcW w:w="993" w:type="dxa"/>
            <w:shd w:val="clear" w:color="auto" w:fill="auto"/>
            <w:vAlign w:val="center"/>
          </w:tcPr>
          <w:p w:rsidR="00B4550A" w:rsidRPr="00E0488D" w:rsidRDefault="00B4550A" w:rsidP="003C7FC8">
            <w:pPr>
              <w:jc w:val="center"/>
              <w:rPr>
                <w:lang w:val="ro-RO"/>
              </w:rPr>
            </w:pPr>
            <w:r w:rsidRPr="00E0488D">
              <w:rPr>
                <w:lang w:val="ro-RO"/>
              </w:rPr>
              <w:t>N</w:t>
            </w:r>
          </w:p>
        </w:tc>
        <w:tc>
          <w:tcPr>
            <w:tcW w:w="850" w:type="dxa"/>
            <w:shd w:val="clear" w:color="auto" w:fill="auto"/>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n/a</w:t>
            </w:r>
          </w:p>
        </w:tc>
        <w:tc>
          <w:tcPr>
            <w:tcW w:w="1701" w:type="dxa"/>
            <w:vAlign w:val="center"/>
          </w:tcPr>
          <w:p w:rsidR="00B4550A" w:rsidRPr="00E0488D" w:rsidRDefault="00B4550A" w:rsidP="003C7FC8">
            <w:pPr>
              <w:jc w:val="center"/>
              <w:rPr>
                <w:lang w:val="ro-RO"/>
              </w:rPr>
            </w:pPr>
            <w:r w:rsidRPr="00E0488D">
              <w:rPr>
                <w:lang w:val="ro-RO"/>
              </w:rPr>
              <w:t>n/a</w:t>
            </w:r>
          </w:p>
        </w:tc>
        <w:tc>
          <w:tcPr>
            <w:tcW w:w="1134" w:type="dxa"/>
            <w:shd w:val="clear" w:color="auto" w:fill="auto"/>
            <w:vAlign w:val="center"/>
          </w:tcPr>
          <w:p w:rsidR="00B4550A" w:rsidRPr="00E0488D" w:rsidRDefault="00B4550A" w:rsidP="003C7FC8">
            <w:pPr>
              <w:jc w:val="center"/>
              <w:rPr>
                <w:lang w:val="ro-RO"/>
              </w:rPr>
            </w:pPr>
            <w:r w:rsidRPr="00E0488D">
              <w:rPr>
                <w:lang w:val="ro-RO"/>
              </w:rPr>
              <w:t>H98</w:t>
            </w:r>
          </w:p>
        </w:tc>
      </w:tr>
    </w:tbl>
    <w:p w:rsidR="00B4550A" w:rsidRPr="00E0488D" w:rsidRDefault="00B4550A" w:rsidP="00B4550A">
      <w:pPr>
        <w:pStyle w:val="Body"/>
        <w:rPr>
          <w:lang w:val="ro-RO"/>
        </w:rPr>
        <w:sectPr w:rsidR="00B4550A" w:rsidRPr="00E0488D" w:rsidSect="00627D06">
          <w:pgSz w:w="23814" w:h="16839" w:orient="landscape" w:code="8"/>
          <w:pgMar w:top="907" w:right="1418" w:bottom="709" w:left="1418" w:header="357" w:footer="567" w:gutter="0"/>
          <w:cols w:space="187"/>
          <w:docGrid w:linePitch="360"/>
        </w:sectPr>
      </w:pPr>
    </w:p>
    <w:p w:rsidR="00B4550A" w:rsidRPr="00E0488D" w:rsidRDefault="00B4550A" w:rsidP="00BD59B2">
      <w:pPr>
        <w:pStyle w:val="Hdg2"/>
        <w:numPr>
          <w:ilvl w:val="0"/>
          <w:numId w:val="0"/>
        </w:numPr>
        <w:ind w:left="680"/>
      </w:pPr>
    </w:p>
    <w:p w:rsidR="00B4550A" w:rsidRPr="00E0488D" w:rsidRDefault="00B4550A" w:rsidP="00B4550A">
      <w:pPr>
        <w:pStyle w:val="Hdg3"/>
      </w:pPr>
      <w:r w:rsidRPr="00E0488D">
        <w:t xml:space="preserve">Măsuri de siguranță </w:t>
      </w:r>
    </w:p>
    <w:p w:rsidR="00B4550A" w:rsidRPr="00E0488D" w:rsidRDefault="00B4550A" w:rsidP="002B7E09">
      <w:pPr>
        <w:pStyle w:val="NumberedParas"/>
        <w:rPr>
          <w:lang w:eastAsia="en-GB"/>
        </w:rPr>
      </w:pPr>
      <w:r w:rsidRPr="00E0488D">
        <w:rPr>
          <w:lang w:eastAsia="en-GB"/>
        </w:rPr>
        <w:t>Așa cum am prezentat anterior, statistica accidentelor rutiere din România este deosebit de defavorabilă. În timp ce proiectele de nivel 1 și 2 vor genera beneficii semnificative legate de siguranță, acestea nu se vor putea vedea în practică într-un orizont de timp scurt, având în vedere amploarea investițiilor necesare.</w:t>
      </w:r>
    </w:p>
    <w:p w:rsidR="00B4550A" w:rsidRPr="00E0488D" w:rsidRDefault="00B4550A" w:rsidP="002B7E09">
      <w:pPr>
        <w:pStyle w:val="NumberedParas"/>
        <w:rPr>
          <w:lang w:eastAsia="en-GB"/>
        </w:rPr>
      </w:pPr>
      <w:r w:rsidRPr="00E0488D">
        <w:rPr>
          <w:lang w:eastAsia="en-GB"/>
        </w:rPr>
        <w:t>Prin urmare am adoptat un proces de identificare a zonelor în care se înregistrează un număr mare de accidente și am identifiat măsurile care pot fi luate pe termen scurt și mediu. Aceste „câștiguri rapide„ se pot realiza cu un nivel mai scăzut al investițiilor dar cu beneficii foarte mari în ce privește siguranța rutieră. Aceasta respectă principiul acordării priorității îmbunătățirii și promovării siguranței rutiere, conform Art. 19 al Reglementării UE Nr. 1315/2013.</w:t>
      </w:r>
    </w:p>
    <w:p w:rsidR="00B4550A" w:rsidRPr="00E0488D" w:rsidRDefault="00B4550A" w:rsidP="002B7E09">
      <w:pPr>
        <w:pStyle w:val="NumberedParas"/>
        <w:rPr>
          <w:lang w:eastAsia="en-GB"/>
        </w:rPr>
      </w:pPr>
      <w:r w:rsidRPr="00E0488D">
        <w:rPr>
          <w:lang w:eastAsia="en-GB"/>
        </w:rPr>
        <w:t xml:space="preserve">Procedeul de identificare a intervențiilor de siguranță pentru zonele cu punctele negre s-a derulat prin urmarea proceselor de mai jos: </w:t>
      </w:r>
    </w:p>
    <w:p w:rsidR="00B4550A" w:rsidRPr="00E0488D" w:rsidRDefault="00B4550A" w:rsidP="00BC2B57">
      <w:pPr>
        <w:pStyle w:val="BulletLevel1"/>
        <w:rPr>
          <w:lang w:eastAsia="en-GB"/>
        </w:rPr>
      </w:pPr>
      <w:r w:rsidRPr="00E0488D">
        <w:rPr>
          <w:lang w:eastAsia="en-GB"/>
        </w:rPr>
        <w:t>Clasificarea datelor referitoare la accidente fatale, grave sau minore pe zone cu puncte negre;</w:t>
      </w:r>
    </w:p>
    <w:p w:rsidR="00B4550A" w:rsidRPr="00E0488D" w:rsidRDefault="00B4550A" w:rsidP="00BC2B57">
      <w:pPr>
        <w:pStyle w:val="BulletLevel1"/>
        <w:rPr>
          <w:lang w:eastAsia="en-GB"/>
        </w:rPr>
      </w:pPr>
      <w:r w:rsidRPr="00E0488D">
        <w:rPr>
          <w:lang w:eastAsia="en-GB"/>
        </w:rPr>
        <w:t>Determinarea tipului de zonă în care există puncte negre -  câmp deschis, oraș mare, oraș mic, sat, etc.;</w:t>
      </w:r>
    </w:p>
    <w:p w:rsidR="00B4550A" w:rsidRPr="00E0488D" w:rsidRDefault="00B4550A" w:rsidP="00BC2B57">
      <w:pPr>
        <w:pStyle w:val="BulletLevel1"/>
        <w:rPr>
          <w:lang w:eastAsia="en-GB"/>
        </w:rPr>
      </w:pPr>
      <w:r w:rsidRPr="00E0488D">
        <w:rPr>
          <w:lang w:eastAsia="en-GB"/>
        </w:rPr>
        <w:t xml:space="preserve">Repartizarea fiecărei zone pe categorii de localități urbane sau rurale și identificarea determinarea numărului de benzi pe sens; </w:t>
      </w:r>
    </w:p>
    <w:p w:rsidR="00B4550A" w:rsidRPr="00E0488D" w:rsidRDefault="00B4550A" w:rsidP="00BC2B57">
      <w:pPr>
        <w:pStyle w:val="BulletLevel1"/>
        <w:rPr>
          <w:lang w:eastAsia="en-GB"/>
        </w:rPr>
      </w:pPr>
      <w:r w:rsidRPr="00E0488D">
        <w:rPr>
          <w:lang w:eastAsia="en-GB"/>
        </w:rPr>
        <w:t xml:space="preserve">Studierea informațiilor detaliate referitoare la accidente și gruparea descrierilor și cauzelor accidentelor pe categorii cu care se pot stabili legături cu tipul specific de intervenții în fiecare zonă;  </w:t>
      </w:r>
    </w:p>
    <w:p w:rsidR="00B4550A" w:rsidRPr="00E0488D" w:rsidRDefault="00B4550A" w:rsidP="00BC2B57">
      <w:pPr>
        <w:pStyle w:val="BulletLevel1"/>
        <w:rPr>
          <w:lang w:eastAsia="en-GB"/>
        </w:rPr>
      </w:pPr>
      <w:r w:rsidRPr="00E0488D">
        <w:rPr>
          <w:lang w:eastAsia="en-GB"/>
        </w:rPr>
        <w:t>În baza intervențiilor ce se vor implementa în fiecare zonă, se va obține o diminuare a numărului de accidente fatale și grave care ar avea loc în fiecare zonă; și</w:t>
      </w:r>
    </w:p>
    <w:p w:rsidR="00B4550A" w:rsidRPr="00E0488D" w:rsidRDefault="00B4550A" w:rsidP="00BC2B57">
      <w:pPr>
        <w:pStyle w:val="BulletLevel1"/>
        <w:rPr>
          <w:lang w:eastAsia="en-GB"/>
        </w:rPr>
      </w:pPr>
      <w:r w:rsidRPr="00E0488D">
        <w:rPr>
          <w:lang w:eastAsia="en-GB"/>
        </w:rPr>
        <w:t xml:space="preserve">Determinarea costurilor totale aferente măsurilor de intervenție pentru fiecare zonă, în baza costurilor unitare pentru intervențiile identificate. </w:t>
      </w:r>
    </w:p>
    <w:p w:rsidR="00B4550A" w:rsidRPr="00E0488D" w:rsidRDefault="00B4550A" w:rsidP="002B7E09">
      <w:pPr>
        <w:pStyle w:val="NumberedParas"/>
        <w:rPr>
          <w:rFonts w:cs="Arial"/>
          <w:sz w:val="20"/>
          <w:szCs w:val="20"/>
        </w:rPr>
      </w:pPr>
      <w:r w:rsidRPr="00E0488D">
        <w:rPr>
          <w:lang w:eastAsia="en-GB"/>
        </w:rPr>
        <w:t>Repartizarea intervențiilor pe zone s-a realizat în baza unui set de criterii stabilite în legătură cu detaliile accidentului, cu cauza acestuia, precum și cu locul de incidență și tipul de carosabil pe care s-a produs accidentul. Toate acestea sunt sintetizate în Tabelul 4.19.</w:t>
      </w:r>
    </w:p>
    <w:p w:rsidR="00B4550A" w:rsidRPr="00E0488D" w:rsidRDefault="00B4550A" w:rsidP="00B4550A">
      <w:pPr>
        <w:tabs>
          <w:tab w:val="left" w:pos="993"/>
        </w:tabs>
        <w:spacing w:after="60"/>
        <w:ind w:firstLine="851"/>
        <w:rPr>
          <w:b/>
          <w:sz w:val="22"/>
          <w:szCs w:val="22"/>
          <w:lang w:val="ro-RO"/>
        </w:rPr>
      </w:pPr>
      <w:r w:rsidRPr="00E0488D">
        <w:rPr>
          <w:b/>
          <w:sz w:val="22"/>
          <w:szCs w:val="22"/>
          <w:lang w:val="ro-RO"/>
        </w:rPr>
        <w:t>Tabelul 4.16 Identificarea intervențiilor de siguranță rutieră pentru puncte negre</w:t>
      </w:r>
    </w:p>
    <w:p w:rsidR="00B4550A" w:rsidRPr="00E0488D" w:rsidRDefault="00B4550A" w:rsidP="00B4550A">
      <w:pPr>
        <w:tabs>
          <w:tab w:val="left" w:pos="993"/>
        </w:tabs>
        <w:spacing w:after="60"/>
        <w:ind w:firstLine="851"/>
        <w:rPr>
          <w:b/>
          <w:sz w:val="22"/>
          <w:szCs w:val="22"/>
          <w:lang w:val="ro-RO"/>
        </w:rPr>
      </w:pPr>
    </w:p>
    <w:tbl>
      <w:tblPr>
        <w:tblStyle w:val="TableGrid"/>
        <w:tblW w:w="4544" w:type="pct"/>
        <w:tblInd w:w="959" w:type="dxa"/>
        <w:tblLook w:val="04A0" w:firstRow="1" w:lastRow="0" w:firstColumn="1" w:lastColumn="0" w:noHBand="0" w:noVBand="1"/>
      </w:tblPr>
      <w:tblGrid>
        <w:gridCol w:w="4295"/>
        <w:gridCol w:w="5254"/>
      </w:tblGrid>
      <w:tr w:rsidR="00B4550A" w:rsidRPr="00E0488D" w:rsidTr="003C7FC8">
        <w:trPr>
          <w:trHeight w:val="530"/>
          <w:tblHeader/>
        </w:trPr>
        <w:tc>
          <w:tcPr>
            <w:tcW w:w="2249" w:type="pct"/>
            <w:shd w:val="clear" w:color="auto" w:fill="B8CCE4" w:themeFill="accent1" w:themeFillTint="66"/>
            <w:vAlign w:val="center"/>
          </w:tcPr>
          <w:p w:rsidR="00B4550A" w:rsidRPr="00E0488D" w:rsidRDefault="00B4550A" w:rsidP="003C7FC8">
            <w:pPr>
              <w:rPr>
                <w:rFonts w:cs="Arial"/>
                <w:b/>
                <w:sz w:val="22"/>
                <w:szCs w:val="22"/>
                <w:lang w:val="ro-RO"/>
              </w:rPr>
            </w:pPr>
            <w:r w:rsidRPr="00E0488D">
              <w:rPr>
                <w:rFonts w:cs="Arial"/>
                <w:color w:val="000000"/>
                <w:sz w:val="22"/>
                <w:szCs w:val="22"/>
                <w:lang w:val="ro-RO" w:eastAsia="en-GB"/>
              </w:rPr>
              <w:t>Măsuri de siguranță la intrarea în localitate (insule, marcaje orizontale și verticale)</w:t>
            </w:r>
          </w:p>
        </w:tc>
        <w:tc>
          <w:tcPr>
            <w:tcW w:w="2751" w:type="pct"/>
            <w:shd w:val="clear" w:color="auto" w:fill="B8CCE4" w:themeFill="accent1" w:themeFillTint="66"/>
            <w:vAlign w:val="center"/>
          </w:tcPr>
          <w:p w:rsidR="00B4550A" w:rsidRPr="00E0488D" w:rsidRDefault="00B4550A" w:rsidP="003C7FC8">
            <w:pPr>
              <w:rPr>
                <w:rFonts w:cs="Arial"/>
                <w:b/>
                <w:sz w:val="22"/>
                <w:szCs w:val="22"/>
                <w:lang w:val="ro-RO"/>
              </w:rPr>
            </w:pPr>
            <w:r w:rsidRPr="00E0488D">
              <w:rPr>
                <w:rFonts w:cs="Arial"/>
                <w:sz w:val="22"/>
                <w:szCs w:val="22"/>
                <w:lang w:val="ro-RO"/>
              </w:rPr>
              <w:t>Sat sau comună</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t xml:space="preserve">Trecere de la 4 benzi de circulație la 2 la intrarea în localitate (insule/borduri ieșite în relief/înalte și marcaje) </w:t>
            </w:r>
          </w:p>
        </w:tc>
        <w:tc>
          <w:tcPr>
            <w:tcW w:w="2751" w:type="pct"/>
          </w:tcPr>
          <w:p w:rsidR="00B4550A" w:rsidRPr="00E0488D" w:rsidRDefault="00B4550A" w:rsidP="003C7FC8">
            <w:pPr>
              <w:rPr>
                <w:rFonts w:cs="Arial"/>
                <w:sz w:val="22"/>
                <w:szCs w:val="22"/>
                <w:lang w:val="ro-RO"/>
              </w:rPr>
            </w:pPr>
            <w:r w:rsidRPr="00E0488D">
              <w:rPr>
                <w:rFonts w:cs="Arial"/>
                <w:sz w:val="22"/>
                <w:szCs w:val="22"/>
                <w:lang w:val="ro-RO"/>
              </w:rPr>
              <w:t>Sat sau comună</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t>Benzi rezonatoare</w:t>
            </w:r>
          </w:p>
        </w:tc>
        <w:tc>
          <w:tcPr>
            <w:tcW w:w="2751" w:type="pct"/>
          </w:tcPr>
          <w:p w:rsidR="00B4550A" w:rsidRPr="00E0488D" w:rsidRDefault="00B4550A" w:rsidP="003C7FC8">
            <w:pPr>
              <w:rPr>
                <w:rFonts w:cs="Arial"/>
                <w:sz w:val="22"/>
                <w:szCs w:val="22"/>
                <w:lang w:val="ro-RO"/>
              </w:rPr>
            </w:pPr>
            <w:r w:rsidRPr="00E0488D">
              <w:rPr>
                <w:rFonts w:cs="Arial"/>
                <w:sz w:val="22"/>
                <w:szCs w:val="22"/>
                <w:lang w:val="ro-RO"/>
              </w:rPr>
              <w:t>Sat sau comună</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t xml:space="preserve">Benzi mediane continue cu borduri </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Zonele urbane și zonele rurale în care predomină accidentele cu impact frontal </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t xml:space="preserve">Separatoare mediană din plastic </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Zone în care nu sunt instalate nici parapete New Jersey nici benzi mediane cu borduri </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t>Refugiu pentru pietoni</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În zonele cu număr redus de accidente cu pietoni </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lastRenderedPageBreak/>
              <w:t>Limitatoare de viteză din plastic</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Sate și comune cu drumuri cu o singură bandă</w:t>
            </w:r>
          </w:p>
        </w:tc>
      </w:tr>
      <w:tr w:rsidR="00B4550A" w:rsidRPr="00E0488D" w:rsidTr="003C7FC8">
        <w:tc>
          <w:tcPr>
            <w:tcW w:w="2249" w:type="pct"/>
            <w:vAlign w:val="center"/>
          </w:tcPr>
          <w:p w:rsidR="00B4550A" w:rsidRPr="00E0488D" w:rsidRDefault="00B4550A" w:rsidP="003C7FC8">
            <w:pPr>
              <w:rPr>
                <w:rFonts w:cs="Arial"/>
                <w:sz w:val="22"/>
                <w:szCs w:val="22"/>
                <w:lang w:val="ro-RO"/>
              </w:rPr>
            </w:pPr>
            <w:r w:rsidRPr="00E0488D">
              <w:rPr>
                <w:rFonts w:cs="Arial"/>
                <w:color w:val="000000"/>
                <w:sz w:val="22"/>
                <w:szCs w:val="22"/>
                <w:lang w:val="ro-RO" w:eastAsia="en-GB"/>
              </w:rPr>
              <w:t xml:space="preserve">Trotuare (de 2m lățime) </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Sate și comune unde nu sunt instalate</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 xml:space="preserve">Treceri de pietoni cu semnalizare controlată </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În zonele cu număr mare de accidente pe drumuri cu o singură bandă în care sunt implicați pietoni </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 xml:space="preserve">Benzi dedicate pentru viraje la stânga (marcaje verticale + insule) </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În zonele în care se înregistrează un număr mare de coliziuni laterale  </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Alveole pentru autobuz/ parcări locale</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Sate și comune</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Iluminat stradal</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În zonele cu număr mare de accidente cu pietoni</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Sisteme video de monitorizare a traficului (radare)</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În zonele cu număr mare de accidente cauzate de viteze mari/ condus imprudent, și/sau coliziuni față-spate </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Parapete New Jersey pe căi de rulare interurbane alăturate cu 2 benzi pe sens</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În zonele rurale în care drumul are patru benzi</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 xml:space="preserve">Pasarele/ pasaje subterane pietonale </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În zonele cu un număr mare de accidente cu pietoni, iar drumul are 4 benzi sau are separatoare de sensuri </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Parapete de siguranță (acostament)</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 xml:space="preserve">În zonele în care se înregistrează un număr mare de accidente cu vehicule care părăsesc carosabilul </w:t>
            </w:r>
          </w:p>
        </w:tc>
      </w:tr>
      <w:tr w:rsidR="00B4550A" w:rsidRPr="00E0488D" w:rsidTr="003C7FC8">
        <w:tc>
          <w:tcPr>
            <w:tcW w:w="2249" w:type="pct"/>
            <w:vAlign w:val="center"/>
          </w:tcPr>
          <w:p w:rsidR="00B4550A" w:rsidRPr="00E0488D" w:rsidRDefault="00B4550A" w:rsidP="003C7FC8">
            <w:pPr>
              <w:rPr>
                <w:rFonts w:cs="Arial"/>
                <w:color w:val="000000"/>
                <w:sz w:val="22"/>
                <w:szCs w:val="22"/>
                <w:lang w:val="ro-RO" w:eastAsia="en-GB"/>
              </w:rPr>
            </w:pPr>
            <w:r w:rsidRPr="00E0488D">
              <w:rPr>
                <w:rFonts w:cs="Arial"/>
                <w:color w:val="000000"/>
                <w:sz w:val="22"/>
                <w:szCs w:val="22"/>
                <w:lang w:val="ro-RO" w:eastAsia="en-GB"/>
              </w:rPr>
              <w:t>Măsuri de siguranță la intrarea în localitate (insule, marcaje orizontale și verticale)</w:t>
            </w:r>
          </w:p>
        </w:tc>
        <w:tc>
          <w:tcPr>
            <w:tcW w:w="2751" w:type="pct"/>
            <w:vAlign w:val="center"/>
          </w:tcPr>
          <w:p w:rsidR="00B4550A" w:rsidRPr="00E0488D" w:rsidRDefault="00B4550A" w:rsidP="003C7FC8">
            <w:pPr>
              <w:rPr>
                <w:rFonts w:cs="Arial"/>
                <w:sz w:val="22"/>
                <w:szCs w:val="22"/>
                <w:lang w:val="ro-RO"/>
              </w:rPr>
            </w:pPr>
            <w:r w:rsidRPr="00E0488D">
              <w:rPr>
                <w:rFonts w:cs="Arial"/>
                <w:sz w:val="22"/>
                <w:szCs w:val="22"/>
                <w:lang w:val="ro-RO"/>
              </w:rPr>
              <w:t>Sat sau comună</w:t>
            </w:r>
          </w:p>
        </w:tc>
      </w:tr>
    </w:tbl>
    <w:p w:rsidR="00B4550A" w:rsidRPr="00E0488D" w:rsidRDefault="00B4550A" w:rsidP="00B4550A">
      <w:pPr>
        <w:ind w:left="567" w:firstLine="284"/>
        <w:rPr>
          <w:i/>
          <w:sz w:val="22"/>
          <w:szCs w:val="22"/>
          <w:lang w:val="ro-RO"/>
        </w:rPr>
      </w:pPr>
      <w:r w:rsidRPr="00E0488D">
        <w:rPr>
          <w:i/>
          <w:sz w:val="22"/>
          <w:szCs w:val="22"/>
          <w:lang w:val="ro-RO"/>
        </w:rPr>
        <w:t>Sursa: Analiza AECOM</w:t>
      </w:r>
    </w:p>
    <w:p w:rsidR="00B4550A" w:rsidRPr="00E0488D" w:rsidRDefault="00B4550A" w:rsidP="00B4550A">
      <w:pPr>
        <w:pStyle w:val="Hdg3"/>
      </w:pPr>
      <w:r w:rsidRPr="00E0488D">
        <w:t>Aplicații telematice</w:t>
      </w:r>
    </w:p>
    <w:p w:rsidR="00B4550A" w:rsidRPr="00E0488D" w:rsidRDefault="00B4550A" w:rsidP="002B7E09">
      <w:pPr>
        <w:pStyle w:val="NumberedParas"/>
      </w:pPr>
      <w:r w:rsidRPr="00E0488D">
        <w:rPr>
          <w:lang w:eastAsia="en-GB"/>
        </w:rPr>
        <w:t xml:space="preserve">Articolele 19 și 31 din Reglementarea UE nr. 1315/2013 recunoaște contribuția importantă pe care aplicațiile telematice o pot aduce politicilor de siguranță și securitate rutieră și politicilor de mediu, alături de simplificarea procedurilor administrative.  </w:t>
      </w:r>
    </w:p>
    <w:p w:rsidR="00B4550A" w:rsidRPr="00E0488D" w:rsidRDefault="00B4550A" w:rsidP="002B7E09">
      <w:pPr>
        <w:pStyle w:val="NumberedParas"/>
      </w:pPr>
      <w:r w:rsidRPr="00E0488D">
        <w:rPr>
          <w:lang w:eastAsia="en-GB"/>
        </w:rPr>
        <w:t>În sectorul rutier, Master Planul a identificat un număr de îmbunătățiri ITS sau telematice, ceare ar putea fi aplicate. Acestea sunt prezentate mai jos.</w:t>
      </w:r>
      <w:r w:rsidRPr="00E0488D">
        <w:t>.</w:t>
      </w:r>
    </w:p>
    <w:p w:rsidR="00B4550A" w:rsidRPr="00E0488D" w:rsidRDefault="00B4550A" w:rsidP="002B7E09">
      <w:pPr>
        <w:pStyle w:val="NumberedParas"/>
      </w:pPr>
      <w:r w:rsidRPr="00E0488D">
        <w:t xml:space="preserve">Există baza unui centru de informare pentru drumuri naționale cu acoperire ITS limitată în prezent dar fără o interacțiune sau schimb de informații cu sisteme similare operate de poliția rutieră. Informațiile incomplete sau necoordonate privind condițiile de operare pe rețeaua rutieră națională limitează eficiența procesului de furnizare a informațiilor către utilizatori. Aceasta are ca rezultat lipsa informațiilor exacte referitoare la întârzierile înregistrate în trafic transmise conducătorilor auto și astfel conducătorii nu pot alege rute alternative atunci când în anumite puncte pe rețea intervin accidente, spre exemplu. Trebuie dezvoltat un Centru Național de Informare/Control care să includă, preferabil, conlucrarea dintre ministerul Transporturilor și Poliția Rutieră, pentru culegerea datelor de pe întreaga rețea rutieră și transmiterea informațiilor într-o manieră inteligentă către utilizatorii drumurilor și altor moduri de transport. </w:t>
      </w:r>
    </w:p>
    <w:p w:rsidR="00B4550A" w:rsidRPr="00E0488D" w:rsidRDefault="00B4550A" w:rsidP="002B7E09">
      <w:pPr>
        <w:pStyle w:val="NumberedParas"/>
      </w:pPr>
      <w:r w:rsidRPr="00E0488D">
        <w:t xml:space="preserve">Toate noile proiecte de drumuri ar trebui să includă utilizarea ITS, în particular informații multimodale și sisteme de gestionare a traficului, sisteme integrate de comunicare și plată, în cazurile în care este adecvat, aceste sisteme să fie în conformitate cu prevederile Articolului 19. În special ar trebui încurajată utilizarea sistemelor VMS (Semne cu mesaj variabil) pentru a ajuta transmiterea informațiilor în timp util tuturor utilizatorilor.  De asemenea, se pot include </w:t>
      </w:r>
      <w:r w:rsidRPr="00E0488D">
        <w:lastRenderedPageBreak/>
        <w:t>sisteme de tip Cântărire în Mișcare (WIM) pentru a îndeplini obiectivul operațional de limitare a pagubelor produse suprafețelor rutiere de camioanele supraîncărcate.</w:t>
      </w:r>
    </w:p>
    <w:p w:rsidR="00B4550A" w:rsidRPr="00E0488D" w:rsidRDefault="00B4550A" w:rsidP="002B7E09">
      <w:pPr>
        <w:pStyle w:val="NumberedParas"/>
      </w:pPr>
      <w:r w:rsidRPr="00E0488D">
        <w:t xml:space="preserve">Aplicațiile telematice smart ar trebui folosite pentru sprijinirea introducerii unui sistem național unic și coordonat de taxare a vehiculelor de marfă, reducerii poverii administrative supra autorităților locale și naționale și asigurarea unor servicii îmbunătățite transportatorilor naționali și internaționali care doresc să utilizeze rețeaua din România. </w:t>
      </w:r>
    </w:p>
    <w:p w:rsidR="00B4550A" w:rsidRPr="00E0488D" w:rsidRDefault="00B4550A" w:rsidP="002B7E09">
      <w:pPr>
        <w:pStyle w:val="NumberedParas"/>
      </w:pPr>
      <w:r w:rsidRPr="00E0488D">
        <w:t xml:space="preserve">Utilizarea sistemelor ITS va sprijini de asemenea, procesul de asigurare a informațiilor privind rutele alternative și astfel, îmbunătățirea gestionării facilităților în punctele de trecere a frontierei cu consecința reducerii întârzierilor înregistrate. Scopul ar fi atingerea standarului european, așa cum este acesta stabilit în Programul de Facilitare a Transporturilor din Sud-Estul Europei (TTFSE), de a nu depăși perioada maximă de așteptare de 40 de minute la punctele de trecere a frontierei. </w:t>
      </w:r>
    </w:p>
    <w:p w:rsidR="00B4550A" w:rsidRPr="00E0488D" w:rsidRDefault="00B4550A" w:rsidP="00B4550A">
      <w:pPr>
        <w:pStyle w:val="Body"/>
        <w:rPr>
          <w:lang w:val="ro-RO"/>
        </w:rPr>
      </w:pPr>
    </w:p>
    <w:p w:rsidR="00B4550A" w:rsidRPr="00E0488D" w:rsidRDefault="00B4550A" w:rsidP="00B4550A">
      <w:pPr>
        <w:pStyle w:val="Hdg3"/>
      </w:pPr>
      <w:r w:rsidRPr="00E0488D">
        <w:t>Definirea rețelei de autostrăzi</w:t>
      </w:r>
    </w:p>
    <w:p w:rsidR="00B4550A" w:rsidRPr="00E0488D" w:rsidRDefault="00B4550A" w:rsidP="002B7E09">
      <w:pPr>
        <w:pStyle w:val="NumberedParas"/>
      </w:pPr>
      <w:r w:rsidRPr="00E0488D">
        <w:t xml:space="preserve">După cum s-a putut observa anterior, ponderea din rețeaua considerată a fi la standard de autostradă este una scăzută. Există un număr de proiecte pentru Scenariul de referință care vor îmbunătăți situația, însă se estimează că anumite coridoare vor rămâne cu stadiul în care timpii de călătorie sunt necorespunzători, în ciuda acestei investiții. </w:t>
      </w:r>
    </w:p>
    <w:p w:rsidR="00B4550A" w:rsidRPr="00E0488D" w:rsidRDefault="00B4550A" w:rsidP="002B7E09">
      <w:pPr>
        <w:pStyle w:val="NumberedParas"/>
      </w:pPr>
      <w:r w:rsidRPr="00E0488D">
        <w:t xml:space="preserve">Modelul Național de Transport a fost utilizat în vederea investigării impactului economic generat de întârzierile care se vor mai înregistra pe rețea în anul 2020, în ipoteza în care toate proiectele din cadrul Scenariului de referință vor fi elaborate. </w:t>
      </w:r>
    </w:p>
    <w:p w:rsidR="00B4550A" w:rsidRPr="00E0488D" w:rsidRDefault="00B4550A" w:rsidP="002B7E09">
      <w:pPr>
        <w:pStyle w:val="NumberedParas"/>
        <w:numPr>
          <w:ilvl w:val="0"/>
          <w:numId w:val="0"/>
        </w:numPr>
        <w:ind w:left="680"/>
      </w:pPr>
      <w:r w:rsidRPr="00E0488D">
        <w:t>Această analiză a fost transpusă sub forma următoarei formule:</w:t>
      </w:r>
    </w:p>
    <w:p w:rsidR="00B4550A" w:rsidRPr="00E0488D" w:rsidRDefault="00966D0E" w:rsidP="00B4550A">
      <w:pPr>
        <w:spacing w:before="120" w:after="120" w:line="276" w:lineRule="auto"/>
        <w:ind w:left="680"/>
        <w:rPr>
          <w:sz w:val="22"/>
          <w:szCs w:val="22"/>
          <w:lang w:val="ro-RO"/>
        </w:rPr>
      </w:pPr>
      <m:oMathPara>
        <m:oMath>
          <m:nary>
            <m:naryPr>
              <m:chr m:val="∑"/>
              <m:limLoc m:val="undOvr"/>
              <m:ctrlPr>
                <w:rPr>
                  <w:rFonts w:ascii="Cambria Math" w:hAnsi="Cambria Math"/>
                  <w:i/>
                  <w:sz w:val="22"/>
                  <w:szCs w:val="22"/>
                  <w:lang w:val="ro-RO"/>
                </w:rPr>
              </m:ctrlPr>
            </m:naryPr>
            <m:sub>
              <m:r>
                <w:rPr>
                  <w:rFonts w:ascii="Cambria Math" w:hAnsi="Cambria Math"/>
                  <w:sz w:val="22"/>
                  <w:szCs w:val="22"/>
                  <w:lang w:val="ro-RO"/>
                </w:rPr>
                <m:t>i=0</m:t>
              </m:r>
            </m:sub>
            <m:sup>
              <m:r>
                <w:rPr>
                  <w:rFonts w:ascii="Cambria Math" w:hAnsi="Cambria Math"/>
                  <w:sz w:val="22"/>
                  <w:szCs w:val="22"/>
                  <w:lang w:val="ro-RO"/>
                </w:rPr>
                <m:t>n</m:t>
              </m:r>
            </m:sup>
            <m:e>
              <m:f>
                <m:fPr>
                  <m:ctrlPr>
                    <w:rPr>
                      <w:rFonts w:ascii="Cambria Math" w:hAnsi="Cambria Math"/>
                      <w:i/>
                      <w:sz w:val="22"/>
                      <w:szCs w:val="22"/>
                      <w:lang w:val="ro-RO"/>
                    </w:rPr>
                  </m:ctrlPr>
                </m:fPr>
                <m:num>
                  <m:sSub>
                    <m:sSubPr>
                      <m:ctrlPr>
                        <w:rPr>
                          <w:rFonts w:ascii="Cambria Math" w:hAnsi="Cambria Math"/>
                          <w:i/>
                          <w:sz w:val="22"/>
                          <w:szCs w:val="22"/>
                          <w:lang w:val="ro-RO"/>
                        </w:rPr>
                      </m:ctrlPr>
                    </m:sSubPr>
                    <m:e>
                      <m:r>
                        <w:rPr>
                          <w:rFonts w:ascii="Cambria Math" w:hAnsi="Cambria Math"/>
                          <w:sz w:val="22"/>
                          <w:szCs w:val="22"/>
                          <w:lang w:val="ro-RO"/>
                        </w:rPr>
                        <m:t>Flux</m:t>
                      </m:r>
                    </m:e>
                    <m:sub>
                      <m:r>
                        <w:rPr>
                          <w:rFonts w:ascii="Cambria Math" w:hAnsi="Cambria Math"/>
                          <w:sz w:val="22"/>
                          <w:szCs w:val="22"/>
                          <w:lang w:val="ro-RO"/>
                        </w:rPr>
                        <m:t>i</m:t>
                      </m:r>
                    </m:sub>
                  </m:sSub>
                  <m:d>
                    <m:dPr>
                      <m:ctrlPr>
                        <w:rPr>
                          <w:rFonts w:ascii="Cambria Math" w:hAnsi="Cambria Math"/>
                          <w:i/>
                          <w:sz w:val="22"/>
                          <w:szCs w:val="22"/>
                          <w:lang w:val="ro-RO"/>
                        </w:rPr>
                      </m:ctrlPr>
                    </m:dPr>
                    <m:e>
                      <m:r>
                        <w:rPr>
                          <w:rFonts w:ascii="Cambria Math" w:hAnsi="Cambria Math"/>
                          <w:sz w:val="22"/>
                          <w:szCs w:val="22"/>
                          <w:lang w:val="ro-RO"/>
                        </w:rPr>
                        <m:t>Timp țintă-Timp actual</m:t>
                      </m:r>
                    </m:e>
                  </m:d>
                  <m:r>
                    <w:rPr>
                      <w:rFonts w:ascii="Cambria Math" w:hAnsi="Cambria Math"/>
                      <w:sz w:val="22"/>
                      <w:szCs w:val="22"/>
                      <w:lang w:val="ro-RO"/>
                    </w:rPr>
                    <m:t>×</m:t>
                  </m:r>
                  <m:sSub>
                    <m:sSubPr>
                      <m:ctrlPr>
                        <w:rPr>
                          <w:rFonts w:ascii="Cambria Math" w:hAnsi="Cambria Math"/>
                          <w:i/>
                          <w:sz w:val="22"/>
                          <w:szCs w:val="22"/>
                          <w:lang w:val="ro-RO"/>
                        </w:rPr>
                      </m:ctrlPr>
                    </m:sSubPr>
                    <m:e>
                      <m:r>
                        <w:rPr>
                          <w:rFonts w:ascii="Cambria Math" w:hAnsi="Cambria Math"/>
                          <w:sz w:val="22"/>
                          <w:szCs w:val="22"/>
                          <w:lang w:val="ro-RO"/>
                        </w:rPr>
                        <m:t>VT</m:t>
                      </m:r>
                    </m:e>
                    <m:sub>
                      <m:r>
                        <w:rPr>
                          <w:rFonts w:ascii="Cambria Math" w:hAnsi="Cambria Math"/>
                          <w:sz w:val="22"/>
                          <w:szCs w:val="22"/>
                          <w:lang w:val="ro-RO"/>
                        </w:rPr>
                        <m:t>i</m:t>
                      </m:r>
                    </m:sub>
                  </m:sSub>
                </m:num>
                <m:den>
                  <m:r>
                    <w:rPr>
                      <w:rFonts w:ascii="Cambria Math" w:hAnsi="Cambria Math"/>
                      <w:sz w:val="22"/>
                      <w:szCs w:val="22"/>
                      <w:lang w:val="ro-RO"/>
                    </w:rPr>
                    <m:t>Lungime</m:t>
                  </m:r>
                </m:den>
              </m:f>
            </m:e>
          </m:nary>
        </m:oMath>
      </m:oMathPara>
    </w:p>
    <w:p w:rsidR="00B4550A" w:rsidRPr="00E0488D" w:rsidRDefault="00B4550A" w:rsidP="00B4550A">
      <w:pPr>
        <w:spacing w:before="120" w:after="120" w:line="276" w:lineRule="auto"/>
        <w:ind w:left="680"/>
        <w:rPr>
          <w:sz w:val="22"/>
          <w:szCs w:val="22"/>
          <w:highlight w:val="yellow"/>
          <w:lang w:val="ro-RO"/>
        </w:rPr>
      </w:pPr>
    </w:p>
    <w:p w:rsidR="00B4550A" w:rsidRPr="00E0488D" w:rsidRDefault="00B4550A" w:rsidP="00B4550A">
      <w:pPr>
        <w:spacing w:before="120" w:after="120" w:line="276" w:lineRule="auto"/>
        <w:ind w:left="680"/>
        <w:rPr>
          <w:sz w:val="22"/>
          <w:szCs w:val="22"/>
          <w:lang w:val="ro-RO"/>
        </w:rPr>
      </w:pPr>
      <w:r w:rsidRPr="00E0488D">
        <w:rPr>
          <w:sz w:val="22"/>
          <w:szCs w:val="22"/>
          <w:lang w:val="ro-RO"/>
        </w:rPr>
        <w:t xml:space="preserve">Unde fiecare segment din cadrul modelului a fost evaluată și: </w:t>
      </w:r>
    </w:p>
    <w:p w:rsidR="00B4550A" w:rsidRPr="00E0488D" w:rsidRDefault="00B4550A" w:rsidP="00B4550A">
      <w:pPr>
        <w:spacing w:before="120" w:after="120" w:line="276" w:lineRule="auto"/>
        <w:ind w:left="680"/>
        <w:rPr>
          <w:sz w:val="22"/>
          <w:szCs w:val="22"/>
          <w:lang w:val="ro-RO"/>
        </w:rPr>
      </w:pPr>
      <w:r w:rsidRPr="00E0488D">
        <w:rPr>
          <w:sz w:val="22"/>
          <w:szCs w:val="22"/>
          <w:lang w:val="ro-RO"/>
        </w:rPr>
        <w:t>Flux de trafic    =  Traficul Zilnic Mediu Anual  (MZA);</w:t>
      </w:r>
    </w:p>
    <w:p w:rsidR="00B4550A" w:rsidRPr="00E0488D" w:rsidRDefault="00B4550A" w:rsidP="00B4550A">
      <w:pPr>
        <w:spacing w:before="120" w:after="120" w:line="276" w:lineRule="auto"/>
        <w:ind w:left="2410" w:hanging="709"/>
        <w:rPr>
          <w:sz w:val="22"/>
          <w:szCs w:val="22"/>
          <w:lang w:val="ro-RO"/>
        </w:rPr>
      </w:pPr>
      <w:r w:rsidRPr="00E0488D">
        <w:rPr>
          <w:sz w:val="22"/>
          <w:szCs w:val="22"/>
          <w:lang w:val="ro-RO"/>
        </w:rPr>
        <w:t xml:space="preserve">   i    = </w:t>
      </w:r>
      <w:r w:rsidRPr="00E0488D">
        <w:rPr>
          <w:sz w:val="22"/>
          <w:szCs w:val="22"/>
          <w:lang w:val="ro-RO"/>
        </w:rPr>
        <w:tab/>
        <w:t>scopul deplasării cu autovehiculul  (de exemplu, navetă, interes de afaceri etc.); și</w:t>
      </w:r>
    </w:p>
    <w:p w:rsidR="00B4550A" w:rsidRPr="00E0488D" w:rsidRDefault="00B4550A" w:rsidP="00B4550A">
      <w:pPr>
        <w:spacing w:before="120" w:after="120"/>
        <w:ind w:left="1418" w:firstLine="283"/>
        <w:rPr>
          <w:sz w:val="22"/>
          <w:szCs w:val="22"/>
          <w:lang w:val="ro-RO"/>
        </w:rPr>
      </w:pPr>
      <w:r w:rsidRPr="00E0488D">
        <w:rPr>
          <w:sz w:val="22"/>
          <w:szCs w:val="22"/>
          <w:lang w:val="ro-RO"/>
        </w:rPr>
        <w:t>VT   =  Valoarea Timpului.</w:t>
      </w:r>
    </w:p>
    <w:p w:rsidR="00B4550A" w:rsidRPr="00E0488D" w:rsidRDefault="00B4550A" w:rsidP="00B4550A">
      <w:pPr>
        <w:spacing w:before="120" w:after="120"/>
        <w:ind w:left="851"/>
        <w:rPr>
          <w:sz w:val="22"/>
          <w:szCs w:val="22"/>
          <w:lang w:val="ro-RO"/>
        </w:rPr>
      </w:pPr>
      <w:r w:rsidRPr="00E0488D">
        <w:rPr>
          <w:sz w:val="22"/>
          <w:szCs w:val="22"/>
          <w:lang w:val="ro-RO"/>
        </w:rPr>
        <w:t xml:space="preserve"> </w:t>
      </w:r>
    </w:p>
    <w:p w:rsidR="00B4550A" w:rsidRPr="00E0488D" w:rsidRDefault="00B4550A" w:rsidP="00B4550A">
      <w:pPr>
        <w:spacing w:before="120" w:after="120"/>
        <w:rPr>
          <w:sz w:val="22"/>
          <w:szCs w:val="22"/>
          <w:lang w:val="ro-RO"/>
        </w:rPr>
      </w:pPr>
    </w:p>
    <w:p w:rsidR="00B4550A" w:rsidRPr="00E0488D" w:rsidRDefault="00B4550A" w:rsidP="00B4550A">
      <w:pPr>
        <w:keepNext/>
        <w:tabs>
          <w:tab w:val="left" w:pos="567"/>
          <w:tab w:val="left" w:pos="1134"/>
          <w:tab w:val="left" w:pos="1701"/>
          <w:tab w:val="left" w:pos="2268"/>
          <w:tab w:val="left" w:pos="2835"/>
          <w:tab w:val="left" w:pos="3402"/>
          <w:tab w:val="left" w:pos="3969"/>
          <w:tab w:val="left" w:pos="4536"/>
          <w:tab w:val="left" w:pos="5103"/>
          <w:tab w:val="left" w:pos="5670"/>
          <w:tab w:val="left" w:pos="6237"/>
          <w:tab w:val="left" w:pos="6762"/>
        </w:tabs>
        <w:spacing w:before="120" w:after="120"/>
        <w:ind w:left="851"/>
        <w:rPr>
          <w:b/>
          <w:sz w:val="22"/>
          <w:szCs w:val="22"/>
          <w:lang w:val="ro-RO"/>
        </w:rPr>
      </w:pPr>
      <w:r w:rsidRPr="00E0488D">
        <w:rPr>
          <w:b/>
          <w:sz w:val="22"/>
          <w:szCs w:val="22"/>
          <w:lang w:val="ro-RO"/>
        </w:rPr>
        <w:lastRenderedPageBreak/>
        <w:tab/>
      </w:r>
      <w:r w:rsidRPr="00E0488D">
        <w:rPr>
          <w:b/>
          <w:sz w:val="22"/>
          <w:szCs w:val="22"/>
          <w:lang w:val="ro-RO"/>
        </w:rPr>
        <w:tab/>
      </w:r>
    </w:p>
    <w:p w:rsidR="00B4550A" w:rsidRPr="00E0488D" w:rsidRDefault="00B4550A" w:rsidP="00B4550A">
      <w:pPr>
        <w:jc w:val="center"/>
        <w:rPr>
          <w:lang w:val="ro-RO"/>
        </w:rPr>
      </w:pPr>
      <w:r w:rsidRPr="00E0488D">
        <w:rPr>
          <w:noProof/>
          <w:lang w:val="ro-RO" w:eastAsia="ro-RO"/>
        </w:rPr>
        <w:drawing>
          <wp:inline distT="0" distB="0" distL="0" distR="0">
            <wp:extent cx="5476875" cy="4555014"/>
            <wp:effectExtent l="19050" t="19050" r="28575" b="16986"/>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476874" cy="4555013"/>
                    </a:xfrm>
                    <a:prstGeom prst="rect">
                      <a:avLst/>
                    </a:prstGeom>
                    <a:noFill/>
                    <a:ln w="9525">
                      <a:solidFill>
                        <a:schemeClr val="accent1"/>
                      </a:solidFill>
                      <a:miter lim="800000"/>
                      <a:headEnd/>
                      <a:tailEnd/>
                    </a:ln>
                  </pic:spPr>
                </pic:pic>
              </a:graphicData>
            </a:graphic>
          </wp:inline>
        </w:drawing>
      </w:r>
    </w:p>
    <w:p w:rsidR="00B4550A" w:rsidRPr="00E0488D" w:rsidRDefault="00B4550A" w:rsidP="00B4550A">
      <w:pPr>
        <w:pStyle w:val="Body"/>
        <w:rPr>
          <w:sz w:val="18"/>
          <w:szCs w:val="18"/>
          <w:lang w:val="ro-RO"/>
        </w:rPr>
      </w:pPr>
      <w:r w:rsidRPr="00E0488D">
        <w:rPr>
          <w:b/>
          <w:lang w:val="ro-RO"/>
        </w:rPr>
        <w:t>Figura 4.15</w:t>
      </w:r>
      <w:r w:rsidRPr="00E0488D">
        <w:rPr>
          <w:b/>
          <w:lang w:val="ro-RO"/>
        </w:rPr>
        <w:tab/>
        <w:t>Analiza timpului pierdut la nivelul coridoarelor</w:t>
      </w:r>
    </w:p>
    <w:p w:rsidR="00B4550A" w:rsidRPr="00E0488D" w:rsidRDefault="00B4550A" w:rsidP="00B4550A">
      <w:pPr>
        <w:pStyle w:val="Body"/>
        <w:rPr>
          <w:sz w:val="18"/>
          <w:szCs w:val="18"/>
          <w:lang w:val="ro-RO"/>
        </w:rPr>
      </w:pPr>
      <w:r w:rsidRPr="00E0488D">
        <w:rPr>
          <w:sz w:val="18"/>
          <w:szCs w:val="18"/>
          <w:lang w:val="ro-RO"/>
        </w:rPr>
        <w:t>Sursa: Modelul Național de Transport elaborat de către AECOM</w:t>
      </w:r>
    </w:p>
    <w:p w:rsidR="00B4550A" w:rsidRPr="00E0488D" w:rsidRDefault="00B4550A" w:rsidP="002B7E09">
      <w:pPr>
        <w:pStyle w:val="NumberedParas"/>
      </w:pPr>
      <w:r w:rsidRPr="00E0488D">
        <w:t>Graficul prezintă cinci coridoarele principale sau zonele cu deplasări pentru care sunt necesare îmbunătățiri. Imaginea din Figura 4.16 transpune aceste coridoare cheie și le leagă de principalele puncte de trecere a frontierei și de rețelele TEN-T Core și TEN-T Comprehensive.</w:t>
      </w:r>
    </w:p>
    <w:p w:rsidR="00B4550A" w:rsidRPr="00E0488D" w:rsidRDefault="00B4550A" w:rsidP="002B7E09">
      <w:pPr>
        <w:pStyle w:val="NumberedParas"/>
        <w:numPr>
          <w:ilvl w:val="0"/>
          <w:numId w:val="0"/>
        </w:numPr>
        <w:ind w:left="680"/>
      </w:pPr>
      <w:r w:rsidRPr="00E0488D">
        <w:t>T</w:t>
      </w:r>
    </w:p>
    <w:p w:rsidR="00B4550A" w:rsidRPr="00E0488D" w:rsidRDefault="00B4550A" w:rsidP="002B7E09">
      <w:pPr>
        <w:pStyle w:val="NumberedParas"/>
        <w:numPr>
          <w:ilvl w:val="0"/>
          <w:numId w:val="0"/>
        </w:numPr>
        <w:ind w:left="680"/>
      </w:pPr>
    </w:p>
    <w:p w:rsidR="00B4550A" w:rsidRPr="00E0488D" w:rsidRDefault="00B4550A" w:rsidP="002B7E09">
      <w:pPr>
        <w:pStyle w:val="NumberedParas"/>
        <w:numPr>
          <w:ilvl w:val="0"/>
          <w:numId w:val="0"/>
        </w:numPr>
        <w:ind w:left="680"/>
      </w:pPr>
    </w:p>
    <w:p w:rsidR="00B4550A" w:rsidRPr="00E0488D" w:rsidRDefault="00B4550A" w:rsidP="002B7E09">
      <w:pPr>
        <w:pStyle w:val="NumberedParas"/>
        <w:numPr>
          <w:ilvl w:val="0"/>
          <w:numId w:val="0"/>
        </w:numPr>
        <w:ind w:left="680"/>
      </w:pPr>
    </w:p>
    <w:p w:rsidR="00B4550A" w:rsidRPr="00E0488D" w:rsidRDefault="00B4550A" w:rsidP="002B7E09">
      <w:pPr>
        <w:pStyle w:val="NumberedParas"/>
        <w:numPr>
          <w:ilvl w:val="0"/>
          <w:numId w:val="0"/>
        </w:numPr>
        <w:ind w:left="680"/>
      </w:pPr>
    </w:p>
    <w:p w:rsidR="00B4550A" w:rsidRPr="00E0488D" w:rsidRDefault="00B4550A" w:rsidP="002B7E09">
      <w:pPr>
        <w:pStyle w:val="NumberedParas"/>
        <w:numPr>
          <w:ilvl w:val="0"/>
          <w:numId w:val="0"/>
        </w:numPr>
        <w:ind w:left="680"/>
      </w:pPr>
    </w:p>
    <w:p w:rsidR="00B4550A" w:rsidRPr="00E0488D" w:rsidRDefault="004F3676" w:rsidP="002B7E09">
      <w:pPr>
        <w:pStyle w:val="NumberedParas"/>
        <w:numPr>
          <w:ilvl w:val="0"/>
          <w:numId w:val="0"/>
        </w:numPr>
        <w:ind w:left="680"/>
      </w:pPr>
      <w:r w:rsidRPr="00E0488D">
        <w:rPr>
          <w:noProof/>
          <w:lang w:eastAsia="ro-RO"/>
        </w:rPr>
        <w:lastRenderedPageBreak/>
        <w:drawing>
          <wp:inline distT="0" distB="0" distL="0" distR="0">
            <wp:extent cx="5994000" cy="4145562"/>
            <wp:effectExtent l="19050" t="0" r="6750" b="0"/>
            <wp:docPr id="1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srcRect/>
                    <a:stretch>
                      <a:fillRect/>
                    </a:stretch>
                  </pic:blipFill>
                  <pic:spPr bwMode="auto">
                    <a:xfrm>
                      <a:off x="0" y="0"/>
                      <a:ext cx="5994000" cy="4145562"/>
                    </a:xfrm>
                    <a:prstGeom prst="rect">
                      <a:avLst/>
                    </a:prstGeom>
                    <a:noFill/>
                    <a:ln w="9525">
                      <a:noFill/>
                      <a:miter lim="800000"/>
                      <a:headEnd/>
                      <a:tailEnd/>
                    </a:ln>
                  </pic:spPr>
                </pic:pic>
              </a:graphicData>
            </a:graphic>
          </wp:inline>
        </w:drawing>
      </w:r>
    </w:p>
    <w:p w:rsidR="00B4550A" w:rsidRPr="00E0488D" w:rsidRDefault="00B4550A" w:rsidP="00B4550A">
      <w:pPr>
        <w:pStyle w:val="ListParagraph"/>
        <w:keepNext/>
        <w:spacing w:before="120" w:after="120"/>
        <w:ind w:left="680"/>
        <w:rPr>
          <w:b/>
          <w:sz w:val="22"/>
          <w:szCs w:val="22"/>
          <w:lang w:val="ro-RO"/>
        </w:rPr>
      </w:pPr>
      <w:r w:rsidRPr="00E0488D">
        <w:rPr>
          <w:b/>
          <w:sz w:val="22"/>
          <w:szCs w:val="22"/>
          <w:lang w:val="ro-RO"/>
        </w:rPr>
        <w:t xml:space="preserve">Figura 4.16 – Coridoare cheie </w:t>
      </w:r>
    </w:p>
    <w:p w:rsidR="00B4550A" w:rsidRPr="00E0488D" w:rsidRDefault="00B4550A" w:rsidP="00B4550A">
      <w:pPr>
        <w:rPr>
          <w:lang w:val="ro-RO"/>
        </w:rPr>
      </w:pPr>
      <w:r w:rsidRPr="00E0488D">
        <w:rPr>
          <w:lang w:val="ro-RO"/>
        </w:rPr>
        <w:t>Sursa: Analiza AECOM</w:t>
      </w:r>
    </w:p>
    <w:p w:rsidR="00B4550A" w:rsidRPr="00E0488D" w:rsidRDefault="00B4550A" w:rsidP="00B4550A">
      <w:pPr>
        <w:rPr>
          <w:lang w:val="ro-RO"/>
        </w:rPr>
      </w:pPr>
    </w:p>
    <w:p w:rsidR="00B4550A" w:rsidRPr="00E0488D" w:rsidRDefault="00B4550A" w:rsidP="002B7E09">
      <w:pPr>
        <w:pStyle w:val="NumberedParas"/>
      </w:pPr>
      <w:r w:rsidRPr="00E0488D">
        <w:t xml:space="preserve">Au fost, de asemnea, realizate analize ale deplasărilor la nivel județean și regional. Acestea sunt ilustrate în Figurile următoare. </w:t>
      </w:r>
    </w:p>
    <w:p w:rsidR="00B4550A" w:rsidRPr="00E0488D" w:rsidRDefault="00B4550A" w:rsidP="00B4550A">
      <w:pPr>
        <w:ind w:firstLine="567"/>
        <w:rPr>
          <w:lang w:val="ro-RO"/>
        </w:rPr>
      </w:pPr>
    </w:p>
    <w:p w:rsidR="00B4550A" w:rsidRPr="00E0488D" w:rsidRDefault="00B4550A" w:rsidP="00B4550A">
      <w:pPr>
        <w:ind w:firstLine="567"/>
        <w:rPr>
          <w:lang w:val="ro-RO"/>
        </w:rPr>
      </w:pPr>
    </w:p>
    <w:p w:rsidR="00B4550A" w:rsidRPr="00E0488D" w:rsidRDefault="00B4550A" w:rsidP="00B4550A">
      <w:pPr>
        <w:ind w:firstLine="567"/>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pgSz w:w="11907" w:h="16840" w:code="9"/>
          <w:pgMar w:top="1418" w:right="709" w:bottom="1418" w:left="907" w:header="357" w:footer="567" w:gutter="0"/>
          <w:cols w:space="187"/>
          <w:docGrid w:linePitch="360"/>
        </w:sectPr>
      </w:pPr>
    </w:p>
    <w:p w:rsidR="00B4550A" w:rsidRPr="00E0488D" w:rsidRDefault="00B4550A" w:rsidP="00B4550A">
      <w:pPr>
        <w:pStyle w:val="Body"/>
        <w:ind w:left="851"/>
        <w:rPr>
          <w:lang w:val="ro-RO"/>
        </w:rPr>
      </w:pPr>
    </w:p>
    <w:p w:rsidR="00B4550A" w:rsidRPr="00E0488D" w:rsidRDefault="00B4550A" w:rsidP="00B4550A">
      <w:pPr>
        <w:pStyle w:val="Body"/>
        <w:rPr>
          <w:lang w:val="ro-RO"/>
        </w:rPr>
      </w:pPr>
      <w:r w:rsidRPr="00E0488D">
        <w:rPr>
          <w:noProof/>
          <w:lang w:val="ro-RO" w:eastAsia="ro-RO"/>
        </w:rPr>
        <w:drawing>
          <wp:inline distT="0" distB="0" distL="0" distR="0">
            <wp:extent cx="7486650" cy="4838700"/>
            <wp:effectExtent l="0" t="0" r="0" b="0"/>
            <wp:docPr id="134" name="Picture 10" descr="Desire_line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re_lines_v2.jpg"/>
                    <pic:cNvPicPr/>
                  </pic:nvPicPr>
                  <pic:blipFill>
                    <a:blip r:embed="rId114" cstate="email">
                      <a:extLst>
                        <a:ext uri="{28A0092B-C50C-407E-A947-70E740481C1C}">
                          <a14:useLocalDpi xmlns:a14="http://schemas.microsoft.com/office/drawing/2010/main"/>
                        </a:ext>
                      </a:extLst>
                    </a:blip>
                    <a:srcRect/>
                    <a:stretch>
                      <a:fillRect/>
                    </a:stretch>
                  </pic:blipFill>
                  <pic:spPr>
                    <a:xfrm>
                      <a:off x="0" y="0"/>
                      <a:ext cx="7486650" cy="4838700"/>
                    </a:xfrm>
                    <a:prstGeom prst="rect">
                      <a:avLst/>
                    </a:prstGeom>
                  </pic:spPr>
                </pic:pic>
              </a:graphicData>
            </a:graphic>
          </wp:inline>
        </w:drawing>
      </w:r>
    </w:p>
    <w:p w:rsidR="00B4550A" w:rsidRPr="00E0488D" w:rsidRDefault="00B4550A" w:rsidP="00B4550A">
      <w:pPr>
        <w:keepNext/>
        <w:rPr>
          <w:b/>
          <w:sz w:val="22"/>
          <w:szCs w:val="22"/>
          <w:lang w:val="ro-RO"/>
        </w:rPr>
      </w:pPr>
      <w:r w:rsidRPr="00E0488D">
        <w:rPr>
          <w:b/>
          <w:sz w:val="22"/>
          <w:szCs w:val="22"/>
          <w:lang w:val="ro-RO"/>
        </w:rPr>
        <w:t>Figura 4.17</w:t>
      </w:r>
      <w:r w:rsidRPr="00E0488D">
        <w:rPr>
          <w:b/>
          <w:sz w:val="22"/>
          <w:szCs w:val="22"/>
          <w:lang w:val="ro-RO"/>
        </w:rPr>
        <w:tab/>
        <w:t xml:space="preserve">Analiza cererii de transport rutier la nivel de județ - Scenariul de referință pentru anul 2020 (vehicule) </w:t>
      </w:r>
    </w:p>
    <w:p w:rsidR="00B4550A" w:rsidRPr="00E0488D" w:rsidRDefault="00B4550A" w:rsidP="00B4550A">
      <w:pPr>
        <w:pStyle w:val="Body"/>
        <w:rPr>
          <w:lang w:val="ro-RO"/>
        </w:rPr>
      </w:pPr>
      <w:r w:rsidRPr="00E0488D">
        <w:rPr>
          <w:lang w:val="ro-RO"/>
        </w:rPr>
        <w:t>Notă: Călătoriile internaționale nu sunt ilustrate, sursa = Modelul Național de Transport elaborat de către AECOM</w:t>
      </w:r>
    </w:p>
    <w:p w:rsidR="00B4550A" w:rsidRPr="00E0488D" w:rsidRDefault="00B4550A" w:rsidP="00B4550A">
      <w:pPr>
        <w:keepNext/>
        <w:rPr>
          <w:b/>
          <w:sz w:val="22"/>
          <w:szCs w:val="22"/>
          <w:lang w:val="ro-RO"/>
        </w:rPr>
      </w:pPr>
      <w:r w:rsidRPr="00E0488D">
        <w:rPr>
          <w:noProof/>
          <w:lang w:val="ro-RO" w:eastAsia="ro-RO"/>
        </w:rPr>
        <w:lastRenderedPageBreak/>
        <w:drawing>
          <wp:inline distT="0" distB="0" distL="0" distR="0">
            <wp:extent cx="7421798" cy="5040893"/>
            <wp:effectExtent l="19050" t="0" r="7702" b="0"/>
            <wp:docPr id="135" name="Picture 11" descr="Desire_lines_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re_lines_regions.jpg"/>
                    <pic:cNvPicPr/>
                  </pic:nvPicPr>
                  <pic:blipFill>
                    <a:blip r:embed="rId115" cstate="email">
                      <a:extLst>
                        <a:ext uri="{28A0092B-C50C-407E-A947-70E740481C1C}">
                          <a14:useLocalDpi xmlns:a14="http://schemas.microsoft.com/office/drawing/2010/main"/>
                        </a:ext>
                      </a:extLst>
                    </a:blip>
                    <a:srcRect/>
                    <a:stretch>
                      <a:fillRect/>
                    </a:stretch>
                  </pic:blipFill>
                  <pic:spPr>
                    <a:xfrm>
                      <a:off x="0" y="0"/>
                      <a:ext cx="7421171" cy="5040467"/>
                    </a:xfrm>
                    <a:prstGeom prst="rect">
                      <a:avLst/>
                    </a:prstGeom>
                  </pic:spPr>
                </pic:pic>
              </a:graphicData>
            </a:graphic>
          </wp:inline>
        </w:drawing>
      </w:r>
    </w:p>
    <w:p w:rsidR="00B4550A" w:rsidRPr="00E0488D" w:rsidRDefault="00B4550A" w:rsidP="00B4550A">
      <w:pPr>
        <w:keepNext/>
        <w:rPr>
          <w:b/>
          <w:sz w:val="22"/>
          <w:szCs w:val="22"/>
          <w:lang w:val="ro-RO"/>
        </w:rPr>
      </w:pPr>
      <w:r w:rsidRPr="00E0488D">
        <w:rPr>
          <w:b/>
          <w:sz w:val="22"/>
          <w:szCs w:val="22"/>
          <w:lang w:val="ro-RO"/>
        </w:rPr>
        <w:t xml:space="preserve"> Figura 4.18</w:t>
      </w:r>
      <w:r w:rsidRPr="00E0488D">
        <w:rPr>
          <w:b/>
          <w:sz w:val="22"/>
          <w:szCs w:val="22"/>
          <w:lang w:val="ro-RO"/>
        </w:rPr>
        <w:tab/>
        <w:t>Analiza cererii de transport rutier la nivel regional - Scenariul de referință pentru anul 2020 (vehicule)</w:t>
      </w:r>
    </w:p>
    <w:p w:rsidR="00B4550A" w:rsidRPr="00E0488D" w:rsidRDefault="00B4550A" w:rsidP="00B4550A">
      <w:pPr>
        <w:keepNext/>
        <w:ind w:left="709"/>
        <w:rPr>
          <w:i/>
          <w:sz w:val="22"/>
          <w:szCs w:val="22"/>
          <w:lang w:val="ro-RO"/>
        </w:rPr>
      </w:pPr>
      <w:r w:rsidRPr="00E0488D">
        <w:rPr>
          <w:i/>
          <w:sz w:val="22"/>
          <w:szCs w:val="22"/>
          <w:lang w:val="ro-RO"/>
        </w:rPr>
        <w:t>Notă: Călătoriile internaționale nu sunt ilustrate, sursa = Modelul Național de Transport elaborat de către AECOM</w:t>
      </w:r>
    </w:p>
    <w:p w:rsidR="00B4550A" w:rsidRPr="00E0488D" w:rsidRDefault="00B4550A" w:rsidP="00B4550A">
      <w:pPr>
        <w:pStyle w:val="Body"/>
        <w:rPr>
          <w:lang w:val="ro-RO"/>
        </w:rPr>
      </w:pP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Body"/>
        <w:ind w:left="0"/>
        <w:rPr>
          <w:lang w:val="ro-RO"/>
        </w:rPr>
      </w:pPr>
    </w:p>
    <w:p w:rsidR="00B4550A" w:rsidRPr="00E0488D" w:rsidRDefault="00B4550A" w:rsidP="00B4550A">
      <w:pPr>
        <w:pStyle w:val="Body"/>
        <w:rPr>
          <w:lang w:val="ro-RO"/>
        </w:rPr>
      </w:pPr>
      <w:r w:rsidRPr="00E0488D">
        <w:rPr>
          <w:noProof/>
          <w:lang w:val="ro-RO" w:eastAsia="ro-RO"/>
        </w:rPr>
        <w:drawing>
          <wp:inline distT="0" distB="0" distL="0" distR="0">
            <wp:extent cx="7667625" cy="5212390"/>
            <wp:effectExtent l="19050" t="0" r="9525" b="0"/>
            <wp:docPr id="136" name="Picture 16" descr="Desire_lines_regions_and_ex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re_lines_regions_and_external.jpg"/>
                    <pic:cNvPicPr/>
                  </pic:nvPicPr>
                  <pic:blipFill>
                    <a:blip r:embed="rId116" cstate="email">
                      <a:extLst>
                        <a:ext uri="{28A0092B-C50C-407E-A947-70E740481C1C}">
                          <a14:useLocalDpi xmlns:a14="http://schemas.microsoft.com/office/drawing/2010/main"/>
                        </a:ext>
                      </a:extLst>
                    </a:blip>
                    <a:srcRect/>
                    <a:stretch>
                      <a:fillRect/>
                    </a:stretch>
                  </pic:blipFill>
                  <pic:spPr>
                    <a:xfrm>
                      <a:off x="0" y="0"/>
                      <a:ext cx="7667625" cy="5212390"/>
                    </a:xfrm>
                    <a:prstGeom prst="rect">
                      <a:avLst/>
                    </a:prstGeom>
                  </pic:spPr>
                </pic:pic>
              </a:graphicData>
            </a:graphic>
          </wp:inline>
        </w:drawing>
      </w:r>
    </w:p>
    <w:p w:rsidR="00B4550A" w:rsidRPr="00E0488D" w:rsidRDefault="00B4550A" w:rsidP="00B4550A">
      <w:pPr>
        <w:rPr>
          <w:b/>
          <w:sz w:val="22"/>
          <w:szCs w:val="22"/>
          <w:lang w:val="ro-RO"/>
        </w:rPr>
      </w:pPr>
      <w:r w:rsidRPr="00E0488D">
        <w:rPr>
          <w:lang w:val="ro-RO"/>
        </w:rPr>
        <w:tab/>
      </w:r>
      <w:r w:rsidRPr="00E0488D">
        <w:rPr>
          <w:b/>
          <w:sz w:val="22"/>
          <w:szCs w:val="22"/>
          <w:lang w:val="ro-RO"/>
        </w:rPr>
        <w:t>Figura 4.18</w:t>
      </w:r>
      <w:r w:rsidRPr="00E0488D">
        <w:rPr>
          <w:b/>
          <w:sz w:val="22"/>
          <w:szCs w:val="22"/>
          <w:lang w:val="ro-RO"/>
        </w:rPr>
        <w:tab/>
        <w:t>Analiza cererii de transport rutier la nivel regional - Scenariul de referință pentru anul 2020 (vehicule)</w:t>
      </w:r>
    </w:p>
    <w:p w:rsidR="00B4550A" w:rsidRPr="00E0488D" w:rsidRDefault="00B4550A" w:rsidP="00B4550A">
      <w:pPr>
        <w:pStyle w:val="Body"/>
        <w:tabs>
          <w:tab w:val="left" w:pos="1665"/>
        </w:tabs>
        <w:rPr>
          <w:lang w:val="ro-RO"/>
        </w:rPr>
      </w:pPr>
      <w:r w:rsidRPr="00E0488D">
        <w:rPr>
          <w:lang w:val="ro-RO"/>
        </w:rPr>
        <w:t>Nota:</w:t>
      </w:r>
      <w:r w:rsidRPr="00E0488D">
        <w:rPr>
          <w:lang w:val="ro-RO"/>
        </w:rPr>
        <w:tab/>
        <w:t>Cu includerea călătoriilor internaționale efectuate de peste 500 de vehicule, sursa = Modelul Național de Transport elaborat de către AECOM</w:t>
      </w:r>
    </w:p>
    <w:p w:rsidR="00B4550A" w:rsidRPr="00E0488D" w:rsidRDefault="00B4550A" w:rsidP="00B4550A">
      <w:pPr>
        <w:rPr>
          <w:lang w:val="ro-RO"/>
        </w:rPr>
        <w:sectPr w:rsidR="00B4550A" w:rsidRPr="00E0488D" w:rsidSect="006601AB">
          <w:pgSz w:w="16840" w:h="11907" w:orient="landscape" w:code="9"/>
          <w:pgMar w:top="907" w:right="1418" w:bottom="709" w:left="1418" w:header="357" w:footer="567" w:gutter="0"/>
          <w:cols w:space="187"/>
          <w:docGrid w:linePitch="360"/>
        </w:sectPr>
      </w:pPr>
    </w:p>
    <w:p w:rsidR="00B4550A" w:rsidRPr="00E0488D" w:rsidRDefault="00B4550A" w:rsidP="002B7E09">
      <w:pPr>
        <w:pStyle w:val="NumberedParas"/>
      </w:pPr>
      <w:r w:rsidRPr="00E0488D">
        <w:lastRenderedPageBreak/>
        <w:t xml:space="preserve">S-au identificat o serie de opțiuni pentru fiecare coridor sau zonă, care pot îndeplini obiectivele strategice și operaționale, tratând astfel problema timpului pierdut pe rețea. </w:t>
      </w:r>
    </w:p>
    <w:p w:rsidR="00B4550A" w:rsidRPr="00E0488D" w:rsidRDefault="00B4550A" w:rsidP="002B7E09">
      <w:pPr>
        <w:pStyle w:val="NumberedParas"/>
      </w:pPr>
      <w:r w:rsidRPr="00E0488D">
        <w:t>Toate opțiunile au fost codate în cadrul Modelului Național, după care au fost supuse unei rulări complete în cadrul modelului, efectuându-se o analiză economică și multicriterială, conform procedurilor în Documentul Ghid al Master Planului</w:t>
      </w:r>
      <w:r w:rsidRPr="00E0488D">
        <w:rPr>
          <w:rStyle w:val="FootnoteReference"/>
        </w:rPr>
        <w:footnoteReference w:id="24"/>
      </w:r>
      <w:r w:rsidRPr="00E0488D">
        <w:t>, în vederea determinării obiective de proiecte eligibile ce pot fi implementate în fiecare zonă.</w:t>
      </w:r>
    </w:p>
    <w:p w:rsidR="00B4550A" w:rsidRPr="00E0488D" w:rsidRDefault="00B4550A" w:rsidP="002B7E09">
      <w:pPr>
        <w:pStyle w:val="NumberedParas"/>
      </w:pPr>
      <w:r w:rsidRPr="00E0488D">
        <w:t>Rezultatele acestor analize, numite Teste de Nivel 1, sunt sintetizate în Tabelul următor:</w:t>
      </w:r>
    </w:p>
    <w:p w:rsidR="00B4550A" w:rsidRPr="00E0488D" w:rsidRDefault="00B4550A" w:rsidP="00B4550A">
      <w:pPr>
        <w:keepNext/>
        <w:spacing w:before="120" w:after="120"/>
        <w:ind w:left="851"/>
        <w:rPr>
          <w:b/>
          <w:sz w:val="22"/>
          <w:szCs w:val="22"/>
          <w:lang w:val="ro-RO"/>
        </w:rPr>
      </w:pPr>
      <w:r w:rsidRPr="003D4E3C">
        <w:rPr>
          <w:b/>
          <w:sz w:val="22"/>
          <w:szCs w:val="22"/>
          <w:lang w:val="ro-RO"/>
        </w:rPr>
        <w:t>Tabelul 4.17</w:t>
      </w:r>
      <w:r w:rsidRPr="003D4E3C">
        <w:rPr>
          <w:b/>
          <w:sz w:val="22"/>
          <w:szCs w:val="22"/>
          <w:lang w:val="ro-RO"/>
        </w:rPr>
        <w:tab/>
        <w:t>Sinteza rezultatelor Testelor de Nivel 1 (ACB)</w:t>
      </w:r>
      <w:r w:rsidRPr="00E0488D">
        <w:rPr>
          <w:b/>
          <w:sz w:val="22"/>
          <w:szCs w:val="22"/>
          <w:lang w:val="ro-RO"/>
        </w:rPr>
        <w:t xml:space="preserve"> </w:t>
      </w:r>
    </w:p>
    <w:tbl>
      <w:tblPr>
        <w:tblW w:w="1007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5"/>
        <w:gridCol w:w="3511"/>
        <w:gridCol w:w="1715"/>
        <w:gridCol w:w="979"/>
        <w:gridCol w:w="980"/>
        <w:gridCol w:w="980"/>
      </w:tblGrid>
      <w:tr w:rsidR="00B4550A" w:rsidRPr="00E0488D" w:rsidTr="003C7FC8">
        <w:trPr>
          <w:trHeight w:val="1067"/>
          <w:tblHeader/>
        </w:trPr>
        <w:tc>
          <w:tcPr>
            <w:tcW w:w="1905" w:type="dxa"/>
            <w:shd w:val="clear" w:color="auto" w:fill="B8CCE4" w:themeFill="accent1" w:themeFillTint="66"/>
            <w:noWrap/>
            <w:vAlign w:val="center"/>
            <w:hideMark/>
          </w:tcPr>
          <w:p w:rsidR="00B4550A" w:rsidRPr="00E0488D" w:rsidRDefault="00B4550A" w:rsidP="003C7FC8">
            <w:pPr>
              <w:keepNext/>
              <w:jc w:val="center"/>
              <w:rPr>
                <w:rFonts w:cs="Arial"/>
                <w:b/>
                <w:sz w:val="22"/>
                <w:szCs w:val="22"/>
                <w:lang w:val="ro-RO" w:eastAsia="en-GB"/>
              </w:rPr>
            </w:pPr>
            <w:r w:rsidRPr="00E0488D">
              <w:rPr>
                <w:rFonts w:cs="Arial"/>
                <w:b/>
                <w:sz w:val="22"/>
                <w:szCs w:val="22"/>
                <w:lang w:val="ro-RO" w:eastAsia="en-GB"/>
              </w:rPr>
              <w:t>Ref.</w:t>
            </w:r>
          </w:p>
        </w:tc>
        <w:tc>
          <w:tcPr>
            <w:tcW w:w="3511" w:type="dxa"/>
            <w:shd w:val="clear" w:color="auto" w:fill="B8CCE4" w:themeFill="accent1" w:themeFillTint="66"/>
            <w:noWrap/>
            <w:vAlign w:val="center"/>
            <w:hideMark/>
          </w:tcPr>
          <w:p w:rsidR="00B4550A" w:rsidRPr="00E0488D" w:rsidRDefault="00B4550A" w:rsidP="003C7FC8">
            <w:pPr>
              <w:keepNext/>
              <w:jc w:val="center"/>
              <w:rPr>
                <w:rFonts w:cs="Arial"/>
                <w:b/>
                <w:sz w:val="22"/>
                <w:szCs w:val="22"/>
                <w:lang w:val="ro-RO" w:eastAsia="en-GB"/>
              </w:rPr>
            </w:pPr>
            <w:r w:rsidRPr="00E0488D">
              <w:rPr>
                <w:rFonts w:cs="Arial"/>
                <w:b/>
                <w:sz w:val="22"/>
                <w:szCs w:val="22"/>
                <w:lang w:val="ro-RO" w:eastAsia="en-GB"/>
              </w:rPr>
              <w:t>Proiect</w:t>
            </w:r>
          </w:p>
        </w:tc>
        <w:tc>
          <w:tcPr>
            <w:tcW w:w="1715"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color w:val="000000"/>
                <w:sz w:val="22"/>
                <w:szCs w:val="22"/>
                <w:lang w:val="ro-RO"/>
              </w:rPr>
              <w:t>Cost de investiție          (neactualizat)</w:t>
            </w:r>
          </w:p>
          <w:p w:rsidR="00B4550A" w:rsidRPr="00E0488D" w:rsidRDefault="00B4550A" w:rsidP="003C7FC8">
            <w:pPr>
              <w:keepNext/>
              <w:jc w:val="center"/>
              <w:rPr>
                <w:rFonts w:cs="Arial"/>
                <w:b/>
                <w:color w:val="000000"/>
                <w:sz w:val="22"/>
                <w:szCs w:val="22"/>
                <w:lang w:val="ro-RO" w:eastAsia="en-GB"/>
              </w:rPr>
            </w:pPr>
            <w:r w:rsidRPr="00E0488D">
              <w:rPr>
                <w:rFonts w:cs="Arial"/>
                <w:b/>
                <w:i/>
                <w:iCs/>
                <w:color w:val="000000"/>
                <w:sz w:val="22"/>
                <w:szCs w:val="22"/>
                <w:lang w:val="ro-RO"/>
              </w:rPr>
              <w:t>în mil EURO</w:t>
            </w:r>
          </w:p>
        </w:tc>
        <w:tc>
          <w:tcPr>
            <w:tcW w:w="979"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color w:val="000000"/>
                <w:sz w:val="22"/>
                <w:szCs w:val="22"/>
                <w:lang w:val="ro-RO"/>
              </w:rPr>
              <w:t>VNA</w:t>
            </w:r>
          </w:p>
          <w:p w:rsidR="00B4550A" w:rsidRPr="00E0488D" w:rsidRDefault="00B4550A" w:rsidP="003C7FC8">
            <w:pPr>
              <w:keepNext/>
              <w:jc w:val="center"/>
              <w:rPr>
                <w:rFonts w:cs="Arial"/>
                <w:b/>
                <w:color w:val="000000"/>
                <w:sz w:val="22"/>
                <w:szCs w:val="22"/>
                <w:lang w:val="ro-RO" w:eastAsia="en-GB"/>
              </w:rPr>
            </w:pPr>
            <w:r w:rsidRPr="00E0488D">
              <w:rPr>
                <w:rFonts w:cs="Arial"/>
                <w:b/>
                <w:i/>
                <w:iCs/>
                <w:color w:val="000000"/>
                <w:sz w:val="22"/>
                <w:szCs w:val="22"/>
                <w:lang w:val="ro-RO"/>
              </w:rPr>
              <w:t>în mil EURO</w:t>
            </w:r>
          </w:p>
        </w:tc>
        <w:tc>
          <w:tcPr>
            <w:tcW w:w="980"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color w:val="000000"/>
                <w:sz w:val="22"/>
                <w:szCs w:val="22"/>
                <w:lang w:val="ro-RO"/>
              </w:rPr>
              <w:t>RBC</w:t>
            </w:r>
          </w:p>
        </w:tc>
        <w:tc>
          <w:tcPr>
            <w:tcW w:w="980"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i/>
                <w:iCs/>
                <w:color w:val="000000"/>
                <w:sz w:val="22"/>
                <w:szCs w:val="22"/>
                <w:lang w:val="ro-RO"/>
              </w:rPr>
              <w:t xml:space="preserve">% </w:t>
            </w:r>
            <w:r w:rsidRPr="00E0488D">
              <w:rPr>
                <w:rFonts w:cs="Arial"/>
                <w:b/>
                <w:color w:val="000000"/>
                <w:sz w:val="22"/>
                <w:szCs w:val="22"/>
                <w:lang w:val="ro-RO"/>
              </w:rPr>
              <w:t>RIRE</w:t>
            </w:r>
          </w:p>
        </w:tc>
      </w:tr>
      <w:tr w:rsidR="00B4550A" w:rsidRPr="00E0488D" w:rsidTr="003C7FC8">
        <w:trPr>
          <w:trHeight w:val="285"/>
        </w:trPr>
        <w:tc>
          <w:tcPr>
            <w:tcW w:w="1905" w:type="dxa"/>
            <w:shd w:val="clear" w:color="auto" w:fill="auto"/>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OR1</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Autostrada Ploiești-Brașov</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1,427</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2,495</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3.55</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13.7%</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OR2, Opțiunea A</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Pitești-Sibiu</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2,471</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3,301</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2.96</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12.1%</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OR2, Opțiunea B</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 xml:space="preserve">Ploiești-Brașov-Sibiu </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2,117</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6,895</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5.70</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18.1%</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OR3, Opțiunea A</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Ploiești-Buzău-Bacău-Iași</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2,524</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3,232</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2.81</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11.5%</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OR3, Opțiunea B</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Ploiești-Brașov-Bacău-Iași</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4,428</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3,440</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2.13</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9.9%</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OR3, Opțiunea C</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Ploiești-Brașov-Bacău-Iași (via Pașcani)</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4,561</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943</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1.30</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6.8%</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OR4, Opțiunea A</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 xml:space="preserve">Pitești-Craiova </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870</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1,242</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3.03</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12.2%</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OR4, Opțiunea B</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București-Alexandria-Craiova</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1,190</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329</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1.43</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7.2%</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OR5, Opțiunea A</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 xml:space="preserve">Iași-Turda-Nădășelu-Borș </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5,026</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5,625</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2.62</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11.4%</w:t>
            </w:r>
          </w:p>
        </w:tc>
      </w:tr>
      <w:tr w:rsidR="00B4550A" w:rsidRPr="00E0488D" w:rsidTr="003C7FC8">
        <w:trPr>
          <w:trHeight w:val="285"/>
        </w:trPr>
        <w:tc>
          <w:tcPr>
            <w:tcW w:w="1905"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OR5, Opțiunea B</w:t>
            </w:r>
          </w:p>
        </w:tc>
        <w:tc>
          <w:tcPr>
            <w:tcW w:w="3511" w:type="dxa"/>
            <w:shd w:val="clear" w:color="000000" w:fill="FFFFFF"/>
            <w:noWrap/>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Iași-Bacău-Brașov-Sibiu</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3,691</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3,851</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2.50</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11.0%</w:t>
            </w:r>
          </w:p>
        </w:tc>
      </w:tr>
      <w:tr w:rsidR="00B4550A" w:rsidRPr="00E0488D" w:rsidTr="003C7FC8">
        <w:trPr>
          <w:trHeight w:val="810"/>
        </w:trPr>
        <w:tc>
          <w:tcPr>
            <w:tcW w:w="1905" w:type="dxa"/>
            <w:shd w:val="clear" w:color="auto" w:fill="auto"/>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 xml:space="preserve">Rețeaua rutieră de Nivel 1   recomandată </w:t>
            </w:r>
          </w:p>
        </w:tc>
        <w:tc>
          <w:tcPr>
            <w:tcW w:w="3511" w:type="dxa"/>
            <w:shd w:val="clear" w:color="000000" w:fill="FFFFFF"/>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Incluzând OR1,OR2B, OR3B, OR4A și OR5B</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5,988</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9,835</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3.36</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13.2%</w:t>
            </w:r>
          </w:p>
        </w:tc>
      </w:tr>
      <w:tr w:rsidR="00B4550A" w:rsidRPr="00E0488D" w:rsidTr="003C7FC8">
        <w:trPr>
          <w:trHeight w:val="810"/>
        </w:trPr>
        <w:tc>
          <w:tcPr>
            <w:tcW w:w="1905" w:type="dxa"/>
            <w:shd w:val="clear" w:color="auto" w:fill="auto"/>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Rețeaua rutieră alternativă de Nivel 1</w:t>
            </w:r>
          </w:p>
        </w:tc>
        <w:tc>
          <w:tcPr>
            <w:tcW w:w="3511" w:type="dxa"/>
            <w:shd w:val="clear" w:color="000000" w:fill="FFFFFF"/>
            <w:vAlign w:val="center"/>
            <w:hideMark/>
          </w:tcPr>
          <w:p w:rsidR="00B4550A" w:rsidRPr="00E0488D" w:rsidRDefault="00B4550A" w:rsidP="003C7FC8">
            <w:pPr>
              <w:keepNext/>
              <w:rPr>
                <w:rFonts w:cs="Arial"/>
                <w:sz w:val="22"/>
                <w:szCs w:val="22"/>
                <w:lang w:val="ro-RO" w:eastAsia="en-GB"/>
              </w:rPr>
            </w:pPr>
            <w:r w:rsidRPr="00E0488D">
              <w:rPr>
                <w:rFonts w:cs="Arial"/>
                <w:sz w:val="22"/>
                <w:szCs w:val="22"/>
                <w:lang w:val="ro-RO" w:eastAsia="en-GB"/>
              </w:rPr>
              <w:t>Incluzând OR1, OR2A, OR3A, OR4B și OR5A</w:t>
            </w:r>
          </w:p>
        </w:tc>
        <w:tc>
          <w:tcPr>
            <w:tcW w:w="1715"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rPr>
              <w:t>17,080</w:t>
            </w:r>
          </w:p>
        </w:tc>
        <w:tc>
          <w:tcPr>
            <w:tcW w:w="979"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9,470</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2.06</w:t>
            </w:r>
          </w:p>
        </w:tc>
        <w:tc>
          <w:tcPr>
            <w:tcW w:w="980" w:type="dxa"/>
            <w:shd w:val="clear" w:color="000000" w:fill="EEECE1"/>
            <w:noWrap/>
            <w:vAlign w:val="center"/>
            <w:hideMark/>
          </w:tcPr>
          <w:p w:rsidR="00B4550A" w:rsidRPr="00E0488D" w:rsidRDefault="00B4550A" w:rsidP="003C7FC8">
            <w:pPr>
              <w:keepNext/>
              <w:jc w:val="center"/>
              <w:rPr>
                <w:rFonts w:cs="Arial"/>
                <w:color w:val="000000"/>
                <w:sz w:val="22"/>
                <w:szCs w:val="22"/>
                <w:lang w:val="ro-RO" w:eastAsia="en-GB"/>
              </w:rPr>
            </w:pPr>
            <w:r w:rsidRPr="00E0488D">
              <w:rPr>
                <w:rFonts w:cs="Arial"/>
                <w:color w:val="000000"/>
                <w:sz w:val="22"/>
                <w:szCs w:val="22"/>
                <w:lang w:val="ro-RO" w:eastAsia="en-GB"/>
              </w:rPr>
              <w:t>8.6%</w:t>
            </w:r>
          </w:p>
        </w:tc>
      </w:tr>
    </w:tbl>
    <w:p w:rsidR="00B4550A" w:rsidRPr="00E0488D" w:rsidRDefault="00B4550A" w:rsidP="00B4550A">
      <w:pPr>
        <w:spacing w:before="120" w:after="120"/>
        <w:ind w:left="851"/>
        <w:rPr>
          <w:sz w:val="22"/>
          <w:szCs w:val="22"/>
          <w:lang w:val="ro-RO"/>
        </w:rPr>
      </w:pPr>
      <w:r w:rsidRPr="00E0488D">
        <w:rPr>
          <w:i/>
          <w:sz w:val="22"/>
          <w:szCs w:val="22"/>
          <w:lang w:val="ro-RO"/>
        </w:rPr>
        <w:t>Sursa: Modelul Național de Transport elaborat de AECOM</w:t>
      </w:r>
    </w:p>
    <w:p w:rsidR="00B4550A" w:rsidRPr="00E0488D" w:rsidRDefault="00B4550A" w:rsidP="002B7E09">
      <w:pPr>
        <w:pStyle w:val="NumberedParas"/>
      </w:pPr>
      <w:r w:rsidRPr="00E0488D">
        <w:t>Alcătuirea Rețelei de Nivel 1 recomandate a fost realizată în principal, în baza performanței individuale a proiectelor componente, dar și luând în considerare conectivitatea rețelei în ansambluși asigurând furnizarea unei structuri logice. Este important de menționat faptul că acesta nu este un proces pur mecanic, de vreme ce rețeaua rezultată trebuie să aibă o consistență internă, mai ales în ceea ce privește coerența conectivității. Această țintă nu poate fi atinsă doar urmare a unui proces de selecție a celor mai avantajoase proiecte sub aspect economic și combinarea acestora sub forma unei rețele.</w:t>
      </w:r>
    </w:p>
    <w:p w:rsidR="00B4550A" w:rsidRPr="00E0488D" w:rsidRDefault="00B4550A" w:rsidP="002B7E09">
      <w:pPr>
        <w:pStyle w:val="NumberedParas"/>
      </w:pPr>
      <w:r w:rsidRPr="00E0488D">
        <w:t>Figura 4.20 arată comparația celor două strategii alternative în ceea ce privește costul de investiție și Valoarea Actualizată Netă (beneficii totale minus total costuri pe durata întregii perioade de evaluare). Toți indicatorii luați împreună susțin selecția alternativei de Nivel 1 recomandate. Pe scurt:</w:t>
      </w:r>
    </w:p>
    <w:p w:rsidR="00B4550A" w:rsidRPr="00E0488D" w:rsidRDefault="00B4550A" w:rsidP="00BC2B57">
      <w:pPr>
        <w:pStyle w:val="BulletLevel1"/>
      </w:pPr>
      <w:r w:rsidRPr="00E0488D">
        <w:t>Rețeaua de Nivel 1 recomandată oferă o valoare mai bună, dată de raportul beneficii/costuri mai mare (3,36 față de 2,06)</w:t>
      </w:r>
    </w:p>
    <w:p w:rsidR="00B4550A" w:rsidRPr="00E0488D" w:rsidRDefault="00B4550A" w:rsidP="00BC2B57">
      <w:pPr>
        <w:pStyle w:val="BulletLevel1"/>
      </w:pPr>
      <w:r w:rsidRPr="00E0488D">
        <w:lastRenderedPageBreak/>
        <w:t>Rețeaua de Nivel 1 recomandată are o valoare mai mică a costului de investiție (5,5 miliarde E</w:t>
      </w:r>
      <w:r w:rsidR="00BC2B57">
        <w:t xml:space="preserve">uro față de 13,8 </w:t>
      </w:r>
      <w:r w:rsidRPr="00E0488D">
        <w:t>milioane Euro)</w:t>
      </w:r>
    </w:p>
    <w:p w:rsidR="00B4550A" w:rsidRPr="00E0488D" w:rsidRDefault="00B4550A" w:rsidP="00BC2B57">
      <w:pPr>
        <w:pStyle w:val="BulletLevel1"/>
      </w:pPr>
      <w:r w:rsidRPr="00E0488D">
        <w:t>Rețeaua de Nivel 1 recomandată are o Valoare Netă Prezentă superioară (diferența între beneficii totale actualizate și costuri totale actualizate).</w:t>
      </w:r>
      <w:r w:rsidRPr="00E0488D" w:rsidDel="001361AD">
        <w:t xml:space="preserve"> </w:t>
      </w:r>
    </w:p>
    <w:p w:rsidR="00B4550A" w:rsidRPr="00E0488D" w:rsidRDefault="00B4550A" w:rsidP="00B4550A">
      <w:pPr>
        <w:keepNext/>
        <w:spacing w:before="120" w:after="120"/>
        <w:ind w:left="680"/>
        <w:rPr>
          <w:b/>
          <w:sz w:val="22"/>
          <w:szCs w:val="22"/>
          <w:lang w:val="ro-RO"/>
        </w:rPr>
      </w:pPr>
    </w:p>
    <w:p w:rsidR="00B4550A" w:rsidRPr="00E0488D" w:rsidRDefault="004F3676" w:rsidP="00B4550A">
      <w:pPr>
        <w:spacing w:before="120" w:after="120"/>
        <w:ind w:left="680"/>
        <w:rPr>
          <w:sz w:val="22"/>
          <w:szCs w:val="22"/>
          <w:lang w:val="ro-RO"/>
        </w:rPr>
      </w:pPr>
      <w:r w:rsidRPr="00E0488D">
        <w:rPr>
          <w:noProof/>
          <w:sz w:val="22"/>
          <w:szCs w:val="22"/>
          <w:lang w:val="ro-RO" w:eastAsia="ro-RO"/>
        </w:rPr>
        <w:drawing>
          <wp:inline distT="0" distB="0" distL="0" distR="0">
            <wp:extent cx="5943600" cy="3882390"/>
            <wp:effectExtent l="19050" t="0" r="19050" b="3810"/>
            <wp:docPr id="1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B4550A" w:rsidRPr="00E0488D" w:rsidRDefault="00B4550A" w:rsidP="00B4550A">
      <w:pPr>
        <w:spacing w:before="120" w:after="120"/>
        <w:ind w:left="680"/>
        <w:rPr>
          <w:b/>
          <w:sz w:val="22"/>
          <w:szCs w:val="22"/>
          <w:lang w:val="ro-RO"/>
        </w:rPr>
      </w:pPr>
      <w:r w:rsidRPr="00E0488D">
        <w:rPr>
          <w:b/>
          <w:sz w:val="22"/>
          <w:szCs w:val="22"/>
          <w:lang w:val="ro-RO"/>
        </w:rPr>
        <w:t>Figura 4.20</w:t>
      </w:r>
      <w:r w:rsidRPr="00E0488D">
        <w:rPr>
          <w:b/>
          <w:sz w:val="22"/>
          <w:szCs w:val="22"/>
          <w:lang w:val="ro-RO"/>
        </w:rPr>
        <w:tab/>
        <w:t>Comparația Strategiilor recomandate și alternative de Nivel 1</w:t>
      </w:r>
    </w:p>
    <w:p w:rsidR="00B4550A" w:rsidRPr="00E0488D" w:rsidRDefault="00B4550A" w:rsidP="00B4550A">
      <w:pPr>
        <w:ind w:firstLine="851"/>
        <w:rPr>
          <w:i/>
          <w:sz w:val="22"/>
          <w:szCs w:val="22"/>
          <w:lang w:val="ro-RO"/>
        </w:rPr>
      </w:pPr>
      <w:r w:rsidRPr="00E0488D">
        <w:rPr>
          <w:i/>
          <w:sz w:val="22"/>
          <w:szCs w:val="22"/>
          <w:lang w:val="ro-RO"/>
        </w:rPr>
        <w:t>Soursa: Analiza AECOM  Modelul Național de Transport</w:t>
      </w:r>
    </w:p>
    <w:p w:rsidR="00B4550A" w:rsidRPr="00E0488D" w:rsidRDefault="00B4550A" w:rsidP="00B4550A">
      <w:pPr>
        <w:spacing w:before="120" w:after="120"/>
        <w:ind w:left="680"/>
        <w:rPr>
          <w:sz w:val="22"/>
          <w:szCs w:val="22"/>
          <w:lang w:val="ro-RO"/>
        </w:rPr>
      </w:pPr>
    </w:p>
    <w:p w:rsidR="00B4550A" w:rsidRPr="00E0488D" w:rsidRDefault="00B4550A" w:rsidP="002B7E09">
      <w:pPr>
        <w:pStyle w:val="NumberedParas"/>
      </w:pPr>
      <w:r w:rsidRPr="00E0488D">
        <w:t>Rețeaua recomandată de Nivel 1 și Rețeaua alternativă de Nivel 1 sunt prezentate în Figurile 4.20 și 4.21. Analizând figurile se observă faptul că alternativa selectată oferă o  mai bună conectivitate a rețelei și o modalitate eficientă de a lega regiunile majore ale țării.</w:t>
      </w:r>
    </w:p>
    <w:p w:rsidR="00B4550A" w:rsidRPr="00E0488D" w:rsidRDefault="00B4550A" w:rsidP="002B7E09">
      <w:pPr>
        <w:pStyle w:val="NumberedParas"/>
      </w:pPr>
      <w:r w:rsidRPr="00E0488D">
        <w:t xml:space="preserve">Alternativa de Nivel 1 selectată reprezintă cea mai bună strategie pentru conectarea regiunilor din România într-un mod eficient economic prin intermediul unei rețele de autostrăzi de înaltă calitate.  În urma selectării acestei strategii preferate au apărut unele modificări ale proiectelor la nivel individual. Acestea au inclus conexiunea directă între Bacău și Iași. Deoarece va exista o autostradă care va conecta Bacău și Iași ca parte a proiectului Bacău – Suceava iar Pașcani și Iași sunt conectate ca parte a proiectului Târgu Mureș - Iași, care oferă astfel o conexiune de înaltă calitate între Bacău și Iași via Pașcani. Dacă se adaugă și condițiile geologice dificile întâlnite pe traseul direct Bacău – Iași, atunci cea mai bună opțiune pentru conectarea acestor două orașe importante este traseul via Pașcani. Acest fapt este reflectat în figurile următoare referitoare la opțiunile preferate de rețea. </w:t>
      </w:r>
    </w:p>
    <w:p w:rsidR="00B4550A" w:rsidRPr="00E0488D" w:rsidRDefault="00B4550A" w:rsidP="00B4550A">
      <w:pPr>
        <w:rPr>
          <w:lang w:val="ro-RO"/>
        </w:rPr>
      </w:pPr>
    </w:p>
    <w:p w:rsidR="00B4550A" w:rsidRPr="00E0488D" w:rsidRDefault="00B4550A" w:rsidP="00B4550A">
      <w:pPr>
        <w:keepNext/>
        <w:tabs>
          <w:tab w:val="left" w:pos="993"/>
        </w:tabs>
        <w:spacing w:after="60"/>
        <w:ind w:firstLine="851"/>
        <w:rPr>
          <w:b/>
          <w:sz w:val="22"/>
          <w:szCs w:val="22"/>
          <w:lang w:val="ro-RO"/>
        </w:rPr>
      </w:pPr>
    </w:p>
    <w:p w:rsidR="00B4550A" w:rsidRPr="00E0488D" w:rsidRDefault="00BC2B57" w:rsidP="00B4550A">
      <w:pPr>
        <w:ind w:firstLine="851"/>
        <w:rPr>
          <w:lang w:val="ro-RO"/>
        </w:rPr>
      </w:pPr>
      <w:r w:rsidRPr="00BC2B57">
        <w:rPr>
          <w:noProof/>
          <w:lang w:val="ro-RO" w:eastAsia="ro-RO"/>
        </w:rPr>
        <w:drawing>
          <wp:inline distT="0" distB="0" distL="0" distR="0">
            <wp:extent cx="6101715" cy="3102861"/>
            <wp:effectExtent l="19050" t="19050" r="13335" b="21339"/>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srcRect/>
                    <a:stretch>
                      <a:fillRect/>
                    </a:stretch>
                  </pic:blipFill>
                  <pic:spPr bwMode="auto">
                    <a:xfrm>
                      <a:off x="0" y="0"/>
                      <a:ext cx="6101715" cy="3102861"/>
                    </a:xfrm>
                    <a:prstGeom prst="rect">
                      <a:avLst/>
                    </a:prstGeom>
                    <a:ln w="19050">
                      <a:solidFill>
                        <a:srgbClr val="9E0880"/>
                      </a:solidFill>
                    </a:ln>
                  </pic:spPr>
                </pic:pic>
              </a:graphicData>
            </a:graphic>
          </wp:inline>
        </w:drawing>
      </w:r>
    </w:p>
    <w:p w:rsidR="00B4550A" w:rsidRPr="00E0488D" w:rsidRDefault="00B4550A" w:rsidP="00B4550A">
      <w:pPr>
        <w:rPr>
          <w:lang w:val="ro-RO"/>
        </w:rPr>
      </w:pPr>
    </w:p>
    <w:p w:rsidR="00B4550A" w:rsidRPr="00E0488D" w:rsidRDefault="00B4550A" w:rsidP="00B4550A">
      <w:pPr>
        <w:keepNext/>
        <w:tabs>
          <w:tab w:val="left" w:pos="993"/>
        </w:tabs>
        <w:spacing w:after="60"/>
        <w:ind w:firstLine="851"/>
        <w:rPr>
          <w:b/>
          <w:sz w:val="22"/>
          <w:szCs w:val="22"/>
          <w:lang w:val="ro-RO"/>
        </w:rPr>
      </w:pPr>
      <w:r w:rsidRPr="00E0488D">
        <w:rPr>
          <w:b/>
          <w:sz w:val="22"/>
          <w:szCs w:val="22"/>
          <w:lang w:val="ro-RO"/>
        </w:rPr>
        <w:t>Figura 4.21</w:t>
      </w:r>
      <w:r w:rsidRPr="00E0488D">
        <w:rPr>
          <w:b/>
          <w:sz w:val="22"/>
          <w:szCs w:val="22"/>
          <w:lang w:val="ro-RO"/>
        </w:rPr>
        <w:tab/>
        <w:t>Rețeaua recomandată de Nivel 1</w:t>
      </w:r>
    </w:p>
    <w:p w:rsidR="00B4550A" w:rsidRPr="00E0488D" w:rsidRDefault="00B4550A" w:rsidP="00B4550A">
      <w:pPr>
        <w:keepNext/>
        <w:tabs>
          <w:tab w:val="left" w:pos="993"/>
        </w:tabs>
        <w:spacing w:after="60"/>
        <w:ind w:firstLine="851"/>
        <w:rPr>
          <w:b/>
          <w:sz w:val="22"/>
          <w:szCs w:val="22"/>
          <w:lang w:val="ro-RO"/>
        </w:rPr>
      </w:pPr>
      <w:r w:rsidRPr="00E0488D">
        <w:rPr>
          <w:b/>
          <w:sz w:val="22"/>
          <w:szCs w:val="22"/>
          <w:lang w:val="ro-RO"/>
        </w:rPr>
        <w:t>Figura 4.22</w:t>
      </w:r>
      <w:r w:rsidRPr="00E0488D">
        <w:rPr>
          <w:b/>
          <w:sz w:val="22"/>
          <w:szCs w:val="22"/>
          <w:lang w:val="ro-RO"/>
        </w:rPr>
        <w:tab/>
        <w:t xml:space="preserve">Rețeaua alternativă de Nivel 1 </w:t>
      </w:r>
    </w:p>
    <w:p w:rsidR="00B4550A" w:rsidRPr="00E0488D" w:rsidRDefault="00BC2B57" w:rsidP="00B4550A">
      <w:pPr>
        <w:ind w:firstLine="851"/>
        <w:rPr>
          <w:lang w:val="ro-RO"/>
        </w:rPr>
      </w:pPr>
      <w:r w:rsidRPr="00BC2B57">
        <w:rPr>
          <w:noProof/>
          <w:lang w:val="ro-RO" w:eastAsia="ro-RO"/>
        </w:rPr>
        <w:drawing>
          <wp:inline distT="0" distB="0" distL="0" distR="0">
            <wp:extent cx="6102000" cy="3279031"/>
            <wp:effectExtent l="19050" t="19050" r="13335" b="17145"/>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1_Alternative_Network_Plot.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02000" cy="3279031"/>
                    </a:xfrm>
                    <a:prstGeom prst="rect">
                      <a:avLst/>
                    </a:prstGeom>
                    <a:ln w="19050">
                      <a:solidFill>
                        <a:srgbClr val="9E0880"/>
                      </a:solidFill>
                    </a:ln>
                  </pic:spPr>
                </pic:pic>
              </a:graphicData>
            </a:graphic>
          </wp:inline>
        </w:drawing>
      </w:r>
    </w:p>
    <w:p w:rsidR="00B4550A" w:rsidRPr="00E0488D" w:rsidRDefault="00B4550A" w:rsidP="00B4550A">
      <w:pPr>
        <w:rPr>
          <w:lang w:val="ro-RO"/>
        </w:rPr>
      </w:pPr>
    </w:p>
    <w:p w:rsidR="00B4550A" w:rsidRPr="00E0488D" w:rsidRDefault="00B4550A" w:rsidP="002B7E09">
      <w:pPr>
        <w:pStyle w:val="NumberedParas"/>
      </w:pPr>
      <w:r w:rsidRPr="00E0488D">
        <w:t>Impactul Strategiei recomandate de Nivel 1 este prezentat în Figura 4.23, ilustrând modificări ale fluxului prin comparație cu situația din Scenariul de referință. Creșterile fluxului sunt marcate cu roșu, iar reducerile de flux sunt marcate cu verde. Fluxurile de trafic sunt exprimate in medii zilnice anuale (MZA). Modificările echivalente ale fluxului pentru Rețeaua alternativă de Nivel 1 ce va fi adoptată, sunt prezentate în Figura 4.24, cu scop comparativ.</w:t>
      </w:r>
    </w:p>
    <w:p w:rsidR="00B4550A" w:rsidRPr="00BC2B57" w:rsidRDefault="00B4550A" w:rsidP="002B7E09">
      <w:pPr>
        <w:pStyle w:val="NumberedParas"/>
      </w:pPr>
      <w:r w:rsidRPr="00BC2B57">
        <w:t xml:space="preserve">Este de notat faptul că Rețeaua recomandată de Nivel 1 induce o descărcare a coridorului Sibiu-Pitești. În scenariul alternativ, în care rețeaua alternativă de nivel 1 este construită, nu </w:t>
      </w:r>
      <w:r w:rsidRPr="00BC2B57">
        <w:lastRenderedPageBreak/>
        <w:t>se observă același efect de descărcare pentru secțiunea Ploiești-Comarnic-Brașov, acest sector continuând să se aglomereze, chiar dacă autostrada Sibiu-Pitești este construită. Acest lucru arată faptul că autostrada Sibiu-Pitești nu este cea mai eficientă modalitate de a deservi cererea de pe coridorul Nord-Vest – Sud-Est.</w:t>
      </w:r>
    </w:p>
    <w:p w:rsidR="00B4550A" w:rsidRPr="00E0488D" w:rsidRDefault="00B4550A" w:rsidP="00B4550A">
      <w:pPr>
        <w:keepNext/>
        <w:tabs>
          <w:tab w:val="left" w:pos="993"/>
        </w:tabs>
        <w:spacing w:after="60"/>
        <w:ind w:left="851"/>
        <w:rPr>
          <w:b/>
          <w:sz w:val="22"/>
          <w:szCs w:val="22"/>
          <w:lang w:val="ro-RO"/>
        </w:rPr>
      </w:pPr>
    </w:p>
    <w:p w:rsidR="00B4550A" w:rsidRPr="00E0488D" w:rsidRDefault="006918E4" w:rsidP="00B4550A">
      <w:pPr>
        <w:ind w:firstLine="851"/>
        <w:rPr>
          <w:lang w:val="ro-RO"/>
        </w:rPr>
      </w:pPr>
      <w:r>
        <w:rPr>
          <w:noProof/>
          <w:lang w:val="ro-RO" w:eastAsia="ro-RO"/>
        </w:rPr>
        <w:drawing>
          <wp:inline distT="0" distB="0" distL="0" distR="0">
            <wp:extent cx="5475565" cy="3714750"/>
            <wp:effectExtent l="19050" t="19050" r="10835" b="1905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5476883" cy="3715644"/>
                    </a:xfrm>
                    <a:prstGeom prst="rect">
                      <a:avLst/>
                    </a:prstGeom>
                    <a:ln w="19050">
                      <a:solidFill>
                        <a:srgbClr val="9E0880"/>
                      </a:solidFill>
                    </a:ln>
                  </pic:spPr>
                </pic:pic>
              </a:graphicData>
            </a:graphic>
          </wp:inline>
        </w:drawing>
      </w:r>
    </w:p>
    <w:p w:rsidR="00B4550A" w:rsidRPr="00E0488D" w:rsidRDefault="00B4550A" w:rsidP="00B4550A">
      <w:pPr>
        <w:rPr>
          <w:lang w:val="ro-RO"/>
        </w:rPr>
      </w:pPr>
    </w:p>
    <w:p w:rsidR="00B4550A" w:rsidRPr="00E0488D" w:rsidRDefault="00B4550A" w:rsidP="00B4550A">
      <w:pPr>
        <w:rPr>
          <w:lang w:val="ro-RO"/>
        </w:rPr>
      </w:pPr>
      <w:r w:rsidRPr="00E0488D">
        <w:rPr>
          <w:b/>
          <w:sz w:val="22"/>
          <w:szCs w:val="22"/>
          <w:lang w:val="ro-RO"/>
        </w:rPr>
        <w:t>Figura 4.23</w:t>
      </w:r>
      <w:r w:rsidRPr="00E0488D">
        <w:rPr>
          <w:b/>
          <w:sz w:val="22"/>
          <w:szCs w:val="22"/>
          <w:lang w:val="ro-RO"/>
        </w:rPr>
        <w:tab/>
        <w:t>Modificări ale fluxului total pentru Strategia recomandată de Nivel 1 față de Scenariul de referință</w:t>
      </w:r>
    </w:p>
    <w:p w:rsidR="00B4550A" w:rsidRPr="00E0488D" w:rsidRDefault="00B4550A" w:rsidP="00B4550A">
      <w:pPr>
        <w:rPr>
          <w:lang w:val="ro-RO"/>
        </w:rPr>
      </w:pPr>
      <w:r w:rsidRPr="00E0488D">
        <w:rPr>
          <w:i/>
          <w:sz w:val="22"/>
          <w:szCs w:val="22"/>
          <w:lang w:val="ro-RO"/>
        </w:rPr>
        <w:t>Sursa: Analiza AECOM, Modelul Național de Transport</w:t>
      </w:r>
    </w:p>
    <w:p w:rsidR="00B4550A" w:rsidRPr="00E0488D" w:rsidRDefault="006918E4" w:rsidP="00B4550A">
      <w:pPr>
        <w:ind w:firstLine="851"/>
        <w:rPr>
          <w:sz w:val="22"/>
          <w:szCs w:val="22"/>
          <w:lang w:val="ro-RO"/>
        </w:rPr>
      </w:pPr>
      <w:r>
        <w:rPr>
          <w:noProof/>
          <w:sz w:val="22"/>
          <w:szCs w:val="22"/>
          <w:lang w:val="ro-RO" w:eastAsia="ro-RO"/>
        </w:rPr>
        <w:lastRenderedPageBreak/>
        <w:drawing>
          <wp:inline distT="0" distB="0" distL="0" distR="0">
            <wp:extent cx="5467350" cy="3719191"/>
            <wp:effectExtent l="19050" t="19050" r="19050" b="14609"/>
            <wp:docPr id="10" name="Picture 20" descr="L1R Difference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R Difference Plot.png"/>
                    <pic:cNvPicPr/>
                  </pic:nvPicPr>
                  <pic:blipFill>
                    <a:blip r:embed="rId121" cstate="email">
                      <a:extLst>
                        <a:ext uri="{28A0092B-C50C-407E-A947-70E740481C1C}">
                          <a14:useLocalDpi xmlns:a14="http://schemas.microsoft.com/office/drawing/2010/main"/>
                        </a:ext>
                      </a:extLst>
                    </a:blip>
                    <a:srcRect/>
                    <a:stretch>
                      <a:fillRect/>
                    </a:stretch>
                  </pic:blipFill>
                  <pic:spPr>
                    <a:xfrm>
                      <a:off x="0" y="0"/>
                      <a:ext cx="5467245" cy="3719119"/>
                    </a:xfrm>
                    <a:prstGeom prst="rect">
                      <a:avLst/>
                    </a:prstGeom>
                    <a:ln w="19050">
                      <a:solidFill>
                        <a:srgbClr val="9E0880"/>
                      </a:solidFill>
                    </a:ln>
                  </pic:spPr>
                </pic:pic>
              </a:graphicData>
            </a:graphic>
          </wp:inline>
        </w:drawing>
      </w:r>
    </w:p>
    <w:p w:rsidR="00B4550A" w:rsidRPr="00E0488D" w:rsidRDefault="00B4550A" w:rsidP="00B4550A">
      <w:pPr>
        <w:keepNext/>
        <w:tabs>
          <w:tab w:val="left" w:pos="993"/>
        </w:tabs>
        <w:spacing w:after="60"/>
        <w:ind w:left="851"/>
        <w:rPr>
          <w:b/>
          <w:sz w:val="22"/>
          <w:szCs w:val="22"/>
          <w:lang w:val="ro-RO"/>
        </w:rPr>
      </w:pPr>
      <w:r w:rsidRPr="00E0488D">
        <w:rPr>
          <w:b/>
          <w:sz w:val="22"/>
          <w:szCs w:val="22"/>
          <w:lang w:val="ro-RO"/>
        </w:rPr>
        <w:t>Figura 4.24</w:t>
      </w:r>
      <w:r w:rsidRPr="00E0488D">
        <w:rPr>
          <w:b/>
          <w:sz w:val="22"/>
          <w:szCs w:val="22"/>
          <w:lang w:val="ro-RO"/>
        </w:rPr>
        <w:tab/>
        <w:t>Modificări ale fluxului total pentru Strategia alternativă de Nivel 1 față de Scenariul de referință</w:t>
      </w:r>
    </w:p>
    <w:p w:rsidR="00B4550A" w:rsidRPr="00E0488D" w:rsidRDefault="00B4550A" w:rsidP="00B4550A">
      <w:pPr>
        <w:ind w:firstLine="567"/>
        <w:rPr>
          <w:lang w:val="ro-RO"/>
        </w:rPr>
      </w:pPr>
      <w:r w:rsidRPr="00E0488D">
        <w:rPr>
          <w:i/>
          <w:sz w:val="22"/>
          <w:szCs w:val="22"/>
          <w:lang w:val="ro-RO"/>
        </w:rPr>
        <w:t>Sursa: Analiza AECOM, Modelul Național de Transport</w:t>
      </w:r>
    </w:p>
    <w:p w:rsidR="00B4550A" w:rsidRPr="00E0488D" w:rsidRDefault="00B4550A" w:rsidP="00B4550A">
      <w:pPr>
        <w:keepNext/>
        <w:tabs>
          <w:tab w:val="left" w:pos="993"/>
        </w:tabs>
        <w:spacing w:after="60"/>
        <w:ind w:left="851"/>
        <w:rPr>
          <w:b/>
          <w:sz w:val="22"/>
          <w:szCs w:val="22"/>
          <w:lang w:val="ro-RO"/>
        </w:rPr>
      </w:pPr>
    </w:p>
    <w:p w:rsidR="00B4550A" w:rsidRPr="00E0488D" w:rsidRDefault="00B4550A" w:rsidP="00B4550A">
      <w:pPr>
        <w:spacing w:before="120" w:after="120" w:line="276" w:lineRule="auto"/>
        <w:rPr>
          <w:b/>
          <w:sz w:val="22"/>
          <w:szCs w:val="22"/>
          <w:lang w:val="ro-RO"/>
        </w:rPr>
      </w:pPr>
    </w:p>
    <w:p w:rsidR="00B4550A" w:rsidRPr="00E0488D" w:rsidRDefault="00B4550A" w:rsidP="00B4550A">
      <w:pPr>
        <w:pStyle w:val="Hdg3"/>
      </w:pPr>
      <w:r w:rsidRPr="00E0488D">
        <w:t xml:space="preserve">Definirea rețelei de drumuri expres </w:t>
      </w:r>
    </w:p>
    <w:p w:rsidR="00B4550A" w:rsidRPr="00E0488D" w:rsidRDefault="00B4550A" w:rsidP="002B7E09">
      <w:pPr>
        <w:pStyle w:val="NumberedParas"/>
      </w:pPr>
      <w:r w:rsidRPr="00E0488D">
        <w:t xml:space="preserve">În urma testărilor de Nivel 1 s-au identificat porțiunile din cadrul rețelei în care se înregistrează cea mai mare nevoie de îmbunătățiri substanțiale, precum și secțiunile eligibile pentru considerarea unui proiect de autostradă. Cu toate acestea, rămâne totuși un număr de coridoare care necesită îmbunătățiri, pentru a putea asigura că rețeaua rutieră îndeplinește obiectivele strategice, prezentate anterior. </w:t>
      </w:r>
    </w:p>
    <w:p w:rsidR="00B4550A" w:rsidRPr="00E0488D" w:rsidRDefault="00B4550A" w:rsidP="002B7E09">
      <w:pPr>
        <w:pStyle w:val="NumberedParas"/>
      </w:pPr>
      <w:r w:rsidRPr="00E0488D">
        <w:t>Așadar, analiza timpului pierdut a fost reluată utilizând Modelul Național, dar în cadrul acestui scenariu, toate proiectele de autostradă de Nivel 1, precum și proiectele acceptate pentru Scenariul de referință, au fos</w:t>
      </w:r>
      <w:r w:rsidR="00BC2B57">
        <w:t>t considerate deja finalizate.</w:t>
      </w:r>
    </w:p>
    <w:p w:rsidR="00B4550A" w:rsidRPr="00E0488D" w:rsidRDefault="00B4550A" w:rsidP="002B7E09">
      <w:pPr>
        <w:pStyle w:val="NumberedParas"/>
      </w:pPr>
      <w:r w:rsidRPr="00E0488D">
        <w:t xml:space="preserve">Rezultatele analizei sunt prezentate în Figura 4.25. </w:t>
      </w:r>
    </w:p>
    <w:p w:rsidR="00B4550A" w:rsidRPr="00E0488D" w:rsidRDefault="00B4550A" w:rsidP="00B4550A">
      <w:pPr>
        <w:keepNext/>
        <w:spacing w:before="120" w:after="120"/>
        <w:ind w:left="851"/>
        <w:rPr>
          <w:b/>
          <w:sz w:val="22"/>
          <w:szCs w:val="22"/>
          <w:lang w:val="ro-RO"/>
        </w:rPr>
      </w:pPr>
    </w:p>
    <w:p w:rsidR="00B4550A" w:rsidRPr="00E0488D" w:rsidRDefault="00B4550A" w:rsidP="00B4550A">
      <w:pPr>
        <w:spacing w:before="120" w:after="120"/>
        <w:ind w:left="680" w:firstLine="171"/>
        <w:rPr>
          <w:sz w:val="22"/>
          <w:szCs w:val="22"/>
          <w:lang w:val="ro-RO"/>
        </w:rPr>
      </w:pPr>
      <w:r w:rsidRPr="00E0488D">
        <w:rPr>
          <w:noProof/>
          <w:sz w:val="22"/>
          <w:szCs w:val="22"/>
          <w:lang w:val="ro-RO" w:eastAsia="ro-RO"/>
        </w:rPr>
        <w:drawing>
          <wp:inline distT="0" distB="0" distL="0" distR="0">
            <wp:extent cx="5704115" cy="4482039"/>
            <wp:effectExtent l="19050" t="19050" r="0" b="0"/>
            <wp:docPr id="142" name="Picture 3" descr="2020_FSRd1_Cost_Due_To_Lost_Time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_FSRd1_Cost_Due_To_Lost_Time_Plot.png"/>
                    <pic:cNvPicPr/>
                  </pic:nvPicPr>
                  <pic:blipFill>
                    <a:blip r:embed="rId122" cstate="email">
                      <a:extLst>
                        <a:ext uri="{28A0092B-C50C-407E-A947-70E740481C1C}">
                          <a14:useLocalDpi xmlns:a14="http://schemas.microsoft.com/office/drawing/2010/main"/>
                        </a:ext>
                      </a:extLst>
                    </a:blip>
                    <a:srcRect/>
                    <a:stretch>
                      <a:fillRect/>
                    </a:stretch>
                  </pic:blipFill>
                  <pic:spPr>
                    <a:xfrm>
                      <a:off x="0" y="0"/>
                      <a:ext cx="5710028" cy="4486685"/>
                    </a:xfrm>
                    <a:prstGeom prst="rect">
                      <a:avLst/>
                    </a:prstGeom>
                    <a:ln>
                      <a:solidFill>
                        <a:schemeClr val="accent1"/>
                      </a:solidFill>
                    </a:ln>
                  </pic:spPr>
                </pic:pic>
              </a:graphicData>
            </a:graphic>
          </wp:inline>
        </w:drawing>
      </w:r>
    </w:p>
    <w:p w:rsidR="00B4550A" w:rsidRPr="00E0488D" w:rsidRDefault="00B4550A" w:rsidP="00B4550A">
      <w:pPr>
        <w:spacing w:before="120" w:after="120"/>
        <w:ind w:left="680" w:firstLine="171"/>
        <w:rPr>
          <w:b/>
          <w:sz w:val="22"/>
          <w:szCs w:val="22"/>
          <w:lang w:val="ro-RO"/>
        </w:rPr>
      </w:pPr>
      <w:r w:rsidRPr="00E0488D">
        <w:rPr>
          <w:b/>
          <w:sz w:val="22"/>
          <w:szCs w:val="22"/>
          <w:lang w:val="ro-RO"/>
        </w:rPr>
        <w:t>Figura 4.25</w:t>
      </w:r>
      <w:r w:rsidRPr="00E0488D">
        <w:rPr>
          <w:b/>
          <w:sz w:val="22"/>
          <w:szCs w:val="22"/>
          <w:lang w:val="ro-RO"/>
        </w:rPr>
        <w:tab/>
        <w:t>Analiza timpului pierdut pe coridoare după implementarea Nivelului 1</w:t>
      </w:r>
    </w:p>
    <w:p w:rsidR="00B4550A" w:rsidRPr="00E0488D" w:rsidRDefault="00B4550A" w:rsidP="00B4550A">
      <w:pPr>
        <w:spacing w:before="120" w:after="120"/>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Proiectele candidate au fost apoi identificate, iar fiecare opțiune a fost codificată în cadrul Modelului Național. Toate proiectele au fost apoi supuse unei rulări complete în cadrul modelului, efectuându-se o analiză economică și multicriterială în vederea determinării obiective a celor mai corespunzătoare proiecte ce pot fi implementate în fiecare zonă. </w:t>
      </w:r>
    </w:p>
    <w:p w:rsidR="00B4550A" w:rsidRPr="00E0488D" w:rsidRDefault="00B4550A" w:rsidP="002B7E09">
      <w:pPr>
        <w:pStyle w:val="NumberedParas"/>
      </w:pPr>
      <w:r w:rsidRPr="00E0488D">
        <w:t xml:space="preserve">Rezultatele acestor teste, numite Teste de Nivel 2, sunt sintetizate în Tabelul 4.18. </w:t>
      </w:r>
    </w:p>
    <w:p w:rsidR="00B4550A" w:rsidRPr="00E0488D" w:rsidRDefault="00B4550A" w:rsidP="002B7E09">
      <w:pPr>
        <w:pStyle w:val="NumberedParas"/>
      </w:pPr>
      <w:r w:rsidRPr="00E0488D">
        <w:t xml:space="preserve">Proiectele de Nivel 2 selectate sunt ilustrate în Figura 4.26 pentru a arăta legăturile și corespondența cu Scenariul de referință și cu proiectele de Nivel 1. </w:t>
      </w:r>
    </w:p>
    <w:p w:rsidR="00B4550A" w:rsidRPr="00E0488D" w:rsidRDefault="00B4550A" w:rsidP="00B4550A">
      <w:pPr>
        <w:keepNext/>
        <w:spacing w:before="120" w:after="120"/>
        <w:ind w:left="851"/>
        <w:rPr>
          <w:b/>
          <w:sz w:val="22"/>
          <w:szCs w:val="22"/>
          <w:lang w:val="ro-RO"/>
        </w:rPr>
      </w:pPr>
      <w:r w:rsidRPr="00E0488D">
        <w:rPr>
          <w:b/>
          <w:sz w:val="22"/>
          <w:szCs w:val="22"/>
          <w:lang w:val="ro-RO"/>
        </w:rPr>
        <w:t>Tabelul 4.18</w:t>
      </w:r>
      <w:r w:rsidRPr="00E0488D">
        <w:rPr>
          <w:b/>
          <w:sz w:val="22"/>
          <w:szCs w:val="22"/>
          <w:lang w:val="ro-RO"/>
        </w:rPr>
        <w:tab/>
        <w:t xml:space="preserve">Sinteza rezultatelor Testelor de Nivel 2 (ACB) </w:t>
      </w:r>
    </w:p>
    <w:tbl>
      <w:tblPr>
        <w:tblW w:w="950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8"/>
        <w:gridCol w:w="3080"/>
        <w:gridCol w:w="1866"/>
        <w:gridCol w:w="969"/>
        <w:gridCol w:w="970"/>
        <w:gridCol w:w="970"/>
      </w:tblGrid>
      <w:tr w:rsidR="00B4550A" w:rsidRPr="00E0488D" w:rsidTr="003C7FC8">
        <w:trPr>
          <w:trHeight w:val="1067"/>
          <w:tblHeader/>
        </w:trPr>
        <w:tc>
          <w:tcPr>
            <w:tcW w:w="1648" w:type="dxa"/>
            <w:shd w:val="clear" w:color="auto" w:fill="B8CCE4" w:themeFill="accent1" w:themeFillTint="66"/>
            <w:noWrap/>
            <w:vAlign w:val="center"/>
            <w:hideMark/>
          </w:tcPr>
          <w:p w:rsidR="00B4550A" w:rsidRPr="00E0488D" w:rsidRDefault="00B4550A" w:rsidP="003C7FC8">
            <w:pPr>
              <w:keepNext/>
              <w:jc w:val="center"/>
              <w:rPr>
                <w:rFonts w:cs="Arial"/>
                <w:b/>
                <w:sz w:val="22"/>
                <w:szCs w:val="22"/>
                <w:lang w:val="ro-RO" w:eastAsia="en-GB"/>
              </w:rPr>
            </w:pPr>
            <w:r w:rsidRPr="00E0488D">
              <w:rPr>
                <w:rFonts w:cs="Arial"/>
                <w:b/>
                <w:sz w:val="22"/>
                <w:szCs w:val="22"/>
                <w:lang w:val="ro-RO" w:eastAsia="en-GB"/>
              </w:rPr>
              <w:t>Ref.</w:t>
            </w:r>
          </w:p>
        </w:tc>
        <w:tc>
          <w:tcPr>
            <w:tcW w:w="3080" w:type="dxa"/>
            <w:shd w:val="clear" w:color="auto" w:fill="B8CCE4" w:themeFill="accent1" w:themeFillTint="66"/>
            <w:noWrap/>
            <w:vAlign w:val="center"/>
            <w:hideMark/>
          </w:tcPr>
          <w:p w:rsidR="00B4550A" w:rsidRPr="00E0488D" w:rsidRDefault="00B4550A" w:rsidP="003C7FC8">
            <w:pPr>
              <w:keepNext/>
              <w:jc w:val="center"/>
              <w:rPr>
                <w:rFonts w:cs="Arial"/>
                <w:b/>
                <w:sz w:val="22"/>
                <w:szCs w:val="22"/>
                <w:lang w:val="ro-RO" w:eastAsia="en-GB"/>
              </w:rPr>
            </w:pPr>
            <w:r w:rsidRPr="00E0488D">
              <w:rPr>
                <w:rFonts w:cs="Arial"/>
                <w:b/>
                <w:sz w:val="22"/>
                <w:szCs w:val="22"/>
                <w:lang w:val="ro-RO" w:eastAsia="en-GB"/>
              </w:rPr>
              <w:t>Proiect</w:t>
            </w:r>
          </w:p>
        </w:tc>
        <w:tc>
          <w:tcPr>
            <w:tcW w:w="1866"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color w:val="000000"/>
                <w:sz w:val="22"/>
                <w:szCs w:val="22"/>
                <w:lang w:val="ro-RO"/>
              </w:rPr>
              <w:t>Cost de investiție          (neactualizat)</w:t>
            </w:r>
          </w:p>
          <w:p w:rsidR="00B4550A" w:rsidRPr="00E0488D" w:rsidRDefault="00B4550A" w:rsidP="003C7FC8">
            <w:pPr>
              <w:keepNext/>
              <w:jc w:val="center"/>
              <w:rPr>
                <w:rFonts w:cs="Arial"/>
                <w:b/>
                <w:color w:val="000000"/>
                <w:sz w:val="22"/>
                <w:szCs w:val="22"/>
                <w:lang w:val="ro-RO" w:eastAsia="en-GB"/>
              </w:rPr>
            </w:pPr>
            <w:r w:rsidRPr="00E0488D">
              <w:rPr>
                <w:rFonts w:cs="Arial"/>
                <w:b/>
                <w:i/>
                <w:iCs/>
                <w:color w:val="000000"/>
                <w:sz w:val="22"/>
                <w:szCs w:val="22"/>
                <w:lang w:val="ro-RO"/>
              </w:rPr>
              <w:t>în mil EURO</w:t>
            </w:r>
          </w:p>
        </w:tc>
        <w:tc>
          <w:tcPr>
            <w:tcW w:w="969"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color w:val="000000"/>
                <w:sz w:val="22"/>
                <w:szCs w:val="22"/>
                <w:lang w:val="ro-RO"/>
              </w:rPr>
              <w:t>VNA</w:t>
            </w:r>
          </w:p>
          <w:p w:rsidR="00B4550A" w:rsidRPr="00E0488D" w:rsidRDefault="00B4550A" w:rsidP="003C7FC8">
            <w:pPr>
              <w:keepNext/>
              <w:jc w:val="center"/>
              <w:rPr>
                <w:rFonts w:cs="Arial"/>
                <w:b/>
                <w:color w:val="000000"/>
                <w:sz w:val="22"/>
                <w:szCs w:val="22"/>
                <w:lang w:val="ro-RO" w:eastAsia="en-GB"/>
              </w:rPr>
            </w:pPr>
            <w:r w:rsidRPr="00E0488D">
              <w:rPr>
                <w:rFonts w:cs="Arial"/>
                <w:b/>
                <w:i/>
                <w:iCs/>
                <w:color w:val="000000"/>
                <w:sz w:val="22"/>
                <w:szCs w:val="22"/>
                <w:lang w:val="ro-RO"/>
              </w:rPr>
              <w:t>în mil EURO</w:t>
            </w:r>
          </w:p>
        </w:tc>
        <w:tc>
          <w:tcPr>
            <w:tcW w:w="970" w:type="dxa"/>
            <w:shd w:val="clear" w:color="auto" w:fill="B8CCE4" w:themeFill="accent1" w:themeFillTint="66"/>
            <w:noWrap/>
            <w:vAlign w:val="center"/>
            <w:hideMark/>
          </w:tcPr>
          <w:p w:rsidR="00B4550A" w:rsidRPr="00E0488D" w:rsidRDefault="00B4550A" w:rsidP="003C7FC8">
            <w:pPr>
              <w:rPr>
                <w:b/>
                <w:color w:val="000000"/>
                <w:sz w:val="22"/>
                <w:szCs w:val="22"/>
                <w:lang w:val="ro-RO" w:eastAsia="en-GB"/>
              </w:rPr>
            </w:pPr>
            <w:r w:rsidRPr="00E0488D">
              <w:rPr>
                <w:b/>
                <w:color w:val="000000"/>
                <w:sz w:val="22"/>
                <w:szCs w:val="22"/>
                <w:lang w:val="ro-RO"/>
              </w:rPr>
              <w:t>RBC</w:t>
            </w:r>
          </w:p>
        </w:tc>
        <w:tc>
          <w:tcPr>
            <w:tcW w:w="970" w:type="dxa"/>
            <w:shd w:val="clear" w:color="auto" w:fill="B8CCE4" w:themeFill="accent1" w:themeFillTint="66"/>
            <w:noWrap/>
            <w:vAlign w:val="center"/>
            <w:hideMark/>
          </w:tcPr>
          <w:p w:rsidR="00B4550A" w:rsidRPr="00E0488D" w:rsidRDefault="00B4550A" w:rsidP="003C7FC8">
            <w:pPr>
              <w:rPr>
                <w:b/>
                <w:color w:val="000000"/>
                <w:sz w:val="22"/>
                <w:szCs w:val="22"/>
                <w:lang w:val="ro-RO" w:eastAsia="en-GB"/>
              </w:rPr>
            </w:pPr>
            <w:r w:rsidRPr="00E0488D">
              <w:rPr>
                <w:b/>
                <w:i/>
                <w:iCs/>
                <w:color w:val="000000"/>
                <w:sz w:val="22"/>
                <w:szCs w:val="22"/>
                <w:lang w:val="ro-RO"/>
              </w:rPr>
              <w:t xml:space="preserve">% </w:t>
            </w:r>
            <w:r w:rsidRPr="00E0488D">
              <w:rPr>
                <w:b/>
                <w:color w:val="000000"/>
                <w:sz w:val="22"/>
                <w:szCs w:val="22"/>
                <w:lang w:val="ro-RO"/>
              </w:rPr>
              <w:t>RIRE</w:t>
            </w:r>
          </w:p>
          <w:p w:rsidR="00B4550A" w:rsidRPr="00E0488D" w:rsidRDefault="00B4550A" w:rsidP="003C7FC8">
            <w:pPr>
              <w:rPr>
                <w:b/>
                <w:color w:val="000000"/>
                <w:sz w:val="22"/>
                <w:szCs w:val="22"/>
                <w:lang w:val="ro-RO" w:eastAsia="en-GB"/>
              </w:rPr>
            </w:pPr>
          </w:p>
        </w:tc>
      </w:tr>
      <w:tr w:rsidR="00B4550A" w:rsidRPr="00E0488D" w:rsidTr="003C7FC8">
        <w:trPr>
          <w:trHeight w:val="285"/>
        </w:trPr>
        <w:tc>
          <w:tcPr>
            <w:tcW w:w="1648" w:type="dxa"/>
            <w:shd w:val="clear" w:color="auto" w:fill="auto"/>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OR19</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București-Alexandria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370</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486</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2.35</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11.8%</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OR6B</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Drumul expres Bacau-Focsani-Braila-Galati Expressway</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1,024</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1,268</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2.63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11.2%</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OR7A</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Drumul expres Bacau-Suceava Expressway</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645</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1,107</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3.23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12.6%</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lastRenderedPageBreak/>
              <w:t>OR7B</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Suceava-Siret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186</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1,172</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2.84</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11.7%</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OR7C</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Suceava-Botosani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346</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623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8.9%</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OR8</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Bacau-Piatra Neamt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335</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350</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2.45</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10.6%</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OR9</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Fagaras - Tg Mures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1,158</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1,461</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2.73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11.5%</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OR9B</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Drumul expres Turda-Halmeu</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975</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1,766</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3.29</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13.5%</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OR10</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Lugoj- Craiova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1,811</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1,546</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2.23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10.0%</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OR11</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Drumul expres Constanta-Tulcea-Braila (inclusiv podul Braila)</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1,369</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66</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1.07</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5.4%</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OR12</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Autostrada Nadaselu - Suplacu de Barcau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550</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1,219</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1.95</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9.2%</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OR13</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Targu Mures-Targu Neamt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3,400</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2,213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1.74</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8.4%</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OR13C</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Buzau-Focsani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282</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1,350</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2.80</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12.0%</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OR14</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Brasov-Pitesti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1,843</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1,222</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1.97</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9.1%</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OR15</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Autostrada Sibiu-Pitesti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2,471</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3,301</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2.96</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12.1%</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OR13D</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Autostrada Targu Neamt-Iasi-Ungheni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700</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490</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1.60</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10.8%</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OR17</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Drumul expres Gaesti-Ploiesti-Buzau-Braila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1,280</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1,754</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2.87</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11.9%</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OR18A</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Autostrada Centura București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1,684</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133</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1.14</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5.7%</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OR19A</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Conexiunea Aeroport Henri Coanda - Autostrada A3</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126</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86</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1.99</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9.3%</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OR21</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Lărgirea autostrăzii A1 București -Pitesti</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442</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181</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1.65</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7.6%</w:t>
            </w:r>
          </w:p>
        </w:tc>
      </w:tr>
      <w:tr w:rsidR="00B4550A" w:rsidRPr="00E0488D" w:rsidTr="003C7FC8">
        <w:trPr>
          <w:trHeight w:val="285"/>
        </w:trPr>
        <w:tc>
          <w:tcPr>
            <w:tcW w:w="164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OR18B</w:t>
            </w:r>
          </w:p>
        </w:tc>
        <w:tc>
          <w:tcPr>
            <w:tcW w:w="3080"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Modernizarea drumului de centură Sud București </w:t>
            </w:r>
          </w:p>
        </w:tc>
        <w:tc>
          <w:tcPr>
            <w:tcW w:w="1866"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176</w:t>
            </w:r>
          </w:p>
        </w:tc>
        <w:tc>
          <w:tcPr>
            <w:tcW w:w="96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380</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4.42</w:t>
            </w:r>
          </w:p>
        </w:tc>
        <w:tc>
          <w:tcPr>
            <w:tcW w:w="97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14.5%</w:t>
            </w:r>
          </w:p>
        </w:tc>
      </w:tr>
    </w:tbl>
    <w:p w:rsidR="00B4550A" w:rsidRPr="00E0488D" w:rsidRDefault="00B4550A" w:rsidP="00B4550A">
      <w:pPr>
        <w:ind w:left="284" w:firstLine="567"/>
        <w:rPr>
          <w:lang w:val="ro-RO"/>
        </w:rPr>
      </w:pPr>
      <w:r w:rsidRPr="00E0488D">
        <w:rPr>
          <w:i/>
          <w:sz w:val="22"/>
          <w:szCs w:val="22"/>
          <w:lang w:val="ro-RO"/>
        </w:rPr>
        <w:t xml:space="preserve">Sursa: Analiza AECOM </w:t>
      </w:r>
    </w:p>
    <w:p w:rsidR="00B4550A" w:rsidRPr="00E0488D" w:rsidRDefault="00B4550A" w:rsidP="00B4550A">
      <w:pPr>
        <w:rPr>
          <w:lang w:val="ro-RO"/>
        </w:rPr>
      </w:pPr>
    </w:p>
    <w:p w:rsidR="00B4550A" w:rsidRPr="00E0488D" w:rsidRDefault="00B4550A" w:rsidP="00B4550A">
      <w:pPr>
        <w:rPr>
          <w:lang w:val="ro-RO"/>
        </w:rPr>
      </w:pPr>
    </w:p>
    <w:p w:rsidR="00B4550A" w:rsidRPr="00E0488D" w:rsidRDefault="006918E4" w:rsidP="00B4550A">
      <w:pPr>
        <w:keepNext/>
        <w:tabs>
          <w:tab w:val="left" w:pos="993"/>
        </w:tabs>
        <w:spacing w:after="60"/>
        <w:ind w:firstLine="851"/>
        <w:rPr>
          <w:sz w:val="22"/>
          <w:szCs w:val="22"/>
          <w:lang w:val="ro-RO"/>
        </w:rPr>
      </w:pPr>
      <w:r>
        <w:rPr>
          <w:noProof/>
          <w:sz w:val="22"/>
          <w:szCs w:val="22"/>
          <w:lang w:val="ro-RO" w:eastAsia="ro-RO"/>
        </w:rPr>
        <w:lastRenderedPageBreak/>
        <w:drawing>
          <wp:inline distT="0" distB="0" distL="0" distR="0">
            <wp:extent cx="5633085" cy="3334957"/>
            <wp:effectExtent l="19050" t="19050" r="24765" b="17843"/>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srcRect/>
                    <a:stretch>
                      <a:fillRect/>
                    </a:stretch>
                  </pic:blipFill>
                  <pic:spPr bwMode="auto">
                    <a:xfrm>
                      <a:off x="0" y="0"/>
                      <a:ext cx="5633085" cy="3334957"/>
                    </a:xfrm>
                    <a:prstGeom prst="rect">
                      <a:avLst/>
                    </a:prstGeom>
                    <a:ln>
                      <a:solidFill>
                        <a:schemeClr val="accent1"/>
                      </a:solidFill>
                    </a:ln>
                  </pic:spPr>
                </pic:pic>
              </a:graphicData>
            </a:graphic>
          </wp:inline>
        </w:drawing>
      </w:r>
    </w:p>
    <w:p w:rsidR="00B4550A" w:rsidRPr="00E0488D" w:rsidRDefault="00B4550A" w:rsidP="00B4550A">
      <w:pPr>
        <w:keepNext/>
        <w:tabs>
          <w:tab w:val="left" w:pos="993"/>
        </w:tabs>
        <w:spacing w:after="60"/>
        <w:rPr>
          <w:b/>
          <w:sz w:val="22"/>
          <w:szCs w:val="22"/>
          <w:lang w:val="ro-RO"/>
        </w:rPr>
      </w:pPr>
      <w:r w:rsidRPr="00E0488D">
        <w:rPr>
          <w:b/>
          <w:sz w:val="22"/>
          <w:szCs w:val="22"/>
          <w:lang w:val="ro-RO"/>
        </w:rPr>
        <w:t xml:space="preserve">Figura 4.26 Rețeaua de Nivel 2 în relația cu cea de Nivel 1 și față de proiectele din Scenariul de referință </w:t>
      </w:r>
    </w:p>
    <w:p w:rsidR="00B4550A" w:rsidRPr="00E0488D" w:rsidRDefault="00B4550A" w:rsidP="00B4550A">
      <w:pPr>
        <w:rPr>
          <w:i/>
          <w:sz w:val="22"/>
          <w:szCs w:val="22"/>
          <w:lang w:val="ro-RO"/>
        </w:rPr>
      </w:pPr>
      <w:r w:rsidRPr="00E0488D">
        <w:rPr>
          <w:i/>
          <w:sz w:val="22"/>
          <w:szCs w:val="22"/>
          <w:lang w:val="ro-RO"/>
        </w:rPr>
        <w:t>Sursa: Analiza AECOM, Modelul Național de Transport</w:t>
      </w:r>
    </w:p>
    <w:p w:rsidR="00B4550A" w:rsidRPr="00E0488D" w:rsidRDefault="00B4550A" w:rsidP="00B4550A">
      <w:pPr>
        <w:rPr>
          <w:lang w:val="ro-RO"/>
        </w:rPr>
      </w:pPr>
    </w:p>
    <w:p w:rsidR="00B4550A" w:rsidRPr="00E0488D" w:rsidRDefault="00B4550A" w:rsidP="00B4550A">
      <w:pPr>
        <w:pStyle w:val="Hdg3"/>
        <w:spacing w:before="0"/>
      </w:pPr>
      <w:r w:rsidRPr="00E0488D">
        <w:t xml:space="preserve">Rețeaua de drumuri naționale </w:t>
      </w:r>
    </w:p>
    <w:p w:rsidR="00B4550A" w:rsidRPr="003D4E3C" w:rsidRDefault="00B4550A" w:rsidP="002B7E09">
      <w:pPr>
        <w:pStyle w:val="NumberedParas"/>
      </w:pPr>
      <w:r w:rsidRPr="003D4E3C">
        <w:t>Ca urmare a selectării proiectelor de Nivel 1 și Nivel 2, au rămas anumite secțiuni ale Rețelei Naționale care, deși nu se califică pentru includerea într-un proiect de îmbunătățire, au un rol important, deoarece stabilesc legături cu orașele-județ și/sau cu Rețeaua de Bază TEN-T.</w:t>
      </w:r>
    </w:p>
    <w:p w:rsidR="00B4550A" w:rsidRPr="003D4E3C" w:rsidRDefault="00B4550A" w:rsidP="002B7E09">
      <w:pPr>
        <w:pStyle w:val="NumberedParas"/>
      </w:pPr>
      <w:r w:rsidRPr="003D4E3C">
        <w:t xml:space="preserve">În vederea prioritizării acestor secțiuni de rețea, </w:t>
      </w:r>
      <w:r w:rsidR="003D4E3C">
        <w:t>lucrările de modernizare au fost prioritizare pe baza nivelului de trafic și a stării tehnice a drumurilor naționale</w:t>
      </w:r>
      <w:r w:rsidRPr="003D4E3C">
        <w:t>.</w:t>
      </w:r>
    </w:p>
    <w:p w:rsidR="00B4550A" w:rsidRPr="003D4E3C" w:rsidRDefault="00B4550A" w:rsidP="002B7E09">
      <w:pPr>
        <w:pStyle w:val="NumberedParas"/>
      </w:pPr>
      <w:r w:rsidRPr="003D4E3C">
        <w:t xml:space="preserve">Rezultatele acestei metodologii sunt prezentate în Tabelul 4.14:  </w:t>
      </w:r>
    </w:p>
    <w:p w:rsidR="00B4550A" w:rsidRPr="003D4E3C" w:rsidRDefault="00B4550A" w:rsidP="00B4550A">
      <w:pPr>
        <w:spacing w:before="120" w:line="276" w:lineRule="auto"/>
        <w:ind w:left="851"/>
        <w:rPr>
          <w:b/>
          <w:sz w:val="22"/>
          <w:szCs w:val="22"/>
          <w:lang w:val="ro-RO"/>
        </w:rPr>
      </w:pPr>
      <w:r w:rsidRPr="003D4E3C">
        <w:rPr>
          <w:b/>
          <w:sz w:val="22"/>
          <w:szCs w:val="22"/>
          <w:lang w:val="ro-RO"/>
        </w:rPr>
        <w:t>Tabelul 4.19</w:t>
      </w:r>
      <w:r w:rsidRPr="003D4E3C">
        <w:rPr>
          <w:b/>
          <w:sz w:val="22"/>
          <w:szCs w:val="22"/>
          <w:lang w:val="ro-RO"/>
        </w:rPr>
        <w:tab/>
        <w:t>Proiecte de Reabilitare a Rețelei</w:t>
      </w:r>
      <w:r w:rsidR="003D4E3C" w:rsidRPr="003D4E3C">
        <w:rPr>
          <w:b/>
          <w:sz w:val="22"/>
          <w:szCs w:val="22"/>
          <w:lang w:val="ro-RO"/>
        </w:rPr>
        <w:t xml:space="preserve"> Naționale (în funcție de scor)</w:t>
      </w:r>
    </w:p>
    <w:tbl>
      <w:tblPr>
        <w:tblW w:w="5000" w:type="pct"/>
        <w:tblLook w:val="04A0" w:firstRow="1" w:lastRow="0" w:firstColumn="1" w:lastColumn="0" w:noHBand="0" w:noVBand="1"/>
      </w:tblPr>
      <w:tblGrid>
        <w:gridCol w:w="494"/>
        <w:gridCol w:w="3906"/>
        <w:gridCol w:w="1050"/>
        <w:gridCol w:w="1264"/>
        <w:gridCol w:w="1697"/>
        <w:gridCol w:w="1179"/>
        <w:gridCol w:w="917"/>
      </w:tblGrid>
      <w:tr w:rsidR="003D4E3C" w:rsidRPr="003D4E3C" w:rsidTr="003D4E3C">
        <w:trPr>
          <w:trHeight w:val="1365"/>
          <w:tblHeader/>
        </w:trPr>
        <w:tc>
          <w:tcPr>
            <w:tcW w:w="17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Nr.</w:t>
            </w:r>
          </w:p>
        </w:tc>
        <w:tc>
          <w:tcPr>
            <w:tcW w:w="1889" w:type="pct"/>
            <w:tcBorders>
              <w:top w:val="single" w:sz="4" w:space="0" w:color="auto"/>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Descriere proiect</w:t>
            </w:r>
          </w:p>
        </w:tc>
        <w:tc>
          <w:tcPr>
            <w:tcW w:w="426" w:type="pct"/>
            <w:tcBorders>
              <w:top w:val="single" w:sz="4" w:space="0" w:color="auto"/>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Lungime (km)</w:t>
            </w:r>
          </w:p>
        </w:tc>
        <w:tc>
          <w:tcPr>
            <w:tcW w:w="632" w:type="pct"/>
            <w:tcBorders>
              <w:top w:val="single" w:sz="4" w:space="0" w:color="auto"/>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Cost estimativ (preturi fixe 2014, mil euro, fara TVA)</w:t>
            </w:r>
          </w:p>
        </w:tc>
        <w:tc>
          <w:tcPr>
            <w:tcW w:w="838" w:type="pct"/>
            <w:tcBorders>
              <w:top w:val="single" w:sz="4" w:space="0" w:color="auto"/>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Clasificare ruta</w:t>
            </w:r>
          </w:p>
        </w:tc>
        <w:tc>
          <w:tcPr>
            <w:tcW w:w="591" w:type="pct"/>
            <w:tcBorders>
              <w:top w:val="single" w:sz="4" w:space="0" w:color="auto"/>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Trafic</w:t>
            </w:r>
            <w:r w:rsidRPr="003D4E3C">
              <w:rPr>
                <w:rFonts w:cs="Arial"/>
                <w:b/>
                <w:bCs/>
                <w:color w:val="000000"/>
                <w:sz w:val="20"/>
                <w:szCs w:val="20"/>
                <w:lang w:val="en-US"/>
              </w:rPr>
              <w:br/>
              <w:t>MZA + 2xHGV</w:t>
            </w:r>
          </w:p>
        </w:tc>
        <w:tc>
          <w:tcPr>
            <w:tcW w:w="446" w:type="pct"/>
            <w:tcBorders>
              <w:top w:val="single" w:sz="4" w:space="0" w:color="auto"/>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Stare tehnica</w:t>
            </w:r>
          </w:p>
        </w:tc>
      </w:tr>
      <w:tr w:rsidR="003D4E3C" w:rsidRPr="003D4E3C" w:rsidTr="003D4E3C">
        <w:trPr>
          <w:trHeight w:val="255"/>
        </w:trPr>
        <w:tc>
          <w:tcPr>
            <w:tcW w:w="5000" w:type="pct"/>
            <w:gridSpan w:val="7"/>
            <w:tcBorders>
              <w:top w:val="single" w:sz="4" w:space="0" w:color="auto"/>
              <w:left w:val="single" w:sz="4" w:space="0" w:color="auto"/>
              <w:bottom w:val="single" w:sz="4" w:space="0" w:color="auto"/>
              <w:right w:val="single" w:sz="4" w:space="0" w:color="auto"/>
            </w:tcBorders>
            <w:shd w:val="clear" w:color="000000" w:fill="D8E4BC"/>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SECTOR RUTIER - Drumuri Transregio</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Brasov - Sighisoara - Tg Mures (DX 3)</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161</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102.1</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16,391</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2.64</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Braila - Slobozia - Dranjna (A2) - Calarasi - Chiciu (BG)</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142</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71.0</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16,032</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2.33</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Constanta - Vama Veche (BG)</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49</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36.8</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15,727</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1.04</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xml:space="preserve">A1 - Arad - Salonta - Oradea </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121</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60.5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14,303</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1.15</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5</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xml:space="preserve">Dr.Tr.Severin – Tg. Jiu – Rm.Valcea – Pitesti </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246</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134.8</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13,553</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1.35</w:t>
            </w:r>
          </w:p>
        </w:tc>
      </w:tr>
      <w:tr w:rsidR="003D4E3C" w:rsidRPr="003D4E3C" w:rsidTr="003D4E3C">
        <w:trPr>
          <w:trHeight w:val="51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Vaslui - Barlad - Tecuci - Galati</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179</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89.5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Partial</w:t>
            </w:r>
            <w:r w:rsidRPr="003D4E3C">
              <w:rPr>
                <w:rFonts w:cs="Arial"/>
                <w:color w:val="000000"/>
                <w:sz w:val="20"/>
                <w:szCs w:val="20"/>
                <w:lang w:val="en-US"/>
              </w:rPr>
              <w:br/>
              <w:t xml:space="preserve">TEN-T </w:t>
            </w:r>
            <w:r w:rsidRPr="003D4E3C">
              <w:rPr>
                <w:rFonts w:cs="Arial"/>
                <w:color w:val="000000"/>
                <w:sz w:val="20"/>
                <w:szCs w:val="20"/>
                <w:lang w:val="en-US"/>
              </w:rPr>
              <w:lastRenderedPageBreak/>
              <w:t>Comprehensive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lastRenderedPageBreak/>
              <w:t>13,397</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2.36</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lastRenderedPageBreak/>
              <w:t>7</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Filiasi - Tg. Jiu - Petrosani - Hateg - Deva - A1</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226</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136.5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13,227</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1.08</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8</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Botosani - Targul Frumos</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73</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36.5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12,540</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2.78</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9</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xml:space="preserve">Suceava - Vatra Dornei - Bistrita - Saratel -Dej </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178</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124.9</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11,554</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2.03</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Saratel - Reghin - Tg Mures</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78</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44.0</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10,670</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1.00</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11</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A3 (Oradea) - Carei - Satu Mare - DX 4</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137</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68.5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10,600</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2.88</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12</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A1 (Deva) - Brad - Stei - Oradea - A3</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197</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124.3</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8,366</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1.00</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13</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Corabia - Caracal - Dragasani - Rm. Valcea - DX 2</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199</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112.4</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7,708</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2.61</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14</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Zalau - Satu Mare</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95</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49.3</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Comprehensive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7,571</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1.04</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15</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A5 - Sf. Gheorghe - B. Tusnad - Miercurea Ciuc - Ditrau (DX 3)</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147</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79.1</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6,708</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3.32</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16</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xml:space="preserve">Iasi - Vaslui - Bacau </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151</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99.5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6,675</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3.38</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17</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Targu Neamt - Piatra Neamt</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35</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19.1</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6,063</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2.36</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18</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Iacobeni - Borsa - S.Marmatiei - Negresti Oas - DX 4</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235</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159.1</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4,461</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2.03</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19</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Caransebes - Resita - Bocsa - Voiteg</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104</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62.6</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3,668</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1.83</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20</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Focsani - A5 - Tg. Secuiesc</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114</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80.3</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Other</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3,529</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2.37</w:t>
            </w:r>
          </w:p>
        </w:tc>
      </w:tr>
      <w:tr w:rsidR="003D4E3C" w:rsidRPr="003D4E3C" w:rsidTr="003D4E3C">
        <w:trPr>
          <w:trHeight w:val="799"/>
        </w:trPr>
        <w:tc>
          <w:tcPr>
            <w:tcW w:w="179" w:type="pct"/>
            <w:tcBorders>
              <w:top w:val="nil"/>
              <w:left w:val="single" w:sz="4" w:space="0" w:color="auto"/>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c>
          <w:tcPr>
            <w:tcW w:w="1889"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b/>
                <w:bCs/>
                <w:color w:val="000000"/>
                <w:sz w:val="20"/>
                <w:szCs w:val="20"/>
                <w:lang w:val="en-US"/>
              </w:rPr>
            </w:pPr>
            <w:r w:rsidRPr="003D4E3C">
              <w:rPr>
                <w:rFonts w:cs="Arial"/>
                <w:b/>
                <w:bCs/>
                <w:color w:val="000000"/>
                <w:sz w:val="20"/>
                <w:szCs w:val="20"/>
                <w:lang w:val="en-US"/>
              </w:rPr>
              <w:t>Subtotal Drumuri Transregio</w:t>
            </w:r>
          </w:p>
        </w:tc>
        <w:tc>
          <w:tcPr>
            <w:tcW w:w="426"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2,867</w:t>
            </w:r>
          </w:p>
        </w:tc>
        <w:tc>
          <w:tcPr>
            <w:tcW w:w="632"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1,690.8</w:t>
            </w:r>
          </w:p>
        </w:tc>
        <w:tc>
          <w:tcPr>
            <w:tcW w:w="838"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c>
          <w:tcPr>
            <w:tcW w:w="591"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c>
          <w:tcPr>
            <w:tcW w:w="446"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r>
      <w:tr w:rsidR="003D4E3C" w:rsidRPr="003D4E3C" w:rsidTr="003D4E3C">
        <w:trPr>
          <w:trHeight w:val="1365"/>
        </w:trPr>
        <w:tc>
          <w:tcPr>
            <w:tcW w:w="179" w:type="pct"/>
            <w:tcBorders>
              <w:top w:val="nil"/>
              <w:left w:val="single" w:sz="4" w:space="0" w:color="auto"/>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Nr.</w:t>
            </w:r>
          </w:p>
        </w:tc>
        <w:tc>
          <w:tcPr>
            <w:tcW w:w="1889" w:type="pct"/>
            <w:tcBorders>
              <w:top w:val="nil"/>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Descriere proiect</w:t>
            </w:r>
          </w:p>
        </w:tc>
        <w:tc>
          <w:tcPr>
            <w:tcW w:w="426" w:type="pct"/>
            <w:tcBorders>
              <w:top w:val="nil"/>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Lungime (km)</w:t>
            </w:r>
          </w:p>
        </w:tc>
        <w:tc>
          <w:tcPr>
            <w:tcW w:w="632" w:type="pct"/>
            <w:tcBorders>
              <w:top w:val="nil"/>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Cost estimativ (preturi fixe 2014, mil euro, fara TVA)</w:t>
            </w:r>
          </w:p>
        </w:tc>
        <w:tc>
          <w:tcPr>
            <w:tcW w:w="838" w:type="pct"/>
            <w:tcBorders>
              <w:top w:val="nil"/>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Clasificare ruta</w:t>
            </w:r>
          </w:p>
        </w:tc>
        <w:tc>
          <w:tcPr>
            <w:tcW w:w="591" w:type="pct"/>
            <w:tcBorders>
              <w:top w:val="nil"/>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Trafic</w:t>
            </w:r>
            <w:r w:rsidRPr="003D4E3C">
              <w:rPr>
                <w:rFonts w:cs="Arial"/>
                <w:b/>
                <w:bCs/>
                <w:color w:val="000000"/>
                <w:sz w:val="20"/>
                <w:szCs w:val="20"/>
                <w:lang w:val="en-US"/>
              </w:rPr>
              <w:br/>
              <w:t>MZA + 2xHGV</w:t>
            </w:r>
          </w:p>
        </w:tc>
        <w:tc>
          <w:tcPr>
            <w:tcW w:w="446" w:type="pct"/>
            <w:tcBorders>
              <w:top w:val="nil"/>
              <w:left w:val="nil"/>
              <w:bottom w:val="single" w:sz="4" w:space="0" w:color="auto"/>
              <w:right w:val="single" w:sz="4" w:space="0" w:color="auto"/>
            </w:tcBorders>
            <w:shd w:val="clear" w:color="000000" w:fill="B8CCE4"/>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Stare tehnica</w:t>
            </w:r>
          </w:p>
        </w:tc>
      </w:tr>
      <w:tr w:rsidR="003D4E3C" w:rsidRPr="003D4E3C" w:rsidTr="003D4E3C">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000000" w:fill="D8E4BC"/>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SECTOR RUTIER - Drumuri Eurotrans</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Bucuresti - Giurgiu (BG)</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49</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41.3</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21,148</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2.02</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A1 - Timisoara - Moravita (SRB)</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59</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29.5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10,990</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3.90</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3</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Craiova - Calafat (BG)</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83</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41.5</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6,513</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1.00</w:t>
            </w:r>
          </w:p>
        </w:tc>
      </w:tr>
      <w:tr w:rsidR="003D4E3C" w:rsidRPr="003D4E3C" w:rsidTr="003D4E3C">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4</w:t>
            </w:r>
          </w:p>
        </w:tc>
        <w:tc>
          <w:tcPr>
            <w:tcW w:w="1889"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Drobeta Tr. Severin - Calafat (BG)</w:t>
            </w:r>
          </w:p>
        </w:tc>
        <w:tc>
          <w:tcPr>
            <w:tcW w:w="42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82</w:t>
            </w:r>
          </w:p>
        </w:tc>
        <w:tc>
          <w:tcPr>
            <w:tcW w:w="632"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50.8</w:t>
            </w:r>
          </w:p>
        </w:tc>
        <w:tc>
          <w:tcPr>
            <w:tcW w:w="838"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TEN-T Core</w:t>
            </w:r>
          </w:p>
        </w:tc>
        <w:tc>
          <w:tcPr>
            <w:tcW w:w="591"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5,721</w:t>
            </w:r>
          </w:p>
        </w:tc>
        <w:tc>
          <w:tcPr>
            <w:tcW w:w="446" w:type="pct"/>
            <w:tcBorders>
              <w:top w:val="nil"/>
              <w:left w:val="nil"/>
              <w:bottom w:val="single" w:sz="4" w:space="0" w:color="auto"/>
              <w:right w:val="single" w:sz="4" w:space="0" w:color="auto"/>
            </w:tcBorders>
            <w:shd w:val="clear" w:color="auto" w:fill="auto"/>
            <w:vAlign w:val="center"/>
            <w:hideMark/>
          </w:tcPr>
          <w:p w:rsidR="003D4E3C" w:rsidRPr="003D4E3C" w:rsidRDefault="003D4E3C" w:rsidP="003D4E3C">
            <w:pPr>
              <w:jc w:val="center"/>
              <w:rPr>
                <w:rFonts w:cs="Arial"/>
                <w:color w:val="000000"/>
                <w:sz w:val="20"/>
                <w:szCs w:val="20"/>
                <w:lang w:val="en-US"/>
              </w:rPr>
            </w:pPr>
            <w:r w:rsidRPr="003D4E3C">
              <w:rPr>
                <w:rFonts w:cs="Arial"/>
                <w:color w:val="000000"/>
                <w:sz w:val="20"/>
                <w:szCs w:val="20"/>
                <w:lang w:val="en-US"/>
              </w:rPr>
              <w:t>2.22</w:t>
            </w:r>
          </w:p>
        </w:tc>
      </w:tr>
      <w:tr w:rsidR="003D4E3C" w:rsidRPr="003D4E3C" w:rsidTr="003D4E3C">
        <w:trPr>
          <w:trHeight w:val="799"/>
        </w:trPr>
        <w:tc>
          <w:tcPr>
            <w:tcW w:w="179" w:type="pct"/>
            <w:tcBorders>
              <w:top w:val="nil"/>
              <w:left w:val="single" w:sz="4" w:space="0" w:color="auto"/>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c>
          <w:tcPr>
            <w:tcW w:w="1889"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b/>
                <w:bCs/>
                <w:color w:val="000000"/>
                <w:sz w:val="20"/>
                <w:szCs w:val="20"/>
                <w:lang w:val="en-US"/>
              </w:rPr>
            </w:pPr>
            <w:r w:rsidRPr="003D4E3C">
              <w:rPr>
                <w:rFonts w:cs="Arial"/>
                <w:b/>
                <w:bCs/>
                <w:color w:val="000000"/>
                <w:sz w:val="20"/>
                <w:szCs w:val="20"/>
                <w:lang w:val="en-US"/>
              </w:rPr>
              <w:t>Subtotal Drumuri Eurotrans</w:t>
            </w:r>
          </w:p>
        </w:tc>
        <w:tc>
          <w:tcPr>
            <w:tcW w:w="426"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273</w:t>
            </w:r>
          </w:p>
        </w:tc>
        <w:tc>
          <w:tcPr>
            <w:tcW w:w="632"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jc w:val="center"/>
              <w:rPr>
                <w:rFonts w:cs="Arial"/>
                <w:b/>
                <w:bCs/>
                <w:color w:val="000000"/>
                <w:sz w:val="20"/>
                <w:szCs w:val="20"/>
                <w:lang w:val="en-US"/>
              </w:rPr>
            </w:pPr>
            <w:r w:rsidRPr="003D4E3C">
              <w:rPr>
                <w:rFonts w:cs="Arial"/>
                <w:b/>
                <w:bCs/>
                <w:color w:val="000000"/>
                <w:sz w:val="20"/>
                <w:szCs w:val="20"/>
                <w:lang w:val="en-US"/>
              </w:rPr>
              <w:t>163.1</w:t>
            </w:r>
          </w:p>
        </w:tc>
        <w:tc>
          <w:tcPr>
            <w:tcW w:w="838"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c>
          <w:tcPr>
            <w:tcW w:w="591"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c>
          <w:tcPr>
            <w:tcW w:w="446" w:type="pct"/>
            <w:tcBorders>
              <w:top w:val="nil"/>
              <w:left w:val="nil"/>
              <w:bottom w:val="single" w:sz="4" w:space="0" w:color="auto"/>
              <w:right w:val="single" w:sz="4" w:space="0" w:color="auto"/>
            </w:tcBorders>
            <w:shd w:val="clear" w:color="000000" w:fill="FDE9D9"/>
            <w:vAlign w:val="center"/>
            <w:hideMark/>
          </w:tcPr>
          <w:p w:rsidR="003D4E3C" w:rsidRPr="003D4E3C" w:rsidRDefault="003D4E3C" w:rsidP="003D4E3C">
            <w:pPr>
              <w:rPr>
                <w:rFonts w:cs="Arial"/>
                <w:color w:val="000000"/>
                <w:sz w:val="20"/>
                <w:szCs w:val="20"/>
                <w:lang w:val="en-US"/>
              </w:rPr>
            </w:pPr>
            <w:r w:rsidRPr="003D4E3C">
              <w:rPr>
                <w:rFonts w:cs="Arial"/>
                <w:color w:val="000000"/>
                <w:sz w:val="20"/>
                <w:szCs w:val="20"/>
                <w:lang w:val="en-US"/>
              </w:rPr>
              <w:t> </w:t>
            </w:r>
          </w:p>
        </w:tc>
      </w:tr>
    </w:tbl>
    <w:p w:rsidR="00B4550A" w:rsidRPr="00E0488D" w:rsidRDefault="00B4550A" w:rsidP="00B4550A">
      <w:pPr>
        <w:pStyle w:val="Hdg3"/>
        <w:spacing w:before="240"/>
      </w:pPr>
      <w:r w:rsidRPr="00E0488D">
        <w:t>Prioritatăți pentru variantele de ocolire</w:t>
      </w:r>
    </w:p>
    <w:p w:rsidR="00B4550A" w:rsidRPr="00E0488D" w:rsidRDefault="00B4550A" w:rsidP="002B7E09">
      <w:pPr>
        <w:pStyle w:val="NumberedParas"/>
      </w:pPr>
      <w:r w:rsidRPr="00E0488D">
        <w:t>Principalul motiv pentru elaborarea Modelului Național de Transport este pentru a evalua strategic problemele existente la nivelul rețelei de transport. Acest lucru înseamnă că interpretările și prognozele în ceea ce privește traficul local aferent localităților mici ar putea fi mai puțin realiste, spre deosebire de cele referitoare la deplasările semnificative înregistrate la nivel inter-urban.</w:t>
      </w:r>
    </w:p>
    <w:p w:rsidR="00B4550A" w:rsidRPr="00E0488D" w:rsidRDefault="00B4550A" w:rsidP="002B7E09">
      <w:pPr>
        <w:pStyle w:val="NumberedParas"/>
      </w:pPr>
      <w:r w:rsidRPr="00E0488D">
        <w:lastRenderedPageBreak/>
        <w:t>De asemenea, este mai puțin probabil ca procesul de afectare a modelului să poată reflecta îmbunătățiri în ceea ce privește timpii de călătorie pe distanțe mai mici, ce pot rezulta din proiectele la nivel loca, cum ar fi construcția de variante de ocolire.</w:t>
      </w:r>
    </w:p>
    <w:p w:rsidR="00B4550A" w:rsidRPr="00E0488D" w:rsidRDefault="00B4550A" w:rsidP="002B7E09">
      <w:pPr>
        <w:pStyle w:val="NumberedParas"/>
      </w:pPr>
      <w:r w:rsidRPr="00E0488D">
        <w:t>Pentru a ne asigura că aceste proiecte importante, cu toate că sunt la o scară mai mică, nu sunt trecute cu vederea, am efectuat o analiză suplimentară, ce a avut ca punct de plecare o rețea de drumuri care cuprinde toate proiectele de Nivel 1, Nivel 2, precum și proiectele din Scenariul de referință.</w:t>
      </w:r>
    </w:p>
    <w:p w:rsidR="00B4550A" w:rsidRPr="00E0488D" w:rsidRDefault="00B4550A" w:rsidP="002B7E09">
      <w:pPr>
        <w:pStyle w:val="NumberedParas"/>
      </w:pPr>
      <w:r w:rsidRPr="00E0488D">
        <w:t>Primul pas al studiului a fost identificarea tuturor orașelor mari/mici străbătute de rețeaua de drumuri naționale și care nu sunt deja incluse într-un proiect de Nivel 1 și 2. Dintre toate aceste centre, s-au selectat doar cele cu o populație mai mare de 10.000 de locuitori. Este puțin probabil ca o zonă cu un număr mai mic de locuitori să fie eligibilă pentru includerea într-un proiect de variantă de ocolire.</w:t>
      </w:r>
    </w:p>
    <w:p w:rsidR="00B4550A" w:rsidRPr="00E0488D" w:rsidRDefault="00B4550A" w:rsidP="002B7E09">
      <w:pPr>
        <w:pStyle w:val="NumberedParas"/>
      </w:pPr>
      <w:r w:rsidRPr="00E0488D">
        <w:t xml:space="preserve">Studiul efectuat pe durata elaborării Modelului Național a generat volumul de trafic de „traversare” într-o anumită zonă (mai precis, numărul călătoriilor care nu au un punct de origine sau destinație în interiorul zonei respective). Ulterior s-au stabilit anumite valori limită, distinct pentru traficul de autoturisme și respectiv pentru traficul vehiculelor de transport mărfuri (de 25% și 50%). Locațiile în care s-au înregistrat depășiri ale acestor praguri au fost apoi supuse testărilor complete, prin procesele de modelare și evaluare.  </w:t>
      </w:r>
    </w:p>
    <w:p w:rsidR="00B4550A" w:rsidRPr="00E0488D" w:rsidRDefault="00B4550A" w:rsidP="002B7E09">
      <w:pPr>
        <w:pStyle w:val="NumberedParas"/>
      </w:pPr>
      <w:r w:rsidRPr="00E0488D">
        <w:t xml:space="preserve">Variantele de ocolire care au trecut mai departe pentru testare, precum și performanțele acestora sunt sintetizate în Tabelul 4.18.  </w:t>
      </w:r>
    </w:p>
    <w:p w:rsidR="00B4550A" w:rsidRPr="00E0488D" w:rsidRDefault="00B4550A" w:rsidP="00B4550A">
      <w:pPr>
        <w:keepNext/>
        <w:spacing w:before="120" w:after="120"/>
        <w:ind w:left="851"/>
        <w:rPr>
          <w:b/>
          <w:sz w:val="22"/>
          <w:szCs w:val="22"/>
          <w:lang w:val="ro-RO"/>
        </w:rPr>
      </w:pPr>
      <w:r w:rsidRPr="00E0488D">
        <w:rPr>
          <w:b/>
          <w:sz w:val="22"/>
          <w:szCs w:val="22"/>
          <w:lang w:val="ro-RO"/>
        </w:rPr>
        <w:t>Tabelul 4.20</w:t>
      </w:r>
      <w:r w:rsidRPr="00E0488D">
        <w:rPr>
          <w:b/>
          <w:sz w:val="22"/>
          <w:szCs w:val="22"/>
          <w:lang w:val="ro-RO"/>
        </w:rPr>
        <w:tab/>
        <w:t xml:space="preserve">Sinteza rezultatelor testelor pentru variante de ocolire (ACB) </w:t>
      </w: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6"/>
        <w:gridCol w:w="3118"/>
        <w:gridCol w:w="1888"/>
        <w:gridCol w:w="979"/>
        <w:gridCol w:w="980"/>
        <w:gridCol w:w="980"/>
      </w:tblGrid>
      <w:tr w:rsidR="00B4550A" w:rsidRPr="00E0488D" w:rsidTr="003C7FC8">
        <w:trPr>
          <w:trHeight w:val="1067"/>
          <w:tblHeader/>
        </w:trPr>
        <w:tc>
          <w:tcPr>
            <w:tcW w:w="1666" w:type="dxa"/>
            <w:shd w:val="clear" w:color="auto" w:fill="B8CCE4" w:themeFill="accent1" w:themeFillTint="66"/>
            <w:noWrap/>
            <w:vAlign w:val="center"/>
            <w:hideMark/>
          </w:tcPr>
          <w:p w:rsidR="00B4550A" w:rsidRPr="00E0488D" w:rsidRDefault="00B4550A" w:rsidP="003C7FC8">
            <w:pPr>
              <w:rPr>
                <w:b/>
                <w:sz w:val="22"/>
                <w:szCs w:val="22"/>
                <w:lang w:val="ro-RO" w:eastAsia="en-GB"/>
              </w:rPr>
            </w:pPr>
            <w:r w:rsidRPr="00E0488D">
              <w:rPr>
                <w:b/>
                <w:sz w:val="22"/>
                <w:szCs w:val="22"/>
                <w:lang w:val="ro-RO" w:eastAsia="en-GB"/>
              </w:rPr>
              <w:t>Ref.</w:t>
            </w:r>
          </w:p>
        </w:tc>
        <w:tc>
          <w:tcPr>
            <w:tcW w:w="3118" w:type="dxa"/>
            <w:shd w:val="clear" w:color="auto" w:fill="B8CCE4" w:themeFill="accent1" w:themeFillTint="66"/>
            <w:noWrap/>
            <w:vAlign w:val="center"/>
            <w:hideMark/>
          </w:tcPr>
          <w:p w:rsidR="00B4550A" w:rsidRPr="00E0488D" w:rsidRDefault="00B4550A" w:rsidP="003C7FC8">
            <w:pPr>
              <w:keepNext/>
              <w:rPr>
                <w:rFonts w:cs="Arial"/>
                <w:b/>
                <w:sz w:val="22"/>
                <w:szCs w:val="22"/>
                <w:lang w:val="ro-RO" w:eastAsia="en-GB"/>
              </w:rPr>
            </w:pPr>
            <w:r w:rsidRPr="00E0488D">
              <w:rPr>
                <w:rFonts w:cs="Arial"/>
                <w:b/>
                <w:sz w:val="22"/>
                <w:szCs w:val="22"/>
                <w:lang w:val="ro-RO" w:eastAsia="en-GB"/>
              </w:rPr>
              <w:t>Proiect</w:t>
            </w:r>
          </w:p>
        </w:tc>
        <w:tc>
          <w:tcPr>
            <w:tcW w:w="1888" w:type="dxa"/>
            <w:shd w:val="clear" w:color="auto" w:fill="B8CCE4" w:themeFill="accent1" w:themeFillTint="66"/>
            <w:noWrap/>
            <w:vAlign w:val="center"/>
            <w:hideMark/>
          </w:tcPr>
          <w:p w:rsidR="00B4550A" w:rsidRPr="00E0488D" w:rsidRDefault="00B4550A" w:rsidP="003C7FC8">
            <w:pPr>
              <w:keepNext/>
              <w:jc w:val="center"/>
              <w:rPr>
                <w:rFonts w:cs="Arial"/>
                <w:b/>
                <w:color w:val="000000"/>
                <w:sz w:val="22"/>
                <w:szCs w:val="22"/>
                <w:lang w:val="ro-RO" w:eastAsia="en-GB"/>
              </w:rPr>
            </w:pPr>
            <w:r w:rsidRPr="00E0488D">
              <w:rPr>
                <w:rFonts w:cs="Arial"/>
                <w:b/>
                <w:color w:val="000000"/>
                <w:sz w:val="22"/>
                <w:szCs w:val="22"/>
                <w:lang w:val="ro-RO"/>
              </w:rPr>
              <w:t>Cost de investiție          (neactualizat)</w:t>
            </w:r>
          </w:p>
          <w:p w:rsidR="00B4550A" w:rsidRPr="00E0488D" w:rsidRDefault="00B4550A" w:rsidP="003C7FC8">
            <w:pPr>
              <w:keepNext/>
              <w:jc w:val="center"/>
              <w:rPr>
                <w:rFonts w:cs="Arial"/>
                <w:b/>
                <w:color w:val="000000"/>
                <w:sz w:val="22"/>
                <w:szCs w:val="22"/>
                <w:lang w:val="ro-RO" w:eastAsia="en-GB"/>
              </w:rPr>
            </w:pPr>
            <w:r w:rsidRPr="00E0488D">
              <w:rPr>
                <w:rFonts w:cs="Arial"/>
                <w:b/>
                <w:i/>
                <w:iCs/>
                <w:color w:val="000000"/>
                <w:sz w:val="22"/>
                <w:szCs w:val="22"/>
                <w:lang w:val="ro-RO"/>
              </w:rPr>
              <w:t>în mil EURO</w:t>
            </w:r>
          </w:p>
        </w:tc>
        <w:tc>
          <w:tcPr>
            <w:tcW w:w="979" w:type="dxa"/>
            <w:shd w:val="clear" w:color="auto" w:fill="B8CCE4" w:themeFill="accent1" w:themeFillTint="66"/>
            <w:noWrap/>
            <w:vAlign w:val="center"/>
            <w:hideMark/>
          </w:tcPr>
          <w:p w:rsidR="00B4550A" w:rsidRPr="00E0488D" w:rsidRDefault="00B4550A" w:rsidP="003C7FC8">
            <w:pPr>
              <w:jc w:val="center"/>
              <w:rPr>
                <w:b/>
                <w:color w:val="000000"/>
                <w:sz w:val="22"/>
                <w:szCs w:val="22"/>
                <w:lang w:val="ro-RO" w:eastAsia="en-GB"/>
              </w:rPr>
            </w:pPr>
            <w:r w:rsidRPr="00E0488D">
              <w:rPr>
                <w:b/>
                <w:color w:val="000000"/>
                <w:sz w:val="22"/>
                <w:szCs w:val="22"/>
                <w:lang w:val="ro-RO"/>
              </w:rPr>
              <w:t>VNA</w:t>
            </w:r>
          </w:p>
          <w:p w:rsidR="00B4550A" w:rsidRPr="00E0488D" w:rsidRDefault="00B4550A" w:rsidP="003C7FC8">
            <w:pPr>
              <w:jc w:val="center"/>
              <w:rPr>
                <w:b/>
                <w:color w:val="000000"/>
                <w:sz w:val="22"/>
                <w:szCs w:val="22"/>
                <w:lang w:val="ro-RO" w:eastAsia="en-GB"/>
              </w:rPr>
            </w:pPr>
            <w:r w:rsidRPr="00E0488D">
              <w:rPr>
                <w:b/>
                <w:i/>
                <w:iCs/>
                <w:color w:val="000000"/>
                <w:sz w:val="22"/>
                <w:szCs w:val="22"/>
                <w:lang w:val="ro-RO"/>
              </w:rPr>
              <w:t>€M</w:t>
            </w:r>
          </w:p>
        </w:tc>
        <w:tc>
          <w:tcPr>
            <w:tcW w:w="980" w:type="dxa"/>
            <w:shd w:val="clear" w:color="auto" w:fill="B8CCE4" w:themeFill="accent1" w:themeFillTint="66"/>
            <w:noWrap/>
            <w:vAlign w:val="center"/>
            <w:hideMark/>
          </w:tcPr>
          <w:p w:rsidR="00B4550A" w:rsidRPr="00E0488D" w:rsidRDefault="00B4550A" w:rsidP="003C7FC8">
            <w:pPr>
              <w:jc w:val="center"/>
              <w:rPr>
                <w:b/>
                <w:color w:val="000000"/>
                <w:sz w:val="22"/>
                <w:szCs w:val="22"/>
                <w:lang w:val="ro-RO" w:eastAsia="en-GB"/>
              </w:rPr>
            </w:pPr>
            <w:r w:rsidRPr="00E0488D">
              <w:rPr>
                <w:b/>
                <w:color w:val="000000"/>
                <w:sz w:val="22"/>
                <w:szCs w:val="22"/>
                <w:lang w:val="ro-RO"/>
              </w:rPr>
              <w:t>RBC</w:t>
            </w:r>
          </w:p>
        </w:tc>
        <w:tc>
          <w:tcPr>
            <w:tcW w:w="980" w:type="dxa"/>
            <w:shd w:val="clear" w:color="auto" w:fill="B8CCE4" w:themeFill="accent1" w:themeFillTint="66"/>
            <w:noWrap/>
            <w:vAlign w:val="center"/>
            <w:hideMark/>
          </w:tcPr>
          <w:p w:rsidR="00B4550A" w:rsidRPr="00E0488D" w:rsidRDefault="00B4550A" w:rsidP="003C7FC8">
            <w:pPr>
              <w:jc w:val="center"/>
              <w:rPr>
                <w:b/>
                <w:color w:val="000000"/>
                <w:sz w:val="22"/>
                <w:szCs w:val="22"/>
                <w:lang w:val="ro-RO" w:eastAsia="en-GB"/>
              </w:rPr>
            </w:pPr>
            <w:r w:rsidRPr="00E0488D">
              <w:rPr>
                <w:b/>
                <w:i/>
                <w:iCs/>
                <w:color w:val="000000"/>
                <w:sz w:val="22"/>
                <w:szCs w:val="22"/>
                <w:lang w:val="ro-RO"/>
              </w:rPr>
              <w:t xml:space="preserve">% </w:t>
            </w:r>
            <w:r w:rsidRPr="00E0488D">
              <w:rPr>
                <w:b/>
                <w:color w:val="000000"/>
                <w:sz w:val="22"/>
                <w:szCs w:val="22"/>
                <w:lang w:val="ro-RO"/>
              </w:rPr>
              <w:t>RIRE</w:t>
            </w:r>
          </w:p>
        </w:tc>
      </w:tr>
      <w:tr w:rsidR="00B4550A" w:rsidRPr="00E0488D" w:rsidTr="003C7FC8">
        <w:trPr>
          <w:trHeight w:val="285"/>
        </w:trPr>
        <w:tc>
          <w:tcPr>
            <w:tcW w:w="1666" w:type="dxa"/>
            <w:shd w:val="clear" w:color="auto" w:fill="auto"/>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Oradea</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108</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20</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1.28</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6.5%</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Dej</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30</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107</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5.91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19.7%</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BP3</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Sighisoara</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48</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92</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3.84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15.8%</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BP4</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Roman</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62</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129</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4.11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15.9%</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BP5</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Focsani</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76</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130</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3.44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13.1%</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BP6</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Ramnicu Sarat</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37</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6.8%</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BP7</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Buzau</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105</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37</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7.5%</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BP8</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Alexandria</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55</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0.53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BP9</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Ramnicu Valcea</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195</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6.2%</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BP10</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Targoviste</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78</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358</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7.83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22.7%</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BP11</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Filiasi</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68</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4.40</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15.6%</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BP12</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Adjud</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46</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170</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5.96</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19.0%</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BP13</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Mizil</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36</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0.57</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1.9%</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BP14</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Ludus</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102</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2.53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11.2%</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BP15</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Falticeni</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41</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70</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3.34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13.2%</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BP16</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Caransebes</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81</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5.7%</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BP17</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Beclean</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42</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8.4%</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BP18</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Bistriţa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157</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32</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1.31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6.5%</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BP19</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Miercurea Ciuc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111</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0.95</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4.8%</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BP20</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Sfântu Gheorghe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34</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2.84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11.4%</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lastRenderedPageBreak/>
              <w:t>BP21</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Giurgiu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72</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1.50</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7.4%</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BP22</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Vaslui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73</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31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1.64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8.6%</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BP23</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Bârlad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51</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2.57</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11.1%</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BP24</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Slobozia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23</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16</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2.06</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10.6%</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BP25</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Vatra Dornei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18</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57</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5.65</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17.9%</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BP26</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Câmpulung Moldovenesc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99</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-23</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0.65</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2.5%</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BP27</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Mangalia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44</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1.49</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7.5%</w:t>
            </w:r>
          </w:p>
        </w:tc>
      </w:tr>
      <w:tr w:rsidR="00B4550A" w:rsidRPr="00E0488D" w:rsidTr="003C7FC8">
        <w:trPr>
          <w:trHeight w:val="285"/>
        </w:trPr>
        <w:tc>
          <w:tcPr>
            <w:tcW w:w="1666"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BP28</w:t>
            </w:r>
          </w:p>
        </w:tc>
        <w:tc>
          <w:tcPr>
            <w:tcW w:w="3118" w:type="dxa"/>
            <w:shd w:val="clear" w:color="000000" w:fill="FFFFFF"/>
            <w:noWrap/>
            <w:vAlign w:val="center"/>
            <w:hideMark/>
          </w:tcPr>
          <w:p w:rsidR="00B4550A" w:rsidRPr="00E0488D" w:rsidRDefault="00B4550A" w:rsidP="003C7FC8">
            <w:pPr>
              <w:rPr>
                <w:sz w:val="22"/>
                <w:szCs w:val="22"/>
                <w:lang w:val="ro-RO"/>
              </w:rPr>
            </w:pPr>
            <w:r w:rsidRPr="00E0488D">
              <w:rPr>
                <w:rFonts w:cs="Arial"/>
                <w:color w:val="000000"/>
                <w:sz w:val="22"/>
                <w:szCs w:val="22"/>
                <w:lang w:val="ro-RO"/>
              </w:rPr>
              <w:t xml:space="preserve">Timisoara Sud </w:t>
            </w:r>
          </w:p>
        </w:tc>
        <w:tc>
          <w:tcPr>
            <w:tcW w:w="1888"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127</w:t>
            </w:r>
          </w:p>
        </w:tc>
        <w:tc>
          <w:tcPr>
            <w:tcW w:w="979"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104</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2.21</w:t>
            </w:r>
          </w:p>
        </w:tc>
        <w:tc>
          <w:tcPr>
            <w:tcW w:w="980" w:type="dxa"/>
            <w:shd w:val="clear" w:color="000000" w:fill="EEECE1"/>
            <w:noWrap/>
            <w:vAlign w:val="center"/>
            <w:hideMark/>
          </w:tcPr>
          <w:p w:rsidR="00B4550A" w:rsidRPr="00E0488D" w:rsidRDefault="00B4550A" w:rsidP="003C7FC8">
            <w:pPr>
              <w:jc w:val="center"/>
              <w:rPr>
                <w:color w:val="000000"/>
                <w:sz w:val="22"/>
                <w:szCs w:val="22"/>
                <w:lang w:val="ro-RO"/>
              </w:rPr>
            </w:pPr>
            <w:r w:rsidRPr="00E0488D">
              <w:rPr>
                <w:rFonts w:cs="Arial"/>
                <w:color w:val="000000"/>
                <w:sz w:val="22"/>
                <w:szCs w:val="22"/>
                <w:lang w:val="ro-RO"/>
              </w:rPr>
              <w:t>9.7%</w:t>
            </w:r>
          </w:p>
        </w:tc>
      </w:tr>
    </w:tbl>
    <w:p w:rsidR="00B4550A" w:rsidRPr="00E0488D" w:rsidRDefault="00B4550A" w:rsidP="00B4550A">
      <w:pPr>
        <w:ind w:left="284" w:firstLine="425"/>
        <w:rPr>
          <w:i/>
          <w:lang w:val="ro-RO"/>
        </w:rPr>
      </w:pPr>
      <w:r w:rsidRPr="00E0488D">
        <w:rPr>
          <w:i/>
          <w:sz w:val="22"/>
          <w:szCs w:val="22"/>
          <w:lang w:val="ro-RO"/>
        </w:rPr>
        <w:t xml:space="preserve">Sursa: Analiza AECOM </w:t>
      </w:r>
    </w:p>
    <w:p w:rsidR="00B4550A" w:rsidRPr="00E0488D" w:rsidRDefault="00B4550A" w:rsidP="002B7E09">
      <w:pPr>
        <w:pStyle w:val="NumberedParas"/>
      </w:pPr>
      <w:r w:rsidRPr="00E0488D">
        <w:t>Locația proiectelor de variante de ocolire selectate sunt ilustrate în comparație cu Scenariul de referință și cu proiectele de Nivel 1 și 2 în Figura 4.26.</w:t>
      </w:r>
    </w:p>
    <w:p w:rsidR="00B4550A" w:rsidRPr="00E0488D" w:rsidRDefault="004F3676" w:rsidP="00B4550A">
      <w:pPr>
        <w:keepNext/>
        <w:tabs>
          <w:tab w:val="left" w:pos="567"/>
        </w:tabs>
        <w:spacing w:after="60"/>
        <w:rPr>
          <w:b/>
          <w:sz w:val="22"/>
          <w:szCs w:val="22"/>
          <w:lang w:val="ro-RO"/>
        </w:rPr>
      </w:pPr>
      <w:r w:rsidRPr="00E0488D">
        <w:rPr>
          <w:b/>
          <w:noProof/>
          <w:sz w:val="22"/>
          <w:szCs w:val="22"/>
          <w:lang w:val="ro-RO" w:eastAsia="ro-RO"/>
        </w:rPr>
        <w:drawing>
          <wp:inline distT="0" distB="0" distL="0" distR="0">
            <wp:extent cx="5278120" cy="4223496"/>
            <wp:effectExtent l="19050" t="19050" r="17780" b="24654"/>
            <wp:docPr id="1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srcRect/>
                    <a:stretch>
                      <a:fillRect/>
                    </a:stretch>
                  </pic:blipFill>
                  <pic:spPr bwMode="auto">
                    <a:xfrm>
                      <a:off x="0" y="0"/>
                      <a:ext cx="5278120" cy="4223496"/>
                    </a:xfrm>
                    <a:prstGeom prst="rect">
                      <a:avLst/>
                    </a:prstGeom>
                    <a:ln>
                      <a:solidFill>
                        <a:schemeClr val="accent1"/>
                      </a:solidFill>
                    </a:ln>
                  </pic:spPr>
                </pic:pic>
              </a:graphicData>
            </a:graphic>
          </wp:inline>
        </w:drawing>
      </w:r>
    </w:p>
    <w:p w:rsidR="00B4550A" w:rsidRPr="00E0488D" w:rsidRDefault="00B4550A" w:rsidP="00B4550A">
      <w:pPr>
        <w:keepNext/>
        <w:tabs>
          <w:tab w:val="left" w:pos="567"/>
        </w:tabs>
        <w:spacing w:after="60"/>
        <w:rPr>
          <w:b/>
          <w:sz w:val="22"/>
          <w:szCs w:val="22"/>
          <w:lang w:val="ro-RO"/>
        </w:rPr>
      </w:pPr>
    </w:p>
    <w:p w:rsidR="00B4550A" w:rsidRPr="00E0488D" w:rsidRDefault="00B4550A" w:rsidP="00B4550A">
      <w:pPr>
        <w:spacing w:before="120" w:after="120" w:line="276" w:lineRule="auto"/>
        <w:ind w:left="680"/>
        <w:rPr>
          <w:i/>
          <w:sz w:val="22"/>
          <w:szCs w:val="22"/>
          <w:lang w:val="ro-RO"/>
        </w:rPr>
      </w:pPr>
      <w:r w:rsidRPr="00E0488D">
        <w:rPr>
          <w:b/>
          <w:sz w:val="22"/>
          <w:szCs w:val="22"/>
          <w:lang w:val="ro-RO"/>
        </w:rPr>
        <w:t>Figura 4.27   Proiecte de variante de ocolire în relație cu proiectele de Nivel 1 și 2 și cele din Scenariul de referință</w:t>
      </w:r>
    </w:p>
    <w:p w:rsidR="00B4550A" w:rsidRPr="00E0488D" w:rsidRDefault="00B4550A" w:rsidP="00B4550A">
      <w:pPr>
        <w:spacing w:before="120" w:after="120" w:line="276" w:lineRule="auto"/>
        <w:ind w:left="680"/>
        <w:rPr>
          <w:sz w:val="22"/>
          <w:szCs w:val="22"/>
          <w:lang w:val="ro-RO"/>
        </w:rPr>
      </w:pPr>
      <w:r w:rsidRPr="00E0488D">
        <w:rPr>
          <w:i/>
          <w:sz w:val="22"/>
          <w:szCs w:val="22"/>
          <w:lang w:val="ro-RO"/>
        </w:rPr>
        <w:t xml:space="preserve">Sursa: Analiza AECOM, Modelul Național de Transport </w:t>
      </w:r>
    </w:p>
    <w:p w:rsidR="00B4550A" w:rsidRPr="00E0488D" w:rsidRDefault="00B4550A" w:rsidP="00B4550A">
      <w:pPr>
        <w:rPr>
          <w:rFonts w:cs="Arial"/>
          <w:sz w:val="20"/>
          <w:szCs w:val="20"/>
          <w:lang w:val="ro-RO"/>
        </w:rPr>
      </w:pPr>
      <w:r w:rsidRPr="00E0488D">
        <w:rPr>
          <w:rFonts w:cs="Arial"/>
          <w:sz w:val="20"/>
          <w:szCs w:val="20"/>
          <w:lang w:val="ro-RO"/>
        </w:rPr>
        <w:br w:type="page"/>
      </w:r>
    </w:p>
    <w:p w:rsidR="00B4550A" w:rsidRPr="00E0488D" w:rsidRDefault="00B4550A" w:rsidP="00B4550A">
      <w:pPr>
        <w:rPr>
          <w:i/>
          <w:lang w:val="ro-RO"/>
        </w:rPr>
      </w:pPr>
    </w:p>
    <w:p w:rsidR="00B4550A" w:rsidRPr="00E0488D" w:rsidRDefault="00B4550A" w:rsidP="00B4550A">
      <w:pPr>
        <w:rPr>
          <w:lang w:val="ro-RO"/>
        </w:rPr>
      </w:pPr>
    </w:p>
    <w:p w:rsidR="00B4550A" w:rsidRPr="00E0488D" w:rsidRDefault="00B4550A" w:rsidP="00BD59B2">
      <w:pPr>
        <w:pStyle w:val="Hdg2"/>
      </w:pPr>
      <w:bookmarkStart w:id="83" w:name="_Toc398020046"/>
      <w:bookmarkStart w:id="84" w:name="_Toc413060316"/>
      <w:r w:rsidRPr="00E0488D">
        <w:t>Analiza Cost-Beneficiu</w:t>
      </w:r>
      <w:bookmarkEnd w:id="83"/>
      <w:bookmarkEnd w:id="84"/>
    </w:p>
    <w:p w:rsidR="00B4550A" w:rsidRPr="00E0488D" w:rsidRDefault="00B4550A" w:rsidP="002B7E09">
      <w:pPr>
        <w:pStyle w:val="NumberedParas"/>
      </w:pPr>
      <w:r w:rsidRPr="00E0488D">
        <w:t xml:space="preserve">În cadrul acestui subcapitol sunt prezentate detalii pentru toate proiectele de infrastructură rutieră care au fost supuse testelor și proceselor de evaluare din cadrul modelului și care au fost selectate pentru a fi incluse ca parte a strategiei generale.   </w:t>
      </w:r>
    </w:p>
    <w:p w:rsidR="00B4550A" w:rsidRPr="00E0488D" w:rsidRDefault="00B4550A" w:rsidP="002B7E09">
      <w:pPr>
        <w:pStyle w:val="NumberedParas"/>
      </w:pPr>
      <w:r w:rsidRPr="00E0488D">
        <w:t xml:space="preserve">Pentru fiecare proiect, prezentăm următoarele: </w:t>
      </w:r>
    </w:p>
    <w:p w:rsidR="00B4550A" w:rsidRPr="00E0488D" w:rsidRDefault="00B4550A" w:rsidP="00BC2B57">
      <w:pPr>
        <w:pStyle w:val="BulletLevel1"/>
      </w:pPr>
      <w:r w:rsidRPr="00E0488D">
        <w:t>Descriere succintă a propunerii;</w:t>
      </w:r>
    </w:p>
    <w:p w:rsidR="00B4550A" w:rsidRPr="00E0488D" w:rsidRDefault="00B4550A" w:rsidP="00BC2B57">
      <w:pPr>
        <w:pStyle w:val="BulletLevel1"/>
      </w:pPr>
      <w:r w:rsidRPr="00E0488D">
        <w:t xml:space="preserve">Descriere succintă a problemei(lor) puse în discuție; </w:t>
      </w:r>
    </w:p>
    <w:p w:rsidR="00B4550A" w:rsidRPr="00E0488D" w:rsidRDefault="00B4550A" w:rsidP="00BC2B57">
      <w:pPr>
        <w:pStyle w:val="BulletLevel1"/>
      </w:pPr>
      <w:r w:rsidRPr="00E0488D">
        <w:t>Costuri neactualizate;</w:t>
      </w:r>
    </w:p>
    <w:p w:rsidR="00B4550A" w:rsidRPr="00E0488D" w:rsidRDefault="00B4550A" w:rsidP="00BC2B57">
      <w:pPr>
        <w:pStyle w:val="BulletLevel1"/>
      </w:pPr>
      <w:r w:rsidRPr="00E0488D">
        <w:t>Rezultat(e);</w:t>
      </w:r>
    </w:p>
    <w:p w:rsidR="00B4550A" w:rsidRPr="00E0488D" w:rsidRDefault="00B4550A" w:rsidP="00BC2B57">
      <w:pPr>
        <w:pStyle w:val="BulletLevel1"/>
      </w:pPr>
      <w:r w:rsidRPr="00E0488D">
        <w:t xml:space="preserve">Organizația responsabilă de implementare; și </w:t>
      </w:r>
    </w:p>
    <w:p w:rsidR="00B4550A" w:rsidRPr="00E0488D" w:rsidRDefault="00B4550A" w:rsidP="00BC2B57">
      <w:pPr>
        <w:pStyle w:val="BulletLevel1"/>
      </w:pPr>
      <w:r w:rsidRPr="00E0488D">
        <w:t xml:space="preserve">Anul(anii) de implementare. </w:t>
      </w:r>
    </w:p>
    <w:p w:rsidR="00B4550A" w:rsidRPr="00E0488D" w:rsidRDefault="00B4550A" w:rsidP="002B7E09">
      <w:pPr>
        <w:pStyle w:val="NumberedParas"/>
        <w:rPr>
          <w:b/>
          <w:i/>
          <w:color w:val="9E0880"/>
        </w:rPr>
      </w:pPr>
      <w:r w:rsidRPr="00E0488D">
        <w:t>Am avut în vedere două scenarii de implementare „ES” și „EES”, și am stabilit ani de implementare pentru ambele cazuri. Mai întâi vom prezenta informații referitoare la proiectele de Nivel 1, apoi la cele de Nivel 2 și în cele din urmă pentru proiectele de varianta de ocolire.</w:t>
      </w:r>
    </w:p>
    <w:p w:rsidR="00B4550A" w:rsidRPr="00E0488D" w:rsidRDefault="00B4550A" w:rsidP="002B7E09">
      <w:pPr>
        <w:pStyle w:val="NumberedParas"/>
        <w:rPr>
          <w:b/>
          <w:i/>
          <w:color w:val="9E0880"/>
        </w:rPr>
      </w:pPr>
      <w:r w:rsidRPr="00E0488D">
        <w:t xml:space="preserve">Proiectele de Nivel 1 și Nivel 2 trebuie să fie dezvoltate în conformitate cu Articolul 17 din Reglementarea UE Nr. 1315/2013 incluzând: </w:t>
      </w:r>
    </w:p>
    <w:p w:rsidR="00B4550A" w:rsidRPr="00E0488D" w:rsidRDefault="00B4550A" w:rsidP="00BC2B57">
      <w:pPr>
        <w:pStyle w:val="BulletLevel1"/>
      </w:pPr>
      <w:r w:rsidRPr="00E0488D">
        <w:t>Zone adecvate de parcare și de odihnă și</w:t>
      </w:r>
    </w:p>
    <w:p w:rsidR="00B4550A" w:rsidRPr="00E0488D" w:rsidRDefault="00B4550A" w:rsidP="00BC2B57">
      <w:pPr>
        <w:pStyle w:val="BulletLevel1"/>
      </w:pPr>
      <w:r w:rsidRPr="00E0488D">
        <w:t>Aplicații telematice relevante, precum VMS.</w:t>
      </w:r>
    </w:p>
    <w:p w:rsidR="00B4550A" w:rsidRPr="00E0488D" w:rsidRDefault="00B4550A" w:rsidP="002B7E09">
      <w:pPr>
        <w:pStyle w:val="NumberedParas"/>
      </w:pPr>
      <w:r w:rsidRPr="00E0488D">
        <w:t xml:space="preserve">De asemenea, potrivit Articolului  17 acestea trebuie întreținute în mod adecvat. În Reglementări nu se specifică dacă pe rețeaua TEN-T Comphrensive infrastructura trebuie să fie la nivel de autostradă, drum expres sau drum strategic conevnțional. Așa cum am prezentat în notele din prima parte a acestui document, soluțiile tehnice pentru fiecare intervenție vor trebui reconfirmate la nivelul fiecărui proiect prin intermediul Studiilor detaliate de fezabilitate și pe baza unei analize aprofundate a opțiunilor, inclusiv a unor analize mai detaliate privind costurile, capacitatea și impactul economic și de mediu al proiectului respectiv. </w:t>
      </w:r>
    </w:p>
    <w:p w:rsidR="00B4550A" w:rsidRPr="00E0488D" w:rsidRDefault="00B4550A" w:rsidP="002B7E09">
      <w:pPr>
        <w:pStyle w:val="NumberedParas"/>
      </w:pPr>
      <w:r w:rsidRPr="00E0488D">
        <w:t xml:space="preserve">În final, este important să notăm că pentru a ilustra acest proces, fiecare dintre  proiectele prezentate în secțiunile următoare a fost testat separat. Modificările traficului prognozat de către model trebuie analizate în acest conext. Este invevitabil  ca proiectele care sunt relativ apropiate unul de celalalt sau care au același tip de trafic, de ex. deplasări pe distanțe mai mari Est-Vest, vor produce efecte diferite dacă sunt analizate în combinații cu alte proiecte. </w:t>
      </w:r>
    </w:p>
    <w:p w:rsidR="00B4550A" w:rsidRPr="00E0488D" w:rsidRDefault="00B4550A" w:rsidP="002B7E09">
      <w:pPr>
        <w:pStyle w:val="NumberedParas"/>
      </w:pPr>
      <w:r w:rsidRPr="00E0488D">
        <w:t xml:space="preserve">Acest fapt este relevant în particular în momentul analizei scenariilor compuse din mai multe proiecte unde nu este posibilă însumarea rezultatelor elementelor constitutive reieșite din model pentru prognozarea efectului combinat. Ploturile de diferențiere a fluxului de trafic care se utilizează pentru ilustrarea impactului fiecărui proiect sunt realizate pentru anul de deschidere 2020.  </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680"/>
      </w:pPr>
      <w:r w:rsidRPr="00E0488D">
        <w:lastRenderedPageBreak/>
        <w:t xml:space="preserve"> </w:t>
      </w:r>
    </w:p>
    <w:p w:rsidR="00B4550A" w:rsidRPr="00E0488D" w:rsidRDefault="00B4550A" w:rsidP="00B4550A">
      <w:pPr>
        <w:pStyle w:val="Hdg3"/>
        <w:spacing w:before="240"/>
        <w:ind w:left="851"/>
      </w:pPr>
      <w:r w:rsidRPr="00E0488D">
        <w:t xml:space="preserve">Proiecte de Nivel 1 – OR1 – Autostrada Ploiești-Brașov </w:t>
      </w:r>
    </w:p>
    <w:p w:rsidR="00B4550A" w:rsidRPr="00E0488D" w:rsidRDefault="00B4550A" w:rsidP="00B4550A">
      <w:pPr>
        <w:spacing w:before="120" w:after="120"/>
        <w:ind w:left="851"/>
        <w:rPr>
          <w:sz w:val="22"/>
          <w:szCs w:val="22"/>
          <w:lang w:val="ro-RO"/>
        </w:rPr>
      </w:pPr>
      <w:r w:rsidRPr="00E0488D">
        <w:rPr>
          <w:b/>
          <w:sz w:val="22"/>
          <w:szCs w:val="22"/>
          <w:lang w:val="ro-RO"/>
        </w:rPr>
        <w:t xml:space="preserve">Descriere succintă a propunerii: </w:t>
      </w:r>
    </w:p>
    <w:p w:rsidR="00B4550A" w:rsidRPr="00E0488D" w:rsidRDefault="00B4550A" w:rsidP="002B7E09">
      <w:pPr>
        <w:pStyle w:val="NumberedParas"/>
      </w:pPr>
      <w:r w:rsidRPr="00E0488D">
        <w:t>Propunerea va include o nouă secțiune de autostradă între Ploiești și Brașov pentru stabilirea unei legături cu autostrada Ploiești-București existentă. Această combinație va duce la stabilirea unui traseu la standard de autostradă între București și Brașov. Aceasta îndeplinește obiectivele operaționale prezentate în Tabelul 4.15 pentru OR1 (București-Brașov) și contribuie la îmbunătățirea conectivității regionale și naținale pentru traficul pe axa est-vest.  Reprezintă de asemenea un plus de valoare pentru transportul european deoarece reprezintă o legătură cheie de-a lungul coridorului care face legătura între granița de vest a României și Marea Neagră.</w:t>
      </w:r>
    </w:p>
    <w:p w:rsidR="00B4550A" w:rsidRPr="00E0488D" w:rsidRDefault="00B4550A" w:rsidP="002B7E09">
      <w:pPr>
        <w:pStyle w:val="NumberedParas"/>
      </w:pPr>
      <w:r w:rsidRPr="00E0488D">
        <w:t xml:space="preserve">Traseul și legăturile sale cu rețeaua existentă sunt prezentate în Figura 4.28 de mai jos:  </w:t>
      </w:r>
    </w:p>
    <w:p w:rsidR="00B4550A" w:rsidRPr="00E0488D" w:rsidRDefault="00B4550A" w:rsidP="00B4550A">
      <w:pPr>
        <w:tabs>
          <w:tab w:val="left" w:pos="7250"/>
        </w:tabs>
        <w:spacing w:before="120" w:after="120"/>
        <w:ind w:left="851"/>
        <w:rPr>
          <w:sz w:val="22"/>
          <w:szCs w:val="22"/>
          <w:lang w:val="ro-RO"/>
        </w:rPr>
      </w:pPr>
      <w:r w:rsidRPr="00E0488D">
        <w:rPr>
          <w:b/>
          <w:sz w:val="22"/>
          <w:szCs w:val="22"/>
          <w:lang w:val="ro-RO"/>
        </w:rPr>
        <w:tab/>
      </w:r>
      <w:r w:rsidRPr="00E0488D">
        <w:rPr>
          <w:noProof/>
          <w:lang w:val="ro-RO" w:eastAsia="ro-RO"/>
        </w:rPr>
        <w:drawing>
          <wp:inline distT="0" distB="0" distL="0" distR="0">
            <wp:extent cx="4244340" cy="2880995"/>
            <wp:effectExtent l="19050" t="19050" r="22860" b="14605"/>
            <wp:docPr id="145" name="Picture 1" descr="OR1 Alignment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1 Alignment Plot"/>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244340" cy="2880995"/>
                    </a:xfrm>
                    <a:prstGeom prst="rect">
                      <a:avLst/>
                    </a:prstGeom>
                    <a:noFill/>
                    <a:ln w="6350" cmpd="sng">
                      <a:solidFill>
                        <a:srgbClr val="000000"/>
                      </a:solidFill>
                      <a:miter lim="800000"/>
                      <a:headEnd/>
                      <a:tailEnd/>
                    </a:ln>
                    <a:effectLst/>
                  </pic:spPr>
                </pic:pic>
              </a:graphicData>
            </a:graphic>
          </wp:inline>
        </w:drawing>
      </w:r>
      <w:r w:rsidRPr="00E0488D">
        <w:rPr>
          <w:sz w:val="22"/>
          <w:szCs w:val="22"/>
          <w:lang w:val="ro-RO"/>
        </w:rPr>
        <w:t xml:space="preserve"> </w:t>
      </w:r>
    </w:p>
    <w:p w:rsidR="00B4550A" w:rsidRPr="00E0488D" w:rsidRDefault="00B4550A" w:rsidP="00B4550A">
      <w:pPr>
        <w:spacing w:before="120" w:after="120"/>
        <w:ind w:left="680" w:firstLine="171"/>
        <w:rPr>
          <w:i/>
          <w:sz w:val="22"/>
          <w:szCs w:val="22"/>
          <w:lang w:val="ro-RO"/>
        </w:rPr>
      </w:pPr>
      <w:r w:rsidRPr="00E0488D">
        <w:rPr>
          <w:b/>
          <w:sz w:val="22"/>
          <w:szCs w:val="22"/>
          <w:lang w:val="ro-RO"/>
        </w:rPr>
        <w:t>Figura 4.28</w:t>
      </w:r>
      <w:r w:rsidRPr="00E0488D">
        <w:rPr>
          <w:b/>
          <w:sz w:val="22"/>
          <w:szCs w:val="22"/>
          <w:lang w:val="ro-RO"/>
        </w:rPr>
        <w:tab/>
        <w:t>Traseul orientativ al autostrăzii  Ploiești-Brașov</w:t>
      </w:r>
    </w:p>
    <w:p w:rsidR="00B4550A" w:rsidRPr="00E0488D" w:rsidRDefault="00B4550A" w:rsidP="00B4550A">
      <w:pPr>
        <w:spacing w:before="120" w:after="120"/>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formează o parte a coridorului care va stabili o legătură între două noduri din cadrul rețelei de bază TEN-T, și anume București și Timișoara. De asemenea, traseul leagă municipiul Brașov, care este un nod din cadrul rețelei TEN-T, de municipiul București. </w:t>
      </w:r>
    </w:p>
    <w:p w:rsidR="00B4550A" w:rsidRPr="00E0488D" w:rsidRDefault="00B4550A" w:rsidP="00B4550A">
      <w:pPr>
        <w:spacing w:before="120" w:after="120"/>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Obiectivul general al proiectului este de a spori eficiența economică a rețelei de transport din România. Obiectivul operațional specific este de a aduce îmbunătățiri în ceea ce privește viteza de călătorie pe coridorul București-Brașov.</w:t>
      </w:r>
    </w:p>
    <w:p w:rsidR="00B4550A" w:rsidRPr="00E0488D" w:rsidRDefault="00B4550A" w:rsidP="002B7E09">
      <w:pPr>
        <w:pStyle w:val="NumberedParas"/>
      </w:pPr>
      <w:r w:rsidRPr="00E0488D">
        <w:t xml:space="preserve">Pe traseul dintre București și Brașov timpii de călătorie sunt mari, viteza medie înregistrată pe durata orelor de vârf pe acest traseu fiind sub70km/h pentru 2020. La nivelul țării, București ocupă locul întâi în ceea ce privește numărul de locuitori, iar Brașov se află pe locul șapte, reprezentând de asemenea și un coridor de transport cheie, deoarece face legătura, via Sibiu, </w:t>
      </w:r>
      <w:r w:rsidRPr="00E0488D">
        <w:lastRenderedPageBreak/>
        <w:t xml:space="preserve">cu autostrada A1 care este o autostradă de importanță semnificativă, precum și spre granița cu Ungaria.  </w:t>
      </w:r>
    </w:p>
    <w:p w:rsidR="00B4550A" w:rsidRPr="00E0488D" w:rsidRDefault="00B4550A" w:rsidP="002B7E09">
      <w:pPr>
        <w:pStyle w:val="NumberedParas"/>
      </w:pPr>
      <w:r w:rsidRPr="00E0488D">
        <w:t>Coridorul a fost identificat ca parte a unui studiu asupra impactului economic generat de întârzieri, traversând și numeroase zone cu puncte negre aferente accidentelor rutiere.</w:t>
      </w:r>
    </w:p>
    <w:p w:rsidR="00B4550A" w:rsidRPr="00E0488D" w:rsidRDefault="00B4550A" w:rsidP="002B7E09">
      <w:pPr>
        <w:pStyle w:val="NumberedParas"/>
      </w:pPr>
      <w:r w:rsidRPr="00E0488D">
        <w:t xml:space="preserve">Accesul intern către Brașov se face mai greu față de alte orașe, precum Pitești, care au o legătură de calitate superioară către București. </w:t>
      </w:r>
    </w:p>
    <w:p w:rsidR="00B4550A" w:rsidRPr="00E0488D" w:rsidRDefault="00B4550A" w:rsidP="002B7E09">
      <w:pPr>
        <w:pStyle w:val="NumberedParas"/>
      </w:pPr>
      <w:r w:rsidRPr="00E0488D">
        <w:t>Cu toate că există o legătură de calitate superioară de la București către sudul orașului Ploiești,</w:t>
      </w:r>
      <w:r w:rsidR="00BC2B57">
        <w:t xml:space="preserve"> </w:t>
      </w:r>
      <w:r w:rsidRPr="00E0488D">
        <w:t xml:space="preserve">via A3, restul porțiunii de infrastructură pe acest coridor are o stare tehnică defavorabilă– 44% din traseul rămas este la standard de drum doar cu o singură bandă.  </w:t>
      </w:r>
    </w:p>
    <w:p w:rsidR="00B4550A" w:rsidRPr="00E0488D" w:rsidRDefault="00B4550A" w:rsidP="00B4550A">
      <w:pPr>
        <w:spacing w:before="120" w:after="120"/>
        <w:ind w:left="851"/>
        <w:rPr>
          <w:b/>
          <w:sz w:val="22"/>
          <w:szCs w:val="22"/>
          <w:lang w:val="ro-RO"/>
        </w:rPr>
      </w:pPr>
    </w:p>
    <w:p w:rsidR="00B4550A" w:rsidRPr="00E0488D" w:rsidRDefault="00B4550A" w:rsidP="00B4550A">
      <w:pPr>
        <w:spacing w:before="120" w:after="120"/>
        <w:ind w:left="851"/>
        <w:rPr>
          <w:sz w:val="22"/>
          <w:szCs w:val="22"/>
          <w:lang w:val="ro-RO"/>
        </w:rPr>
      </w:pPr>
      <w:r w:rsidRPr="00E0488D">
        <w:rPr>
          <w:b/>
          <w:sz w:val="22"/>
          <w:szCs w:val="22"/>
          <w:lang w:val="ro-RO"/>
        </w:rPr>
        <w:t>Costuri neactualizate (prețuri din 2014 în milioane de EURO)</w:t>
      </w:r>
      <w:r w:rsidRPr="00E0488D">
        <w:rPr>
          <w:sz w:val="22"/>
          <w:szCs w:val="22"/>
          <w:lang w:val="ro-RO"/>
        </w:rPr>
        <w:t>:</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00BC2B57">
        <w:rPr>
          <w:sz w:val="22"/>
          <w:szCs w:val="22"/>
          <w:lang w:val="ro-RO"/>
        </w:rPr>
        <w:t>1,</w:t>
      </w:r>
      <w:r w:rsidRPr="00E0488D">
        <w:rPr>
          <w:sz w:val="22"/>
          <w:szCs w:val="22"/>
          <w:lang w:val="ro-RO"/>
        </w:rPr>
        <w:t>427milioane de Euro</w:t>
      </w:r>
    </w:p>
    <w:p w:rsidR="00B4550A" w:rsidRPr="00E0488D" w:rsidRDefault="00B4550A" w:rsidP="00B4550A">
      <w:pPr>
        <w:spacing w:before="120" w:after="120"/>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 xml:space="preserve">Acest proiect prezintă o valoare RBC foarte bună, de 3,55 și operează aproximativ 50.000 de vehicule (MZA) pe ambele sensuri. Impactul generat asupra celorlalte moduri de transport este mic, înregistrându-se o scădere a volumului de trafic aferent transportului feroviar de călători și mărfuri. </w:t>
      </w:r>
    </w:p>
    <w:p w:rsidR="00B4550A" w:rsidRPr="00E0488D" w:rsidRDefault="00B4550A" w:rsidP="002B7E09">
      <w:pPr>
        <w:pStyle w:val="NumberedParas"/>
      </w:pPr>
      <w:r w:rsidRPr="00E0488D">
        <w:t xml:space="preserve">Aproximativ întregul volum de trafic existent pe coridorul paralel este deviat pe noul traseu. Un volum semnificativ de trafic este atras de pe traseul dintre București și Sibiu (via Pitești) precum și de pe cel dintre Buzău și Brașov. Schimbările de la nivelul fluxului de trafic sunt ilustrate în Figura 4.29. </w:t>
      </w:r>
    </w:p>
    <w:p w:rsidR="00B4550A" w:rsidRPr="00E0488D" w:rsidRDefault="00B4550A" w:rsidP="00B4550A">
      <w:pPr>
        <w:spacing w:before="120" w:after="120"/>
        <w:ind w:left="426" w:hanging="142"/>
        <w:jc w:val="center"/>
        <w:rPr>
          <w:sz w:val="22"/>
          <w:szCs w:val="22"/>
          <w:lang w:val="ro-RO"/>
        </w:rPr>
      </w:pPr>
      <w:r w:rsidRPr="00E0488D">
        <w:rPr>
          <w:noProof/>
          <w:lang w:val="ro-RO" w:eastAsia="ro-RO"/>
        </w:rPr>
        <w:drawing>
          <wp:inline distT="0" distB="0" distL="0" distR="0">
            <wp:extent cx="3943350" cy="2658583"/>
            <wp:effectExtent l="19050" t="19050" r="19050" b="27467"/>
            <wp:docPr id="146" name="Picture 4" descr="OR1 Differenc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1 Difference Plot"/>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943350" cy="2658583"/>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ind w:left="426" w:hanging="142"/>
        <w:jc w:val="center"/>
        <w:rPr>
          <w:i/>
          <w:sz w:val="22"/>
          <w:szCs w:val="22"/>
          <w:lang w:val="ro-RO"/>
        </w:rPr>
      </w:pPr>
      <w:r w:rsidRPr="00E0488D">
        <w:rPr>
          <w:b/>
          <w:sz w:val="22"/>
          <w:szCs w:val="22"/>
          <w:lang w:val="ro-RO"/>
        </w:rPr>
        <w:t>Figura 4.29   Modificări ale fluxului de trafic datorate proiectului de autostradă Ploiești-Brașov</w:t>
      </w:r>
    </w:p>
    <w:p w:rsidR="00B4550A" w:rsidRPr="00E0488D" w:rsidRDefault="00B4550A" w:rsidP="00B4550A">
      <w:pPr>
        <w:spacing w:before="120" w:after="120"/>
        <w:ind w:left="426" w:hanging="142"/>
        <w:rPr>
          <w:i/>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Viteza medie înregistrată pe traseul dintre București și Brașov crește până la 88 km/h, urmare a implementării proiectului. Timpii de călătorie în timpul orelor de vârf scade cu 25%.  </w:t>
      </w:r>
    </w:p>
    <w:p w:rsidR="00B4550A" w:rsidRPr="00E0488D" w:rsidRDefault="00B4550A" w:rsidP="002B7E09">
      <w:pPr>
        <w:pStyle w:val="NumberedParas"/>
      </w:pPr>
      <w:r w:rsidRPr="00E0488D">
        <w:t xml:space="preserve">Indicatorii economici principali ai proiectului sunt următorii: </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2.495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lastRenderedPageBreak/>
        <w:t>RBC</w:t>
      </w:r>
      <w:r w:rsidRPr="00E0488D">
        <w:rPr>
          <w:sz w:val="22"/>
          <w:szCs w:val="22"/>
          <w:lang w:val="ro-RO"/>
        </w:rPr>
        <w:tab/>
        <w:t>=</w:t>
      </w:r>
      <w:r w:rsidRPr="00E0488D">
        <w:rPr>
          <w:sz w:val="22"/>
          <w:szCs w:val="22"/>
          <w:lang w:val="ro-RO"/>
        </w:rPr>
        <w:tab/>
        <w:t>3,55; și</w:t>
      </w:r>
    </w:p>
    <w:p w:rsidR="00B4550A" w:rsidRPr="00BC2B57" w:rsidRDefault="00B4550A" w:rsidP="00B4550A">
      <w:pPr>
        <w:pStyle w:val="ListParagraph"/>
        <w:numPr>
          <w:ilvl w:val="0"/>
          <w:numId w:val="48"/>
        </w:numPr>
        <w:spacing w:before="120" w:after="120" w:line="276" w:lineRule="auto"/>
        <w:contextualSpacing/>
        <w:rPr>
          <w:i/>
          <w:sz w:val="22"/>
          <w:szCs w:val="22"/>
          <w:lang w:val="ro-RO"/>
        </w:rPr>
      </w:pPr>
      <w:r w:rsidRPr="00BC2B57">
        <w:rPr>
          <w:sz w:val="22"/>
          <w:szCs w:val="22"/>
          <w:lang w:val="ro-RO"/>
        </w:rPr>
        <w:t>RIRE</w:t>
      </w:r>
      <w:r w:rsidRPr="00BC2B57">
        <w:rPr>
          <w:sz w:val="22"/>
          <w:szCs w:val="22"/>
          <w:lang w:val="ro-RO"/>
        </w:rPr>
        <w:tab/>
        <w:t>=</w:t>
      </w:r>
      <w:r w:rsidRPr="00BC2B57">
        <w:rPr>
          <w:sz w:val="22"/>
          <w:szCs w:val="22"/>
          <w:lang w:val="ro-RO"/>
        </w:rPr>
        <w:tab/>
        <w:t>13,7%.</w:t>
      </w:r>
      <w:r w:rsidRPr="00BC2B57">
        <w:rPr>
          <w:i/>
          <w:sz w:val="22"/>
          <w:szCs w:val="22"/>
          <w:lang w:val="ro-RO"/>
        </w:rPr>
        <w:br w:type="page"/>
      </w:r>
    </w:p>
    <w:p w:rsidR="00B4550A" w:rsidRPr="00E0488D" w:rsidRDefault="00B4550A" w:rsidP="00B4550A">
      <w:pPr>
        <w:pStyle w:val="Hdg3"/>
        <w:ind w:left="851"/>
      </w:pPr>
      <w:r w:rsidRPr="00E0488D">
        <w:lastRenderedPageBreak/>
        <w:t xml:space="preserve">Proiecte de Nivel 1– OR2 – Autostrada Brașov-Sibiu </w:t>
      </w:r>
    </w:p>
    <w:p w:rsidR="00B4550A" w:rsidRPr="00E0488D" w:rsidRDefault="00B4550A" w:rsidP="00B4550A">
      <w:pPr>
        <w:spacing w:before="120" w:after="120"/>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Obiectivul general al proiectului este de a spori eficiența economică a rețelei de transport din România. Obiectivul operațional specific este de a aduce îmbunătățiri în ceea ce privește viteza de călătorie pe coridorul București-Sibiu.</w:t>
      </w:r>
    </w:p>
    <w:p w:rsidR="00B4550A" w:rsidRPr="00E0488D" w:rsidRDefault="00B4550A" w:rsidP="002B7E09">
      <w:pPr>
        <w:pStyle w:val="NumberedParas"/>
      </w:pPr>
      <w:r w:rsidRPr="00E0488D">
        <w:t xml:space="preserve">Propunerea va prezenta o nouă secțiune de autostradă între Brașov și Sibiu. În combinație cu OR1, se va realiza un traseu la standard de autostradă între București și Sibiu, și mai departe spre granița cu Ungaria, o dată cu finalizarea proiectelor aflate în execuție, pentru A1. Îndeplinește obiectivele operaționale prezentate în Tabelul 4,15 pentru OR1 (București-Brașov) și contribuie la îmbunătățirea conectivității naționale și regionale pentru traficul pe axa est-vest. Reprezintă de asemenea un plus de valoare pentru transportul european deoarece reprezintă o legătură cheie de-a lungul coridorului care face legătura între granița de vest a României și Marea Neagră </w:t>
      </w:r>
    </w:p>
    <w:p w:rsidR="00B4550A" w:rsidRPr="00E0488D" w:rsidRDefault="00B4550A" w:rsidP="002B7E09">
      <w:pPr>
        <w:pStyle w:val="NumberedParas"/>
      </w:pPr>
      <w:r w:rsidRPr="00E0488D">
        <w:t>Traseul și legăturile sale cu rețeaua existentă sunt prezentate în Figura 4.30 de mai jos:</w:t>
      </w:r>
    </w:p>
    <w:p w:rsidR="00B4550A" w:rsidRPr="00E0488D" w:rsidRDefault="00B4550A" w:rsidP="00B4550A">
      <w:pPr>
        <w:spacing w:before="120" w:after="120" w:line="276" w:lineRule="auto"/>
        <w:ind w:firstLine="851"/>
        <w:rPr>
          <w:sz w:val="22"/>
          <w:szCs w:val="22"/>
          <w:lang w:val="ro-RO"/>
        </w:rPr>
      </w:pPr>
      <w:r w:rsidRPr="00E0488D">
        <w:rPr>
          <w:noProof/>
          <w:lang w:val="ro-RO" w:eastAsia="ro-RO"/>
        </w:rPr>
        <w:drawing>
          <wp:inline distT="0" distB="0" distL="0" distR="0">
            <wp:extent cx="4244340" cy="2880995"/>
            <wp:effectExtent l="19050" t="19050" r="22860" b="14605"/>
            <wp:docPr id="147" name="Picture 7" descr="OR2B Alignment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R2B Alignment Plot"/>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244340"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firstLine="851"/>
        <w:rPr>
          <w:i/>
          <w:sz w:val="22"/>
          <w:szCs w:val="22"/>
          <w:lang w:val="ro-RO"/>
        </w:rPr>
      </w:pPr>
      <w:r w:rsidRPr="00E0488D">
        <w:rPr>
          <w:b/>
          <w:sz w:val="22"/>
          <w:szCs w:val="22"/>
          <w:lang w:val="ro-RO"/>
        </w:rPr>
        <w:t>Figura 4.30</w:t>
      </w:r>
      <w:r w:rsidRPr="00E0488D">
        <w:rPr>
          <w:b/>
          <w:sz w:val="22"/>
          <w:szCs w:val="22"/>
          <w:lang w:val="ro-RO"/>
        </w:rPr>
        <w:tab/>
        <w:t>Traseul orientativ al autostrăzii  Brașov-Sibiu</w:t>
      </w:r>
    </w:p>
    <w:p w:rsidR="00B4550A" w:rsidRPr="00E0488D" w:rsidRDefault="00B4550A" w:rsidP="00B4550A">
      <w:pPr>
        <w:spacing w:before="120" w:after="120" w:line="276" w:lineRule="auto"/>
        <w:ind w:firstLine="85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Traseul formează o parte a coridorului care va stabili o legătură dinspre nodul București al rețelei de bază TEN-T. De asemenea, acesta leagă municipiull Brașov direct de Sibiu, ambele fiind noduri TEN-T.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 xml:space="preserve">Coridorul a fost identificat ca parte a unui studiu asupra impactului economic generat de întârzieri, traversând și numeroase zone cu puncte negre aferente accidentelor rutiere. </w:t>
      </w:r>
    </w:p>
    <w:p w:rsidR="00B4550A" w:rsidRPr="00E0488D" w:rsidRDefault="00B4550A" w:rsidP="002B7E09">
      <w:pPr>
        <w:pStyle w:val="NumberedParas"/>
      </w:pPr>
      <w:r w:rsidRPr="00E0488D">
        <w:t>Accesul intern se face mai greu față de alte orașe care au o legătură de calitate superioară către București. Cea mai mare parte a infrastructurii pe acest coridor are o capacitate de circulație neadecvată – 72% din traseu este la standard de drum cu o singură cale de rulare.</w:t>
      </w:r>
    </w:p>
    <w:p w:rsidR="00B4550A" w:rsidRPr="00E0488D" w:rsidRDefault="00B4550A" w:rsidP="002B7E09">
      <w:pPr>
        <w:pStyle w:val="NumberedParas"/>
      </w:pPr>
      <w:r w:rsidRPr="00E0488D">
        <w:lastRenderedPageBreak/>
        <w:t xml:space="preserve">Analiza modelului pentru anul de bază  indică timpi mari de călătorie pe traseul dintre  Brașov și Sibiu, vitreza medie înregistrată pe durata orelor de vârf pe acest traseu fiind de aproximativ 68km/h.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C2B57" w:rsidP="00687448">
      <w:pPr>
        <w:pStyle w:val="ListParagraph"/>
        <w:numPr>
          <w:ilvl w:val="0"/>
          <w:numId w:val="48"/>
        </w:numPr>
        <w:spacing w:before="120" w:after="120" w:line="276" w:lineRule="auto"/>
        <w:contextualSpacing/>
        <w:rPr>
          <w:sz w:val="22"/>
          <w:szCs w:val="22"/>
          <w:lang w:val="ro-RO"/>
        </w:rPr>
      </w:pPr>
      <w:r>
        <w:rPr>
          <w:sz w:val="22"/>
          <w:szCs w:val="22"/>
          <w:lang w:val="ro-RO"/>
        </w:rPr>
        <w:t xml:space="preserve">CAPEX </w:t>
      </w:r>
      <w:r>
        <w:rPr>
          <w:sz w:val="22"/>
          <w:szCs w:val="22"/>
          <w:lang w:val="ro-RO"/>
        </w:rPr>
        <w:tab/>
        <w:t>2</w:t>
      </w:r>
      <w:r w:rsidR="00B4550A" w:rsidRPr="00E0488D">
        <w:rPr>
          <w:sz w:val="22"/>
          <w:szCs w:val="22"/>
          <w:lang w:val="ro-RO"/>
        </w:rPr>
        <w:t>.</w:t>
      </w:r>
      <w:r>
        <w:rPr>
          <w:sz w:val="22"/>
          <w:szCs w:val="22"/>
          <w:lang w:val="ro-RO"/>
        </w:rPr>
        <w:t>117</w:t>
      </w:r>
      <w:r w:rsidR="00B4550A"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Acest proiect prezintă o eficiență economică foarte bună (RBC de 5,70) și operează aproximativ 50.000 de vehicule (MZA). Aproximativ întregul volum de trafic existent pe coridorul cel mai apropiat trece pe noul traseu. Modificările de la nivelul fluxului de trafic sunt ilustrate în Figura 4.3</w:t>
      </w:r>
      <w:r w:rsidR="007A02DC">
        <w:t>1</w:t>
      </w:r>
      <w:r w:rsidRPr="00E0488D">
        <w:t xml:space="preserve">. </w:t>
      </w:r>
      <w:r w:rsidR="007A02DC">
        <w:t>Aceasta arată și faptul că există un transfer de trafic semnificativ de pe coridorul București-Sibiu-Pitești.</w:t>
      </w:r>
    </w:p>
    <w:p w:rsidR="00B4550A" w:rsidRPr="00E0488D" w:rsidRDefault="00B4550A" w:rsidP="00B4550A">
      <w:pPr>
        <w:spacing w:before="120" w:after="120" w:line="276" w:lineRule="auto"/>
        <w:ind w:left="680"/>
        <w:rPr>
          <w:sz w:val="22"/>
          <w:szCs w:val="22"/>
          <w:lang w:val="ro-RO"/>
        </w:rPr>
      </w:pPr>
      <w:r w:rsidRPr="00E0488D">
        <w:rPr>
          <w:noProof/>
          <w:lang w:val="ro-RO" w:eastAsia="ro-RO"/>
        </w:rPr>
        <w:drawing>
          <wp:inline distT="0" distB="0" distL="0" distR="0">
            <wp:extent cx="4304665" cy="2880995"/>
            <wp:effectExtent l="19050" t="19050" r="19685" b="14605"/>
            <wp:docPr id="148" name="Picture 10" descr="OR2B Differenc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R2B Difference Plot"/>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304665"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rPr>
          <w:i/>
          <w:sz w:val="22"/>
          <w:szCs w:val="22"/>
          <w:lang w:val="ro-RO"/>
        </w:rPr>
      </w:pPr>
      <w:r w:rsidRPr="00E0488D">
        <w:rPr>
          <w:b/>
          <w:sz w:val="22"/>
          <w:szCs w:val="22"/>
          <w:lang w:val="ro-RO"/>
        </w:rPr>
        <w:t>Figura 4.3</w:t>
      </w:r>
      <w:r w:rsidR="007A02DC">
        <w:rPr>
          <w:b/>
          <w:sz w:val="22"/>
          <w:szCs w:val="22"/>
          <w:lang w:val="ro-RO"/>
        </w:rPr>
        <w:t>1</w:t>
      </w:r>
      <w:r w:rsidRPr="00E0488D">
        <w:rPr>
          <w:b/>
          <w:sz w:val="22"/>
          <w:szCs w:val="22"/>
          <w:lang w:val="ro-RO"/>
        </w:rPr>
        <w:tab/>
        <w:t>Modificări ale fluxului de trafic datorate proiectului de autostradă Brașov-Sibiu</w:t>
      </w:r>
    </w:p>
    <w:p w:rsidR="00B4550A" w:rsidRPr="00E0488D" w:rsidRDefault="00B4550A" w:rsidP="00B4550A">
      <w:pPr>
        <w:spacing w:before="120" w:after="120" w:line="276" w:lineRule="auto"/>
        <w:ind w:left="680"/>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traseul dintre București și Sibiu  este prognozată să crească până la 90 km/h urmare a implementării acestui proiect. Timpii de călătorie pe durata orelor de vârf scad cu 29%.</w:t>
      </w:r>
    </w:p>
    <w:p w:rsidR="00B4550A" w:rsidRPr="00E0488D" w:rsidRDefault="00B4550A" w:rsidP="002B7E09">
      <w:pPr>
        <w:pStyle w:val="NumberedParas"/>
      </w:pPr>
      <w:r w:rsidRPr="00E0488D">
        <w:t xml:space="preserve">Indicatorii economici principali ai proiectului sunt următorii: </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6.895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5,70;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18,1%.</w:t>
      </w:r>
      <w:r w:rsidRPr="00E0488D">
        <w:rPr>
          <w:sz w:val="22"/>
          <w:szCs w:val="22"/>
          <w:lang w:val="ro-RO"/>
        </w:rPr>
        <w:tab/>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pPr>
      <w:r w:rsidRPr="00E0488D">
        <w:lastRenderedPageBreak/>
        <w:t xml:space="preserve">Proiecte de Nivel 1 – OR3 – Autostrada Brașov-Bacău-Iași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w:t>
      </w:r>
      <w:r w:rsidR="0085062E">
        <w:t>de la București către nord-est., așa cum se prezintă în Tabelul 4.15.</w:t>
      </w:r>
      <w:r w:rsidR="00AB09CE">
        <w:t xml:space="preserve"> </w:t>
      </w:r>
      <w:r w:rsidRPr="00E0488D">
        <w:t xml:space="preserve">Propunerea va prezenta o nouă secțiune de autostradă între Brașov și Iași, până la granița cu Republica Moldova. </w:t>
      </w:r>
    </w:p>
    <w:p w:rsidR="00B4550A" w:rsidRPr="00E0488D" w:rsidRDefault="00B4550A" w:rsidP="002B7E09">
      <w:pPr>
        <w:pStyle w:val="NumberedParas"/>
      </w:pPr>
      <w:r w:rsidRPr="00E0488D">
        <w:t>Traseul și legăturile sale cu rețeaua existentă sunt prezentate în Figura 4.</w:t>
      </w:r>
      <w:r w:rsidR="0085062E">
        <w:t>32 de mai jos. Aceasta arată cum acest segment conectează coridorul București-Brașov via Ploiești cu zona de nord-est a țării și, mai departe, cu Rep. Moldova, adăugând prin urmare valoare adăugată la nivel european.</w:t>
      </w:r>
    </w:p>
    <w:p w:rsidR="00B4550A" w:rsidRPr="00E0488D" w:rsidRDefault="006918E4" w:rsidP="00B4550A">
      <w:pPr>
        <w:spacing w:before="120" w:after="120" w:line="276" w:lineRule="auto"/>
        <w:ind w:left="680" w:firstLine="171"/>
        <w:rPr>
          <w:sz w:val="22"/>
          <w:szCs w:val="22"/>
          <w:lang w:val="ro-RO"/>
        </w:rPr>
      </w:pPr>
      <w:r>
        <w:rPr>
          <w:noProof/>
          <w:sz w:val="22"/>
          <w:szCs w:val="22"/>
          <w:lang w:val="ro-RO" w:eastAsia="ro-RO"/>
        </w:rPr>
        <w:drawing>
          <wp:inline distT="0" distB="0" distL="0" distR="0">
            <wp:extent cx="5278120" cy="4127367"/>
            <wp:effectExtent l="19050" t="19050" r="17780" b="25533"/>
            <wp:docPr id="6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9" cstate="print"/>
                    <a:srcRect/>
                    <a:stretch>
                      <a:fillRect/>
                    </a:stretch>
                  </pic:blipFill>
                  <pic:spPr bwMode="auto">
                    <a:xfrm>
                      <a:off x="0" y="0"/>
                      <a:ext cx="5278120" cy="4127367"/>
                    </a:xfrm>
                    <a:prstGeom prst="rect">
                      <a:avLst/>
                    </a:prstGeom>
                    <a:noFill/>
                    <a:ln w="6350" cap="flat" cmpd="sng" algn="ctr">
                      <a:solidFill>
                        <a:sysClr val="windowText" lastClr="000000"/>
                      </a:solidFill>
                      <a:prstDash val="solid"/>
                      <a:miter lim="800000"/>
                      <a:headEnd type="none" w="med" len="med"/>
                      <a:tailEnd type="none" w="med" len="me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w:t>
      </w:r>
      <w:r w:rsidR="0085062E">
        <w:rPr>
          <w:b/>
          <w:sz w:val="22"/>
          <w:szCs w:val="22"/>
          <w:lang w:val="ro-RO"/>
        </w:rPr>
        <w:t>32</w:t>
      </w:r>
      <w:r w:rsidRPr="00E0488D">
        <w:rPr>
          <w:b/>
          <w:sz w:val="22"/>
          <w:szCs w:val="22"/>
          <w:lang w:val="ro-RO"/>
        </w:rPr>
        <w:tab/>
        <w:t>Traseul orientativ al autostrăzii  Brașov-Bacău-Iași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formează o parte a coridorului care va stabili o legătură dinspre nodul București al rețelei de bază TEN-T. De asemenea, acesta leagă municipiul Brașov direct de Bacău, ambele fiind noduri TEN-T.  </w:t>
      </w:r>
    </w:p>
    <w:p w:rsidR="00B4550A" w:rsidRPr="00E0488D" w:rsidRDefault="00B4550A" w:rsidP="00B4550A">
      <w:pPr>
        <w:spacing w:before="120" w:after="120" w:line="276" w:lineRule="auto"/>
        <w:ind w:left="851"/>
        <w:rPr>
          <w:sz w:val="22"/>
          <w:szCs w:val="22"/>
          <w:lang w:val="ro-RO"/>
        </w:rPr>
      </w:pPr>
      <w:r w:rsidRPr="00E0488D">
        <w:rPr>
          <w:b/>
          <w:sz w:val="22"/>
          <w:szCs w:val="22"/>
          <w:lang w:val="ro-RO"/>
        </w:rPr>
        <w:t>Descriere succintă a problemei(lor) abordate</w:t>
      </w:r>
      <w:r w:rsidRPr="00E0488D">
        <w:rPr>
          <w:sz w:val="22"/>
          <w:szCs w:val="22"/>
          <w:lang w:val="ro-RO"/>
        </w:rPr>
        <w:t>:</w:t>
      </w:r>
    </w:p>
    <w:p w:rsidR="00B4550A" w:rsidRPr="00E0488D" w:rsidRDefault="00B4550A" w:rsidP="002B7E09">
      <w:pPr>
        <w:pStyle w:val="NumberedParas"/>
      </w:pPr>
      <w:r w:rsidRPr="00E0488D">
        <w:t>Coridorul a fost identificat ca parte a unui studiu asupra impactului economic generat de întârzieri, traversând și numeroase zone cu puncte negre aferente accidentelor rutiere.</w:t>
      </w:r>
    </w:p>
    <w:p w:rsidR="00B4550A" w:rsidRPr="00E0488D" w:rsidRDefault="00B4550A" w:rsidP="002B7E09">
      <w:pPr>
        <w:pStyle w:val="NumberedParas"/>
      </w:pPr>
      <w:r w:rsidRPr="00E0488D">
        <w:t>Accesul intern se face mai greu dinspre orașele care nu au o legătură de calitate superioară către București.</w:t>
      </w:r>
    </w:p>
    <w:p w:rsidR="00B4550A" w:rsidRPr="00E0488D" w:rsidRDefault="00B4550A" w:rsidP="002B7E09">
      <w:pPr>
        <w:pStyle w:val="NumberedParas"/>
      </w:pPr>
      <w:r w:rsidRPr="00E0488D">
        <w:lastRenderedPageBreak/>
        <w:t>Pe traseul dintre Brașov și Iași timpii de călătorie estimați de modelul  anului de bază sunt mari, iar viteza medie înregistrată pe acest traseu este de aproximativ 64km/h.</w:t>
      </w:r>
    </w:p>
    <w:p w:rsidR="00B4550A" w:rsidRPr="00E0488D" w:rsidRDefault="00B4550A" w:rsidP="002B7E09">
      <w:pPr>
        <w:pStyle w:val="NumberedParas"/>
      </w:pPr>
      <w:r w:rsidRPr="00E0488D">
        <w:t xml:space="preserve">Cea mai mare parte a infrastructurii pe acest coridor are o stare tehnică defavorabilă– 82% din traseu este la standard de drum cu o singură cale de rulare.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4.</w:t>
      </w:r>
      <w:r w:rsidR="00AB09CE">
        <w:rPr>
          <w:sz w:val="22"/>
          <w:szCs w:val="22"/>
          <w:lang w:val="ro-RO"/>
        </w:rPr>
        <w:t>56</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85062E" w:rsidP="002B7E09">
      <w:pPr>
        <w:pStyle w:val="NumberedParas"/>
      </w:pPr>
      <w:r>
        <w:t>Acest proiect are un</w:t>
      </w:r>
      <w:r w:rsidR="00296A4C">
        <w:t xml:space="preserve"> raport beneficiu – cost (</w:t>
      </w:r>
      <w:r>
        <w:t>RBC de 1</w:t>
      </w:r>
      <w:r w:rsidR="00B4550A" w:rsidRPr="00E0488D">
        <w:t>,</w:t>
      </w:r>
      <w:r>
        <w:t>3</w:t>
      </w:r>
      <w:r w:rsidR="00B4550A" w:rsidRPr="00E0488D">
        <w:t xml:space="preserve"> și este prognozat să opereze aproximativ </w:t>
      </w:r>
      <w:r>
        <w:t>3</w:t>
      </w:r>
      <w:r w:rsidR="00B4550A" w:rsidRPr="00E0488D">
        <w:t>5.000 de vehicule (MZA). Pe secțiunea dintre Brașov</w:t>
      </w:r>
      <w:r w:rsidR="002637B3">
        <w:t xml:space="preserve"> – Bacău, până la Roman</w:t>
      </w:r>
      <w:r w:rsidR="00B4550A" w:rsidRPr="00E0488D">
        <w:t xml:space="preserve">. Conexiunea Est, spre Iași se estimează </w:t>
      </w:r>
      <w:r w:rsidR="002637B3">
        <w:t>că va acoperi aproximativ 42</w:t>
      </w:r>
      <w:r w:rsidR="00B4550A" w:rsidRPr="00E0488D">
        <w:t>0.000 de ve</w:t>
      </w:r>
      <w:r w:rsidR="00672CC5">
        <w:t>hicule (MZA).</w:t>
      </w:r>
      <w:r w:rsidR="00B4550A" w:rsidRPr="00E0488D">
        <w:t xml:space="preserve"> După implementarea OR3, aproximativ întregul volum de trafic existent pe coridorul cel mai</w:t>
      </w:r>
      <w:r w:rsidR="00672CC5">
        <w:t xml:space="preserve"> apropiat trece pe noul traseu</w:t>
      </w:r>
      <w:r w:rsidR="00B4550A" w:rsidRPr="00E0488D">
        <w:t>.</w:t>
      </w:r>
      <w:r w:rsidR="00672CC5">
        <w:t xml:space="preserve"> De asemenea, se descarcă coridorul București-Buzău-Bacău</w:t>
      </w:r>
      <w:r w:rsidR="00B4550A" w:rsidRPr="00E0488D">
        <w:t xml:space="preserve"> Modifiările de la nivelul fluxului de trafic descrise mai sus sunt ilustrate în Figura 4.3</w:t>
      </w:r>
      <w:r w:rsidR="00672CC5">
        <w:t>3</w:t>
      </w:r>
      <w:r w:rsidR="00B4550A" w:rsidRPr="00E0488D">
        <w:t>.</w:t>
      </w:r>
    </w:p>
    <w:p w:rsidR="00B4550A" w:rsidRPr="00E0488D" w:rsidRDefault="00490850" w:rsidP="00B4550A">
      <w:pPr>
        <w:spacing w:before="120" w:after="120" w:line="276" w:lineRule="auto"/>
        <w:ind w:left="680" w:firstLine="171"/>
        <w:rPr>
          <w:sz w:val="22"/>
          <w:szCs w:val="22"/>
          <w:lang w:val="ro-RO"/>
        </w:rPr>
      </w:pPr>
      <w:r w:rsidRPr="002B762C">
        <w:rPr>
          <w:noProof/>
          <w:lang w:val="ro-RO" w:eastAsia="ro-RO"/>
        </w:rPr>
        <w:drawing>
          <wp:inline distT="0" distB="0" distL="0" distR="0">
            <wp:extent cx="4915831" cy="3020060"/>
            <wp:effectExtent l="19050" t="19050" r="18119" b="27940"/>
            <wp:docPr id="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cstate="print"/>
                    <a:srcRect/>
                    <a:stretch>
                      <a:fillRect/>
                    </a:stretch>
                  </pic:blipFill>
                  <pic:spPr bwMode="auto">
                    <a:xfrm>
                      <a:off x="0" y="0"/>
                      <a:ext cx="4915831" cy="3020060"/>
                    </a:xfrm>
                    <a:prstGeom prst="rect">
                      <a:avLst/>
                    </a:prstGeom>
                    <a:noFill/>
                    <a:ln w="6350" cap="flat" cmpd="sng" algn="ctr">
                      <a:solidFill>
                        <a:sysClr val="windowText" lastClr="000000"/>
                      </a:solidFill>
                      <a:prstDash val="solid"/>
                      <a:miter lim="800000"/>
                      <a:headEnd type="none" w="med" len="med"/>
                      <a:tailEnd type="none" w="med" len="med"/>
                    </a:ln>
                    <a:effectLst/>
                  </pic:spPr>
                </pic:pic>
              </a:graphicData>
            </a:graphic>
          </wp:inline>
        </w:drawing>
      </w:r>
    </w:p>
    <w:p w:rsidR="00B4550A" w:rsidRPr="00E0488D" w:rsidRDefault="00B4550A" w:rsidP="00B4550A">
      <w:pPr>
        <w:keepNext/>
        <w:spacing w:before="120" w:after="120" w:line="276" w:lineRule="auto"/>
        <w:ind w:left="142"/>
        <w:rPr>
          <w:b/>
          <w:sz w:val="22"/>
          <w:szCs w:val="22"/>
          <w:lang w:val="ro-RO"/>
        </w:rPr>
      </w:pPr>
      <w:r w:rsidRPr="00E0488D">
        <w:rPr>
          <w:b/>
          <w:sz w:val="22"/>
          <w:szCs w:val="22"/>
          <w:lang w:val="ro-RO"/>
        </w:rPr>
        <w:t xml:space="preserve">Figura 4.32  Modificări ale fluxului de trafic datorate proiectului de autostradă Brașov-Bacău-Iași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prognozată  pe traseul dintre București și Brașov crește până la 95 km/h urmare a implementării acestui proiect. Timpii de călătorie pe durata orelor de vârf scad cu 34%.</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r>
      <w:r w:rsidR="00672CC5">
        <w:rPr>
          <w:sz w:val="22"/>
          <w:szCs w:val="22"/>
          <w:lang w:val="ro-RO"/>
        </w:rPr>
        <w:t>943</w:t>
      </w:r>
      <w:r w:rsidRPr="00E0488D">
        <w:rPr>
          <w:sz w:val="22"/>
          <w:szCs w:val="22"/>
          <w:lang w:val="ro-RO"/>
        </w:rPr>
        <w:t xml:space="preserve">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r>
      <w:r w:rsidR="00672CC5">
        <w:rPr>
          <w:sz w:val="22"/>
          <w:szCs w:val="22"/>
          <w:lang w:val="ro-RO"/>
        </w:rPr>
        <w:t>1,</w:t>
      </w:r>
      <w:r w:rsidRPr="00E0488D">
        <w:rPr>
          <w:sz w:val="22"/>
          <w:szCs w:val="22"/>
          <w:lang w:val="ro-RO"/>
        </w:rPr>
        <w:t>3;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r>
      <w:r w:rsidR="00672CC5">
        <w:rPr>
          <w:sz w:val="22"/>
          <w:szCs w:val="22"/>
          <w:lang w:val="ro-RO"/>
        </w:rPr>
        <w:t>6</w:t>
      </w:r>
      <w:r w:rsidRPr="00E0488D">
        <w:rPr>
          <w:sz w:val="22"/>
          <w:szCs w:val="22"/>
          <w:lang w:val="ro-RO"/>
        </w:rPr>
        <w:t>,</w:t>
      </w:r>
      <w:r w:rsidR="00672CC5">
        <w:rPr>
          <w:sz w:val="22"/>
          <w:szCs w:val="22"/>
          <w:lang w:val="ro-RO"/>
        </w:rPr>
        <w:t>8</w:t>
      </w:r>
      <w:r w:rsidRPr="00E0488D">
        <w:rPr>
          <w:sz w:val="22"/>
          <w:szCs w:val="22"/>
          <w:lang w:val="ro-RO"/>
        </w:rPr>
        <w:t>%.</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ind w:left="851"/>
      </w:pPr>
      <w:r w:rsidRPr="00E0488D">
        <w:lastRenderedPageBreak/>
        <w:t xml:space="preserve">Proiecte de Nivel 1 – OR4 – Autostrada Pitești-Craiova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Obiectivul general al proiectului este de a spori eficiența economică a rețelei de transport din România. Obiectivul operațional specific este de a aduce îmbunătățiri în ceea ce privește viteza de călătorie</w:t>
      </w:r>
      <w:r w:rsidR="00AA7A07">
        <w:t xml:space="preserve"> de la București către sud-vest, așa cum se prezintă în tabelul 4.15. Coridorul este semnificativ, așa cum este ilustrat în Figura 4.16, care subliniează coridorul TEN-T din vecinătate. </w:t>
      </w:r>
      <w:r w:rsidRPr="00E0488D">
        <w:t xml:space="preserve"> </w:t>
      </w:r>
    </w:p>
    <w:p w:rsidR="00B4550A" w:rsidRPr="00E0488D" w:rsidRDefault="00B4550A" w:rsidP="002B7E09">
      <w:pPr>
        <w:pStyle w:val="NumberedParas"/>
      </w:pPr>
      <w:r w:rsidRPr="00E0488D">
        <w:t>Propunerea va prezenta o nouă secțiune de autostradă între Pitești și Craiova. În combinație cu autostrada A1 existentă, va duce la obținerea unui traseu la standard de autostradă între București și Craiova</w:t>
      </w:r>
      <w:r w:rsidR="00AA7A07">
        <w:t>, îndeplinind obiectivele de conectivitate regională. În coroborare cu OR3, propunerea conectează orașul industrial Craiova cu Brașov, Bacău și Iași oferind beneficii economice mai mari pe măsură ce accesul către piețe mai mari este facilitat.</w:t>
      </w:r>
      <w:r w:rsidRPr="00E0488D">
        <w:t xml:space="preserve"> </w:t>
      </w:r>
    </w:p>
    <w:p w:rsidR="00B4550A" w:rsidRPr="00E0488D" w:rsidRDefault="00B4550A" w:rsidP="002B7E09">
      <w:pPr>
        <w:pStyle w:val="NumberedParas"/>
      </w:pPr>
      <w:r w:rsidRPr="00E0488D">
        <w:t>Traseul și legăturile sale cu rețeaua existentă sunt prezentate în Figura 4.3</w:t>
      </w:r>
      <w:r w:rsidR="00E12A07">
        <w:t>4</w:t>
      </w:r>
      <w:r w:rsidRPr="00E0488D">
        <w:t xml:space="preserve"> de mai jos:  </w:t>
      </w:r>
    </w:p>
    <w:p w:rsidR="00B4550A" w:rsidRPr="00E0488D" w:rsidRDefault="00E12A07" w:rsidP="00B4550A">
      <w:pPr>
        <w:spacing w:before="120" w:after="120" w:line="276" w:lineRule="auto"/>
        <w:ind w:left="680" w:firstLine="171"/>
        <w:rPr>
          <w:sz w:val="22"/>
          <w:szCs w:val="22"/>
          <w:lang w:val="ro-RO"/>
        </w:rPr>
      </w:pPr>
      <w:r w:rsidRPr="00E12A07">
        <w:rPr>
          <w:noProof/>
          <w:lang w:val="ro-RO" w:eastAsia="ro-RO"/>
        </w:rPr>
        <w:drawing>
          <wp:inline distT="0" distB="0" distL="0" distR="0">
            <wp:extent cx="5079600" cy="3402000"/>
            <wp:effectExtent l="19050" t="19050" r="26035" b="27305"/>
            <wp:docPr id="2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R4A Alignment Plot"/>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8278" b="11920"/>
                    <a:stretch/>
                  </pic:blipFill>
                  <pic:spPr bwMode="auto">
                    <a:xfrm>
                      <a:off x="0" y="0"/>
                      <a:ext cx="5079600" cy="3402000"/>
                    </a:xfrm>
                    <a:prstGeom prst="rect">
                      <a:avLst/>
                    </a:prstGeom>
                    <a:noFill/>
                    <a:ln w="6350"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4.33</w:t>
      </w:r>
      <w:r w:rsidRPr="00E0488D">
        <w:rPr>
          <w:b/>
          <w:sz w:val="22"/>
          <w:szCs w:val="22"/>
          <w:lang w:val="ro-RO"/>
        </w:rPr>
        <w:tab/>
        <w:t>Traseul orientativ al autostrăzii  Pitești-Craiova</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Traseul formează o parte a coridorului care va stabili o legătură dinspre nodul București al rețelei de bază TEN-T. De asemenea, acesta formează o legătură directă cu municipiul Craiova, nod TEN-T.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Coridorul a fost identificat ca parte a unui studiu asupra impactului economic generat de întârzieri, traversând și numeroase zone cu puncte negre determinate prin prisma numărului de accidente rutiere.</w:t>
      </w:r>
    </w:p>
    <w:p w:rsidR="00B4550A" w:rsidRPr="00E0488D" w:rsidRDefault="00B4550A" w:rsidP="002B7E09">
      <w:pPr>
        <w:pStyle w:val="NumberedParas"/>
      </w:pPr>
      <w:r w:rsidRPr="00E0488D">
        <w:t xml:space="preserve">Accesul intern se face cu dificultate, dinspre orașele care nu au o legătură de calitate superioară către București. În prezent cea mai mare parte a infrastructurii disponibile pe acest </w:t>
      </w:r>
      <w:r w:rsidRPr="00E0488D">
        <w:lastRenderedPageBreak/>
        <w:t>traseu are o stare tehnică defavorabilă cu 92% din traseu la standard de drum cu o singură cale de rulare.</w:t>
      </w:r>
    </w:p>
    <w:p w:rsidR="00B4550A" w:rsidRPr="00E0488D" w:rsidRDefault="00B4550A" w:rsidP="002B7E09">
      <w:pPr>
        <w:pStyle w:val="NumberedParas"/>
      </w:pPr>
      <w:r w:rsidRPr="00E0488D">
        <w:t>Pe traseul dintre Pitești și Craiova timpii de călătorie sunt mari, viteza medie înregistrată pe acest traseu fiind de aproximativ 82km/h.</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E2014uro):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CAPEX:  8</w:t>
      </w:r>
      <w:r w:rsidR="00E12A07">
        <w:rPr>
          <w:sz w:val="22"/>
          <w:szCs w:val="22"/>
          <w:lang w:val="ro-RO"/>
        </w:rPr>
        <w:t>7</w:t>
      </w:r>
      <w:r w:rsidRPr="00E0488D">
        <w:rPr>
          <w:sz w:val="22"/>
          <w:szCs w:val="22"/>
          <w:lang w:val="ro-RO"/>
        </w:rPr>
        <w:t>0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 xml:space="preserve">Acest proiect prezintă performanțe economice foarte bune (RBC 3,03), cu un trafic prognozat de 30.000 de vehicule (MZA). După implementarea proiectului, modelul prognozează devierea aproape în întregime pe noul traseu a traficului existent pe coridorul cel mai apropiat. </w:t>
      </w:r>
      <w:r w:rsidR="00E12A07">
        <w:t xml:space="preserve">Impactul la scară largă al acestui proiect este limitat. </w:t>
      </w:r>
      <w:r w:rsidRPr="00E0488D">
        <w:t>Schimbările de la nivelul fluxului de trafic sunt ilustrate în Figura 4.34.</w:t>
      </w:r>
    </w:p>
    <w:p w:rsidR="00B4550A" w:rsidRPr="00E0488D" w:rsidRDefault="00B4550A" w:rsidP="00B4550A">
      <w:pPr>
        <w:spacing w:before="120" w:after="120" w:line="276" w:lineRule="auto"/>
        <w:ind w:left="680" w:firstLine="171"/>
        <w:rPr>
          <w:sz w:val="22"/>
          <w:szCs w:val="22"/>
          <w:lang w:val="ro-RO"/>
        </w:rPr>
      </w:pPr>
      <w:r w:rsidRPr="00E0488D">
        <w:rPr>
          <w:noProof/>
          <w:lang w:val="ro-RO" w:eastAsia="ro-RO"/>
        </w:rPr>
        <w:drawing>
          <wp:inline distT="0" distB="0" distL="0" distR="0">
            <wp:extent cx="4244340" cy="2880995"/>
            <wp:effectExtent l="19050" t="19050" r="22860" b="14605"/>
            <wp:docPr id="152" name="Picture 22" descr="OR4A Differenc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4A Difference Plot"/>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244340"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ind w:left="284"/>
        <w:rPr>
          <w:b/>
          <w:sz w:val="22"/>
          <w:szCs w:val="22"/>
          <w:lang w:val="ro-RO"/>
        </w:rPr>
      </w:pPr>
      <w:r w:rsidRPr="00E0488D">
        <w:rPr>
          <w:b/>
          <w:sz w:val="22"/>
          <w:szCs w:val="22"/>
          <w:lang w:val="ro-RO"/>
        </w:rPr>
        <w:t>Figura 4.3</w:t>
      </w:r>
      <w:r w:rsidR="00E12A07">
        <w:rPr>
          <w:b/>
          <w:sz w:val="22"/>
          <w:szCs w:val="22"/>
          <w:lang w:val="ro-RO"/>
        </w:rPr>
        <w:t>5</w:t>
      </w:r>
      <w:r w:rsidRPr="00E0488D">
        <w:rPr>
          <w:b/>
          <w:sz w:val="22"/>
          <w:szCs w:val="22"/>
          <w:lang w:val="ro-RO"/>
        </w:rPr>
        <w:tab/>
        <w:t xml:space="preserve">Modificări ale fluxului de trafic datorate proiectului de autostradă Pitești-Craiova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traseul dintre București și Craiova crește până la 110 km/h urmare a implementării acestui proiect. Timpii de călătorie pe durata orelor de vârf scad cu 27%.</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1.242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3,03;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12,2%.</w:t>
      </w:r>
    </w:p>
    <w:p w:rsidR="00B4550A" w:rsidRPr="00E0488D" w:rsidRDefault="00B4550A" w:rsidP="00B4550A">
      <w:pPr>
        <w:spacing w:before="120" w:after="120" w:line="276" w:lineRule="auto"/>
        <w:ind w:left="851"/>
        <w:rPr>
          <w:lang w:val="ro-RO"/>
        </w:rPr>
      </w:pP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ind w:left="851"/>
      </w:pPr>
      <w:r w:rsidRPr="00E0488D">
        <w:lastRenderedPageBreak/>
        <w:t xml:space="preserve">Proiecte de Nivel 1 – OR5 – Autostrada Iași-Bacău-Brașov-Sibiu </w:t>
      </w:r>
    </w:p>
    <w:p w:rsidR="00B4550A" w:rsidRPr="00E0488D" w:rsidRDefault="00B4550A" w:rsidP="00B4550A">
      <w:pPr>
        <w:spacing w:before="120" w:after="120"/>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Propunerea va prezenta o nouă secțiune de autostradă între Sibiu și Iași.  </w:t>
      </w:r>
    </w:p>
    <w:p w:rsidR="00B4550A" w:rsidRPr="00E0488D" w:rsidRDefault="00B4550A" w:rsidP="002B7E09">
      <w:pPr>
        <w:pStyle w:val="NumberedParas"/>
      </w:pPr>
      <w:r w:rsidRPr="00E0488D">
        <w:t>Traseul și legăturile sale cu rețeaua existentă sunt prezentate în Figura 4.3</w:t>
      </w:r>
      <w:r w:rsidR="0096723B">
        <w:t>6</w:t>
      </w:r>
      <w:r w:rsidRPr="00E0488D">
        <w:t xml:space="preserve"> de mai jos. </w:t>
      </w:r>
    </w:p>
    <w:p w:rsidR="00B4550A" w:rsidRPr="00E0488D" w:rsidRDefault="00B4550A" w:rsidP="00B4550A">
      <w:pPr>
        <w:spacing w:before="120" w:after="120"/>
        <w:ind w:left="680" w:firstLine="171"/>
        <w:rPr>
          <w:sz w:val="22"/>
          <w:szCs w:val="22"/>
          <w:lang w:val="ro-RO"/>
        </w:rPr>
      </w:pPr>
      <w:r w:rsidRPr="00E0488D">
        <w:rPr>
          <w:noProof/>
          <w:lang w:val="ro-RO" w:eastAsia="ro-RO"/>
        </w:rPr>
        <w:drawing>
          <wp:inline distT="0" distB="0" distL="0" distR="0">
            <wp:extent cx="4294437" cy="2880000"/>
            <wp:effectExtent l="19050" t="19050" r="11430" b="15875"/>
            <wp:docPr id="154" name="Picture 3" descr="C:\Users\grayr\AppData\Local\Microsoft\Windows\Temporary Internet Files\Content.Word\OR5B Alignment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yr\AppData\Local\Microsoft\Windows\Temporary Internet Files\Content.Word\OR5B Alignment Plot.png"/>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4294437" cy="288000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r w:rsidRPr="00E0488D">
        <w:rPr>
          <w:sz w:val="22"/>
          <w:szCs w:val="22"/>
          <w:lang w:val="ro-RO"/>
        </w:rPr>
        <w:t xml:space="preserve"> </w:t>
      </w:r>
    </w:p>
    <w:p w:rsidR="00B4550A" w:rsidRPr="00E0488D" w:rsidRDefault="00B4550A" w:rsidP="00B4550A">
      <w:pPr>
        <w:keepNext/>
        <w:spacing w:before="120" w:after="120"/>
        <w:ind w:left="851"/>
        <w:rPr>
          <w:b/>
          <w:sz w:val="22"/>
          <w:szCs w:val="22"/>
          <w:lang w:val="ro-RO"/>
        </w:rPr>
      </w:pPr>
      <w:r w:rsidRPr="00E0488D">
        <w:rPr>
          <w:b/>
          <w:sz w:val="22"/>
          <w:szCs w:val="22"/>
          <w:lang w:val="ro-RO"/>
        </w:rPr>
        <w:t>Figura 4.3</w:t>
      </w:r>
      <w:r w:rsidR="0096723B">
        <w:rPr>
          <w:b/>
          <w:sz w:val="22"/>
          <w:szCs w:val="22"/>
          <w:lang w:val="ro-RO"/>
        </w:rPr>
        <w:t>6</w:t>
      </w:r>
      <w:r w:rsidRPr="00E0488D">
        <w:rPr>
          <w:b/>
          <w:sz w:val="22"/>
          <w:szCs w:val="22"/>
          <w:lang w:val="ro-RO"/>
        </w:rPr>
        <w:tab/>
        <w:t xml:space="preserve">Traseul orientativ al autostrăzii  </w:t>
      </w:r>
      <w:r w:rsidRPr="00E0488D">
        <w:rPr>
          <w:b/>
          <w:color w:val="000000"/>
          <w:sz w:val="22"/>
          <w:szCs w:val="22"/>
          <w:lang w:val="ro-RO" w:eastAsia="en-GB"/>
        </w:rPr>
        <w:t xml:space="preserve">Iasi-Bacău-Brașov-Sibiu </w:t>
      </w:r>
    </w:p>
    <w:p w:rsidR="00B4550A" w:rsidRPr="00E0488D" w:rsidRDefault="00B4550A" w:rsidP="00B4550A">
      <w:pPr>
        <w:spacing w:before="120" w:after="120"/>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formează o parte a coridorului care va stabili o legătură între cele patru noduri TEN-T.  Acesta este un coridor de transport cheie, deoarece face legătura, via Sibiu, cu autostrada A1 care este o autostradă de importanță semnificativă, precum și spre granița cu Ungaria. </w:t>
      </w:r>
    </w:p>
    <w:p w:rsidR="00B4550A" w:rsidRPr="00E0488D" w:rsidRDefault="00B4550A" w:rsidP="00B4550A">
      <w:pPr>
        <w:spacing w:before="120" w:after="120"/>
        <w:ind w:left="851"/>
        <w:rPr>
          <w:b/>
          <w:sz w:val="22"/>
          <w:szCs w:val="22"/>
          <w:lang w:val="ro-RO"/>
        </w:rPr>
      </w:pPr>
      <w:r w:rsidRPr="00E0488D">
        <w:rPr>
          <w:b/>
          <w:sz w:val="22"/>
          <w:szCs w:val="22"/>
          <w:lang w:val="ro-RO"/>
        </w:rPr>
        <w:t>Descriere succintă a problemei(lor) abordate:</w:t>
      </w:r>
      <w:r w:rsidRPr="00E0488D">
        <w:rPr>
          <w:b/>
          <w:sz w:val="22"/>
          <w:szCs w:val="22"/>
          <w:lang w:val="ro-RO"/>
        </w:rPr>
        <w:tab/>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pe coridorul Nord-est – Centru – Vest.  </w:t>
      </w:r>
    </w:p>
    <w:p w:rsidR="00B4550A" w:rsidRPr="00E0488D" w:rsidRDefault="00B4550A" w:rsidP="002B7E09">
      <w:pPr>
        <w:pStyle w:val="NumberedParas"/>
      </w:pPr>
      <w:r w:rsidRPr="00E0488D">
        <w:t>Pe traseul dintre Iași-Sibiu timpii de călătorie sunt mari, vitreza medie înregistrată pe durata orelor de vârf pe acest traseu fiind de aproximativ 67km/h. Coridorul a fost identificat ca parte a unui studiu asupra impactului economic generat de întârzieri, traversând și numeroase zone cu puncte negre aferente accidentelor rutiere.</w:t>
      </w:r>
    </w:p>
    <w:p w:rsidR="00B4550A" w:rsidRPr="00E0488D" w:rsidRDefault="00B4550A" w:rsidP="002B7E09">
      <w:pPr>
        <w:pStyle w:val="NumberedParas"/>
      </w:pPr>
      <w:r w:rsidRPr="00E0488D">
        <w:t>Accesul intern către Brașov se face mai greu față de alte orașe, care au o legătură de calitate superioară către București. Infrastructura pe acest coridor are o stare tehnică defavorabilă– 91% din traseu este la standard de drum cu o singură bandă de circulație pe sens.</w:t>
      </w:r>
    </w:p>
    <w:p w:rsidR="00B4550A" w:rsidRPr="00E0488D" w:rsidRDefault="00B4550A" w:rsidP="00B4550A">
      <w:pPr>
        <w:spacing w:before="120" w:after="120"/>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3.392 milioane de Euro</w:t>
      </w:r>
    </w:p>
    <w:p w:rsidR="00B4550A" w:rsidRPr="00E0488D" w:rsidRDefault="00B4550A" w:rsidP="00B4550A">
      <w:pPr>
        <w:spacing w:before="120" w:after="120"/>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 xml:space="preserve">Acest proiect prezintă o valoare RBC de 2,50 și operează aproximativ 50.000 de vehicule (MZA) pe segmentul care leagă Sibiu de Bacău și aproximativ 10.000 -15.000 de vehicule (MZA) pe segmentul care conectează Bacău de Iași, respectiv granița cu Moldova. </w:t>
      </w:r>
    </w:p>
    <w:p w:rsidR="00B4550A" w:rsidRPr="00E0488D" w:rsidRDefault="00B4550A" w:rsidP="002B7E09">
      <w:pPr>
        <w:pStyle w:val="NumberedParas"/>
      </w:pPr>
      <w:r w:rsidRPr="00E0488D">
        <w:lastRenderedPageBreak/>
        <w:t>Aproximativ întregul volum de trafic existent pe coridorul cel mai apropiat trece pe un noul traseu (20.000 total vehicule MZA). Schimbările de la nivelul fluxului de trafic sunt ilustrate în Figura 4.3</w:t>
      </w:r>
      <w:r w:rsidR="0096723B">
        <w:t>7</w:t>
      </w:r>
      <w:r w:rsidRPr="00E0488D">
        <w:t>.</w:t>
      </w:r>
    </w:p>
    <w:p w:rsidR="00B4550A" w:rsidRPr="00E0488D" w:rsidRDefault="00BB3255" w:rsidP="00B4550A">
      <w:pPr>
        <w:spacing w:before="120" w:after="120"/>
        <w:ind w:left="680" w:firstLine="171"/>
        <w:rPr>
          <w:lang w:val="ro-RO" w:eastAsia="en-GB"/>
        </w:rPr>
      </w:pPr>
      <w:r w:rsidRPr="00BB3255">
        <w:rPr>
          <w:noProof/>
          <w:lang w:val="ro-RO" w:eastAsia="ro-RO"/>
        </w:rPr>
        <w:drawing>
          <wp:inline distT="0" distB="0" distL="0" distR="0">
            <wp:extent cx="5140800" cy="3441600"/>
            <wp:effectExtent l="19050" t="19050" r="22225" b="26035"/>
            <wp:docPr id="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ayr\AppData\Local\Microsoft\Windows\Temporary Internet Files\Content.Word\OR5B Difference Plot.pn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7616" b="12583"/>
                    <a:stretch/>
                  </pic:blipFill>
                  <pic:spPr bwMode="auto">
                    <a:xfrm>
                      <a:off x="0" y="0"/>
                      <a:ext cx="5140800" cy="344160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B4550A" w:rsidRPr="00E0488D">
        <w:rPr>
          <w:lang w:val="ro-RO" w:eastAsia="en-GB"/>
        </w:rPr>
        <w:t xml:space="preserve"> </w:t>
      </w:r>
    </w:p>
    <w:p w:rsidR="00B4550A" w:rsidRPr="00E0488D" w:rsidRDefault="00B4550A" w:rsidP="00B4550A">
      <w:pPr>
        <w:spacing w:before="120" w:after="120"/>
        <w:ind w:left="142"/>
        <w:rPr>
          <w:b/>
          <w:sz w:val="22"/>
          <w:szCs w:val="22"/>
          <w:lang w:val="ro-RO"/>
        </w:rPr>
      </w:pPr>
      <w:r w:rsidRPr="00E0488D">
        <w:rPr>
          <w:b/>
          <w:sz w:val="22"/>
          <w:szCs w:val="22"/>
          <w:lang w:val="ro-RO"/>
        </w:rPr>
        <w:t>Figura 4.3</w:t>
      </w:r>
      <w:r w:rsidR="0096723B">
        <w:rPr>
          <w:b/>
          <w:sz w:val="22"/>
          <w:szCs w:val="22"/>
          <w:lang w:val="ro-RO"/>
        </w:rPr>
        <w:t>7</w:t>
      </w:r>
      <w:r w:rsidRPr="00E0488D">
        <w:rPr>
          <w:b/>
          <w:sz w:val="22"/>
          <w:szCs w:val="22"/>
          <w:lang w:val="ro-RO"/>
        </w:rPr>
        <w:t xml:space="preserve">  Modificări ale fluxului de trafic datorate proiectului de autostradă Iași-Bacău-Brașov-Sibiu</w:t>
      </w:r>
    </w:p>
    <w:p w:rsidR="00B4550A" w:rsidRPr="00E0488D" w:rsidRDefault="00B4550A" w:rsidP="00B4550A">
      <w:pPr>
        <w:spacing w:before="120" w:after="120"/>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Viteza medie prognozată de model pe traseul dintre Iași si Sibiu crește până la 104 km/h urmare a implementării acestui proiect. Timpii de călătorie pe durata orelor de vârf scad cu 41%. </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3.851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2,50;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11,0%.</w:t>
      </w:r>
    </w:p>
    <w:p w:rsidR="00B4550A" w:rsidRPr="00E0488D" w:rsidRDefault="00B4550A" w:rsidP="00B4550A">
      <w:pPr>
        <w:rPr>
          <w:sz w:val="22"/>
          <w:szCs w:val="22"/>
          <w:lang w:val="ro-RO"/>
        </w:rPr>
      </w:pPr>
      <w:r w:rsidRPr="00E0488D">
        <w:rPr>
          <w:lang w:val="ro-RO"/>
        </w:rPr>
        <w:br w:type="page"/>
      </w:r>
    </w:p>
    <w:p w:rsidR="00B4550A" w:rsidRPr="00E0488D" w:rsidRDefault="00B4550A" w:rsidP="00B4550A">
      <w:pPr>
        <w:pStyle w:val="Hdg3"/>
        <w:ind w:left="851"/>
      </w:pPr>
      <w:r w:rsidRPr="00E0488D">
        <w:lastRenderedPageBreak/>
        <w:t xml:space="preserve">Proiecte de Nivel 2 – OR6B – Drumul expres Bacău-Focșani-Brăila-Galați </w:t>
      </w:r>
    </w:p>
    <w:p w:rsidR="00B4550A" w:rsidRPr="00E0488D" w:rsidRDefault="00B4550A" w:rsidP="00B4550A">
      <w:pPr>
        <w:spacing w:before="120" w:after="120"/>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Obiectivul general al proiectului este de a spori eficiența economică a rețelei de transport din România. Obiectivul operațional specific este de a aduce îmbunătățiri în ceea ce privește viteza de călătorie pe traseul dintre Bacău și Galați, îmbunătățind astfel și conec</w:t>
      </w:r>
      <w:r w:rsidR="00093F32">
        <w:t xml:space="preserve">tivitatea la nivel regional.  Analiza timpului pierdut din Figura 4.25 arată congestiile reziduale și </w:t>
      </w:r>
      <w:r w:rsidR="003E7929">
        <w:t>un nivel de serviciu slab</w:t>
      </w:r>
    </w:p>
    <w:p w:rsidR="00B4550A" w:rsidRPr="00E0488D" w:rsidRDefault="00B4550A" w:rsidP="002B7E09">
      <w:pPr>
        <w:pStyle w:val="NumberedParas"/>
      </w:pPr>
      <w:r w:rsidRPr="00E0488D">
        <w:t>Figura 4.37 evidențiază traseul drumului expres.</w:t>
      </w:r>
    </w:p>
    <w:p w:rsidR="00B4550A" w:rsidRPr="00E0488D" w:rsidRDefault="00B4550A" w:rsidP="00B4550A">
      <w:pPr>
        <w:spacing w:before="120" w:after="120" w:line="276" w:lineRule="auto"/>
        <w:ind w:left="680" w:firstLine="171"/>
        <w:rPr>
          <w:sz w:val="22"/>
          <w:szCs w:val="22"/>
          <w:lang w:val="ro-RO"/>
        </w:rPr>
      </w:pPr>
      <w:r w:rsidRPr="00E0488D">
        <w:rPr>
          <w:noProof/>
          <w:lang w:val="ro-RO" w:eastAsia="ro-RO"/>
        </w:rPr>
        <w:drawing>
          <wp:inline distT="0" distB="0" distL="0" distR="0">
            <wp:extent cx="4287520" cy="2880995"/>
            <wp:effectExtent l="19050" t="19050" r="17780" b="14605"/>
            <wp:docPr id="156" name="Picture 1" descr="OR6B Alignment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6B Alignment Plot"/>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4287520"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4.37</w:t>
      </w:r>
      <w:r w:rsidRPr="00E0488D">
        <w:rPr>
          <w:b/>
          <w:sz w:val="22"/>
          <w:szCs w:val="22"/>
          <w:lang w:val="ro-RO"/>
        </w:rPr>
        <w:tab/>
        <w:t xml:space="preserve">Traseul orientativ al drumului expres Bacău-Focșani-Brăila-Galați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leagă nodurile Bacău, Brăila și Galați de rețeaua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vitreza medie înregistrată pe acest traseu fiind estimată la  65km/h. Cea mai mare parte a infrastructurii pe acest coridor are o stare tehnică defavorabilă– 98%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sidR="003E7929">
        <w:rPr>
          <w:sz w:val="22"/>
          <w:szCs w:val="22"/>
          <w:lang w:val="ro-RO"/>
        </w:rPr>
        <w:t>102</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 xml:space="preserve">Acest prezintă performanțe economice excelente (RBC de 2,63) și operează aproximativ 30.000 de vehicule (MZA). Aproximativ întregul volum de trafic existent pe coridorul cel mai apropiat trece pe noul traseu. </w:t>
      </w:r>
      <w:r w:rsidR="003E7929">
        <w:t>Modificările descrise mai sus sunt ilustrate în Figura 4.39</w:t>
      </w:r>
      <w:r w:rsidR="00434074">
        <w:t>.</w:t>
      </w:r>
    </w:p>
    <w:p w:rsidR="00B4550A" w:rsidRPr="00E0488D" w:rsidRDefault="00B4550A" w:rsidP="00B4550A">
      <w:pPr>
        <w:spacing w:before="120" w:after="120" w:line="276" w:lineRule="auto"/>
        <w:ind w:left="680" w:firstLine="171"/>
        <w:rPr>
          <w:sz w:val="22"/>
          <w:szCs w:val="22"/>
          <w:lang w:val="ro-RO"/>
        </w:rPr>
      </w:pPr>
      <w:r w:rsidRPr="00E0488D">
        <w:rPr>
          <w:noProof/>
          <w:lang w:val="ro-RO" w:eastAsia="ro-RO"/>
        </w:rPr>
        <w:lastRenderedPageBreak/>
        <w:drawing>
          <wp:inline distT="0" distB="0" distL="0" distR="0">
            <wp:extent cx="4330700" cy="2880995"/>
            <wp:effectExtent l="19050" t="19050" r="12700" b="14605"/>
            <wp:docPr id="157" name="Picture 4" descr="OR6B Differenc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6B Difference Plot"/>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330700"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ind w:left="284"/>
        <w:rPr>
          <w:b/>
          <w:sz w:val="22"/>
          <w:szCs w:val="22"/>
          <w:lang w:val="ro-RO"/>
        </w:rPr>
      </w:pPr>
      <w:r w:rsidRPr="00E0488D">
        <w:rPr>
          <w:b/>
          <w:sz w:val="22"/>
          <w:szCs w:val="22"/>
          <w:lang w:val="ro-RO"/>
        </w:rPr>
        <w:t>Figura 4.38 Modificări ale fluxului de trafic datorate proiectului pentru drumul expres Bacău-Focșani-Brăila-Galați</w:t>
      </w:r>
    </w:p>
    <w:p w:rsidR="00B4550A" w:rsidRPr="00E0488D" w:rsidRDefault="00B4550A" w:rsidP="00B4550A">
      <w:pPr>
        <w:spacing w:before="120" w:after="120" w:line="276" w:lineRule="auto"/>
        <w:ind w:firstLine="284"/>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crește la 106 km/h urmare a implementării acestui proiect. Timpii de călătorie pe durata orelor de vârf scad cu 40%.</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1.268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2,63;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11,2%.</w:t>
      </w:r>
    </w:p>
    <w:p w:rsidR="00B4550A" w:rsidRPr="00E0488D" w:rsidRDefault="00B4550A" w:rsidP="002B7E09">
      <w:pPr>
        <w:pStyle w:val="NumberedParas"/>
        <w:numPr>
          <w:ilvl w:val="0"/>
          <w:numId w:val="0"/>
        </w:numPr>
        <w:ind w:left="680"/>
      </w:pPr>
      <w:r w:rsidRPr="00E0488D">
        <w:t xml:space="preserve"> </w:t>
      </w:r>
    </w:p>
    <w:p w:rsidR="00B4550A" w:rsidRPr="00E0488D" w:rsidRDefault="00B4550A" w:rsidP="00B4550A">
      <w:pPr>
        <w:spacing w:before="120" w:after="120" w:line="276" w:lineRule="auto"/>
        <w:ind w:left="680"/>
        <w:rPr>
          <w:sz w:val="22"/>
          <w:szCs w:val="22"/>
          <w:lang w:val="ro-RO"/>
        </w:rPr>
        <w:sectPr w:rsidR="00B4550A" w:rsidRPr="00E0488D" w:rsidSect="00933C17">
          <w:pgSz w:w="11907" w:h="16840" w:code="9"/>
          <w:pgMar w:top="1418" w:right="709" w:bottom="1418" w:left="907" w:header="357" w:footer="567" w:gutter="0"/>
          <w:cols w:space="187"/>
          <w:docGrid w:linePitch="360"/>
        </w:sectPr>
      </w:pPr>
    </w:p>
    <w:p w:rsidR="00B4550A" w:rsidRPr="00E0488D" w:rsidRDefault="00B4550A" w:rsidP="00B4550A">
      <w:pPr>
        <w:spacing w:before="120" w:after="120" w:line="276" w:lineRule="auto"/>
        <w:ind w:left="680"/>
        <w:rPr>
          <w:sz w:val="22"/>
          <w:szCs w:val="22"/>
          <w:lang w:val="ro-RO"/>
        </w:rPr>
      </w:pPr>
    </w:p>
    <w:p w:rsidR="00B4550A" w:rsidRPr="00E0488D" w:rsidRDefault="00B4550A" w:rsidP="00B4550A">
      <w:pPr>
        <w:pStyle w:val="Hdg3"/>
        <w:ind w:left="851"/>
      </w:pPr>
      <w:r w:rsidRPr="00E0488D">
        <w:t xml:space="preserve">Proiecte de Nivel 2 – OR7A – Drumul expres Bacău-Suceava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Obiectivul general al proiectului este de a spori eficiența economică a rețelei de transport din România. Obiectivul operațional specific este de a aduce îmbunătățiri în ceea ce privește viteza de călătorie pe traseul dintre Bacău șiSuceava, îmbunătățind astfel și con</w:t>
      </w:r>
      <w:r w:rsidR="00434074">
        <w:t xml:space="preserve">ectivitatea la nivel regional. În coroborare cu OR3, proiectul conectează regiunea de nord-est a țării cu centrul și sudul acesteia iar împreună cu OR6B face legătura cu traseul Galați-Braila. Analiza fluxurilor din Modelul Național arată că standardul de implmentare adecvat al acestui proiect este de drum expres. </w:t>
      </w:r>
    </w:p>
    <w:p w:rsidR="00B4550A" w:rsidRPr="00E0488D" w:rsidRDefault="00B4550A" w:rsidP="002B7E09">
      <w:pPr>
        <w:pStyle w:val="NumberedParas"/>
      </w:pPr>
      <w:r w:rsidRPr="00E0488D">
        <w:t>Traseul este ilustrat în Figura 4.</w:t>
      </w:r>
      <w:r w:rsidR="00434074">
        <w:t>40</w:t>
      </w:r>
      <w:r w:rsidRPr="00E0488D">
        <w:t xml:space="preserve">. </w:t>
      </w:r>
    </w:p>
    <w:p w:rsidR="00B4550A" w:rsidRPr="00E0488D" w:rsidRDefault="00434074" w:rsidP="00B4550A">
      <w:pPr>
        <w:spacing w:before="120" w:after="120" w:line="276" w:lineRule="auto"/>
        <w:ind w:left="680" w:firstLine="171"/>
        <w:rPr>
          <w:sz w:val="22"/>
          <w:szCs w:val="22"/>
          <w:lang w:val="ro-RO"/>
        </w:rPr>
      </w:pPr>
      <w:r w:rsidRPr="00434074">
        <w:rPr>
          <w:noProof/>
          <w:lang w:val="ro-RO" w:eastAsia="ro-RO"/>
        </w:rPr>
        <w:drawing>
          <wp:inline distT="0" distB="0" distL="0" distR="0">
            <wp:extent cx="5162550" cy="3419375"/>
            <wp:effectExtent l="19050" t="19050" r="19050" b="1016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R7A Alignment Plo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8582" b="12513"/>
                    <a:stretch/>
                  </pic:blipFill>
                  <pic:spPr bwMode="auto">
                    <a:xfrm>
                      <a:off x="0" y="0"/>
                      <a:ext cx="5158800" cy="3416891"/>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4.39</w:t>
      </w:r>
      <w:r w:rsidRPr="00E0488D">
        <w:rPr>
          <w:b/>
          <w:sz w:val="22"/>
          <w:szCs w:val="22"/>
          <w:lang w:val="ro-RO"/>
        </w:rPr>
        <w:tab/>
        <w:t xml:space="preserve">Traseul orientativ al drumului expres Bacău-Suceava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legătura dintre nodurile Bacău și Suceava, ambele aparținând rețelei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puse în discuție:</w:t>
      </w:r>
    </w:p>
    <w:p w:rsidR="00B4550A" w:rsidRPr="00E0488D" w:rsidRDefault="00B4550A" w:rsidP="002B7E09">
      <w:pPr>
        <w:pStyle w:val="NumberedParas"/>
      </w:pPr>
      <w:r w:rsidRPr="00E0488D">
        <w:t>Pe acest coridor timpii de călătorie sunt mari, viteza medie înregistrată pe traseu fiind de aproximativ 69km/h.</w:t>
      </w:r>
    </w:p>
    <w:p w:rsidR="00B4550A" w:rsidRPr="00E0488D" w:rsidRDefault="00B4550A" w:rsidP="002B7E09">
      <w:pPr>
        <w:pStyle w:val="NumberedParas"/>
      </w:pPr>
      <w:r w:rsidRPr="00E0488D">
        <w:t>Cea mai mare parte a infrastructurii pe acest coridor are o stare tehnică defavorabilă– 97%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6</w:t>
      </w:r>
      <w:r w:rsidR="00434074">
        <w:rPr>
          <w:sz w:val="22"/>
          <w:szCs w:val="22"/>
          <w:lang w:val="ro-RO"/>
        </w:rPr>
        <w:t>45</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lastRenderedPageBreak/>
        <w:t>Acest proiect are performanțe economice foarte bune (RBC de 3,23) și operează aproximativ 20.000 de vehicule (MZA). Aproximativ întregul volum de trafic existent pe coridorul cel mai apropiat trece pe noul traseu.Schimbările de la nivelul fluxului de trafic sunt ilustrate în Figura 4.4</w:t>
      </w:r>
      <w:r w:rsidR="00434074">
        <w:t>1</w:t>
      </w:r>
      <w:r w:rsidRPr="00E0488D">
        <w:t>.</w:t>
      </w:r>
    </w:p>
    <w:p w:rsidR="00B4550A" w:rsidRPr="00E0488D" w:rsidRDefault="00B4550A" w:rsidP="00B4550A">
      <w:pPr>
        <w:spacing w:before="120" w:after="120"/>
        <w:ind w:left="284"/>
        <w:rPr>
          <w:b/>
          <w:sz w:val="22"/>
          <w:szCs w:val="22"/>
          <w:lang w:val="ro-RO"/>
        </w:rPr>
      </w:pPr>
    </w:p>
    <w:p w:rsidR="00B4550A" w:rsidRPr="00E0488D" w:rsidRDefault="00B4550A" w:rsidP="00B4550A">
      <w:pPr>
        <w:spacing w:before="120" w:after="120" w:line="276" w:lineRule="auto"/>
        <w:ind w:left="680" w:firstLine="171"/>
        <w:rPr>
          <w:sz w:val="22"/>
          <w:szCs w:val="22"/>
          <w:lang w:val="ro-RO"/>
        </w:rPr>
      </w:pPr>
      <w:r w:rsidRPr="00E0488D">
        <w:rPr>
          <w:noProof/>
          <w:lang w:val="ro-RO" w:eastAsia="ro-RO"/>
        </w:rPr>
        <w:drawing>
          <wp:inline distT="0" distB="0" distL="0" distR="0">
            <wp:extent cx="4270375" cy="2880995"/>
            <wp:effectExtent l="19050" t="19050" r="15875" b="14605"/>
            <wp:docPr id="159" name="Picture 10" descr="OR7A Differenc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R7A Difference Plot"/>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270375"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ind w:left="284"/>
        <w:rPr>
          <w:b/>
          <w:sz w:val="22"/>
          <w:szCs w:val="22"/>
          <w:lang w:val="ro-RO"/>
        </w:rPr>
      </w:pPr>
      <w:r w:rsidRPr="00E0488D">
        <w:rPr>
          <w:b/>
          <w:sz w:val="22"/>
          <w:szCs w:val="22"/>
          <w:lang w:val="ro-RO"/>
        </w:rPr>
        <w:t xml:space="preserve">Figura 4.40  Modificări ale fluxului de trafic ca urmare a implementării proiectului pentru drumul expres Bacău-Suceava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96 km/h urmare a implementării acestui proiect. Timpii de călătorie pe durata orelor de vârf scad cu 28%.</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1.107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3,23;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12,6%.</w:t>
      </w:r>
    </w:p>
    <w:p w:rsidR="00B4550A" w:rsidRPr="00E0488D" w:rsidRDefault="00B4550A" w:rsidP="00B4550A">
      <w:pPr>
        <w:rPr>
          <w:b/>
          <w:i/>
          <w:color w:val="9E0880"/>
          <w:sz w:val="22"/>
          <w:szCs w:val="22"/>
          <w:lang w:val="ro-RO"/>
        </w:rPr>
      </w:pPr>
      <w:r w:rsidRPr="00E0488D">
        <w:rPr>
          <w:lang w:val="ro-RO"/>
        </w:rPr>
        <w:br w:type="page"/>
      </w:r>
    </w:p>
    <w:p w:rsidR="00B4550A" w:rsidRPr="00E0488D" w:rsidRDefault="00B4550A" w:rsidP="00B4550A">
      <w:pPr>
        <w:pStyle w:val="Hdg3"/>
        <w:ind w:left="851"/>
      </w:pPr>
      <w:r w:rsidRPr="00E0488D">
        <w:lastRenderedPageBreak/>
        <w:t xml:space="preserve">Proiecte de Nivel 2 – OR7C – Drumul expres Suceava-Botoșani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pe traseul dintre </w:t>
      </w:r>
      <w:r w:rsidR="00A11137">
        <w:t xml:space="preserve">municipiul reședință de județ </w:t>
      </w:r>
      <w:r w:rsidR="00A11137" w:rsidRPr="00E0488D">
        <w:t xml:space="preserve">Suceava </w:t>
      </w:r>
      <w:r w:rsidR="00A11137">
        <w:t>și Botoșani</w:t>
      </w:r>
      <w:r w:rsidRPr="00E0488D">
        <w:t xml:space="preserve">, îmbunătățind astfel și conectivitatea la nivel regional.  </w:t>
      </w:r>
      <w:r w:rsidR="00022FFA">
        <w:t>Analiza Modelului Național arată că standardul potrivit pentru acest proiect este de drum expres.</w:t>
      </w:r>
    </w:p>
    <w:p w:rsidR="00B4550A" w:rsidRPr="00E0488D" w:rsidRDefault="00B4550A" w:rsidP="002B7E09">
      <w:pPr>
        <w:pStyle w:val="NumberedParas"/>
      </w:pPr>
      <w:r w:rsidRPr="00E0488D">
        <w:t>Traseul drumului expres este ilustrat în Figura 4.4</w:t>
      </w:r>
      <w:r w:rsidR="00022FFA">
        <w:t>2</w:t>
      </w:r>
      <w:r w:rsidRPr="00E0488D">
        <w:t>.</w:t>
      </w:r>
    </w:p>
    <w:p w:rsidR="00B4550A" w:rsidRPr="00E0488D" w:rsidRDefault="00B4550A" w:rsidP="00B4550A">
      <w:pPr>
        <w:spacing w:before="120" w:after="120" w:line="276" w:lineRule="auto"/>
        <w:ind w:left="680" w:firstLine="171"/>
        <w:rPr>
          <w:sz w:val="22"/>
          <w:szCs w:val="22"/>
          <w:lang w:val="ro-RO"/>
        </w:rPr>
      </w:pPr>
      <w:r w:rsidRPr="00E0488D">
        <w:rPr>
          <w:noProof/>
          <w:lang w:val="ro-RO" w:eastAsia="ro-RO"/>
        </w:rPr>
        <w:drawing>
          <wp:inline distT="0" distB="0" distL="0" distR="0">
            <wp:extent cx="4330700" cy="2880995"/>
            <wp:effectExtent l="19050" t="19050" r="12700" b="14605"/>
            <wp:docPr id="19" name="Picture 13" descr="OR7C Alignment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7C Alignment Plot"/>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330700"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4.41</w:t>
      </w:r>
      <w:r w:rsidRPr="00E0488D">
        <w:rPr>
          <w:b/>
          <w:sz w:val="22"/>
          <w:szCs w:val="22"/>
          <w:lang w:val="ro-RO"/>
        </w:rPr>
        <w:tab/>
        <w:t>Traseul orientativ al drumului expres Suceava-Botoșani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legătura cu nodul Suceava din cadrul rețelei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vitreza medie înregistrată pe acest traseu fiind de aproximativ 69 km/h.</w:t>
      </w:r>
    </w:p>
    <w:p w:rsidR="00B4550A" w:rsidRPr="00E0488D" w:rsidRDefault="00B4550A" w:rsidP="002B7E09">
      <w:pPr>
        <w:pStyle w:val="NumberedParas"/>
      </w:pPr>
      <w:r w:rsidRPr="00E0488D">
        <w:t>Cea mai mare parte a infrastructurii pe acest coridor are o stare tehnică defavorabilă– 97%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346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Acest proiect returnează o valoare monetară RBC de 1,83 și operează aproximativ 20.000 de vehicule (MZA). Aproximativ întregul volum de trafic existent pe coridorul cel mai apropiat trece pe noul traseu. Schimbările de la nivelul fluxului de trafic sunt ilustrate în Figura 4.4</w:t>
      </w:r>
      <w:r w:rsidR="00022FFA">
        <w:t>3</w:t>
      </w:r>
      <w:r w:rsidRPr="00E0488D">
        <w:t>.</w:t>
      </w:r>
    </w:p>
    <w:p w:rsidR="00B4550A" w:rsidRPr="00E0488D" w:rsidRDefault="00B4550A" w:rsidP="00B4550A">
      <w:pPr>
        <w:spacing w:before="120" w:after="120"/>
        <w:ind w:left="284"/>
        <w:rPr>
          <w:b/>
          <w:sz w:val="22"/>
          <w:szCs w:val="22"/>
          <w:lang w:val="ro-RO"/>
        </w:rPr>
      </w:pPr>
    </w:p>
    <w:p w:rsidR="00B4550A" w:rsidRPr="00E0488D" w:rsidRDefault="00022FFA" w:rsidP="00B4550A">
      <w:pPr>
        <w:spacing w:before="120" w:after="120" w:line="276" w:lineRule="auto"/>
        <w:ind w:left="680" w:firstLine="171"/>
        <w:rPr>
          <w:sz w:val="22"/>
          <w:szCs w:val="22"/>
          <w:lang w:val="ro-RO"/>
        </w:rPr>
      </w:pPr>
      <w:r w:rsidRPr="00022FFA">
        <w:rPr>
          <w:noProof/>
          <w:lang w:val="ro-RO" w:eastAsia="ro-RO"/>
        </w:rPr>
        <w:lastRenderedPageBreak/>
        <w:drawing>
          <wp:inline distT="0" distB="0" distL="0" distR="0">
            <wp:extent cx="5191200" cy="3456000"/>
            <wp:effectExtent l="19050" t="19050" r="9525" b="11430"/>
            <wp:docPr id="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R7C Difference Plot"/>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5191200" cy="3456000"/>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4.4</w:t>
      </w:r>
      <w:r w:rsidR="00022FFA">
        <w:rPr>
          <w:b/>
          <w:sz w:val="22"/>
          <w:szCs w:val="22"/>
          <w:lang w:val="ro-RO"/>
        </w:rPr>
        <w:t>3</w:t>
      </w:r>
      <w:r w:rsidRPr="00E0488D">
        <w:rPr>
          <w:b/>
          <w:sz w:val="22"/>
          <w:szCs w:val="22"/>
          <w:lang w:val="ro-RO"/>
        </w:rPr>
        <w:t xml:space="preserve"> Modificări ale fluxului de trafic ca urmare a proiectului pentru drumul expres Suceava-Botoșani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98 km/h urmare a implementării acestui proiect. Timpii de călătorie pe durata orelor de vârf scad cu 29%.</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623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1,83;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8,9%.</w:t>
      </w:r>
    </w:p>
    <w:p w:rsidR="00B4550A" w:rsidRPr="00E0488D" w:rsidRDefault="00B4550A" w:rsidP="00B4550A">
      <w:pPr>
        <w:spacing w:before="120" w:after="120" w:line="276" w:lineRule="auto"/>
        <w:ind w:left="851"/>
        <w:rPr>
          <w:b/>
          <w:sz w:val="22"/>
          <w:szCs w:val="22"/>
          <w:lang w:val="ro-RO"/>
        </w:rPr>
      </w:pPr>
    </w:p>
    <w:p w:rsidR="00B4550A" w:rsidRPr="00E0488D" w:rsidRDefault="00B4550A" w:rsidP="00B4550A">
      <w:pPr>
        <w:rPr>
          <w:sz w:val="22"/>
          <w:szCs w:val="22"/>
          <w:lang w:val="ro-RO"/>
        </w:rPr>
      </w:pPr>
      <w:r w:rsidRPr="00E0488D">
        <w:rPr>
          <w:b/>
          <w:i/>
          <w:lang w:val="ro-RO"/>
        </w:rPr>
        <w:br w:type="page"/>
      </w:r>
    </w:p>
    <w:p w:rsidR="00B4550A" w:rsidRPr="00E0488D" w:rsidRDefault="00B4550A" w:rsidP="00B4550A">
      <w:pPr>
        <w:pStyle w:val="Hdg3"/>
        <w:ind w:left="851"/>
      </w:pPr>
      <w:r w:rsidRPr="00E0488D">
        <w:lastRenderedPageBreak/>
        <w:t xml:space="preserve">Proiecte de Nivel 2 – OR9B – Drumul expres Turda-Halmeu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022FFA" w:rsidRDefault="00B4550A" w:rsidP="002B7E09">
      <w:pPr>
        <w:pStyle w:val="NumberedParas"/>
      </w:pPr>
      <w:r w:rsidRPr="00E0488D">
        <w:t>Obiectivul general al proiectului este de a spori eficiența economică a rețelei de transport din România. Obiectivul operațional specific este de a aduce îmbunătățiri în ceea ce privește viteza de călătorie pe traseul dintre Turda și Halmeu, îmbunătățind astfel și con</w:t>
      </w:r>
      <w:r w:rsidR="00022FFA">
        <w:t>ectivitatea la nivel regional. Traseul conectează municipiile Cluj, Satu Mare și Baia Mare. Împreună cu OR2 asigură legătura între sudul și centrul țării cu zonele de nord-vest dar și cu Ucraina. Include legături până la punctele de trecere a frontierei Halmeu și Petea oferind valoare adăugată pentru rutele europene.</w:t>
      </w:r>
    </w:p>
    <w:p w:rsidR="00B4550A" w:rsidRPr="00E0488D" w:rsidRDefault="00022FFA" w:rsidP="002B7E09">
      <w:pPr>
        <w:pStyle w:val="NumberedParas"/>
      </w:pPr>
      <w:r w:rsidRPr="00E0488D">
        <w:t xml:space="preserve"> </w:t>
      </w:r>
      <w:r w:rsidR="00B4550A" w:rsidRPr="00E0488D">
        <w:t>Traseul drumului expres este ilustrat în Figura 4.4</w:t>
      </w:r>
      <w:r>
        <w:t>4</w:t>
      </w:r>
      <w:r w:rsidR="00B4550A" w:rsidRPr="00E0488D">
        <w:t xml:space="preserve">. </w:t>
      </w:r>
      <w:r>
        <w:t>Conform analizei Modelului Național, standadrul potrivit pentru această propunere este de drum expres.</w:t>
      </w:r>
    </w:p>
    <w:p w:rsidR="00B4550A" w:rsidRPr="00E0488D" w:rsidRDefault="00490850" w:rsidP="00B4550A">
      <w:pPr>
        <w:spacing w:before="120" w:after="120" w:line="276" w:lineRule="auto"/>
        <w:ind w:left="680" w:firstLine="171"/>
        <w:rPr>
          <w:i/>
          <w:sz w:val="22"/>
          <w:szCs w:val="22"/>
          <w:lang w:val="ro-RO"/>
        </w:rPr>
      </w:pPr>
      <w:r w:rsidRPr="002B762C">
        <w:rPr>
          <w:noProof/>
          <w:lang w:val="ro-RO" w:eastAsia="ro-RO"/>
        </w:rPr>
        <w:drawing>
          <wp:inline distT="0" distB="0" distL="0" distR="0">
            <wp:extent cx="5204002" cy="4125773"/>
            <wp:effectExtent l="19050" t="19050" r="15698" b="27127"/>
            <wp:docPr id="12" name="Picture 113" descr="OR9B Alignment Plot v2 was Figure 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9B Alignment Plot v2 was Figure 4.43.png"/>
                    <pic:cNvPicPr/>
                  </pic:nvPicPr>
                  <pic:blipFill>
                    <a:blip r:embed="rId141" cstate="print"/>
                    <a:srcRect t="7835" b="11823"/>
                    <a:stretch>
                      <a:fillRect/>
                    </a:stretch>
                  </pic:blipFill>
                  <pic:spPr>
                    <a:xfrm>
                      <a:off x="0" y="0"/>
                      <a:ext cx="5204002" cy="4125773"/>
                    </a:xfrm>
                    <a:prstGeom prst="rect">
                      <a:avLst/>
                    </a:prstGeom>
                    <a:ln>
                      <a:solidFill>
                        <a:schemeClr val="accent1"/>
                      </a:solidFill>
                    </a:ln>
                  </pic:spPr>
                </pic:pic>
              </a:graphicData>
            </a:graphic>
          </wp:inline>
        </w:drawing>
      </w:r>
      <w:r w:rsidR="00B4550A" w:rsidRPr="00E0488D">
        <w:rPr>
          <w:i/>
          <w:sz w:val="22"/>
          <w:szCs w:val="22"/>
          <w:lang w:val="ro-RO"/>
        </w:rPr>
        <w:t xml:space="preserve"> </w:t>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4.4</w:t>
      </w:r>
      <w:r w:rsidR="00022FFA">
        <w:rPr>
          <w:b/>
          <w:sz w:val="22"/>
          <w:szCs w:val="22"/>
          <w:lang w:val="ro-RO"/>
        </w:rPr>
        <w:t>4</w:t>
      </w:r>
      <w:r w:rsidRPr="00E0488D">
        <w:rPr>
          <w:b/>
          <w:sz w:val="22"/>
          <w:szCs w:val="22"/>
          <w:lang w:val="ro-RO"/>
        </w:rPr>
        <w:tab/>
        <w:t>Traseul orientativ al drumului expres Turda-Halmeu</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Traseul stabilește legătura cu nodul Turda din cadrul rețelei TEN-T.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 xml:space="preserve">Pe acest coridor timpii de călătorie sunt mari, vitreza medie înregistrată pe acest traseu fiind estimată la aproximativ 70 km/h. Cea mai mare parte a infrastructurii existente pe acest coridor este într-o stare tehnică defavorabilă– 89% din traseu este la standard de drum cu o singură bandă de circulație pe sens.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lastRenderedPageBreak/>
        <w:t xml:space="preserve">CAPEX </w:t>
      </w:r>
      <w:r w:rsidRPr="00E0488D">
        <w:rPr>
          <w:sz w:val="22"/>
          <w:szCs w:val="22"/>
          <w:lang w:val="ro-RO"/>
        </w:rPr>
        <w:tab/>
        <w:t>991</w:t>
      </w:r>
      <w:r w:rsidR="00B37EBF">
        <w:rPr>
          <w:sz w:val="22"/>
          <w:szCs w:val="22"/>
          <w:lang w:val="ro-RO"/>
        </w:rPr>
        <w:t>75</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Acest proiect returnează o valoare monetară excelentă (RBC de 3,29) și operează aproximativ 30.000 de vehicule (MZA). Aproximativ întregul volum de trafic existent pe coridorul cel mai apropiat trece pe noul traseu. Schimbările de la nivelul fluxului de trafic sunt ilustrate în Figura 4.4</w:t>
      </w:r>
      <w:r w:rsidR="00B37EBF">
        <w:t>4</w:t>
      </w:r>
      <w:r w:rsidRPr="00E0488D">
        <w:t>.</w:t>
      </w:r>
    </w:p>
    <w:p w:rsidR="00B4550A" w:rsidRPr="00E0488D" w:rsidRDefault="00B37EBF" w:rsidP="00B4550A">
      <w:pPr>
        <w:spacing w:before="120" w:after="120" w:line="276" w:lineRule="auto"/>
        <w:ind w:left="680" w:firstLine="171"/>
        <w:rPr>
          <w:sz w:val="22"/>
          <w:szCs w:val="22"/>
          <w:lang w:val="ro-RO"/>
        </w:rPr>
      </w:pPr>
      <w:r w:rsidRPr="00B37EBF">
        <w:rPr>
          <w:noProof/>
          <w:lang w:val="ro-RO" w:eastAsia="ro-RO"/>
        </w:rPr>
        <w:drawing>
          <wp:inline distT="0" distB="0" distL="0" distR="0">
            <wp:extent cx="5205600" cy="3499200"/>
            <wp:effectExtent l="19050" t="19050" r="14605" b="25400"/>
            <wp:docPr id="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9B Difference Plot"/>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8278" b="11589"/>
                    <a:stretch/>
                  </pic:blipFill>
                  <pic:spPr bwMode="auto">
                    <a:xfrm>
                      <a:off x="0" y="0"/>
                      <a:ext cx="5205600" cy="3499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4.44  Modificări ale fluxului de trafic ca urmare a proiectului pentru drumul expres Turda-Halmeu</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109 km/h urmare a implementării acestui proiect. Timpii de călătorie pe durata orelor de vârf scad cu 45%.</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1.766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3,29;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13,5%.</w:t>
      </w:r>
    </w:p>
    <w:p w:rsidR="00B4550A" w:rsidRPr="00E0488D" w:rsidRDefault="00B4550A" w:rsidP="002B7E09">
      <w:pPr>
        <w:pStyle w:val="NumberedParas"/>
        <w:numPr>
          <w:ilvl w:val="0"/>
          <w:numId w:val="0"/>
        </w:numPr>
        <w:ind w:left="680"/>
      </w:pPr>
    </w:p>
    <w:p w:rsidR="00B4550A" w:rsidRPr="00E0488D" w:rsidRDefault="00B4550A" w:rsidP="00B4550A">
      <w:pPr>
        <w:rPr>
          <w:sz w:val="22"/>
          <w:szCs w:val="22"/>
          <w:lang w:val="ro-RO"/>
        </w:rPr>
      </w:pPr>
      <w:r w:rsidRPr="00E0488D">
        <w:rPr>
          <w:lang w:val="ro-RO"/>
        </w:rPr>
        <w:br w:type="page"/>
      </w:r>
    </w:p>
    <w:p w:rsidR="00B4550A" w:rsidRPr="00E0488D" w:rsidRDefault="00B4550A" w:rsidP="00B4550A">
      <w:pPr>
        <w:pStyle w:val="Hdg3"/>
        <w:ind w:left="851"/>
      </w:pPr>
      <w:r w:rsidRPr="00E0488D">
        <w:lastRenderedPageBreak/>
        <w:t xml:space="preserve">Proiecte de Nivel 2 – OR10 – Drumul expres Lugoj-Craiova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pe traseul dintre Lugoj și Craiova, îmbunătățind astfel și conectivitatea la nivel regional.  </w:t>
      </w:r>
      <w:r w:rsidR="00E93EBB">
        <w:t>Ruta conectează centrul industrial Craiova cu vestul României și Ungaria și restul Europei. De asemenea se conectează la trecerea peste Dunăre Vidin-Calafat oferind astfel valoare adăugată rutelor europene. În coroborare cu OR4 (Pitești-Craiova), ruta afisgură conexiunea dintre restul Europei și centrul industrial și de distribuție Pitești. Analiza Modelului Național artaă că standardul potrivit pentru această propunere este de drum expres.</w:t>
      </w:r>
    </w:p>
    <w:p w:rsidR="00B4550A" w:rsidRPr="00E0488D" w:rsidRDefault="00B4550A" w:rsidP="002B7E09">
      <w:pPr>
        <w:pStyle w:val="NumberedParas"/>
      </w:pPr>
      <w:r w:rsidRPr="00E0488D">
        <w:t xml:space="preserve">Traseul este ilustrat în Figura 4.45. </w:t>
      </w:r>
    </w:p>
    <w:p w:rsidR="00B4550A" w:rsidRPr="00E0488D" w:rsidRDefault="00E93EBB" w:rsidP="00B4550A">
      <w:pPr>
        <w:spacing w:before="120" w:after="120" w:line="276" w:lineRule="auto"/>
        <w:ind w:left="680" w:firstLine="171"/>
        <w:rPr>
          <w:sz w:val="22"/>
          <w:szCs w:val="22"/>
          <w:lang w:val="ro-RO"/>
        </w:rPr>
      </w:pPr>
      <w:r w:rsidRPr="00E93EBB">
        <w:rPr>
          <w:noProof/>
          <w:lang w:val="ro-RO" w:eastAsia="ro-RO"/>
        </w:rPr>
        <w:drawing>
          <wp:inline distT="0" distB="0" distL="0" distR="0">
            <wp:extent cx="5140800" cy="3441600"/>
            <wp:effectExtent l="19050" t="19050" r="22225" b="26035"/>
            <wp:docPr id="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10 Alignment Plot"/>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8278" b="11920"/>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4.4</w:t>
      </w:r>
      <w:r w:rsidR="00E93EBB">
        <w:rPr>
          <w:b/>
          <w:sz w:val="22"/>
          <w:szCs w:val="22"/>
          <w:lang w:val="ro-RO"/>
        </w:rPr>
        <w:t>6</w:t>
      </w:r>
      <w:r w:rsidRPr="00E0488D">
        <w:rPr>
          <w:b/>
          <w:sz w:val="22"/>
          <w:szCs w:val="22"/>
          <w:lang w:val="ro-RO"/>
        </w:rPr>
        <w:tab/>
        <w:t>Traseul orientativ al drumului expres Lugoj – Craiova</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Traseul stabilește legătura cu nodul Craiova din cadrul rețelei TEN-T.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vitreza medie înregistrată pe acest traseu fiind de aproximativ 71 km/h. Cea mai mare parte a infrastructurii pe acest coridor are o stare tehnică defavorabilă– 84%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1.</w:t>
      </w:r>
      <w:r w:rsidR="000A1CEF">
        <w:rPr>
          <w:sz w:val="22"/>
          <w:szCs w:val="22"/>
          <w:lang w:val="ro-RO"/>
        </w:rPr>
        <w:t>811</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lastRenderedPageBreak/>
        <w:t>Acest proiect prezintă performanțe economice foarte bune (RBC de 2,23) și operează aproximativ 30.000 de vehicule (MZA). Aproximativ întregul volum de trafic existent pe coridorul cel mai apropiat trece pe noul traseu menționat. Schimbările de la nivelul fluxului de trafic sunt ilustrate în Figura 4.4</w:t>
      </w:r>
      <w:r w:rsidR="005D65EA">
        <w:t>7</w:t>
      </w:r>
      <w:r w:rsidRPr="00E0488D">
        <w:t>.</w:t>
      </w:r>
    </w:p>
    <w:p w:rsidR="00B4550A" w:rsidRPr="00E0488D" w:rsidRDefault="00B4550A" w:rsidP="00B4550A">
      <w:pPr>
        <w:keepNext/>
        <w:spacing w:before="120" w:after="120" w:line="276" w:lineRule="auto"/>
        <w:ind w:left="851"/>
        <w:rPr>
          <w:b/>
          <w:sz w:val="22"/>
          <w:szCs w:val="22"/>
          <w:lang w:val="ro-RO"/>
        </w:rPr>
      </w:pPr>
    </w:p>
    <w:p w:rsidR="00B4550A" w:rsidRPr="00E0488D" w:rsidRDefault="005D65EA" w:rsidP="00B4550A">
      <w:pPr>
        <w:spacing w:before="120" w:after="120" w:line="276" w:lineRule="auto"/>
        <w:ind w:left="680" w:firstLine="171"/>
        <w:rPr>
          <w:sz w:val="22"/>
          <w:szCs w:val="22"/>
          <w:lang w:val="ro-RO"/>
        </w:rPr>
      </w:pPr>
      <w:r w:rsidRPr="005D65EA">
        <w:rPr>
          <w:noProof/>
          <w:lang w:val="ro-RO" w:eastAsia="ro-RO"/>
        </w:rPr>
        <w:drawing>
          <wp:inline distT="0" distB="0" distL="0" distR="0">
            <wp:extent cx="5194800" cy="3459600"/>
            <wp:effectExtent l="19050" t="19050" r="25400" b="26670"/>
            <wp:docPr id="10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R10 Difference Plot"/>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5194800" cy="3459600"/>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4.4</w:t>
      </w:r>
      <w:r w:rsidR="005D65EA">
        <w:rPr>
          <w:b/>
          <w:sz w:val="22"/>
          <w:szCs w:val="22"/>
          <w:lang w:val="ro-RO"/>
        </w:rPr>
        <w:t>7</w:t>
      </w:r>
      <w:r w:rsidRPr="00E0488D">
        <w:rPr>
          <w:b/>
          <w:sz w:val="22"/>
          <w:szCs w:val="22"/>
          <w:lang w:val="ro-RO"/>
        </w:rPr>
        <w:tab/>
        <w:t>Modificări ale fluxului de trafic datorate proiectului pentru drumul expres Lugoj – Craiova</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98 km/h urmare a implementării acestui proiect. Timpii de călătorie pe durata orelor de vârf scad cu 32%.</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1.</w:t>
      </w:r>
      <w:r w:rsidR="005D65EA">
        <w:rPr>
          <w:sz w:val="22"/>
          <w:szCs w:val="22"/>
          <w:lang w:val="ro-RO"/>
        </w:rPr>
        <w:t>546</w:t>
      </w:r>
      <w:r w:rsidRPr="00E0488D">
        <w:rPr>
          <w:sz w:val="22"/>
          <w:szCs w:val="22"/>
          <w:lang w:val="ro-RO"/>
        </w:rPr>
        <w:t xml:space="preserve">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2,23;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10,0%.</w:t>
      </w:r>
    </w:p>
    <w:p w:rsidR="00B4550A" w:rsidRPr="00E0488D" w:rsidRDefault="00B4550A" w:rsidP="00B4550A">
      <w:pPr>
        <w:rPr>
          <w:b/>
          <w:i/>
          <w:color w:val="9E0880"/>
          <w:sz w:val="22"/>
          <w:szCs w:val="22"/>
          <w:lang w:val="ro-RO"/>
        </w:rPr>
      </w:pPr>
      <w:r w:rsidRPr="00E0488D">
        <w:rPr>
          <w:lang w:val="ro-RO"/>
        </w:rPr>
        <w:br w:type="page"/>
      </w:r>
    </w:p>
    <w:p w:rsidR="00B4550A" w:rsidRPr="00E0488D" w:rsidRDefault="00B4550A" w:rsidP="00B4550A">
      <w:pPr>
        <w:pStyle w:val="Hdg3"/>
        <w:ind w:left="851"/>
      </w:pPr>
    </w:p>
    <w:p w:rsidR="00B4550A" w:rsidRPr="00E0488D" w:rsidRDefault="00B4550A" w:rsidP="00B4550A">
      <w:pPr>
        <w:pStyle w:val="Hdg3"/>
        <w:ind w:left="851"/>
      </w:pPr>
      <w:r w:rsidRPr="00E0488D">
        <w:t xml:space="preserve">Proiecte de Nivel 2 – OR13 – Drumul expres Câmpia Turzii-Târgu Mureș-Iași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pe acest coridor, îmbunătățind astfel și conectivitatea la nivel regional. </w:t>
      </w:r>
      <w:r w:rsidR="007731D8">
        <w:t>Proiectul asigură o legătură directă între zona de nord-est a României, regiunea Cluj-Napoca și zona de vest – granița cu Ungaria/restul Europei via Sebeș/Timișoara (proiect din Scenariul de Referință) sau Oradea via OR12 (Gilău – Borș).</w:t>
      </w:r>
    </w:p>
    <w:p w:rsidR="007731D8" w:rsidRPr="00E0488D" w:rsidRDefault="007731D8" w:rsidP="002B7E09">
      <w:pPr>
        <w:pStyle w:val="NumberedParas"/>
      </w:pPr>
      <w:r>
        <w:t>Proiectul va fi implementat în două faze, Târgu Mureș - Târgu Neamț ca drum expres și Târgu Neamț- Pașcani_iași ca autostradă pe baza evaluării traficului rezultat din Modelul Național.</w:t>
      </w:r>
    </w:p>
    <w:p w:rsidR="00B4550A" w:rsidRPr="00E0488D" w:rsidRDefault="00B4550A" w:rsidP="002B7E09">
      <w:pPr>
        <w:pStyle w:val="NumberedParas"/>
      </w:pPr>
      <w:r w:rsidRPr="00E0488D">
        <w:t>Traseul este ilustrat în Figura 4.4</w:t>
      </w:r>
      <w:r w:rsidR="007731D8">
        <w:t>8</w:t>
      </w:r>
      <w:r w:rsidRPr="00E0488D">
        <w:t xml:space="preserve">. </w:t>
      </w:r>
    </w:p>
    <w:p w:rsidR="00B4550A" w:rsidRPr="00E0488D" w:rsidRDefault="007731D8" w:rsidP="00B4550A">
      <w:pPr>
        <w:spacing w:before="120" w:after="120" w:line="276" w:lineRule="auto"/>
        <w:ind w:left="680" w:firstLine="171"/>
        <w:rPr>
          <w:sz w:val="22"/>
          <w:szCs w:val="22"/>
          <w:lang w:val="ro-RO"/>
        </w:rPr>
      </w:pPr>
      <w:r w:rsidRPr="007731D8">
        <w:rPr>
          <w:noProof/>
          <w:lang w:val="ro-RO" w:eastAsia="ro-RO"/>
        </w:rPr>
        <w:drawing>
          <wp:inline distT="0" distB="0" distL="0" distR="0">
            <wp:extent cx="5140800" cy="3441600"/>
            <wp:effectExtent l="19050" t="19050" r="22225" b="26035"/>
            <wp:docPr id="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R13 Alignment Plo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7947" b="12252"/>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4.4</w:t>
      </w:r>
      <w:r w:rsidR="007731D8">
        <w:rPr>
          <w:b/>
          <w:sz w:val="22"/>
          <w:szCs w:val="22"/>
          <w:lang w:val="ro-RO"/>
        </w:rPr>
        <w:t>8</w:t>
      </w:r>
      <w:r w:rsidRPr="00E0488D">
        <w:rPr>
          <w:b/>
          <w:sz w:val="22"/>
          <w:szCs w:val="22"/>
          <w:lang w:val="ro-RO"/>
        </w:rPr>
        <w:tab/>
        <w:t>Traseul orientativ al drumului expres Câmpia Turzii-Târgu Mureș-Iași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Traseul stabilește legătura cu nodul Turda din cadrul rețelei TEN-T.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vitreza medie înregistrată pe traseu fiind de aproximativ 61 km/h. Cea mai mare parte a infrastructurii pe acest coridor are o stare tehnică defavorabilă– 100%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sidR="007731D8">
        <w:rPr>
          <w:sz w:val="22"/>
          <w:szCs w:val="22"/>
          <w:lang w:val="ro-RO"/>
        </w:rPr>
        <w:t>3</w:t>
      </w:r>
      <w:r w:rsidRPr="00E0488D">
        <w:rPr>
          <w:sz w:val="22"/>
          <w:szCs w:val="22"/>
          <w:lang w:val="ro-RO"/>
        </w:rPr>
        <w:t>.</w:t>
      </w:r>
      <w:r w:rsidR="007731D8">
        <w:rPr>
          <w:sz w:val="22"/>
          <w:szCs w:val="22"/>
          <w:lang w:val="ro-RO"/>
        </w:rPr>
        <w:t>400</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lastRenderedPageBreak/>
        <w:t>Rezultat(e):</w:t>
      </w:r>
    </w:p>
    <w:p w:rsidR="00B4550A" w:rsidRPr="00E0488D" w:rsidRDefault="00B4550A" w:rsidP="002B7E09">
      <w:pPr>
        <w:pStyle w:val="NumberedParas"/>
      </w:pPr>
      <w:r w:rsidRPr="00E0488D">
        <w:t>Acest proiect are un raport beneficiu-cost (RBC) de 1,74 și operează aproximativ 31.000 de vehicule (MZA). Aproximativ jumătate din volumul de trafic existent pe coridorul cel mai apropiat trece pe noul traseu. Schimbările de la nivelul fluxului de trafic sunt ilustrate în Figura 4.4</w:t>
      </w:r>
      <w:r w:rsidR="007731D8">
        <w:t>9</w:t>
      </w:r>
      <w:r w:rsidRPr="00E0488D">
        <w:t>8.</w:t>
      </w:r>
    </w:p>
    <w:p w:rsidR="00B4550A" w:rsidRPr="00E0488D" w:rsidRDefault="007731D8" w:rsidP="00B4550A">
      <w:pPr>
        <w:spacing w:before="120" w:after="120" w:line="276" w:lineRule="auto"/>
        <w:ind w:left="680" w:firstLine="171"/>
        <w:rPr>
          <w:sz w:val="22"/>
          <w:szCs w:val="22"/>
          <w:lang w:val="ro-RO"/>
        </w:rPr>
      </w:pPr>
      <w:r w:rsidRPr="007731D8">
        <w:rPr>
          <w:noProof/>
          <w:sz w:val="22"/>
          <w:szCs w:val="22"/>
          <w:lang w:val="ro-RO" w:eastAsia="ro-RO"/>
        </w:rPr>
        <w:drawing>
          <wp:inline distT="0" distB="0" distL="0" distR="0">
            <wp:extent cx="5187600" cy="3452400"/>
            <wp:effectExtent l="19050" t="19050" r="13335" b="15240"/>
            <wp:docPr id="1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R13 Difference Plot"/>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187600" cy="3452400"/>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4.48</w:t>
      </w:r>
      <w:r w:rsidRPr="00E0488D">
        <w:rPr>
          <w:b/>
          <w:sz w:val="22"/>
          <w:szCs w:val="22"/>
          <w:lang w:val="ro-RO"/>
        </w:rPr>
        <w:tab/>
        <w:t xml:space="preserve">Modificări ale fluxului de trafic ca urmare a proiectului de drum expres Câmpia Turzii-Târgu Mureș-Iași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prognozată de model pe traseu crește până la 100 km/h urmare a implementării acestui proiect. Timpii de călătorie pe durata orelor de vârf scad cu 42%.</w:t>
      </w:r>
    </w:p>
    <w:p w:rsidR="00B4550A" w:rsidRPr="00E0488D" w:rsidRDefault="00B4550A" w:rsidP="002B7E09">
      <w:pPr>
        <w:pStyle w:val="NumberedParas"/>
      </w:pPr>
      <w:r w:rsidRPr="00E0488D">
        <w:t>Indicatorii eco</w:t>
      </w:r>
      <w:r w:rsidR="007731D8">
        <w:t>nomici principali ai întregului traseu</w:t>
      </w:r>
      <w:r w:rsidRPr="00E0488D">
        <w:t xml:space="preserve"> sunt următorii</w:t>
      </w:r>
      <w:r w:rsidR="007731D8">
        <w:t xml:space="preserve"> (inclusiv Câmpmia Turzii – Târgu Mureș)</w:t>
      </w:r>
      <w:r w:rsidRPr="00E0488D">
        <w:t>:</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w:t>
      </w:r>
      <w:r w:rsidRPr="00E0488D">
        <w:rPr>
          <w:sz w:val="22"/>
          <w:szCs w:val="22"/>
          <w:lang w:val="ro-RO"/>
        </w:rPr>
        <w:tab/>
        <w:t>2.213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w:t>
      </w:r>
      <w:r w:rsidRPr="00E0488D">
        <w:rPr>
          <w:sz w:val="22"/>
          <w:szCs w:val="22"/>
          <w:lang w:val="ro-RO"/>
        </w:rPr>
        <w:tab/>
        <w:t>1,74;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w:t>
      </w:r>
      <w:r w:rsidRPr="00E0488D">
        <w:rPr>
          <w:sz w:val="22"/>
          <w:szCs w:val="22"/>
          <w:lang w:val="ro-RO"/>
        </w:rPr>
        <w:tab/>
        <w:t>8,4%.</w:t>
      </w:r>
    </w:p>
    <w:p w:rsidR="00B4550A" w:rsidRPr="00E0488D" w:rsidRDefault="00B4550A" w:rsidP="002B7E09">
      <w:pPr>
        <w:pStyle w:val="NumberedParas"/>
        <w:numPr>
          <w:ilvl w:val="0"/>
          <w:numId w:val="0"/>
        </w:numPr>
        <w:ind w:left="680"/>
      </w:pPr>
    </w:p>
    <w:p w:rsidR="00B4550A" w:rsidRPr="00E0488D" w:rsidRDefault="00B4550A" w:rsidP="00B4550A">
      <w:pPr>
        <w:rPr>
          <w:b/>
          <w:i/>
          <w:color w:val="9E0880"/>
          <w:sz w:val="22"/>
          <w:szCs w:val="22"/>
          <w:lang w:val="ro-RO"/>
        </w:rPr>
      </w:pPr>
      <w:r w:rsidRPr="00E0488D">
        <w:rPr>
          <w:lang w:val="ro-RO"/>
        </w:rPr>
        <w:br w:type="page"/>
      </w:r>
    </w:p>
    <w:p w:rsidR="00B4550A" w:rsidRPr="00E0488D" w:rsidRDefault="00B4550A" w:rsidP="00B4550A">
      <w:pPr>
        <w:pStyle w:val="Hdg3"/>
        <w:ind w:left="851"/>
      </w:pPr>
      <w:r w:rsidRPr="00E0488D">
        <w:lastRenderedPageBreak/>
        <w:t xml:space="preserve">Proiecte de Nivel 2 – OR17 –  Drumul expres Găești-Ploiești-Buzău-Brăila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între Găești și Brăila, îmbunătățind astfel și conectivitatea la nivel regional.  </w:t>
      </w:r>
      <w:r w:rsidR="000B1610">
        <w:t>Proiectul asigură de asemenea, un traseu de bună calitate pentru vehiculele de transport mărfuri între centrul industrial Craiova, Pitești și Ploiești și Galați – Brăila. Analiza fluxului de trafic din Modelul Național arată că standardul potrivit pentru acest proiect este drumul expres.</w:t>
      </w:r>
    </w:p>
    <w:p w:rsidR="00B4550A" w:rsidRPr="00E0488D" w:rsidRDefault="00B4550A" w:rsidP="002B7E09">
      <w:pPr>
        <w:pStyle w:val="NumberedParas"/>
      </w:pPr>
      <w:r w:rsidRPr="00E0488D">
        <w:t>Traseul este ilustrat în Figura 4.</w:t>
      </w:r>
      <w:r w:rsidR="000B1610">
        <w:t>50</w:t>
      </w:r>
      <w:r w:rsidRPr="00E0488D">
        <w:t xml:space="preserve">. </w:t>
      </w:r>
    </w:p>
    <w:p w:rsidR="00B4550A" w:rsidRPr="00E0488D" w:rsidRDefault="000B1610" w:rsidP="00B4550A">
      <w:pPr>
        <w:spacing w:before="120" w:after="120" w:line="276" w:lineRule="auto"/>
        <w:ind w:left="680" w:firstLine="171"/>
        <w:rPr>
          <w:sz w:val="22"/>
          <w:szCs w:val="22"/>
          <w:lang w:val="ro-RO"/>
        </w:rPr>
      </w:pPr>
      <w:r w:rsidRPr="000B1610">
        <w:rPr>
          <w:noProof/>
          <w:lang w:val="ro-RO" w:eastAsia="ro-RO"/>
        </w:rPr>
        <w:drawing>
          <wp:inline distT="0" distB="0" distL="0" distR="0">
            <wp:extent cx="5140800" cy="3373200"/>
            <wp:effectExtent l="19050" t="19050" r="22225" b="17780"/>
            <wp:docPr id="1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R17 Alignment Plot"/>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8941" b="12913"/>
                    <a:stretch/>
                  </pic:blipFill>
                  <pic:spPr bwMode="auto">
                    <a:xfrm>
                      <a:off x="0" y="0"/>
                      <a:ext cx="5140800" cy="3373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w:t>
      </w:r>
      <w:r w:rsidR="000B1610">
        <w:rPr>
          <w:b/>
          <w:sz w:val="22"/>
          <w:szCs w:val="22"/>
          <w:lang w:val="ro-RO"/>
        </w:rPr>
        <w:t>50</w:t>
      </w:r>
      <w:r w:rsidRPr="00E0488D">
        <w:rPr>
          <w:b/>
          <w:sz w:val="22"/>
          <w:szCs w:val="22"/>
          <w:lang w:val="ro-RO"/>
        </w:rPr>
        <w:tab/>
        <w:t xml:space="preserve">Traseul orientativ al drumului expres Găești-Ploiești-Buzău-Brăila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puse în discuție:</w:t>
      </w:r>
    </w:p>
    <w:p w:rsidR="00B4550A" w:rsidRPr="00E0488D" w:rsidRDefault="00B4550A" w:rsidP="002B7E09">
      <w:pPr>
        <w:pStyle w:val="NumberedParas"/>
      </w:pPr>
      <w:r w:rsidRPr="00E0488D">
        <w:t>Pe acest coridor timpii de călătorie sunt mari, viteza medie înregistrată pe acest traseu fiind de aproximativ 87 km/h.</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sidR="000B1610">
        <w:rPr>
          <w:sz w:val="22"/>
          <w:szCs w:val="22"/>
          <w:lang w:val="ro-RO"/>
        </w:rPr>
        <w:t>280</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Acest proiect returnează o valoare monetară excelentă (RBC de 2,87) și are estimat un nmumăr maxim de aproximativ 40.000 de vehicule (MZA) între Ploiești și Buzău și aproximativ 20.000 – 30.000 de vehicule (MZA) pentru tronsoanele între Găești și Ploiești și Buzău – Brăila.. Aproape întregul volum de trafic existent pe coridorul cel mai apropiat trece pe noul traseu (15.000 total vehicule MZA). Schimbările de la nivelul fluxului de trafic sunt ilustrate în Figura 4.50.</w:t>
      </w:r>
    </w:p>
    <w:p w:rsidR="00B4550A" w:rsidRPr="00E0488D" w:rsidRDefault="00B4550A" w:rsidP="00B4550A">
      <w:pPr>
        <w:spacing w:before="120" w:after="120" w:line="276" w:lineRule="auto"/>
        <w:ind w:left="851"/>
        <w:rPr>
          <w:b/>
          <w:sz w:val="22"/>
          <w:szCs w:val="22"/>
          <w:lang w:val="ro-RO"/>
        </w:rPr>
      </w:pPr>
    </w:p>
    <w:p w:rsidR="00B4550A" w:rsidRPr="00E0488D" w:rsidRDefault="000B1610" w:rsidP="00B4550A">
      <w:pPr>
        <w:spacing w:before="120" w:after="120" w:line="276" w:lineRule="auto"/>
        <w:ind w:left="680" w:firstLine="171"/>
        <w:rPr>
          <w:sz w:val="22"/>
          <w:szCs w:val="22"/>
          <w:lang w:val="ro-RO"/>
        </w:rPr>
      </w:pPr>
      <w:r w:rsidRPr="000B1610">
        <w:rPr>
          <w:noProof/>
          <w:lang w:val="ro-RO" w:eastAsia="ro-RO"/>
        </w:rPr>
        <w:drawing>
          <wp:inline distT="0" distB="0" distL="0" distR="0">
            <wp:extent cx="5140800" cy="3427200"/>
            <wp:effectExtent l="19050" t="19050" r="22225" b="20955"/>
            <wp:docPr id="1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R17 Difference Plot"/>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8609" b="11921"/>
                    <a:stretch/>
                  </pic:blipFill>
                  <pic:spPr bwMode="auto">
                    <a:xfrm>
                      <a:off x="0" y="0"/>
                      <a:ext cx="5140800" cy="34272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w:t>
      </w:r>
      <w:r w:rsidR="000B1610">
        <w:rPr>
          <w:b/>
          <w:sz w:val="22"/>
          <w:szCs w:val="22"/>
          <w:lang w:val="ro-RO"/>
        </w:rPr>
        <w:t>1</w:t>
      </w:r>
      <w:r w:rsidRPr="00E0488D">
        <w:rPr>
          <w:b/>
          <w:sz w:val="22"/>
          <w:szCs w:val="22"/>
          <w:lang w:val="ro-RO"/>
        </w:rPr>
        <w:tab/>
        <w:t>Modificări ale fluxului de trafic datorate proiectului pentru drumul expres Găești-Ploiești-Buzău-Brăila</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101 km/h urmare a implementării acestui proiect. Timpii de călătorie pe durata orelor de vârf scad cu 17%.</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1.754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2,87;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11,9%.</w:t>
      </w:r>
    </w:p>
    <w:p w:rsidR="00B4550A" w:rsidRPr="00E0488D" w:rsidRDefault="00B4550A" w:rsidP="00B4550A">
      <w:pPr>
        <w:rPr>
          <w:b/>
          <w:i/>
          <w:color w:val="9E0880"/>
          <w:sz w:val="22"/>
          <w:szCs w:val="22"/>
          <w:lang w:val="ro-RO"/>
        </w:rPr>
      </w:pPr>
      <w:r w:rsidRPr="00E0488D">
        <w:rPr>
          <w:lang w:val="ro-RO"/>
        </w:rPr>
        <w:br w:type="page"/>
      </w:r>
    </w:p>
    <w:p w:rsidR="00B4550A" w:rsidRPr="00E0488D" w:rsidRDefault="00B4550A" w:rsidP="00B4550A">
      <w:pPr>
        <w:pStyle w:val="Hdg3"/>
        <w:ind w:left="851"/>
      </w:pPr>
      <w:r w:rsidRPr="00E0488D">
        <w:lastRenderedPageBreak/>
        <w:t xml:space="preserve">Proiecte de Nivel 2 – OR7B – Drumul  expres Suceava-Siret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între Suceava și Siret, îmbunătățind astfel și conectivitatea la nivel regional. </w:t>
      </w:r>
      <w:r w:rsidR="000B1610">
        <w:t xml:space="preserve">În coroborare cu OR7A (Bacău – Suceava), OR6B (Bacău-Brăila/Galați), OR11 (Brăila – Constanța) și OR3 (Ploiești – Brașov – Bacău) proiectul asigură trasee de înaltă calitate dinspre Ucraina către cele mai importante porturi din România și către regiunile sudice și centrale ale țării. Contribuie astfel cu valoare adăugată pentru traseele europene. </w:t>
      </w:r>
    </w:p>
    <w:p w:rsidR="00B4550A" w:rsidRPr="00E0488D" w:rsidRDefault="00B4550A" w:rsidP="002B7E09">
      <w:pPr>
        <w:pStyle w:val="NumberedParas"/>
      </w:pPr>
      <w:r w:rsidRPr="00E0488D">
        <w:t>Traseul este ilustrat în Figura 4.5</w:t>
      </w:r>
      <w:r w:rsidR="000B1610">
        <w:t>2</w:t>
      </w:r>
      <w:r w:rsidRPr="00E0488D">
        <w:t>:</w:t>
      </w:r>
    </w:p>
    <w:p w:rsidR="00B4550A" w:rsidRPr="00E0488D" w:rsidRDefault="00B4550A" w:rsidP="00B4550A">
      <w:pPr>
        <w:spacing w:before="120" w:after="120" w:line="276" w:lineRule="auto"/>
        <w:ind w:left="680" w:firstLine="171"/>
        <w:rPr>
          <w:sz w:val="22"/>
          <w:szCs w:val="22"/>
          <w:lang w:val="ro-RO"/>
        </w:rPr>
      </w:pPr>
      <w:r w:rsidRPr="00E0488D">
        <w:rPr>
          <w:noProof/>
          <w:lang w:val="ro-RO" w:eastAsia="ro-RO"/>
        </w:rPr>
        <w:drawing>
          <wp:inline distT="0" distB="0" distL="0" distR="0">
            <wp:extent cx="4287520" cy="2880995"/>
            <wp:effectExtent l="19050" t="19050" r="17780" b="14605"/>
            <wp:docPr id="512" name="Picture 43" descr="OR7B Alignment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R7B Alignment Plot"/>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4287520" cy="28809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w:t>
      </w:r>
      <w:r w:rsidR="000B1610">
        <w:rPr>
          <w:b/>
          <w:sz w:val="22"/>
          <w:szCs w:val="22"/>
          <w:lang w:val="ro-RO"/>
        </w:rPr>
        <w:t>2</w:t>
      </w:r>
      <w:r w:rsidRPr="00E0488D">
        <w:rPr>
          <w:b/>
          <w:sz w:val="22"/>
          <w:szCs w:val="22"/>
          <w:lang w:val="ro-RO"/>
        </w:rPr>
        <w:tab/>
        <w:t>Traseul orientativ al drumului expres Suceava-Siret</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legătura cu nodul Suceava din cadrul rețelei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viteza medie înregistrată pe acest traseu fiind de aproximativ 69 km/h.</w:t>
      </w:r>
    </w:p>
    <w:p w:rsidR="00B4550A" w:rsidRPr="00E0488D" w:rsidRDefault="00B4550A" w:rsidP="002B7E09">
      <w:pPr>
        <w:pStyle w:val="NumberedParas"/>
      </w:pPr>
      <w:r w:rsidRPr="00E0488D">
        <w:t>Cea mai mare parte a infrastructurii pe acest coridor are o stare tehnică defavorabilă– 97%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186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Acest proiect returnează o valoare monetară excelentă (RBC de 2,84) și operează aproximativ 10.000 -15.000 de vehicule (MZA). Aproximativ întregul volum de trafic existent pe coridorul cel mai apropiat trece pe noul traseu.</w:t>
      </w:r>
    </w:p>
    <w:p w:rsidR="00B4550A" w:rsidRPr="00E0488D" w:rsidRDefault="00B4550A" w:rsidP="002B7E09">
      <w:pPr>
        <w:pStyle w:val="NumberedParas"/>
      </w:pPr>
      <w:r w:rsidRPr="00E0488D">
        <w:t>Schimbările de la nivelul fluxului de trafic sunt ilustrate în Figura 4.5</w:t>
      </w:r>
      <w:r w:rsidR="000B1610">
        <w:t>3</w:t>
      </w:r>
    </w:p>
    <w:p w:rsidR="00B4550A" w:rsidRPr="00E0488D" w:rsidRDefault="000B1610" w:rsidP="00B4550A">
      <w:pPr>
        <w:spacing w:before="120" w:after="120" w:line="276" w:lineRule="auto"/>
        <w:ind w:left="680" w:firstLine="171"/>
        <w:rPr>
          <w:sz w:val="22"/>
          <w:szCs w:val="22"/>
          <w:lang w:val="ro-RO"/>
        </w:rPr>
      </w:pPr>
      <w:r w:rsidRPr="000B1610">
        <w:rPr>
          <w:noProof/>
          <w:lang w:val="ro-RO" w:eastAsia="ro-RO"/>
        </w:rPr>
        <w:lastRenderedPageBreak/>
        <w:drawing>
          <wp:inline distT="0" distB="0" distL="0" distR="0">
            <wp:extent cx="5191200" cy="3456000"/>
            <wp:effectExtent l="19050" t="19050" r="9525" b="11430"/>
            <wp:docPr id="1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R7B Difference Plot"/>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5191200" cy="3456000"/>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w:t>
      </w:r>
      <w:r w:rsidR="000B1610">
        <w:rPr>
          <w:b/>
          <w:sz w:val="22"/>
          <w:szCs w:val="22"/>
          <w:lang w:val="ro-RO"/>
        </w:rPr>
        <w:t>3</w:t>
      </w:r>
      <w:r w:rsidRPr="00E0488D">
        <w:rPr>
          <w:b/>
          <w:sz w:val="22"/>
          <w:szCs w:val="22"/>
          <w:lang w:val="ro-RO"/>
        </w:rPr>
        <w:tab/>
        <w:t>Traseul orientativ al drumului expres Suceava-Siret</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114 km/h urmare a implementării acestui proiect. Timpii de călătorie pe durata orelor de vârf scad cu 38%.</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1.172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2,84;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11,7%</w:t>
      </w:r>
      <w:r w:rsidRPr="00E0488D">
        <w:rPr>
          <w:sz w:val="22"/>
          <w:szCs w:val="22"/>
          <w:lang w:val="ro-RO"/>
        </w:rPr>
        <w:tab/>
      </w: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spacing w:before="0"/>
        <w:ind w:left="851"/>
      </w:pPr>
      <w:r w:rsidRPr="00E0488D">
        <w:lastRenderedPageBreak/>
        <w:t xml:space="preserve">Proiecte de Nivel 2 – OR8 – Drum expres Bacău-Piatra Neamț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între Bacău și Piatra Neamț, îmbunătățind astfel și conectivitatea la nivel regional.  </w:t>
      </w:r>
      <w:r w:rsidR="000B1610">
        <w:t>Traseul asigură legătura între reședințele de județ Piatra Neamț și Bacău și, via OR3 și OR11, cu sudul și centrul țării și principalele porturi din România. Analiza Modelului Național arată că standardul potrivit este cel de drum expres.</w:t>
      </w:r>
    </w:p>
    <w:p w:rsidR="00B4550A" w:rsidRPr="00E0488D" w:rsidRDefault="00B4550A" w:rsidP="002B7E09">
      <w:pPr>
        <w:pStyle w:val="NumberedParas"/>
      </w:pPr>
      <w:r w:rsidRPr="00E0488D">
        <w:t>Traseul drumului expres este ilustrat în Figura 4.5</w:t>
      </w:r>
      <w:r w:rsidR="000B1610">
        <w:t>4</w:t>
      </w:r>
      <w:r w:rsidRPr="00E0488D">
        <w:t xml:space="preserve">. </w:t>
      </w:r>
    </w:p>
    <w:p w:rsidR="00B4550A" w:rsidRPr="00E0488D" w:rsidRDefault="000B1610" w:rsidP="00B4550A">
      <w:pPr>
        <w:spacing w:before="120" w:after="120" w:line="276" w:lineRule="auto"/>
        <w:ind w:left="680" w:firstLine="171"/>
        <w:rPr>
          <w:sz w:val="22"/>
          <w:szCs w:val="22"/>
          <w:lang w:val="ro-RO"/>
        </w:rPr>
      </w:pPr>
      <w:r w:rsidRPr="000B1610">
        <w:rPr>
          <w:noProof/>
          <w:lang w:val="ro-RO" w:eastAsia="ro-RO"/>
        </w:rPr>
        <w:drawing>
          <wp:inline distT="0" distB="0" distL="0" distR="0">
            <wp:extent cx="4986000" cy="3315600"/>
            <wp:effectExtent l="19050" t="19050" r="24765" b="18415"/>
            <wp:docPr id="1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R8 Alignment Plot"/>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8191" b="12582"/>
                    <a:stretch/>
                  </pic:blipFill>
                  <pic:spPr bwMode="auto">
                    <a:xfrm>
                      <a:off x="0" y="0"/>
                      <a:ext cx="4986000" cy="3315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w:t>
      </w:r>
      <w:r w:rsidR="000B1610">
        <w:rPr>
          <w:b/>
          <w:sz w:val="22"/>
          <w:szCs w:val="22"/>
          <w:lang w:val="ro-RO"/>
        </w:rPr>
        <w:t>4</w:t>
      </w:r>
      <w:r w:rsidRPr="00E0488D">
        <w:rPr>
          <w:b/>
          <w:sz w:val="22"/>
          <w:szCs w:val="22"/>
          <w:lang w:val="ro-RO"/>
        </w:rPr>
        <w:tab/>
        <w:t>Traseul orientativ al drumului expres Bacău-Piatra Neamț</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legătura cu nodul Bacău din cadrul rețelei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puse în discuție:</w:t>
      </w:r>
    </w:p>
    <w:p w:rsidR="00B4550A" w:rsidRPr="00E0488D" w:rsidRDefault="00B4550A" w:rsidP="002B7E09">
      <w:pPr>
        <w:pStyle w:val="NumberedParas"/>
      </w:pPr>
      <w:r w:rsidRPr="00E0488D">
        <w:t>Pe acest coridor timpii de călătorie sunt mari, viteza medie înregistrată pe acest traseu fiind de aproximativ 52 km/h.</w:t>
      </w:r>
    </w:p>
    <w:p w:rsidR="00B4550A" w:rsidRPr="00E0488D" w:rsidRDefault="00B4550A" w:rsidP="002B7E09">
      <w:pPr>
        <w:pStyle w:val="NumberedParas"/>
      </w:pPr>
      <w:r w:rsidRPr="00E0488D">
        <w:t>Cea mai mare parte a infrastructurii pe acest coridor are o stare tehnică defavorabilă– 92%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3</w:t>
      </w:r>
      <w:r w:rsidR="007A4096">
        <w:rPr>
          <w:sz w:val="22"/>
          <w:szCs w:val="22"/>
          <w:lang w:val="ro-RO"/>
        </w:rPr>
        <w:t>35</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 xml:space="preserve">Acest proiect returnează o valoare monetară excelentă (RBC de 2,45) și operează aproximativ 18.000 de vehicule (MZA). Aproximativ întregul volum de trafic existent pe </w:t>
      </w:r>
      <w:r w:rsidRPr="00E0488D">
        <w:lastRenderedPageBreak/>
        <w:t>coridorul cel mai apropiat trece pe noul traseu</w:t>
      </w:r>
      <w:r w:rsidR="007A4096">
        <w:t xml:space="preserve">. </w:t>
      </w:r>
      <w:r w:rsidRPr="00E0488D">
        <w:t>Schimbările de la nivelul fluxului de trafic sunt ilustrate în Figura 4.5</w:t>
      </w:r>
      <w:r w:rsidR="007A4096">
        <w:t>5</w:t>
      </w:r>
      <w:r w:rsidRPr="00E0488D">
        <w:t>.</w:t>
      </w:r>
    </w:p>
    <w:p w:rsidR="00B4550A" w:rsidRPr="00E0488D" w:rsidRDefault="00B4550A" w:rsidP="00B4550A">
      <w:pPr>
        <w:keepNext/>
        <w:spacing w:before="120" w:after="120" w:line="276" w:lineRule="auto"/>
        <w:ind w:left="851"/>
        <w:rPr>
          <w:b/>
          <w:sz w:val="22"/>
          <w:szCs w:val="22"/>
          <w:lang w:val="ro-RO"/>
        </w:rPr>
      </w:pPr>
    </w:p>
    <w:p w:rsidR="00B4550A" w:rsidRPr="00E0488D" w:rsidRDefault="007A4096" w:rsidP="00B4550A">
      <w:pPr>
        <w:spacing w:before="120" w:after="120" w:line="276" w:lineRule="auto"/>
        <w:ind w:left="680" w:firstLine="171"/>
        <w:rPr>
          <w:sz w:val="22"/>
          <w:szCs w:val="22"/>
          <w:lang w:val="ro-RO"/>
        </w:rPr>
      </w:pPr>
      <w:r w:rsidRPr="007A4096">
        <w:rPr>
          <w:noProof/>
          <w:lang w:val="ro-RO" w:eastAsia="ro-RO"/>
        </w:rPr>
        <w:drawing>
          <wp:inline distT="0" distB="0" distL="0" distR="0">
            <wp:extent cx="5194800" cy="3459600"/>
            <wp:effectExtent l="19050" t="19050" r="25400" b="26670"/>
            <wp:docPr id="1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R8 Difference Plot"/>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5194800" cy="3459600"/>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w:t>
      </w:r>
      <w:r w:rsidR="007A4096">
        <w:rPr>
          <w:b/>
          <w:sz w:val="22"/>
          <w:szCs w:val="22"/>
          <w:lang w:val="ro-RO"/>
        </w:rPr>
        <w:t>5</w:t>
      </w:r>
      <w:r w:rsidRPr="00E0488D">
        <w:rPr>
          <w:b/>
          <w:sz w:val="22"/>
          <w:szCs w:val="22"/>
          <w:lang w:val="ro-RO"/>
        </w:rPr>
        <w:tab/>
        <w:t>Modificări ale fluxului de trafic apărute ca urmare a proiectului pentru drumul expres Bacău-Piatra Neamț</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83 km/h urmare a implementării acestui proiect. Timpii de călătorie pe durata orelor de vârf scad cu 32%.</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350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2,45;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10,6%.</w:t>
      </w:r>
      <w:r w:rsidRPr="00E0488D">
        <w:rPr>
          <w:sz w:val="22"/>
          <w:szCs w:val="22"/>
          <w:lang w:val="ro-RO"/>
        </w:rPr>
        <w:tab/>
      </w:r>
    </w:p>
    <w:p w:rsidR="00B4550A" w:rsidRPr="00E0488D" w:rsidRDefault="00B4550A" w:rsidP="00B4550A">
      <w:pPr>
        <w:rPr>
          <w:b/>
          <w:i/>
          <w:color w:val="9E0880"/>
          <w:sz w:val="22"/>
          <w:szCs w:val="22"/>
          <w:lang w:val="ro-RO"/>
        </w:rPr>
      </w:pPr>
      <w:r w:rsidRPr="00E0488D">
        <w:rPr>
          <w:lang w:val="ro-RO"/>
        </w:rPr>
        <w:br w:type="page"/>
      </w:r>
    </w:p>
    <w:p w:rsidR="00B4550A" w:rsidRPr="00E0488D" w:rsidRDefault="00B4550A" w:rsidP="00B4550A">
      <w:pPr>
        <w:pStyle w:val="Hdg3"/>
        <w:ind w:left="851"/>
      </w:pPr>
    </w:p>
    <w:p w:rsidR="00B4550A" w:rsidRPr="00E0488D" w:rsidRDefault="00B4550A" w:rsidP="00B4550A">
      <w:pPr>
        <w:pStyle w:val="Hdg3"/>
        <w:ind w:left="567"/>
      </w:pPr>
      <w:r w:rsidRPr="00E0488D">
        <w:t>Proiecte de Nivel 2 – OR11 – Drumul expres Constanța-Tulcea-Brăila (inclusiv Podul Brăila)</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între Constanța și Tulcea, îmbunătățind astfel și conectivitatea la nivel regional.  </w:t>
      </w:r>
      <w:r w:rsidR="007A4096">
        <w:t xml:space="preserve">Proiectul satisface, de asemenea, obiectivul de dezvoltare regională Tulcea fiind poarta de intrare către Delta Dunării, cu resursele sale ecologice și potențialul turistic unice în lume. Proiectul formează o parte a traseului între Constanța și regiunea de nord-est a României în coroborare cu OR7A și OR6B. Analiza fluxurilor de trafic din Modelul Național arată că standardul potrivit pentru acest proiect este cel de drum expres. </w:t>
      </w:r>
    </w:p>
    <w:p w:rsidR="00B4550A" w:rsidRPr="00E0488D" w:rsidRDefault="00B4550A" w:rsidP="002B7E09">
      <w:pPr>
        <w:pStyle w:val="NumberedParas"/>
      </w:pPr>
      <w:r w:rsidRPr="00E0488D">
        <w:t>Traseul este ilustrat în Figura 4.5</w:t>
      </w:r>
      <w:r w:rsidR="008A1F7D">
        <w:t>6</w:t>
      </w:r>
      <w:r w:rsidRPr="00E0488D">
        <w:t xml:space="preserve">. </w:t>
      </w:r>
    </w:p>
    <w:p w:rsidR="00B4550A" w:rsidRPr="00E0488D" w:rsidRDefault="008A1F7D" w:rsidP="00B4550A">
      <w:pPr>
        <w:spacing w:before="120" w:after="120" w:line="276" w:lineRule="auto"/>
        <w:ind w:left="680" w:firstLine="171"/>
        <w:rPr>
          <w:sz w:val="22"/>
          <w:szCs w:val="22"/>
          <w:lang w:val="ro-RO"/>
        </w:rPr>
      </w:pPr>
      <w:r w:rsidRPr="008A1F7D">
        <w:rPr>
          <w:noProof/>
          <w:lang w:val="ro-RO" w:eastAsia="ro-RO"/>
        </w:rPr>
        <w:drawing>
          <wp:inline distT="0" distB="0" distL="0" distR="0">
            <wp:extent cx="5140800" cy="3441600"/>
            <wp:effectExtent l="19050" t="19050" r="22225" b="26035"/>
            <wp:docPr id="12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R11 Alignment Plot"/>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8278" b="11920"/>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keepNext/>
        <w:spacing w:before="120" w:after="120" w:line="276" w:lineRule="auto"/>
        <w:ind w:left="284"/>
        <w:rPr>
          <w:b/>
          <w:sz w:val="22"/>
          <w:szCs w:val="22"/>
          <w:lang w:val="ro-RO"/>
        </w:rPr>
      </w:pPr>
      <w:r w:rsidRPr="00E0488D">
        <w:rPr>
          <w:b/>
          <w:sz w:val="22"/>
          <w:szCs w:val="22"/>
          <w:lang w:val="ro-RO"/>
        </w:rPr>
        <w:t>Figura 4.5</w:t>
      </w:r>
      <w:r w:rsidR="008A1F7D">
        <w:rPr>
          <w:b/>
          <w:sz w:val="22"/>
          <w:szCs w:val="22"/>
          <w:lang w:val="ro-RO"/>
        </w:rPr>
        <w:t>6</w:t>
      </w:r>
      <w:r w:rsidRPr="00E0488D">
        <w:rPr>
          <w:b/>
          <w:sz w:val="22"/>
          <w:szCs w:val="22"/>
          <w:lang w:val="ro-RO"/>
        </w:rPr>
        <w:tab/>
        <w:t xml:space="preserve">Traseul orientativ al drumului expres Constanța-Tulcea-Brăila (ce include Podul Brăila)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B4550A">
      <w:pPr>
        <w:spacing w:before="120" w:after="120" w:line="276" w:lineRule="auto"/>
        <w:ind w:left="680" w:firstLine="171"/>
        <w:rPr>
          <w:sz w:val="22"/>
          <w:szCs w:val="22"/>
          <w:lang w:val="ro-RO"/>
        </w:rPr>
      </w:pPr>
    </w:p>
    <w:p w:rsidR="00B4550A" w:rsidRPr="00E0488D" w:rsidRDefault="00B4550A" w:rsidP="002B7E09">
      <w:pPr>
        <w:pStyle w:val="NumberedParas"/>
      </w:pPr>
      <w:r w:rsidRPr="00E0488D">
        <w:t xml:space="preserve">Traseul stabilește leagă nodurile Constanța, Tulcea și Brăila de rețeaua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viteza medie înregistrată pe acest traseu fiind de aproximativ 71 km/h. Cea mai mare parte a infrastructurii pe acest coridor are o stare tehnică defavorabilă– 60%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lastRenderedPageBreak/>
        <w:t xml:space="preserve">CAPEX </w:t>
      </w:r>
      <w:r w:rsidRPr="00E0488D">
        <w:rPr>
          <w:sz w:val="22"/>
          <w:szCs w:val="22"/>
          <w:lang w:val="ro-RO"/>
        </w:rPr>
        <w:tab/>
        <w:t>1.</w:t>
      </w:r>
      <w:r w:rsidR="008A1F7D">
        <w:rPr>
          <w:sz w:val="22"/>
          <w:szCs w:val="22"/>
          <w:lang w:val="ro-RO"/>
        </w:rPr>
        <w:t>369</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t>Acest proiect înregistrează un RBC de 1,07 și operează aproximativ 16.000 de vehicule (MZA). Aproximativ întregul volum de trafic existent pe coridorul cel mai apropiat trece pe noul traseu. Schimbările de la nivelul fluxului de trafic sunt ilustrate în Figura 4.5</w:t>
      </w:r>
      <w:r w:rsidR="008A1F7D">
        <w:t>7</w:t>
      </w:r>
      <w:r w:rsidRPr="00E0488D">
        <w:t>.</w:t>
      </w:r>
    </w:p>
    <w:p w:rsidR="00B4550A" w:rsidRPr="00E0488D" w:rsidRDefault="00B4550A" w:rsidP="00B4550A">
      <w:pPr>
        <w:keepNext/>
        <w:spacing w:before="120" w:after="120" w:line="276" w:lineRule="auto"/>
        <w:ind w:left="142"/>
        <w:rPr>
          <w:b/>
          <w:sz w:val="22"/>
          <w:szCs w:val="22"/>
          <w:lang w:val="ro-RO"/>
        </w:rPr>
      </w:pPr>
    </w:p>
    <w:p w:rsidR="00B4550A" w:rsidRPr="00E0488D" w:rsidRDefault="008A1F7D" w:rsidP="00B4550A">
      <w:pPr>
        <w:spacing w:before="120" w:after="120" w:line="276" w:lineRule="auto"/>
        <w:ind w:left="680" w:firstLine="171"/>
        <w:rPr>
          <w:sz w:val="22"/>
          <w:szCs w:val="22"/>
          <w:lang w:val="ro-RO"/>
        </w:rPr>
      </w:pPr>
      <w:r w:rsidRPr="008A1F7D">
        <w:rPr>
          <w:noProof/>
          <w:lang w:val="ro-RO" w:eastAsia="ro-RO"/>
        </w:rPr>
        <w:drawing>
          <wp:inline distT="0" distB="0" distL="0" distR="0">
            <wp:extent cx="5140800" cy="3484800"/>
            <wp:effectExtent l="19050" t="19050" r="22225" b="20955"/>
            <wp:docPr id="12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R11 Difference Plot"/>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8278" b="10927"/>
                    <a:stretch/>
                  </pic:blipFill>
                  <pic:spPr bwMode="auto">
                    <a:xfrm>
                      <a:off x="0" y="0"/>
                      <a:ext cx="5140800" cy="34848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w:t>
      </w:r>
      <w:r w:rsidR="008A1F7D">
        <w:rPr>
          <w:b/>
          <w:sz w:val="22"/>
          <w:szCs w:val="22"/>
          <w:lang w:val="ro-RO"/>
        </w:rPr>
        <w:t>7</w:t>
      </w:r>
      <w:r w:rsidRPr="00E0488D">
        <w:rPr>
          <w:b/>
          <w:sz w:val="22"/>
          <w:szCs w:val="22"/>
          <w:lang w:val="ro-RO"/>
        </w:rPr>
        <w:tab/>
        <w:t>Modificări ale fluxului de trafic datorate proiectului pentru drumul expres Constanța-Tulcea-Brăila (ce include Podul Brăila)</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90 km/h urmare a implementării acestui proiect. Timpii de călătorie pe durata orelor de vârf scad cu 28%.</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66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1,07;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5,4%.</w:t>
      </w:r>
      <w:r w:rsidRPr="00E0488D">
        <w:rPr>
          <w:sz w:val="22"/>
          <w:szCs w:val="22"/>
          <w:lang w:val="ro-RO"/>
        </w:rPr>
        <w:tab/>
      </w:r>
    </w:p>
    <w:p w:rsidR="00B4550A" w:rsidRPr="00E0488D" w:rsidRDefault="00B4550A" w:rsidP="00B4550A">
      <w:pPr>
        <w:rPr>
          <w:b/>
          <w:i/>
          <w:color w:val="9E0880"/>
          <w:sz w:val="22"/>
          <w:szCs w:val="22"/>
          <w:lang w:val="ro-RO"/>
        </w:rPr>
      </w:pPr>
      <w:r w:rsidRPr="00E0488D">
        <w:rPr>
          <w:lang w:val="ro-RO"/>
        </w:rPr>
        <w:br w:type="page"/>
      </w:r>
    </w:p>
    <w:p w:rsidR="00B4550A" w:rsidRPr="00E0488D" w:rsidRDefault="00B4550A" w:rsidP="00B4550A">
      <w:pPr>
        <w:pStyle w:val="Hdg3"/>
        <w:ind w:left="851"/>
      </w:pPr>
    </w:p>
    <w:p w:rsidR="00B4550A" w:rsidRPr="00E0488D" w:rsidRDefault="00B4550A" w:rsidP="00B4550A">
      <w:pPr>
        <w:pStyle w:val="Hdg3"/>
        <w:ind w:left="851"/>
      </w:pPr>
      <w:r w:rsidRPr="00E0488D">
        <w:t xml:space="preserve">Proiecte de Nivel 2 – OR12 – Drum expres </w:t>
      </w:r>
      <w:r w:rsidR="008A1F7D">
        <w:t>Nădășelu – Suplacu de Barcău</w:t>
      </w:r>
      <w:r w:rsidRPr="00E0488D">
        <w:t xml:space="preserve">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w:t>
      </w:r>
      <w:r w:rsidR="008A1F7D">
        <w:t xml:space="preserve">pe coridoarele de conectivitate semnificative precum Cluj-Napoca – Oradea – puct de trecere a frontiere. În coroborare cu poriectele din Scenariul de Referință și OR3 (București – Sibiu), proiectul asigură legătura între Ungraia și restul Europei, cu centrul și sudul României. Analiza fluxurilor de trafic din Modelul Național arată că standardul potrivit pentru acest proiect este cel de drum expres. </w:t>
      </w:r>
    </w:p>
    <w:p w:rsidR="00B4550A" w:rsidRPr="00E0488D" w:rsidRDefault="00B4550A" w:rsidP="002B7E09">
      <w:pPr>
        <w:pStyle w:val="NumberedParas"/>
      </w:pPr>
      <w:r w:rsidRPr="00E0488D">
        <w:t>Traseul drumului expres</w:t>
      </w:r>
      <w:r w:rsidR="008A1F7D">
        <w:t xml:space="preserve"> și relația acestuia cu proiectele din Scenariul de Referință</w:t>
      </w:r>
      <w:r w:rsidRPr="00E0488D">
        <w:t xml:space="preserve"> este ilustrat în Figura 4.5</w:t>
      </w:r>
      <w:r w:rsidR="008A1F7D">
        <w:t>8</w:t>
      </w:r>
      <w:r w:rsidRPr="00E0488D">
        <w:t>.</w:t>
      </w:r>
    </w:p>
    <w:p w:rsidR="008A1F7D" w:rsidRDefault="008A1F7D" w:rsidP="002B7E09">
      <w:pPr>
        <w:pStyle w:val="NumberedParas"/>
        <w:numPr>
          <w:ilvl w:val="0"/>
          <w:numId w:val="0"/>
        </w:numPr>
        <w:ind w:left="680"/>
        <w:rPr>
          <w:noProof/>
        </w:rPr>
      </w:pPr>
    </w:p>
    <w:p w:rsidR="00B4550A" w:rsidRPr="00E0488D" w:rsidRDefault="008A1F7D" w:rsidP="002B7E09">
      <w:pPr>
        <w:pStyle w:val="NumberedParas"/>
        <w:numPr>
          <w:ilvl w:val="0"/>
          <w:numId w:val="0"/>
        </w:numPr>
        <w:ind w:left="680"/>
      </w:pPr>
      <w:r w:rsidRPr="008A1F7D">
        <w:rPr>
          <w:noProof/>
          <w:lang w:eastAsia="ro-RO"/>
        </w:rPr>
        <w:drawing>
          <wp:inline distT="0" distB="0" distL="0" distR="0">
            <wp:extent cx="5144400" cy="3416400"/>
            <wp:effectExtent l="19050" t="19050" r="18415" b="12700"/>
            <wp:docPr id="12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R12 Alignment Plot"/>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8609" b="12251"/>
                    <a:stretch/>
                  </pic:blipFill>
                  <pic:spPr bwMode="auto">
                    <a:xfrm>
                      <a:off x="0" y="0"/>
                      <a:ext cx="5144400" cy="34164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B4550A" w:rsidRPr="00E0488D">
        <w:br w:type="textWrapping" w:clear="all"/>
        <w:t>Figura 4.57</w:t>
      </w:r>
      <w:r w:rsidR="00B4550A" w:rsidRPr="00E0488D">
        <w:tab/>
        <w:t xml:space="preserve">Traseul orientativ al drumului expres Gilău-Borș </w:t>
      </w:r>
    </w:p>
    <w:p w:rsidR="00B4550A" w:rsidRPr="00E0488D" w:rsidRDefault="00B4550A" w:rsidP="002B7E09">
      <w:pPr>
        <w:pStyle w:val="NumberedParas"/>
        <w:numPr>
          <w:ilvl w:val="0"/>
          <w:numId w:val="0"/>
        </w:numPr>
        <w:ind w:left="680"/>
      </w:pPr>
      <w:r w:rsidRPr="00E0488D">
        <w:t>Sursa: Analiza AECOM, Modelul Național de Transport</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puse în discuție:</w:t>
      </w:r>
    </w:p>
    <w:p w:rsidR="00B4550A" w:rsidRPr="00E0488D" w:rsidRDefault="00B4550A" w:rsidP="002B7E09">
      <w:pPr>
        <w:pStyle w:val="NumberedParas"/>
      </w:pPr>
      <w:r w:rsidRPr="00E0488D">
        <w:t>Pe acest coridor timpii de călătorie sunt mari, viteza medie înregistrată pe acest traseu fiind de aproximativ 63 km/h.</w:t>
      </w:r>
    </w:p>
    <w:p w:rsidR="00B4550A" w:rsidRPr="00E0488D" w:rsidRDefault="00B4550A" w:rsidP="002B7E09">
      <w:pPr>
        <w:pStyle w:val="NumberedParas"/>
      </w:pPr>
      <w:r w:rsidRPr="00E0488D">
        <w:t>Cea mai mare parte a infrastructurii pe acest coridor are o stare tehnică defavorabilă– 100%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sidR="008A1F7D">
        <w:rPr>
          <w:sz w:val="22"/>
          <w:szCs w:val="22"/>
          <w:lang w:val="ro-RO"/>
        </w:rPr>
        <w:t>550</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lastRenderedPageBreak/>
        <w:t xml:space="preserve">Acest proiect returnează o valoare monetară excelentă (RBC de </w:t>
      </w:r>
      <w:r w:rsidR="008A1F7D">
        <w:t>3</w:t>
      </w:r>
      <w:r w:rsidRPr="00E0488D">
        <w:t>,</w:t>
      </w:r>
      <w:r w:rsidR="008A1F7D">
        <w:t>18</w:t>
      </w:r>
      <w:r w:rsidRPr="00E0488D">
        <w:t>) și operează aproximativ 20.000 – 25.000 de vehicule (MZA). Aproximativ jumătate din volum de trafic existent pe coridorul cel mai apropiat trece pe noul traseu.</w:t>
      </w:r>
      <w:r w:rsidR="008A1F7D">
        <w:t xml:space="preserve"> </w:t>
      </w:r>
      <w:r w:rsidRPr="00E0488D">
        <w:t>Schimbările de la nivelul fluxului de trafic sunt ilustrate în Figura 4.5</w:t>
      </w:r>
      <w:r w:rsidR="008A1F7D">
        <w:t>9</w:t>
      </w:r>
      <w:r w:rsidRPr="00E0488D">
        <w:t>8.</w:t>
      </w:r>
    </w:p>
    <w:p w:rsidR="00B4550A" w:rsidRPr="00E0488D" w:rsidRDefault="008A1F7D" w:rsidP="00B4550A">
      <w:pPr>
        <w:spacing w:before="120" w:after="120" w:line="276" w:lineRule="auto"/>
        <w:ind w:left="680" w:firstLine="171"/>
        <w:rPr>
          <w:sz w:val="22"/>
          <w:szCs w:val="22"/>
          <w:lang w:val="ro-RO"/>
        </w:rPr>
      </w:pPr>
      <w:r w:rsidRPr="008A1F7D">
        <w:rPr>
          <w:noProof/>
          <w:lang w:val="ro-RO" w:eastAsia="ro-RO"/>
        </w:rPr>
        <w:drawing>
          <wp:inline distT="0" distB="0" distL="0" distR="0">
            <wp:extent cx="5140800" cy="3600000"/>
            <wp:effectExtent l="19050" t="19050" r="22225" b="19685"/>
            <wp:docPr id="12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R12 Difference Plot"/>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7948" b="8608"/>
                    <a:stretch/>
                  </pic:blipFill>
                  <pic:spPr bwMode="auto">
                    <a:xfrm>
                      <a:off x="0" y="0"/>
                      <a:ext cx="5140800" cy="3600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sz w:val="22"/>
          <w:szCs w:val="22"/>
          <w:lang w:val="ro-RO"/>
        </w:rPr>
      </w:pPr>
      <w:r w:rsidRPr="00E0488D">
        <w:rPr>
          <w:b/>
          <w:sz w:val="22"/>
          <w:szCs w:val="22"/>
          <w:lang w:val="ro-RO"/>
        </w:rPr>
        <w:t>Figura 4.5</w:t>
      </w:r>
      <w:r w:rsidR="008A1F7D">
        <w:rPr>
          <w:b/>
          <w:sz w:val="22"/>
          <w:szCs w:val="22"/>
          <w:lang w:val="ro-RO"/>
        </w:rPr>
        <w:t>9</w:t>
      </w:r>
      <w:r w:rsidRPr="00E0488D">
        <w:rPr>
          <w:b/>
          <w:sz w:val="22"/>
          <w:szCs w:val="22"/>
          <w:lang w:val="ro-RO"/>
        </w:rPr>
        <w:tab/>
        <w:t xml:space="preserve">Modificări ale fluxului de trafic datorate drumului </w:t>
      </w:r>
      <w:r w:rsidR="008A1F7D">
        <w:rPr>
          <w:b/>
          <w:sz w:val="22"/>
          <w:szCs w:val="22"/>
          <w:lang w:val="ro-RO"/>
        </w:rPr>
        <w:t>expres Nădășelu – Suplacu de Barcău</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103 km/h urmare a implementării acestui proiect. Timpii de călătorie pe durata orelor de vârf scad cu 30%.</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1.</w:t>
      </w:r>
      <w:r w:rsidR="008A1F7D">
        <w:rPr>
          <w:sz w:val="22"/>
          <w:szCs w:val="22"/>
          <w:lang w:val="ro-RO"/>
        </w:rPr>
        <w:t>458</w:t>
      </w:r>
      <w:r w:rsidRPr="00E0488D">
        <w:rPr>
          <w:sz w:val="22"/>
          <w:szCs w:val="22"/>
          <w:lang w:val="ro-RO"/>
        </w:rPr>
        <w:t>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xml:space="preserve">= </w:t>
      </w:r>
      <w:r w:rsidR="008A1F7D">
        <w:rPr>
          <w:sz w:val="22"/>
          <w:szCs w:val="22"/>
          <w:lang w:val="ro-RO"/>
        </w:rPr>
        <w:t>3</w:t>
      </w:r>
      <w:r w:rsidRPr="00E0488D">
        <w:rPr>
          <w:sz w:val="22"/>
          <w:szCs w:val="22"/>
          <w:lang w:val="ro-RO"/>
        </w:rPr>
        <w:t>,</w:t>
      </w:r>
      <w:r w:rsidR="008A1F7D">
        <w:rPr>
          <w:sz w:val="22"/>
          <w:szCs w:val="22"/>
          <w:lang w:val="ro-RO"/>
        </w:rPr>
        <w:t>18</w:t>
      </w:r>
      <w:r w:rsidRPr="00E0488D">
        <w:rPr>
          <w:sz w:val="22"/>
          <w:szCs w:val="22"/>
          <w:lang w:val="ro-RO"/>
        </w:rPr>
        <w:t>;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xml:space="preserve">= </w:t>
      </w:r>
      <w:r w:rsidR="008A1F7D">
        <w:rPr>
          <w:sz w:val="22"/>
          <w:szCs w:val="22"/>
          <w:lang w:val="ro-RO"/>
        </w:rPr>
        <w:t>3,2</w:t>
      </w:r>
      <w:r w:rsidRPr="00E0488D">
        <w:rPr>
          <w:sz w:val="22"/>
          <w:szCs w:val="22"/>
          <w:lang w:val="ro-RO"/>
        </w:rPr>
        <w:t>%.</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ind w:left="851"/>
      </w:pPr>
      <w:r w:rsidRPr="00E0488D">
        <w:lastRenderedPageBreak/>
        <w:t xml:space="preserve">Proiecte de Nivel 2 – OR14 – Drumul expres Brașov-Pitești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între Brașov și Pitești, îmbunătățind astfel și conectivitatea la nivel regional.  </w:t>
      </w:r>
      <w:r w:rsidR="00490850">
        <w:t>Proiectul conectează centrele industirale Craiova și Pitești cu regiunile centrale și de nord-est ale României, în coroborare cu OR3  (Brașov-Bacău) și OR 7A (Bacău – Suceava). Analiza fluxurilor de trafiic din Modelul Național arată că standardul potrivit pentru acest proiect este cel de drum expres.</w:t>
      </w:r>
    </w:p>
    <w:p w:rsidR="00B4550A" w:rsidRPr="00E0488D" w:rsidRDefault="00B4550A" w:rsidP="002B7E09">
      <w:pPr>
        <w:pStyle w:val="NumberedParas"/>
      </w:pPr>
      <w:r w:rsidRPr="00E0488D">
        <w:t>Traseul orientativ este ilustrat în Figura 4.</w:t>
      </w:r>
      <w:r w:rsidR="00490850">
        <w:t>60</w:t>
      </w:r>
      <w:r w:rsidRPr="00E0488D">
        <w:t xml:space="preserve">. </w:t>
      </w:r>
    </w:p>
    <w:p w:rsidR="00B4550A" w:rsidRPr="00E0488D" w:rsidRDefault="00490850" w:rsidP="00B4550A">
      <w:pPr>
        <w:spacing w:before="120" w:after="120" w:line="276" w:lineRule="auto"/>
        <w:ind w:left="680" w:firstLine="171"/>
        <w:rPr>
          <w:sz w:val="22"/>
          <w:szCs w:val="22"/>
          <w:lang w:val="ro-RO"/>
        </w:rPr>
      </w:pPr>
      <w:r w:rsidRPr="00490850">
        <w:rPr>
          <w:noProof/>
          <w:lang w:val="ro-RO" w:eastAsia="ro-RO"/>
        </w:rPr>
        <w:drawing>
          <wp:inline distT="0" distB="0" distL="0" distR="0">
            <wp:extent cx="5140800" cy="3470400"/>
            <wp:effectExtent l="19050" t="19050" r="22225" b="15875"/>
            <wp:docPr id="12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R14 Alignment Plot"/>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7821" b="11732"/>
                    <a:stretch/>
                  </pic:blipFill>
                  <pic:spPr bwMode="auto">
                    <a:xfrm>
                      <a:off x="0" y="0"/>
                      <a:ext cx="5140800" cy="34704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4.59</w:t>
      </w:r>
      <w:r w:rsidRPr="00E0488D">
        <w:rPr>
          <w:b/>
          <w:sz w:val="22"/>
          <w:szCs w:val="22"/>
          <w:lang w:val="ro-RO"/>
        </w:rPr>
        <w:tab/>
        <w:t>Traseul orientativ al drumului expres Brașov-Pitești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legătura cu nodul Brașov din cadrul rețelei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Pe acest coridor timpii de călătorie sunt mari, viteza medie înregistrată pe acest traseu fiind de aproximativ 63 km/h.</w:t>
      </w:r>
    </w:p>
    <w:p w:rsidR="00B4550A" w:rsidRPr="00E0488D" w:rsidRDefault="00B4550A" w:rsidP="002B7E09">
      <w:pPr>
        <w:pStyle w:val="NumberedParas"/>
      </w:pPr>
      <w:r w:rsidRPr="00E0488D">
        <w:t>Cea mai mare parte a infrastructurii pe acest coridor are o stare tehnică defavorabilă– 85%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t>1.694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lastRenderedPageBreak/>
        <w:t>Acest proiect returnează o valoare monetară RBC de 1,97 și operează aproximativ 20.000 de vehicule. Aproape întregul trafic existent pe coridorul cel mai apropiat trece pe noul traseu.</w:t>
      </w:r>
    </w:p>
    <w:p w:rsidR="00B4550A" w:rsidRPr="00E0488D" w:rsidRDefault="00B4550A" w:rsidP="002B7E09">
      <w:pPr>
        <w:pStyle w:val="NumberedParas"/>
      </w:pPr>
      <w:r w:rsidRPr="00E0488D">
        <w:t>Schimbările de la nivelul fluxului de trafic sunt ilustrate în Figura 4.6</w:t>
      </w:r>
      <w:r w:rsidR="00490850">
        <w:t>1</w:t>
      </w:r>
      <w:r w:rsidRPr="00E0488D">
        <w:t>.</w:t>
      </w:r>
    </w:p>
    <w:p w:rsidR="00B4550A" w:rsidRPr="00E0488D" w:rsidRDefault="00B4550A" w:rsidP="00B4550A">
      <w:pPr>
        <w:keepNext/>
        <w:spacing w:before="120" w:after="120" w:line="276" w:lineRule="auto"/>
        <w:ind w:left="851"/>
        <w:rPr>
          <w:b/>
          <w:sz w:val="22"/>
          <w:szCs w:val="22"/>
          <w:lang w:val="ro-RO"/>
        </w:rPr>
      </w:pPr>
    </w:p>
    <w:p w:rsidR="00B4550A" w:rsidRPr="00E0488D" w:rsidRDefault="00490850" w:rsidP="00B4550A">
      <w:pPr>
        <w:spacing w:before="120" w:after="120" w:line="276" w:lineRule="auto"/>
        <w:ind w:left="680" w:firstLine="171"/>
        <w:rPr>
          <w:i/>
          <w:sz w:val="22"/>
          <w:szCs w:val="22"/>
          <w:lang w:val="ro-RO"/>
        </w:rPr>
      </w:pPr>
      <w:r w:rsidRPr="00490850">
        <w:rPr>
          <w:noProof/>
          <w:lang w:val="ro-RO" w:eastAsia="ro-RO"/>
        </w:rPr>
        <w:drawing>
          <wp:inline distT="0" distB="0" distL="0" distR="0">
            <wp:extent cx="5140800" cy="3470400"/>
            <wp:effectExtent l="19050" t="19050" r="22225" b="15875"/>
            <wp:docPr id="16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R14 Difference Plot"/>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7616" b="11921"/>
                    <a:stretch/>
                  </pic:blipFill>
                  <pic:spPr bwMode="auto">
                    <a:xfrm>
                      <a:off x="0" y="0"/>
                      <a:ext cx="5140800" cy="34704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B4550A" w:rsidRPr="00E0488D">
        <w:rPr>
          <w:i/>
          <w:sz w:val="22"/>
          <w:szCs w:val="22"/>
          <w:lang w:val="ro-RO"/>
        </w:rPr>
        <w:t xml:space="preserve"> </w:t>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4.60</w:t>
      </w:r>
      <w:r w:rsidRPr="00E0488D">
        <w:rPr>
          <w:b/>
          <w:sz w:val="22"/>
          <w:szCs w:val="22"/>
          <w:lang w:val="ro-RO"/>
        </w:rPr>
        <w:tab/>
        <w:t>Modificări ale fluxului de trafic datorate drumului expres Brașov-Pitești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93 km/h urmare a implementării acestui proiect. Timpii de călătorie pe durata orelor de vârf scad cu 37%.</w:t>
      </w:r>
    </w:p>
    <w:p w:rsidR="00B4550A" w:rsidRPr="00E0488D" w:rsidRDefault="00B4550A" w:rsidP="002B7E09">
      <w:pPr>
        <w:pStyle w:val="NumberedParas"/>
      </w:pPr>
      <w:r w:rsidRPr="00E0488D">
        <w:t>Indicatorii economici principali ai proiectului sunt următorii: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1.222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1,97;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9,1%.</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pPr>
      <w:r w:rsidRPr="0030066D">
        <w:lastRenderedPageBreak/>
        <w:t xml:space="preserve">Proiecte de Nivel 2 – OR15 – </w:t>
      </w:r>
      <w:r w:rsidR="0030066D" w:rsidRPr="0030066D">
        <w:t>Autostrada</w:t>
      </w:r>
      <w:r w:rsidRPr="0030066D">
        <w:t>Sibiu-Pitești</w:t>
      </w:r>
      <w:r w:rsidRPr="00E0488D">
        <w:t xml:space="preserve">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Obiectivul general al proiectului este de a spori eficiența economică a rețelei de transport din România. Obiectivul operațional specific este de a aduce îmbunătățiri în ceea ce privește viteza de călătorie între Sibiu și Pitești, îmbunătățind astfel și conectivitatea la nivel regional.  </w:t>
      </w:r>
      <w:r w:rsidR="00490850">
        <w:t xml:space="preserve">În coroborare cu proiectele din Scenariul de Referință și A1 (București – Pitești), formează un traseu de înaltă calitate de la centrul industrial și logistic Pitești către partea de vest a capitalei București și Ungaria/Vestul Europei. Analiza fluxurilor de trafic din Modelul Național și ținând cont de rolul pe care îl </w:t>
      </w:r>
      <w:r w:rsidR="00446351">
        <w:t>deține acest traseu, s-a decis ca standardul potrivit care trebuie adoptat pentru acest proiect este cel de autostradă duală cu două benzi de circulație pe sens.</w:t>
      </w:r>
    </w:p>
    <w:p w:rsidR="00B4550A" w:rsidRPr="00E0488D" w:rsidRDefault="00B4550A" w:rsidP="002B7E09">
      <w:pPr>
        <w:pStyle w:val="NumberedParas"/>
      </w:pPr>
      <w:r w:rsidRPr="00E0488D">
        <w:t>Traseul orientativ este ilustrat în Figura 4.6</w:t>
      </w:r>
      <w:r w:rsidR="00446351">
        <w:t>2</w:t>
      </w:r>
      <w:r w:rsidRPr="00E0488D">
        <w:t xml:space="preserve">. </w:t>
      </w:r>
    </w:p>
    <w:p w:rsidR="00B4550A" w:rsidRPr="00E0488D" w:rsidRDefault="00446351" w:rsidP="00B4550A">
      <w:pPr>
        <w:spacing w:before="120" w:after="120" w:line="276" w:lineRule="auto"/>
        <w:ind w:left="680" w:firstLine="171"/>
        <w:rPr>
          <w:sz w:val="22"/>
          <w:szCs w:val="22"/>
          <w:lang w:val="ro-RO"/>
        </w:rPr>
      </w:pPr>
      <w:r w:rsidRPr="00446351">
        <w:rPr>
          <w:noProof/>
          <w:lang w:val="ro-RO" w:eastAsia="ro-RO"/>
        </w:rPr>
        <w:drawing>
          <wp:inline distT="0" distB="0" distL="0" distR="0">
            <wp:extent cx="5140800" cy="3441600"/>
            <wp:effectExtent l="19050" t="19050" r="22225" b="26035"/>
            <wp:docPr id="16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R15 Alignment Plot"/>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8278" b="11920"/>
                    <a:stretch/>
                  </pic:blipFill>
                  <pic:spPr bwMode="auto">
                    <a:xfrm>
                      <a:off x="0" y="0"/>
                      <a:ext cx="5140800" cy="34416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keepNext/>
        <w:spacing w:before="120" w:after="120" w:line="276" w:lineRule="auto"/>
        <w:ind w:left="851"/>
        <w:rPr>
          <w:b/>
          <w:sz w:val="22"/>
          <w:szCs w:val="22"/>
          <w:lang w:val="ro-RO"/>
        </w:rPr>
      </w:pPr>
      <w:r w:rsidRPr="00E0488D">
        <w:rPr>
          <w:b/>
          <w:sz w:val="22"/>
          <w:szCs w:val="22"/>
          <w:lang w:val="ro-RO"/>
        </w:rPr>
        <w:t>Figura 4.6</w:t>
      </w:r>
      <w:r w:rsidR="00446351">
        <w:rPr>
          <w:b/>
          <w:sz w:val="22"/>
          <w:szCs w:val="22"/>
          <w:lang w:val="ro-RO"/>
        </w:rPr>
        <w:t>2</w:t>
      </w:r>
      <w:r w:rsidRPr="00E0488D">
        <w:rPr>
          <w:b/>
          <w:sz w:val="22"/>
          <w:szCs w:val="22"/>
          <w:lang w:val="ro-RO"/>
        </w:rPr>
        <w:tab/>
        <w:t xml:space="preserve">Traseul orientativ al drumului expres Sibiu-Pitești </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 xml:space="preserve">Traseul stabilește legătura cu nodul Sibiu din cadrul rețelei TEN-T.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problemei(lor) abordate:</w:t>
      </w:r>
    </w:p>
    <w:p w:rsidR="00B4550A" w:rsidRPr="00E0488D" w:rsidRDefault="00B4550A" w:rsidP="002B7E09">
      <w:pPr>
        <w:pStyle w:val="NumberedParas"/>
      </w:pPr>
      <w:r w:rsidRPr="00E0488D">
        <w:t>Analiza modelului anului de bază arată timpi de călătorie mari, viteza medie înregistrată pe acest traseu fiind de aproximativ 72 km/h.</w:t>
      </w:r>
    </w:p>
    <w:p w:rsidR="00B4550A" w:rsidRPr="00E0488D" w:rsidRDefault="00B4550A" w:rsidP="002B7E09">
      <w:pPr>
        <w:pStyle w:val="NumberedParas"/>
      </w:pPr>
      <w:r w:rsidRPr="00E0488D">
        <w:t>Cea mai mare parte a infrastructurii pe acest coridor are o stare tehnică defavorabilă– 94%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00446351">
        <w:rPr>
          <w:sz w:val="22"/>
          <w:szCs w:val="22"/>
          <w:lang w:val="ro-RO"/>
        </w:rPr>
        <w:t>2</w:t>
      </w:r>
      <w:r w:rsidRPr="00E0488D">
        <w:rPr>
          <w:sz w:val="22"/>
          <w:szCs w:val="22"/>
          <w:lang w:val="ro-RO"/>
        </w:rPr>
        <w:t>.</w:t>
      </w:r>
      <w:r w:rsidR="00446351">
        <w:rPr>
          <w:sz w:val="22"/>
          <w:szCs w:val="22"/>
          <w:lang w:val="ro-RO"/>
        </w:rPr>
        <w:t>471</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B4550A" w:rsidP="002B7E09">
      <w:pPr>
        <w:pStyle w:val="NumberedParas"/>
      </w:pPr>
      <w:r w:rsidRPr="00E0488D">
        <w:lastRenderedPageBreak/>
        <w:t xml:space="preserve">Acest proiect returnează o valoare monetară excelentă (RBC de 2,01) și operează aproximativ 60.000 de vehicule (MZA). </w:t>
      </w:r>
      <w:r w:rsidR="00446351">
        <w:t xml:space="preserve">Proiectul adaugă aproximativ 15 -20.000 de vehicule rutei A1 între București și Pitești, fapt ce va necesita lărgirea autostrăzii A1 la 3 benzi pe sens. </w:t>
      </w:r>
      <w:r w:rsidRPr="00E0488D">
        <w:t>Schimbările de la nivelul fluxului de trafic sunt ilustrate în Figura 4.6</w:t>
      </w:r>
      <w:r w:rsidR="00446351">
        <w:t>3</w:t>
      </w:r>
      <w:r w:rsidRPr="00E0488D">
        <w:t xml:space="preserve">. </w:t>
      </w:r>
    </w:p>
    <w:p w:rsidR="00B4550A" w:rsidRPr="00E0488D" w:rsidRDefault="00B4550A" w:rsidP="00B4550A">
      <w:pPr>
        <w:keepNext/>
        <w:spacing w:before="120" w:after="120" w:line="276" w:lineRule="auto"/>
        <w:ind w:left="851"/>
        <w:rPr>
          <w:b/>
          <w:sz w:val="22"/>
          <w:szCs w:val="22"/>
          <w:lang w:val="ro-RO"/>
        </w:rPr>
      </w:pPr>
    </w:p>
    <w:p w:rsidR="00B4550A" w:rsidRPr="00E0488D" w:rsidRDefault="00446351" w:rsidP="00B4550A">
      <w:pPr>
        <w:spacing w:before="120" w:after="120" w:line="276" w:lineRule="auto"/>
        <w:ind w:left="680" w:firstLine="171"/>
        <w:rPr>
          <w:sz w:val="22"/>
          <w:szCs w:val="22"/>
          <w:lang w:val="ro-RO"/>
        </w:rPr>
      </w:pPr>
      <w:r w:rsidRPr="00446351">
        <w:rPr>
          <w:noProof/>
          <w:lang w:val="ro-RO" w:eastAsia="ro-RO"/>
        </w:rPr>
        <w:drawing>
          <wp:inline distT="0" distB="0" distL="0" distR="0">
            <wp:extent cx="5144400" cy="3474000"/>
            <wp:effectExtent l="19050" t="19050" r="18415" b="12700"/>
            <wp:docPr id="16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R15 Difference Plot"/>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8608" b="10927"/>
                    <a:stretch/>
                  </pic:blipFill>
                  <pic:spPr bwMode="auto">
                    <a:xfrm>
                      <a:off x="0" y="0"/>
                      <a:ext cx="5144400" cy="3474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4550A" w:rsidRPr="00E0488D" w:rsidRDefault="00B4550A" w:rsidP="00B4550A">
      <w:pPr>
        <w:spacing w:before="120" w:after="120" w:line="276" w:lineRule="auto"/>
        <w:ind w:left="680" w:firstLine="171"/>
        <w:rPr>
          <w:i/>
          <w:sz w:val="22"/>
          <w:szCs w:val="22"/>
          <w:lang w:val="ro-RO"/>
        </w:rPr>
      </w:pPr>
      <w:r w:rsidRPr="00E0488D">
        <w:rPr>
          <w:b/>
          <w:sz w:val="22"/>
          <w:szCs w:val="22"/>
          <w:lang w:val="ro-RO"/>
        </w:rPr>
        <w:t>Figura 4.62</w:t>
      </w:r>
      <w:r w:rsidRPr="00E0488D">
        <w:rPr>
          <w:b/>
          <w:sz w:val="22"/>
          <w:szCs w:val="22"/>
          <w:lang w:val="ro-RO"/>
        </w:rPr>
        <w:tab/>
        <w:t>Modificări ale fluxului de trafic datorate drumului expres Sibiu-Pitești</w:t>
      </w:r>
    </w:p>
    <w:p w:rsidR="00B4550A" w:rsidRPr="00E0488D" w:rsidRDefault="00B4550A" w:rsidP="00B4550A">
      <w:pPr>
        <w:spacing w:before="120" w:after="120" w:line="276" w:lineRule="auto"/>
        <w:ind w:left="680" w:firstLine="171"/>
        <w:rPr>
          <w:sz w:val="22"/>
          <w:szCs w:val="22"/>
          <w:lang w:val="ro-RO"/>
        </w:rPr>
      </w:pPr>
      <w:r w:rsidRPr="00E0488D">
        <w:rPr>
          <w:i/>
          <w:sz w:val="22"/>
          <w:szCs w:val="22"/>
          <w:lang w:val="ro-RO"/>
        </w:rPr>
        <w:t>Sursa: Analiza AECOM, Modelul Național de Transport</w:t>
      </w:r>
    </w:p>
    <w:p w:rsidR="00B4550A" w:rsidRPr="00E0488D" w:rsidRDefault="00B4550A" w:rsidP="002B7E09">
      <w:pPr>
        <w:pStyle w:val="NumberedParas"/>
      </w:pPr>
      <w:r w:rsidRPr="00E0488D">
        <w:t>Viteza medie înregistrată pe traseu crește până la 89 km/h urmare a implementării acestui proiect. Timpii de călătorie pe durata orelor de vârf scad cu 27%.</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xml:space="preserve">= </w:t>
      </w:r>
      <w:r w:rsidR="00446351">
        <w:rPr>
          <w:sz w:val="22"/>
          <w:szCs w:val="22"/>
          <w:lang w:val="ro-RO"/>
        </w:rPr>
        <w:t>3.301</w:t>
      </w:r>
      <w:r w:rsidRPr="00E0488D">
        <w:rPr>
          <w:sz w:val="22"/>
          <w:szCs w:val="22"/>
          <w:lang w:val="ro-RO"/>
        </w:rPr>
        <w:t xml:space="preserve">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2,</w:t>
      </w:r>
      <w:r w:rsidR="00446351">
        <w:rPr>
          <w:sz w:val="22"/>
          <w:szCs w:val="22"/>
          <w:lang w:val="ro-RO"/>
        </w:rPr>
        <w:t>96</w:t>
      </w:r>
      <w:r w:rsidRPr="00E0488D">
        <w:rPr>
          <w:sz w:val="22"/>
          <w:szCs w:val="22"/>
          <w:lang w:val="ro-RO"/>
        </w:rPr>
        <w:t>;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xml:space="preserve">= </w:t>
      </w:r>
      <w:r w:rsidR="00446351">
        <w:rPr>
          <w:sz w:val="22"/>
          <w:szCs w:val="22"/>
          <w:lang w:val="ro-RO"/>
        </w:rPr>
        <w:t>12</w:t>
      </w:r>
      <w:r w:rsidRPr="00E0488D">
        <w:rPr>
          <w:sz w:val="22"/>
          <w:szCs w:val="22"/>
          <w:lang w:val="ro-RO"/>
        </w:rPr>
        <w:t>,</w:t>
      </w:r>
      <w:r w:rsidR="00446351">
        <w:rPr>
          <w:sz w:val="22"/>
          <w:szCs w:val="22"/>
          <w:lang w:val="ro-RO"/>
        </w:rPr>
        <w:t>1</w:t>
      </w:r>
      <w:r w:rsidRPr="00E0488D">
        <w:rPr>
          <w:sz w:val="22"/>
          <w:szCs w:val="22"/>
          <w:lang w:val="ro-RO"/>
        </w:rPr>
        <w:t>%.</w:t>
      </w:r>
      <w:r w:rsidRPr="00E0488D">
        <w:rPr>
          <w:sz w:val="22"/>
          <w:szCs w:val="22"/>
          <w:lang w:val="ro-RO"/>
        </w:rPr>
        <w:tab/>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spacing w:before="120" w:after="120" w:line="276" w:lineRule="auto"/>
        <w:ind w:left="680"/>
        <w:rPr>
          <w:sz w:val="22"/>
          <w:szCs w:val="22"/>
          <w:lang w:val="ro-RO"/>
        </w:rPr>
      </w:pPr>
    </w:p>
    <w:p w:rsidR="00B4550A" w:rsidRPr="00E0488D" w:rsidRDefault="00B4550A" w:rsidP="00B4550A">
      <w:pPr>
        <w:pStyle w:val="Hdg3"/>
        <w:ind w:left="851"/>
      </w:pPr>
      <w:r w:rsidRPr="00E0488D">
        <w:t xml:space="preserve">Proiecte </w:t>
      </w:r>
      <w:r w:rsidR="00446351">
        <w:t xml:space="preserve">suplimentare </w:t>
      </w:r>
      <w:r w:rsidRPr="00E0488D">
        <w:t>de Nivel 2 – OR1</w:t>
      </w:r>
      <w:r w:rsidR="00446351">
        <w:t>3C</w:t>
      </w:r>
      <w:r w:rsidRPr="00E0488D">
        <w:t xml:space="preserve"> – Drumul expres Slatina-</w:t>
      </w:r>
      <w:r w:rsidR="00446351">
        <w:t>Buzău – Focșani</w:t>
      </w:r>
      <w:r w:rsidRPr="00E0488D">
        <w:t xml:space="preserve">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446351" w:rsidRDefault="00446351" w:rsidP="002B7E09">
      <w:pPr>
        <w:pStyle w:val="NumberedParas"/>
      </w:pPr>
      <w:r>
        <w:t>Acesta este un proiect relativ mic care asigură un traseu la standard de drum expres între centrul economic Buzău și Focșani.</w:t>
      </w:r>
    </w:p>
    <w:p w:rsidR="00734573" w:rsidRPr="00734573" w:rsidRDefault="00446351" w:rsidP="002B7E09">
      <w:pPr>
        <w:pStyle w:val="NumberedParas"/>
        <w:rPr>
          <w:b/>
        </w:rPr>
      </w:pPr>
      <w:r>
        <w:t>Proiectul urmărește o secțiune a rețelei TEN-T și acoperă un deficit de conectivitate asigurată prin proiectele de Nivel 2</w:t>
      </w:r>
    </w:p>
    <w:p w:rsidR="00B4550A" w:rsidRPr="00E0488D" w:rsidRDefault="00B4550A" w:rsidP="002B7E09">
      <w:pPr>
        <w:pStyle w:val="NumberedParas"/>
        <w:numPr>
          <w:ilvl w:val="0"/>
          <w:numId w:val="0"/>
        </w:numPr>
        <w:ind w:left="851"/>
      </w:pPr>
      <w:r w:rsidRPr="00E0488D">
        <w:t>Descriere succintă a problemei(lor) abordate:</w:t>
      </w:r>
    </w:p>
    <w:p w:rsidR="00B4550A" w:rsidRPr="00E0488D" w:rsidRDefault="00734573" w:rsidP="002B7E09">
      <w:pPr>
        <w:pStyle w:val="NumberedParas"/>
      </w:pPr>
      <w:r>
        <w:t>Proiectul ajută la reducerea timpului pierdut pe traseul București – Buzău - Bacău</w:t>
      </w:r>
      <w:r w:rsidR="00B4550A" w:rsidRPr="00E0488D">
        <w:t xml:space="preserve">. </w:t>
      </w:r>
    </w:p>
    <w:p w:rsidR="00B4550A" w:rsidRPr="00E0488D" w:rsidRDefault="00B4550A" w:rsidP="002B7E09">
      <w:pPr>
        <w:pStyle w:val="NumberedParas"/>
      </w:pPr>
      <w:r w:rsidRPr="00E0488D">
        <w:t>Cea mai mare parte a infrastructurii pe acest coridor are o stare tehnică defavorabilă– 80% din traseu este la standard de drum cu o singură bandă de circulație pe sens.</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sidR="00734573">
        <w:rPr>
          <w:sz w:val="22"/>
          <w:szCs w:val="22"/>
          <w:lang w:val="ro-RO"/>
        </w:rPr>
        <w:t>282</w:t>
      </w:r>
      <w:r w:rsidRPr="00E0488D">
        <w:rPr>
          <w:sz w:val="22"/>
          <w:szCs w:val="22"/>
          <w:lang w:val="ro-RO"/>
        </w:rPr>
        <w:t xml:space="preserve"> milioane de Euro</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Rezultat(e):</w:t>
      </w:r>
    </w:p>
    <w:p w:rsidR="00B4550A" w:rsidRPr="00E0488D" w:rsidRDefault="00734573" w:rsidP="002B7E09">
      <w:pPr>
        <w:pStyle w:val="NumberedParas"/>
      </w:pPr>
      <w:r>
        <w:t>Acest proiect prezintă performanțe economice foarte bune, având următorii indicatori economici</w:t>
      </w:r>
      <w:r w:rsidR="00B4550A" w:rsidRPr="00E0488D">
        <w:t>.</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xml:space="preserve">= </w:t>
      </w:r>
      <w:r w:rsidR="00734573">
        <w:rPr>
          <w:sz w:val="22"/>
          <w:szCs w:val="22"/>
          <w:lang w:val="ro-RO"/>
        </w:rPr>
        <w:t>1.350</w:t>
      </w:r>
      <w:r w:rsidRPr="00E0488D">
        <w:rPr>
          <w:sz w:val="22"/>
          <w:szCs w:val="22"/>
          <w:lang w:val="ro-RO"/>
        </w:rPr>
        <w:t>milioane de Euro;</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xml:space="preserve">= </w:t>
      </w:r>
      <w:r w:rsidR="00734573">
        <w:rPr>
          <w:sz w:val="22"/>
          <w:szCs w:val="22"/>
          <w:lang w:val="ro-RO"/>
        </w:rPr>
        <w:t>2,65</w:t>
      </w:r>
      <w:r w:rsidRPr="00E0488D">
        <w:rPr>
          <w:sz w:val="22"/>
          <w:szCs w:val="22"/>
          <w:lang w:val="ro-RO"/>
        </w:rPr>
        <w:t>; și</w:t>
      </w:r>
    </w:p>
    <w:p w:rsidR="00B4550A" w:rsidRPr="00E0488D" w:rsidRDefault="00B4550A" w:rsidP="00687448">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xml:space="preserve">= </w:t>
      </w:r>
      <w:r w:rsidR="00734573">
        <w:rPr>
          <w:sz w:val="22"/>
          <w:szCs w:val="22"/>
          <w:lang w:val="ro-RO"/>
        </w:rPr>
        <w:t>11,0</w:t>
      </w:r>
      <w:r w:rsidRPr="00E0488D">
        <w:rPr>
          <w:sz w:val="22"/>
          <w:szCs w:val="22"/>
          <w:lang w:val="ro-RO"/>
        </w:rPr>
        <w:t>%.</w:t>
      </w:r>
      <w:r w:rsidRPr="00E0488D">
        <w:rPr>
          <w:sz w:val="22"/>
          <w:szCs w:val="22"/>
          <w:lang w:val="ro-RO"/>
        </w:rPr>
        <w:tab/>
      </w:r>
    </w:p>
    <w:p w:rsidR="00B4550A" w:rsidRPr="00E0488D" w:rsidRDefault="00B4550A" w:rsidP="002B7E09">
      <w:pPr>
        <w:pStyle w:val="NumberedParas"/>
        <w:numPr>
          <w:ilvl w:val="0"/>
          <w:numId w:val="0"/>
        </w:numPr>
        <w:ind w:left="851"/>
      </w:pPr>
      <w:r w:rsidRPr="00E0488D">
        <w:t>.</w:t>
      </w:r>
      <w:r w:rsidRPr="00E0488D">
        <w:br w:type="page"/>
      </w:r>
    </w:p>
    <w:p w:rsidR="00B4550A" w:rsidRPr="00734573" w:rsidRDefault="00734573" w:rsidP="002B7E09">
      <w:pPr>
        <w:pStyle w:val="NumberedParas"/>
        <w:numPr>
          <w:ilvl w:val="0"/>
          <w:numId w:val="0"/>
        </w:numPr>
        <w:ind w:left="680"/>
      </w:pPr>
      <w:r w:rsidRPr="00734573">
        <w:lastRenderedPageBreak/>
        <w:t>Proiecte suplimentare de Nivel 2</w:t>
      </w:r>
      <w:r>
        <w:t xml:space="preserve"> – OR 19 – Drum expres București – Alexandria </w:t>
      </w:r>
    </w:p>
    <w:p w:rsidR="00B40E51" w:rsidRPr="00E0488D" w:rsidRDefault="00B40E51" w:rsidP="00B40E51">
      <w:pPr>
        <w:spacing w:before="120" w:after="120" w:line="276" w:lineRule="auto"/>
        <w:ind w:left="851"/>
        <w:rPr>
          <w:b/>
          <w:sz w:val="22"/>
          <w:szCs w:val="22"/>
          <w:lang w:val="ro-RO"/>
        </w:rPr>
      </w:pPr>
      <w:r w:rsidRPr="00E0488D">
        <w:rPr>
          <w:b/>
          <w:sz w:val="22"/>
          <w:szCs w:val="22"/>
          <w:lang w:val="ro-RO"/>
        </w:rPr>
        <w:t>Descriere succintă a propunerii:</w:t>
      </w:r>
    </w:p>
    <w:p w:rsidR="00B40E51" w:rsidRDefault="00B40E51" w:rsidP="002B7E09">
      <w:pPr>
        <w:pStyle w:val="NumberedParas"/>
      </w:pPr>
      <w:r>
        <w:t>Această intervenție asigură o conexiune la nivel de drum expres între capitală și orașul Alexandria, pe corridorul .TEN-T Core corespunzător.</w:t>
      </w:r>
    </w:p>
    <w:p w:rsidR="00B40E51" w:rsidRPr="00B40E51" w:rsidRDefault="00B40E51" w:rsidP="002B7E09">
      <w:pPr>
        <w:pStyle w:val="NumberedParas"/>
        <w:rPr>
          <w:b/>
        </w:rPr>
      </w:pPr>
      <w:r>
        <w:t>Traseul orientativ al intervenției este prezentat în Figura 4.64.</w:t>
      </w:r>
    </w:p>
    <w:p w:rsidR="00B40E51" w:rsidRPr="00734573" w:rsidRDefault="00B40E51" w:rsidP="002B7E09">
      <w:pPr>
        <w:pStyle w:val="NumberedParas"/>
        <w:numPr>
          <w:ilvl w:val="0"/>
          <w:numId w:val="0"/>
        </w:numPr>
        <w:ind w:left="851"/>
      </w:pPr>
      <w:r w:rsidRPr="002B762C">
        <w:rPr>
          <w:noProof/>
          <w:lang w:eastAsia="ro-RO"/>
        </w:rPr>
        <w:drawing>
          <wp:inline distT="0" distB="0" distL="0" distR="0">
            <wp:extent cx="5942523" cy="4436828"/>
            <wp:effectExtent l="19050" t="19050" r="20127" b="20872"/>
            <wp:docPr id="16" name="Picture 115" descr="OR19 Alignment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19 Alignment Plot.png"/>
                    <pic:cNvPicPr/>
                  </pic:nvPicPr>
                  <pic:blipFill>
                    <a:blip r:embed="rId161" cstate="print"/>
                    <a:srcRect t="7902" b="11925"/>
                    <a:stretch>
                      <a:fillRect/>
                    </a:stretch>
                  </pic:blipFill>
                  <pic:spPr>
                    <a:xfrm>
                      <a:off x="0" y="0"/>
                      <a:ext cx="5942523" cy="4436828"/>
                    </a:xfrm>
                    <a:prstGeom prst="rect">
                      <a:avLst/>
                    </a:prstGeom>
                    <a:ln>
                      <a:solidFill>
                        <a:schemeClr val="accent1"/>
                      </a:solidFill>
                    </a:ln>
                  </pic:spPr>
                </pic:pic>
              </a:graphicData>
            </a:graphic>
          </wp:inline>
        </w:drawing>
      </w:r>
    </w:p>
    <w:p w:rsidR="00B40E51" w:rsidRDefault="00B40E51" w:rsidP="002B7E09">
      <w:pPr>
        <w:pStyle w:val="NumberedParas"/>
        <w:numPr>
          <w:ilvl w:val="0"/>
          <w:numId w:val="0"/>
        </w:numPr>
        <w:ind w:left="851"/>
      </w:pPr>
      <w:r w:rsidRPr="007A06E8">
        <w:t>Figur</w:t>
      </w:r>
      <w:r>
        <w:t>a</w:t>
      </w:r>
      <w:r w:rsidRPr="007A06E8">
        <w:t xml:space="preserve"> </w:t>
      </w:r>
      <w:r>
        <w:t xml:space="preserve">4.64 Traseul orientativ al drumului expres București – Alexandria </w:t>
      </w:r>
    </w:p>
    <w:p w:rsidR="00B40E51" w:rsidRPr="00B40E51" w:rsidRDefault="00B40E51" w:rsidP="00B40E51">
      <w:pPr>
        <w:ind w:left="284" w:firstLine="567"/>
        <w:rPr>
          <w:i/>
          <w:sz w:val="22"/>
          <w:szCs w:val="22"/>
        </w:rPr>
      </w:pPr>
      <w:r w:rsidRPr="00B40E51">
        <w:rPr>
          <w:i/>
          <w:sz w:val="22"/>
          <w:szCs w:val="22"/>
        </w:rPr>
        <w:t>Sursa: Analiza Modelului Național de Transport, AECOM</w:t>
      </w:r>
    </w:p>
    <w:p w:rsidR="00B40E51" w:rsidRDefault="00B40E51" w:rsidP="00B40E51">
      <w:pPr>
        <w:ind w:left="284" w:firstLine="567"/>
        <w:rPr>
          <w:b/>
          <w:sz w:val="22"/>
          <w:szCs w:val="22"/>
          <w:lang w:val="ro-RO"/>
        </w:rPr>
      </w:pPr>
    </w:p>
    <w:p w:rsidR="00B40E51" w:rsidRPr="00E0488D" w:rsidRDefault="00B40E51" w:rsidP="00B40E51">
      <w:pPr>
        <w:ind w:left="284" w:firstLine="567"/>
        <w:rPr>
          <w:b/>
          <w:sz w:val="22"/>
          <w:szCs w:val="22"/>
          <w:lang w:val="ro-RO"/>
        </w:rPr>
      </w:pPr>
      <w:r w:rsidRPr="00E0488D">
        <w:rPr>
          <w:b/>
          <w:sz w:val="22"/>
          <w:szCs w:val="22"/>
          <w:lang w:val="ro-RO"/>
        </w:rPr>
        <w:t>Descriere succintă a problemei(lor) abordate:</w:t>
      </w:r>
    </w:p>
    <w:p w:rsidR="00B40E51" w:rsidRPr="00E0488D" w:rsidRDefault="00B40E51" w:rsidP="002B7E09">
      <w:pPr>
        <w:pStyle w:val="NumberedParas"/>
      </w:pPr>
      <w:r>
        <w:t>Proiectul ajută la reducerea timpului pierdut pe acest traseu, după implementarea proiectelor de Nivel 1 și Nivel 2</w:t>
      </w:r>
      <w:r w:rsidRPr="00E0488D">
        <w:t>.</w:t>
      </w:r>
    </w:p>
    <w:p w:rsidR="00B40E51" w:rsidRPr="00E0488D" w:rsidRDefault="00B40E51" w:rsidP="00B40E51">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B40E51" w:rsidRPr="00E0488D" w:rsidRDefault="00B40E51" w:rsidP="00B40E51">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Pr>
          <w:sz w:val="22"/>
          <w:szCs w:val="22"/>
          <w:lang w:val="ro-RO"/>
        </w:rPr>
        <w:t>370</w:t>
      </w:r>
      <w:r w:rsidRPr="00E0488D">
        <w:rPr>
          <w:sz w:val="22"/>
          <w:szCs w:val="22"/>
          <w:lang w:val="ro-RO"/>
        </w:rPr>
        <w:t xml:space="preserve"> milioane de Euro</w:t>
      </w:r>
    </w:p>
    <w:p w:rsidR="00B40E51" w:rsidRPr="00E0488D" w:rsidRDefault="00B40E51" w:rsidP="00B40E51">
      <w:pPr>
        <w:spacing w:before="120" w:after="120" w:line="276" w:lineRule="auto"/>
        <w:ind w:left="851"/>
        <w:rPr>
          <w:b/>
          <w:sz w:val="22"/>
          <w:szCs w:val="22"/>
          <w:lang w:val="ro-RO"/>
        </w:rPr>
      </w:pPr>
      <w:r w:rsidRPr="00E0488D">
        <w:rPr>
          <w:b/>
          <w:sz w:val="22"/>
          <w:szCs w:val="22"/>
          <w:lang w:val="ro-RO"/>
        </w:rPr>
        <w:t>Rezultat(e):</w:t>
      </w:r>
    </w:p>
    <w:p w:rsidR="00B40E51" w:rsidRDefault="00B40E51" w:rsidP="002B7E09">
      <w:pPr>
        <w:pStyle w:val="NumberedParas"/>
      </w:pPr>
      <w:r>
        <w:t>Acest proiect prezintă performanțe economice foarte bune,</w:t>
      </w:r>
      <w:r w:rsidR="00D81825">
        <w:t xml:space="preserve"> cu un RBC de 2,35 și MZA de 20 – 25.000 de vehicule pe zi. </w:t>
      </w:r>
      <w:r>
        <w:t xml:space="preserve"> </w:t>
      </w:r>
      <w:r w:rsidR="00D81825">
        <w:t>Modificările intervenite în fluxul de trafic sunt prezentate în Figura 4.65.</w:t>
      </w:r>
    </w:p>
    <w:p w:rsidR="00D81825" w:rsidRPr="00E0488D" w:rsidRDefault="00D81825" w:rsidP="002B7E09">
      <w:pPr>
        <w:pStyle w:val="NumberedParas"/>
        <w:numPr>
          <w:ilvl w:val="0"/>
          <w:numId w:val="0"/>
        </w:numPr>
        <w:ind w:left="851"/>
      </w:pPr>
      <w:r w:rsidRPr="002B762C">
        <w:rPr>
          <w:noProof/>
          <w:lang w:eastAsia="ro-RO"/>
        </w:rPr>
        <w:lastRenderedPageBreak/>
        <w:drawing>
          <wp:inline distT="0" distB="0" distL="0" distR="0">
            <wp:extent cx="5942523" cy="4428877"/>
            <wp:effectExtent l="19050" t="19050" r="20127" b="9773"/>
            <wp:docPr id="17" name="Picture 129" descr="OR19 Difference 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19 Difference Plot.png"/>
                    <pic:cNvPicPr/>
                  </pic:nvPicPr>
                  <pic:blipFill>
                    <a:blip r:embed="rId162" cstate="print"/>
                    <a:srcRect t="7902" b="12069"/>
                    <a:stretch>
                      <a:fillRect/>
                    </a:stretch>
                  </pic:blipFill>
                  <pic:spPr>
                    <a:xfrm>
                      <a:off x="0" y="0"/>
                      <a:ext cx="5942523" cy="4428877"/>
                    </a:xfrm>
                    <a:prstGeom prst="rect">
                      <a:avLst/>
                    </a:prstGeom>
                    <a:ln>
                      <a:solidFill>
                        <a:schemeClr val="accent1"/>
                      </a:solidFill>
                    </a:ln>
                  </pic:spPr>
                </pic:pic>
              </a:graphicData>
            </a:graphic>
          </wp:inline>
        </w:drawing>
      </w:r>
    </w:p>
    <w:p w:rsidR="00B613F1" w:rsidRDefault="00B613F1" w:rsidP="002B7E09">
      <w:pPr>
        <w:pStyle w:val="NumberedParas"/>
        <w:numPr>
          <w:ilvl w:val="0"/>
          <w:numId w:val="0"/>
        </w:numPr>
        <w:ind w:left="851"/>
      </w:pPr>
      <w:r w:rsidRPr="007A06E8">
        <w:t>Figur</w:t>
      </w:r>
      <w:r>
        <w:t>a</w:t>
      </w:r>
      <w:r w:rsidRPr="007A06E8">
        <w:t xml:space="preserve"> </w:t>
      </w:r>
      <w:r>
        <w:t xml:space="preserve">4.65 Modificări ale fluxului de trafic datorate drumului expres București – Alexandria. </w:t>
      </w:r>
    </w:p>
    <w:p w:rsidR="00B613F1" w:rsidRPr="00B40E51" w:rsidRDefault="00B613F1" w:rsidP="00B613F1">
      <w:pPr>
        <w:ind w:left="284" w:firstLine="567"/>
        <w:rPr>
          <w:i/>
          <w:sz w:val="22"/>
          <w:szCs w:val="22"/>
        </w:rPr>
      </w:pPr>
      <w:r w:rsidRPr="00B40E51">
        <w:rPr>
          <w:i/>
          <w:sz w:val="22"/>
          <w:szCs w:val="22"/>
        </w:rPr>
        <w:t>Sursa: Analiza Modelului Național de Transport, AECOM</w:t>
      </w:r>
    </w:p>
    <w:p w:rsidR="00B613F1" w:rsidRDefault="00B613F1" w:rsidP="002B7E09">
      <w:pPr>
        <w:pStyle w:val="NumberedParas"/>
      </w:pPr>
      <w:r>
        <w:t>Indicatorii economici ai acestei intervenții sunt:</w:t>
      </w:r>
    </w:p>
    <w:p w:rsidR="00B40E51" w:rsidRPr="00E0488D" w:rsidRDefault="00B40E51" w:rsidP="00B40E51">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xml:space="preserve">= </w:t>
      </w:r>
      <w:r w:rsidR="008F7AE7">
        <w:rPr>
          <w:sz w:val="22"/>
          <w:szCs w:val="22"/>
          <w:lang w:val="ro-RO"/>
        </w:rPr>
        <w:t xml:space="preserve"> 486 milioane</w:t>
      </w:r>
      <w:r w:rsidRPr="00E0488D">
        <w:rPr>
          <w:sz w:val="22"/>
          <w:szCs w:val="22"/>
          <w:lang w:val="ro-RO"/>
        </w:rPr>
        <w:t xml:space="preserve"> de Euro;</w:t>
      </w:r>
    </w:p>
    <w:p w:rsidR="00B40E51" w:rsidRPr="00E0488D" w:rsidRDefault="00B40E51" w:rsidP="00B40E51">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xml:space="preserve">= </w:t>
      </w:r>
      <w:r>
        <w:rPr>
          <w:sz w:val="22"/>
          <w:szCs w:val="22"/>
          <w:lang w:val="ro-RO"/>
        </w:rPr>
        <w:t>2,</w:t>
      </w:r>
      <w:r w:rsidR="008F7AE7">
        <w:rPr>
          <w:sz w:val="22"/>
          <w:szCs w:val="22"/>
          <w:lang w:val="ro-RO"/>
        </w:rPr>
        <w:t>3</w:t>
      </w:r>
      <w:r>
        <w:rPr>
          <w:sz w:val="22"/>
          <w:szCs w:val="22"/>
          <w:lang w:val="ro-RO"/>
        </w:rPr>
        <w:t>5</w:t>
      </w:r>
      <w:r w:rsidR="00D81825">
        <w:rPr>
          <w:sz w:val="22"/>
          <w:szCs w:val="22"/>
          <w:lang w:val="ro-RO"/>
        </w:rPr>
        <w:t>; ș</w:t>
      </w:r>
    </w:p>
    <w:p w:rsidR="00B40E51" w:rsidRPr="00E0488D" w:rsidRDefault="00B40E51" w:rsidP="00B40E51">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xml:space="preserve">= </w:t>
      </w:r>
      <w:r>
        <w:rPr>
          <w:sz w:val="22"/>
          <w:szCs w:val="22"/>
          <w:lang w:val="ro-RO"/>
        </w:rPr>
        <w:t>11,</w:t>
      </w:r>
      <w:r w:rsidR="008F7AE7">
        <w:rPr>
          <w:sz w:val="22"/>
          <w:szCs w:val="22"/>
          <w:lang w:val="ro-RO"/>
        </w:rPr>
        <w:t>8</w:t>
      </w:r>
      <w:r w:rsidRPr="00E0488D">
        <w:rPr>
          <w:sz w:val="22"/>
          <w:szCs w:val="22"/>
          <w:lang w:val="ro-RO"/>
        </w:rPr>
        <w:t>%.</w:t>
      </w:r>
      <w:r w:rsidRPr="00E0488D">
        <w:rPr>
          <w:sz w:val="22"/>
          <w:szCs w:val="22"/>
          <w:lang w:val="ro-RO"/>
        </w:rPr>
        <w:tab/>
      </w:r>
    </w:p>
    <w:p w:rsidR="00734573" w:rsidRDefault="00734573" w:rsidP="002B7E09">
      <w:pPr>
        <w:pStyle w:val="NumberedParas"/>
        <w:numPr>
          <w:ilvl w:val="0"/>
          <w:numId w:val="0"/>
        </w:numPr>
        <w:ind w:left="680"/>
      </w:pPr>
    </w:p>
    <w:p w:rsidR="00734573" w:rsidRDefault="00734573">
      <w:pPr>
        <w:rPr>
          <w:sz w:val="22"/>
          <w:szCs w:val="22"/>
          <w:lang w:val="ro-RO"/>
        </w:rPr>
      </w:pPr>
      <w:r>
        <w:br w:type="page"/>
      </w:r>
    </w:p>
    <w:p w:rsidR="008F0F53" w:rsidRPr="00734573" w:rsidRDefault="008F0F53" w:rsidP="002B7E09">
      <w:pPr>
        <w:pStyle w:val="NumberedParas"/>
        <w:numPr>
          <w:ilvl w:val="0"/>
          <w:numId w:val="0"/>
        </w:numPr>
        <w:ind w:left="680"/>
      </w:pPr>
      <w:r w:rsidRPr="00734573">
        <w:lastRenderedPageBreak/>
        <w:t>Proiecte suplimentare de Nivel 2</w:t>
      </w:r>
      <w:r>
        <w:t xml:space="preserve"> – OR 19 A– Conexiunea Aeroport Henri Coandă – A3 </w:t>
      </w:r>
    </w:p>
    <w:p w:rsidR="008F0F53" w:rsidRPr="00E0488D" w:rsidRDefault="008F0F53" w:rsidP="008F0F53">
      <w:pPr>
        <w:spacing w:before="120" w:after="120" w:line="276" w:lineRule="auto"/>
        <w:ind w:left="851"/>
        <w:rPr>
          <w:b/>
          <w:sz w:val="22"/>
          <w:szCs w:val="22"/>
          <w:lang w:val="ro-RO"/>
        </w:rPr>
      </w:pPr>
      <w:r w:rsidRPr="00E0488D">
        <w:rPr>
          <w:b/>
          <w:sz w:val="22"/>
          <w:szCs w:val="22"/>
          <w:lang w:val="ro-RO"/>
        </w:rPr>
        <w:t>Descriere succintă a propunerii:</w:t>
      </w:r>
    </w:p>
    <w:p w:rsidR="008F0F53" w:rsidRDefault="008F0F53" w:rsidP="002B7E09">
      <w:pPr>
        <w:pStyle w:val="NumberedParas"/>
      </w:pPr>
      <w:r>
        <w:t>Această intervenție asigură o legătură regională utilă între DN1 și A3. De asemnea, asigură conexiunea către Aeroportul Internațional Henri Coandă și Autostrada A3 și formează parte a unui potențial drum de centură extern al municipiului București.</w:t>
      </w:r>
    </w:p>
    <w:p w:rsidR="008F0F53" w:rsidRPr="00E0488D" w:rsidRDefault="008F0F53" w:rsidP="008F0F53">
      <w:pPr>
        <w:ind w:left="284" w:firstLine="567"/>
        <w:rPr>
          <w:b/>
          <w:sz w:val="22"/>
          <w:szCs w:val="22"/>
          <w:lang w:val="ro-RO"/>
        </w:rPr>
      </w:pPr>
      <w:r w:rsidRPr="00E0488D">
        <w:rPr>
          <w:b/>
          <w:sz w:val="22"/>
          <w:szCs w:val="22"/>
          <w:lang w:val="ro-RO"/>
        </w:rPr>
        <w:t>Descriere succintă a problemei(lor) abordate:</w:t>
      </w:r>
    </w:p>
    <w:p w:rsidR="008F0F53" w:rsidRPr="00E0488D" w:rsidRDefault="008F0F53" w:rsidP="002B7E09">
      <w:pPr>
        <w:pStyle w:val="NumberedParas"/>
      </w:pPr>
      <w:r>
        <w:t>Proiectul asigură o importantă legătură între două coridoare majore și de asemenea, o conexiune cu o importantă poartă de intrare internațională.</w:t>
      </w:r>
    </w:p>
    <w:p w:rsidR="008F0F53" w:rsidRPr="00E0488D" w:rsidRDefault="008F0F53" w:rsidP="008F0F53">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8F0F53" w:rsidRPr="00E0488D" w:rsidRDefault="008F0F53" w:rsidP="008F0F53">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Pr>
          <w:sz w:val="22"/>
          <w:szCs w:val="22"/>
          <w:lang w:val="ro-RO"/>
        </w:rPr>
        <w:t>126</w:t>
      </w:r>
      <w:r w:rsidRPr="00E0488D">
        <w:rPr>
          <w:sz w:val="22"/>
          <w:szCs w:val="22"/>
          <w:lang w:val="ro-RO"/>
        </w:rPr>
        <w:t xml:space="preserve"> milioane de Euro</w:t>
      </w:r>
    </w:p>
    <w:p w:rsidR="008F0F53" w:rsidRPr="00E0488D" w:rsidRDefault="008F0F53" w:rsidP="008F0F53">
      <w:pPr>
        <w:spacing w:before="120" w:after="120" w:line="276" w:lineRule="auto"/>
        <w:ind w:left="851"/>
        <w:rPr>
          <w:b/>
          <w:sz w:val="22"/>
          <w:szCs w:val="22"/>
          <w:lang w:val="ro-RO"/>
        </w:rPr>
      </w:pPr>
      <w:r w:rsidRPr="00E0488D">
        <w:rPr>
          <w:b/>
          <w:sz w:val="22"/>
          <w:szCs w:val="22"/>
          <w:lang w:val="ro-RO"/>
        </w:rPr>
        <w:t>Rezultat(e):</w:t>
      </w:r>
    </w:p>
    <w:p w:rsidR="008F0F53" w:rsidRDefault="008F0F53" w:rsidP="002B7E09">
      <w:pPr>
        <w:pStyle w:val="NumberedParas"/>
      </w:pPr>
      <w:r>
        <w:t xml:space="preserve">Acest proiect prezintă performanțe economice bune, cu un RBC de </w:t>
      </w:r>
      <w:r w:rsidR="001E2B46">
        <w:t>1,99</w:t>
      </w:r>
      <w:r>
        <w:t xml:space="preserve"> și MZA de </w:t>
      </w:r>
      <w:r w:rsidR="001E2B46">
        <w:t xml:space="preserve"> 4.000</w:t>
      </w:r>
      <w:r>
        <w:t xml:space="preserve"> de vehicule pe zi</w:t>
      </w:r>
      <w:r w:rsidR="00B70164">
        <w:t>, asigurând o descărcare a drumului de centură</w:t>
      </w:r>
      <w:r>
        <w:t>.  Modificările intervenite în fluxul de trafic sunt prezentate în Figura 4.6</w:t>
      </w:r>
      <w:r w:rsidR="00B70164">
        <w:t>6</w:t>
      </w:r>
      <w:r>
        <w:t>.</w:t>
      </w:r>
    </w:p>
    <w:p w:rsidR="008F0F53" w:rsidRPr="00E0488D" w:rsidRDefault="00B70164" w:rsidP="002B7E09">
      <w:pPr>
        <w:pStyle w:val="NumberedParas"/>
        <w:numPr>
          <w:ilvl w:val="0"/>
          <w:numId w:val="0"/>
        </w:numPr>
        <w:ind w:left="851"/>
      </w:pPr>
      <w:r w:rsidRPr="002B762C">
        <w:rPr>
          <w:noProof/>
          <w:lang w:eastAsia="ro-RO"/>
        </w:rPr>
        <w:drawing>
          <wp:inline distT="0" distB="0" distL="0" distR="0">
            <wp:extent cx="5942523" cy="3085106"/>
            <wp:effectExtent l="19050" t="19050" r="20127" b="20044"/>
            <wp:docPr id="21" name="Picture 130" descr="H-HCA_HenriCoandaAir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CA_HenriCoandaAirport.png"/>
                    <pic:cNvPicPr/>
                  </pic:nvPicPr>
                  <pic:blipFill>
                    <a:blip r:embed="rId163" cstate="print"/>
                    <a:srcRect t="8041" b="11959"/>
                    <a:stretch>
                      <a:fillRect/>
                    </a:stretch>
                  </pic:blipFill>
                  <pic:spPr>
                    <a:xfrm>
                      <a:off x="0" y="0"/>
                      <a:ext cx="5942523" cy="3085106"/>
                    </a:xfrm>
                    <a:prstGeom prst="rect">
                      <a:avLst/>
                    </a:prstGeom>
                    <a:ln>
                      <a:solidFill>
                        <a:schemeClr val="accent1"/>
                      </a:solidFill>
                    </a:ln>
                  </pic:spPr>
                </pic:pic>
              </a:graphicData>
            </a:graphic>
          </wp:inline>
        </w:drawing>
      </w:r>
    </w:p>
    <w:p w:rsidR="008F0F53" w:rsidRDefault="008F0F53" w:rsidP="002B7E09">
      <w:pPr>
        <w:pStyle w:val="NumberedParas"/>
        <w:numPr>
          <w:ilvl w:val="0"/>
          <w:numId w:val="0"/>
        </w:numPr>
        <w:ind w:left="851"/>
      </w:pPr>
      <w:r w:rsidRPr="007A06E8">
        <w:t>Figur</w:t>
      </w:r>
      <w:r>
        <w:t>a</w:t>
      </w:r>
      <w:r w:rsidRPr="007A06E8">
        <w:t xml:space="preserve"> </w:t>
      </w:r>
      <w:r>
        <w:t>4.6</w:t>
      </w:r>
      <w:r w:rsidR="00B70164">
        <w:t>6</w:t>
      </w:r>
      <w:r>
        <w:t xml:space="preserve"> Modificări ale fluxului de trafic datorate drumului expres </w:t>
      </w:r>
      <w:r w:rsidR="00B70164">
        <w:t>Henri Coandă</w:t>
      </w:r>
      <w:r>
        <w:t xml:space="preserve"> – </w:t>
      </w:r>
      <w:r w:rsidR="00B70164">
        <w:t>Autostrada A3</w:t>
      </w:r>
      <w:r>
        <w:t xml:space="preserve">. </w:t>
      </w:r>
    </w:p>
    <w:p w:rsidR="008F0F53" w:rsidRPr="00B40E51" w:rsidRDefault="008F0F53" w:rsidP="008F0F53">
      <w:pPr>
        <w:ind w:left="284" w:firstLine="567"/>
        <w:rPr>
          <w:i/>
          <w:sz w:val="22"/>
          <w:szCs w:val="22"/>
        </w:rPr>
      </w:pPr>
      <w:r w:rsidRPr="00B40E51">
        <w:rPr>
          <w:i/>
          <w:sz w:val="22"/>
          <w:szCs w:val="22"/>
        </w:rPr>
        <w:t>Sursa: Analiza Modelului Național de Transport, AECOM</w:t>
      </w:r>
    </w:p>
    <w:p w:rsidR="008F0F53" w:rsidRDefault="008F0F53" w:rsidP="002B7E09">
      <w:pPr>
        <w:pStyle w:val="NumberedParas"/>
      </w:pPr>
      <w:r>
        <w:t>Indicatorii economici ai acestei intervenții sunt:</w:t>
      </w:r>
    </w:p>
    <w:p w:rsidR="008F0F53" w:rsidRPr="00E0488D" w:rsidRDefault="008F0F53" w:rsidP="008F0F53">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xml:space="preserve">= </w:t>
      </w:r>
      <w:r>
        <w:rPr>
          <w:sz w:val="22"/>
          <w:szCs w:val="22"/>
          <w:lang w:val="ro-RO"/>
        </w:rPr>
        <w:t>86 milioane</w:t>
      </w:r>
      <w:r w:rsidRPr="00E0488D">
        <w:rPr>
          <w:sz w:val="22"/>
          <w:szCs w:val="22"/>
          <w:lang w:val="ro-RO"/>
        </w:rPr>
        <w:t xml:space="preserve"> de Euro;</w:t>
      </w:r>
    </w:p>
    <w:p w:rsidR="008F0F53" w:rsidRPr="00E0488D" w:rsidRDefault="008F0F53" w:rsidP="008F0F53">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xml:space="preserve">= </w:t>
      </w:r>
      <w:r w:rsidR="00B70164">
        <w:rPr>
          <w:sz w:val="22"/>
          <w:szCs w:val="22"/>
          <w:lang w:val="ro-RO"/>
        </w:rPr>
        <w:t>1</w:t>
      </w:r>
      <w:r>
        <w:rPr>
          <w:sz w:val="22"/>
          <w:szCs w:val="22"/>
          <w:lang w:val="ro-RO"/>
        </w:rPr>
        <w:t>,</w:t>
      </w:r>
      <w:r w:rsidR="00B70164">
        <w:rPr>
          <w:sz w:val="22"/>
          <w:szCs w:val="22"/>
          <w:lang w:val="ro-RO"/>
        </w:rPr>
        <w:t>99</w:t>
      </w:r>
      <w:r>
        <w:rPr>
          <w:sz w:val="22"/>
          <w:szCs w:val="22"/>
          <w:lang w:val="ro-RO"/>
        </w:rPr>
        <w:t>; ș</w:t>
      </w:r>
    </w:p>
    <w:p w:rsidR="008F0F53" w:rsidRPr="00E0488D" w:rsidRDefault="008F0F53" w:rsidP="008F0F53">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xml:space="preserve">= </w:t>
      </w:r>
      <w:r w:rsidR="00B70164">
        <w:rPr>
          <w:sz w:val="22"/>
          <w:szCs w:val="22"/>
          <w:lang w:val="ro-RO"/>
        </w:rPr>
        <w:t>9,3</w:t>
      </w:r>
      <w:r w:rsidRPr="00E0488D">
        <w:rPr>
          <w:sz w:val="22"/>
          <w:szCs w:val="22"/>
          <w:lang w:val="ro-RO"/>
        </w:rPr>
        <w:t>%.</w:t>
      </w:r>
      <w:r w:rsidRPr="00E0488D">
        <w:rPr>
          <w:sz w:val="22"/>
          <w:szCs w:val="22"/>
          <w:lang w:val="ro-RO"/>
        </w:rPr>
        <w:tab/>
      </w:r>
    </w:p>
    <w:p w:rsidR="002037ED" w:rsidRDefault="002037ED">
      <w:pPr>
        <w:rPr>
          <w:sz w:val="22"/>
          <w:szCs w:val="22"/>
          <w:lang w:val="ro-RO"/>
        </w:rPr>
      </w:pPr>
      <w:r>
        <w:br w:type="page"/>
      </w:r>
    </w:p>
    <w:p w:rsidR="002037ED" w:rsidRPr="00734573" w:rsidRDefault="002037ED" w:rsidP="002B7E09">
      <w:pPr>
        <w:pStyle w:val="NumberedParas"/>
        <w:numPr>
          <w:ilvl w:val="0"/>
          <w:numId w:val="0"/>
        </w:numPr>
        <w:ind w:left="680"/>
      </w:pPr>
      <w:r w:rsidRPr="00734573">
        <w:lastRenderedPageBreak/>
        <w:t>Proiecte suplimentare de Nivel 2</w:t>
      </w:r>
      <w:r>
        <w:t xml:space="preserve"> – OR 21 – Lărgirea autostrăzii A1 București – Pitești </w:t>
      </w:r>
    </w:p>
    <w:p w:rsidR="002037ED" w:rsidRPr="00E0488D" w:rsidRDefault="002037ED" w:rsidP="002037ED">
      <w:pPr>
        <w:spacing w:before="120" w:after="120" w:line="276" w:lineRule="auto"/>
        <w:ind w:left="851"/>
        <w:rPr>
          <w:b/>
          <w:sz w:val="22"/>
          <w:szCs w:val="22"/>
          <w:lang w:val="ro-RO"/>
        </w:rPr>
      </w:pPr>
      <w:r w:rsidRPr="00E0488D">
        <w:rPr>
          <w:b/>
          <w:sz w:val="22"/>
          <w:szCs w:val="22"/>
          <w:lang w:val="ro-RO"/>
        </w:rPr>
        <w:t>Descriere succintă a propunerii:</w:t>
      </w:r>
    </w:p>
    <w:p w:rsidR="002037ED" w:rsidRDefault="002037ED" w:rsidP="002B7E09">
      <w:pPr>
        <w:pStyle w:val="NumberedParas"/>
        <w:rPr>
          <w:b/>
        </w:rPr>
      </w:pPr>
      <w:r>
        <w:t>Această intervenție asigură lărgirea autostrăzii A1 între București și Pitesști potrivit specificațiilor menționate în OR15.</w:t>
      </w:r>
      <w:r>
        <w:rPr>
          <w:b/>
        </w:rPr>
        <w:t xml:space="preserve"> </w:t>
      </w:r>
    </w:p>
    <w:p w:rsidR="002037ED" w:rsidRPr="00E0488D" w:rsidRDefault="002037ED" w:rsidP="002037ED">
      <w:pPr>
        <w:ind w:left="284" w:firstLine="567"/>
        <w:rPr>
          <w:b/>
          <w:sz w:val="22"/>
          <w:szCs w:val="22"/>
          <w:lang w:val="ro-RO"/>
        </w:rPr>
      </w:pPr>
      <w:r w:rsidRPr="00E0488D">
        <w:rPr>
          <w:b/>
          <w:sz w:val="22"/>
          <w:szCs w:val="22"/>
          <w:lang w:val="ro-RO"/>
        </w:rPr>
        <w:t>Descriere succintă a problemei(lor) abordate:</w:t>
      </w:r>
    </w:p>
    <w:p w:rsidR="002037ED" w:rsidRPr="00E0488D" w:rsidRDefault="002037ED" w:rsidP="002B7E09">
      <w:pPr>
        <w:pStyle w:val="NumberedParas"/>
      </w:pPr>
      <w:r>
        <w:t>Proiectul rezolvă problema necesarului de capacitate suplimentară în urma îmbunătățirilor introduse pe traseul S.biu – Pitești, care vor avea ca rezultat creșterea traficului pe acest important coridor.</w:t>
      </w:r>
    </w:p>
    <w:p w:rsidR="002037ED" w:rsidRPr="00E0488D" w:rsidRDefault="002037ED" w:rsidP="002037ED">
      <w:pPr>
        <w:spacing w:before="120" w:after="120" w:line="276" w:lineRule="auto"/>
        <w:ind w:left="851"/>
        <w:rPr>
          <w:b/>
          <w:sz w:val="22"/>
          <w:szCs w:val="22"/>
          <w:lang w:val="ro-RO"/>
        </w:rPr>
      </w:pPr>
      <w:r w:rsidRPr="00E0488D">
        <w:rPr>
          <w:b/>
          <w:sz w:val="22"/>
          <w:szCs w:val="22"/>
          <w:lang w:val="ro-RO"/>
        </w:rPr>
        <w:t>Costuri neactualizate (prețuri din 2014 în milioane de EURO):</w:t>
      </w:r>
    </w:p>
    <w:p w:rsidR="002037ED" w:rsidRPr="00E0488D" w:rsidRDefault="002037ED" w:rsidP="002037ED">
      <w:pPr>
        <w:pStyle w:val="ListParagraph"/>
        <w:numPr>
          <w:ilvl w:val="0"/>
          <w:numId w:val="48"/>
        </w:numPr>
        <w:spacing w:before="120" w:after="120" w:line="276" w:lineRule="auto"/>
        <w:contextualSpacing/>
        <w:rPr>
          <w:sz w:val="22"/>
          <w:szCs w:val="22"/>
          <w:lang w:val="ro-RO"/>
        </w:rPr>
      </w:pPr>
      <w:r w:rsidRPr="00E0488D">
        <w:rPr>
          <w:sz w:val="22"/>
          <w:szCs w:val="22"/>
          <w:lang w:val="ro-RO"/>
        </w:rPr>
        <w:t xml:space="preserve">CAPEX </w:t>
      </w:r>
      <w:r w:rsidRPr="00E0488D">
        <w:rPr>
          <w:sz w:val="22"/>
          <w:szCs w:val="22"/>
          <w:lang w:val="ro-RO"/>
        </w:rPr>
        <w:tab/>
      </w:r>
      <w:r>
        <w:rPr>
          <w:sz w:val="22"/>
          <w:szCs w:val="22"/>
          <w:lang w:val="ro-RO"/>
        </w:rPr>
        <w:t>442</w:t>
      </w:r>
      <w:r w:rsidRPr="00E0488D">
        <w:rPr>
          <w:sz w:val="22"/>
          <w:szCs w:val="22"/>
          <w:lang w:val="ro-RO"/>
        </w:rPr>
        <w:t xml:space="preserve"> milioane de Euro</w:t>
      </w:r>
    </w:p>
    <w:p w:rsidR="002037ED" w:rsidRDefault="002037ED" w:rsidP="002037ED">
      <w:pPr>
        <w:spacing w:before="120" w:after="120" w:line="276" w:lineRule="auto"/>
        <w:ind w:left="851"/>
      </w:pPr>
      <w:r w:rsidRPr="00E0488D">
        <w:rPr>
          <w:b/>
          <w:sz w:val="22"/>
          <w:szCs w:val="22"/>
          <w:lang w:val="ro-RO"/>
        </w:rPr>
        <w:t>Rezultat(e):</w:t>
      </w:r>
    </w:p>
    <w:p w:rsidR="002037ED" w:rsidRDefault="002037ED" w:rsidP="002B7E09">
      <w:pPr>
        <w:pStyle w:val="NumberedParas"/>
      </w:pPr>
      <w:r>
        <w:t>Indicatorii economici ai acestei intervenții sunt:</w:t>
      </w:r>
    </w:p>
    <w:p w:rsidR="002037ED" w:rsidRPr="00E0488D" w:rsidRDefault="002037ED" w:rsidP="002037ED">
      <w:pPr>
        <w:pStyle w:val="ListParagraph"/>
        <w:numPr>
          <w:ilvl w:val="0"/>
          <w:numId w:val="48"/>
        </w:numPr>
        <w:spacing w:before="120" w:after="120" w:line="276" w:lineRule="auto"/>
        <w:contextualSpacing/>
        <w:rPr>
          <w:sz w:val="22"/>
          <w:szCs w:val="22"/>
          <w:lang w:val="ro-RO"/>
        </w:rPr>
      </w:pPr>
      <w:r w:rsidRPr="00E0488D">
        <w:rPr>
          <w:sz w:val="22"/>
          <w:szCs w:val="22"/>
          <w:lang w:val="ro-RO"/>
        </w:rPr>
        <w:t>VNA</w:t>
      </w:r>
      <w:r w:rsidRPr="00E0488D">
        <w:rPr>
          <w:sz w:val="22"/>
          <w:szCs w:val="22"/>
          <w:lang w:val="ro-RO"/>
        </w:rPr>
        <w:tab/>
        <w:t xml:space="preserve">= </w:t>
      </w:r>
      <w:r>
        <w:rPr>
          <w:sz w:val="22"/>
          <w:szCs w:val="22"/>
          <w:lang w:val="ro-RO"/>
        </w:rPr>
        <w:t>181 milioane</w:t>
      </w:r>
      <w:r w:rsidRPr="00E0488D">
        <w:rPr>
          <w:sz w:val="22"/>
          <w:szCs w:val="22"/>
          <w:lang w:val="ro-RO"/>
        </w:rPr>
        <w:t xml:space="preserve"> de Euro;</w:t>
      </w:r>
    </w:p>
    <w:p w:rsidR="002037ED" w:rsidRPr="00E0488D" w:rsidRDefault="002037ED" w:rsidP="002037ED">
      <w:pPr>
        <w:pStyle w:val="ListParagraph"/>
        <w:numPr>
          <w:ilvl w:val="0"/>
          <w:numId w:val="48"/>
        </w:numPr>
        <w:spacing w:before="120" w:after="120" w:line="276" w:lineRule="auto"/>
        <w:contextualSpacing/>
        <w:rPr>
          <w:sz w:val="22"/>
          <w:szCs w:val="22"/>
          <w:lang w:val="ro-RO"/>
        </w:rPr>
      </w:pPr>
      <w:r w:rsidRPr="00E0488D">
        <w:rPr>
          <w:sz w:val="22"/>
          <w:szCs w:val="22"/>
          <w:lang w:val="ro-RO"/>
        </w:rPr>
        <w:t>RBC</w:t>
      </w:r>
      <w:r w:rsidRPr="00E0488D">
        <w:rPr>
          <w:sz w:val="22"/>
          <w:szCs w:val="22"/>
          <w:lang w:val="ro-RO"/>
        </w:rPr>
        <w:tab/>
        <w:t xml:space="preserve">= </w:t>
      </w:r>
      <w:r>
        <w:rPr>
          <w:sz w:val="22"/>
          <w:szCs w:val="22"/>
          <w:lang w:val="ro-RO"/>
        </w:rPr>
        <w:t>1,65; ș</w:t>
      </w:r>
    </w:p>
    <w:p w:rsidR="002037ED" w:rsidRPr="00E0488D" w:rsidRDefault="002037ED" w:rsidP="002037ED">
      <w:pPr>
        <w:pStyle w:val="ListParagraph"/>
        <w:numPr>
          <w:ilvl w:val="0"/>
          <w:numId w:val="48"/>
        </w:numPr>
        <w:spacing w:before="120" w:after="120" w:line="276" w:lineRule="auto"/>
        <w:contextualSpacing/>
        <w:rPr>
          <w:sz w:val="22"/>
          <w:szCs w:val="22"/>
          <w:lang w:val="ro-RO"/>
        </w:rPr>
      </w:pPr>
      <w:r w:rsidRPr="00E0488D">
        <w:rPr>
          <w:sz w:val="22"/>
          <w:szCs w:val="22"/>
          <w:lang w:val="ro-RO"/>
        </w:rPr>
        <w:t>RIRE</w:t>
      </w:r>
      <w:r w:rsidRPr="00E0488D">
        <w:rPr>
          <w:sz w:val="22"/>
          <w:szCs w:val="22"/>
          <w:lang w:val="ro-RO"/>
        </w:rPr>
        <w:tab/>
        <w:t xml:space="preserve">= </w:t>
      </w:r>
      <w:r>
        <w:rPr>
          <w:sz w:val="22"/>
          <w:szCs w:val="22"/>
          <w:lang w:val="ro-RO"/>
        </w:rPr>
        <w:t>7,6</w:t>
      </w:r>
      <w:r w:rsidRPr="00E0488D">
        <w:rPr>
          <w:sz w:val="22"/>
          <w:szCs w:val="22"/>
          <w:lang w:val="ro-RO"/>
        </w:rPr>
        <w:t>%.</w:t>
      </w:r>
      <w:r w:rsidRPr="00E0488D">
        <w:rPr>
          <w:sz w:val="22"/>
          <w:szCs w:val="22"/>
          <w:lang w:val="ro-RO"/>
        </w:rPr>
        <w:tab/>
      </w:r>
    </w:p>
    <w:p w:rsidR="002037ED" w:rsidRDefault="002037ED">
      <w:pPr>
        <w:rPr>
          <w:sz w:val="22"/>
          <w:szCs w:val="22"/>
          <w:lang w:val="ro-RO"/>
        </w:rPr>
      </w:pPr>
      <w:r>
        <w:br w:type="page"/>
      </w:r>
    </w:p>
    <w:p w:rsidR="00734573" w:rsidRPr="00E0488D" w:rsidRDefault="00734573" w:rsidP="002B7E09">
      <w:pPr>
        <w:pStyle w:val="NumberedParas"/>
        <w:numPr>
          <w:ilvl w:val="0"/>
          <w:numId w:val="0"/>
        </w:numPr>
        <w:ind w:left="680"/>
      </w:pPr>
    </w:p>
    <w:p w:rsidR="00B4550A" w:rsidRPr="00E0488D" w:rsidRDefault="00B4550A" w:rsidP="00B4550A">
      <w:pPr>
        <w:pStyle w:val="Hdg3"/>
        <w:ind w:left="851"/>
      </w:pPr>
      <w:r w:rsidRPr="00E0488D">
        <w:t xml:space="preserve">Proiecte de Nivel 3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Descriere succintă a propunerii:</w:t>
      </w:r>
    </w:p>
    <w:p w:rsidR="00B4550A" w:rsidRPr="00E0488D" w:rsidRDefault="00B4550A" w:rsidP="002B7E09">
      <w:pPr>
        <w:pStyle w:val="NumberedParas"/>
      </w:pPr>
      <w:r w:rsidRPr="00E0488D">
        <w:t xml:space="preserve">Pentru susținerea implementării proiectelor de Nivel 1 și 2, sunt necesare lucrări suplimentare de îmbunătățire a infrastructurii de la nivel local. Locațiile relevante pentru proiectele de variantă de ocolire au fost stabilite în funcție de tipul și volumul de trafic de „trecere”, precum și în funcție de dimensiunile localităților. </w:t>
      </w:r>
    </w:p>
    <w:p w:rsidR="00B4550A" w:rsidRPr="00E0488D" w:rsidRDefault="00B4550A" w:rsidP="002B7E09">
      <w:pPr>
        <w:pStyle w:val="NumberedParas"/>
      </w:pPr>
      <w:r w:rsidRPr="00E0488D">
        <w:t xml:space="preserve">Aceste proiecte au fost stabilite luând în considerare legăturile acestora cu proiectele de nivel mai înalt (Nivel 1 și Nivel 2).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Indicatori economici:</w:t>
      </w:r>
    </w:p>
    <w:p w:rsidR="00B4550A" w:rsidRPr="00E0488D" w:rsidRDefault="00B4550A" w:rsidP="002B7E09">
      <w:pPr>
        <w:pStyle w:val="NumberedParas"/>
      </w:pPr>
      <w:r w:rsidRPr="00E0488D">
        <w:t>Indicatorii economici au fost identificați pentru fiecare proiect și sunt prezentați în Tabelul următor:</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Tabelul 4.21</w:t>
      </w:r>
      <w:r w:rsidRPr="00E0488D">
        <w:rPr>
          <w:b/>
          <w:sz w:val="22"/>
          <w:szCs w:val="22"/>
          <w:lang w:val="ro-RO"/>
        </w:rPr>
        <w:tab/>
        <w:t xml:space="preserve">Sinteza indicatorilor economici pentru proiectele de variantă de ocolire </w:t>
      </w:r>
    </w:p>
    <w:p w:rsidR="002037ED" w:rsidRDefault="002037ED" w:rsidP="00B4550A">
      <w:pPr>
        <w:ind w:left="284" w:firstLine="567"/>
        <w:rPr>
          <w:i/>
          <w:sz w:val="22"/>
          <w:szCs w:val="22"/>
          <w:lang w:val="ro-RO"/>
        </w:rPr>
      </w:pPr>
    </w:p>
    <w:tbl>
      <w:tblPr>
        <w:tblW w:w="9611"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6"/>
        <w:gridCol w:w="3118"/>
        <w:gridCol w:w="1888"/>
        <w:gridCol w:w="979"/>
        <w:gridCol w:w="980"/>
        <w:gridCol w:w="980"/>
      </w:tblGrid>
      <w:tr w:rsidR="002037ED" w:rsidRPr="0045095C" w:rsidTr="00E4054A">
        <w:trPr>
          <w:trHeight w:val="1067"/>
          <w:tblHeader/>
        </w:trPr>
        <w:tc>
          <w:tcPr>
            <w:tcW w:w="1666" w:type="dxa"/>
            <w:shd w:val="clear" w:color="auto" w:fill="B8CCE4" w:themeFill="accent1" w:themeFillTint="66"/>
            <w:noWrap/>
            <w:vAlign w:val="center"/>
            <w:hideMark/>
          </w:tcPr>
          <w:p w:rsidR="002037ED" w:rsidRPr="00E0488D" w:rsidRDefault="002037ED" w:rsidP="00E4054A">
            <w:pPr>
              <w:rPr>
                <w:lang w:val="ro-RO" w:eastAsia="en-GB"/>
              </w:rPr>
            </w:pPr>
            <w:r w:rsidRPr="00E0488D">
              <w:rPr>
                <w:b/>
                <w:sz w:val="22"/>
                <w:szCs w:val="22"/>
                <w:lang w:val="ro-RO" w:eastAsia="en-GB"/>
              </w:rPr>
              <w:t>Ref</w:t>
            </w:r>
          </w:p>
        </w:tc>
        <w:tc>
          <w:tcPr>
            <w:tcW w:w="3118" w:type="dxa"/>
            <w:shd w:val="clear" w:color="auto" w:fill="B8CCE4" w:themeFill="accent1" w:themeFillTint="66"/>
            <w:noWrap/>
            <w:vAlign w:val="center"/>
            <w:hideMark/>
          </w:tcPr>
          <w:p w:rsidR="002037ED" w:rsidRPr="002037ED" w:rsidRDefault="002037ED" w:rsidP="00E4054A">
            <w:pPr>
              <w:jc w:val="center"/>
              <w:rPr>
                <w:b/>
                <w:color w:val="000000"/>
                <w:sz w:val="22"/>
                <w:szCs w:val="22"/>
                <w:lang w:val="ro-RO" w:eastAsia="en-GB"/>
              </w:rPr>
            </w:pPr>
            <w:r w:rsidRPr="002037ED">
              <w:rPr>
                <w:b/>
                <w:color w:val="000000"/>
                <w:sz w:val="22"/>
                <w:szCs w:val="22"/>
                <w:lang w:val="ro-RO" w:eastAsia="en-GB"/>
              </w:rPr>
              <w:t>Proiect</w:t>
            </w:r>
          </w:p>
        </w:tc>
        <w:tc>
          <w:tcPr>
            <w:tcW w:w="1888" w:type="dxa"/>
            <w:shd w:val="clear" w:color="auto" w:fill="B8CCE4" w:themeFill="accent1" w:themeFillTint="66"/>
            <w:noWrap/>
            <w:vAlign w:val="center"/>
            <w:hideMark/>
          </w:tcPr>
          <w:p w:rsidR="002037ED" w:rsidRPr="00E0488D" w:rsidRDefault="002037ED" w:rsidP="00E4054A">
            <w:pPr>
              <w:jc w:val="center"/>
              <w:rPr>
                <w:b/>
                <w:color w:val="000000"/>
                <w:sz w:val="22"/>
                <w:szCs w:val="22"/>
                <w:lang w:val="ro-RO" w:eastAsia="en-GB"/>
              </w:rPr>
            </w:pPr>
            <w:r w:rsidRPr="00E0488D">
              <w:rPr>
                <w:b/>
                <w:color w:val="000000"/>
                <w:sz w:val="22"/>
                <w:szCs w:val="22"/>
                <w:lang w:val="ro-RO" w:eastAsia="en-GB"/>
              </w:rPr>
              <w:t xml:space="preserve">Costuri </w:t>
            </w:r>
            <w:r>
              <w:rPr>
                <w:b/>
                <w:color w:val="000000"/>
                <w:sz w:val="22"/>
                <w:szCs w:val="22"/>
                <w:lang w:val="ro-RO" w:eastAsia="en-GB"/>
              </w:rPr>
              <w:t xml:space="preserve">investiție </w:t>
            </w:r>
            <w:r w:rsidRPr="00E0488D">
              <w:rPr>
                <w:b/>
                <w:color w:val="000000"/>
                <w:sz w:val="22"/>
                <w:szCs w:val="22"/>
                <w:lang w:val="ro-RO" w:eastAsia="en-GB"/>
              </w:rPr>
              <w:t>neactualizate</w:t>
            </w:r>
          </w:p>
          <w:p w:rsidR="002037ED" w:rsidRPr="00E0488D" w:rsidRDefault="002037ED" w:rsidP="00E4054A">
            <w:pPr>
              <w:rPr>
                <w:color w:val="000000"/>
                <w:lang w:val="ro-RO" w:eastAsia="en-GB"/>
              </w:rPr>
            </w:pPr>
            <w:r w:rsidRPr="00E0488D">
              <w:rPr>
                <w:b/>
                <w:sz w:val="22"/>
                <w:szCs w:val="22"/>
                <w:lang w:val="ro-RO"/>
              </w:rPr>
              <w:t>(prețuri din 2014 în milioane de EURO)</w:t>
            </w:r>
          </w:p>
        </w:tc>
        <w:tc>
          <w:tcPr>
            <w:tcW w:w="979" w:type="dxa"/>
            <w:shd w:val="clear" w:color="auto" w:fill="B8CCE4" w:themeFill="accent1" w:themeFillTint="66"/>
            <w:noWrap/>
            <w:vAlign w:val="center"/>
            <w:hideMark/>
          </w:tcPr>
          <w:p w:rsidR="002037ED" w:rsidRPr="00E0488D" w:rsidRDefault="002037ED" w:rsidP="002037ED">
            <w:pPr>
              <w:rPr>
                <w:color w:val="000000"/>
                <w:lang w:val="ro-RO" w:eastAsia="en-GB"/>
              </w:rPr>
            </w:pPr>
            <w:r w:rsidRPr="00E0488D">
              <w:rPr>
                <w:b/>
                <w:color w:val="000000"/>
                <w:sz w:val="22"/>
                <w:szCs w:val="22"/>
                <w:lang w:val="ro-RO" w:eastAsia="en-GB"/>
              </w:rPr>
              <w:t>VNA</w:t>
            </w:r>
            <w:r w:rsidRPr="00E0488D">
              <w:rPr>
                <w:b/>
                <w:sz w:val="22"/>
                <w:szCs w:val="22"/>
                <w:lang w:val="ro-RO"/>
              </w:rPr>
              <w:t xml:space="preserve"> (</w:t>
            </w:r>
            <w:r>
              <w:rPr>
                <w:b/>
                <w:sz w:val="22"/>
                <w:szCs w:val="22"/>
                <w:lang w:val="ro-RO"/>
              </w:rPr>
              <w:t>mil.</w:t>
            </w:r>
            <w:r w:rsidRPr="00E0488D">
              <w:rPr>
                <w:b/>
                <w:sz w:val="22"/>
                <w:szCs w:val="22"/>
                <w:lang w:val="ro-RO"/>
              </w:rPr>
              <w:t xml:space="preserve"> EURO)</w:t>
            </w:r>
          </w:p>
        </w:tc>
        <w:tc>
          <w:tcPr>
            <w:tcW w:w="980" w:type="dxa"/>
            <w:shd w:val="clear" w:color="auto" w:fill="B8CCE4" w:themeFill="accent1" w:themeFillTint="66"/>
            <w:noWrap/>
            <w:vAlign w:val="center"/>
            <w:hideMark/>
          </w:tcPr>
          <w:p w:rsidR="002037ED" w:rsidRPr="00E0488D" w:rsidRDefault="002037ED" w:rsidP="00E4054A">
            <w:pPr>
              <w:rPr>
                <w:color w:val="000000"/>
                <w:lang w:val="ro-RO" w:eastAsia="en-GB"/>
              </w:rPr>
            </w:pPr>
            <w:r w:rsidRPr="00E0488D">
              <w:rPr>
                <w:b/>
                <w:color w:val="000000"/>
                <w:sz w:val="22"/>
                <w:szCs w:val="22"/>
                <w:lang w:val="ro-RO" w:eastAsia="en-GB"/>
              </w:rPr>
              <w:t>RBC</w:t>
            </w:r>
          </w:p>
        </w:tc>
        <w:tc>
          <w:tcPr>
            <w:tcW w:w="980" w:type="dxa"/>
            <w:shd w:val="clear" w:color="auto" w:fill="B8CCE4" w:themeFill="accent1" w:themeFillTint="66"/>
            <w:noWrap/>
            <w:vAlign w:val="center"/>
            <w:hideMark/>
          </w:tcPr>
          <w:p w:rsidR="002037ED" w:rsidRPr="00E0488D" w:rsidRDefault="002037ED" w:rsidP="00E4054A">
            <w:pPr>
              <w:rPr>
                <w:color w:val="000000"/>
                <w:lang w:val="ro-RO" w:eastAsia="en-GB"/>
              </w:rPr>
            </w:pPr>
            <w:r w:rsidRPr="00E0488D">
              <w:rPr>
                <w:b/>
                <w:color w:val="000000"/>
                <w:sz w:val="22"/>
                <w:szCs w:val="22"/>
                <w:lang w:val="ro-RO" w:eastAsia="en-GB"/>
              </w:rPr>
              <w:t>RIRE</w:t>
            </w:r>
            <w:r>
              <w:rPr>
                <w:b/>
                <w:color w:val="000000"/>
                <w:sz w:val="22"/>
                <w:szCs w:val="22"/>
                <w:lang w:val="ro-RO" w:eastAsia="en-GB"/>
              </w:rPr>
              <w:t xml:space="preserve"> %</w:t>
            </w:r>
          </w:p>
        </w:tc>
      </w:tr>
      <w:tr w:rsidR="002037ED" w:rsidRPr="0045095C" w:rsidTr="00E4054A">
        <w:trPr>
          <w:trHeight w:val="285"/>
        </w:trPr>
        <w:tc>
          <w:tcPr>
            <w:tcW w:w="1666" w:type="dxa"/>
            <w:shd w:val="clear" w:color="auto" w:fill="auto"/>
            <w:noWrap/>
            <w:vAlign w:val="center"/>
            <w:hideMark/>
          </w:tcPr>
          <w:p w:rsidR="002037ED" w:rsidRPr="0045095C" w:rsidRDefault="002037ED" w:rsidP="00E4054A">
            <w:pPr>
              <w:rPr>
                <w:sz w:val="22"/>
                <w:szCs w:val="22"/>
              </w:rPr>
            </w:pPr>
            <w:r>
              <w:rPr>
                <w:rFonts w:cs="Arial"/>
                <w:color w:val="000000"/>
                <w:sz w:val="22"/>
                <w:szCs w:val="22"/>
              </w:rPr>
              <w:t>BP1</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Oradea</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108</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20</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28</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6</w:t>
            </w:r>
            <w:r w:rsidR="00586F23">
              <w:rPr>
                <w:rFonts w:cs="Arial"/>
                <w:color w:val="000000"/>
                <w:sz w:val="22"/>
                <w:szCs w:val="22"/>
              </w:rPr>
              <w:t>,</w:t>
            </w:r>
            <w:r>
              <w:rPr>
                <w:rFonts w:cs="Arial"/>
                <w:color w:val="000000"/>
                <w:sz w:val="22"/>
                <w:szCs w:val="22"/>
              </w:rPr>
              <w:t>5%</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Dej</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30</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107</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w:t>
            </w:r>
            <w:r w:rsidR="00586F23">
              <w:rPr>
                <w:rFonts w:cs="Arial"/>
                <w:color w:val="000000"/>
                <w:sz w:val="22"/>
                <w:szCs w:val="22"/>
              </w:rPr>
              <w:t>,</w:t>
            </w:r>
            <w:r>
              <w:rPr>
                <w:rFonts w:cs="Arial"/>
                <w:color w:val="000000"/>
                <w:sz w:val="22"/>
                <w:szCs w:val="22"/>
              </w:rPr>
              <w:t>91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19</w:t>
            </w:r>
            <w:r w:rsidR="00586F23">
              <w:rPr>
                <w:rFonts w:cs="Arial"/>
                <w:color w:val="000000"/>
                <w:sz w:val="22"/>
                <w:szCs w:val="22"/>
              </w:rPr>
              <w:t>,</w:t>
            </w:r>
            <w:r>
              <w:rPr>
                <w:rFonts w:cs="Arial"/>
                <w:color w:val="000000"/>
                <w:sz w:val="22"/>
                <w:szCs w:val="22"/>
              </w:rPr>
              <w:t>7%</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BP3</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Sighisoara</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48</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92</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w:t>
            </w:r>
            <w:r w:rsidR="00586F23">
              <w:rPr>
                <w:rFonts w:cs="Arial"/>
                <w:color w:val="000000"/>
                <w:sz w:val="22"/>
                <w:szCs w:val="22"/>
              </w:rPr>
              <w:t>,</w:t>
            </w:r>
            <w:r>
              <w:rPr>
                <w:rFonts w:cs="Arial"/>
                <w:color w:val="000000"/>
                <w:sz w:val="22"/>
                <w:szCs w:val="22"/>
              </w:rPr>
              <w:t>84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15</w:t>
            </w:r>
            <w:r w:rsidR="00586F23">
              <w:rPr>
                <w:rFonts w:cs="Arial"/>
                <w:color w:val="000000"/>
                <w:sz w:val="22"/>
                <w:szCs w:val="22"/>
              </w:rPr>
              <w:t>,</w:t>
            </w:r>
            <w:r>
              <w:rPr>
                <w:rFonts w:cs="Arial"/>
                <w:color w:val="000000"/>
                <w:sz w:val="22"/>
                <w:szCs w:val="22"/>
              </w:rPr>
              <w:t>8%</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BP4</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Roman</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62</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129</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w:t>
            </w:r>
            <w:r w:rsidR="00586F23">
              <w:rPr>
                <w:rFonts w:cs="Arial"/>
                <w:color w:val="000000"/>
                <w:sz w:val="22"/>
                <w:szCs w:val="22"/>
              </w:rPr>
              <w:t>,</w:t>
            </w:r>
            <w:r>
              <w:rPr>
                <w:rFonts w:cs="Arial"/>
                <w:color w:val="000000"/>
                <w:sz w:val="22"/>
                <w:szCs w:val="22"/>
              </w:rPr>
              <w:t>11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15</w:t>
            </w:r>
            <w:r w:rsidR="00586F23">
              <w:rPr>
                <w:rFonts w:cs="Arial"/>
                <w:color w:val="000000"/>
                <w:sz w:val="22"/>
                <w:szCs w:val="22"/>
              </w:rPr>
              <w:t>,</w:t>
            </w:r>
            <w:r>
              <w:rPr>
                <w:rFonts w:cs="Arial"/>
                <w:color w:val="000000"/>
                <w:sz w:val="22"/>
                <w:szCs w:val="22"/>
              </w:rPr>
              <w:t>9%</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BP5</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Focsani</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76</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130</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w:t>
            </w:r>
            <w:r w:rsidR="00586F23">
              <w:rPr>
                <w:rFonts w:cs="Arial"/>
                <w:color w:val="000000"/>
                <w:sz w:val="22"/>
                <w:szCs w:val="22"/>
              </w:rPr>
              <w:t>,</w:t>
            </w:r>
            <w:r>
              <w:rPr>
                <w:rFonts w:cs="Arial"/>
                <w:color w:val="000000"/>
                <w:sz w:val="22"/>
                <w:szCs w:val="22"/>
              </w:rPr>
              <w:t>44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13</w:t>
            </w:r>
            <w:r w:rsidR="00586F23">
              <w:rPr>
                <w:rFonts w:cs="Arial"/>
                <w:color w:val="000000"/>
                <w:sz w:val="22"/>
                <w:szCs w:val="22"/>
              </w:rPr>
              <w:t>,</w:t>
            </w:r>
            <w:r>
              <w:rPr>
                <w:rFonts w:cs="Arial"/>
                <w:color w:val="000000"/>
                <w:sz w:val="22"/>
                <w:szCs w:val="22"/>
              </w:rPr>
              <w:t>1%</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BP6</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Ramnicu Sarat</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37</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8</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31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6</w:t>
            </w:r>
            <w:r w:rsidR="00586F23">
              <w:rPr>
                <w:rFonts w:cs="Arial"/>
                <w:color w:val="000000"/>
                <w:sz w:val="22"/>
                <w:szCs w:val="22"/>
              </w:rPr>
              <w:t>,</w:t>
            </w:r>
            <w:r>
              <w:rPr>
                <w:rFonts w:cs="Arial"/>
                <w:color w:val="000000"/>
                <w:sz w:val="22"/>
                <w:szCs w:val="22"/>
              </w:rPr>
              <w:t>8%</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BP7</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Buzau</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105</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37</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51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w:t>
            </w:r>
            <w:r w:rsidR="00586F23">
              <w:rPr>
                <w:rFonts w:cs="Arial"/>
                <w:color w:val="000000"/>
                <w:sz w:val="22"/>
                <w:szCs w:val="22"/>
              </w:rPr>
              <w:t>,</w:t>
            </w:r>
            <w:r>
              <w:rPr>
                <w:rFonts w:cs="Arial"/>
                <w:color w:val="000000"/>
                <w:sz w:val="22"/>
                <w:szCs w:val="22"/>
              </w:rPr>
              <w:t>5%</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BP8</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Alexandria</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55</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-18</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0</w:t>
            </w:r>
            <w:r w:rsidR="00586F23">
              <w:rPr>
                <w:rFonts w:cs="Arial"/>
                <w:color w:val="000000"/>
                <w:sz w:val="22"/>
                <w:szCs w:val="22"/>
              </w:rPr>
              <w:t>,</w:t>
            </w:r>
            <w:r>
              <w:rPr>
                <w:rFonts w:cs="Arial"/>
                <w:color w:val="000000"/>
                <w:sz w:val="22"/>
                <w:szCs w:val="22"/>
              </w:rPr>
              <w:t>53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5%</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BP9</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Ramnicu Valcea</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195</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23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6</w:t>
            </w:r>
            <w:r w:rsidR="00586F23">
              <w:rPr>
                <w:rFonts w:cs="Arial"/>
                <w:color w:val="000000"/>
                <w:sz w:val="22"/>
                <w:szCs w:val="22"/>
              </w:rPr>
              <w:t>,</w:t>
            </w:r>
            <w:r>
              <w:rPr>
                <w:rFonts w:cs="Arial"/>
                <w:color w:val="000000"/>
                <w:sz w:val="22"/>
                <w:szCs w:val="22"/>
              </w:rPr>
              <w:t>2%</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BP10</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Targoviste</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78</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358</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w:t>
            </w:r>
            <w:r w:rsidR="00586F23">
              <w:rPr>
                <w:rFonts w:cs="Arial"/>
                <w:color w:val="000000"/>
                <w:sz w:val="22"/>
                <w:szCs w:val="22"/>
              </w:rPr>
              <w:t>,</w:t>
            </w:r>
            <w:r>
              <w:rPr>
                <w:rFonts w:cs="Arial"/>
                <w:color w:val="000000"/>
                <w:sz w:val="22"/>
                <w:szCs w:val="22"/>
              </w:rPr>
              <w:t>83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22</w:t>
            </w:r>
            <w:r w:rsidR="00586F23">
              <w:rPr>
                <w:rFonts w:cs="Arial"/>
                <w:color w:val="000000"/>
                <w:sz w:val="22"/>
                <w:szCs w:val="22"/>
              </w:rPr>
              <w:t>,</w:t>
            </w:r>
            <w:r>
              <w:rPr>
                <w:rFonts w:cs="Arial"/>
                <w:color w:val="000000"/>
                <w:sz w:val="22"/>
                <w:szCs w:val="22"/>
              </w:rPr>
              <w:t>7%</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BP11</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Filiasi</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28</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68</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w:t>
            </w:r>
            <w:r w:rsidR="00586F23">
              <w:rPr>
                <w:rFonts w:cs="Arial"/>
                <w:color w:val="000000"/>
                <w:sz w:val="22"/>
                <w:szCs w:val="22"/>
              </w:rPr>
              <w:t>,</w:t>
            </w:r>
            <w:r>
              <w:rPr>
                <w:rFonts w:cs="Arial"/>
                <w:color w:val="000000"/>
                <w:sz w:val="22"/>
                <w:szCs w:val="22"/>
              </w:rPr>
              <w:t>40</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15</w:t>
            </w:r>
            <w:r w:rsidR="00586F23">
              <w:rPr>
                <w:rFonts w:cs="Arial"/>
                <w:color w:val="000000"/>
                <w:sz w:val="22"/>
                <w:szCs w:val="22"/>
              </w:rPr>
              <w:t>,</w:t>
            </w:r>
            <w:r>
              <w:rPr>
                <w:rFonts w:cs="Arial"/>
                <w:color w:val="000000"/>
                <w:sz w:val="22"/>
                <w:szCs w:val="22"/>
              </w:rPr>
              <w:t>6%</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BP12</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Adjud</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46</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170</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w:t>
            </w:r>
            <w:r w:rsidR="00586F23">
              <w:rPr>
                <w:rFonts w:cs="Arial"/>
                <w:color w:val="000000"/>
                <w:sz w:val="22"/>
                <w:szCs w:val="22"/>
              </w:rPr>
              <w:t>,</w:t>
            </w:r>
            <w:r>
              <w:rPr>
                <w:rFonts w:cs="Arial"/>
                <w:color w:val="000000"/>
                <w:sz w:val="22"/>
                <w:szCs w:val="22"/>
              </w:rPr>
              <w:t>96</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19</w:t>
            </w:r>
            <w:r w:rsidR="00586F23">
              <w:rPr>
                <w:rFonts w:cs="Arial"/>
                <w:color w:val="000000"/>
                <w:sz w:val="22"/>
                <w:szCs w:val="22"/>
              </w:rPr>
              <w:t>,</w:t>
            </w:r>
            <w:r>
              <w:rPr>
                <w:rFonts w:cs="Arial"/>
                <w:color w:val="000000"/>
                <w:sz w:val="22"/>
                <w:szCs w:val="22"/>
              </w:rPr>
              <w:t>0%</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BP13</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Mizil</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36</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0</w:t>
            </w:r>
            <w:r w:rsidR="00586F23">
              <w:rPr>
                <w:rFonts w:cs="Arial"/>
                <w:color w:val="000000"/>
                <w:sz w:val="22"/>
                <w:szCs w:val="22"/>
              </w:rPr>
              <w:t>,</w:t>
            </w:r>
            <w:r>
              <w:rPr>
                <w:rFonts w:cs="Arial"/>
                <w:color w:val="000000"/>
                <w:sz w:val="22"/>
                <w:szCs w:val="22"/>
              </w:rPr>
              <w:t>57</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9%</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BP14</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Ludus</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102</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113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w:t>
            </w:r>
            <w:r w:rsidR="00586F23">
              <w:rPr>
                <w:rFonts w:cs="Arial"/>
                <w:color w:val="000000"/>
                <w:sz w:val="22"/>
                <w:szCs w:val="22"/>
              </w:rPr>
              <w:t>,</w:t>
            </w:r>
            <w:r>
              <w:rPr>
                <w:rFonts w:cs="Arial"/>
                <w:color w:val="000000"/>
                <w:sz w:val="22"/>
                <w:szCs w:val="22"/>
              </w:rPr>
              <w:t>53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11</w:t>
            </w:r>
            <w:r w:rsidR="00586F23">
              <w:rPr>
                <w:rFonts w:cs="Arial"/>
                <w:color w:val="000000"/>
                <w:sz w:val="22"/>
                <w:szCs w:val="22"/>
              </w:rPr>
              <w:t>,</w:t>
            </w:r>
            <w:r>
              <w:rPr>
                <w:rFonts w:cs="Arial"/>
                <w:color w:val="000000"/>
                <w:sz w:val="22"/>
                <w:szCs w:val="22"/>
              </w:rPr>
              <w:t>2%</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BP15</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Falticeni</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41</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70</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w:t>
            </w:r>
            <w:r w:rsidR="00586F23">
              <w:rPr>
                <w:rFonts w:cs="Arial"/>
                <w:color w:val="000000"/>
                <w:sz w:val="22"/>
                <w:szCs w:val="22"/>
              </w:rPr>
              <w:t>,</w:t>
            </w:r>
            <w:r>
              <w:rPr>
                <w:rFonts w:cs="Arial"/>
                <w:color w:val="000000"/>
                <w:sz w:val="22"/>
                <w:szCs w:val="22"/>
              </w:rPr>
              <w:t>34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13</w:t>
            </w:r>
            <w:r w:rsidR="00586F23">
              <w:rPr>
                <w:rFonts w:cs="Arial"/>
                <w:color w:val="000000"/>
                <w:sz w:val="22"/>
                <w:szCs w:val="22"/>
              </w:rPr>
              <w:t>,</w:t>
            </w:r>
            <w:r>
              <w:rPr>
                <w:rFonts w:cs="Arial"/>
                <w:color w:val="000000"/>
                <w:sz w:val="22"/>
                <w:szCs w:val="22"/>
              </w:rPr>
              <w:t>2%</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BP16</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Caransebes</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81</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13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w:t>
            </w:r>
            <w:r w:rsidR="00586F23">
              <w:rPr>
                <w:rFonts w:cs="Arial"/>
                <w:color w:val="000000"/>
                <w:sz w:val="22"/>
                <w:szCs w:val="22"/>
              </w:rPr>
              <w:t>,</w:t>
            </w:r>
            <w:r>
              <w:rPr>
                <w:rFonts w:cs="Arial"/>
                <w:color w:val="000000"/>
                <w:sz w:val="22"/>
                <w:szCs w:val="22"/>
              </w:rPr>
              <w:t>7%</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BP17</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Beclean</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42</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81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8</w:t>
            </w:r>
            <w:r w:rsidR="00586F23">
              <w:rPr>
                <w:rFonts w:cs="Arial"/>
                <w:color w:val="000000"/>
                <w:sz w:val="22"/>
                <w:szCs w:val="22"/>
              </w:rPr>
              <w:t>,</w:t>
            </w:r>
            <w:r>
              <w:rPr>
                <w:rFonts w:cs="Arial"/>
                <w:color w:val="000000"/>
                <w:sz w:val="22"/>
                <w:szCs w:val="22"/>
              </w:rPr>
              <w:t>4%</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BP18</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Bistriţa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157</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32</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31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6</w:t>
            </w:r>
            <w:r w:rsidR="00586F23">
              <w:rPr>
                <w:rFonts w:cs="Arial"/>
                <w:color w:val="000000"/>
                <w:sz w:val="22"/>
                <w:szCs w:val="22"/>
              </w:rPr>
              <w:t>,</w:t>
            </w:r>
            <w:r>
              <w:rPr>
                <w:rFonts w:cs="Arial"/>
                <w:color w:val="000000"/>
                <w:sz w:val="22"/>
                <w:szCs w:val="22"/>
              </w:rPr>
              <w:t>5%</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BP19</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Miercurea Ciuc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111</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0</w:t>
            </w:r>
            <w:r w:rsidR="00586F23">
              <w:rPr>
                <w:rFonts w:cs="Arial"/>
                <w:color w:val="000000"/>
                <w:sz w:val="22"/>
                <w:szCs w:val="22"/>
              </w:rPr>
              <w:t>,</w:t>
            </w:r>
            <w:r>
              <w:rPr>
                <w:rFonts w:cs="Arial"/>
                <w:color w:val="000000"/>
                <w:sz w:val="22"/>
                <w:szCs w:val="22"/>
              </w:rPr>
              <w:t>95</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w:t>
            </w:r>
            <w:r w:rsidR="00586F23">
              <w:rPr>
                <w:rFonts w:cs="Arial"/>
                <w:color w:val="000000"/>
                <w:sz w:val="22"/>
                <w:szCs w:val="22"/>
              </w:rPr>
              <w:t>,</w:t>
            </w:r>
            <w:r>
              <w:rPr>
                <w:rFonts w:cs="Arial"/>
                <w:color w:val="000000"/>
                <w:sz w:val="22"/>
                <w:szCs w:val="22"/>
              </w:rPr>
              <w:t>8%</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BP20</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Sfântu Gheorghe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34</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w:t>
            </w:r>
            <w:r w:rsidR="00586F23">
              <w:rPr>
                <w:rFonts w:cs="Arial"/>
                <w:color w:val="000000"/>
                <w:sz w:val="22"/>
                <w:szCs w:val="22"/>
              </w:rPr>
              <w:t>,</w:t>
            </w:r>
            <w:r>
              <w:rPr>
                <w:rFonts w:cs="Arial"/>
                <w:color w:val="000000"/>
                <w:sz w:val="22"/>
                <w:szCs w:val="22"/>
              </w:rPr>
              <w:t>84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11</w:t>
            </w:r>
            <w:r w:rsidR="00586F23">
              <w:rPr>
                <w:rFonts w:cs="Arial"/>
                <w:color w:val="000000"/>
                <w:sz w:val="22"/>
                <w:szCs w:val="22"/>
              </w:rPr>
              <w:t>,</w:t>
            </w:r>
            <w:r>
              <w:rPr>
                <w:rFonts w:cs="Arial"/>
                <w:color w:val="000000"/>
                <w:sz w:val="22"/>
                <w:szCs w:val="22"/>
              </w:rPr>
              <w:t>4%</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BP21</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Giurgiu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72</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50</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w:t>
            </w:r>
            <w:r w:rsidR="00586F23">
              <w:rPr>
                <w:rFonts w:cs="Arial"/>
                <w:color w:val="000000"/>
                <w:sz w:val="22"/>
                <w:szCs w:val="22"/>
              </w:rPr>
              <w:t>,</w:t>
            </w:r>
            <w:r>
              <w:rPr>
                <w:rFonts w:cs="Arial"/>
                <w:color w:val="000000"/>
                <w:sz w:val="22"/>
                <w:szCs w:val="22"/>
              </w:rPr>
              <w:t>4%</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BP22</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Vaslui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73</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31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64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8</w:t>
            </w:r>
            <w:r w:rsidR="00586F23">
              <w:rPr>
                <w:rFonts w:cs="Arial"/>
                <w:color w:val="000000"/>
                <w:sz w:val="22"/>
                <w:szCs w:val="22"/>
              </w:rPr>
              <w:t>,</w:t>
            </w:r>
            <w:r>
              <w:rPr>
                <w:rFonts w:cs="Arial"/>
                <w:color w:val="000000"/>
                <w:sz w:val="22"/>
                <w:szCs w:val="22"/>
              </w:rPr>
              <w:t>6%</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BP23</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Bârlad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51</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w:t>
            </w:r>
            <w:r w:rsidR="00586F23">
              <w:rPr>
                <w:rFonts w:cs="Arial"/>
                <w:color w:val="000000"/>
                <w:sz w:val="22"/>
                <w:szCs w:val="22"/>
              </w:rPr>
              <w:t>,</w:t>
            </w:r>
            <w:r>
              <w:rPr>
                <w:rFonts w:cs="Arial"/>
                <w:color w:val="000000"/>
                <w:sz w:val="22"/>
                <w:szCs w:val="22"/>
              </w:rPr>
              <w:t>57</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11</w:t>
            </w:r>
            <w:r w:rsidR="00586F23">
              <w:rPr>
                <w:rFonts w:cs="Arial"/>
                <w:color w:val="000000"/>
                <w:sz w:val="22"/>
                <w:szCs w:val="22"/>
              </w:rPr>
              <w:t>,</w:t>
            </w:r>
            <w:r>
              <w:rPr>
                <w:rFonts w:cs="Arial"/>
                <w:color w:val="000000"/>
                <w:sz w:val="22"/>
                <w:szCs w:val="22"/>
              </w:rPr>
              <w:t>1%</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BP24</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Slobozia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23</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16</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w:t>
            </w:r>
            <w:r w:rsidR="00586F23">
              <w:rPr>
                <w:rFonts w:cs="Arial"/>
                <w:color w:val="000000"/>
                <w:sz w:val="22"/>
                <w:szCs w:val="22"/>
              </w:rPr>
              <w:t>,</w:t>
            </w:r>
            <w:r>
              <w:rPr>
                <w:rFonts w:cs="Arial"/>
                <w:color w:val="000000"/>
                <w:sz w:val="22"/>
                <w:szCs w:val="22"/>
              </w:rPr>
              <w:t>06</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10</w:t>
            </w:r>
            <w:r w:rsidR="00586F23">
              <w:rPr>
                <w:rFonts w:cs="Arial"/>
                <w:color w:val="000000"/>
                <w:sz w:val="22"/>
                <w:szCs w:val="22"/>
              </w:rPr>
              <w:t>,</w:t>
            </w:r>
            <w:r>
              <w:rPr>
                <w:rFonts w:cs="Arial"/>
                <w:color w:val="000000"/>
                <w:sz w:val="22"/>
                <w:szCs w:val="22"/>
              </w:rPr>
              <w:t>6%</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lastRenderedPageBreak/>
              <w:t>BP25</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Vatra Dornei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18</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57</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5</w:t>
            </w:r>
            <w:r w:rsidR="00586F23">
              <w:rPr>
                <w:rFonts w:cs="Arial"/>
                <w:color w:val="000000"/>
                <w:sz w:val="22"/>
                <w:szCs w:val="22"/>
              </w:rPr>
              <w:t>,</w:t>
            </w:r>
            <w:r>
              <w:rPr>
                <w:rFonts w:cs="Arial"/>
                <w:color w:val="000000"/>
                <w:sz w:val="22"/>
                <w:szCs w:val="22"/>
              </w:rPr>
              <w:t>65</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17</w:t>
            </w:r>
            <w:r w:rsidR="00586F23">
              <w:rPr>
                <w:rFonts w:cs="Arial"/>
                <w:color w:val="000000"/>
                <w:sz w:val="22"/>
                <w:szCs w:val="22"/>
              </w:rPr>
              <w:t>,</w:t>
            </w:r>
            <w:r>
              <w:rPr>
                <w:rFonts w:cs="Arial"/>
                <w:color w:val="000000"/>
                <w:sz w:val="22"/>
                <w:szCs w:val="22"/>
              </w:rPr>
              <w:t>9%</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BP26</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Câmpulung Moldovenesc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99</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-23</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0</w:t>
            </w:r>
            <w:r w:rsidR="00586F23">
              <w:rPr>
                <w:rFonts w:cs="Arial"/>
                <w:color w:val="000000"/>
                <w:sz w:val="22"/>
                <w:szCs w:val="22"/>
              </w:rPr>
              <w:t>,</w:t>
            </w:r>
            <w:r>
              <w:rPr>
                <w:rFonts w:cs="Arial"/>
                <w:color w:val="000000"/>
                <w:sz w:val="22"/>
                <w:szCs w:val="22"/>
              </w:rPr>
              <w:t>65</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w:t>
            </w:r>
            <w:r w:rsidR="00586F23">
              <w:rPr>
                <w:rFonts w:cs="Arial"/>
                <w:color w:val="000000"/>
                <w:sz w:val="22"/>
                <w:szCs w:val="22"/>
              </w:rPr>
              <w:t>,</w:t>
            </w:r>
            <w:r>
              <w:rPr>
                <w:rFonts w:cs="Arial"/>
                <w:color w:val="000000"/>
                <w:sz w:val="22"/>
                <w:szCs w:val="22"/>
              </w:rPr>
              <w:t>5%</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BP27</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Mangalia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44</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w:t>
            </w:r>
            <w:r w:rsidR="00586F23">
              <w:rPr>
                <w:rFonts w:cs="Arial"/>
                <w:color w:val="000000"/>
                <w:sz w:val="22"/>
                <w:szCs w:val="22"/>
              </w:rPr>
              <w:t>,</w:t>
            </w:r>
            <w:r>
              <w:rPr>
                <w:rFonts w:cs="Arial"/>
                <w:color w:val="000000"/>
                <w:sz w:val="22"/>
                <w:szCs w:val="22"/>
              </w:rPr>
              <w:t>49</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7</w:t>
            </w:r>
            <w:r w:rsidR="00586F23">
              <w:rPr>
                <w:rFonts w:cs="Arial"/>
                <w:color w:val="000000"/>
                <w:sz w:val="22"/>
                <w:szCs w:val="22"/>
              </w:rPr>
              <w:t>,</w:t>
            </w:r>
            <w:r>
              <w:rPr>
                <w:rFonts w:cs="Arial"/>
                <w:color w:val="000000"/>
                <w:sz w:val="22"/>
                <w:szCs w:val="22"/>
              </w:rPr>
              <w:t>5%</w:t>
            </w:r>
          </w:p>
        </w:tc>
      </w:tr>
      <w:tr w:rsidR="002037ED" w:rsidRPr="0045095C" w:rsidTr="00E4054A">
        <w:trPr>
          <w:trHeight w:val="285"/>
        </w:trPr>
        <w:tc>
          <w:tcPr>
            <w:tcW w:w="1666"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BP28</w:t>
            </w:r>
          </w:p>
        </w:tc>
        <w:tc>
          <w:tcPr>
            <w:tcW w:w="3118" w:type="dxa"/>
            <w:shd w:val="clear" w:color="000000" w:fill="FFFFFF"/>
            <w:noWrap/>
            <w:vAlign w:val="center"/>
            <w:hideMark/>
          </w:tcPr>
          <w:p w:rsidR="002037ED" w:rsidRPr="0045095C" w:rsidRDefault="002037ED" w:rsidP="00E4054A">
            <w:pPr>
              <w:rPr>
                <w:sz w:val="22"/>
                <w:szCs w:val="22"/>
              </w:rPr>
            </w:pPr>
            <w:r>
              <w:rPr>
                <w:rFonts w:cs="Arial"/>
                <w:color w:val="000000"/>
                <w:sz w:val="22"/>
                <w:szCs w:val="22"/>
              </w:rPr>
              <w:t xml:space="preserve">Timisoara South  </w:t>
            </w:r>
          </w:p>
        </w:tc>
        <w:tc>
          <w:tcPr>
            <w:tcW w:w="1888"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127</w:t>
            </w:r>
          </w:p>
        </w:tc>
        <w:tc>
          <w:tcPr>
            <w:tcW w:w="979"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104</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2</w:t>
            </w:r>
            <w:r w:rsidR="00586F23">
              <w:rPr>
                <w:rFonts w:cs="Arial"/>
                <w:color w:val="000000"/>
                <w:sz w:val="22"/>
                <w:szCs w:val="22"/>
              </w:rPr>
              <w:t>,</w:t>
            </w:r>
            <w:r>
              <w:rPr>
                <w:rFonts w:cs="Arial"/>
                <w:color w:val="000000"/>
                <w:sz w:val="22"/>
                <w:szCs w:val="22"/>
              </w:rPr>
              <w:t>21</w:t>
            </w:r>
          </w:p>
        </w:tc>
        <w:tc>
          <w:tcPr>
            <w:tcW w:w="980" w:type="dxa"/>
            <w:shd w:val="clear" w:color="000000" w:fill="EEECE1"/>
            <w:noWrap/>
            <w:vAlign w:val="center"/>
            <w:hideMark/>
          </w:tcPr>
          <w:p w:rsidR="002037ED" w:rsidRDefault="002037ED" w:rsidP="00E4054A">
            <w:pPr>
              <w:jc w:val="center"/>
              <w:rPr>
                <w:color w:val="000000"/>
                <w:sz w:val="22"/>
                <w:szCs w:val="22"/>
              </w:rPr>
            </w:pPr>
            <w:r>
              <w:rPr>
                <w:rFonts w:cs="Arial"/>
                <w:color w:val="000000"/>
                <w:sz w:val="22"/>
                <w:szCs w:val="22"/>
              </w:rPr>
              <w:t>9</w:t>
            </w:r>
            <w:r w:rsidR="00586F23">
              <w:rPr>
                <w:rFonts w:cs="Arial"/>
                <w:color w:val="000000"/>
                <w:sz w:val="22"/>
                <w:szCs w:val="22"/>
              </w:rPr>
              <w:t>,</w:t>
            </w:r>
            <w:r>
              <w:rPr>
                <w:rFonts w:cs="Arial"/>
                <w:color w:val="000000"/>
                <w:sz w:val="22"/>
                <w:szCs w:val="22"/>
              </w:rPr>
              <w:t>7%</w:t>
            </w:r>
          </w:p>
        </w:tc>
      </w:tr>
    </w:tbl>
    <w:p w:rsidR="002037ED" w:rsidRDefault="002037ED" w:rsidP="00B4550A">
      <w:pPr>
        <w:ind w:left="284" w:firstLine="567"/>
        <w:rPr>
          <w:i/>
          <w:sz w:val="22"/>
          <w:szCs w:val="22"/>
          <w:lang w:val="ro-RO"/>
        </w:rPr>
      </w:pPr>
    </w:p>
    <w:p w:rsidR="00B4550A" w:rsidRPr="00E0488D" w:rsidRDefault="00B4550A" w:rsidP="00B4550A">
      <w:pPr>
        <w:ind w:left="284" w:firstLine="567"/>
        <w:rPr>
          <w:i/>
          <w:sz w:val="22"/>
          <w:szCs w:val="22"/>
          <w:lang w:val="ro-RO"/>
        </w:rPr>
      </w:pPr>
      <w:r w:rsidRPr="00E0488D">
        <w:rPr>
          <w:i/>
          <w:sz w:val="22"/>
          <w:szCs w:val="22"/>
          <w:lang w:val="ro-RO"/>
        </w:rPr>
        <w:t xml:space="preserve">Sursa: Analiza AECOM </w:t>
      </w:r>
    </w:p>
    <w:p w:rsidR="00B4550A" w:rsidRPr="00E0488D" w:rsidRDefault="00B4550A" w:rsidP="00B4550A">
      <w:pPr>
        <w:spacing w:before="120" w:after="120" w:line="276" w:lineRule="auto"/>
        <w:ind w:left="680"/>
        <w:rPr>
          <w:sz w:val="22"/>
          <w:szCs w:val="22"/>
          <w:lang w:val="ro-RO"/>
        </w:rPr>
      </w:pPr>
    </w:p>
    <w:p w:rsidR="00B4550A" w:rsidRPr="00E0488D" w:rsidRDefault="00B4550A" w:rsidP="00BD59B2">
      <w:pPr>
        <w:pStyle w:val="Hdg2"/>
      </w:pPr>
      <w:bookmarkStart w:id="85" w:name="_Toc398020047"/>
      <w:bookmarkStart w:id="86" w:name="_Toc413060317"/>
      <w:bookmarkStart w:id="87" w:name="_Toc397020190"/>
      <w:r w:rsidRPr="00E0488D">
        <w:t>Analiza Multicriterială</w:t>
      </w:r>
      <w:bookmarkEnd w:id="85"/>
      <w:bookmarkEnd w:id="86"/>
      <w:r w:rsidRPr="00E0488D">
        <w:t xml:space="preserve"> </w:t>
      </w:r>
      <w:bookmarkEnd w:id="87"/>
    </w:p>
    <w:p w:rsidR="00B4550A" w:rsidRPr="00E0488D" w:rsidRDefault="00B4550A" w:rsidP="002B7E09">
      <w:pPr>
        <w:pStyle w:val="NumberedParas"/>
      </w:pPr>
      <w:r w:rsidRPr="00E0488D">
        <w:t xml:space="preserve">Abordarea generală pentru selecția proiectelor și a modalității în care aceste proiecte sunt combinate pentru a forma scenariul final sunt prezentate în subcapitolul 2.6. </w:t>
      </w:r>
    </w:p>
    <w:p w:rsidR="00B4550A" w:rsidRPr="00E0488D" w:rsidRDefault="00B4550A" w:rsidP="002B7E09">
      <w:pPr>
        <w:pStyle w:val="NumberedParas"/>
      </w:pPr>
      <w:r w:rsidRPr="00E0488D">
        <w:t xml:space="preserve">În secțiunile anterioare ale acestui capitol s-a discutat despre selecția proiectelor recomandate de Nivel 1 și 2, precum și a proiectelor de variantă de ocolire, iar Analiza Multicriterială are rolul de a uni toate aceste proiecte pentru a forma o strategie coerentă, prin considerarea alocărilor bugetare pe fiecare mod de transport.  </w:t>
      </w:r>
    </w:p>
    <w:p w:rsidR="00B4550A" w:rsidRPr="00E0488D" w:rsidRDefault="00B4550A" w:rsidP="002B7E09">
      <w:pPr>
        <w:pStyle w:val="NumberedParas"/>
      </w:pPr>
      <w:r w:rsidRPr="00E0488D">
        <w:t xml:space="preserve">Subiectul alocării fondurilor este discutat în întregime în cadrul subcapitolului 11.3, însă Tabelul 4.22 prezintă o sinteză relevantă pentru rețeaua de drumuri. </w:t>
      </w:r>
    </w:p>
    <w:p w:rsidR="00B4550A" w:rsidRPr="00E0488D" w:rsidRDefault="00B4550A" w:rsidP="00B4550A">
      <w:pPr>
        <w:spacing w:before="120" w:after="120" w:line="276" w:lineRule="auto"/>
        <w:ind w:left="851"/>
        <w:rPr>
          <w:b/>
          <w:sz w:val="22"/>
          <w:szCs w:val="22"/>
          <w:lang w:val="ro-RO"/>
        </w:rPr>
      </w:pPr>
      <w:r w:rsidRPr="00E0488D">
        <w:rPr>
          <w:b/>
          <w:sz w:val="22"/>
          <w:szCs w:val="22"/>
          <w:lang w:val="ro-RO"/>
        </w:rPr>
        <w:t>Tabelul 4.22</w:t>
      </w:r>
      <w:r w:rsidRPr="00E0488D">
        <w:rPr>
          <w:b/>
          <w:sz w:val="22"/>
          <w:szCs w:val="22"/>
          <w:lang w:val="ro-RO"/>
        </w:rPr>
        <w:tab/>
        <w:t>Alocarea fondurilor pentru drumuri (milioane de Euro)</w:t>
      </w:r>
    </w:p>
    <w:tbl>
      <w:tblPr>
        <w:tblW w:w="807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5"/>
        <w:gridCol w:w="1593"/>
        <w:gridCol w:w="1593"/>
        <w:gridCol w:w="1594"/>
      </w:tblGrid>
      <w:tr w:rsidR="00B4550A" w:rsidRPr="0030066D" w:rsidTr="003C7FC8">
        <w:tc>
          <w:tcPr>
            <w:tcW w:w="3295" w:type="dxa"/>
            <w:vMerge w:val="restart"/>
            <w:shd w:val="clear" w:color="auto" w:fill="B8CCE4" w:themeFill="accent1" w:themeFillTint="66"/>
            <w:vAlign w:val="center"/>
            <w:hideMark/>
          </w:tcPr>
          <w:p w:rsidR="00B4550A" w:rsidRPr="0030066D" w:rsidRDefault="00B4550A" w:rsidP="003C7FC8">
            <w:pPr>
              <w:spacing w:before="60" w:after="60"/>
              <w:rPr>
                <w:b/>
                <w:bCs/>
                <w:color w:val="FFFFFF"/>
                <w:sz w:val="22"/>
                <w:szCs w:val="22"/>
                <w:lang w:val="ro-RO" w:eastAsia="en-GB"/>
              </w:rPr>
            </w:pPr>
            <w:r w:rsidRPr="0030066D">
              <w:rPr>
                <w:b/>
                <w:bCs/>
                <w:color w:val="FFFFFF"/>
                <w:sz w:val="22"/>
                <w:szCs w:val="22"/>
                <w:lang w:val="ro-RO" w:eastAsia="en-GB"/>
              </w:rPr>
              <w:t> </w:t>
            </w:r>
            <w:r w:rsidRPr="0030066D">
              <w:rPr>
                <w:b/>
                <w:bCs/>
                <w:sz w:val="22"/>
                <w:szCs w:val="22"/>
                <w:lang w:val="ro-RO" w:eastAsia="en-GB"/>
              </w:rPr>
              <w:t>Tipul proiectului</w:t>
            </w:r>
          </w:p>
        </w:tc>
        <w:tc>
          <w:tcPr>
            <w:tcW w:w="4780" w:type="dxa"/>
            <w:gridSpan w:val="3"/>
            <w:shd w:val="clear" w:color="auto" w:fill="B8CCE4" w:themeFill="accent1" w:themeFillTint="66"/>
            <w:vAlign w:val="center"/>
            <w:hideMark/>
          </w:tcPr>
          <w:p w:rsidR="00B4550A" w:rsidRPr="0030066D" w:rsidRDefault="00B4550A" w:rsidP="003C7FC8">
            <w:pPr>
              <w:spacing w:before="60" w:after="60"/>
              <w:jc w:val="center"/>
              <w:rPr>
                <w:b/>
                <w:bCs/>
                <w:sz w:val="22"/>
                <w:szCs w:val="22"/>
                <w:lang w:val="ro-RO" w:eastAsia="en-GB"/>
              </w:rPr>
            </w:pPr>
            <w:r w:rsidRPr="0030066D">
              <w:rPr>
                <w:b/>
                <w:bCs/>
                <w:sz w:val="22"/>
                <w:szCs w:val="22"/>
                <w:lang w:val="ro-RO" w:eastAsia="en-GB"/>
              </w:rPr>
              <w:t>Perioada</w:t>
            </w:r>
          </w:p>
        </w:tc>
      </w:tr>
      <w:tr w:rsidR="00B4550A" w:rsidRPr="0030066D" w:rsidTr="003C7FC8">
        <w:tc>
          <w:tcPr>
            <w:tcW w:w="3295" w:type="dxa"/>
            <w:vMerge/>
            <w:shd w:val="clear" w:color="auto" w:fill="B8CCE4" w:themeFill="accent1" w:themeFillTint="66"/>
            <w:vAlign w:val="center"/>
            <w:hideMark/>
          </w:tcPr>
          <w:p w:rsidR="00B4550A" w:rsidRPr="0030066D" w:rsidRDefault="00B4550A" w:rsidP="003C7FC8">
            <w:pPr>
              <w:spacing w:before="60" w:after="60"/>
              <w:rPr>
                <w:b/>
                <w:bCs/>
                <w:sz w:val="22"/>
                <w:szCs w:val="22"/>
                <w:lang w:val="ro-RO" w:eastAsia="en-GB"/>
              </w:rPr>
            </w:pPr>
          </w:p>
        </w:tc>
        <w:tc>
          <w:tcPr>
            <w:tcW w:w="1593" w:type="dxa"/>
            <w:shd w:val="clear" w:color="auto" w:fill="B8CCE4" w:themeFill="accent1" w:themeFillTint="66"/>
            <w:vAlign w:val="center"/>
            <w:hideMark/>
          </w:tcPr>
          <w:p w:rsidR="00B4550A" w:rsidRPr="0030066D" w:rsidRDefault="00B4550A" w:rsidP="003C7FC8">
            <w:pPr>
              <w:spacing w:before="60" w:after="60"/>
              <w:jc w:val="center"/>
              <w:rPr>
                <w:b/>
                <w:bCs/>
                <w:sz w:val="22"/>
                <w:szCs w:val="22"/>
                <w:lang w:val="ro-RO"/>
              </w:rPr>
            </w:pPr>
            <w:r w:rsidRPr="0030066D">
              <w:rPr>
                <w:b/>
                <w:bCs/>
                <w:sz w:val="22"/>
                <w:szCs w:val="22"/>
                <w:lang w:val="ro-RO"/>
              </w:rPr>
              <w:t>2014-2020</w:t>
            </w:r>
          </w:p>
        </w:tc>
        <w:tc>
          <w:tcPr>
            <w:tcW w:w="1593" w:type="dxa"/>
            <w:shd w:val="clear" w:color="auto" w:fill="B8CCE4" w:themeFill="accent1" w:themeFillTint="66"/>
            <w:vAlign w:val="center"/>
            <w:hideMark/>
          </w:tcPr>
          <w:p w:rsidR="00B4550A" w:rsidRPr="0030066D" w:rsidRDefault="00B4550A" w:rsidP="003C7FC8">
            <w:pPr>
              <w:spacing w:before="60" w:after="60"/>
              <w:jc w:val="center"/>
              <w:rPr>
                <w:b/>
                <w:bCs/>
                <w:sz w:val="22"/>
                <w:szCs w:val="22"/>
                <w:lang w:val="ro-RO"/>
              </w:rPr>
            </w:pPr>
            <w:r w:rsidRPr="0030066D">
              <w:rPr>
                <w:b/>
                <w:bCs/>
                <w:sz w:val="22"/>
                <w:szCs w:val="22"/>
                <w:lang w:val="ro-RO"/>
              </w:rPr>
              <w:t>2021-2030</w:t>
            </w:r>
          </w:p>
        </w:tc>
        <w:tc>
          <w:tcPr>
            <w:tcW w:w="1594" w:type="dxa"/>
            <w:shd w:val="clear" w:color="auto" w:fill="B8CCE4" w:themeFill="accent1" w:themeFillTint="66"/>
            <w:vAlign w:val="center"/>
            <w:hideMark/>
          </w:tcPr>
          <w:p w:rsidR="00B4550A" w:rsidRPr="0030066D" w:rsidRDefault="00B4550A" w:rsidP="003C7FC8">
            <w:pPr>
              <w:spacing w:before="60" w:after="60"/>
              <w:jc w:val="center"/>
              <w:rPr>
                <w:b/>
                <w:bCs/>
                <w:sz w:val="22"/>
                <w:szCs w:val="22"/>
                <w:lang w:val="ro-RO"/>
              </w:rPr>
            </w:pPr>
            <w:r w:rsidRPr="0030066D">
              <w:rPr>
                <w:b/>
                <w:bCs/>
                <w:sz w:val="22"/>
                <w:szCs w:val="22"/>
                <w:lang w:val="ro-RO"/>
              </w:rPr>
              <w:t>2014-2030</w:t>
            </w:r>
          </w:p>
        </w:tc>
      </w:tr>
      <w:tr w:rsidR="0030066D" w:rsidRPr="0030066D" w:rsidTr="003C7FC8">
        <w:tc>
          <w:tcPr>
            <w:tcW w:w="3295" w:type="dxa"/>
            <w:shd w:val="clear" w:color="auto" w:fill="auto"/>
            <w:vAlign w:val="center"/>
            <w:hideMark/>
          </w:tcPr>
          <w:p w:rsidR="0030066D" w:rsidRPr="0030066D" w:rsidRDefault="0030066D" w:rsidP="003C7FC8">
            <w:pPr>
              <w:spacing w:before="60" w:after="60"/>
              <w:rPr>
                <w:color w:val="000000"/>
                <w:sz w:val="22"/>
                <w:szCs w:val="22"/>
                <w:lang w:val="ro-RO" w:eastAsia="en-GB"/>
              </w:rPr>
            </w:pPr>
            <w:r w:rsidRPr="0030066D">
              <w:rPr>
                <w:color w:val="000000"/>
                <w:sz w:val="22"/>
                <w:szCs w:val="22"/>
                <w:lang w:val="ro-RO" w:eastAsia="en-GB"/>
              </w:rPr>
              <w:t>Autostrăzi și drumuri expres</w:t>
            </w:r>
          </w:p>
        </w:tc>
        <w:tc>
          <w:tcPr>
            <w:tcW w:w="1593" w:type="dxa"/>
            <w:shd w:val="clear" w:color="auto" w:fill="auto"/>
            <w:vAlign w:val="center"/>
            <w:hideMark/>
          </w:tcPr>
          <w:p w:rsidR="0030066D" w:rsidRPr="0030066D" w:rsidRDefault="0030066D" w:rsidP="0030066D">
            <w:pPr>
              <w:jc w:val="center"/>
              <w:rPr>
                <w:rFonts w:cs="Arial"/>
                <w:color w:val="000000"/>
                <w:sz w:val="20"/>
                <w:szCs w:val="20"/>
              </w:rPr>
            </w:pPr>
            <w:r w:rsidRPr="0030066D">
              <w:rPr>
                <w:rFonts w:cs="Arial"/>
                <w:color w:val="000000"/>
                <w:sz w:val="20"/>
                <w:szCs w:val="20"/>
              </w:rPr>
              <w:t>5,281</w:t>
            </w:r>
          </w:p>
        </w:tc>
        <w:tc>
          <w:tcPr>
            <w:tcW w:w="1593" w:type="dxa"/>
            <w:shd w:val="clear" w:color="auto" w:fill="auto"/>
            <w:vAlign w:val="center"/>
            <w:hideMark/>
          </w:tcPr>
          <w:p w:rsidR="0030066D" w:rsidRPr="0030066D" w:rsidRDefault="0030066D" w:rsidP="0030066D">
            <w:pPr>
              <w:jc w:val="center"/>
              <w:rPr>
                <w:rFonts w:cs="Arial"/>
                <w:color w:val="000000"/>
                <w:sz w:val="20"/>
                <w:szCs w:val="20"/>
              </w:rPr>
            </w:pPr>
            <w:r w:rsidRPr="0030066D">
              <w:rPr>
                <w:rFonts w:cs="Arial"/>
                <w:color w:val="000000"/>
                <w:sz w:val="20"/>
                <w:szCs w:val="20"/>
              </w:rPr>
              <w:t>11,556</w:t>
            </w:r>
          </w:p>
        </w:tc>
        <w:tc>
          <w:tcPr>
            <w:tcW w:w="1594" w:type="dxa"/>
            <w:shd w:val="clear" w:color="auto" w:fill="auto"/>
            <w:vAlign w:val="center"/>
            <w:hideMark/>
          </w:tcPr>
          <w:p w:rsidR="0030066D" w:rsidRPr="0030066D" w:rsidRDefault="0030066D" w:rsidP="0030066D">
            <w:pPr>
              <w:jc w:val="center"/>
              <w:rPr>
                <w:rFonts w:cs="Arial"/>
                <w:color w:val="000000"/>
                <w:sz w:val="20"/>
                <w:szCs w:val="20"/>
              </w:rPr>
            </w:pPr>
            <w:r w:rsidRPr="0030066D">
              <w:rPr>
                <w:rFonts w:cs="Arial"/>
                <w:color w:val="000000"/>
                <w:sz w:val="20"/>
                <w:szCs w:val="20"/>
              </w:rPr>
              <w:t>16,836</w:t>
            </w:r>
          </w:p>
        </w:tc>
      </w:tr>
      <w:tr w:rsidR="0030066D" w:rsidRPr="00E0488D" w:rsidTr="003C7FC8">
        <w:tc>
          <w:tcPr>
            <w:tcW w:w="3295" w:type="dxa"/>
            <w:shd w:val="clear" w:color="auto" w:fill="auto"/>
            <w:vAlign w:val="center"/>
            <w:hideMark/>
          </w:tcPr>
          <w:p w:rsidR="0030066D" w:rsidRPr="0030066D" w:rsidRDefault="0030066D" w:rsidP="003C7FC8">
            <w:pPr>
              <w:spacing w:before="60" w:after="60"/>
              <w:rPr>
                <w:color w:val="000000"/>
                <w:sz w:val="22"/>
                <w:szCs w:val="22"/>
                <w:lang w:val="ro-RO" w:eastAsia="en-GB"/>
              </w:rPr>
            </w:pPr>
            <w:r w:rsidRPr="0030066D">
              <w:rPr>
                <w:color w:val="000000"/>
                <w:sz w:val="22"/>
                <w:szCs w:val="22"/>
                <w:lang w:val="ro-RO" w:eastAsia="en-GB"/>
              </w:rPr>
              <w:t>VO</w:t>
            </w:r>
          </w:p>
        </w:tc>
        <w:tc>
          <w:tcPr>
            <w:tcW w:w="1593" w:type="dxa"/>
            <w:shd w:val="clear" w:color="auto" w:fill="auto"/>
            <w:vAlign w:val="center"/>
            <w:hideMark/>
          </w:tcPr>
          <w:p w:rsidR="0030066D" w:rsidRPr="0030066D" w:rsidRDefault="0030066D" w:rsidP="0030066D">
            <w:pPr>
              <w:jc w:val="center"/>
              <w:rPr>
                <w:rFonts w:cs="Arial"/>
                <w:color w:val="000000"/>
                <w:sz w:val="20"/>
                <w:szCs w:val="20"/>
              </w:rPr>
            </w:pPr>
            <w:r w:rsidRPr="0030066D">
              <w:rPr>
                <w:rFonts w:cs="Arial"/>
                <w:color w:val="000000"/>
                <w:sz w:val="20"/>
                <w:szCs w:val="20"/>
              </w:rPr>
              <w:t>232</w:t>
            </w:r>
          </w:p>
        </w:tc>
        <w:tc>
          <w:tcPr>
            <w:tcW w:w="1593" w:type="dxa"/>
            <w:shd w:val="clear" w:color="auto" w:fill="auto"/>
            <w:vAlign w:val="center"/>
            <w:hideMark/>
          </w:tcPr>
          <w:p w:rsidR="0030066D" w:rsidRPr="0030066D" w:rsidRDefault="0030066D" w:rsidP="0030066D">
            <w:pPr>
              <w:jc w:val="center"/>
              <w:rPr>
                <w:rFonts w:cs="Arial"/>
                <w:color w:val="000000"/>
                <w:sz w:val="20"/>
                <w:szCs w:val="20"/>
              </w:rPr>
            </w:pPr>
            <w:r w:rsidRPr="0030066D">
              <w:rPr>
                <w:rFonts w:cs="Arial"/>
                <w:color w:val="000000"/>
                <w:sz w:val="20"/>
                <w:szCs w:val="20"/>
              </w:rPr>
              <w:t>834</w:t>
            </w:r>
          </w:p>
        </w:tc>
        <w:tc>
          <w:tcPr>
            <w:tcW w:w="1594" w:type="dxa"/>
            <w:shd w:val="clear" w:color="auto" w:fill="auto"/>
            <w:vAlign w:val="center"/>
            <w:hideMark/>
          </w:tcPr>
          <w:p w:rsidR="0030066D" w:rsidRDefault="0030066D" w:rsidP="0030066D">
            <w:pPr>
              <w:jc w:val="center"/>
              <w:rPr>
                <w:rFonts w:cs="Arial"/>
                <w:color w:val="000000"/>
                <w:sz w:val="20"/>
                <w:szCs w:val="20"/>
              </w:rPr>
            </w:pPr>
            <w:r w:rsidRPr="0030066D">
              <w:rPr>
                <w:rFonts w:cs="Arial"/>
                <w:color w:val="000000"/>
                <w:sz w:val="20"/>
                <w:szCs w:val="20"/>
              </w:rPr>
              <w:t>1,066</w:t>
            </w:r>
          </w:p>
        </w:tc>
      </w:tr>
    </w:tbl>
    <w:p w:rsidR="00B4550A" w:rsidRPr="00E0488D" w:rsidRDefault="00B4550A" w:rsidP="00B4550A">
      <w:pPr>
        <w:spacing w:before="120" w:after="120" w:line="276" w:lineRule="auto"/>
        <w:ind w:left="680"/>
        <w:rPr>
          <w:sz w:val="22"/>
          <w:szCs w:val="22"/>
          <w:lang w:val="ro-RO"/>
        </w:rPr>
      </w:pPr>
      <w:r w:rsidRPr="00E0488D">
        <w:rPr>
          <w:i/>
          <w:sz w:val="22"/>
          <w:szCs w:val="22"/>
          <w:lang w:val="ro-RO"/>
        </w:rPr>
        <w:t>Sursa: Analiza AECOM</w:t>
      </w:r>
    </w:p>
    <w:p w:rsidR="00B4550A" w:rsidRPr="00E0488D" w:rsidRDefault="00B4550A" w:rsidP="002B7E09">
      <w:pPr>
        <w:pStyle w:val="NumberedParas"/>
      </w:pPr>
      <w:r w:rsidRPr="00E0488D">
        <w:t>Deși gruparea finală a proiectelor este stabilită în cadrul modelului și a analizei financiare, acesta nu este un proces întru-totul mecanic. În cadrul fiecărei etape, echipa AECOM a efectuat verificări cu privire la situația reală și la tendințe, pentru ca procesul să nu aibă ca rezultat o rețea cu legături inferioare din punct de vedere calitativ sau o rețea ce favorizează implementarea ilogică a proiectelor.</w:t>
      </w:r>
    </w:p>
    <w:p w:rsidR="00B4550A" w:rsidRPr="00E0488D" w:rsidRDefault="00B4550A" w:rsidP="002B7E09">
      <w:pPr>
        <w:pStyle w:val="NumberedParas"/>
      </w:pPr>
      <w:r w:rsidRPr="00E0488D">
        <w:t>De asemenea, au avut loc discuții curente cu reprezentanții Ministerului, precum și cu JASPERS, consultanții acestora, pentru a asigura o validare independentă a întregului proces. Aspectele important de menționat sunt prezentate în cele ce urmează.</w:t>
      </w:r>
    </w:p>
    <w:p w:rsidR="00B4550A" w:rsidRPr="00E0488D" w:rsidRDefault="00B4550A" w:rsidP="002B7E09">
      <w:pPr>
        <w:pStyle w:val="NumberedParas"/>
      </w:pPr>
      <w:r w:rsidRPr="00E0488D">
        <w:t xml:space="preserve">Autostrada Bacău-Iași a fost exclusă din lista de proiecte din următoarele motive: </w:t>
      </w:r>
    </w:p>
    <w:p w:rsidR="00B4550A" w:rsidRPr="00E0488D" w:rsidRDefault="00B4550A" w:rsidP="00BC2B57">
      <w:pPr>
        <w:pStyle w:val="BulletLevel1"/>
      </w:pPr>
      <w:r w:rsidRPr="00E0488D">
        <w:t>Configurația terenului a fost identificată ca fiind foarte dificilă, ceea ce ar presupune numeroase incertitudini în ceea ce privește alocarea costurilor de investiție;</w:t>
      </w:r>
    </w:p>
    <w:p w:rsidR="00B4550A" w:rsidRPr="00E0488D" w:rsidRDefault="00B4550A" w:rsidP="00BC2B57">
      <w:pPr>
        <w:pStyle w:val="BulletLevel1"/>
      </w:pPr>
      <w:r w:rsidRPr="00E0488D">
        <w:t xml:space="preserve">Indicatorii de performanță economică și AMC au valori foarte scăzute pentru un proiect de Nivel 1; și </w:t>
      </w:r>
    </w:p>
    <w:p w:rsidR="00B4550A" w:rsidRPr="00E0488D" w:rsidRDefault="00B4550A" w:rsidP="00BC2B57">
      <w:pPr>
        <w:pStyle w:val="BulletLevel1"/>
      </w:pPr>
      <w:r w:rsidRPr="00E0488D">
        <w:lastRenderedPageBreak/>
        <w:t xml:space="preserve">Legătura dintre Iași și vestul României, precum și cea dintre Iași și București pot fi efectuate prin intermediul altor coridoare.  </w:t>
      </w:r>
    </w:p>
    <w:p w:rsidR="00B4550A" w:rsidRPr="00E0488D" w:rsidRDefault="00B4550A" w:rsidP="002B7E09">
      <w:pPr>
        <w:pStyle w:val="NumberedParas"/>
      </w:pPr>
      <w:r w:rsidRPr="00E0488D">
        <w:t xml:space="preserve">A fost adăugat un drum expres care conectează municipiile Buzău și Focșani; pentru acesta a fost realizată o analiză cost-beneficiu pentru a remedia problema conectivității de pe acest coridor. </w:t>
      </w:r>
    </w:p>
    <w:p w:rsidR="00B4550A" w:rsidRPr="00E0488D" w:rsidRDefault="00B4550A" w:rsidP="002B7E09">
      <w:pPr>
        <w:pStyle w:val="NumberedParas"/>
      </w:pPr>
      <w:r w:rsidRPr="00E0488D">
        <w:t xml:space="preserve">În ceea ce privește proiectul Câmpia Turzii-Târgu Mureș-Iași, s-a convenit asupra includerii legăturii Iași-Ungheni (care inițial a fost inclusă în proiectul de autostradă Bacău-Iași). De asemenea, ca urmare a discuțiilor cu reprezentanții CNADNR în data de 21.08.2014, s-a decis asupra eliminării secțiunii Câmpia Turzii-Târgu Mureș, deoarece acesta se va implementa ca proiect de autostradă, stabilit pentru perioada de programare curentă.  </w:t>
      </w:r>
    </w:p>
    <w:p w:rsidR="00B4550A" w:rsidRPr="00E0488D" w:rsidRDefault="00B4550A" w:rsidP="002B7E09">
      <w:pPr>
        <w:pStyle w:val="NumberedParas"/>
      </w:pPr>
      <w:r w:rsidRPr="00E0488D">
        <w:t xml:space="preserve">Scenariile ES și EES finale sunt prezentate în Tabelele 5.24 și 5.25 în cadrul cărora sunt stabilite secțiunile, rezultatele AMC, valorile pentru RIRE, costul (împreună cu un cost cumulativ) și perioada de implementare (toate fiind stabilite în raport cu rețeaua TEN-T). De asemenea, rețelele sunt ilustrate în Figurile de la 5.65 până la 5.68. </w:t>
      </w:r>
    </w:p>
    <w:p w:rsidR="00B4550A" w:rsidRPr="00E0488D" w:rsidRDefault="00B4550A" w:rsidP="002B7E09">
      <w:pPr>
        <w:pStyle w:val="NumberedParas"/>
      </w:pPr>
      <w:r w:rsidRPr="00E0488D">
        <w:t xml:space="preserve">Ținând cont de importanța procesului de definire a rețelei TEN-T, s-a decis asupra efectuării unei analize comparative suplimentare asupra proiectelor care erau incluse în rețeaua de bază TEN-T. </w:t>
      </w:r>
    </w:p>
    <w:p w:rsidR="00B4550A" w:rsidRPr="00E0488D" w:rsidRDefault="00B4550A" w:rsidP="002B7E09">
      <w:pPr>
        <w:pStyle w:val="NumberedParas"/>
      </w:pPr>
      <w:r w:rsidRPr="00E0488D">
        <w:t xml:space="preserve">Tabelul 4.26 prezintă o defalcare similară a proiectelor TEN-T, precum și a modului în care acestea sunt adecvate restricțiilor financiare prezentate anterior. </w:t>
      </w:r>
    </w:p>
    <w:p w:rsidR="00B4550A" w:rsidRPr="00E0488D" w:rsidRDefault="00B4550A" w:rsidP="002B7E09">
      <w:pPr>
        <w:pStyle w:val="NumberedParas"/>
      </w:pPr>
      <w:r w:rsidRPr="00E0488D">
        <w:t>Ca rezultat al analizei comparative cu rețeaua TEN-T au fost considerate ca fiind realizabile la nivelul anului 2020 un număr mai mic de proiecte.</w:t>
      </w:r>
    </w:p>
    <w:p w:rsidR="00B4550A" w:rsidRPr="00E0488D" w:rsidRDefault="00B4550A" w:rsidP="002B7E09">
      <w:pPr>
        <w:pStyle w:val="NumberedParas"/>
      </w:pPr>
      <w:r w:rsidRPr="00E0488D">
        <w:t xml:space="preserve">Din punct de vedere al eficienței economice, sau în ceea ce privește valoarea monetară, scenariile ES și EES sunt similare, cu o valoare a RBC de 2,1. Pe de altă parte, valoarea rezultată din analiza comparativă cu rețeaua de bază TEN-T, este semnificativ mai scăzută, ajungând la aproximativ 1,7. </w:t>
      </w:r>
    </w:p>
    <w:p w:rsidR="00B4550A" w:rsidRPr="00E0488D" w:rsidRDefault="00B4550A" w:rsidP="00B4550A">
      <w:pPr>
        <w:pStyle w:val="Body"/>
        <w:rPr>
          <w:lang w:val="ro-RO"/>
        </w:rPr>
      </w:pPr>
    </w:p>
    <w:p w:rsidR="00B4550A" w:rsidRPr="00E0488D" w:rsidRDefault="00B4550A" w:rsidP="00B4550A">
      <w:pPr>
        <w:pStyle w:val="Body"/>
        <w:rPr>
          <w:lang w:val="ro-RO"/>
        </w:rPr>
      </w:pPr>
    </w:p>
    <w:p w:rsidR="00B4550A" w:rsidRPr="00E0488D" w:rsidRDefault="00B4550A" w:rsidP="002B7E09">
      <w:pPr>
        <w:pStyle w:val="NumberedParas"/>
        <w:sectPr w:rsidR="00B4550A" w:rsidRPr="00E0488D" w:rsidSect="00933C17">
          <w:pgSz w:w="11907" w:h="16840" w:code="9"/>
          <w:pgMar w:top="1418" w:right="709" w:bottom="1418" w:left="907" w:header="357" w:footer="567" w:gutter="0"/>
          <w:cols w:space="187"/>
          <w:docGrid w:linePitch="360"/>
        </w:sectPr>
      </w:pPr>
    </w:p>
    <w:p w:rsidR="00B4550A" w:rsidRPr="00E0488D" w:rsidRDefault="00B4550A" w:rsidP="00B4550A">
      <w:pPr>
        <w:spacing w:before="120" w:after="120" w:line="276" w:lineRule="auto"/>
        <w:rPr>
          <w:b/>
          <w:sz w:val="22"/>
          <w:szCs w:val="22"/>
          <w:lang w:val="ro-RO"/>
        </w:rPr>
      </w:pPr>
      <w:r w:rsidRPr="00E0488D">
        <w:rPr>
          <w:b/>
          <w:sz w:val="22"/>
          <w:szCs w:val="22"/>
          <w:lang w:val="ro-RO"/>
        </w:rPr>
        <w:lastRenderedPageBreak/>
        <w:t xml:space="preserve">Tabelul 4.24 Scenariul ES – Proiecte și </w:t>
      </w:r>
      <w:r w:rsidR="00574D10">
        <w:rPr>
          <w:b/>
          <w:sz w:val="22"/>
          <w:szCs w:val="22"/>
          <w:lang w:val="ro-RO"/>
        </w:rPr>
        <w:t>indicatori</w:t>
      </w:r>
      <w:r w:rsidRPr="00E0488D">
        <w:rPr>
          <w:b/>
          <w:sz w:val="22"/>
          <w:szCs w:val="22"/>
          <w:lang w:val="ro-RO"/>
        </w:rPr>
        <w:t xml:space="preserve"> </w:t>
      </w:r>
      <w:r w:rsidR="00574D10">
        <w:rPr>
          <w:b/>
          <w:sz w:val="22"/>
          <w:szCs w:val="22"/>
          <w:lang w:val="ro-RO"/>
        </w:rPr>
        <w:t>economici</w:t>
      </w:r>
    </w:p>
    <w:p w:rsidR="00EB34D0" w:rsidRDefault="00EB34D0" w:rsidP="00B4550A">
      <w:pPr>
        <w:rPr>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523"/>
        <w:gridCol w:w="1081"/>
        <w:gridCol w:w="3609"/>
        <w:gridCol w:w="3225"/>
        <w:gridCol w:w="1172"/>
        <w:gridCol w:w="1027"/>
        <w:gridCol w:w="1468"/>
        <w:gridCol w:w="1613"/>
      </w:tblGrid>
      <w:tr w:rsidR="00EB34D0" w:rsidRPr="00E061CC" w:rsidTr="0030066D">
        <w:trPr>
          <w:cantSplit/>
          <w:tblHeader/>
        </w:trPr>
        <w:tc>
          <w:tcPr>
            <w:tcW w:w="177" w:type="pct"/>
            <w:shd w:val="clear" w:color="000000" w:fill="376091"/>
            <w:vAlign w:val="center"/>
            <w:hideMark/>
          </w:tcPr>
          <w:p w:rsidR="00EB34D0" w:rsidRPr="00E061CC" w:rsidRDefault="00EB34D0" w:rsidP="00E4054A">
            <w:pPr>
              <w:jc w:val="center"/>
              <w:rPr>
                <w:b/>
                <w:bCs/>
                <w:color w:val="FFFFFF"/>
                <w:sz w:val="22"/>
                <w:szCs w:val="22"/>
                <w:lang w:eastAsia="en-GB"/>
              </w:rPr>
            </w:pPr>
            <w:r w:rsidRPr="00E061CC">
              <w:rPr>
                <w:b/>
                <w:bCs/>
                <w:color w:val="FFFFFF"/>
                <w:sz w:val="22"/>
                <w:szCs w:val="22"/>
                <w:lang w:eastAsia="en-GB"/>
              </w:rPr>
              <w:t> </w:t>
            </w:r>
          </w:p>
        </w:tc>
        <w:tc>
          <w:tcPr>
            <w:tcW w:w="564" w:type="pct"/>
            <w:gridSpan w:val="2"/>
            <w:shd w:val="clear" w:color="000000" w:fill="376091"/>
            <w:vAlign w:val="center"/>
            <w:hideMark/>
          </w:tcPr>
          <w:p w:rsidR="00EB34D0" w:rsidRPr="00E0488D" w:rsidRDefault="00EB34D0" w:rsidP="00E4054A">
            <w:pPr>
              <w:jc w:val="center"/>
              <w:rPr>
                <w:rFonts w:cs="Arial"/>
                <w:b/>
                <w:bCs/>
                <w:color w:val="FFFFFF"/>
                <w:sz w:val="20"/>
                <w:szCs w:val="20"/>
                <w:lang w:val="ro-RO"/>
              </w:rPr>
            </w:pPr>
            <w:r w:rsidRPr="00E0488D">
              <w:rPr>
                <w:rFonts w:cs="Arial"/>
                <w:b/>
                <w:bCs/>
                <w:color w:val="FFFFFF"/>
                <w:sz w:val="20"/>
                <w:szCs w:val="20"/>
                <w:lang w:val="ro-RO"/>
              </w:rPr>
              <w:t>Cod</w:t>
            </w:r>
          </w:p>
        </w:tc>
        <w:tc>
          <w:tcPr>
            <w:tcW w:w="1269" w:type="pct"/>
            <w:shd w:val="clear" w:color="000000" w:fill="376091"/>
            <w:vAlign w:val="center"/>
            <w:hideMark/>
          </w:tcPr>
          <w:p w:rsidR="00EB34D0" w:rsidRPr="00E0488D" w:rsidRDefault="00EB34D0" w:rsidP="00E4054A">
            <w:pPr>
              <w:jc w:val="center"/>
              <w:rPr>
                <w:rFonts w:cs="Arial"/>
                <w:b/>
                <w:bCs/>
                <w:color w:val="FFFFFF"/>
                <w:sz w:val="20"/>
                <w:szCs w:val="20"/>
                <w:lang w:val="ro-RO"/>
              </w:rPr>
            </w:pPr>
            <w:r w:rsidRPr="00E0488D">
              <w:rPr>
                <w:rFonts w:cs="Arial"/>
                <w:b/>
                <w:bCs/>
                <w:color w:val="FFFFFF"/>
                <w:sz w:val="20"/>
                <w:szCs w:val="20"/>
                <w:lang w:val="ro-RO"/>
              </w:rPr>
              <w:t>Descrierea proiectului</w:t>
            </w:r>
          </w:p>
        </w:tc>
        <w:tc>
          <w:tcPr>
            <w:tcW w:w="1134" w:type="pct"/>
            <w:shd w:val="clear" w:color="000000" w:fill="376091"/>
            <w:vAlign w:val="center"/>
            <w:hideMark/>
          </w:tcPr>
          <w:p w:rsidR="00EB34D0" w:rsidRPr="00E0488D" w:rsidRDefault="00EB34D0" w:rsidP="00E4054A">
            <w:pPr>
              <w:jc w:val="center"/>
              <w:rPr>
                <w:rFonts w:cs="Arial"/>
                <w:b/>
                <w:bCs/>
                <w:color w:val="FFFFFF"/>
                <w:sz w:val="20"/>
                <w:szCs w:val="20"/>
                <w:lang w:val="ro-RO"/>
              </w:rPr>
            </w:pPr>
            <w:r w:rsidRPr="00E0488D">
              <w:rPr>
                <w:rFonts w:cs="Arial"/>
                <w:b/>
                <w:bCs/>
                <w:color w:val="FFFFFF"/>
                <w:sz w:val="20"/>
                <w:szCs w:val="20"/>
                <w:lang w:val="ro-RO"/>
              </w:rPr>
              <w:t>TEN-T</w:t>
            </w:r>
          </w:p>
        </w:tc>
        <w:tc>
          <w:tcPr>
            <w:tcW w:w="412" w:type="pct"/>
            <w:shd w:val="clear" w:color="000000" w:fill="376091"/>
            <w:vAlign w:val="center"/>
            <w:hideMark/>
          </w:tcPr>
          <w:p w:rsidR="00EB34D0" w:rsidRPr="00E0488D" w:rsidRDefault="00EB34D0" w:rsidP="00E4054A">
            <w:pPr>
              <w:jc w:val="center"/>
              <w:rPr>
                <w:rFonts w:cs="Arial"/>
                <w:b/>
                <w:bCs/>
                <w:color w:val="FFFFFF"/>
                <w:sz w:val="20"/>
                <w:szCs w:val="20"/>
                <w:lang w:val="ro-RO"/>
              </w:rPr>
            </w:pPr>
            <w:r w:rsidRPr="00E0488D">
              <w:rPr>
                <w:rFonts w:cs="Arial"/>
                <w:b/>
                <w:bCs/>
                <w:color w:val="FFFFFF"/>
                <w:sz w:val="20"/>
                <w:szCs w:val="20"/>
                <w:lang w:val="ro-RO"/>
              </w:rPr>
              <w:t>Punctaj</w:t>
            </w:r>
          </w:p>
        </w:tc>
        <w:tc>
          <w:tcPr>
            <w:tcW w:w="361" w:type="pct"/>
            <w:shd w:val="clear" w:color="000000" w:fill="376091"/>
            <w:vAlign w:val="center"/>
            <w:hideMark/>
          </w:tcPr>
          <w:p w:rsidR="00EB34D0" w:rsidRPr="00E0488D" w:rsidRDefault="00905FE4" w:rsidP="00E4054A">
            <w:pPr>
              <w:jc w:val="center"/>
              <w:rPr>
                <w:rFonts w:cs="Arial"/>
                <w:b/>
                <w:bCs/>
                <w:color w:val="FFFFFF"/>
                <w:sz w:val="20"/>
                <w:szCs w:val="20"/>
                <w:lang w:val="ro-RO"/>
              </w:rPr>
            </w:pPr>
            <w:r>
              <w:rPr>
                <w:rFonts w:cs="Arial"/>
                <w:b/>
                <w:bCs/>
                <w:color w:val="FFFFFF"/>
                <w:sz w:val="20"/>
                <w:szCs w:val="20"/>
                <w:lang w:val="ro-RO"/>
              </w:rPr>
              <w:t>RIRE</w:t>
            </w:r>
          </w:p>
        </w:tc>
        <w:tc>
          <w:tcPr>
            <w:tcW w:w="516" w:type="pct"/>
            <w:shd w:val="clear" w:color="000000" w:fill="376091"/>
            <w:vAlign w:val="center"/>
            <w:hideMark/>
          </w:tcPr>
          <w:p w:rsidR="00EB34D0" w:rsidRPr="00E0488D" w:rsidRDefault="00905FE4" w:rsidP="00E4054A">
            <w:pPr>
              <w:jc w:val="center"/>
              <w:rPr>
                <w:rFonts w:cs="Arial"/>
                <w:b/>
                <w:bCs/>
                <w:color w:val="FFFFFF"/>
                <w:sz w:val="20"/>
                <w:szCs w:val="20"/>
                <w:lang w:val="ro-RO"/>
              </w:rPr>
            </w:pPr>
            <w:r>
              <w:rPr>
                <w:rFonts w:cs="Arial"/>
                <w:b/>
                <w:bCs/>
                <w:color w:val="FFFFFF"/>
                <w:sz w:val="20"/>
                <w:szCs w:val="20"/>
                <w:lang w:val="ro-RO"/>
              </w:rPr>
              <w:t>Cost (prețuri 2014)</w:t>
            </w:r>
          </w:p>
        </w:tc>
        <w:tc>
          <w:tcPr>
            <w:tcW w:w="567" w:type="pct"/>
            <w:shd w:val="clear" w:color="000000" w:fill="376091"/>
            <w:vAlign w:val="center"/>
            <w:hideMark/>
          </w:tcPr>
          <w:p w:rsidR="00EB34D0" w:rsidRPr="00E0488D" w:rsidRDefault="00905FE4" w:rsidP="00E4054A">
            <w:pPr>
              <w:jc w:val="center"/>
              <w:rPr>
                <w:rFonts w:cs="Arial"/>
                <w:b/>
                <w:bCs/>
                <w:color w:val="FFFFFF"/>
                <w:sz w:val="20"/>
                <w:szCs w:val="20"/>
                <w:lang w:val="ro-RO"/>
              </w:rPr>
            </w:pPr>
            <w:r>
              <w:rPr>
                <w:rFonts w:cs="Arial"/>
                <w:b/>
                <w:bCs/>
                <w:color w:val="FFFFFF"/>
                <w:sz w:val="20"/>
                <w:szCs w:val="20"/>
                <w:lang w:val="ro-RO"/>
              </w:rPr>
              <w:t>Cost cumulat</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1</w:t>
            </w:r>
          </w:p>
        </w:tc>
        <w:tc>
          <w:tcPr>
            <w:tcW w:w="184" w:type="pct"/>
            <w:vMerge w:val="restart"/>
            <w:shd w:val="clear" w:color="000000" w:fill="FFFFFF"/>
            <w:textDirection w:val="btLr"/>
            <w:vAlign w:val="center"/>
            <w:hideMark/>
          </w:tcPr>
          <w:p w:rsidR="00A77D37" w:rsidRPr="00E061CC" w:rsidRDefault="00A77D37" w:rsidP="00E4054A">
            <w:pPr>
              <w:jc w:val="center"/>
              <w:rPr>
                <w:bCs/>
                <w:color w:val="000000"/>
                <w:sz w:val="22"/>
                <w:szCs w:val="22"/>
                <w:lang w:eastAsia="en-GB"/>
              </w:rPr>
            </w:pPr>
            <w:r>
              <w:rPr>
                <w:bCs/>
                <w:color w:val="000000"/>
                <w:sz w:val="22"/>
                <w:szCs w:val="22"/>
                <w:lang w:eastAsia="en-GB"/>
              </w:rPr>
              <w:t xml:space="preserve">Nivel </w:t>
            </w:r>
            <w:r w:rsidRPr="00E061CC">
              <w:rPr>
                <w:bCs/>
                <w:color w:val="000000"/>
                <w:sz w:val="22"/>
                <w:szCs w:val="22"/>
                <w:lang w:eastAsia="en-GB"/>
              </w:rPr>
              <w:t>1</w:t>
            </w:r>
          </w:p>
        </w:tc>
        <w:tc>
          <w:tcPr>
            <w:tcW w:w="380" w:type="pct"/>
            <w:shd w:val="clear" w:color="000000" w:fill="FFFFFF"/>
            <w:vAlign w:val="center"/>
            <w:hideMark/>
          </w:tcPr>
          <w:p w:rsidR="00A77D37" w:rsidRPr="00E92A6C" w:rsidRDefault="00A77D37" w:rsidP="00E4054A">
            <w:pPr>
              <w:jc w:val="center"/>
              <w:rPr>
                <w:color w:val="000000"/>
                <w:sz w:val="22"/>
                <w:szCs w:val="22"/>
                <w:lang w:eastAsia="en-GB"/>
              </w:rPr>
            </w:pPr>
            <w:r w:rsidRPr="00AF6D2B">
              <w:rPr>
                <w:rFonts w:cs="Arial"/>
                <w:color w:val="000000"/>
                <w:sz w:val="22"/>
                <w:szCs w:val="22"/>
              </w:rPr>
              <w:t>H7</w:t>
            </w:r>
          </w:p>
        </w:tc>
        <w:tc>
          <w:tcPr>
            <w:tcW w:w="1269" w:type="pct"/>
            <w:shd w:val="clear" w:color="000000" w:fill="FFFFFF"/>
            <w:vAlign w:val="center"/>
            <w:hideMark/>
          </w:tcPr>
          <w:p w:rsidR="00A77D37" w:rsidRPr="00E92A6C" w:rsidRDefault="00A77D37" w:rsidP="00EB34D0">
            <w:pPr>
              <w:rPr>
                <w:color w:val="000000"/>
                <w:sz w:val="22"/>
                <w:szCs w:val="22"/>
                <w:lang w:eastAsia="en-GB"/>
              </w:rPr>
            </w:pPr>
            <w:r>
              <w:rPr>
                <w:rFonts w:cs="Arial"/>
                <w:color w:val="000000"/>
                <w:sz w:val="22"/>
                <w:szCs w:val="22"/>
              </w:rPr>
              <w:t>Autostrada</w:t>
            </w:r>
            <w:r w:rsidRPr="00AF6D2B">
              <w:rPr>
                <w:rFonts w:cs="Arial"/>
                <w:color w:val="000000"/>
                <w:sz w:val="22"/>
                <w:szCs w:val="22"/>
              </w:rPr>
              <w:t xml:space="preserve"> Sibiu-Brasov </w:t>
            </w:r>
          </w:p>
        </w:tc>
        <w:tc>
          <w:tcPr>
            <w:tcW w:w="1134" w:type="pct"/>
            <w:shd w:val="clear" w:color="000000" w:fill="FFFFFF"/>
            <w:vAlign w:val="center"/>
            <w:hideMark/>
          </w:tcPr>
          <w:p w:rsidR="00A77D37" w:rsidRPr="00E92A6C" w:rsidRDefault="00A77D37" w:rsidP="00E4054A">
            <w:pPr>
              <w:rPr>
                <w:color w:val="000000"/>
                <w:sz w:val="22"/>
                <w:szCs w:val="22"/>
                <w:lang w:eastAsia="en-GB"/>
              </w:rPr>
            </w:pPr>
            <w:r w:rsidRPr="00AF6D2B">
              <w:rPr>
                <w:rFonts w:cs="Arial"/>
                <w:color w:val="000000"/>
                <w:sz w:val="22"/>
                <w:szCs w:val="22"/>
              </w:rPr>
              <w:t xml:space="preserve">Comprehensive TEN-T link </w:t>
            </w:r>
          </w:p>
        </w:tc>
        <w:tc>
          <w:tcPr>
            <w:tcW w:w="412"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74.3</w:t>
            </w:r>
          </w:p>
        </w:tc>
        <w:tc>
          <w:tcPr>
            <w:tcW w:w="361" w:type="pct"/>
            <w:shd w:val="clear" w:color="000000" w:fill="FFFFFF"/>
            <w:vAlign w:val="center"/>
            <w:hideMark/>
          </w:tcPr>
          <w:p w:rsidR="00A77D37" w:rsidRPr="00E92A6C" w:rsidRDefault="00A77D37" w:rsidP="00A77D37">
            <w:pPr>
              <w:jc w:val="center"/>
              <w:rPr>
                <w:bCs/>
                <w:color w:val="000000"/>
                <w:sz w:val="22"/>
                <w:szCs w:val="22"/>
                <w:lang w:eastAsia="en-GB"/>
              </w:rPr>
            </w:pPr>
            <w:r w:rsidRPr="00AF6D2B">
              <w:rPr>
                <w:rFonts w:cs="Arial"/>
                <w:b/>
                <w:bCs/>
                <w:color w:val="000000"/>
                <w:sz w:val="22"/>
                <w:szCs w:val="22"/>
              </w:rPr>
              <w:t>17.3%</w:t>
            </w:r>
          </w:p>
        </w:tc>
        <w:tc>
          <w:tcPr>
            <w:tcW w:w="516"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817.3</w:t>
            </w:r>
          </w:p>
        </w:tc>
        <w:tc>
          <w:tcPr>
            <w:tcW w:w="567"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817.3</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2</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92A6C" w:rsidRDefault="00A77D37" w:rsidP="00E4054A">
            <w:pPr>
              <w:jc w:val="center"/>
              <w:rPr>
                <w:color w:val="000000"/>
                <w:sz w:val="22"/>
                <w:szCs w:val="22"/>
                <w:lang w:eastAsia="en-GB"/>
              </w:rPr>
            </w:pPr>
            <w:r w:rsidRPr="00AF6D2B">
              <w:rPr>
                <w:rFonts w:cs="Arial"/>
                <w:color w:val="000000"/>
                <w:sz w:val="22"/>
                <w:szCs w:val="22"/>
              </w:rPr>
              <w:t>H8</w:t>
            </w:r>
          </w:p>
        </w:tc>
        <w:tc>
          <w:tcPr>
            <w:tcW w:w="1269" w:type="pct"/>
            <w:shd w:val="clear" w:color="000000" w:fill="FFFFFF"/>
            <w:vAlign w:val="center"/>
            <w:hideMark/>
          </w:tcPr>
          <w:p w:rsidR="00A77D37" w:rsidRPr="00E92A6C" w:rsidRDefault="00A77D37" w:rsidP="00EB34D0">
            <w:pPr>
              <w:rPr>
                <w:color w:val="000000"/>
                <w:sz w:val="22"/>
                <w:szCs w:val="22"/>
                <w:lang w:eastAsia="en-GB"/>
              </w:rPr>
            </w:pPr>
            <w:r>
              <w:rPr>
                <w:rFonts w:cs="Arial"/>
                <w:color w:val="000000"/>
                <w:sz w:val="22"/>
                <w:szCs w:val="22"/>
              </w:rPr>
              <w:t>Autostrada</w:t>
            </w:r>
            <w:r w:rsidRPr="00AF6D2B">
              <w:rPr>
                <w:rFonts w:cs="Arial"/>
                <w:color w:val="000000"/>
                <w:sz w:val="22"/>
                <w:szCs w:val="22"/>
              </w:rPr>
              <w:t xml:space="preserve"> Ploiesti-Comarnic </w:t>
            </w:r>
          </w:p>
        </w:tc>
        <w:tc>
          <w:tcPr>
            <w:tcW w:w="1134" w:type="pct"/>
            <w:shd w:val="clear" w:color="000000" w:fill="FFFFFF"/>
            <w:vAlign w:val="center"/>
            <w:hideMark/>
          </w:tcPr>
          <w:p w:rsidR="00A77D37" w:rsidRPr="00E92A6C" w:rsidRDefault="00A77D37" w:rsidP="00E4054A">
            <w:pPr>
              <w:rPr>
                <w:color w:val="000000"/>
                <w:sz w:val="22"/>
                <w:szCs w:val="22"/>
                <w:lang w:eastAsia="en-GB"/>
              </w:rPr>
            </w:pPr>
            <w:r w:rsidRPr="00AF6D2B">
              <w:rPr>
                <w:rFonts w:cs="Arial"/>
                <w:color w:val="000000"/>
                <w:sz w:val="22"/>
                <w:szCs w:val="22"/>
              </w:rPr>
              <w:t xml:space="preserve">Comprehensive TEN-T link </w:t>
            </w:r>
          </w:p>
        </w:tc>
        <w:tc>
          <w:tcPr>
            <w:tcW w:w="412"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48.7</w:t>
            </w:r>
          </w:p>
        </w:tc>
        <w:tc>
          <w:tcPr>
            <w:tcW w:w="361" w:type="pct"/>
            <w:shd w:val="clear" w:color="000000" w:fill="FFFFFF"/>
            <w:vAlign w:val="center"/>
            <w:hideMark/>
          </w:tcPr>
          <w:p w:rsidR="00A77D37" w:rsidRPr="00E92A6C" w:rsidRDefault="00A77D37" w:rsidP="00A77D37">
            <w:pPr>
              <w:jc w:val="center"/>
              <w:rPr>
                <w:bCs/>
                <w:color w:val="000000"/>
                <w:sz w:val="22"/>
                <w:szCs w:val="22"/>
                <w:lang w:eastAsia="en-GB"/>
              </w:rPr>
            </w:pPr>
            <w:r w:rsidRPr="00AF6D2B">
              <w:rPr>
                <w:rFonts w:cs="Arial"/>
                <w:b/>
                <w:bCs/>
                <w:color w:val="000000"/>
                <w:sz w:val="22"/>
                <w:szCs w:val="22"/>
              </w:rPr>
              <w:t>12.5%</w:t>
            </w:r>
          </w:p>
        </w:tc>
        <w:tc>
          <w:tcPr>
            <w:tcW w:w="516"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310.4</w:t>
            </w:r>
          </w:p>
        </w:tc>
        <w:tc>
          <w:tcPr>
            <w:tcW w:w="567"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1,127.7</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3</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92A6C" w:rsidRDefault="00A77D37" w:rsidP="00E4054A">
            <w:pPr>
              <w:jc w:val="center"/>
              <w:rPr>
                <w:color w:val="000000"/>
                <w:sz w:val="22"/>
                <w:szCs w:val="22"/>
                <w:lang w:eastAsia="en-GB"/>
              </w:rPr>
            </w:pPr>
            <w:r w:rsidRPr="00AF6D2B">
              <w:rPr>
                <w:rFonts w:cs="Arial"/>
                <w:color w:val="000000"/>
                <w:sz w:val="22"/>
                <w:szCs w:val="22"/>
              </w:rPr>
              <w:t>H6</w:t>
            </w:r>
          </w:p>
        </w:tc>
        <w:tc>
          <w:tcPr>
            <w:tcW w:w="1269" w:type="pct"/>
            <w:shd w:val="clear" w:color="000000" w:fill="FFFFFF"/>
            <w:vAlign w:val="center"/>
            <w:hideMark/>
          </w:tcPr>
          <w:p w:rsidR="00A77D37" w:rsidRPr="00E92A6C" w:rsidRDefault="00A77D37" w:rsidP="00EB34D0">
            <w:pPr>
              <w:rPr>
                <w:color w:val="000000"/>
                <w:sz w:val="22"/>
                <w:szCs w:val="22"/>
                <w:lang w:eastAsia="en-GB"/>
              </w:rPr>
            </w:pPr>
            <w:r>
              <w:rPr>
                <w:rFonts w:cs="Arial"/>
                <w:color w:val="000000"/>
                <w:sz w:val="22"/>
                <w:szCs w:val="22"/>
              </w:rPr>
              <w:t>Autostrada</w:t>
            </w:r>
            <w:r w:rsidRPr="00AF6D2B">
              <w:rPr>
                <w:rFonts w:cs="Arial"/>
                <w:color w:val="000000"/>
                <w:sz w:val="22"/>
                <w:szCs w:val="22"/>
              </w:rPr>
              <w:t xml:space="preserve"> Craiova-Pitesti </w:t>
            </w:r>
          </w:p>
        </w:tc>
        <w:tc>
          <w:tcPr>
            <w:tcW w:w="1134" w:type="pct"/>
            <w:shd w:val="clear" w:color="000000" w:fill="FFFFFF"/>
            <w:vAlign w:val="center"/>
            <w:hideMark/>
          </w:tcPr>
          <w:p w:rsidR="00A77D37" w:rsidRPr="00E92A6C" w:rsidRDefault="00A77D37" w:rsidP="00E4054A">
            <w:pPr>
              <w:rPr>
                <w:color w:val="000000"/>
                <w:sz w:val="22"/>
                <w:szCs w:val="22"/>
                <w:lang w:eastAsia="en-GB"/>
              </w:rPr>
            </w:pPr>
            <w:r w:rsidRPr="00AF6D2B">
              <w:rPr>
                <w:rFonts w:cs="Arial"/>
                <w:color w:val="000000"/>
                <w:sz w:val="22"/>
                <w:szCs w:val="22"/>
              </w:rPr>
              <w:t xml:space="preserve">Comprehensive TEN-T link </w:t>
            </w:r>
          </w:p>
        </w:tc>
        <w:tc>
          <w:tcPr>
            <w:tcW w:w="412"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47.3</w:t>
            </w:r>
          </w:p>
        </w:tc>
        <w:tc>
          <w:tcPr>
            <w:tcW w:w="361" w:type="pct"/>
            <w:shd w:val="clear" w:color="000000" w:fill="FFFFFF"/>
            <w:vAlign w:val="center"/>
            <w:hideMark/>
          </w:tcPr>
          <w:p w:rsidR="00A77D37" w:rsidRPr="00E92A6C" w:rsidRDefault="00A77D37" w:rsidP="00A77D37">
            <w:pPr>
              <w:jc w:val="center"/>
              <w:rPr>
                <w:bCs/>
                <w:color w:val="000000"/>
                <w:sz w:val="22"/>
                <w:szCs w:val="22"/>
                <w:lang w:eastAsia="en-GB"/>
              </w:rPr>
            </w:pPr>
            <w:r w:rsidRPr="00AF6D2B">
              <w:rPr>
                <w:rFonts w:cs="Arial"/>
                <w:b/>
                <w:bCs/>
                <w:color w:val="000000"/>
                <w:sz w:val="22"/>
                <w:szCs w:val="22"/>
              </w:rPr>
              <w:t>12.2%</w:t>
            </w:r>
          </w:p>
        </w:tc>
        <w:tc>
          <w:tcPr>
            <w:tcW w:w="516"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870.3</w:t>
            </w:r>
          </w:p>
        </w:tc>
        <w:tc>
          <w:tcPr>
            <w:tcW w:w="567"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1,998.0</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4</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92A6C" w:rsidRDefault="00A77D37" w:rsidP="00E4054A">
            <w:pPr>
              <w:jc w:val="center"/>
              <w:rPr>
                <w:color w:val="000000"/>
                <w:sz w:val="22"/>
                <w:szCs w:val="22"/>
                <w:lang w:eastAsia="en-GB"/>
              </w:rPr>
            </w:pPr>
            <w:r w:rsidRPr="00AF6D2B">
              <w:rPr>
                <w:rFonts w:cs="Arial"/>
                <w:color w:val="000000"/>
                <w:sz w:val="22"/>
                <w:szCs w:val="22"/>
              </w:rPr>
              <w:t>H1</w:t>
            </w:r>
          </w:p>
        </w:tc>
        <w:tc>
          <w:tcPr>
            <w:tcW w:w="1269" w:type="pct"/>
            <w:shd w:val="clear" w:color="000000" w:fill="FFFFFF"/>
            <w:vAlign w:val="center"/>
            <w:hideMark/>
          </w:tcPr>
          <w:p w:rsidR="00A77D37" w:rsidRPr="00E92A6C" w:rsidRDefault="00A77D37" w:rsidP="00EB34D0">
            <w:pPr>
              <w:rPr>
                <w:color w:val="000000"/>
                <w:sz w:val="22"/>
                <w:szCs w:val="22"/>
                <w:lang w:eastAsia="en-GB"/>
              </w:rPr>
            </w:pPr>
            <w:r>
              <w:rPr>
                <w:rFonts w:cs="Arial"/>
                <w:color w:val="000000"/>
                <w:sz w:val="22"/>
                <w:szCs w:val="22"/>
              </w:rPr>
              <w:t>Autostrada</w:t>
            </w:r>
            <w:r w:rsidRPr="00AF6D2B">
              <w:rPr>
                <w:rFonts w:cs="Arial"/>
                <w:color w:val="000000"/>
                <w:sz w:val="22"/>
                <w:szCs w:val="22"/>
              </w:rPr>
              <w:t xml:space="preserve"> Comarnic-Brasov </w:t>
            </w:r>
          </w:p>
        </w:tc>
        <w:tc>
          <w:tcPr>
            <w:tcW w:w="1134" w:type="pct"/>
            <w:shd w:val="clear" w:color="000000" w:fill="FFFFFF"/>
            <w:vAlign w:val="center"/>
            <w:hideMark/>
          </w:tcPr>
          <w:p w:rsidR="00A77D37" w:rsidRPr="00E92A6C" w:rsidRDefault="00A77D37" w:rsidP="00E4054A">
            <w:pPr>
              <w:rPr>
                <w:color w:val="000000"/>
                <w:sz w:val="22"/>
                <w:szCs w:val="22"/>
                <w:lang w:eastAsia="en-GB"/>
              </w:rPr>
            </w:pPr>
            <w:r w:rsidRPr="00AF6D2B">
              <w:rPr>
                <w:rFonts w:cs="Arial"/>
                <w:color w:val="000000"/>
                <w:sz w:val="22"/>
                <w:szCs w:val="22"/>
              </w:rPr>
              <w:t xml:space="preserve">Comprehensive TEN-T link </w:t>
            </w:r>
          </w:p>
        </w:tc>
        <w:tc>
          <w:tcPr>
            <w:tcW w:w="412"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29.3</w:t>
            </w:r>
          </w:p>
        </w:tc>
        <w:tc>
          <w:tcPr>
            <w:tcW w:w="361" w:type="pct"/>
            <w:shd w:val="clear" w:color="000000" w:fill="FFFFFF"/>
            <w:vAlign w:val="center"/>
            <w:hideMark/>
          </w:tcPr>
          <w:p w:rsidR="00A77D37" w:rsidRPr="00E92A6C" w:rsidRDefault="00A77D37" w:rsidP="00A77D37">
            <w:pPr>
              <w:jc w:val="center"/>
              <w:rPr>
                <w:bCs/>
                <w:color w:val="000000"/>
                <w:sz w:val="22"/>
                <w:szCs w:val="22"/>
                <w:lang w:eastAsia="en-GB"/>
              </w:rPr>
            </w:pPr>
            <w:r w:rsidRPr="00AF6D2B">
              <w:rPr>
                <w:rFonts w:cs="Arial"/>
                <w:b/>
                <w:bCs/>
                <w:color w:val="000000"/>
                <w:sz w:val="22"/>
                <w:szCs w:val="22"/>
              </w:rPr>
              <w:t>8.8%</w:t>
            </w:r>
          </w:p>
        </w:tc>
        <w:tc>
          <w:tcPr>
            <w:tcW w:w="516"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1,117.0</w:t>
            </w:r>
          </w:p>
        </w:tc>
        <w:tc>
          <w:tcPr>
            <w:tcW w:w="567"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3,115.0</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5</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92A6C" w:rsidRDefault="00A77D37" w:rsidP="00E4054A">
            <w:pPr>
              <w:jc w:val="center"/>
              <w:rPr>
                <w:color w:val="000000"/>
                <w:sz w:val="22"/>
                <w:szCs w:val="22"/>
                <w:lang w:eastAsia="en-GB"/>
              </w:rPr>
            </w:pPr>
            <w:r w:rsidRPr="00AF6D2B">
              <w:rPr>
                <w:rFonts w:cs="Arial"/>
                <w:color w:val="000000"/>
                <w:sz w:val="22"/>
                <w:szCs w:val="22"/>
              </w:rPr>
              <w:t>H12</w:t>
            </w:r>
          </w:p>
        </w:tc>
        <w:tc>
          <w:tcPr>
            <w:tcW w:w="1269" w:type="pct"/>
            <w:shd w:val="clear" w:color="000000" w:fill="FFFFFF"/>
            <w:vAlign w:val="center"/>
            <w:hideMark/>
          </w:tcPr>
          <w:p w:rsidR="00A77D37" w:rsidRPr="00E92A6C" w:rsidRDefault="00A77D37" w:rsidP="00EB34D0">
            <w:pPr>
              <w:rPr>
                <w:color w:val="000000"/>
                <w:sz w:val="22"/>
                <w:szCs w:val="22"/>
                <w:lang w:eastAsia="en-GB"/>
              </w:rPr>
            </w:pPr>
            <w:r>
              <w:rPr>
                <w:rFonts w:cs="Arial"/>
                <w:color w:val="000000"/>
                <w:sz w:val="22"/>
                <w:szCs w:val="22"/>
              </w:rPr>
              <w:t>Autostrada</w:t>
            </w:r>
            <w:r w:rsidRPr="00AF6D2B">
              <w:rPr>
                <w:rFonts w:cs="Arial"/>
                <w:color w:val="000000"/>
                <w:sz w:val="22"/>
                <w:szCs w:val="22"/>
              </w:rPr>
              <w:t xml:space="preserve"> Brasov-Bacau </w:t>
            </w:r>
          </w:p>
        </w:tc>
        <w:tc>
          <w:tcPr>
            <w:tcW w:w="1134" w:type="pct"/>
            <w:shd w:val="clear" w:color="000000" w:fill="FFFFFF"/>
            <w:vAlign w:val="center"/>
            <w:hideMark/>
          </w:tcPr>
          <w:p w:rsidR="00A77D37" w:rsidRPr="00E92A6C" w:rsidRDefault="00A77D37" w:rsidP="00E4054A">
            <w:pPr>
              <w:rPr>
                <w:color w:val="000000"/>
                <w:sz w:val="22"/>
                <w:szCs w:val="22"/>
                <w:lang w:eastAsia="en-GB"/>
              </w:rPr>
            </w:pPr>
            <w:r w:rsidRPr="00AF6D2B">
              <w:rPr>
                <w:rFonts w:cs="Arial"/>
                <w:color w:val="000000"/>
                <w:sz w:val="22"/>
                <w:szCs w:val="22"/>
              </w:rPr>
              <w:t xml:space="preserve">Comprehensive TEN-T link </w:t>
            </w:r>
          </w:p>
        </w:tc>
        <w:tc>
          <w:tcPr>
            <w:tcW w:w="412"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20.1</w:t>
            </w:r>
          </w:p>
        </w:tc>
        <w:tc>
          <w:tcPr>
            <w:tcW w:w="361" w:type="pct"/>
            <w:shd w:val="clear" w:color="000000" w:fill="FFFFFF"/>
            <w:vAlign w:val="center"/>
            <w:hideMark/>
          </w:tcPr>
          <w:p w:rsidR="00A77D37" w:rsidRPr="00E92A6C" w:rsidRDefault="00A77D37" w:rsidP="00A77D37">
            <w:pPr>
              <w:jc w:val="center"/>
              <w:rPr>
                <w:bCs/>
                <w:color w:val="000000"/>
                <w:sz w:val="22"/>
                <w:szCs w:val="22"/>
                <w:lang w:eastAsia="en-GB"/>
              </w:rPr>
            </w:pPr>
            <w:r w:rsidRPr="00AF6D2B">
              <w:rPr>
                <w:rFonts w:cs="Arial"/>
                <w:b/>
                <w:bCs/>
                <w:color w:val="000000"/>
                <w:sz w:val="22"/>
                <w:szCs w:val="22"/>
              </w:rPr>
              <w:t>7.1%</w:t>
            </w:r>
          </w:p>
        </w:tc>
        <w:tc>
          <w:tcPr>
            <w:tcW w:w="516"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2,067.6</w:t>
            </w:r>
          </w:p>
        </w:tc>
        <w:tc>
          <w:tcPr>
            <w:tcW w:w="567" w:type="pct"/>
            <w:shd w:val="clear" w:color="000000" w:fill="FFFFFF"/>
            <w:vAlign w:val="center"/>
            <w:hideMark/>
          </w:tcPr>
          <w:p w:rsidR="00A77D37" w:rsidRPr="00E92A6C" w:rsidRDefault="00A77D37" w:rsidP="00A77D37">
            <w:pPr>
              <w:jc w:val="center"/>
              <w:rPr>
                <w:color w:val="000000"/>
                <w:sz w:val="22"/>
                <w:szCs w:val="22"/>
                <w:lang w:eastAsia="en-GB"/>
              </w:rPr>
            </w:pPr>
            <w:r w:rsidRPr="00AF6D2B">
              <w:rPr>
                <w:rFonts w:cs="Arial"/>
                <w:color w:val="000000"/>
                <w:sz w:val="22"/>
                <w:szCs w:val="22"/>
              </w:rPr>
              <w:t>5,182.6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1</w:t>
            </w:r>
          </w:p>
        </w:tc>
        <w:tc>
          <w:tcPr>
            <w:tcW w:w="184" w:type="pct"/>
            <w:vMerge w:val="restart"/>
            <w:shd w:val="clear" w:color="000000" w:fill="FFFFFF"/>
            <w:textDirection w:val="btLr"/>
            <w:vAlign w:val="center"/>
            <w:hideMark/>
          </w:tcPr>
          <w:p w:rsidR="00A77D37" w:rsidRPr="00E061CC" w:rsidRDefault="00A77D37" w:rsidP="00E4054A">
            <w:pPr>
              <w:jc w:val="center"/>
              <w:rPr>
                <w:bCs/>
                <w:color w:val="000000"/>
                <w:sz w:val="22"/>
                <w:szCs w:val="22"/>
                <w:lang w:eastAsia="en-GB"/>
              </w:rPr>
            </w:pPr>
            <w:r>
              <w:rPr>
                <w:bCs/>
                <w:color w:val="000000"/>
                <w:sz w:val="22"/>
                <w:szCs w:val="22"/>
                <w:lang w:eastAsia="en-GB"/>
              </w:rPr>
              <w:t>Nivel</w:t>
            </w:r>
            <w:r w:rsidRPr="00E061CC">
              <w:rPr>
                <w:bCs/>
                <w:color w:val="000000"/>
                <w:sz w:val="22"/>
                <w:szCs w:val="22"/>
                <w:lang w:eastAsia="en-GB"/>
              </w:rPr>
              <w:t xml:space="preserve"> 2</w:t>
            </w: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OR18B</w:t>
            </w:r>
          </w:p>
        </w:tc>
        <w:tc>
          <w:tcPr>
            <w:tcW w:w="1269" w:type="pct"/>
            <w:shd w:val="clear" w:color="000000" w:fill="FFFFFF"/>
            <w:vAlign w:val="center"/>
            <w:hideMark/>
          </w:tcPr>
          <w:p w:rsidR="00A77D37" w:rsidRPr="00E061CC" w:rsidRDefault="00A77D37" w:rsidP="00EB34D0">
            <w:pPr>
              <w:rPr>
                <w:color w:val="000000"/>
                <w:sz w:val="22"/>
                <w:szCs w:val="22"/>
                <w:lang w:eastAsia="en-GB"/>
              </w:rPr>
            </w:pPr>
            <w:r>
              <w:rPr>
                <w:rFonts w:cs="Arial"/>
                <w:color w:val="000000"/>
                <w:sz w:val="20"/>
                <w:szCs w:val="20"/>
              </w:rPr>
              <w:t>Modernizare Centura Sud București</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100.0</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14.5%</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175.7</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5,358.3</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2</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OR7A</w:t>
            </w:r>
          </w:p>
        </w:tc>
        <w:tc>
          <w:tcPr>
            <w:tcW w:w="1269" w:type="pct"/>
            <w:shd w:val="clear" w:color="000000" w:fill="FFFFFF"/>
            <w:vAlign w:val="center"/>
            <w:hideMark/>
          </w:tcPr>
          <w:p w:rsidR="00A77D37" w:rsidRPr="00E061CC" w:rsidRDefault="00A77D37" w:rsidP="00EB34D0">
            <w:pPr>
              <w:rPr>
                <w:color w:val="000000"/>
                <w:sz w:val="22"/>
                <w:szCs w:val="22"/>
                <w:lang w:eastAsia="en-GB"/>
              </w:rPr>
            </w:pPr>
            <w:r>
              <w:rPr>
                <w:rFonts w:cs="Arial"/>
                <w:color w:val="000000"/>
                <w:sz w:val="20"/>
                <w:szCs w:val="20"/>
              </w:rPr>
              <w:t xml:space="preserve">Drum expres Bacau-Suceava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86.3</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12.6%</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645.4</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6,003.7</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3</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OR15</w:t>
            </w:r>
          </w:p>
        </w:tc>
        <w:tc>
          <w:tcPr>
            <w:tcW w:w="1269" w:type="pct"/>
            <w:shd w:val="clear" w:color="000000" w:fill="FFFFFF"/>
            <w:vAlign w:val="center"/>
            <w:hideMark/>
          </w:tcPr>
          <w:p w:rsidR="00A77D37" w:rsidRPr="00E061CC" w:rsidDel="00E92A6C" w:rsidRDefault="00A77D37" w:rsidP="00EB34D0">
            <w:pPr>
              <w:rPr>
                <w:color w:val="000000"/>
                <w:sz w:val="22"/>
                <w:szCs w:val="22"/>
                <w:lang w:eastAsia="en-GB"/>
              </w:rPr>
            </w:pPr>
            <w:r>
              <w:rPr>
                <w:rFonts w:cs="Arial"/>
                <w:color w:val="000000"/>
                <w:sz w:val="20"/>
                <w:szCs w:val="20"/>
              </w:rPr>
              <w:t xml:space="preserve">Autosrada Sibiu-Pitesti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82.3</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12.1%</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2,471.2</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8,474.9</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4</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OR19</w:t>
            </w:r>
          </w:p>
        </w:tc>
        <w:tc>
          <w:tcPr>
            <w:tcW w:w="1269" w:type="pct"/>
            <w:shd w:val="clear" w:color="000000" w:fill="FFFFFF"/>
            <w:vAlign w:val="center"/>
            <w:hideMark/>
          </w:tcPr>
          <w:p w:rsidR="00A77D37" w:rsidRPr="00E061CC" w:rsidDel="00E92A6C" w:rsidRDefault="00A77D37" w:rsidP="00EB34D0">
            <w:pPr>
              <w:rPr>
                <w:color w:val="000000"/>
                <w:sz w:val="22"/>
                <w:szCs w:val="22"/>
                <w:lang w:eastAsia="en-GB"/>
              </w:rPr>
            </w:pPr>
            <w:r>
              <w:rPr>
                <w:rFonts w:cs="Arial"/>
                <w:color w:val="000000"/>
                <w:sz w:val="20"/>
                <w:szCs w:val="20"/>
              </w:rPr>
              <w:t xml:space="preserve">Drum expres București-Alexandria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79.8</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11.8%</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369.6</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8,844.5</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5</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OR7B</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Drum expres Suceava-Siret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79.1</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11.7%</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186.1</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9,030.6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6</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OR13C</w:t>
            </w:r>
          </w:p>
        </w:tc>
        <w:tc>
          <w:tcPr>
            <w:tcW w:w="1269" w:type="pct"/>
            <w:shd w:val="clear" w:color="000000" w:fill="FFFFFF"/>
            <w:vAlign w:val="center"/>
            <w:hideMark/>
          </w:tcPr>
          <w:p w:rsidR="00A77D37" w:rsidRPr="00E061CC" w:rsidDel="00E92A6C" w:rsidRDefault="00A77D37" w:rsidP="00905FE4">
            <w:pPr>
              <w:rPr>
                <w:color w:val="000000"/>
                <w:sz w:val="22"/>
                <w:szCs w:val="22"/>
                <w:lang w:eastAsia="en-GB"/>
              </w:rPr>
            </w:pPr>
            <w:r>
              <w:rPr>
                <w:rFonts w:cs="Arial"/>
                <w:color w:val="000000"/>
                <w:sz w:val="20"/>
                <w:szCs w:val="20"/>
              </w:rPr>
              <w:t xml:space="preserve">Drum expres Buzau-Focsani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74.5</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11.0%</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282.0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9,312.6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7</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OR13D</w:t>
            </w:r>
          </w:p>
        </w:tc>
        <w:tc>
          <w:tcPr>
            <w:tcW w:w="1269" w:type="pct"/>
            <w:shd w:val="clear" w:color="000000" w:fill="FFFFFF"/>
            <w:vAlign w:val="center"/>
            <w:hideMark/>
          </w:tcPr>
          <w:p w:rsidR="00A77D37" w:rsidRPr="00E061CC" w:rsidDel="00E92A6C" w:rsidRDefault="00A77D37" w:rsidP="00905FE4">
            <w:pPr>
              <w:rPr>
                <w:color w:val="000000"/>
                <w:sz w:val="22"/>
                <w:szCs w:val="22"/>
                <w:lang w:eastAsia="en-GB"/>
              </w:rPr>
            </w:pPr>
            <w:r>
              <w:rPr>
                <w:rFonts w:cs="Arial"/>
                <w:color w:val="000000"/>
                <w:sz w:val="20"/>
                <w:szCs w:val="20"/>
              </w:rPr>
              <w:t xml:space="preserve">Autostrada Targu Neamt-Iasi-Ungheni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72.7</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10.8%</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700.0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10,012.6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8</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OR12</w:t>
            </w:r>
          </w:p>
        </w:tc>
        <w:tc>
          <w:tcPr>
            <w:tcW w:w="1269" w:type="pct"/>
            <w:shd w:val="clear" w:color="000000" w:fill="FFFFFF"/>
            <w:vAlign w:val="center"/>
            <w:hideMark/>
          </w:tcPr>
          <w:p w:rsidR="00A77D37" w:rsidRPr="00E061CC" w:rsidDel="00E92A6C" w:rsidRDefault="00A77D37" w:rsidP="00905FE4">
            <w:pPr>
              <w:rPr>
                <w:color w:val="000000"/>
                <w:sz w:val="22"/>
                <w:szCs w:val="22"/>
                <w:lang w:eastAsia="en-GB"/>
              </w:rPr>
            </w:pPr>
            <w:r>
              <w:rPr>
                <w:rFonts w:cs="Arial"/>
                <w:color w:val="000000"/>
                <w:sz w:val="20"/>
                <w:szCs w:val="20"/>
              </w:rPr>
              <w:t xml:space="preserve">Autostrada Nadaselu - Suplacu de Barcau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69.3</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13.2%</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550.0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10,562.6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9</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OR10</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Lugoj- Craiova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66.6</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10.0%</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1,810.9</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12,373.5</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10</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OR9B</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Turda-Halmeu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Other links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63.0</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13.5%</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975.4</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13,348.9</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11</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OR19D</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Conexiunea AeroportHenri Coanda Airport - Autostrada A3</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61.9</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9.3%</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125.6</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13,474.5</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12</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OR17</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Gaesti-Ploiesti-Buzau-Braila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60.0</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11.9%</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1,279.6</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14,754.1</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13</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OR13</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Autostrada Targu Mures-Targu Neamt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55.0</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8.4%</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3,400.0</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18,154.1</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14</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OR6B</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Bacau-Focsani-Braila-Galati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54.4</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11.2%</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1,024.2</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19,178.3</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15</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OR21</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Lărgirea autostrăzii A1 i-București -Pitesti</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49.1</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7.6%</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442.0</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19,620.3</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16</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OR8</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Bacau-Piatra Neamt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Other links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41.2</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10.6%</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335.1</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19,955.4</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17</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OR14</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Brasov-Pitesti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39.0</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9.1%</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1,842.6</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21,798.0</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18</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OR18A</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Autostrada București Ring Road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35.2</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5.7%</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1,683.8</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23,481.8</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19</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OR7C</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 xml:space="preserve">Drum expres Suceava-Botosani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Other links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28.4</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8.9%</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345.8</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23,827.6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20</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OR11</w:t>
            </w:r>
          </w:p>
        </w:tc>
        <w:tc>
          <w:tcPr>
            <w:tcW w:w="1269" w:type="pct"/>
            <w:shd w:val="clear" w:color="000000" w:fill="FFFFFF"/>
            <w:vAlign w:val="center"/>
            <w:hideMark/>
          </w:tcPr>
          <w:p w:rsidR="00A77D37" w:rsidRPr="00E061CC" w:rsidRDefault="00A77D37" w:rsidP="00905FE4">
            <w:pPr>
              <w:rPr>
                <w:color w:val="000000"/>
                <w:sz w:val="22"/>
                <w:szCs w:val="22"/>
                <w:lang w:eastAsia="en-GB"/>
              </w:rPr>
            </w:pPr>
            <w:r>
              <w:rPr>
                <w:rFonts w:cs="Arial"/>
                <w:color w:val="000000"/>
                <w:sz w:val="20"/>
                <w:szCs w:val="20"/>
              </w:rPr>
              <w:t>Drum expres Constanta-Tulcea-Braila (inclusiv Podul Braila)</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11.9</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5.4%</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1,369.3</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25,196.9</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sidRPr="00E061CC">
              <w:rPr>
                <w:color w:val="000000"/>
                <w:sz w:val="22"/>
                <w:szCs w:val="22"/>
                <w:lang w:eastAsia="en-GB"/>
              </w:rPr>
              <w:t>1</w:t>
            </w:r>
          </w:p>
        </w:tc>
        <w:tc>
          <w:tcPr>
            <w:tcW w:w="184" w:type="pct"/>
            <w:vMerge w:val="restart"/>
            <w:shd w:val="clear" w:color="000000" w:fill="FFFFFF"/>
            <w:textDirection w:val="btLr"/>
            <w:vAlign w:val="center"/>
            <w:hideMark/>
          </w:tcPr>
          <w:p w:rsidR="00A77D37" w:rsidRPr="00E061CC" w:rsidRDefault="00A77D37" w:rsidP="00E4054A">
            <w:pPr>
              <w:jc w:val="center"/>
              <w:rPr>
                <w:bCs/>
                <w:color w:val="000000"/>
                <w:sz w:val="22"/>
                <w:szCs w:val="22"/>
                <w:lang w:eastAsia="en-GB"/>
              </w:rPr>
            </w:pPr>
            <w:r>
              <w:rPr>
                <w:bCs/>
                <w:color w:val="000000"/>
                <w:sz w:val="22"/>
                <w:szCs w:val="22"/>
                <w:lang w:eastAsia="en-GB"/>
              </w:rPr>
              <w:t>Variante de ocolire</w:t>
            </w: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BP12</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Adjud</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85.4</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19.0%</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46.2</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46.2</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2</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BP10</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Targoviste</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79.0</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22.7%</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78.0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124.2</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3</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BP4</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Roman</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73.2</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15.9%</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62.0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186.1</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4</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BP11</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Filiasi</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71.8</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15.6%</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27.7</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213.8</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5</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BP15</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Falticeni</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62.4</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13.2%</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41.3</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255.1</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lastRenderedPageBreak/>
              <w:t>6</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BP5</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Focsani</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62.1</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13.1%</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76.1</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331.2</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7</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BP25</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Vatra Dornei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60.2</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17.9%</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18.3</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349.4</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8</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BP3</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Sighisoara</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51.8</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15.8%</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47.7</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397.1</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9</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BP28</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Timisoara South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48.5</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9.7%</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127.4</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524.5</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10</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BP7</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Buzau</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39.7</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7.5%</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104.8</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629.3</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11</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BP21</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Giurgiu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39.3</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7.4%</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72.0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701.4</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12</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BP6</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Ramnicu Sarat</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37.1</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6.8%</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37.0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738.4</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13</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BP9</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Ramnicu Valcea</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34.8</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6.2%</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195.4</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933.8</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14</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BP20</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Sfântu Gheorghe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34.3</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11.4%</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34.0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967.8</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15</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BP14</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Ludus</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33.5</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11.2%</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102.5</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1,070.3</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16</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BP23</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Bârlad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33.3</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11.1%</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51.1</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1,121.4</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17</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BP16</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Caransebes</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32.6</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5.7%</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80.8</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1,202.2</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18</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BP24</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Slobozia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31.1</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10.6%</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23.3</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1,225.6</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19</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BP13</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Mizil</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Core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30.0</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color w:val="000000"/>
                <w:sz w:val="20"/>
                <w:szCs w:val="20"/>
              </w:rPr>
              <w:t>1.9%</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36.0</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1,261.5</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20</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BP22</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Vaslui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23.4</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8.6%</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72.9</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1,334.5</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21</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BP17</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Beclean</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22.6</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8.4%</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42.2</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1,376.7</w:t>
            </w:r>
          </w:p>
        </w:tc>
      </w:tr>
      <w:tr w:rsidR="00A77D37" w:rsidRPr="00E061CC" w:rsidTr="0030066D">
        <w:tc>
          <w:tcPr>
            <w:tcW w:w="177" w:type="pct"/>
            <w:shd w:val="clear" w:color="000000" w:fill="FFFFFF"/>
            <w:vAlign w:val="center"/>
            <w:hideMark/>
          </w:tcPr>
          <w:p w:rsidR="00A77D37" w:rsidRPr="00E061CC" w:rsidRDefault="00A77D37" w:rsidP="00E4054A">
            <w:pPr>
              <w:jc w:val="center"/>
              <w:rPr>
                <w:color w:val="000000"/>
                <w:sz w:val="22"/>
                <w:szCs w:val="22"/>
                <w:lang w:eastAsia="en-GB"/>
              </w:rPr>
            </w:pPr>
            <w:r>
              <w:rPr>
                <w:color w:val="000000"/>
                <w:sz w:val="22"/>
                <w:szCs w:val="22"/>
                <w:lang w:eastAsia="en-GB"/>
              </w:rPr>
              <w:t>22</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RDefault="00A77D37" w:rsidP="00E4054A">
            <w:pPr>
              <w:jc w:val="center"/>
              <w:rPr>
                <w:color w:val="000000"/>
                <w:sz w:val="22"/>
                <w:szCs w:val="22"/>
                <w:lang w:eastAsia="en-GB"/>
              </w:rPr>
            </w:pPr>
            <w:r>
              <w:rPr>
                <w:rFonts w:cs="Arial"/>
                <w:color w:val="000000"/>
                <w:sz w:val="20"/>
                <w:szCs w:val="20"/>
              </w:rPr>
              <w:t>BP27</w:t>
            </w:r>
          </w:p>
        </w:tc>
        <w:tc>
          <w:tcPr>
            <w:tcW w:w="1269"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Mangalia </w:t>
            </w:r>
          </w:p>
        </w:tc>
        <w:tc>
          <w:tcPr>
            <w:tcW w:w="1134" w:type="pct"/>
            <w:shd w:val="clear" w:color="000000" w:fill="FFFFFF"/>
            <w:vAlign w:val="center"/>
            <w:hideMark/>
          </w:tcPr>
          <w:p w:rsidR="00A77D37" w:rsidRPr="00E061C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18.9</w:t>
            </w:r>
          </w:p>
        </w:tc>
        <w:tc>
          <w:tcPr>
            <w:tcW w:w="361"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7.5%</w:t>
            </w:r>
          </w:p>
        </w:tc>
        <w:tc>
          <w:tcPr>
            <w:tcW w:w="516"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44.1</w:t>
            </w:r>
          </w:p>
        </w:tc>
        <w:tc>
          <w:tcPr>
            <w:tcW w:w="56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1,420.8</w:t>
            </w:r>
          </w:p>
        </w:tc>
      </w:tr>
      <w:tr w:rsidR="00A77D37" w:rsidRPr="00E061CC" w:rsidTr="0030066D">
        <w:tc>
          <w:tcPr>
            <w:tcW w:w="177" w:type="pct"/>
            <w:shd w:val="clear" w:color="000000" w:fill="FFFFFF"/>
            <w:vAlign w:val="center"/>
            <w:hideMark/>
          </w:tcPr>
          <w:p w:rsidR="00A77D37" w:rsidRPr="00E061CC" w:rsidDel="006D55CD" w:rsidRDefault="00A77D37" w:rsidP="00E4054A">
            <w:pPr>
              <w:jc w:val="center"/>
              <w:rPr>
                <w:color w:val="000000"/>
                <w:sz w:val="22"/>
                <w:szCs w:val="22"/>
                <w:lang w:eastAsia="en-GB"/>
              </w:rPr>
            </w:pPr>
            <w:r>
              <w:rPr>
                <w:color w:val="000000"/>
                <w:sz w:val="22"/>
                <w:szCs w:val="22"/>
                <w:lang w:eastAsia="en-GB"/>
              </w:rPr>
              <w:t>23</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BP18</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Bistriţa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15.1</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6.5%</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157.0</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1,577.8</w:t>
            </w:r>
          </w:p>
        </w:tc>
      </w:tr>
      <w:tr w:rsidR="00A77D37" w:rsidRPr="00E061CC" w:rsidTr="0030066D">
        <w:tc>
          <w:tcPr>
            <w:tcW w:w="177" w:type="pct"/>
            <w:shd w:val="clear" w:color="000000" w:fill="FFFFFF"/>
            <w:vAlign w:val="center"/>
            <w:hideMark/>
          </w:tcPr>
          <w:p w:rsidR="00A77D37" w:rsidRPr="00E061CC" w:rsidDel="006D55CD" w:rsidRDefault="00A77D37" w:rsidP="00E4054A">
            <w:pPr>
              <w:jc w:val="center"/>
              <w:rPr>
                <w:color w:val="000000"/>
                <w:sz w:val="22"/>
                <w:szCs w:val="22"/>
                <w:lang w:eastAsia="en-GB"/>
              </w:rPr>
            </w:pPr>
            <w:r>
              <w:rPr>
                <w:color w:val="000000"/>
                <w:sz w:val="22"/>
                <w:szCs w:val="22"/>
                <w:lang w:eastAsia="en-GB"/>
              </w:rPr>
              <w:t>24</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BP19</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Miercurea Ciuc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9.0</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color w:val="000000"/>
                <w:sz w:val="20"/>
                <w:szCs w:val="20"/>
              </w:rPr>
              <w:t>4.8%</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110.5</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1,688.3</w:t>
            </w:r>
          </w:p>
        </w:tc>
      </w:tr>
      <w:tr w:rsidR="00A77D37" w:rsidRPr="00E061CC" w:rsidTr="0030066D">
        <w:tc>
          <w:tcPr>
            <w:tcW w:w="177" w:type="pct"/>
            <w:shd w:val="clear" w:color="000000" w:fill="FFFFFF"/>
            <w:vAlign w:val="center"/>
            <w:hideMark/>
          </w:tcPr>
          <w:p w:rsidR="00A77D37" w:rsidRPr="00E061CC" w:rsidDel="006D55CD" w:rsidRDefault="00A77D37" w:rsidP="00E4054A">
            <w:pPr>
              <w:jc w:val="center"/>
              <w:rPr>
                <w:color w:val="000000"/>
                <w:sz w:val="22"/>
                <w:szCs w:val="22"/>
                <w:lang w:eastAsia="en-GB"/>
              </w:rPr>
            </w:pPr>
            <w:r>
              <w:rPr>
                <w:color w:val="000000"/>
                <w:sz w:val="22"/>
                <w:szCs w:val="22"/>
                <w:lang w:eastAsia="en-GB"/>
              </w:rPr>
              <w:t>25</w:t>
            </w:r>
          </w:p>
        </w:tc>
        <w:tc>
          <w:tcPr>
            <w:tcW w:w="184" w:type="pct"/>
            <w:vMerge/>
            <w:vAlign w:val="center"/>
            <w:hideMark/>
          </w:tcPr>
          <w:p w:rsidR="00A77D37" w:rsidRPr="00E061CC" w:rsidRDefault="00A77D37" w:rsidP="00E4054A">
            <w:pPr>
              <w:rPr>
                <w:b/>
                <w:bCs/>
                <w:color w:val="000000"/>
                <w:sz w:val="22"/>
                <w:szCs w:val="22"/>
                <w:lang w:eastAsia="en-GB"/>
              </w:rPr>
            </w:pPr>
          </w:p>
        </w:tc>
        <w:tc>
          <w:tcPr>
            <w:tcW w:w="380" w:type="pct"/>
            <w:shd w:val="clear" w:color="000000" w:fill="FFFFFF"/>
            <w:vAlign w:val="center"/>
            <w:hideMark/>
          </w:tcPr>
          <w:p w:rsidR="00A77D37" w:rsidRPr="00E061CC" w:rsidDel="00E92A6C" w:rsidRDefault="00A77D37" w:rsidP="00E4054A">
            <w:pPr>
              <w:jc w:val="center"/>
              <w:rPr>
                <w:color w:val="000000"/>
                <w:sz w:val="22"/>
                <w:szCs w:val="22"/>
                <w:lang w:eastAsia="en-GB"/>
              </w:rPr>
            </w:pPr>
            <w:r>
              <w:rPr>
                <w:rFonts w:cs="Arial"/>
                <w:color w:val="000000"/>
                <w:sz w:val="20"/>
                <w:szCs w:val="20"/>
              </w:rPr>
              <w:t>BP26</w:t>
            </w:r>
          </w:p>
        </w:tc>
        <w:tc>
          <w:tcPr>
            <w:tcW w:w="1269"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Câmpulung Moldovenesc </w:t>
            </w:r>
          </w:p>
        </w:tc>
        <w:tc>
          <w:tcPr>
            <w:tcW w:w="1134" w:type="pct"/>
            <w:shd w:val="clear" w:color="000000" w:fill="FFFFFF"/>
            <w:vAlign w:val="center"/>
            <w:hideMark/>
          </w:tcPr>
          <w:p w:rsidR="00A77D37" w:rsidRPr="00E061CC" w:rsidDel="00E92A6C" w:rsidRDefault="00A77D37" w:rsidP="00E4054A">
            <w:pPr>
              <w:rPr>
                <w:color w:val="000000"/>
                <w:sz w:val="22"/>
                <w:szCs w:val="22"/>
                <w:lang w:eastAsia="en-GB"/>
              </w:rPr>
            </w:pPr>
            <w:r>
              <w:rPr>
                <w:rFonts w:cs="Arial"/>
                <w:color w:val="000000"/>
                <w:sz w:val="20"/>
                <w:szCs w:val="20"/>
              </w:rPr>
              <w:t xml:space="preserve">Comprehensive TEN-T link </w:t>
            </w:r>
          </w:p>
        </w:tc>
        <w:tc>
          <w:tcPr>
            <w:tcW w:w="412"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9.0</w:t>
            </w:r>
          </w:p>
        </w:tc>
        <w:tc>
          <w:tcPr>
            <w:tcW w:w="361"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color w:val="000000"/>
                <w:sz w:val="20"/>
                <w:szCs w:val="20"/>
              </w:rPr>
              <w:t>2.5%</w:t>
            </w:r>
          </w:p>
        </w:tc>
        <w:tc>
          <w:tcPr>
            <w:tcW w:w="516"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99.3</w:t>
            </w:r>
          </w:p>
        </w:tc>
        <w:tc>
          <w:tcPr>
            <w:tcW w:w="56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1,787.6</w:t>
            </w:r>
          </w:p>
        </w:tc>
      </w:tr>
    </w:tbl>
    <w:p w:rsidR="00EB34D0" w:rsidRPr="00E0488D" w:rsidRDefault="00EB34D0" w:rsidP="00B4550A">
      <w:pPr>
        <w:rPr>
          <w:lang w:val="ro-RO"/>
        </w:rPr>
      </w:pPr>
    </w:p>
    <w:p w:rsidR="00B4550A" w:rsidRPr="00E0488D" w:rsidRDefault="00B4550A" w:rsidP="00B4550A">
      <w:pPr>
        <w:rPr>
          <w:sz w:val="22"/>
          <w:szCs w:val="22"/>
          <w:lang w:val="ro-RO"/>
        </w:rPr>
      </w:pPr>
      <w:r w:rsidRPr="00E0488D">
        <w:rPr>
          <w:lang w:val="ro-RO"/>
        </w:rPr>
        <w:br w:type="page"/>
      </w:r>
    </w:p>
    <w:p w:rsidR="00B4550A" w:rsidRDefault="00B4550A" w:rsidP="00B4550A">
      <w:pPr>
        <w:spacing w:before="120" w:after="120" w:line="276" w:lineRule="auto"/>
        <w:rPr>
          <w:b/>
          <w:sz w:val="22"/>
          <w:szCs w:val="22"/>
          <w:lang w:val="ro-RO"/>
        </w:rPr>
      </w:pPr>
      <w:r w:rsidRPr="00E0488D">
        <w:rPr>
          <w:b/>
          <w:sz w:val="22"/>
          <w:szCs w:val="22"/>
          <w:lang w:val="ro-RO"/>
        </w:rPr>
        <w:lastRenderedPageBreak/>
        <w:t>Tabelul 4.2</w:t>
      </w:r>
      <w:r w:rsidR="00A77D37">
        <w:rPr>
          <w:b/>
          <w:sz w:val="22"/>
          <w:szCs w:val="22"/>
          <w:lang w:val="ro-RO"/>
        </w:rPr>
        <w:t>5</w:t>
      </w:r>
      <w:r w:rsidRPr="00E0488D">
        <w:rPr>
          <w:b/>
          <w:sz w:val="22"/>
          <w:szCs w:val="22"/>
          <w:lang w:val="ro-RO"/>
        </w:rPr>
        <w:tab/>
        <w:t xml:space="preserve">Scenariul EES – Proiecte și </w:t>
      </w:r>
      <w:r w:rsidR="00A26CD1">
        <w:rPr>
          <w:b/>
          <w:sz w:val="22"/>
          <w:szCs w:val="22"/>
          <w:lang w:val="ro-RO"/>
        </w:rPr>
        <w:t>indicatori economici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552"/>
        <w:gridCol w:w="1121"/>
        <w:gridCol w:w="3359"/>
        <w:gridCol w:w="3168"/>
        <w:gridCol w:w="1140"/>
        <w:gridCol w:w="1081"/>
        <w:gridCol w:w="1527"/>
        <w:gridCol w:w="1729"/>
      </w:tblGrid>
      <w:tr w:rsidR="00A26CD1" w:rsidRPr="00E061CC" w:rsidTr="0030066D">
        <w:trPr>
          <w:cantSplit/>
          <w:tblHeader/>
        </w:trPr>
        <w:tc>
          <w:tcPr>
            <w:tcW w:w="191" w:type="pct"/>
            <w:shd w:val="clear" w:color="000000" w:fill="376091"/>
            <w:vAlign w:val="center"/>
            <w:hideMark/>
          </w:tcPr>
          <w:p w:rsidR="00A26CD1" w:rsidRPr="00E061CC" w:rsidRDefault="00A26CD1" w:rsidP="00DE457D">
            <w:pPr>
              <w:jc w:val="center"/>
              <w:rPr>
                <w:b/>
                <w:bCs/>
                <w:color w:val="FFFFFF"/>
                <w:sz w:val="22"/>
                <w:szCs w:val="22"/>
                <w:lang w:eastAsia="en-GB"/>
              </w:rPr>
            </w:pPr>
            <w:r w:rsidRPr="00E061CC">
              <w:rPr>
                <w:b/>
                <w:bCs/>
                <w:color w:val="FFFFFF"/>
                <w:sz w:val="22"/>
                <w:szCs w:val="22"/>
                <w:lang w:eastAsia="en-GB"/>
              </w:rPr>
              <w:t> </w:t>
            </w:r>
          </w:p>
        </w:tc>
        <w:tc>
          <w:tcPr>
            <w:tcW w:w="588" w:type="pct"/>
            <w:gridSpan w:val="2"/>
            <w:shd w:val="clear" w:color="000000" w:fill="376091"/>
            <w:vAlign w:val="center"/>
            <w:hideMark/>
          </w:tcPr>
          <w:p w:rsidR="00A26CD1" w:rsidRPr="00E061CC" w:rsidRDefault="00A26CD1" w:rsidP="00A26CD1">
            <w:pPr>
              <w:jc w:val="center"/>
              <w:rPr>
                <w:b/>
                <w:bCs/>
                <w:color w:val="FFFFFF"/>
                <w:sz w:val="22"/>
                <w:szCs w:val="22"/>
                <w:lang w:eastAsia="en-GB"/>
              </w:rPr>
            </w:pPr>
            <w:r w:rsidRPr="00E061CC">
              <w:rPr>
                <w:b/>
                <w:bCs/>
                <w:color w:val="FFFFFF"/>
                <w:sz w:val="22"/>
                <w:szCs w:val="22"/>
                <w:lang w:eastAsia="en-GB"/>
              </w:rPr>
              <w:t>Cod</w:t>
            </w:r>
          </w:p>
        </w:tc>
        <w:tc>
          <w:tcPr>
            <w:tcW w:w="1181" w:type="pct"/>
            <w:shd w:val="clear" w:color="000000" w:fill="376091"/>
            <w:vAlign w:val="center"/>
            <w:hideMark/>
          </w:tcPr>
          <w:p w:rsidR="00A26CD1" w:rsidRPr="00E061CC" w:rsidRDefault="00A26CD1" w:rsidP="00DE457D">
            <w:pPr>
              <w:jc w:val="center"/>
              <w:rPr>
                <w:b/>
                <w:bCs/>
                <w:color w:val="FFFFFF"/>
                <w:sz w:val="22"/>
                <w:szCs w:val="22"/>
                <w:lang w:eastAsia="en-GB"/>
              </w:rPr>
            </w:pPr>
            <w:r>
              <w:rPr>
                <w:b/>
                <w:bCs/>
                <w:color w:val="FFFFFF"/>
                <w:sz w:val="22"/>
                <w:szCs w:val="22"/>
                <w:lang w:eastAsia="en-GB"/>
              </w:rPr>
              <w:t>Descrierea Proiectului</w:t>
            </w:r>
          </w:p>
        </w:tc>
        <w:tc>
          <w:tcPr>
            <w:tcW w:w="1114" w:type="pct"/>
            <w:shd w:val="clear" w:color="000000" w:fill="376091"/>
            <w:vAlign w:val="center"/>
            <w:hideMark/>
          </w:tcPr>
          <w:p w:rsidR="00A26CD1" w:rsidRPr="00E061CC" w:rsidRDefault="00A26CD1" w:rsidP="00DE457D">
            <w:pPr>
              <w:jc w:val="center"/>
              <w:rPr>
                <w:b/>
                <w:bCs/>
                <w:color w:val="FFFFFF"/>
                <w:sz w:val="22"/>
                <w:szCs w:val="22"/>
                <w:lang w:eastAsia="en-GB"/>
              </w:rPr>
            </w:pPr>
            <w:r w:rsidRPr="00E061CC">
              <w:rPr>
                <w:b/>
                <w:bCs/>
                <w:color w:val="FFFFFF"/>
                <w:sz w:val="22"/>
                <w:szCs w:val="22"/>
                <w:lang w:eastAsia="en-GB"/>
              </w:rPr>
              <w:t>TEN-T</w:t>
            </w:r>
          </w:p>
        </w:tc>
        <w:tc>
          <w:tcPr>
            <w:tcW w:w="401" w:type="pct"/>
            <w:shd w:val="clear" w:color="000000" w:fill="376091"/>
            <w:vAlign w:val="center"/>
            <w:hideMark/>
          </w:tcPr>
          <w:p w:rsidR="00A26CD1" w:rsidRPr="00A26CD1" w:rsidRDefault="00A26CD1" w:rsidP="00DE457D">
            <w:pPr>
              <w:jc w:val="center"/>
              <w:rPr>
                <w:b/>
                <w:bCs/>
                <w:color w:val="FFFFFF"/>
                <w:sz w:val="22"/>
                <w:szCs w:val="22"/>
                <w:lang w:eastAsia="en-GB"/>
              </w:rPr>
            </w:pPr>
            <w:r w:rsidRPr="00A26CD1">
              <w:rPr>
                <w:b/>
                <w:bCs/>
                <w:color w:val="FFFFFF"/>
                <w:sz w:val="22"/>
                <w:szCs w:val="22"/>
                <w:lang w:eastAsia="en-GB"/>
              </w:rPr>
              <w:t>Punctaj</w:t>
            </w:r>
          </w:p>
        </w:tc>
        <w:tc>
          <w:tcPr>
            <w:tcW w:w="380" w:type="pct"/>
            <w:shd w:val="clear" w:color="000000" w:fill="376091"/>
            <w:vAlign w:val="center"/>
            <w:hideMark/>
          </w:tcPr>
          <w:p w:rsidR="00A26CD1" w:rsidRPr="00A26CD1" w:rsidRDefault="00A26CD1" w:rsidP="00DE457D">
            <w:pPr>
              <w:jc w:val="center"/>
              <w:rPr>
                <w:b/>
                <w:bCs/>
                <w:color w:val="FFFFFF"/>
                <w:sz w:val="22"/>
                <w:szCs w:val="22"/>
                <w:lang w:eastAsia="en-GB"/>
              </w:rPr>
            </w:pPr>
            <w:r w:rsidRPr="00A26CD1">
              <w:rPr>
                <w:b/>
                <w:bCs/>
                <w:color w:val="FFFFFF"/>
                <w:sz w:val="22"/>
                <w:szCs w:val="22"/>
                <w:lang w:eastAsia="en-GB"/>
              </w:rPr>
              <w:t>RIRE</w:t>
            </w:r>
          </w:p>
        </w:tc>
        <w:tc>
          <w:tcPr>
            <w:tcW w:w="537" w:type="pct"/>
            <w:shd w:val="clear" w:color="000000" w:fill="376091"/>
            <w:vAlign w:val="center"/>
            <w:hideMark/>
          </w:tcPr>
          <w:p w:rsidR="00A26CD1" w:rsidRPr="00E061CC" w:rsidRDefault="00A26CD1" w:rsidP="00A26CD1">
            <w:pPr>
              <w:jc w:val="center"/>
              <w:rPr>
                <w:b/>
                <w:bCs/>
                <w:color w:val="FFFFFF"/>
                <w:sz w:val="22"/>
                <w:szCs w:val="22"/>
                <w:lang w:eastAsia="en-GB"/>
              </w:rPr>
            </w:pPr>
            <w:r w:rsidRPr="00E061CC">
              <w:rPr>
                <w:b/>
                <w:bCs/>
                <w:color w:val="FFFFFF"/>
                <w:sz w:val="22"/>
                <w:szCs w:val="22"/>
                <w:lang w:eastAsia="en-GB"/>
              </w:rPr>
              <w:t xml:space="preserve">Cost </w:t>
            </w:r>
            <w:r>
              <w:rPr>
                <w:b/>
                <w:bCs/>
                <w:color w:val="FFFFFF"/>
                <w:sz w:val="22"/>
                <w:szCs w:val="22"/>
                <w:lang w:eastAsia="en-GB"/>
              </w:rPr>
              <w:t xml:space="preserve"> </w:t>
            </w:r>
            <w:r w:rsidRPr="00E061CC">
              <w:rPr>
                <w:b/>
                <w:bCs/>
                <w:color w:val="FFFFFF"/>
                <w:sz w:val="22"/>
                <w:szCs w:val="22"/>
                <w:lang w:eastAsia="en-GB"/>
              </w:rPr>
              <w:t>(</w:t>
            </w:r>
            <w:r>
              <w:rPr>
                <w:b/>
                <w:bCs/>
                <w:color w:val="FFFFFF"/>
                <w:sz w:val="22"/>
                <w:szCs w:val="22"/>
                <w:lang w:eastAsia="en-GB"/>
              </w:rPr>
              <w:t xml:space="preserve">prețuri </w:t>
            </w:r>
            <w:r w:rsidRPr="00E061CC">
              <w:rPr>
                <w:b/>
                <w:bCs/>
                <w:color w:val="FFFFFF"/>
                <w:sz w:val="22"/>
                <w:szCs w:val="22"/>
                <w:lang w:eastAsia="en-GB"/>
              </w:rPr>
              <w:t xml:space="preserve">2014 </w:t>
            </w:r>
            <w:r>
              <w:rPr>
                <w:b/>
                <w:bCs/>
                <w:color w:val="FFFFFF"/>
                <w:sz w:val="22"/>
                <w:szCs w:val="22"/>
                <w:lang w:eastAsia="en-GB"/>
              </w:rPr>
              <w:t>)</w:t>
            </w:r>
          </w:p>
        </w:tc>
        <w:tc>
          <w:tcPr>
            <w:tcW w:w="608" w:type="pct"/>
            <w:shd w:val="clear" w:color="000000" w:fill="376091"/>
            <w:vAlign w:val="center"/>
            <w:hideMark/>
          </w:tcPr>
          <w:p w:rsidR="00A26CD1" w:rsidRPr="00E061CC" w:rsidRDefault="00A26CD1" w:rsidP="00DE457D">
            <w:pPr>
              <w:jc w:val="center"/>
              <w:rPr>
                <w:b/>
                <w:bCs/>
                <w:color w:val="FFFFFF"/>
                <w:sz w:val="22"/>
                <w:szCs w:val="22"/>
                <w:lang w:eastAsia="en-GB"/>
              </w:rPr>
            </w:pPr>
            <w:r>
              <w:rPr>
                <w:b/>
                <w:bCs/>
                <w:color w:val="FFFFFF"/>
                <w:sz w:val="22"/>
                <w:szCs w:val="22"/>
                <w:lang w:eastAsia="en-GB"/>
              </w:rPr>
              <w:t>Cost Cumulat</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1</w:t>
            </w:r>
          </w:p>
        </w:tc>
        <w:tc>
          <w:tcPr>
            <w:tcW w:w="194" w:type="pct"/>
            <w:vMerge w:val="restart"/>
            <w:shd w:val="clear" w:color="000000" w:fill="FFFFFF"/>
            <w:textDirection w:val="btLr"/>
            <w:vAlign w:val="center"/>
            <w:hideMark/>
          </w:tcPr>
          <w:p w:rsidR="00A77D37" w:rsidRPr="00E061CC" w:rsidRDefault="00A77D37" w:rsidP="00DE457D">
            <w:pPr>
              <w:jc w:val="center"/>
              <w:rPr>
                <w:bCs/>
                <w:color w:val="000000"/>
                <w:sz w:val="22"/>
                <w:szCs w:val="22"/>
                <w:lang w:eastAsia="en-GB"/>
              </w:rPr>
            </w:pPr>
            <w:r>
              <w:rPr>
                <w:bCs/>
                <w:color w:val="000000"/>
                <w:sz w:val="22"/>
                <w:szCs w:val="22"/>
                <w:lang w:eastAsia="en-GB"/>
              </w:rPr>
              <w:t>Nivel</w:t>
            </w:r>
            <w:r w:rsidRPr="00E061CC">
              <w:rPr>
                <w:bCs/>
                <w:color w:val="000000"/>
                <w:sz w:val="22"/>
                <w:szCs w:val="22"/>
                <w:lang w:eastAsia="en-GB"/>
              </w:rPr>
              <w:t xml:space="preserve"> 1</w:t>
            </w:r>
          </w:p>
        </w:tc>
        <w:tc>
          <w:tcPr>
            <w:tcW w:w="394" w:type="pct"/>
            <w:shd w:val="clear" w:color="000000" w:fill="FFFFFF"/>
            <w:vAlign w:val="center"/>
            <w:hideMark/>
          </w:tcPr>
          <w:p w:rsidR="00A77D37" w:rsidRPr="00E92A6C" w:rsidRDefault="00A77D37" w:rsidP="00DE457D">
            <w:pPr>
              <w:jc w:val="center"/>
              <w:rPr>
                <w:color w:val="000000"/>
                <w:sz w:val="22"/>
                <w:szCs w:val="22"/>
                <w:lang w:eastAsia="en-GB"/>
              </w:rPr>
            </w:pPr>
            <w:r w:rsidRPr="00E92A6C">
              <w:rPr>
                <w:rFonts w:cs="Arial"/>
                <w:color w:val="000000"/>
                <w:sz w:val="22"/>
                <w:szCs w:val="22"/>
              </w:rPr>
              <w:t>H7</w:t>
            </w:r>
          </w:p>
        </w:tc>
        <w:tc>
          <w:tcPr>
            <w:tcW w:w="1181" w:type="pct"/>
            <w:shd w:val="clear" w:color="000000" w:fill="FFFFFF"/>
            <w:vAlign w:val="center"/>
            <w:hideMark/>
          </w:tcPr>
          <w:p w:rsidR="00A77D37" w:rsidRPr="00E92A6C" w:rsidRDefault="00A77D37" w:rsidP="00A26CD1">
            <w:pPr>
              <w:rPr>
                <w:color w:val="000000"/>
                <w:sz w:val="22"/>
                <w:szCs w:val="22"/>
                <w:lang w:eastAsia="en-GB"/>
              </w:rPr>
            </w:pPr>
            <w:r>
              <w:rPr>
                <w:rFonts w:cs="Arial"/>
                <w:color w:val="000000"/>
                <w:sz w:val="22"/>
                <w:szCs w:val="22"/>
              </w:rPr>
              <w:t xml:space="preserve">Autostrada </w:t>
            </w:r>
            <w:r w:rsidRPr="00E92A6C">
              <w:rPr>
                <w:rFonts w:cs="Arial"/>
                <w:color w:val="000000"/>
                <w:sz w:val="22"/>
                <w:szCs w:val="22"/>
              </w:rPr>
              <w:t xml:space="preserve">Sibiu-Brasov </w:t>
            </w:r>
          </w:p>
        </w:tc>
        <w:tc>
          <w:tcPr>
            <w:tcW w:w="1114" w:type="pct"/>
            <w:shd w:val="clear" w:color="000000" w:fill="FFFFFF"/>
            <w:vAlign w:val="center"/>
            <w:hideMark/>
          </w:tcPr>
          <w:p w:rsidR="00A77D37" w:rsidRPr="00E92A6C" w:rsidRDefault="00A77D37" w:rsidP="00DE457D">
            <w:pPr>
              <w:rPr>
                <w:color w:val="000000"/>
                <w:sz w:val="22"/>
                <w:szCs w:val="22"/>
                <w:lang w:eastAsia="en-GB"/>
              </w:rPr>
            </w:pPr>
            <w:r w:rsidRPr="00E92A6C">
              <w:rPr>
                <w:rFonts w:cs="Arial"/>
                <w:color w:val="000000"/>
                <w:sz w:val="22"/>
                <w:szCs w:val="22"/>
              </w:rPr>
              <w:t xml:space="preserve">Comprehensive TEN-T link </w:t>
            </w:r>
          </w:p>
        </w:tc>
        <w:tc>
          <w:tcPr>
            <w:tcW w:w="401"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74.3</w:t>
            </w:r>
          </w:p>
        </w:tc>
        <w:tc>
          <w:tcPr>
            <w:tcW w:w="380" w:type="pct"/>
            <w:shd w:val="clear" w:color="000000" w:fill="FFFFFF"/>
            <w:vAlign w:val="center"/>
            <w:hideMark/>
          </w:tcPr>
          <w:p w:rsidR="00A77D37" w:rsidRPr="00E92A6C" w:rsidRDefault="00A77D37" w:rsidP="00A77D37">
            <w:pPr>
              <w:jc w:val="center"/>
              <w:rPr>
                <w:bCs/>
                <w:color w:val="000000"/>
                <w:sz w:val="22"/>
                <w:szCs w:val="22"/>
                <w:lang w:eastAsia="en-GB"/>
              </w:rPr>
            </w:pPr>
            <w:r w:rsidRPr="00E92A6C">
              <w:rPr>
                <w:rFonts w:cs="Arial"/>
                <w:b/>
                <w:bCs/>
                <w:color w:val="000000"/>
                <w:sz w:val="22"/>
                <w:szCs w:val="22"/>
              </w:rPr>
              <w:t>17.3%</w:t>
            </w:r>
          </w:p>
        </w:tc>
        <w:tc>
          <w:tcPr>
            <w:tcW w:w="537"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817.3</w:t>
            </w:r>
          </w:p>
        </w:tc>
        <w:tc>
          <w:tcPr>
            <w:tcW w:w="608"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817.3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2</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92A6C" w:rsidRDefault="00A77D37" w:rsidP="00DE457D">
            <w:pPr>
              <w:jc w:val="center"/>
              <w:rPr>
                <w:color w:val="000000"/>
                <w:sz w:val="22"/>
                <w:szCs w:val="22"/>
                <w:lang w:eastAsia="en-GB"/>
              </w:rPr>
            </w:pPr>
            <w:r w:rsidRPr="00E92A6C">
              <w:rPr>
                <w:rFonts w:cs="Arial"/>
                <w:color w:val="000000"/>
                <w:sz w:val="22"/>
                <w:szCs w:val="22"/>
              </w:rPr>
              <w:t>H8</w:t>
            </w:r>
          </w:p>
        </w:tc>
        <w:tc>
          <w:tcPr>
            <w:tcW w:w="1181" w:type="pct"/>
            <w:shd w:val="clear" w:color="000000" w:fill="FFFFFF"/>
            <w:vAlign w:val="center"/>
            <w:hideMark/>
          </w:tcPr>
          <w:p w:rsidR="00A77D37" w:rsidRPr="00E92A6C" w:rsidRDefault="00A77D37" w:rsidP="00A26CD1">
            <w:pPr>
              <w:rPr>
                <w:color w:val="000000"/>
                <w:sz w:val="22"/>
                <w:szCs w:val="22"/>
                <w:lang w:eastAsia="en-GB"/>
              </w:rPr>
            </w:pPr>
            <w:r>
              <w:rPr>
                <w:rFonts w:cs="Arial"/>
                <w:color w:val="000000"/>
                <w:sz w:val="22"/>
                <w:szCs w:val="22"/>
              </w:rPr>
              <w:t>Autostrada</w:t>
            </w:r>
            <w:r w:rsidRPr="00E92A6C">
              <w:rPr>
                <w:rFonts w:cs="Arial"/>
                <w:color w:val="000000"/>
                <w:sz w:val="22"/>
                <w:szCs w:val="22"/>
              </w:rPr>
              <w:t xml:space="preserve"> Ploiesti-Comarnic</w:t>
            </w:r>
          </w:p>
        </w:tc>
        <w:tc>
          <w:tcPr>
            <w:tcW w:w="1114" w:type="pct"/>
            <w:shd w:val="clear" w:color="000000" w:fill="FFFFFF"/>
            <w:vAlign w:val="center"/>
            <w:hideMark/>
          </w:tcPr>
          <w:p w:rsidR="00A77D37" w:rsidRPr="00E92A6C" w:rsidRDefault="00A77D37" w:rsidP="00DE457D">
            <w:pPr>
              <w:rPr>
                <w:color w:val="000000"/>
                <w:sz w:val="22"/>
                <w:szCs w:val="22"/>
                <w:lang w:eastAsia="en-GB"/>
              </w:rPr>
            </w:pPr>
            <w:r w:rsidRPr="00E92A6C">
              <w:rPr>
                <w:rFonts w:cs="Arial"/>
                <w:color w:val="000000"/>
                <w:sz w:val="22"/>
                <w:szCs w:val="22"/>
              </w:rPr>
              <w:t xml:space="preserve">Comprehensive TEN-T link </w:t>
            </w:r>
          </w:p>
        </w:tc>
        <w:tc>
          <w:tcPr>
            <w:tcW w:w="401"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48.7</w:t>
            </w:r>
          </w:p>
        </w:tc>
        <w:tc>
          <w:tcPr>
            <w:tcW w:w="380" w:type="pct"/>
            <w:shd w:val="clear" w:color="000000" w:fill="FFFFFF"/>
            <w:vAlign w:val="center"/>
            <w:hideMark/>
          </w:tcPr>
          <w:p w:rsidR="00A77D37" w:rsidRPr="00E92A6C" w:rsidRDefault="00A77D37" w:rsidP="00A77D37">
            <w:pPr>
              <w:jc w:val="center"/>
              <w:rPr>
                <w:bCs/>
                <w:color w:val="000000"/>
                <w:sz w:val="22"/>
                <w:szCs w:val="22"/>
                <w:lang w:eastAsia="en-GB"/>
              </w:rPr>
            </w:pPr>
            <w:r w:rsidRPr="00E92A6C">
              <w:rPr>
                <w:rFonts w:cs="Arial"/>
                <w:b/>
                <w:bCs/>
                <w:color w:val="000000"/>
                <w:sz w:val="22"/>
                <w:szCs w:val="22"/>
              </w:rPr>
              <w:t>12.5%</w:t>
            </w:r>
          </w:p>
        </w:tc>
        <w:tc>
          <w:tcPr>
            <w:tcW w:w="537"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310.4</w:t>
            </w:r>
          </w:p>
        </w:tc>
        <w:tc>
          <w:tcPr>
            <w:tcW w:w="608"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1,127.7</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3</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92A6C" w:rsidRDefault="00A77D37" w:rsidP="00DE457D">
            <w:pPr>
              <w:jc w:val="center"/>
              <w:rPr>
                <w:color w:val="000000"/>
                <w:sz w:val="22"/>
                <w:szCs w:val="22"/>
                <w:lang w:eastAsia="en-GB"/>
              </w:rPr>
            </w:pPr>
            <w:r w:rsidRPr="00E92A6C">
              <w:rPr>
                <w:rFonts w:cs="Arial"/>
                <w:color w:val="000000"/>
                <w:sz w:val="22"/>
                <w:szCs w:val="22"/>
              </w:rPr>
              <w:t>H6</w:t>
            </w:r>
          </w:p>
        </w:tc>
        <w:tc>
          <w:tcPr>
            <w:tcW w:w="1181" w:type="pct"/>
            <w:shd w:val="clear" w:color="000000" w:fill="FFFFFF"/>
            <w:vAlign w:val="center"/>
            <w:hideMark/>
          </w:tcPr>
          <w:p w:rsidR="00A77D37" w:rsidRPr="00E92A6C" w:rsidRDefault="00A77D37" w:rsidP="00A26CD1">
            <w:pPr>
              <w:rPr>
                <w:color w:val="000000"/>
                <w:sz w:val="22"/>
                <w:szCs w:val="22"/>
                <w:lang w:eastAsia="en-GB"/>
              </w:rPr>
            </w:pPr>
            <w:r>
              <w:rPr>
                <w:rFonts w:cs="Arial"/>
                <w:color w:val="000000"/>
                <w:sz w:val="22"/>
                <w:szCs w:val="22"/>
              </w:rPr>
              <w:t>Autostrada</w:t>
            </w:r>
            <w:r w:rsidRPr="00E92A6C">
              <w:rPr>
                <w:rFonts w:cs="Arial"/>
                <w:color w:val="000000"/>
                <w:sz w:val="22"/>
                <w:szCs w:val="22"/>
              </w:rPr>
              <w:t xml:space="preserve"> Craiova-Pitesti </w:t>
            </w:r>
          </w:p>
        </w:tc>
        <w:tc>
          <w:tcPr>
            <w:tcW w:w="1114" w:type="pct"/>
            <w:shd w:val="clear" w:color="000000" w:fill="FFFFFF"/>
            <w:vAlign w:val="center"/>
            <w:hideMark/>
          </w:tcPr>
          <w:p w:rsidR="00A77D37" w:rsidRPr="00E92A6C" w:rsidRDefault="00A77D37" w:rsidP="00DE457D">
            <w:pPr>
              <w:rPr>
                <w:color w:val="000000"/>
                <w:sz w:val="22"/>
                <w:szCs w:val="22"/>
                <w:lang w:eastAsia="en-GB"/>
              </w:rPr>
            </w:pPr>
            <w:r w:rsidRPr="00E92A6C">
              <w:rPr>
                <w:rFonts w:cs="Arial"/>
                <w:color w:val="000000"/>
                <w:sz w:val="22"/>
                <w:szCs w:val="22"/>
              </w:rPr>
              <w:t xml:space="preserve">Comprehensive TEN-T link </w:t>
            </w:r>
          </w:p>
        </w:tc>
        <w:tc>
          <w:tcPr>
            <w:tcW w:w="401"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47.3</w:t>
            </w:r>
          </w:p>
        </w:tc>
        <w:tc>
          <w:tcPr>
            <w:tcW w:w="380" w:type="pct"/>
            <w:shd w:val="clear" w:color="000000" w:fill="FFFFFF"/>
            <w:vAlign w:val="center"/>
            <w:hideMark/>
          </w:tcPr>
          <w:p w:rsidR="00A77D37" w:rsidRPr="00E92A6C" w:rsidRDefault="00A77D37" w:rsidP="00A77D37">
            <w:pPr>
              <w:jc w:val="center"/>
              <w:rPr>
                <w:bCs/>
                <w:color w:val="000000"/>
                <w:sz w:val="22"/>
                <w:szCs w:val="22"/>
                <w:lang w:eastAsia="en-GB"/>
              </w:rPr>
            </w:pPr>
            <w:r w:rsidRPr="00E92A6C">
              <w:rPr>
                <w:rFonts w:cs="Arial"/>
                <w:b/>
                <w:bCs/>
                <w:color w:val="000000"/>
                <w:sz w:val="22"/>
                <w:szCs w:val="22"/>
              </w:rPr>
              <w:t>12.2%</w:t>
            </w:r>
          </w:p>
        </w:tc>
        <w:tc>
          <w:tcPr>
            <w:tcW w:w="537"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870.3</w:t>
            </w:r>
          </w:p>
        </w:tc>
        <w:tc>
          <w:tcPr>
            <w:tcW w:w="608"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1,998.0</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4</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92A6C" w:rsidRDefault="00A77D37" w:rsidP="00DE457D">
            <w:pPr>
              <w:jc w:val="center"/>
              <w:rPr>
                <w:color w:val="000000"/>
                <w:sz w:val="22"/>
                <w:szCs w:val="22"/>
                <w:lang w:eastAsia="en-GB"/>
              </w:rPr>
            </w:pPr>
            <w:r w:rsidRPr="00E92A6C">
              <w:rPr>
                <w:rFonts w:cs="Arial"/>
                <w:color w:val="000000"/>
                <w:sz w:val="22"/>
                <w:szCs w:val="22"/>
              </w:rPr>
              <w:t>H1</w:t>
            </w:r>
          </w:p>
        </w:tc>
        <w:tc>
          <w:tcPr>
            <w:tcW w:w="1181" w:type="pct"/>
            <w:shd w:val="clear" w:color="000000" w:fill="FFFFFF"/>
            <w:vAlign w:val="center"/>
            <w:hideMark/>
          </w:tcPr>
          <w:p w:rsidR="00A77D37" w:rsidRPr="00E92A6C" w:rsidRDefault="00A77D37" w:rsidP="00A26CD1">
            <w:pPr>
              <w:rPr>
                <w:color w:val="000000"/>
                <w:sz w:val="22"/>
                <w:szCs w:val="22"/>
                <w:lang w:eastAsia="en-GB"/>
              </w:rPr>
            </w:pPr>
            <w:r>
              <w:rPr>
                <w:rFonts w:cs="Arial"/>
                <w:color w:val="000000"/>
                <w:sz w:val="22"/>
                <w:szCs w:val="22"/>
              </w:rPr>
              <w:t>Autostrada</w:t>
            </w:r>
            <w:r w:rsidRPr="00E92A6C">
              <w:rPr>
                <w:rFonts w:cs="Arial"/>
                <w:color w:val="000000"/>
                <w:sz w:val="22"/>
                <w:szCs w:val="22"/>
              </w:rPr>
              <w:t xml:space="preserve"> Comarnic-Brasov </w:t>
            </w:r>
          </w:p>
        </w:tc>
        <w:tc>
          <w:tcPr>
            <w:tcW w:w="1114" w:type="pct"/>
            <w:shd w:val="clear" w:color="000000" w:fill="FFFFFF"/>
            <w:vAlign w:val="center"/>
            <w:hideMark/>
          </w:tcPr>
          <w:p w:rsidR="00A77D37" w:rsidRPr="00E92A6C" w:rsidRDefault="00A77D37" w:rsidP="00DE457D">
            <w:pPr>
              <w:rPr>
                <w:color w:val="000000"/>
                <w:sz w:val="22"/>
                <w:szCs w:val="22"/>
                <w:lang w:eastAsia="en-GB"/>
              </w:rPr>
            </w:pPr>
            <w:r w:rsidRPr="00E92A6C">
              <w:rPr>
                <w:rFonts w:cs="Arial"/>
                <w:color w:val="000000"/>
                <w:sz w:val="22"/>
                <w:szCs w:val="22"/>
              </w:rPr>
              <w:t xml:space="preserve">Comprehensive TEN-T link </w:t>
            </w:r>
          </w:p>
        </w:tc>
        <w:tc>
          <w:tcPr>
            <w:tcW w:w="401"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29.3</w:t>
            </w:r>
          </w:p>
        </w:tc>
        <w:tc>
          <w:tcPr>
            <w:tcW w:w="380" w:type="pct"/>
            <w:shd w:val="clear" w:color="000000" w:fill="FFFFFF"/>
            <w:vAlign w:val="center"/>
            <w:hideMark/>
          </w:tcPr>
          <w:p w:rsidR="00A77D37" w:rsidRPr="00E92A6C" w:rsidRDefault="00A77D37" w:rsidP="00A77D37">
            <w:pPr>
              <w:jc w:val="center"/>
              <w:rPr>
                <w:bCs/>
                <w:color w:val="000000"/>
                <w:sz w:val="22"/>
                <w:szCs w:val="22"/>
                <w:lang w:eastAsia="en-GB"/>
              </w:rPr>
            </w:pPr>
            <w:r w:rsidRPr="00E92A6C">
              <w:rPr>
                <w:rFonts w:cs="Arial"/>
                <w:b/>
                <w:bCs/>
                <w:color w:val="000000"/>
                <w:sz w:val="22"/>
                <w:szCs w:val="22"/>
              </w:rPr>
              <w:t>8.8%</w:t>
            </w:r>
          </w:p>
        </w:tc>
        <w:tc>
          <w:tcPr>
            <w:tcW w:w="537"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1,117.0</w:t>
            </w:r>
          </w:p>
        </w:tc>
        <w:tc>
          <w:tcPr>
            <w:tcW w:w="608"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3,115.0</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5</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92A6C" w:rsidRDefault="00A77D37" w:rsidP="00DE457D">
            <w:pPr>
              <w:jc w:val="center"/>
              <w:rPr>
                <w:color w:val="000000"/>
                <w:sz w:val="22"/>
                <w:szCs w:val="22"/>
                <w:lang w:eastAsia="en-GB"/>
              </w:rPr>
            </w:pPr>
            <w:r w:rsidRPr="00E92A6C">
              <w:rPr>
                <w:rFonts w:cs="Arial"/>
                <w:color w:val="000000"/>
                <w:sz w:val="22"/>
                <w:szCs w:val="22"/>
              </w:rPr>
              <w:t>H12</w:t>
            </w:r>
          </w:p>
        </w:tc>
        <w:tc>
          <w:tcPr>
            <w:tcW w:w="1181" w:type="pct"/>
            <w:shd w:val="clear" w:color="000000" w:fill="FFFFFF"/>
            <w:vAlign w:val="center"/>
            <w:hideMark/>
          </w:tcPr>
          <w:p w:rsidR="00A77D37" w:rsidRPr="00E92A6C" w:rsidRDefault="00A77D37" w:rsidP="00A26CD1">
            <w:pPr>
              <w:rPr>
                <w:color w:val="000000"/>
                <w:sz w:val="22"/>
                <w:szCs w:val="22"/>
                <w:lang w:eastAsia="en-GB"/>
              </w:rPr>
            </w:pPr>
            <w:r>
              <w:rPr>
                <w:rFonts w:cs="Arial"/>
                <w:color w:val="000000"/>
                <w:sz w:val="22"/>
                <w:szCs w:val="22"/>
              </w:rPr>
              <w:t>Autostrada</w:t>
            </w:r>
            <w:r w:rsidRPr="00E92A6C">
              <w:rPr>
                <w:rFonts w:cs="Arial"/>
                <w:color w:val="000000"/>
                <w:sz w:val="22"/>
                <w:szCs w:val="22"/>
              </w:rPr>
              <w:t xml:space="preserve"> Brasov-Bacau </w:t>
            </w:r>
          </w:p>
        </w:tc>
        <w:tc>
          <w:tcPr>
            <w:tcW w:w="1114" w:type="pct"/>
            <w:shd w:val="clear" w:color="000000" w:fill="FFFFFF"/>
            <w:vAlign w:val="center"/>
            <w:hideMark/>
          </w:tcPr>
          <w:p w:rsidR="00A77D37" w:rsidRPr="00E92A6C" w:rsidRDefault="00A77D37" w:rsidP="00DE457D">
            <w:pPr>
              <w:rPr>
                <w:color w:val="000000"/>
                <w:sz w:val="22"/>
                <w:szCs w:val="22"/>
                <w:lang w:eastAsia="en-GB"/>
              </w:rPr>
            </w:pPr>
            <w:r w:rsidRPr="00E92A6C">
              <w:rPr>
                <w:rFonts w:cs="Arial"/>
                <w:color w:val="000000"/>
                <w:sz w:val="22"/>
                <w:szCs w:val="22"/>
              </w:rPr>
              <w:t xml:space="preserve">Comprehensive TEN-T link </w:t>
            </w:r>
          </w:p>
        </w:tc>
        <w:tc>
          <w:tcPr>
            <w:tcW w:w="401"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20.1</w:t>
            </w:r>
          </w:p>
        </w:tc>
        <w:tc>
          <w:tcPr>
            <w:tcW w:w="380" w:type="pct"/>
            <w:shd w:val="clear" w:color="000000" w:fill="FFFFFF"/>
            <w:vAlign w:val="center"/>
            <w:hideMark/>
          </w:tcPr>
          <w:p w:rsidR="00A77D37" w:rsidRPr="00E92A6C" w:rsidRDefault="00A77D37" w:rsidP="00A77D37">
            <w:pPr>
              <w:jc w:val="center"/>
              <w:rPr>
                <w:bCs/>
                <w:color w:val="000000"/>
                <w:sz w:val="22"/>
                <w:szCs w:val="22"/>
                <w:lang w:eastAsia="en-GB"/>
              </w:rPr>
            </w:pPr>
            <w:r w:rsidRPr="00E92A6C">
              <w:rPr>
                <w:rFonts w:cs="Arial"/>
                <w:b/>
                <w:bCs/>
                <w:color w:val="000000"/>
                <w:sz w:val="22"/>
                <w:szCs w:val="22"/>
              </w:rPr>
              <w:t>7.1%</w:t>
            </w:r>
          </w:p>
        </w:tc>
        <w:tc>
          <w:tcPr>
            <w:tcW w:w="537"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2,067.6</w:t>
            </w:r>
          </w:p>
        </w:tc>
        <w:tc>
          <w:tcPr>
            <w:tcW w:w="608" w:type="pct"/>
            <w:shd w:val="clear" w:color="000000" w:fill="FFFFFF"/>
            <w:vAlign w:val="center"/>
            <w:hideMark/>
          </w:tcPr>
          <w:p w:rsidR="00A77D37" w:rsidRPr="00E92A6C" w:rsidRDefault="00A77D37" w:rsidP="00A77D37">
            <w:pPr>
              <w:jc w:val="center"/>
              <w:rPr>
                <w:color w:val="000000"/>
                <w:sz w:val="22"/>
                <w:szCs w:val="22"/>
                <w:lang w:eastAsia="en-GB"/>
              </w:rPr>
            </w:pPr>
            <w:r w:rsidRPr="00E92A6C">
              <w:rPr>
                <w:rFonts w:cs="Arial"/>
                <w:color w:val="000000"/>
                <w:sz w:val="22"/>
                <w:szCs w:val="22"/>
              </w:rPr>
              <w:t>5,182.6</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1</w:t>
            </w:r>
          </w:p>
        </w:tc>
        <w:tc>
          <w:tcPr>
            <w:tcW w:w="194" w:type="pct"/>
            <w:vMerge w:val="restart"/>
            <w:shd w:val="clear" w:color="000000" w:fill="FFFFFF"/>
            <w:textDirection w:val="btLr"/>
            <w:vAlign w:val="center"/>
            <w:hideMark/>
          </w:tcPr>
          <w:p w:rsidR="00A77D37" w:rsidRPr="00E061CC" w:rsidRDefault="00A77D37" w:rsidP="00DE457D">
            <w:pPr>
              <w:jc w:val="center"/>
              <w:rPr>
                <w:bCs/>
                <w:color w:val="000000"/>
                <w:sz w:val="22"/>
                <w:szCs w:val="22"/>
                <w:lang w:eastAsia="en-GB"/>
              </w:rPr>
            </w:pPr>
            <w:r>
              <w:rPr>
                <w:bCs/>
                <w:color w:val="000000"/>
                <w:sz w:val="22"/>
                <w:szCs w:val="22"/>
                <w:lang w:eastAsia="en-GB"/>
              </w:rPr>
              <w:t>Nivel</w:t>
            </w:r>
            <w:r w:rsidRPr="00E061CC">
              <w:rPr>
                <w:bCs/>
                <w:color w:val="000000"/>
                <w:sz w:val="22"/>
                <w:szCs w:val="22"/>
                <w:lang w:eastAsia="en-GB"/>
              </w:rPr>
              <w:t xml:space="preserve"> 2</w:t>
            </w: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OR18B</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Modernizare Centura Sud București</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71.0</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14.5%</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175.7</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5,358.3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2</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OR7A</w:t>
            </w:r>
          </w:p>
        </w:tc>
        <w:tc>
          <w:tcPr>
            <w:tcW w:w="1181" w:type="pct"/>
            <w:shd w:val="clear" w:color="000000" w:fill="FFFFFF"/>
            <w:vAlign w:val="center"/>
            <w:hideMark/>
          </w:tcPr>
          <w:p w:rsidR="00A77D37" w:rsidRPr="00E061CC" w:rsidRDefault="00A77D37" w:rsidP="00A26CD1">
            <w:pPr>
              <w:rPr>
                <w:color w:val="000000"/>
                <w:sz w:val="22"/>
                <w:szCs w:val="22"/>
                <w:lang w:eastAsia="en-GB"/>
              </w:rPr>
            </w:pPr>
            <w:r>
              <w:rPr>
                <w:rFonts w:cs="Arial"/>
                <w:color w:val="000000"/>
                <w:sz w:val="20"/>
                <w:szCs w:val="20"/>
              </w:rPr>
              <w:t xml:space="preserve">Drum expres Bacau-Suceava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70.2</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12.6%</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645.4</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6,003.7</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3</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OR12</w:t>
            </w:r>
          </w:p>
        </w:tc>
        <w:tc>
          <w:tcPr>
            <w:tcW w:w="1181" w:type="pct"/>
            <w:shd w:val="clear" w:color="000000" w:fill="FFFFFF"/>
            <w:vAlign w:val="center"/>
            <w:hideMark/>
          </w:tcPr>
          <w:p w:rsidR="00A77D37" w:rsidRPr="00E061CC" w:rsidDel="00E92A6C" w:rsidRDefault="00A77D37" w:rsidP="00A26CD1">
            <w:pPr>
              <w:rPr>
                <w:color w:val="000000"/>
                <w:sz w:val="22"/>
                <w:szCs w:val="22"/>
                <w:lang w:eastAsia="en-GB"/>
              </w:rPr>
            </w:pPr>
            <w:r>
              <w:rPr>
                <w:rFonts w:cs="Arial"/>
                <w:color w:val="000000"/>
                <w:sz w:val="22"/>
                <w:szCs w:val="22"/>
              </w:rPr>
              <w:t>Autostrada</w:t>
            </w:r>
            <w:r>
              <w:rPr>
                <w:rFonts w:cs="Arial"/>
                <w:color w:val="000000"/>
                <w:sz w:val="20"/>
                <w:szCs w:val="20"/>
              </w:rPr>
              <w:t xml:space="preserve"> Nadaselu - Suplacu de Barcau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57.0</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13.2%</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550.0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6,553.7</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4</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OR19</w:t>
            </w:r>
          </w:p>
        </w:tc>
        <w:tc>
          <w:tcPr>
            <w:tcW w:w="1181" w:type="pct"/>
            <w:shd w:val="clear" w:color="000000" w:fill="FFFFFF"/>
            <w:vAlign w:val="center"/>
            <w:hideMark/>
          </w:tcPr>
          <w:p w:rsidR="00A77D37" w:rsidRPr="00E061CC" w:rsidDel="00E92A6C" w:rsidRDefault="00A77D37" w:rsidP="00A26CD1">
            <w:pPr>
              <w:rPr>
                <w:color w:val="000000"/>
                <w:sz w:val="22"/>
                <w:szCs w:val="22"/>
                <w:lang w:eastAsia="en-GB"/>
              </w:rPr>
            </w:pPr>
            <w:r>
              <w:rPr>
                <w:rFonts w:cs="Arial"/>
                <w:color w:val="000000"/>
                <w:sz w:val="20"/>
                <w:szCs w:val="20"/>
              </w:rPr>
              <w:t>Drum expres Bucharest-Alexandria</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56.6</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11.8%</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369.6</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6,923.3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5</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OR13C</w:t>
            </w:r>
          </w:p>
        </w:tc>
        <w:tc>
          <w:tcPr>
            <w:tcW w:w="1181" w:type="pct"/>
            <w:shd w:val="clear" w:color="000000" w:fill="FFFFFF"/>
            <w:vAlign w:val="center"/>
            <w:hideMark/>
          </w:tcPr>
          <w:p w:rsidR="00A77D37" w:rsidRPr="00E061CC" w:rsidDel="00E92A6C" w:rsidRDefault="00A77D37" w:rsidP="00A26CD1">
            <w:pPr>
              <w:rPr>
                <w:color w:val="000000"/>
                <w:sz w:val="22"/>
                <w:szCs w:val="22"/>
                <w:lang w:eastAsia="en-GB"/>
              </w:rPr>
            </w:pPr>
            <w:r>
              <w:rPr>
                <w:rFonts w:cs="Arial"/>
                <w:color w:val="000000"/>
                <w:sz w:val="20"/>
                <w:szCs w:val="20"/>
              </w:rPr>
              <w:t xml:space="preserve">Drum expres Buzau-Focsani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55.8</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11.0%</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282.0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7,205.4</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6</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OR7B</w:t>
            </w:r>
          </w:p>
        </w:tc>
        <w:tc>
          <w:tcPr>
            <w:tcW w:w="1181" w:type="pct"/>
            <w:shd w:val="clear" w:color="000000" w:fill="FFFFFF"/>
            <w:vAlign w:val="center"/>
            <w:hideMark/>
          </w:tcPr>
          <w:p w:rsidR="00A77D37" w:rsidRPr="00E061CC" w:rsidDel="00E92A6C" w:rsidRDefault="00A77D37" w:rsidP="00A26CD1">
            <w:pPr>
              <w:rPr>
                <w:color w:val="000000"/>
                <w:sz w:val="22"/>
                <w:szCs w:val="22"/>
                <w:lang w:eastAsia="en-GB"/>
              </w:rPr>
            </w:pPr>
            <w:r>
              <w:rPr>
                <w:rFonts w:cs="Arial"/>
                <w:color w:val="000000"/>
                <w:sz w:val="20"/>
                <w:szCs w:val="20"/>
              </w:rPr>
              <w:t xml:space="preserve">Drum expres Suceava-Siret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52.1</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11.7%</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186.1</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7,391.5</w:t>
            </w:r>
          </w:p>
        </w:tc>
      </w:tr>
      <w:tr w:rsidR="00A77D37" w:rsidRPr="00E061CC" w:rsidTr="0030066D">
        <w:trPr>
          <w:trHeight w:val="395"/>
        </w:trPr>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7</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OR13D</w:t>
            </w:r>
          </w:p>
        </w:tc>
        <w:tc>
          <w:tcPr>
            <w:tcW w:w="1181" w:type="pct"/>
            <w:shd w:val="clear" w:color="000000" w:fill="FFFFFF"/>
            <w:vAlign w:val="center"/>
            <w:hideMark/>
          </w:tcPr>
          <w:p w:rsidR="00A77D37" w:rsidRPr="00E061CC" w:rsidDel="00E92A6C" w:rsidRDefault="00A77D37" w:rsidP="00A26CD1">
            <w:pPr>
              <w:rPr>
                <w:color w:val="000000"/>
                <w:sz w:val="22"/>
                <w:szCs w:val="22"/>
                <w:lang w:eastAsia="en-GB"/>
              </w:rPr>
            </w:pPr>
            <w:r>
              <w:rPr>
                <w:rFonts w:cs="Arial"/>
                <w:color w:val="000000"/>
                <w:sz w:val="22"/>
                <w:szCs w:val="22"/>
              </w:rPr>
              <w:t>Autostrada</w:t>
            </w:r>
            <w:r>
              <w:rPr>
                <w:rFonts w:cs="Arial"/>
                <w:color w:val="000000"/>
                <w:sz w:val="20"/>
                <w:szCs w:val="20"/>
              </w:rPr>
              <w:t xml:space="preserve"> Targu Neamt-Iasi-Ungheni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51.5</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10.8%</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700.0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8,091.5</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8</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OR15</w:t>
            </w:r>
          </w:p>
        </w:tc>
        <w:tc>
          <w:tcPr>
            <w:tcW w:w="1181" w:type="pct"/>
            <w:shd w:val="clear" w:color="000000" w:fill="FFFFFF"/>
            <w:vAlign w:val="center"/>
            <w:hideMark/>
          </w:tcPr>
          <w:p w:rsidR="00A77D37" w:rsidRPr="00E061CC" w:rsidDel="00E92A6C" w:rsidRDefault="00A77D37" w:rsidP="00A26CD1">
            <w:pPr>
              <w:rPr>
                <w:color w:val="000000"/>
                <w:sz w:val="22"/>
                <w:szCs w:val="22"/>
                <w:lang w:eastAsia="en-GB"/>
              </w:rPr>
            </w:pPr>
            <w:r>
              <w:rPr>
                <w:rFonts w:cs="Arial"/>
                <w:color w:val="000000"/>
                <w:sz w:val="22"/>
                <w:szCs w:val="22"/>
              </w:rPr>
              <w:t>Autostrada</w:t>
            </w:r>
            <w:r>
              <w:rPr>
                <w:rFonts w:cs="Arial"/>
                <w:color w:val="000000"/>
                <w:sz w:val="20"/>
                <w:szCs w:val="20"/>
              </w:rPr>
              <w:t xml:space="preserve"> Sibiu-Pitesti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51.3</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12.1%</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2,471.2</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10,562.6</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9</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OR6B</w:t>
            </w:r>
          </w:p>
        </w:tc>
        <w:tc>
          <w:tcPr>
            <w:tcW w:w="1181" w:type="pct"/>
            <w:shd w:val="clear" w:color="000000" w:fill="FFFFFF"/>
            <w:vAlign w:val="center"/>
            <w:hideMark/>
          </w:tcPr>
          <w:p w:rsidR="00A77D37" w:rsidRPr="00E061CC" w:rsidRDefault="00A77D37" w:rsidP="00A26CD1">
            <w:pPr>
              <w:rPr>
                <w:color w:val="000000"/>
                <w:sz w:val="22"/>
                <w:szCs w:val="22"/>
                <w:lang w:eastAsia="en-GB"/>
              </w:rPr>
            </w:pPr>
            <w:r>
              <w:rPr>
                <w:rFonts w:cs="Arial"/>
                <w:color w:val="000000"/>
                <w:sz w:val="20"/>
                <w:szCs w:val="20"/>
              </w:rPr>
              <w:t xml:space="preserve">Drum expres Bacau-Focsani-Braila-Galati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46.5</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11.2%</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1,024.2</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11,586.8</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10</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OR9B</w:t>
            </w:r>
          </w:p>
        </w:tc>
        <w:tc>
          <w:tcPr>
            <w:tcW w:w="1181" w:type="pct"/>
            <w:shd w:val="clear" w:color="000000" w:fill="FFFFFF"/>
            <w:vAlign w:val="center"/>
            <w:hideMark/>
          </w:tcPr>
          <w:p w:rsidR="00A77D37" w:rsidRPr="00E061CC" w:rsidRDefault="00A77D37" w:rsidP="00A26CD1">
            <w:pPr>
              <w:rPr>
                <w:color w:val="000000"/>
                <w:sz w:val="22"/>
                <w:szCs w:val="22"/>
                <w:lang w:eastAsia="en-GB"/>
              </w:rPr>
            </w:pPr>
            <w:r>
              <w:rPr>
                <w:rFonts w:cs="Arial"/>
                <w:color w:val="000000"/>
                <w:sz w:val="20"/>
                <w:szCs w:val="20"/>
              </w:rPr>
              <w:t xml:space="preserve">Drum expres Turda-Halmeu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Other links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44.0</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13.5%</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975.4</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12,562.2</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11</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OR19D</w:t>
            </w:r>
          </w:p>
        </w:tc>
        <w:tc>
          <w:tcPr>
            <w:tcW w:w="1181" w:type="pct"/>
            <w:shd w:val="clear" w:color="000000" w:fill="FFFFFF"/>
            <w:vAlign w:val="center"/>
            <w:hideMark/>
          </w:tcPr>
          <w:p w:rsidR="00A77D37" w:rsidRPr="00E061CC" w:rsidRDefault="00A77D37" w:rsidP="00A26CD1">
            <w:pPr>
              <w:rPr>
                <w:color w:val="000000"/>
                <w:sz w:val="22"/>
                <w:szCs w:val="22"/>
                <w:lang w:eastAsia="en-GB"/>
              </w:rPr>
            </w:pPr>
            <w:r>
              <w:rPr>
                <w:rFonts w:cs="Arial"/>
                <w:color w:val="000000"/>
                <w:sz w:val="20"/>
                <w:szCs w:val="20"/>
              </w:rPr>
              <w:t>Conexiunea Aeroport Henri Coanda Airport – Autostrada A3</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43.8</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9.3%</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125.6</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12,687.8</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12</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OR17</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Drum expres Gaesti-Ploiesti-Buzau-Braila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43.4</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11.9%</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1,279.6</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13,967.4</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13</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OR10</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Drum expres Lugoj- Craiova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40.1</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10.0%</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1,810.9</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15,778.3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14</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OR21</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A1 Widening Bucharest-Pitesti</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34.7</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7.6%</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442.0</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16,220.3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15</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OR7C</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Drum expres Suceava-Botosani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Secondary connectivity with TEN-T</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32.3</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8.9%</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345.8</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16,566.1</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16</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OR13</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2"/>
                <w:szCs w:val="22"/>
              </w:rPr>
              <w:t>Autostrada</w:t>
            </w:r>
            <w:r>
              <w:rPr>
                <w:rFonts w:cs="Arial"/>
                <w:color w:val="000000"/>
                <w:sz w:val="20"/>
                <w:szCs w:val="20"/>
              </w:rPr>
              <w:t xml:space="preserve"> Targu Mures-Targu Neamt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31.9</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8.4%</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3,400.0</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19,966.1</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17</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OR14</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Drum expres Brasov-Pitesti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25.4</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9.1%</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1,842.6</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21,808.7</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18</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OR18A</w:t>
            </w:r>
          </w:p>
        </w:tc>
        <w:tc>
          <w:tcPr>
            <w:tcW w:w="1181" w:type="pct"/>
            <w:shd w:val="clear" w:color="000000" w:fill="FFFFFF"/>
            <w:vAlign w:val="center"/>
            <w:hideMark/>
          </w:tcPr>
          <w:p w:rsidR="00A77D37" w:rsidRPr="00E061CC" w:rsidRDefault="00A77D37" w:rsidP="00A26CD1">
            <w:pPr>
              <w:rPr>
                <w:color w:val="000000"/>
                <w:sz w:val="22"/>
                <w:szCs w:val="22"/>
                <w:lang w:eastAsia="en-GB"/>
              </w:rPr>
            </w:pPr>
            <w:r>
              <w:rPr>
                <w:rFonts w:cs="Arial"/>
                <w:color w:val="000000"/>
                <w:sz w:val="22"/>
                <w:szCs w:val="22"/>
              </w:rPr>
              <w:t>Autostrada</w:t>
            </w:r>
            <w:r>
              <w:rPr>
                <w:rFonts w:cs="Arial"/>
                <w:color w:val="000000"/>
                <w:sz w:val="20"/>
                <w:szCs w:val="20"/>
              </w:rPr>
              <w:t xml:space="preserve"> Centura București</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24.7</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5.7%</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1,683.8</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23,492.5</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19</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OR8</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Drum expres Bacau-Piatra Neamt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Other links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19.4</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10.6%</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335.1</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23,827.6</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20</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OR11</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Drum expres Constanta-Tulcea-Braila (inclusiv Podul Braila)</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17.1</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5.4%</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1,369.3</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25,196.9</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sidRPr="00E061CC">
              <w:rPr>
                <w:color w:val="000000"/>
                <w:sz w:val="22"/>
                <w:szCs w:val="22"/>
                <w:lang w:eastAsia="en-GB"/>
              </w:rPr>
              <w:t>1</w:t>
            </w:r>
          </w:p>
        </w:tc>
        <w:tc>
          <w:tcPr>
            <w:tcW w:w="194" w:type="pct"/>
            <w:vMerge w:val="restart"/>
            <w:shd w:val="clear" w:color="000000" w:fill="FFFFFF"/>
            <w:textDirection w:val="btLr"/>
            <w:vAlign w:val="center"/>
            <w:hideMark/>
          </w:tcPr>
          <w:p w:rsidR="00A77D37" w:rsidRPr="00E061CC" w:rsidRDefault="00A77D37" w:rsidP="00DE457D">
            <w:pPr>
              <w:jc w:val="center"/>
              <w:rPr>
                <w:bCs/>
                <w:color w:val="000000"/>
                <w:sz w:val="22"/>
                <w:szCs w:val="22"/>
                <w:lang w:eastAsia="en-GB"/>
              </w:rPr>
            </w:pPr>
            <w:r>
              <w:rPr>
                <w:bCs/>
                <w:color w:val="000000"/>
                <w:sz w:val="22"/>
                <w:szCs w:val="22"/>
                <w:lang w:eastAsia="en-GB"/>
              </w:rPr>
              <w:t>Variante de ocolire</w:t>
            </w: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BP10</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Targoviste</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57.0</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22.7%</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78.0</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78.0</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2</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BP12</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Adjud</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56.6</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19.0%</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46.2</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124.2</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lastRenderedPageBreak/>
              <w:t>3</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BP4</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Roman</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47.9</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15.9%</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62.0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186.1</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4</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BP11</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Filiasi</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46.9</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15.6%</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27.7</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213.8</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5</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BP25</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Vatra Dornei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43.6</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17.9%</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18.3</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232.1</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6</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BP15</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Falticeni</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40.1</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13.2%</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41.3</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273.3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7</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BP5</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Focsani</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39.9</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13.1%</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76.1</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349.4</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8</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BP3</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Sighisoara</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37.6</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15.8%</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47.7</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397.1</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9</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BP28</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Timisoara South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33.2</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9.7%</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127.4</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524.5</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10</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BP20</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Sfântu Gheorghe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25.1</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11.4%</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34.0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558.5</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11</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BP14</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Ludus</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24.5</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11.2%</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102.5</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661.0</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12</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BP23</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Bârlad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24.3</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11.1%</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51.1</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712.1</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13</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BP7</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Buzau</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23.9</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7.5%</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104.8</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817.0</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14</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BP21</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Giurgiu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23.7</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7.4%</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72.0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889.0</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15</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BP24</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Slobozia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22.8</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10.6%</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23.3</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912.3</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16</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BP6</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Ramnicu Sarat</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22.0</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6.8%</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37.0</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949.4</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17</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BP9</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Ramnicu Valcea</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20.5</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6.2%</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195.4</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1,144.8</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18</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BP16</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Caransebes</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18.9</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5.7%</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80.8</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1,225.6</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19</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BP22</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Vaslui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17.3</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8.6%</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72.9</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1,298.5</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20</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BP13</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Mizil</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Core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17.0</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color w:val="000000"/>
                <w:sz w:val="20"/>
                <w:szCs w:val="20"/>
              </w:rPr>
              <w:t>1.9%</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36.0</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1,334.5</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21</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BP17</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Beclean</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16.7</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8.4%</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42.2</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1,376.7</w:t>
            </w:r>
          </w:p>
        </w:tc>
      </w:tr>
      <w:tr w:rsidR="00A77D37" w:rsidRPr="00E061CC" w:rsidTr="0030066D">
        <w:tc>
          <w:tcPr>
            <w:tcW w:w="191" w:type="pct"/>
            <w:shd w:val="clear" w:color="000000" w:fill="FFFFFF"/>
            <w:vAlign w:val="center"/>
            <w:hideMark/>
          </w:tcPr>
          <w:p w:rsidR="00A77D37" w:rsidRPr="00E061CC" w:rsidRDefault="00A77D37" w:rsidP="00DE457D">
            <w:pPr>
              <w:jc w:val="center"/>
              <w:rPr>
                <w:color w:val="000000"/>
                <w:sz w:val="22"/>
                <w:szCs w:val="22"/>
                <w:lang w:eastAsia="en-GB"/>
              </w:rPr>
            </w:pPr>
            <w:r>
              <w:rPr>
                <w:color w:val="000000"/>
                <w:sz w:val="22"/>
                <w:szCs w:val="22"/>
                <w:lang w:eastAsia="en-GB"/>
              </w:rPr>
              <w:t>22</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RDefault="00A77D37" w:rsidP="00DE457D">
            <w:pPr>
              <w:jc w:val="center"/>
              <w:rPr>
                <w:color w:val="000000"/>
                <w:sz w:val="22"/>
                <w:szCs w:val="22"/>
                <w:lang w:eastAsia="en-GB"/>
              </w:rPr>
            </w:pPr>
            <w:r>
              <w:rPr>
                <w:rFonts w:cs="Arial"/>
                <w:color w:val="000000"/>
                <w:sz w:val="20"/>
                <w:szCs w:val="20"/>
              </w:rPr>
              <w:t>BP27</w:t>
            </w:r>
          </w:p>
        </w:tc>
        <w:tc>
          <w:tcPr>
            <w:tcW w:w="1181"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Mangalia </w:t>
            </w:r>
          </w:p>
        </w:tc>
        <w:tc>
          <w:tcPr>
            <w:tcW w:w="1114" w:type="pct"/>
            <w:shd w:val="clear" w:color="000000" w:fill="FFFFFF"/>
            <w:vAlign w:val="center"/>
            <w:hideMark/>
          </w:tcPr>
          <w:p w:rsidR="00A77D37" w:rsidRPr="00E061C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14.1</w:t>
            </w:r>
          </w:p>
        </w:tc>
        <w:tc>
          <w:tcPr>
            <w:tcW w:w="380" w:type="pct"/>
            <w:shd w:val="clear" w:color="000000" w:fill="FFFFFF"/>
            <w:vAlign w:val="center"/>
            <w:hideMark/>
          </w:tcPr>
          <w:p w:rsidR="00A77D37" w:rsidRPr="00E061CC" w:rsidRDefault="00A77D37" w:rsidP="00A77D37">
            <w:pPr>
              <w:jc w:val="center"/>
              <w:rPr>
                <w:bCs/>
                <w:color w:val="000000"/>
                <w:sz w:val="22"/>
                <w:szCs w:val="22"/>
                <w:lang w:eastAsia="en-GB"/>
              </w:rPr>
            </w:pPr>
            <w:r>
              <w:rPr>
                <w:rFonts w:cs="Arial"/>
                <w:b/>
                <w:bCs/>
                <w:color w:val="000000"/>
                <w:sz w:val="20"/>
                <w:szCs w:val="20"/>
              </w:rPr>
              <w:t>7.5%</w:t>
            </w:r>
          </w:p>
        </w:tc>
        <w:tc>
          <w:tcPr>
            <w:tcW w:w="537"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44.1</w:t>
            </w:r>
          </w:p>
        </w:tc>
        <w:tc>
          <w:tcPr>
            <w:tcW w:w="608" w:type="pct"/>
            <w:shd w:val="clear" w:color="000000" w:fill="FFFFFF"/>
            <w:vAlign w:val="center"/>
            <w:hideMark/>
          </w:tcPr>
          <w:p w:rsidR="00A77D37" w:rsidRPr="00E061CC" w:rsidRDefault="00A77D37" w:rsidP="00A77D37">
            <w:pPr>
              <w:jc w:val="center"/>
              <w:rPr>
                <w:color w:val="000000"/>
                <w:sz w:val="22"/>
                <w:szCs w:val="22"/>
                <w:lang w:eastAsia="en-GB"/>
              </w:rPr>
            </w:pPr>
            <w:r>
              <w:rPr>
                <w:rFonts w:cs="Arial"/>
                <w:color w:val="000000"/>
                <w:sz w:val="20"/>
                <w:szCs w:val="20"/>
              </w:rPr>
              <w:t>1,420.8</w:t>
            </w:r>
          </w:p>
        </w:tc>
      </w:tr>
      <w:tr w:rsidR="00A77D37" w:rsidRPr="00E061CC" w:rsidTr="0030066D">
        <w:tc>
          <w:tcPr>
            <w:tcW w:w="191" w:type="pct"/>
            <w:shd w:val="clear" w:color="000000" w:fill="FFFFFF"/>
            <w:vAlign w:val="center"/>
            <w:hideMark/>
          </w:tcPr>
          <w:p w:rsidR="00A77D37" w:rsidRPr="00E061CC" w:rsidDel="006D55CD" w:rsidRDefault="00A77D37" w:rsidP="00DE457D">
            <w:pPr>
              <w:jc w:val="center"/>
              <w:rPr>
                <w:color w:val="000000"/>
                <w:sz w:val="22"/>
                <w:szCs w:val="22"/>
                <w:lang w:eastAsia="en-GB"/>
              </w:rPr>
            </w:pPr>
            <w:r>
              <w:rPr>
                <w:color w:val="000000"/>
                <w:sz w:val="22"/>
                <w:szCs w:val="22"/>
                <w:lang w:eastAsia="en-GB"/>
              </w:rPr>
              <w:t>23</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BP18</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Bistriţa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11.4</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b/>
                <w:bCs/>
                <w:color w:val="000000"/>
                <w:sz w:val="20"/>
                <w:szCs w:val="20"/>
              </w:rPr>
              <w:t>6.5%</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157.0</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1,577.8</w:t>
            </w:r>
          </w:p>
        </w:tc>
      </w:tr>
      <w:tr w:rsidR="00A77D37" w:rsidRPr="00E061CC" w:rsidTr="0030066D">
        <w:tc>
          <w:tcPr>
            <w:tcW w:w="191" w:type="pct"/>
            <w:shd w:val="clear" w:color="000000" w:fill="FFFFFF"/>
            <w:vAlign w:val="center"/>
            <w:hideMark/>
          </w:tcPr>
          <w:p w:rsidR="00A77D37" w:rsidRPr="00E061CC" w:rsidDel="006D55CD" w:rsidRDefault="00A77D37" w:rsidP="00DE457D">
            <w:pPr>
              <w:jc w:val="center"/>
              <w:rPr>
                <w:color w:val="000000"/>
                <w:sz w:val="22"/>
                <w:szCs w:val="22"/>
                <w:lang w:eastAsia="en-GB"/>
              </w:rPr>
            </w:pPr>
            <w:r>
              <w:rPr>
                <w:color w:val="000000"/>
                <w:sz w:val="22"/>
                <w:szCs w:val="22"/>
                <w:lang w:eastAsia="en-GB"/>
              </w:rPr>
              <w:t>24</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BP19</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Miercurea Ciuc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7.0</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color w:val="000000"/>
                <w:sz w:val="20"/>
                <w:szCs w:val="20"/>
              </w:rPr>
              <w:t>4.8%</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110.5</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1,688.3</w:t>
            </w:r>
          </w:p>
        </w:tc>
      </w:tr>
      <w:tr w:rsidR="00A77D37" w:rsidRPr="00E061CC" w:rsidTr="0030066D">
        <w:tc>
          <w:tcPr>
            <w:tcW w:w="191" w:type="pct"/>
            <w:shd w:val="clear" w:color="000000" w:fill="FFFFFF"/>
            <w:vAlign w:val="center"/>
            <w:hideMark/>
          </w:tcPr>
          <w:p w:rsidR="00A77D37" w:rsidRPr="00E061CC" w:rsidDel="006D55CD" w:rsidRDefault="00A77D37" w:rsidP="00DE457D">
            <w:pPr>
              <w:jc w:val="center"/>
              <w:rPr>
                <w:color w:val="000000"/>
                <w:sz w:val="22"/>
                <w:szCs w:val="22"/>
                <w:lang w:eastAsia="en-GB"/>
              </w:rPr>
            </w:pPr>
            <w:r>
              <w:rPr>
                <w:color w:val="000000"/>
                <w:sz w:val="22"/>
                <w:szCs w:val="22"/>
                <w:lang w:eastAsia="en-GB"/>
              </w:rPr>
              <w:t>25</w:t>
            </w:r>
          </w:p>
        </w:tc>
        <w:tc>
          <w:tcPr>
            <w:tcW w:w="194" w:type="pct"/>
            <w:vMerge/>
            <w:vAlign w:val="center"/>
            <w:hideMark/>
          </w:tcPr>
          <w:p w:rsidR="00A77D37" w:rsidRPr="00E061CC" w:rsidRDefault="00A77D37" w:rsidP="00DE457D">
            <w:pPr>
              <w:rPr>
                <w:b/>
                <w:bCs/>
                <w:color w:val="000000"/>
                <w:sz w:val="22"/>
                <w:szCs w:val="22"/>
                <w:lang w:eastAsia="en-GB"/>
              </w:rPr>
            </w:pPr>
          </w:p>
        </w:tc>
        <w:tc>
          <w:tcPr>
            <w:tcW w:w="394" w:type="pct"/>
            <w:shd w:val="clear" w:color="000000" w:fill="FFFFFF"/>
            <w:vAlign w:val="center"/>
            <w:hideMark/>
          </w:tcPr>
          <w:p w:rsidR="00A77D37" w:rsidRPr="00E061CC" w:rsidDel="00E92A6C" w:rsidRDefault="00A77D37" w:rsidP="00DE457D">
            <w:pPr>
              <w:jc w:val="center"/>
              <w:rPr>
                <w:color w:val="000000"/>
                <w:sz w:val="22"/>
                <w:szCs w:val="22"/>
                <w:lang w:eastAsia="en-GB"/>
              </w:rPr>
            </w:pPr>
            <w:r>
              <w:rPr>
                <w:rFonts w:cs="Arial"/>
                <w:color w:val="000000"/>
                <w:sz w:val="20"/>
                <w:szCs w:val="20"/>
              </w:rPr>
              <w:t>BP26</w:t>
            </w:r>
          </w:p>
        </w:tc>
        <w:tc>
          <w:tcPr>
            <w:tcW w:w="1181"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Câmpulung Moldovenesc </w:t>
            </w:r>
          </w:p>
        </w:tc>
        <w:tc>
          <w:tcPr>
            <w:tcW w:w="1114" w:type="pct"/>
            <w:shd w:val="clear" w:color="000000" w:fill="FFFFFF"/>
            <w:vAlign w:val="center"/>
            <w:hideMark/>
          </w:tcPr>
          <w:p w:rsidR="00A77D37" w:rsidRPr="00E061CC" w:rsidDel="00E92A6C" w:rsidRDefault="00A77D37" w:rsidP="00DE457D">
            <w:pPr>
              <w:rPr>
                <w:color w:val="000000"/>
                <w:sz w:val="22"/>
                <w:szCs w:val="22"/>
                <w:lang w:eastAsia="en-GB"/>
              </w:rPr>
            </w:pPr>
            <w:r>
              <w:rPr>
                <w:rFonts w:cs="Arial"/>
                <w:color w:val="000000"/>
                <w:sz w:val="20"/>
                <w:szCs w:val="20"/>
              </w:rPr>
              <w:t xml:space="preserve">Comprehensive TEN-T link </w:t>
            </w:r>
          </w:p>
        </w:tc>
        <w:tc>
          <w:tcPr>
            <w:tcW w:w="401"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7.0</w:t>
            </w:r>
          </w:p>
        </w:tc>
        <w:tc>
          <w:tcPr>
            <w:tcW w:w="380" w:type="pct"/>
            <w:shd w:val="clear" w:color="000000" w:fill="FFFFFF"/>
            <w:vAlign w:val="center"/>
            <w:hideMark/>
          </w:tcPr>
          <w:p w:rsidR="00A77D37" w:rsidRPr="00E061CC" w:rsidDel="00E92A6C" w:rsidRDefault="00A77D37" w:rsidP="00A77D37">
            <w:pPr>
              <w:jc w:val="center"/>
              <w:rPr>
                <w:bCs/>
                <w:color w:val="000000"/>
                <w:sz w:val="22"/>
                <w:szCs w:val="22"/>
                <w:lang w:eastAsia="en-GB"/>
              </w:rPr>
            </w:pPr>
            <w:r>
              <w:rPr>
                <w:rFonts w:cs="Arial"/>
                <w:color w:val="000000"/>
                <w:sz w:val="20"/>
                <w:szCs w:val="20"/>
              </w:rPr>
              <w:t>2.5%</w:t>
            </w:r>
          </w:p>
        </w:tc>
        <w:tc>
          <w:tcPr>
            <w:tcW w:w="537"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99.3</w:t>
            </w:r>
          </w:p>
        </w:tc>
        <w:tc>
          <w:tcPr>
            <w:tcW w:w="608" w:type="pct"/>
            <w:shd w:val="clear" w:color="000000" w:fill="FFFFFF"/>
            <w:vAlign w:val="center"/>
            <w:hideMark/>
          </w:tcPr>
          <w:p w:rsidR="00A77D37" w:rsidRPr="00E061CC" w:rsidDel="00E92A6C" w:rsidRDefault="00A77D37" w:rsidP="00A77D37">
            <w:pPr>
              <w:jc w:val="center"/>
              <w:rPr>
                <w:color w:val="000000"/>
                <w:sz w:val="22"/>
                <w:szCs w:val="22"/>
                <w:lang w:eastAsia="en-GB"/>
              </w:rPr>
            </w:pPr>
            <w:r>
              <w:rPr>
                <w:rFonts w:cs="Arial"/>
                <w:color w:val="000000"/>
                <w:sz w:val="20"/>
                <w:szCs w:val="20"/>
              </w:rPr>
              <w:t>1,787.6</w:t>
            </w:r>
          </w:p>
        </w:tc>
      </w:tr>
    </w:tbl>
    <w:p w:rsidR="00A26CD1" w:rsidRDefault="00A26CD1" w:rsidP="00B4550A">
      <w:pPr>
        <w:spacing w:before="120" w:after="120" w:line="276" w:lineRule="auto"/>
        <w:rPr>
          <w:b/>
          <w:sz w:val="22"/>
          <w:szCs w:val="22"/>
          <w:lang w:val="ro-RO"/>
        </w:rPr>
      </w:pPr>
    </w:p>
    <w:p w:rsidR="0030066D" w:rsidRDefault="0030066D">
      <w:pPr>
        <w:rPr>
          <w:b/>
          <w:sz w:val="22"/>
          <w:szCs w:val="22"/>
          <w:lang w:val="ro-RO"/>
        </w:rPr>
      </w:pPr>
      <w:r>
        <w:rPr>
          <w:b/>
          <w:sz w:val="22"/>
          <w:szCs w:val="22"/>
          <w:lang w:val="ro-RO"/>
        </w:rPr>
        <w:br w:type="page"/>
      </w:r>
    </w:p>
    <w:p w:rsidR="00A26CD1" w:rsidRPr="00E0488D" w:rsidRDefault="00A26CD1" w:rsidP="00B4550A">
      <w:pPr>
        <w:spacing w:before="120" w:after="120" w:line="276" w:lineRule="auto"/>
        <w:rPr>
          <w:b/>
          <w:sz w:val="22"/>
          <w:szCs w:val="22"/>
          <w:lang w:val="ro-RO"/>
        </w:rPr>
      </w:pPr>
    </w:p>
    <w:p w:rsidR="00B4550A" w:rsidRPr="00E0488D" w:rsidRDefault="00B4550A" w:rsidP="00B4550A">
      <w:pPr>
        <w:spacing w:before="120" w:after="120" w:line="276" w:lineRule="auto"/>
        <w:rPr>
          <w:b/>
          <w:sz w:val="22"/>
          <w:szCs w:val="22"/>
          <w:lang w:val="ro-RO"/>
        </w:rPr>
      </w:pPr>
      <w:r w:rsidRPr="00E0488D">
        <w:rPr>
          <w:b/>
          <w:sz w:val="22"/>
          <w:szCs w:val="22"/>
          <w:lang w:val="ro-RO"/>
        </w:rPr>
        <w:t>Tabelul 4.2</w:t>
      </w:r>
      <w:r w:rsidR="00A77D37">
        <w:rPr>
          <w:b/>
          <w:sz w:val="22"/>
          <w:szCs w:val="22"/>
          <w:lang w:val="ro-RO"/>
        </w:rPr>
        <w:t>6</w:t>
      </w:r>
      <w:r w:rsidRPr="00E0488D">
        <w:rPr>
          <w:b/>
          <w:sz w:val="22"/>
          <w:szCs w:val="22"/>
          <w:lang w:val="ro-RO"/>
        </w:rPr>
        <w:tab/>
        <w:t>Scenariul TEN-T comparativ – Proiecte și perioada de implementare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08"/>
        <w:gridCol w:w="619"/>
        <w:gridCol w:w="1385"/>
        <w:gridCol w:w="3285"/>
        <w:gridCol w:w="2752"/>
        <w:gridCol w:w="1104"/>
        <w:gridCol w:w="1180"/>
        <w:gridCol w:w="1469"/>
        <w:gridCol w:w="1612"/>
      </w:tblGrid>
      <w:tr w:rsidR="0030066D" w:rsidRPr="00367A5B" w:rsidTr="0030066D">
        <w:trPr>
          <w:trHeight w:val="1002"/>
        </w:trPr>
        <w:tc>
          <w:tcPr>
            <w:tcW w:w="217" w:type="pct"/>
            <w:shd w:val="clear" w:color="000000" w:fill="376091"/>
            <w:vAlign w:val="center"/>
            <w:hideMark/>
          </w:tcPr>
          <w:p w:rsidR="0030066D" w:rsidRPr="00367A5B" w:rsidRDefault="0030066D" w:rsidP="00A77D37">
            <w:pPr>
              <w:jc w:val="center"/>
              <w:rPr>
                <w:b/>
                <w:bCs/>
                <w:color w:val="FFFFFF"/>
                <w:sz w:val="22"/>
                <w:szCs w:val="22"/>
              </w:rPr>
            </w:pPr>
            <w:r w:rsidRPr="00367A5B">
              <w:rPr>
                <w:b/>
                <w:bCs/>
                <w:color w:val="FFFFFF"/>
                <w:sz w:val="22"/>
                <w:szCs w:val="22"/>
              </w:rPr>
              <w:t> </w:t>
            </w:r>
          </w:p>
        </w:tc>
        <w:tc>
          <w:tcPr>
            <w:tcW w:w="715" w:type="pct"/>
            <w:gridSpan w:val="2"/>
            <w:shd w:val="clear" w:color="000000" w:fill="376091"/>
            <w:vAlign w:val="center"/>
            <w:hideMark/>
          </w:tcPr>
          <w:p w:rsidR="0030066D" w:rsidRPr="00367A5B" w:rsidRDefault="0030066D" w:rsidP="00A77D37">
            <w:pPr>
              <w:jc w:val="center"/>
              <w:rPr>
                <w:b/>
                <w:bCs/>
                <w:color w:val="FFFFFF"/>
                <w:sz w:val="22"/>
                <w:szCs w:val="22"/>
              </w:rPr>
            </w:pPr>
            <w:r>
              <w:rPr>
                <w:b/>
                <w:bCs/>
                <w:color w:val="FFFFFF"/>
                <w:sz w:val="22"/>
                <w:szCs w:val="22"/>
              </w:rPr>
              <w:t>Cod</w:t>
            </w:r>
          </w:p>
        </w:tc>
        <w:tc>
          <w:tcPr>
            <w:tcW w:w="1172" w:type="pct"/>
            <w:shd w:val="clear" w:color="000000" w:fill="376091"/>
            <w:vAlign w:val="center"/>
            <w:hideMark/>
          </w:tcPr>
          <w:p w:rsidR="0030066D" w:rsidRPr="00367A5B" w:rsidRDefault="0030066D" w:rsidP="00A77D37">
            <w:pPr>
              <w:jc w:val="center"/>
              <w:rPr>
                <w:b/>
                <w:bCs/>
                <w:color w:val="FFFFFF"/>
                <w:sz w:val="22"/>
                <w:szCs w:val="22"/>
              </w:rPr>
            </w:pPr>
            <w:r>
              <w:rPr>
                <w:b/>
                <w:bCs/>
                <w:color w:val="FFFFFF"/>
                <w:sz w:val="22"/>
                <w:szCs w:val="22"/>
              </w:rPr>
              <w:t>Descrierea proiectului</w:t>
            </w:r>
          </w:p>
        </w:tc>
        <w:tc>
          <w:tcPr>
            <w:tcW w:w="982" w:type="pct"/>
            <w:shd w:val="clear" w:color="000000" w:fill="376091"/>
            <w:vAlign w:val="center"/>
            <w:hideMark/>
          </w:tcPr>
          <w:p w:rsidR="0030066D" w:rsidRPr="00367A5B" w:rsidRDefault="0030066D" w:rsidP="00A77D37">
            <w:pPr>
              <w:jc w:val="center"/>
              <w:rPr>
                <w:b/>
                <w:bCs/>
                <w:color w:val="FFFFFF"/>
                <w:sz w:val="22"/>
                <w:szCs w:val="22"/>
              </w:rPr>
            </w:pPr>
            <w:r w:rsidRPr="00367A5B">
              <w:rPr>
                <w:b/>
                <w:bCs/>
                <w:color w:val="FFFFFF"/>
                <w:sz w:val="22"/>
                <w:szCs w:val="22"/>
              </w:rPr>
              <w:t>TEN-T</w:t>
            </w:r>
          </w:p>
        </w:tc>
        <w:tc>
          <w:tcPr>
            <w:tcW w:w="394" w:type="pct"/>
            <w:shd w:val="clear" w:color="000000" w:fill="376091"/>
            <w:vAlign w:val="center"/>
            <w:hideMark/>
          </w:tcPr>
          <w:p w:rsidR="0030066D" w:rsidRPr="00367A5B" w:rsidRDefault="0030066D" w:rsidP="00A77D37">
            <w:pPr>
              <w:jc w:val="center"/>
              <w:rPr>
                <w:b/>
                <w:bCs/>
                <w:color w:val="FFFFFF"/>
                <w:sz w:val="22"/>
                <w:szCs w:val="22"/>
              </w:rPr>
            </w:pPr>
            <w:r>
              <w:rPr>
                <w:b/>
                <w:bCs/>
                <w:color w:val="FFFFFF"/>
                <w:sz w:val="22"/>
                <w:szCs w:val="22"/>
              </w:rPr>
              <w:t>Punctaj</w:t>
            </w:r>
          </w:p>
        </w:tc>
        <w:tc>
          <w:tcPr>
            <w:tcW w:w="421" w:type="pct"/>
            <w:shd w:val="clear" w:color="000000" w:fill="376091"/>
            <w:vAlign w:val="center"/>
            <w:hideMark/>
          </w:tcPr>
          <w:p w:rsidR="0030066D" w:rsidRPr="00367A5B" w:rsidRDefault="0030066D" w:rsidP="00A77D37">
            <w:pPr>
              <w:jc w:val="center"/>
              <w:rPr>
                <w:bCs/>
                <w:color w:val="FFFFFF"/>
                <w:sz w:val="22"/>
                <w:szCs w:val="22"/>
              </w:rPr>
            </w:pPr>
            <w:r>
              <w:rPr>
                <w:bCs/>
                <w:color w:val="FFFFFF"/>
                <w:sz w:val="22"/>
                <w:szCs w:val="22"/>
              </w:rPr>
              <w:t>RIRE</w:t>
            </w:r>
          </w:p>
        </w:tc>
        <w:tc>
          <w:tcPr>
            <w:tcW w:w="524" w:type="pct"/>
            <w:shd w:val="clear" w:color="000000" w:fill="376091"/>
            <w:vAlign w:val="center"/>
            <w:hideMark/>
          </w:tcPr>
          <w:p w:rsidR="0030066D" w:rsidRPr="00367A5B" w:rsidRDefault="0030066D" w:rsidP="00A77D37">
            <w:pPr>
              <w:jc w:val="center"/>
              <w:rPr>
                <w:b/>
                <w:bCs/>
                <w:color w:val="FFFFFF"/>
                <w:sz w:val="22"/>
                <w:szCs w:val="22"/>
              </w:rPr>
            </w:pPr>
            <w:r w:rsidRPr="00367A5B">
              <w:rPr>
                <w:b/>
                <w:bCs/>
                <w:color w:val="FFFFFF"/>
                <w:sz w:val="22"/>
                <w:szCs w:val="22"/>
              </w:rPr>
              <w:t>Cost (</w:t>
            </w:r>
            <w:r>
              <w:rPr>
                <w:b/>
                <w:bCs/>
                <w:color w:val="FFFFFF"/>
                <w:sz w:val="22"/>
                <w:szCs w:val="22"/>
              </w:rPr>
              <w:t xml:space="preserve">prețuri </w:t>
            </w:r>
            <w:r w:rsidRPr="00367A5B">
              <w:rPr>
                <w:b/>
                <w:bCs/>
                <w:color w:val="FFFFFF"/>
                <w:sz w:val="22"/>
                <w:szCs w:val="22"/>
              </w:rPr>
              <w:t>2014)</w:t>
            </w:r>
          </w:p>
        </w:tc>
        <w:tc>
          <w:tcPr>
            <w:tcW w:w="575" w:type="pct"/>
            <w:shd w:val="clear" w:color="000000" w:fill="376091"/>
            <w:vAlign w:val="center"/>
            <w:hideMark/>
          </w:tcPr>
          <w:p w:rsidR="0030066D" w:rsidRPr="00367A5B" w:rsidRDefault="0030066D" w:rsidP="00A77D37">
            <w:pPr>
              <w:jc w:val="center"/>
              <w:rPr>
                <w:b/>
                <w:bCs/>
                <w:color w:val="FFFFFF"/>
                <w:sz w:val="22"/>
                <w:szCs w:val="22"/>
              </w:rPr>
            </w:pPr>
            <w:r>
              <w:rPr>
                <w:b/>
                <w:bCs/>
                <w:color w:val="FFFFFF"/>
                <w:sz w:val="22"/>
                <w:szCs w:val="22"/>
              </w:rPr>
              <w:t>Cost cumulat</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w:t>
            </w:r>
          </w:p>
        </w:tc>
        <w:tc>
          <w:tcPr>
            <w:tcW w:w="221" w:type="pct"/>
            <w:vMerge w:val="restart"/>
            <w:shd w:val="clear" w:color="000000" w:fill="FFFFFF"/>
            <w:textDirection w:val="btLr"/>
            <w:vAlign w:val="center"/>
            <w:hideMark/>
          </w:tcPr>
          <w:p w:rsidR="0030066D" w:rsidRPr="00367A5B" w:rsidRDefault="0030066D" w:rsidP="00A77D37">
            <w:pPr>
              <w:jc w:val="center"/>
              <w:rPr>
                <w:b/>
                <w:bCs/>
                <w:color w:val="000000"/>
                <w:sz w:val="22"/>
                <w:szCs w:val="22"/>
              </w:rPr>
            </w:pPr>
            <w:r>
              <w:rPr>
                <w:b/>
                <w:bCs/>
                <w:color w:val="000000"/>
                <w:sz w:val="22"/>
                <w:szCs w:val="22"/>
              </w:rPr>
              <w:t>Finalizarea rețelei Core</w:t>
            </w:r>
            <w:r w:rsidRPr="00367A5B">
              <w:rPr>
                <w:b/>
                <w:bCs/>
                <w:color w:val="000000"/>
                <w:sz w:val="22"/>
                <w:szCs w:val="22"/>
              </w:rPr>
              <w:t>TEN-T</w:t>
            </w: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OR18B</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 xml:space="preserve">Modernizare Centura Sud București </w:t>
            </w:r>
            <w:r w:rsidRPr="00367A5B">
              <w:rPr>
                <w:color w:val="000000"/>
                <w:sz w:val="22"/>
                <w:szCs w:val="22"/>
              </w:rPr>
              <w:t>e</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100.0</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14.5%</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175.7</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175.7</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H2</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 xml:space="preserve">Autostrada </w:t>
            </w:r>
            <w:r w:rsidRPr="00367A5B">
              <w:rPr>
                <w:color w:val="000000"/>
                <w:sz w:val="22"/>
                <w:szCs w:val="22"/>
              </w:rPr>
              <w:t xml:space="preserve">Sibiu-Pitesti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74.7</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12.1%</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2,471.2</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2,646.9</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2a</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H11a</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Ploiesti-Bacau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63.6</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11.0%</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1,700.0</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4,346.9</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3</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H11</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Bacau-Suceava-Siret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63.6</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11.0%</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1,781.3</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6,128.1</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H13a</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Campia Turzii - Targu Mures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47.4</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9.5%</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450.0</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6,578.1</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5</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H15</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Targu Mures-Iasi-Ungheni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39.4</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8.7%</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5,056.3</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11,634.4</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6</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H28</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Lugoj - Craiova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28.5</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7.7%</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2,399.2</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14,033.6</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7</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H9</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Bucharest-Alexandria-Craiova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23.0</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7.2%</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1,189.8</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15,223.4</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8</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H10</w:t>
            </w:r>
          </w:p>
        </w:tc>
        <w:tc>
          <w:tcPr>
            <w:tcW w:w="1172" w:type="pct"/>
            <w:shd w:val="clear" w:color="000000" w:fill="FFFFFF"/>
            <w:vAlign w:val="center"/>
            <w:hideMark/>
          </w:tcPr>
          <w:p w:rsidR="0030066D" w:rsidRPr="00367A5B" w:rsidRDefault="0030066D" w:rsidP="00A77D37">
            <w:pPr>
              <w:rPr>
                <w:color w:val="000000"/>
                <w:sz w:val="22"/>
                <w:szCs w:val="22"/>
              </w:rPr>
            </w:pPr>
            <w:r>
              <w:rPr>
                <w:color w:val="000000"/>
                <w:sz w:val="22"/>
                <w:szCs w:val="22"/>
              </w:rPr>
              <w:t>Autostrada</w:t>
            </w:r>
            <w:r w:rsidRPr="00367A5B">
              <w:rPr>
                <w:color w:val="000000"/>
                <w:sz w:val="22"/>
                <w:szCs w:val="22"/>
              </w:rPr>
              <w:t xml:space="preserve"> Craiova-Calafat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2.3</w:t>
            </w:r>
          </w:p>
        </w:tc>
        <w:tc>
          <w:tcPr>
            <w:tcW w:w="421" w:type="pct"/>
            <w:shd w:val="clear" w:color="000000" w:fill="FFFFFF"/>
            <w:vAlign w:val="center"/>
            <w:hideMark/>
          </w:tcPr>
          <w:p w:rsidR="0030066D" w:rsidRPr="00367A5B" w:rsidRDefault="0030066D" w:rsidP="00A77D37">
            <w:pPr>
              <w:jc w:val="center"/>
              <w:rPr>
                <w:bCs/>
                <w:color w:val="000000"/>
                <w:sz w:val="22"/>
                <w:szCs w:val="22"/>
              </w:rPr>
            </w:pPr>
            <w:r w:rsidRPr="00367A5B">
              <w:rPr>
                <w:bCs/>
                <w:color w:val="000000"/>
                <w:sz w:val="22"/>
                <w:szCs w:val="22"/>
              </w:rPr>
              <w:t>5.2%</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419.2</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15,642.6</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9</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H29</w:t>
            </w:r>
          </w:p>
        </w:tc>
        <w:tc>
          <w:tcPr>
            <w:tcW w:w="1172" w:type="pct"/>
            <w:shd w:val="clear" w:color="000000" w:fill="FFFFFF"/>
            <w:vAlign w:val="center"/>
            <w:hideMark/>
          </w:tcPr>
          <w:p w:rsidR="0030066D" w:rsidRPr="00367A5B" w:rsidRDefault="0030066D" w:rsidP="00FC6992">
            <w:pPr>
              <w:rPr>
                <w:color w:val="000000"/>
                <w:sz w:val="22"/>
                <w:szCs w:val="22"/>
              </w:rPr>
            </w:pPr>
            <w:r>
              <w:rPr>
                <w:color w:val="000000"/>
                <w:sz w:val="22"/>
                <w:szCs w:val="22"/>
              </w:rPr>
              <w:t>Autostrada</w:t>
            </w:r>
            <w:r w:rsidRPr="00367A5B">
              <w:rPr>
                <w:color w:val="000000"/>
                <w:sz w:val="22"/>
                <w:szCs w:val="22"/>
              </w:rPr>
              <w:t xml:space="preserve"> Drobeta - Calafat (inclu</w:t>
            </w:r>
            <w:r>
              <w:rPr>
                <w:color w:val="000000"/>
                <w:sz w:val="22"/>
                <w:szCs w:val="22"/>
              </w:rPr>
              <w:t>siv</w:t>
            </w:r>
            <w:r w:rsidRPr="00367A5B">
              <w:rPr>
                <w:color w:val="000000"/>
                <w:sz w:val="22"/>
                <w:szCs w:val="22"/>
              </w:rPr>
              <w:t xml:space="preserve"> H28)</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0.0</w:t>
            </w:r>
          </w:p>
        </w:tc>
        <w:tc>
          <w:tcPr>
            <w:tcW w:w="421"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4.5%</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482.0</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16,124.6</w:t>
            </w:r>
          </w:p>
        </w:tc>
      </w:tr>
      <w:tr w:rsidR="0030066D" w:rsidRPr="00367A5B" w:rsidTr="0030066D">
        <w:trPr>
          <w:trHeight w:val="499"/>
        </w:trPr>
        <w:tc>
          <w:tcPr>
            <w:tcW w:w="217"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10</w:t>
            </w:r>
          </w:p>
        </w:tc>
        <w:tc>
          <w:tcPr>
            <w:tcW w:w="221" w:type="pct"/>
            <w:vMerge/>
            <w:vAlign w:val="center"/>
            <w:hideMark/>
          </w:tcPr>
          <w:p w:rsidR="0030066D" w:rsidRPr="00367A5B" w:rsidRDefault="0030066D" w:rsidP="00A77D37">
            <w:pPr>
              <w:rPr>
                <w:b/>
                <w:bCs/>
                <w:color w:val="000000"/>
                <w:sz w:val="22"/>
                <w:szCs w:val="22"/>
              </w:rPr>
            </w:pPr>
          </w:p>
        </w:tc>
        <w:tc>
          <w:tcPr>
            <w:tcW w:w="4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H27</w:t>
            </w:r>
          </w:p>
        </w:tc>
        <w:tc>
          <w:tcPr>
            <w:tcW w:w="1172" w:type="pct"/>
            <w:shd w:val="clear" w:color="000000" w:fill="FFFFFF"/>
            <w:vAlign w:val="center"/>
            <w:hideMark/>
          </w:tcPr>
          <w:p w:rsidR="0030066D" w:rsidRPr="00367A5B" w:rsidRDefault="0030066D" w:rsidP="00FC6992">
            <w:pPr>
              <w:rPr>
                <w:color w:val="000000"/>
                <w:sz w:val="22"/>
                <w:szCs w:val="22"/>
              </w:rPr>
            </w:pPr>
            <w:r>
              <w:rPr>
                <w:color w:val="000000"/>
                <w:sz w:val="22"/>
                <w:szCs w:val="22"/>
              </w:rPr>
              <w:t>Autostrada</w:t>
            </w:r>
            <w:r w:rsidRPr="00367A5B">
              <w:rPr>
                <w:color w:val="000000"/>
                <w:sz w:val="22"/>
                <w:szCs w:val="22"/>
              </w:rPr>
              <w:t xml:space="preserve"> Timisoara - Moravita </w:t>
            </w:r>
          </w:p>
        </w:tc>
        <w:tc>
          <w:tcPr>
            <w:tcW w:w="982" w:type="pct"/>
            <w:shd w:val="clear" w:color="000000" w:fill="FFFFFF"/>
            <w:vAlign w:val="center"/>
            <w:hideMark/>
          </w:tcPr>
          <w:p w:rsidR="0030066D" w:rsidRPr="00367A5B" w:rsidRDefault="0030066D" w:rsidP="00A77D37">
            <w:pPr>
              <w:rPr>
                <w:color w:val="000000"/>
                <w:sz w:val="22"/>
                <w:szCs w:val="22"/>
              </w:rPr>
            </w:pPr>
            <w:r w:rsidRPr="00367A5B">
              <w:rPr>
                <w:color w:val="000000"/>
                <w:sz w:val="22"/>
                <w:szCs w:val="22"/>
              </w:rPr>
              <w:t xml:space="preserve">Core TEN-T link </w:t>
            </w:r>
          </w:p>
        </w:tc>
        <w:tc>
          <w:tcPr>
            <w:tcW w:w="39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0.0</w:t>
            </w:r>
          </w:p>
        </w:tc>
        <w:tc>
          <w:tcPr>
            <w:tcW w:w="421"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3.7%</w:t>
            </w:r>
          </w:p>
        </w:tc>
        <w:tc>
          <w:tcPr>
            <w:tcW w:w="524"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470.4</w:t>
            </w:r>
          </w:p>
        </w:tc>
        <w:tc>
          <w:tcPr>
            <w:tcW w:w="575" w:type="pct"/>
            <w:shd w:val="clear" w:color="000000" w:fill="FFFFFF"/>
            <w:vAlign w:val="center"/>
            <w:hideMark/>
          </w:tcPr>
          <w:p w:rsidR="0030066D" w:rsidRPr="00367A5B" w:rsidRDefault="0030066D" w:rsidP="00A77D37">
            <w:pPr>
              <w:jc w:val="center"/>
              <w:rPr>
                <w:color w:val="000000"/>
                <w:sz w:val="22"/>
                <w:szCs w:val="22"/>
              </w:rPr>
            </w:pPr>
            <w:r w:rsidRPr="00367A5B">
              <w:rPr>
                <w:color w:val="000000"/>
                <w:sz w:val="22"/>
                <w:szCs w:val="22"/>
              </w:rPr>
              <w:t>16,595.1</w:t>
            </w:r>
          </w:p>
        </w:tc>
      </w:tr>
    </w:tbl>
    <w:p w:rsidR="00B4550A" w:rsidRPr="00E0488D" w:rsidRDefault="00B4550A" w:rsidP="00B4550A">
      <w:pPr>
        <w:rPr>
          <w:lang w:val="ro-RO"/>
        </w:rPr>
      </w:pPr>
    </w:p>
    <w:p w:rsidR="00B4550A" w:rsidRPr="00E0488D" w:rsidRDefault="00B4550A" w:rsidP="00B4550A">
      <w:pPr>
        <w:rPr>
          <w:lang w:val="ro-RO"/>
        </w:rPr>
      </w:pPr>
      <w:r w:rsidRPr="00E0488D">
        <w:rPr>
          <w:i/>
          <w:sz w:val="22"/>
          <w:szCs w:val="22"/>
          <w:lang w:val="ro-RO"/>
        </w:rPr>
        <w:t>Sursa: Analiza AECOM</w:t>
      </w:r>
    </w:p>
    <w:p w:rsidR="00B4550A" w:rsidRPr="00E0488D" w:rsidRDefault="00B4550A" w:rsidP="00B4550A">
      <w:pPr>
        <w:rPr>
          <w:sz w:val="22"/>
          <w:szCs w:val="22"/>
          <w:lang w:val="ro-RO"/>
        </w:rPr>
      </w:pPr>
      <w:r w:rsidRPr="00E0488D">
        <w:rPr>
          <w:lang w:val="ro-RO"/>
        </w:rPr>
        <w:br w:type="page"/>
      </w:r>
    </w:p>
    <w:p w:rsidR="00B4550A" w:rsidRPr="00E0488D" w:rsidRDefault="00B4550A" w:rsidP="00B4550A">
      <w:pPr>
        <w:spacing w:before="120" w:after="120" w:line="276" w:lineRule="auto"/>
        <w:rPr>
          <w:b/>
          <w:sz w:val="22"/>
          <w:szCs w:val="22"/>
          <w:lang w:val="ro-RO"/>
        </w:rPr>
      </w:pPr>
      <w:r w:rsidRPr="00E0488D">
        <w:rPr>
          <w:b/>
          <w:sz w:val="22"/>
          <w:szCs w:val="22"/>
          <w:lang w:val="ro-RO"/>
        </w:rPr>
        <w:lastRenderedPageBreak/>
        <w:t>Figura 4.65</w:t>
      </w:r>
      <w:r w:rsidRPr="00E0488D">
        <w:rPr>
          <w:b/>
          <w:sz w:val="22"/>
          <w:szCs w:val="22"/>
          <w:lang w:val="ro-RO"/>
        </w:rPr>
        <w:tab/>
        <w:t xml:space="preserve">Rețeaua de drumuri după implementarea strategiei în scenariul EES (2020) </w:t>
      </w:r>
    </w:p>
    <w:p w:rsidR="00B4550A" w:rsidRPr="00E0488D" w:rsidRDefault="00B4550A" w:rsidP="00B4550A">
      <w:pPr>
        <w:spacing w:before="120" w:after="120" w:line="276" w:lineRule="auto"/>
        <w:rPr>
          <w:sz w:val="22"/>
          <w:szCs w:val="22"/>
          <w:lang w:val="ro-RO"/>
        </w:rPr>
      </w:pPr>
      <w:r w:rsidRPr="00E0488D">
        <w:rPr>
          <w:noProof/>
          <w:sz w:val="22"/>
          <w:szCs w:val="22"/>
          <w:lang w:val="ro-RO" w:eastAsia="ro-RO"/>
        </w:rPr>
        <w:drawing>
          <wp:inline distT="0" distB="0" distL="0" distR="0">
            <wp:extent cx="8839657" cy="5897734"/>
            <wp:effectExtent l="19050" t="19050" r="18593" b="26816"/>
            <wp:docPr id="554" name="Picture 0" descr="EES_FinalStrategy_202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_FinalStrategy_2020_Highway_Network_Plot.png"/>
                    <pic:cNvPicPr/>
                  </pic:nvPicPr>
                  <pic:blipFill>
                    <a:blip r:embed="rId164" cstate="email">
                      <a:extLst>
                        <a:ext uri="{28A0092B-C50C-407E-A947-70E740481C1C}">
                          <a14:useLocalDpi xmlns:a14="http://schemas.microsoft.com/office/drawing/2010/main"/>
                        </a:ext>
                      </a:extLst>
                    </a:blip>
                    <a:stretch>
                      <a:fillRect/>
                    </a:stretch>
                  </pic:blipFill>
                  <pic:spPr>
                    <a:xfrm>
                      <a:off x="0" y="0"/>
                      <a:ext cx="8842234" cy="5899453"/>
                    </a:xfrm>
                    <a:prstGeom prst="rect">
                      <a:avLst/>
                    </a:prstGeom>
                    <a:ln>
                      <a:solidFill>
                        <a:schemeClr val="accent1"/>
                      </a:solidFill>
                    </a:ln>
                  </pic:spPr>
                </pic:pic>
              </a:graphicData>
            </a:graphic>
          </wp:inline>
        </w:drawing>
      </w:r>
    </w:p>
    <w:p w:rsidR="00B4550A" w:rsidRPr="00E0488D" w:rsidRDefault="00B4550A" w:rsidP="00B4550A">
      <w:pPr>
        <w:rPr>
          <w:lang w:val="ro-RO"/>
        </w:rPr>
      </w:pPr>
      <w:r w:rsidRPr="00E0488D">
        <w:rPr>
          <w:i/>
          <w:sz w:val="22"/>
          <w:szCs w:val="22"/>
          <w:lang w:val="ro-RO"/>
        </w:rPr>
        <w:t>Surcesa: Analiza AECOM, Modelul Național de Transport</w:t>
      </w:r>
    </w:p>
    <w:p w:rsidR="00B4550A" w:rsidRPr="00E0488D" w:rsidRDefault="00B4550A" w:rsidP="00B4550A">
      <w:pPr>
        <w:rPr>
          <w:lang w:val="ro-RO"/>
        </w:rPr>
      </w:pPr>
    </w:p>
    <w:p w:rsidR="00B4550A" w:rsidRPr="00E0488D" w:rsidRDefault="00B4550A" w:rsidP="00B4550A">
      <w:pPr>
        <w:spacing w:before="120" w:after="120" w:line="276" w:lineRule="auto"/>
        <w:rPr>
          <w:b/>
          <w:sz w:val="22"/>
          <w:szCs w:val="22"/>
          <w:lang w:val="ro-RO"/>
        </w:rPr>
      </w:pPr>
      <w:r w:rsidRPr="00E0488D">
        <w:rPr>
          <w:b/>
          <w:sz w:val="22"/>
          <w:szCs w:val="22"/>
          <w:lang w:val="ro-RO"/>
        </w:rPr>
        <w:t>Figura 4.65</w:t>
      </w:r>
      <w:r w:rsidRPr="00E0488D">
        <w:rPr>
          <w:b/>
          <w:sz w:val="22"/>
          <w:szCs w:val="22"/>
          <w:lang w:val="ro-RO"/>
        </w:rPr>
        <w:tab/>
        <w:t>Rețeaua de drumuri după implementarea strategiei în scenariul EES (2030)</w:t>
      </w:r>
    </w:p>
    <w:p w:rsidR="00B4550A" w:rsidRPr="00E0488D" w:rsidRDefault="00B4550A" w:rsidP="00B4550A">
      <w:pPr>
        <w:spacing w:before="120" w:after="120" w:line="276" w:lineRule="auto"/>
        <w:rPr>
          <w:sz w:val="22"/>
          <w:szCs w:val="22"/>
          <w:lang w:val="ro-RO"/>
        </w:rPr>
      </w:pPr>
      <w:r w:rsidRPr="00E0488D">
        <w:rPr>
          <w:noProof/>
          <w:sz w:val="22"/>
          <w:szCs w:val="22"/>
          <w:lang w:val="ro-RO" w:eastAsia="ro-RO"/>
        </w:rPr>
        <w:drawing>
          <wp:inline distT="0" distB="0" distL="0" distR="0">
            <wp:extent cx="8365134" cy="5581138"/>
            <wp:effectExtent l="19050" t="19050" r="16866" b="19562"/>
            <wp:docPr id="555" name="Picture 1" descr="EES_FinalStrategy_203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_FinalStrategy_2030_Highway_Network_Plot.png"/>
                    <pic:cNvPicPr/>
                  </pic:nvPicPr>
                  <pic:blipFill>
                    <a:blip r:embed="rId165" cstate="email">
                      <a:extLst>
                        <a:ext uri="{28A0092B-C50C-407E-A947-70E740481C1C}">
                          <a14:useLocalDpi xmlns:a14="http://schemas.microsoft.com/office/drawing/2010/main"/>
                        </a:ext>
                      </a:extLst>
                    </a:blip>
                    <a:stretch>
                      <a:fillRect/>
                    </a:stretch>
                  </pic:blipFill>
                  <pic:spPr>
                    <a:xfrm>
                      <a:off x="0" y="0"/>
                      <a:ext cx="8369642" cy="5584146"/>
                    </a:xfrm>
                    <a:prstGeom prst="rect">
                      <a:avLst/>
                    </a:prstGeom>
                    <a:ln>
                      <a:solidFill>
                        <a:schemeClr val="accent1"/>
                      </a:solidFill>
                    </a:ln>
                  </pic:spPr>
                </pic:pic>
              </a:graphicData>
            </a:graphic>
          </wp:inline>
        </w:drawing>
      </w:r>
    </w:p>
    <w:p w:rsidR="00B4550A" w:rsidRPr="00E0488D" w:rsidRDefault="00B4550A" w:rsidP="00B4550A">
      <w:pPr>
        <w:rPr>
          <w:lang w:val="ro-RO"/>
        </w:rPr>
      </w:pPr>
      <w:r w:rsidRPr="00E0488D">
        <w:rPr>
          <w:i/>
          <w:sz w:val="22"/>
          <w:szCs w:val="22"/>
          <w:lang w:val="ro-RO"/>
        </w:rPr>
        <w:t>Surcesa: Analiza AECOM, Modelul Național de Transport</w:t>
      </w:r>
    </w:p>
    <w:p w:rsidR="00B4550A" w:rsidRPr="00E0488D" w:rsidRDefault="00B4550A" w:rsidP="00B4550A">
      <w:pPr>
        <w:rPr>
          <w:sz w:val="22"/>
          <w:szCs w:val="22"/>
          <w:lang w:val="ro-RO"/>
        </w:rPr>
      </w:pPr>
    </w:p>
    <w:p w:rsidR="00B4550A" w:rsidRPr="00E0488D" w:rsidRDefault="00B4550A" w:rsidP="00B4550A">
      <w:pPr>
        <w:spacing w:before="120" w:after="120" w:line="276" w:lineRule="auto"/>
        <w:rPr>
          <w:sz w:val="22"/>
          <w:szCs w:val="22"/>
          <w:highlight w:val="yellow"/>
          <w:lang w:val="ro-RO"/>
        </w:rPr>
      </w:pPr>
      <w:r w:rsidRPr="00E0488D">
        <w:rPr>
          <w:b/>
          <w:sz w:val="22"/>
          <w:szCs w:val="22"/>
          <w:lang w:val="ro-RO"/>
        </w:rPr>
        <w:lastRenderedPageBreak/>
        <w:t>Figura 4.66</w:t>
      </w:r>
      <w:r w:rsidRPr="00E0488D">
        <w:rPr>
          <w:b/>
          <w:sz w:val="22"/>
          <w:szCs w:val="22"/>
          <w:lang w:val="ro-RO"/>
        </w:rPr>
        <w:tab/>
        <w:t>Rețeaua de drumuri după implementarea strategiei în scenariul ES (2020)</w:t>
      </w:r>
      <w:r w:rsidRPr="00E0488D">
        <w:rPr>
          <w:noProof/>
          <w:sz w:val="22"/>
          <w:szCs w:val="22"/>
          <w:lang w:val="ro-RO" w:eastAsia="ro-RO"/>
        </w:rPr>
        <w:drawing>
          <wp:inline distT="0" distB="0" distL="0" distR="0">
            <wp:extent cx="8671407" cy="5785479"/>
            <wp:effectExtent l="19050" t="19050" r="15393" b="24771"/>
            <wp:docPr id="556" name="Picture 2" descr="ES_FinalStrategy_202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FinalStrategy_2020_Highway_Network_Plot.png"/>
                    <pic:cNvPicPr/>
                  </pic:nvPicPr>
                  <pic:blipFill>
                    <a:blip r:embed="rId166" cstate="email">
                      <a:extLst>
                        <a:ext uri="{28A0092B-C50C-407E-A947-70E740481C1C}">
                          <a14:useLocalDpi xmlns:a14="http://schemas.microsoft.com/office/drawing/2010/main"/>
                        </a:ext>
                      </a:extLst>
                    </a:blip>
                    <a:stretch>
                      <a:fillRect/>
                    </a:stretch>
                  </pic:blipFill>
                  <pic:spPr>
                    <a:xfrm>
                      <a:off x="0" y="0"/>
                      <a:ext cx="8673935" cy="5787165"/>
                    </a:xfrm>
                    <a:prstGeom prst="rect">
                      <a:avLst/>
                    </a:prstGeom>
                    <a:ln>
                      <a:solidFill>
                        <a:schemeClr val="accent1"/>
                      </a:solidFill>
                    </a:ln>
                  </pic:spPr>
                </pic:pic>
              </a:graphicData>
            </a:graphic>
          </wp:inline>
        </w:drawing>
      </w:r>
    </w:p>
    <w:p w:rsidR="00B4550A" w:rsidRPr="00E0488D" w:rsidRDefault="00B4550A" w:rsidP="00B4550A">
      <w:pPr>
        <w:rPr>
          <w:lang w:val="ro-RO"/>
        </w:rPr>
      </w:pPr>
      <w:r w:rsidRPr="00E0488D">
        <w:rPr>
          <w:i/>
          <w:sz w:val="22"/>
          <w:szCs w:val="22"/>
          <w:lang w:val="ro-RO"/>
        </w:rPr>
        <w:t>Surcesa: Analiza AECOM, Modelul Național de Transport</w:t>
      </w:r>
    </w:p>
    <w:p w:rsidR="00B4550A" w:rsidRPr="00E0488D" w:rsidRDefault="00B4550A" w:rsidP="002B7E09">
      <w:pPr>
        <w:pStyle w:val="NumberedParas"/>
        <w:numPr>
          <w:ilvl w:val="0"/>
          <w:numId w:val="0"/>
        </w:numPr>
        <w:ind w:left="851"/>
      </w:pPr>
    </w:p>
    <w:p w:rsidR="00B4550A" w:rsidRPr="00E0488D" w:rsidRDefault="00B4550A" w:rsidP="00B4550A">
      <w:pPr>
        <w:spacing w:before="120" w:after="120" w:line="276" w:lineRule="auto"/>
        <w:rPr>
          <w:sz w:val="22"/>
          <w:szCs w:val="22"/>
          <w:highlight w:val="yellow"/>
          <w:lang w:val="ro-RO"/>
        </w:rPr>
      </w:pPr>
      <w:r w:rsidRPr="00E0488D">
        <w:rPr>
          <w:b/>
          <w:sz w:val="22"/>
          <w:szCs w:val="22"/>
          <w:lang w:val="ro-RO"/>
        </w:rPr>
        <w:lastRenderedPageBreak/>
        <w:t>Figura 4.67</w:t>
      </w:r>
      <w:r w:rsidRPr="00E0488D">
        <w:rPr>
          <w:b/>
          <w:sz w:val="22"/>
          <w:szCs w:val="22"/>
          <w:lang w:val="ro-RO"/>
        </w:rPr>
        <w:tab/>
        <w:t>Rețeaua de drumuri după implementarea strategiei în scenariul ES (2030)</w:t>
      </w:r>
      <w:r w:rsidRPr="00E0488D">
        <w:rPr>
          <w:noProof/>
          <w:sz w:val="22"/>
          <w:szCs w:val="22"/>
          <w:lang w:val="ro-RO" w:eastAsia="ro-RO"/>
        </w:rPr>
        <w:drawing>
          <wp:inline distT="0" distB="0" distL="0" distR="0">
            <wp:extent cx="8671407" cy="5785479"/>
            <wp:effectExtent l="19050" t="19050" r="15393" b="24771"/>
            <wp:docPr id="557" name="Picture 3" descr="ES_FinalStrategy_2030_Highway_Network_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FinalStrategy_2030_Highway_Network_Plot.png"/>
                    <pic:cNvPicPr/>
                  </pic:nvPicPr>
                  <pic:blipFill>
                    <a:blip r:embed="rId167" cstate="email">
                      <a:extLst>
                        <a:ext uri="{28A0092B-C50C-407E-A947-70E740481C1C}">
                          <a14:useLocalDpi xmlns:a14="http://schemas.microsoft.com/office/drawing/2010/main"/>
                        </a:ext>
                      </a:extLst>
                    </a:blip>
                    <a:stretch>
                      <a:fillRect/>
                    </a:stretch>
                  </pic:blipFill>
                  <pic:spPr>
                    <a:xfrm>
                      <a:off x="0" y="0"/>
                      <a:ext cx="8673935" cy="5787165"/>
                    </a:xfrm>
                    <a:prstGeom prst="rect">
                      <a:avLst/>
                    </a:prstGeom>
                    <a:ln>
                      <a:solidFill>
                        <a:schemeClr val="accent1"/>
                      </a:solidFill>
                    </a:ln>
                  </pic:spPr>
                </pic:pic>
              </a:graphicData>
            </a:graphic>
          </wp:inline>
        </w:drawing>
      </w:r>
    </w:p>
    <w:p w:rsidR="00B4550A" w:rsidRPr="00E0488D" w:rsidRDefault="00B4550A" w:rsidP="00B4550A">
      <w:pPr>
        <w:rPr>
          <w:lang w:val="ro-RO"/>
        </w:rPr>
      </w:pPr>
      <w:r w:rsidRPr="00E0488D">
        <w:rPr>
          <w:i/>
          <w:sz w:val="22"/>
          <w:szCs w:val="22"/>
          <w:lang w:val="ro-RO"/>
        </w:rPr>
        <w:t>Surcesa: Analiza AECOM, Modelul Național de Transport</w:t>
      </w:r>
    </w:p>
    <w:p w:rsidR="00B4550A" w:rsidRPr="00E0488D" w:rsidRDefault="00B4550A" w:rsidP="002B7E09">
      <w:pPr>
        <w:pStyle w:val="NumberedParas"/>
        <w:numPr>
          <w:ilvl w:val="0"/>
          <w:numId w:val="0"/>
        </w:numPr>
        <w:ind w:left="851"/>
      </w:pPr>
    </w:p>
    <w:p w:rsidR="00B4550A" w:rsidRPr="00E0488D" w:rsidRDefault="00B4550A" w:rsidP="00B4550A">
      <w:pPr>
        <w:rPr>
          <w:lang w:val="ro-RO"/>
        </w:rPr>
        <w:sectPr w:rsidR="00B4550A" w:rsidRPr="00E0488D" w:rsidSect="009706A8">
          <w:pgSz w:w="16840" w:h="11907" w:orient="landscape" w:code="9"/>
          <w:pgMar w:top="907" w:right="1418" w:bottom="709" w:left="1418" w:header="357" w:footer="567" w:gutter="0"/>
          <w:cols w:space="187"/>
          <w:docGrid w:linePitch="360"/>
        </w:sectPr>
      </w:pPr>
    </w:p>
    <w:p w:rsidR="00B4550A" w:rsidRPr="00E0488D" w:rsidRDefault="00B4550A" w:rsidP="00BD59B2">
      <w:pPr>
        <w:pStyle w:val="Hdg2"/>
      </w:pPr>
      <w:bookmarkStart w:id="88" w:name="_Toc398020050"/>
      <w:bookmarkStart w:id="89" w:name="_Toc413060318"/>
      <w:r w:rsidRPr="00E0488D">
        <w:lastRenderedPageBreak/>
        <w:t>Sinteza intervențiilor</w:t>
      </w:r>
      <w:bookmarkEnd w:id="88"/>
      <w:bookmarkEnd w:id="89"/>
    </w:p>
    <w:p w:rsidR="00B4550A" w:rsidRPr="00E0488D" w:rsidRDefault="00B4550A" w:rsidP="002B7E09">
      <w:pPr>
        <w:pStyle w:val="NumberedParas"/>
      </w:pPr>
      <w:r w:rsidRPr="00E0488D">
        <w:t xml:space="preserve">Pe lângă măsurile corespunzătoare infrastructurii, asupra cărora s-a discutat în cadrul acestui capitol, mai există un număr de măsuri recomandate care au ca rol sprijinirea obiectivelor generale a Masterplanului. </w:t>
      </w:r>
    </w:p>
    <w:p w:rsidR="00B4550A" w:rsidRPr="00E0488D" w:rsidRDefault="00B4550A" w:rsidP="00B4550A">
      <w:pPr>
        <w:pStyle w:val="Hdg3"/>
        <w:ind w:left="851"/>
      </w:pPr>
      <w:r w:rsidRPr="00E0488D">
        <w:t>Măsuri de intervenție pentru operațiunile de întreținere</w:t>
      </w:r>
    </w:p>
    <w:p w:rsidR="00B4550A" w:rsidRPr="00E0488D" w:rsidRDefault="00B4550A" w:rsidP="002B7E09">
      <w:pPr>
        <w:pStyle w:val="NumberedParas"/>
      </w:pPr>
      <w:r w:rsidRPr="00E0488D">
        <w:t xml:space="preserve">După cum a fost prezentat anterior în cadrul acestui capitol, mai precis în Tabelul 4.4, puțin peste 50% din rețeaua națională este considerată a fi în stare tehnică bună, în proporție de 30% este considerată a fi în stare tehnică mediocră, iar 20% într-o stare tehnică precară. Așteptările sunt ca rețeaua de drumuri naționale să fie la cele mai înalte standarde pentru orice țară. De asemenea, Figura 4.4 furnizează informații referitoare la procentajul rețelei de drumuri naționale a cărui durată de viață este depășită.  </w:t>
      </w:r>
    </w:p>
    <w:p w:rsidR="00B4550A" w:rsidRPr="00E0488D" w:rsidRDefault="00B4550A" w:rsidP="002B7E09">
      <w:pPr>
        <w:pStyle w:val="NumberedParas"/>
      </w:pPr>
      <w:r w:rsidRPr="00E0488D">
        <w:t>Mai mult decât atât, un procent de 48% din toate traseele au anumite secțiuni în stare tehnică precară, din care proporția medie pe lungime este de 24%. Nu există diferențe referitoare la topografie, sugerând astfel o problemă la nivelul întregii rețele.</w:t>
      </w:r>
    </w:p>
    <w:p w:rsidR="00B4550A" w:rsidRPr="00E0488D" w:rsidRDefault="00B4550A" w:rsidP="002B7E09">
      <w:pPr>
        <w:pStyle w:val="NumberedParas"/>
      </w:pPr>
      <w:r w:rsidRPr="00E0488D">
        <w:t xml:space="preserve">În documentul „Raportul global al competitivității (2011-2012)”, Forumul Economic Mondial plasează România pe locul 137 din 142 de țări analizate din punct de vedere al calității infrastructurii rutiere. </w:t>
      </w:r>
    </w:p>
    <w:p w:rsidR="00B4550A" w:rsidRPr="00E0488D" w:rsidRDefault="00B4550A" w:rsidP="002B7E09">
      <w:pPr>
        <w:pStyle w:val="NumberedParas"/>
      </w:pPr>
      <w:r w:rsidRPr="00E0488D">
        <w:t xml:space="preserve">Se poate observa clar faptul că cel puțin o parte din problemele întâlnite este legată de activitățile de întreținere, de modul în care acestea sunt efectuate, precum și de modul în care acestea sunt prioritizate. Pentru a putea susține îmbunătățirea sistemului de întreținere din România, și pentru a atinge obiectivul de a deține o rețea rutieră de transport sigură și operațională, se recomandă implementarea următoarelor măsuri:  </w:t>
      </w:r>
    </w:p>
    <w:p w:rsidR="00B4550A" w:rsidRPr="00E0488D" w:rsidRDefault="00B4550A" w:rsidP="00BC2B57">
      <w:pPr>
        <w:pStyle w:val="BulletLevel1"/>
        <w:rPr>
          <w:sz w:val="20"/>
        </w:rPr>
      </w:pPr>
      <w:r w:rsidRPr="00E0488D">
        <w:t>Adoptarea unui Sistem de Management al Îmbrăcăminților Rutiere (</w:t>
      </w:r>
      <w:r w:rsidRPr="00E0488D">
        <w:rPr>
          <w:i/>
        </w:rPr>
        <w:t>Pavement Management System – PMS)</w:t>
      </w:r>
      <w:r w:rsidRPr="00E0488D">
        <w:t>), conform celor mai bune practici;</w:t>
      </w:r>
    </w:p>
    <w:p w:rsidR="00B4550A" w:rsidRPr="00E0488D" w:rsidRDefault="00B4550A" w:rsidP="00BC2B57">
      <w:pPr>
        <w:pStyle w:val="BulletLevel1"/>
        <w:rPr>
          <w:sz w:val="20"/>
        </w:rPr>
      </w:pPr>
      <w:r w:rsidRPr="00E0488D">
        <w:t>Desfășurarea unei inventarieri a activelor de drum;</w:t>
      </w:r>
    </w:p>
    <w:p w:rsidR="00B4550A" w:rsidRPr="00E0488D" w:rsidRDefault="00B4550A" w:rsidP="00BC2B57">
      <w:pPr>
        <w:pStyle w:val="BulletLevel1"/>
        <w:rPr>
          <w:sz w:val="20"/>
        </w:rPr>
      </w:pPr>
      <w:r w:rsidRPr="00E0488D">
        <w:t>O analiză detaliată a necesităților de finanțare a operațiunilor și activităților de management;</w:t>
      </w:r>
    </w:p>
    <w:p w:rsidR="00B4550A" w:rsidRPr="00E0488D" w:rsidRDefault="00B4550A" w:rsidP="00BC2B57">
      <w:pPr>
        <w:pStyle w:val="BulletLevel1"/>
        <w:rPr>
          <w:sz w:val="20"/>
        </w:rPr>
      </w:pPr>
      <w:r w:rsidRPr="00E0488D">
        <w:t>Prioritizarea și distribuția operațiunilor și activităților de management;</w:t>
      </w:r>
    </w:p>
    <w:p w:rsidR="00B4550A" w:rsidRPr="00E0488D" w:rsidRDefault="00B4550A" w:rsidP="00BC2B57">
      <w:pPr>
        <w:pStyle w:val="BulletLevel1"/>
        <w:rPr>
          <w:sz w:val="20"/>
        </w:rPr>
      </w:pPr>
      <w:r w:rsidRPr="00E0488D">
        <w:t>Definirea parametrilor de calitate a serviciilor; și</w:t>
      </w:r>
    </w:p>
    <w:p w:rsidR="00B4550A" w:rsidRPr="00E0488D" w:rsidRDefault="00B4550A" w:rsidP="00BC2B57">
      <w:pPr>
        <w:pStyle w:val="BulletLevel1"/>
      </w:pPr>
      <w:r w:rsidRPr="00E0488D">
        <w:t>Încheierea contractelor pe durate mai mari.</w:t>
      </w:r>
    </w:p>
    <w:p w:rsidR="00B4550A" w:rsidRPr="00E0488D" w:rsidRDefault="00B4550A" w:rsidP="002B7E09">
      <w:pPr>
        <w:pStyle w:val="NumberedParas"/>
      </w:pPr>
      <w:r w:rsidRPr="00E0488D">
        <w:t>Sistemul de management al îmbrăcăminților rutiere va duce la:</w:t>
      </w:r>
    </w:p>
    <w:p w:rsidR="00B4550A" w:rsidRPr="00E0488D" w:rsidRDefault="00B4550A" w:rsidP="00BC2B57">
      <w:pPr>
        <w:pStyle w:val="BulletLevel1"/>
      </w:pPr>
      <w:r w:rsidRPr="00E0488D">
        <w:t>Evaluarea stării drumurilor;</w:t>
      </w:r>
    </w:p>
    <w:p w:rsidR="00B4550A" w:rsidRPr="00E0488D" w:rsidRDefault="00B4550A" w:rsidP="00BC2B57">
      <w:pPr>
        <w:pStyle w:val="BulletLevel1"/>
      </w:pPr>
      <w:r w:rsidRPr="00E0488D">
        <w:t xml:space="preserve">Cântărirea priorităților; și </w:t>
      </w:r>
    </w:p>
    <w:p w:rsidR="00B4550A" w:rsidRPr="00E0488D" w:rsidRDefault="00B4550A" w:rsidP="00BC2B57">
      <w:pPr>
        <w:pStyle w:val="BulletLevel1"/>
      </w:pPr>
      <w:r w:rsidRPr="00E0488D">
        <w:t>Optimizarea intervențiilor.</w:t>
      </w:r>
    </w:p>
    <w:p w:rsidR="00B4550A" w:rsidRPr="00E0488D" w:rsidRDefault="00B4550A" w:rsidP="002B7E09">
      <w:pPr>
        <w:pStyle w:val="NumberedParas"/>
      </w:pPr>
      <w:r w:rsidRPr="00E0488D">
        <w:t xml:space="preserve">Rezultatul va fi o abordare mai transparentă și bazată pe argumente concrete. Cu toate că valoarea fondurilor va fi mereu limitată, un sistem PMS va susține o utilizare optimă a fondurilor disponibile și va asigura obținerea celor mai bune valori rezultate prin aplicarea costurilor pe durata de viață.   </w:t>
      </w:r>
    </w:p>
    <w:p w:rsidR="00B4550A" w:rsidRPr="00E0488D" w:rsidRDefault="00B4550A" w:rsidP="002B7E09">
      <w:pPr>
        <w:pStyle w:val="NumberedParas"/>
      </w:pPr>
      <w:r w:rsidRPr="00E0488D">
        <w:t xml:space="preserve">Sistemul PMS va pune bazele pentru planificarea și prioritizarea tuturor activităților de întreținere a drumurilor din România și va sprijini principiile stabilite în Clauza 8 a </w:t>
      </w:r>
      <w:r w:rsidRPr="00E0488D">
        <w:lastRenderedPageBreak/>
        <w:t xml:space="preserve">Reglementării UE nr. 1315/2013 care sprijină reabilitarea și modernizarea infrastructurii existente..  </w:t>
      </w:r>
    </w:p>
    <w:p w:rsidR="00B4550A" w:rsidRPr="00E0488D" w:rsidRDefault="00B4550A" w:rsidP="002B7E09">
      <w:pPr>
        <w:pStyle w:val="NumberedParas"/>
      </w:pPr>
      <w:r w:rsidRPr="00E0488D">
        <w:t xml:space="preserve">Inventarierea activelor de drum va presupune efectuarea unei analize detaliate a datelor referitoare la rețelele și activele de drum existente, pentru ca gestiunea disponibilă la momentul de față, precum și evidența datelor privind inspecția și întreținerea drumurilor să fie coerente, complete și adecvate, iar sistemele de management a activelor aferente, cum ar fi PMS, BMS (Sistem de Management al Podurilor - </w:t>
      </w:r>
      <w:r w:rsidRPr="00E0488D">
        <w:rPr>
          <w:i/>
        </w:rPr>
        <w:t>Bridge Management System)</w:t>
      </w:r>
      <w:r w:rsidRPr="00E0488D">
        <w:t xml:space="preserve">, etc., împreună cu măsurile de îmbunătățire corespunzătoare să fie aplicabile.  </w:t>
      </w:r>
    </w:p>
    <w:p w:rsidR="00B4550A" w:rsidRPr="00E0488D" w:rsidRDefault="00B4550A" w:rsidP="002B7E09">
      <w:pPr>
        <w:pStyle w:val="NumberedParas"/>
      </w:pPr>
      <w:r w:rsidRPr="00E0488D">
        <w:t xml:space="preserve">O analiză detaliată a necesităților de finanțare a operațiunilor și activităților de management (atât pentru eliminarea întârzierilor cu reparațiile capitale, cât și pentru activitățile curente de întreținere și activitățile de întreținere planificate pentru toate activele planificate și existente), împreună cu alocările bugetare vor determina necesitățile anuale de finanțare a operațiunilor și activităților de management precum și asigurarea acestor surse de finanțare. </w:t>
      </w:r>
    </w:p>
    <w:p w:rsidR="00B4550A" w:rsidRPr="00E0488D" w:rsidRDefault="00B4550A" w:rsidP="002B7E09">
      <w:pPr>
        <w:pStyle w:val="NumberedParas"/>
      </w:pPr>
      <w:r w:rsidRPr="00E0488D">
        <w:t xml:space="preserve">Toate aceste aspecte trebuie să fie asigurate pe termen lung prin intermediul angajamentelor Guvernului României, sprijinite prin surse de venit suplimentare și corespunzătoare, cum ar fi creșterea prețului pentru roviniete. </w:t>
      </w:r>
    </w:p>
    <w:p w:rsidR="00B4550A" w:rsidRPr="00E0488D" w:rsidRDefault="00B4550A" w:rsidP="002B7E09">
      <w:pPr>
        <w:pStyle w:val="NumberedParas"/>
      </w:pPr>
      <w:r w:rsidRPr="00E0488D">
        <w:t>Prioritizarea și distribuția operațiunilor și activităților de management presupune introducerea unui sistem eficient de prioritizare și distribuție a operațiunilor și cheltuielilor de management care să fie implementat pe o perioadă multianuală, precum și elaborarea unui plan de eliminare a întârzierilor cu reparațiile capitale pentru toate activele importante (drumuri și poduri). Toate acestea vor avea ca rezultat o abordare structurală a operațiunilor și activităților de întreținere, ceea ce va asigura o prioritizare eficientă a proiectelor.</w:t>
      </w:r>
    </w:p>
    <w:p w:rsidR="00B4550A" w:rsidRPr="00E0488D" w:rsidRDefault="00B4550A" w:rsidP="002B7E09">
      <w:pPr>
        <w:pStyle w:val="NumberedParas"/>
      </w:pPr>
      <w:r w:rsidRPr="00E0488D">
        <w:t xml:space="preserve">Pentru determinarea parametrilor de calitate a serviciilor, este necesară efectuarea unei analize a standardelor și specificațiilor tehnice existente referitoare la operațiunile și activitățile de management, pentru a stabili dacă acestea sunt sau nu adecvate și accesibile din punct de vedere financiar. Această analiză va furniza un nivel standardizat de calitate a serviciilor. </w:t>
      </w:r>
    </w:p>
    <w:p w:rsidR="00B4550A" w:rsidRPr="00E0488D" w:rsidRDefault="00B4550A" w:rsidP="002B7E09">
      <w:pPr>
        <w:pStyle w:val="NumberedParas"/>
      </w:pPr>
      <w:r w:rsidRPr="00E0488D">
        <w:t xml:space="preserve">Tendința de creștere a duratelor contractuale pentru operațiunile de întreținere va îmbunătăți serviciile furnizate, care vor fi consistente la nivel regional. Acestea vor fi mult mai eficiente, având în vedere faptul că aceste contracte vor fi semnate în funcție de performanțe. Se recomandă ca aceste contracte să fie încheiate la nivel regional.  </w:t>
      </w:r>
    </w:p>
    <w:p w:rsidR="00B4550A" w:rsidRPr="00E0488D" w:rsidRDefault="00B4550A" w:rsidP="002B7E09">
      <w:pPr>
        <w:pStyle w:val="NumberedParas"/>
      </w:pPr>
      <w:r w:rsidRPr="00E0488D">
        <w:t>Această propunere va conduce la modificarea practicilor curente în ceea ce privește activitățile de întreținere, care presupun încheierea a aproximativ 50 de contracte pe o perioadă de maxim doi ani, prin adoptarea unei abordări sistematice pe termen lung (5-7 ani), ce implică încheierii de contracte la nivel regional și care este mai apropiată de cele mai bune practici din restul UE.</w:t>
      </w:r>
    </w:p>
    <w:p w:rsidR="00B4550A" w:rsidRPr="00E0488D" w:rsidRDefault="00B4550A" w:rsidP="00B4550A">
      <w:pPr>
        <w:pStyle w:val="Hdg3"/>
        <w:ind w:left="851"/>
      </w:pPr>
      <w:r w:rsidRPr="00E0488D">
        <w:t>Reforma sistemului de management al proiectelor</w:t>
      </w:r>
    </w:p>
    <w:p w:rsidR="00B4550A" w:rsidRPr="00E0488D" w:rsidRDefault="00B4550A" w:rsidP="002B7E09">
      <w:pPr>
        <w:pStyle w:val="NumberedParas"/>
      </w:pPr>
      <w:r w:rsidRPr="00E0488D">
        <w:t xml:space="preserve">Obiectivul general al intervenției este de a îmbunătăți managementul și operațiunilor legate de infrastructura din România. Prin perfecționarea stabilității și capacității organizaționale și instituționale, se vor pune bazele unui management mult mai eficient și productiv în ceea ce privește activitățile aferente sectorului rutier, pe durata tuturor fazelor din cadrul unui proiect.  </w:t>
      </w:r>
    </w:p>
    <w:p w:rsidR="00B4550A" w:rsidRPr="00E0488D" w:rsidRDefault="00B4550A" w:rsidP="002B7E09">
      <w:pPr>
        <w:pStyle w:val="NumberedParas"/>
      </w:pPr>
      <w:r w:rsidRPr="00E0488D">
        <w:t xml:space="preserve">Recomandăm efectuarea unui audit și a unei analize complete asupra situației curente, urmate de identificarea măsurilor și recomandărilor relevante în ceea ce privește structura </w:t>
      </w:r>
      <w:r w:rsidRPr="00E0488D">
        <w:lastRenderedPageBreak/>
        <w:t xml:space="preserve">departamentelor ce vor fi responsabile cu toate etapele aferente unui proiect. Acestea presupune implicarea personalului cheie într-o sesiune de evaluare a necesităților de instruire.   </w:t>
      </w:r>
    </w:p>
    <w:p w:rsidR="00B4550A" w:rsidRPr="00E0488D" w:rsidRDefault="00B4550A" w:rsidP="002B7E09">
      <w:pPr>
        <w:pStyle w:val="NumberedParas"/>
      </w:pPr>
      <w:r w:rsidRPr="00E0488D">
        <w:t>Mai mult decât atât, recomandăm ca Ministerul Transporturilor să numească personalul de conducere, în baza contractelor încheiate pe termen lung, contracte bazate pe sistemul de performanțe. Aceste modificări la nivel de management vor asigura o eficiență sporită în ceea ce privește elaborarea și implementarea proiectelor.</w:t>
      </w:r>
    </w:p>
    <w:p w:rsidR="00B4550A" w:rsidRPr="00E0488D" w:rsidRDefault="00B4550A" w:rsidP="00B4550A">
      <w:pPr>
        <w:pStyle w:val="Hdg3"/>
        <w:ind w:left="851"/>
      </w:pPr>
      <w:r w:rsidRPr="00E0488D">
        <w:t xml:space="preserve">Măsuri de intervenție pentru vehiculele de transport mărfuri </w:t>
      </w:r>
    </w:p>
    <w:p w:rsidR="00B4550A" w:rsidRPr="00E0488D" w:rsidRDefault="00B4550A" w:rsidP="002B7E09">
      <w:pPr>
        <w:pStyle w:val="NumberedParas"/>
      </w:pPr>
      <w:r w:rsidRPr="00E0488D">
        <w:t xml:space="preserve">Există o serie de recomandări referitoare la vehiculele de transport mărfuri: </w:t>
      </w:r>
    </w:p>
    <w:p w:rsidR="00B4550A" w:rsidRPr="00E0488D" w:rsidRDefault="00B4550A" w:rsidP="00BC2B57">
      <w:pPr>
        <w:pStyle w:val="BulletLevel1"/>
      </w:pPr>
      <w:r w:rsidRPr="00E0488D">
        <w:t xml:space="preserve">Monitorizarea încărcăturii pe osie; </w:t>
      </w:r>
    </w:p>
    <w:p w:rsidR="00B4550A" w:rsidRPr="00E0488D" w:rsidRDefault="00B4550A" w:rsidP="00BC2B57">
      <w:pPr>
        <w:pStyle w:val="BulletLevel1"/>
      </w:pPr>
      <w:r w:rsidRPr="00E0488D">
        <w:t>Taxe pentru utilizarea rețelei;</w:t>
      </w:r>
    </w:p>
    <w:p w:rsidR="00B4550A" w:rsidRPr="00E0488D" w:rsidRDefault="00B4550A" w:rsidP="00BC2B57">
      <w:pPr>
        <w:pStyle w:val="BulletLevel1"/>
      </w:pPr>
      <w:r w:rsidRPr="00E0488D">
        <w:t xml:space="preserve">Zone pentru parcarea vehiculelor de transport mărfuri; și </w:t>
      </w:r>
    </w:p>
    <w:p w:rsidR="00B4550A" w:rsidRPr="00E0488D" w:rsidRDefault="00B4550A" w:rsidP="00BC2B57">
      <w:pPr>
        <w:pStyle w:val="BulletLevel1"/>
      </w:pPr>
      <w:r w:rsidRPr="00E0488D">
        <w:t>ITS (întârzieri la graniță).</w:t>
      </w:r>
    </w:p>
    <w:p w:rsidR="00B4550A" w:rsidRPr="00E0488D" w:rsidRDefault="00B4550A" w:rsidP="002B7E09">
      <w:pPr>
        <w:pStyle w:val="NumberedParas"/>
      </w:pPr>
      <w:r w:rsidRPr="00E0488D">
        <w:t>Reînnoirea și modificarea legislației referitoare la monitorizarea încărcăturii pe osie, precum și aplicarea ulterioară a reglementărilor vor contribui la diminuarea cazurilor de afectare a activelor, reducând astfel și numărul necesităților de întreținere.</w:t>
      </w:r>
    </w:p>
    <w:p w:rsidR="00B4550A" w:rsidRPr="00E0488D" w:rsidRDefault="00B4550A" w:rsidP="002B7E09">
      <w:pPr>
        <w:pStyle w:val="NumberedParas"/>
      </w:pPr>
      <w:r w:rsidRPr="00E0488D">
        <w:t xml:space="preserve">Obiectivul general al proiectului este de a îmbunătăți managementul și operarea infrastructurii din România. Mai precis, obiectivul operațional este de limitare a gradului de degradare a drumurilor cauzat de supraîncărcarea camioanelor. Propunerea este de a se efectua o evaluare a sustenabilității legislației în ceea ce privește încărcătura pe osie și de a asigura o implementare efectivă a legilor, prin intermediul controalelor spontane regulate și prin aplicarea amenzilor pentru încălcarea acestora.  </w:t>
      </w:r>
    </w:p>
    <w:p w:rsidR="00B4550A" w:rsidRPr="00E0488D" w:rsidRDefault="00B4550A" w:rsidP="002B7E09">
      <w:pPr>
        <w:pStyle w:val="NumberedParas"/>
      </w:pPr>
      <w:r w:rsidRPr="00E0488D">
        <w:t xml:space="preserve">De asemenea, va exista și solicitarea de asigurare a unui număr corespunzător de proceduri / facilități pentru monitorizare și control. </w:t>
      </w:r>
    </w:p>
    <w:p w:rsidR="00B4550A" w:rsidRPr="00E0488D" w:rsidRDefault="00B4550A" w:rsidP="002B7E09">
      <w:pPr>
        <w:pStyle w:val="NumberedParas"/>
      </w:pPr>
      <w:r w:rsidRPr="00E0488D">
        <w:t xml:space="preserve">În prezent, nu există un regim de taxare coordonată pentru vehiculele de transport mărfuri, deoarece autoritățile județene și municipale aplică taxe suplimentare care depășesc prețurile rovinietelor la nivel național. Toate acestea formează un regim de taxare prea complex și inconsistent, ce generează sporirea costurilor administrative pentru transportatorii de mărfuri locali și naționali. Mai mult de atât, datorită faptului că aceste roviniete sunt generate de un sistem coordonat, plata lor este la fel de dificilă și pentru transportatorii internaționali și regionali.  </w:t>
      </w:r>
    </w:p>
    <w:p w:rsidR="00B4550A" w:rsidRPr="00E0488D" w:rsidRDefault="00B4550A" w:rsidP="002B7E09">
      <w:pPr>
        <w:pStyle w:val="NumberedParas"/>
      </w:pPr>
      <w:r w:rsidRPr="00E0488D">
        <w:t xml:space="preserve">Un sistem național de taxare pentru transportatorii rutieri de mărfuri ar conduce la standardizarea dispozițiilor locale și ar furniza un mecanism menit să faciliteze procesul de gestiune cu care se confruntă transportatorii de mărfuri.  </w:t>
      </w:r>
    </w:p>
    <w:p w:rsidR="00B4550A" w:rsidRPr="00E0488D" w:rsidRDefault="00B4550A" w:rsidP="002B7E09">
      <w:pPr>
        <w:pStyle w:val="NumberedParas"/>
      </w:pPr>
      <w:r w:rsidRPr="00E0488D">
        <w:t xml:space="preserve">În prezent, în România nu sunt asigurate parcări sigure pentru camioane nici măcar în proiectele noi de autostradă (cum ar fi autostrada A3), ceea ce ridică problema siguranței și protecției pentru transportatorii de mărfuri, precum și pentru alți participanți la traficul rutier, problemă care la rândul ei generează costuri  inutile introduse în sistem. </w:t>
      </w:r>
    </w:p>
    <w:p w:rsidR="00B4550A" w:rsidRPr="00E0488D" w:rsidRDefault="00B4550A" w:rsidP="002B7E09">
      <w:pPr>
        <w:pStyle w:val="NumberedParas"/>
      </w:pPr>
      <w:r w:rsidRPr="00E0488D">
        <w:t xml:space="preserve">Regulamentul UE nr. 1315/2013 impune amenajarea zonelor de parcare corespunzătoare la fiecare 100m în cadrul rețelei TEN-T. Având în vedere faptul că întreaga rețea TEN-T (cea de bază împreună cu cea extinsă) se întinde pe aproximativ 4.900 km, acest lucru presupune existența a 49 de astfel de facilități, sau 27 amenajate doar în cadrul rețelei de bază. Costurile unitare pentru un spațiu de servicii se ridică pe la aproximativ 20 de milioane de Euro, astfel </w:t>
      </w:r>
      <w:r w:rsidRPr="00E0488D">
        <w:lastRenderedPageBreak/>
        <w:t xml:space="preserve">că pentru întreaga rețea de bază costurile ar fi de 540 de milioane de Euro și de 980 de milioane de Euro pentru rețeaua de bază și cea extinsă. </w:t>
      </w:r>
    </w:p>
    <w:p w:rsidR="00B4550A" w:rsidRPr="00E0488D" w:rsidRDefault="00B4550A" w:rsidP="002B7E09">
      <w:pPr>
        <w:pStyle w:val="NumberedParas"/>
      </w:pPr>
      <w:r w:rsidRPr="00E0488D">
        <w:t xml:space="preserve">Amenajarea de spații de parcare sigure presupune respectarea cerințelor UE, precum și a celor mai bune practici, și vor asigura reducerea costurilor aferente operațiunilor de transport mărfuri, prin intermediul unui sistem de siguranță îmbunătățit pe durata deplasărilor.  </w:t>
      </w:r>
    </w:p>
    <w:p w:rsidR="00B4550A" w:rsidRPr="00E0488D" w:rsidRDefault="00B4550A" w:rsidP="002B7E09">
      <w:pPr>
        <w:pStyle w:val="NumberedParas"/>
      </w:pPr>
      <w:r w:rsidRPr="00E0488D">
        <w:t>Prin utilizarea sistemului ITS în vederea furnizării de informații privind rutele alternative, împreună cu o administrare îmbunătățită a reglementărilor privind trecerea granițelor vor contribui la reducerea numărului de întârzieri. Potrivit Programului de Facilitare a Transportului și Comerțului în Sud-estul Europei (</w:t>
      </w:r>
      <w:r w:rsidRPr="00E0488D">
        <w:rPr>
          <w:i/>
        </w:rPr>
        <w:t>Trade and Transport Facilitation in Southeast Europe Program (TTFSE)</w:t>
      </w:r>
      <w:r w:rsidRPr="00E0488D">
        <w:t>), Standardul european prevede ca timpul maxim de așteptare pentru orice tip de vehicul este de 40 de minute la punctele de trecere a frontierei.</w:t>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168"/>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169"/>
          <w:footerReference w:type="default" r:id="rId170"/>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lastRenderedPageBreak/>
        <w:t>Transportul feroviar</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tabs>
          <w:tab w:val="clear" w:pos="680"/>
        </w:tabs>
        <w:ind w:left="851" w:hanging="851"/>
      </w:pPr>
      <w:bookmarkStart w:id="90" w:name="_Toc398303857"/>
      <w:bookmarkStart w:id="91" w:name="_Toc413060319"/>
      <w:r w:rsidRPr="00E0488D">
        <w:lastRenderedPageBreak/>
        <w:t>Transportul feroviar</w:t>
      </w:r>
      <w:bookmarkEnd w:id="90"/>
      <w:bookmarkEnd w:id="91"/>
    </w:p>
    <w:p w:rsidR="00B4550A" w:rsidRPr="00E0488D" w:rsidRDefault="00B4550A" w:rsidP="00BD59B2">
      <w:pPr>
        <w:pStyle w:val="Hdg2"/>
      </w:pPr>
      <w:bookmarkStart w:id="92" w:name="_Toc398303858"/>
      <w:bookmarkStart w:id="93" w:name="_Toc397058215"/>
      <w:bookmarkStart w:id="94" w:name="_Toc413060320"/>
      <w:r w:rsidRPr="00E0488D">
        <w:t xml:space="preserve">Situația existentă și tendințe </w:t>
      </w:r>
      <w:bookmarkEnd w:id="92"/>
      <w:bookmarkEnd w:id="93"/>
      <w:r w:rsidRPr="00E0488D">
        <w:t>istorice</w:t>
      </w:r>
      <w:bookmarkEnd w:id="94"/>
      <w:r w:rsidRPr="00E0488D">
        <w:t xml:space="preserve"> </w:t>
      </w:r>
    </w:p>
    <w:p w:rsidR="00573AD5" w:rsidRPr="0076579A" w:rsidRDefault="00573AD5" w:rsidP="0030066D">
      <w:pPr>
        <w:pStyle w:val="Hdg3"/>
      </w:pPr>
      <w:r w:rsidRPr="0076579A">
        <w:t>Transportul de călători</w:t>
      </w:r>
    </w:p>
    <w:p w:rsidR="00573AD5" w:rsidRPr="0076579A" w:rsidRDefault="00573AD5" w:rsidP="002B7E09">
      <w:pPr>
        <w:pStyle w:val="NumberedParas"/>
      </w:pPr>
      <w:r w:rsidRPr="0076579A">
        <w:t xml:space="preserve">În prima parte a acestui capitol sunt prezentate tendințele recente privind numărul de călători care au utilizat transportul feroviar, precum și evaluarea tiparului călătoriilor cu trenul între centrele urbane importante, utilizând datele din anul 2011. Numărul de călătorii a înregistrat o scădere între anii 2004 și 2012, de la aproximativ 100 de milioane la 58 milioane pe an, așa cum reiese din </w:t>
      </w:r>
      <w:r>
        <w:t>Figura 5.</w:t>
      </w:r>
      <w:r w:rsidRPr="0076579A">
        <w:t xml:space="preserve">1. Descreșterea cu 28% a ratei de utilizare a căii ferate din România dintre anii 2004 și 2009 este cea mai mare scădere înregistrată în cadrul statelor membre ale Uniunii Europene. </w:t>
      </w:r>
    </w:p>
    <w:p w:rsidR="00573AD5" w:rsidRPr="0076579A" w:rsidRDefault="00966D0E" w:rsidP="0030066D">
      <w:pPr>
        <w:ind w:left="1418" w:hanging="851"/>
        <w:rPr>
          <w:b/>
          <w:lang w:val="ro-RO"/>
        </w:rPr>
      </w:pPr>
      <w:r>
        <w:rPr>
          <w:b/>
          <w:noProof/>
          <w:sz w:val="14"/>
          <w:szCs w:val="14"/>
          <w:lang w:val="en-US"/>
        </w:rPr>
      </w:r>
      <w:r>
        <w:rPr>
          <w:b/>
          <w:noProof/>
          <w:sz w:val="14"/>
          <w:szCs w:val="14"/>
          <w:lang w:val="en-US"/>
        </w:rPr>
        <w:pict>
          <v:group id="Canvas 621" o:spid="_x0000_s1858" editas="canvas" style="width:475.1pt;height:247.25pt;mso-position-horizontal-relative:char;mso-position-vertical-relative:line" coordsize="60337,31400">
            <v:shape id="_x0000_s1859" type="#_x0000_t75" style="position:absolute;width:60337;height:31400;visibility:visible">
              <v:fill o:detectmouseclick="t"/>
              <v:path o:connecttype="none"/>
            </v:shape>
            <v:rect id="Rectangle 84" o:spid="_x0000_s1860" style="position:absolute;left:360;width:51340;height:30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yu8AA&#10;AADbAAAADwAAAGRycy9kb3ducmV2LnhtbERPS4vCMBC+C/6HMII3TVx3i1ajyIIgrHvwAV6HZmyL&#10;zaQ2Ueu/NwsL3ubje8582dpK3KnxpWMNo6ECQZw5U3Ku4XhYDyYgfEA2WDkmDU/ysFx0O3NMjXvw&#10;ju77kIsYwj5FDUUIdSqlzwqy6IeuJo7c2TUWQ4RNLk2DjxhuK/mhVCItlhwbCqzpu6Dssr9ZDZh8&#10;muvvebw9/NwSnOatWn+dlNb9XruagQjUhrf4370xcf4U/n6J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NIyu8AAAADbAAAADwAAAAAAAAAAAAAAAACYAgAAZHJzL2Rvd25y&#10;ZXYueG1sUEsFBgAAAAAEAAQA9QAAAIUDAAAAAA==&#10;" stroked="f"/>
            <v:rect id="Rectangle 85" o:spid="_x0000_s1861" style="position:absolute;left:2744;top:991;width:48956;height:276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Rm8EA&#10;AADbAAAADwAAAGRycy9kb3ducmV2LnhtbERPz2vCMBS+C/4P4Qm72UQ3y9YZRYTCYPNgO9j10Tzb&#10;sualNrF2//1yGOz48f3e7ifbiZEG3zrWsEoUCOLKmZZrDZ9lvnwG4QOywc4xafghD/vdfLbFzLg7&#10;n2ksQi1iCPsMNTQh9JmUvmrIok9cTxy5ixsshgiHWpoB7zHcdnKtVCotthwbGuzp2FD1XdysBkyf&#10;zPV0efwo328pvtSTyjdfSuuHxXR4BRFoCv/iP/eb0bCO6+OX+A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EUZvBAAAA2wAAAA8AAAAAAAAAAAAAAAAAmAIAAGRycy9kb3du&#10;cmV2LnhtbFBLBQYAAAAABAAEAPUAAACGAwAAAAA=&#10;" stroked="f"/>
            <v:shape id="Freeform 86" o:spid="_x0000_s1862" style="position:absolute;left:5703;top:957;width:54634;height:24171;visibility:visible;mso-wrap-style:square;v-text-anchor:top" coordsize="8321,4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9EWcMA&#10;AADbAAAADwAAAGRycy9kb3ducmV2LnhtbESPQYvCMBSE74L/ITxhb5rqYZGusZSKspcFrR7c26N5&#10;25RtXkoTtf57Iwgeh5n5hlllg23FlXrfOFYwnyUgiCunG64VnI7b6RKED8gaW8ek4E4esvV4tMJU&#10;uxsf6FqGWkQI+xQVmBC6VEpfGbLoZ64jjt6f6y2GKPta6h5vEW5buUiST2mx4bhgsKPCUPVfXqyC&#10;Yt/+5BdzcueD/C1M2ey2m81OqY/JkH+BCDSEd/jV/tYKFnN4fok/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9EWcMAAADbAAAADwAAAAAAAAAAAAAAAACYAgAAZHJzL2Rv&#10;d25yZXYueG1sUEsFBgAAAAAEAAQA9QAAAIgDAAAAAA==&#10;" path="m,4408r8321,l8321,4419,,4419r,-11xm,3915r8321,l8321,3927,,3927r,-12xm,3423r8321,l8321,3435,,3435r,-12xm,2942r8321,l8321,2954,,2954r,-12xm,2450r8321,l8321,2462,,2462r,-12xm,1958r8321,l8321,1969,,1969r,-11xm,1465r8321,l8321,1477,,1477r,-12xm,985r8321,l8321,996,,996,,985xm,492r8321,l8321,504,,504,,492xm,l8321,r,12l,12,,xe" fillcolor="#868686" strokecolor="#868686" strokeweight=".55pt">
              <v:stroke joinstyle="bevel"/>
              <v:path arrowok="t" o:connecttype="custom" o:connectlocs="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0;2147483647,0;2147483647,2147483647;0,2147483647;0,0" o:connectangles="0,0,0,0,0,0,0,0,0,0,0,0,0,0,0,0,0,0,0,0,0,0,0,0,0,0,0,0,0,0,0,0,0,0,0,0,0,0,0,0,0,0,0,0,0,0,0,0,0,0"/>
              <o:lock v:ext="edit" verticies="t"/>
            </v:shape>
            <v:rect id="Rectangle 88" o:spid="_x0000_s1863" style="position:absolute;left:3421;top:958;width:62;height:276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51MMA&#10;AADbAAAADwAAAGRycy9kb3ducmV2LnhtbESPQWvCQBSE74X+h+UVvNVNg4ikrqGUCoIXq+39NftM&#10;gtm3ye6aRH99VxA8DjPzDbPMR9OInpyvLSt4myYgiAuray4V/BzWrwsQPiBrbCyTggt5yFfPT0vM&#10;tB34m/p9KEWEsM9QQRVCm0npi4oM+qltiaN3tM5giNKVUjscItw0Mk2SuTRYc1yosKXPiorT/mwU&#10;9L+7zd9se7WXYnAdf6Xo132n1ORl/HgHEWgMj/C9vdEK0hRuX+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M51MMAAADbAAAADwAAAAAAAAAAAAAAAACYAgAAZHJzL2Rv&#10;d25yZXYueG1sUEsFBgAAAAAEAAQA9QAAAIgDAAAAAA==&#10;" fillcolor="#868686" strokecolor="#868686" strokeweight=".55pt">
              <v:stroke joinstyle="bevel"/>
            </v:rect>
            <v:shape id="Freeform 89" o:spid="_x0000_s1864" style="position:absolute;left:3128;top:924;width:321;height:27693;visibility:visible;mso-wrap-style:square;v-text-anchor:top" coordsize="57,4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RXn8UA&#10;AADbAAAADwAAAGRycy9kb3ducmV2LnhtbESPT2sCMRTE74V+h/AK3mq2K0hZjSIWS2+1a6seH5u3&#10;f3DzsiZRd799Uyh4HGbmN8x82ZtWXMn5xrKCl3ECgriwuuFKwfdu8/wKwgdkja1lUjCQh+Xi8WGO&#10;mbY3/qJrHioRIewzVFCH0GVS+qImg35sO+LoldYZDFG6SmqHtwg3rUyTZCoNNhwXauxoXVNxyi9G&#10;gVub4e1nfyk/z+Xu+D5Nt8Mh3yo1eupXMxCB+nAP/7c/tIJ0A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FefxQAAANsAAAAPAAAAAAAAAAAAAAAAAJgCAABkcnMv&#10;ZG93bnJldi54bWxQSwUGAAAAAAQABAD1AAAAigMAAAAA&#10;" path="m,4900r57,l57,4912r-57,l,4900xm,4408r57,l57,4419r-57,l,4408xm,3915r57,l57,3927r-57,l,3915xm,3423r57,l57,3435r-57,l,3423xm,2942r57,l57,2954r-57,l,2942xm,2450r57,l57,2462r-57,l,2450xm,1958r57,l57,1969r-57,l,1958xm,1465r57,l57,1477r-57,l,1465xm,985r57,l57,996,,996,,985xm,492r57,l57,504,,504,,492xm,l57,r,12l,12,,xe" fillcolor="#868686" strokecolor="#868686" strokeweight=".55pt">
              <v:stroke joinstyle="bevel"/>
              <v:path arrowok="t" o:connecttype="custom" o:connectlocs="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2147483647;2147483647,2147483647;2147483647,2147483647;0,2147483647;0,2147483647;0,0;2147483647,0;2147483647,2147483647;0,2147483647;0,0" o:connectangles="0,0,0,0,0,0,0,0,0,0,0,0,0,0,0,0,0,0,0,0,0,0,0,0,0,0,0,0,0,0,0,0,0,0,0,0,0,0,0,0,0,0,0,0,0,0,0,0,0,0,0,0,0,0,0"/>
              <o:lock v:ext="edit" verticies="t"/>
            </v:shape>
            <v:rect id="Rectangle 90" o:spid="_x0000_s1865" style="position:absolute;left:3449;top:28549;width:46914;height: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YEO8MA&#10;AADbAAAADwAAAGRycy9kb3ducmV2LnhtbESPT2vCQBTE74LfYXlCb2bTICKpq5SiIPRS//T+mn1N&#10;QrNv4+6axH56VxA8DjPzG2a5HkwjOnK+tqzgNUlBEBdW11wqOB230wUIH5A1NpZJwZU8rFfj0RJz&#10;bXveU3cIpYgQ9jkqqEJocyl9UZFBn9iWOHq/1hkMUbpSaod9hJtGZmk6lwZrjgsVtvRRUfF3uBgF&#10;3ffX7mf2+W+vRe/OvMnQb7uzUi+T4f0NRKAhPMOP9k4ryGZw/x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YEO8MAAADbAAAADwAAAAAAAAAAAAAAAACYAgAAZHJzL2Rv&#10;d25yZXYueG1sUEsFBgAAAAAEAAQA9QAAAIgDAAAAAA==&#10;" fillcolor="#868686" strokecolor="#868686" strokeweight=".55pt">
              <v:stroke joinstyle="bevel"/>
            </v:rect>
            <v:shape id="Freeform 91" o:spid="_x0000_s1866" style="position:absolute;left:3421;top:28583;width:46975;height:327;visibility:visible;mso-wrap-style:square;v-text-anchor:top" coordsize="833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EQcQA&#10;AADbAAAADwAAAGRycy9kb3ducmV2LnhtbESPS4sCMRCE7wv+h9DC3taMgouMRvGBrnhaHxdv7aSd&#10;jE46wyTq7L83C4LHoqq+okaTxpbiTrUvHCvodhIQxJnTBecKDvvl1wCED8gaS8ek4I88TMatjxGm&#10;2j14S/ddyEWEsE9RgQmhSqX0mSGLvuMq4uidXW0xRFnnUtf4iHBbyl6SfEuLBccFgxXNDWXX3c0q&#10;OC0vi+PqZ35dyct07a0zm9vvTKnPdjMdggjUhHf41V5rBb0+/H+JP0C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dREHEAAAA2wAAAA8AAAAAAAAAAAAAAAAAmAIAAGRycy9k&#10;b3ducmV2LnhtbFBLBQYAAAAABAAEAPUAAACJAwAAAAA=&#10;" path="m11,r,58l,58,,,11,xm502,r,58l491,58,491,r11,xm993,r,58l981,58,981,r12,xm1484,r,58l1472,58r,-58l1484,xm1974,r,58l1963,58r,-58l1974,xm2465,r,58l2454,58r,-58l2465,xm2956,r,58l2945,58r,-58l2956,xm3435,r,58l3424,58r,-58l3435,xm3926,r,58l3915,58r,-58l3926,xm4417,r,58l4406,58r,-58l4417,xm4908,r,58l4896,58r,-58l4908,xm5399,r,58l5387,58r,-58l5399,xm5890,r,58l5878,58r,-58l5890,xm6380,r,58l6369,58r,-58l6380,xm6871,r,58l6860,58r,-58l6871,xm7351,r,58l7339,58r,-58l7351,xm7841,r,58l7830,58r,-58l7841,xm8332,r,58l8321,58r,-58l8332,xe" fillcolor="#868686" strokecolor="#868686" strokeweight=".55pt">
              <v:stroke joinstyle="bevel"/>
              <v:path arrowok="t" o:connecttype="custom" o:connectlocs="2147483647,2147483647;0,0;2147483647,0;2147483647,2147483647;2147483647,0;2147483647,2147483647;2147483647,0;2147483647,0;2147483647,2147483647;2147483647,0;2147483647,2147483647;2147483647,0;2147483647,0;2147483647,2147483647;2147483647,0;2147483647,2147483647;2147483647,0;2147483647,0;2147483647,2147483647;2147483647,0;2147483647,2147483647;2147483647,0;2147483647,0;2147483647,2147483647;2147483647,0;2147483647,2147483647;2147483647,0;2147483647,0;2147483647,2147483647;2147483647,0;2147483647,2147483647;2147483647,0;2147483647,0;2147483647,2147483647;2147483647,0;2147483647,2147483647;2147483647,0;2147483647,0;2147483647,2147483647;2147483647,0;2147483647,2147483647;2147483647,0;2147483647,0;2147483647,2147483647;2147483647,0" o:connectangles="0,0,0,0,0,0,0,0,0,0,0,0,0,0,0,0,0,0,0,0,0,0,0,0,0,0,0,0,0,0,0,0,0,0,0,0,0,0,0,0,0,0,0,0,0"/>
              <o:lock v:ext="edit" verticies="t"/>
            </v:shape>
            <v:shape id="Freeform 92" o:spid="_x0000_s1867" style="position:absolute;left:3416;top:2441;width:47054;height:19907;visibility:visible;mso-wrap-style:square;v-text-anchor:top" coordsize="11699,4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yld78A&#10;AADbAAAADwAAAGRycy9kb3ducmV2LnhtbESP0YrCMBRE3wX/IVzBN00VkW01igiKLwuu+gGX5rYp&#10;NjelibX+/UYQfBxm5gyz3va2Fh21vnKsYDZNQBDnTldcKrhdD5MfED4ga6wdk4IXedhuhoM1Zto9&#10;+Y+6SyhFhLDPUIEJocmk9Lkhi37qGuLoFa61GKJsS6lbfEa4reU8SZbSYsVxwWBDe0P5/fKwChZ0&#10;Dok5evRF36VHpO43vRVKjUf9bgUiUB++4U/7pBXMl/D+En+A3P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nKV3vwAAANsAAAAPAAAAAAAAAAAAAAAAAJgCAABkcnMvZG93bnJl&#10;di54bWxQSwUGAAAAAAQABAD1AAAAhAMAAAAA&#10;" path="m21,2r86,17l191,30,363,47r86,15l537,85v,,1,,2,1l625,124v1,,1,1,2,1l713,179v1,,1,1,2,1l801,255r86,95l974,456r86,117l1232,814r85,117l1403,1040r171,212l1746,1466r85,102l1916,1665r86,88l2087,1831r85,67l2258,1956r84,51l2427,2051r170,78l2769,2202r171,67l3110,2323r171,50l3453,2426r86,24l3624,2467r171,33l3881,2521r87,30l4055,2593r88,58l4188,2688r44,45l4319,2837r86,119l4491,3080r86,123l4662,3316r43,49l4746,3408r42,37l4830,3474r41,22l4912,3513r-2,-1l4996,3532r-3,-1l5079,3534r83,-7l5247,3513r85,-17l5418,3482r87,-8l5677,3459r171,-22l6020,3421r87,-2l6195,3427r87,16l6369,3469r87,31l6543,3536r85,35l6713,3602r85,26l6883,3645r84,6l7050,3647r171,-19l7392,3607r87,-4l7566,3608r88,16l7740,3645r173,54l8085,3760r171,55l8427,3858r171,39l8769,3938r173,50l9115,4051r172,73l9458,4198r171,69l9972,4391r172,57l10314,4497r171,37l10655,4562r172,26l10998,4619r344,81l11685,4786v9,2,14,11,12,19c11695,4814,11686,4819,11678,4817r-343,-86l10993,4650r-171,-31l10650,4593r-172,-28l10305,4528r-172,-49l9961,4422,9618,4296r-173,-69l9274,4153r-170,-72l8933,4019r-171,-50l8591,3928r-171,-39l8247,3846r-173,-55l7904,3730r-171,-54l7649,3655r-84,-15l7480,3635r-85,3l7224,3659r-173,20l6964,3682r-88,-6l6789,3659r-87,-27l6615,3600r-85,-35l6445,3531r-85,-31l6277,3474r-85,-16l6108,3451r-85,1l5852,3468r-172,22l5508,3505r-85,8l5339,3527r-87,17l5165,3558r-87,8l4992,3563v-1,,-2,,-3,l4903,3543v-1,,-2,,-2,-1l4856,3525r-45,-24l4767,3469r-44,-38l4680,3386r-43,-51l4550,3222r-86,-123l4380,2975r-86,-117l4209,2756r-42,-43l4126,2678r-84,-56l3957,2582r-83,-30l3788,2531r-171,-33l3530,2481r-86,-24l3272,2404r-171,-50l2929,2298r-173,-67l2584,2158r-172,-78l2325,2034r-86,-51l2153,1923r-87,-69l1979,1776r-87,-90l1806,1589r-85,-103l1549,1272,1378,1059,1292,950,1205,833,1035,592,949,477,864,371,780,280,694,205r2,1l610,152r2,1l526,115r2,1l444,93,360,78,187,61,100,50,14,33c6,31,,23,2,14,3,6,12,,21,2xe" fillcolor="#4a7ebb" strokecolor="#4a7ebb" strokeweight=".55pt">
              <v:stroke joinstyle="bevel"/>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
            </v:shape>
            <v:shape id="Freeform 93" o:spid="_x0000_s1868" style="position:absolute;left:3218;top:2260;width:581;height:598;visibility:visible;mso-wrap-style:square;v-text-anchor:top" coordsize="1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HVMMA&#10;AADcAAAADwAAAGRycy9kb3ducmV2LnhtbERPTWvCQBC9F/oflil4q5umKjZ1lSANeBGprfQ6ZKfJ&#10;0uxsyK4m+utdQehtHu9zFqvBNuJEnTeOFbyMExDEpdOGKwXfX8XzHIQPyBobx6TgTB5Wy8eHBWba&#10;9fxJp32oRAxhn6GCOoQ2k9KXNVn0Y9cSR+7XdRZDhF0ldYd9DLeNTJNkJi0ajg01trSuqfzbH62C&#10;2ZtLtwdT4K4y+Y+5eLf7eJ0oNXoa8ncQgYbwL767NzrOT6ZweyZe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EHVMMAAADcAAAADwAAAAAAAAAAAAAAAACYAgAAZHJzL2Rv&#10;d25yZXYueG1sUEsFBgAAAAAEAAQA9QAAAIgDAAAAAA==&#10;" path="m51,106l,53,51,r52,53l51,106xe" fillcolor="#4f81bd" stroked="f">
              <v:path arrowok="t" o:connecttype="custom" o:connectlocs="2147483647,2147483647;0,2147483647;2147483647,0;2147483647,2147483647;2147483647,2147483647" o:connectangles="0,0,0,0,0"/>
            </v:shape>
            <v:shape id="Freeform 94" o:spid="_x0000_s1869" style="position:absolute;left:3184;top:2226;width:649;height:666;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jMUA&#10;AADcAAAADwAAAGRycy9kb3ducmV2LnhtbESPT2sCMRDF74V+hzAFbzVbkaVdjSKloniR2lI8Dptx&#10;d3Ez2SbZP357IwjeZnhv3u/NfDmYWnTkfGVZwds4AUGcW11xoeD3Z/36DsIHZI21ZVJwIQ/LxfPT&#10;HDNte/6m7hAKEUPYZ6igDKHJpPR5SQb92DbEUTtZZzDE1RVSO+xjuKnlJElSabDiSCixoc+S8vOh&#10;NZHbffx9bfa1t7Q7Hns9/W9blyo1ehlWMxCBhvAw36+3OtZPUrg9Eye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eT6MxQAAANwAAAAPAAAAAAAAAAAAAAAAAJgCAABkcnMv&#10;ZG93bnJldi54bWxQSwUGAAAAAAQABAD1AAAAigMAAAAA&#10;" path="m87,159v-4,3,-9,3,-12,l3,87c,83,,78,3,75l75,3c78,,83,,87,3r72,72c162,78,162,83,159,87l87,159xm147,75r,12l75,15r12,l15,87r,-12l87,147r-12,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95" o:spid="_x0000_s1870" style="position:absolute;left:5975;top:2988;width:580;height:591;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TBsEA&#10;AADcAAAADwAAAGRycy9kb3ducmV2LnhtbERPTYvCMBC9C/sfwizsTRP3oG41iq4IXjxYhb2OzdgW&#10;m0lp0tr990YQvM3jfc5i1dtKdNT40rGG8UiBIM6cKTnXcD7thjMQPiAbrByThn/ysFp+DBaYGHfn&#10;I3VpyEUMYZ+ghiKEOpHSZwVZ9CNXE0fu6hqLIcIml6bBewy3lfxWaiItlhwbCqzpt6DslrZWw+U2&#10;/fthedkdjt223aTYtzO10frrs1/PQQTqw1v8cu9NnK+m8HwmXi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qkwbBAAAA3AAAAA8AAAAAAAAAAAAAAAAAmAIAAGRycy9kb3du&#10;cmV2LnhtbFBLBQYAAAAABAAEAPUAAACGAwAAAAA=&#10;" path="m52,105l,52,52,r51,52l52,105xe" fillcolor="#4f81bd" stroked="f">
              <v:path arrowok="t" o:connecttype="custom" o:connectlocs="2147483647,2147483647;0,2147483647;2147483647,0;2147483647,2147483647;2147483647,2147483647" o:connectangles="0,0,0,0,0"/>
            </v:shape>
            <v:shape id="Freeform 96" o:spid="_x0000_s1871" style="position:absolute;left:5941;top:2948;width:654;height:665;visibility:visible;mso-wrap-style:square;v-text-anchor:top" coordsize="162,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c+v8YA&#10;AADcAAAADwAAAGRycy9kb3ducmV2LnhtbESPT0sDMRDF70K/QxjBi7RZBaWsTYsUBA8ibP/odboZ&#10;k9XNZE1iu/32zkHwNsN7895vFqsx9OpIKXeRDdzMKlDEbbQdOwO77dN0DioXZIt9ZDJwpgyr5eRi&#10;gbWNJ27ouClOSQjnGg34UoZa69x6CphncSAW7SOmgEXW5LRNeJLw0OvbqrrXATuWBo8DrT21X5uf&#10;YODluzRvY3M4u7vPxvm9u07b91djri7HxwdQhcbyb/67fraCXwmtPCMT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c+v8YAAADcAAAADwAAAAAAAAAAAAAAAACYAgAAZHJz&#10;L2Rvd25yZXYueG1sUEsFBgAAAAAEAAQA9QAAAIsDAAAAAA==&#10;" path="m87,158v-3,3,-8,3,-12,l3,86c,83,,78,3,75l75,3c79,,84,,87,3r72,72c162,78,162,83,159,86l87,158xm147,75r,11l75,14r12,l15,86r,-11l87,147r-12,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97" o:spid="_x0000_s1872" style="position:absolute;left:8738;top:6522;width:581;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mi78IA&#10;AADcAAAADwAAAGRycy9kb3ducmV2LnhtbERPPWvDMBDdC/kP4gLZGikdUseNYuqUQJYOdgtdL9bV&#10;NrFOxpId599XhUK3e7zP22ez7cREg28da9isFQjiypmWaw2fH6fHBIQPyAY7x6ThTh6yw+Jhj6lx&#10;Ny5oKkMtYgj7FDU0IfSplL5qyKJfu544ct9usBgiHGppBrzFcNvJJ6W20mLLsaHBno4NVddytBou&#10;1+evHcvL6b2Y3sa8xHlMVK71ajm/voAINId/8Z/7bOJ8tYPfZ+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LvwgAAANwAAAAPAAAAAAAAAAAAAAAAAJgCAABkcnMvZG93&#10;bnJldi54bWxQSwUGAAAAAAQABAD1AAAAhwMAAAAA&#10;" path="m51,105l,52,51,r52,52l51,105xe" fillcolor="#4f81bd" stroked="f">
              <v:path arrowok="t" o:connecttype="custom" o:connectlocs="2147483647,2147483647;0,2147483647;2147483647,0;2147483647,2147483647;2147483647,2147483647" o:connectangles="0,0,0,0,0"/>
            </v:shape>
            <v:shape id="Freeform 98" o:spid="_x0000_s1873" style="position:absolute;left:8699;top:6483;width:653;height:665;visibility:visible;mso-wrap-style:square;v-text-anchor:top" coordsize="162,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kZMYA&#10;AADcAAAADwAAAGRycy9kb3ducmV2LnhtbESPT0sDMRDF74V+hzAFL2KzFRRZmxYpFDyIsK1/ruNm&#10;TFY3kzWJ7fbbOwehtxnem/d+s1yPoVcHSrmLbGAxr0ARt9F27Ay87LdXd6ByQbbYRyYDJ8qwXk0n&#10;S6xtPHJDh11xSkI412jAlzLUWufWU8A8jwOxaJ8xBSyyJqdtwqOEh15fV9WtDtixNHgcaOOp/d79&#10;BgNPP6V5G5uPk7v5apx/dZdp//5szMVsfLgHVWgsZ/P/9aMV/IXgyzMygV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ikZMYAAADcAAAADwAAAAAAAAAAAAAAAACYAgAAZHJz&#10;L2Rvd25yZXYueG1sUEsFBgAAAAAEAAQA9QAAAIsDAAAAAA==&#10;" path="m87,158v-3,3,-8,3,-11,l4,86c,83,,78,4,75l76,3c79,,84,,87,3r72,72c162,78,162,83,159,86l87,158xm148,75r,11l76,14r11,l15,86r,-11l87,147r-11,l148,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99" o:spid="_x0000_s1874" style="position:absolute;left:11495;top:9792;width:580;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4NMIA&#10;AADcAAAADwAAAGRycy9kb3ducmV2LnhtbERPS2vCQBC+F/wPywje6m56sBpdRS2BXnowLXgds2MS&#10;zM6G7ObRf98tFHqbj+85u8NkGzFQ52vHGpKlAkFcOFNzqeHrM3teg/AB2WDjmDR8k4fDfva0w9S4&#10;kS805KEUMYR9ihqqENpUSl9UZNEvXUscubvrLIYIu1KaDscYbhv5otRKWqw5NlTY0rmi4pH3VsPt&#10;8XrdsLxlH5fhrT/lOPVrddJ6MZ+OWxCBpvAv/nO/mzg/SeD3mXiB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jg0wgAAANwAAAAPAAAAAAAAAAAAAAAAAJgCAABkcnMvZG93&#10;bnJldi54bWxQSwUGAAAAAAQABAD1AAAAhwMAAAAA&#10;" path="m52,105l,53,52,r51,53l52,105xe" fillcolor="#4f81bd" stroked="f">
              <v:path arrowok="t" o:connecttype="custom" o:connectlocs="2147483647,2147483647;0,2147483647;2147483647,0;2147483647,2147483647;2147483647,2147483647" o:connectangles="0,0,0,0,0"/>
            </v:shape>
            <v:shape id="Freeform 100" o:spid="_x0000_s1875" style="position:absolute;left:11466;top:9753;width:643;height:671;visibility:visible;mso-wrap-style:square;v-text-anchor:top" coordsize="16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qKncQA&#10;AADcAAAADwAAAGRycy9kb3ducmV2LnhtbERPS2vCQBC+F/wPywheSt3EQrGpGxGj4KUHH4f2NmSn&#10;2ZDsbMiuGv313ULB23x8z1ksB9uKC/W+dqwgnSYgiEuna64UnI7blzkIH5A1to5JwY08LPPR0wIz&#10;7a68p8shVCKGsM9QgQmhy6T0pSGLfuo64sj9uN5iiLCvpO7xGsNtK2dJ8iYt1hwbDHa0NlQ2h7NV&#10;8K43Zn/c1mTT4rO5fxXFc/F9V2oyHlYfIAIN4SH+d+90nJ++wt8z8QK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qip3EAAAA3AAAAA8AAAAAAAAAAAAAAAAAmAIAAGRycy9k&#10;b3ducmV2LnhtbFBLBQYAAAAABAAEAPUAAACJAwAAAAA=&#10;" path="m86,159v-3,3,-8,3,-11,l3,87c,84,,79,3,76l75,4c78,,83,,86,4r72,72c161,79,161,84,158,87l86,159xm147,76r,11l75,15r11,l14,87r,-11l86,148r-11,l147,76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01" o:spid="_x0000_s1876" style="position:absolute;left:14258;top:11337;width:580;height:598;visibility:visible;mso-wrap-style:square;v-text-anchor:top" coordsize="1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0EsMA&#10;AADcAAAADwAAAGRycy9kb3ducmV2LnhtbERPS2vCQBC+F/wPywje6kYNYtNsRKRCL0Xqg16H7DRZ&#10;zM6G7Nak/fWuUPA2H99z8vVgG3GlzhvHCmbTBARx6bThSsHpuHtegfABWWPjmBT8kod1MXrKMdOu&#10;50+6HkIlYgj7DBXUIbSZlL6syaKfupY4ct+usxgi7CqpO+xjuG3kPEmW0qLh2FBjS9uaysvhxypY&#10;vrj5x9nscF+ZzZf5827/tkiVmoyHzSuIQEN4iP/d7zrOn6VwfyZeI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Q0EsMAAADcAAAADwAAAAAAAAAAAAAAAACYAgAAZHJzL2Rv&#10;d25yZXYueG1sUEsFBgAAAAAEAAQA9QAAAIgDAAAAAA==&#10;" path="m52,106l,53,52,r51,53l52,106xe" fillcolor="#4f81bd" stroked="f">
              <v:path arrowok="t" o:connecttype="custom" o:connectlocs="2147483647,2147483647;0,2147483647;2147483647,0;2147483647,2147483647;2147483647,2147483647" o:connectangles="0,0,0,0,0"/>
            </v:shape>
            <v:shape id="Freeform 102" o:spid="_x0000_s1877" style="position:absolute;left:14224;top:11298;width:648;height:670;visibility:visible;mso-wrap-style:square;v-text-anchor:top" coordsize="16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3csQA&#10;AADcAAAADwAAAGRycy9kb3ducmV2LnhtbERPS2vCQBC+F/wPywheSt1EaLGpGxGj4KUHH4f2NmSn&#10;2ZDsbMiuGv313ULB23x8z1ksB9uKC/W+dqwgnSYgiEuna64UnI7blzkIH5A1to5JwY08LPPR0wIz&#10;7a68p8shVCKGsM9QgQmhy6T0pSGLfuo64sj9uN5iiLCvpO7xGsNtK2dJ8iYt1hwbDHa0NlQ2h7NV&#10;8K43Zn/c1mTT4rO5fxXFc/F9V2oyHlYfIAIN4SH+d+90nJ++wt8z8QK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Pt3LEAAAA3AAAAA8AAAAAAAAAAAAAAAAAmAIAAGRycy9k&#10;b3ducmV2LnhtbFBLBQYAAAAABAAEAPUAAACJAwAAAAA=&#10;" path="m86,158v-3,4,-8,4,-11,l3,86c,83,,78,3,75l75,3c78,,83,,86,3r72,72c161,78,161,83,158,86l86,158xm147,75r,11l75,14r11,l14,86r,-11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03" o:spid="_x0000_s1878" style="position:absolute;left:17020;top:12262;width:575;height:597;visibility:visible;mso-wrap-style:square;v-text-anchor:top" coordsize="10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UPWcEA&#10;AADcAAAADwAAAGRycy9kb3ducmV2LnhtbERPzYrCMBC+L/gOYRa8LJpWUErXKKUieBAWqw8wNrNt&#10;2WZSmmjr25sFwdt8fL+z3o6mFXfqXWNZQTyPQBCXVjdcKbic97MEhPPIGlvLpOBBDrabyccaU20H&#10;PtG98JUIIexSVFB736VSurImg25uO+LA/dreoA+wr6TucQjhppWLKFpJgw2Hhho7ymsq/4qbUVBc&#10;8q/bLv7Jh2OSWc4WtJRXUmr6OWbfIDyN/i1+uQ86zI9X8P9MuE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FD1nBAAAA3AAAAA8AAAAAAAAAAAAAAAAAmAIAAGRycy9kb3du&#10;cmV2LnhtbFBLBQYAAAAABAAEAPUAAACGAwAAAAA=&#10;" path="m51,106l,53,51,r51,53l51,106xe" fillcolor="#4f81bd" stroked="f">
              <v:path arrowok="t" o:connecttype="custom" o:connectlocs="2147483647,2147483647;0,2147483647;2147483647,0;2147483647,2147483647;2147483647,2147483647" o:connectangles="0,0,0,0,0"/>
            </v:shape>
            <v:shape id="Freeform 104" o:spid="_x0000_s1879" style="position:absolute;left:16980;top:12228;width:649;height:665;visibility:visible;mso-wrap-style:square;v-text-anchor:top" coordsize="16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53ysQA&#10;AADcAAAADwAAAGRycy9kb3ducmV2LnhtbERPPWvDMBDdC/0P4gJdSi0nQ6mdKCHUCWTpkLhDux3W&#10;xTKxTsZSbDe/PioUut3jfd5qM9lWDNT7xrGCeZKCIK6cbrhW8FnuX95A+ICssXVMCn7Iw2b9+LDC&#10;XLuRjzScQi1iCPscFZgQulxKXxmy6BPXEUfu7HqLIcK+lrrHMYbbVi7S9FVabDg2GOzo3VB1OV2t&#10;gkzvzLHcN2Tnxcfl9lUUz8X3Tamn2bRdggg0hX/xn/ug4/xFBr/PxAv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ud8rEAAAA3AAAAA8AAAAAAAAAAAAAAAAAmAIAAGRycy9k&#10;b3ducmV2LnhtbFBLBQYAAAAABAAEAPUAAACJAwAAAAA=&#10;" path="m86,159v-3,3,-8,3,-11,l3,87c,84,,79,3,76l75,4c78,,83,,86,4r72,72c161,79,161,84,158,87l86,159xm147,76r,11l75,15r11,l14,87r,-11l86,148r-11,l147,76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05" o:spid="_x0000_s1880" style="position:absolute;left:19776;top:13186;width:581;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Bz8UA&#10;AADcAAAADwAAAGRycy9kb3ducmV2LnhtbESPQWvCQBCF7wX/wzJCb3XTFqpN3UhVhF56MApex+w0&#10;CcnOhuwmpv++cyh4m+G9ee+b9WZyrRqpD7VnA8+LBBRx4W3NpYHz6fC0AhUissXWMxn4pQCbbPaw&#10;xtT6Gx9pzGOpJIRDigaqGLtU61BU5DAsfEcs2o/vHUZZ+1LbHm8S7lr9kiRv2mHN0lBhR7uKiiYf&#10;nIFrs7y8s74evo/jftjmOA2rZGvM43z6/AAVaYp38//1lxX8V8GXZ2QC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8HPxQAAANwAAAAPAAAAAAAAAAAAAAAAAJgCAABkcnMv&#10;ZG93bnJldi54bWxQSwUGAAAAAAQABAD1AAAAigMAAAAA&#10;" path="m51,105l,52,51,r52,52l51,105xe" fillcolor="#4f81bd" stroked="f">
              <v:path arrowok="t" o:connecttype="custom" o:connectlocs="2147483647,2147483647;0,2147483647;2147483647,0;2147483647,2147483647;2147483647,2147483647" o:connectangles="0,0,0,0,0"/>
            </v:shape>
            <v:shape id="Freeform 106" o:spid="_x0000_s1881" style="position:absolute;left:19743;top:13147;width:648;height:671;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sRcUA&#10;AADcAAAADwAAAGRycy9kb3ducmV2LnhtbESPT2sCMRDF70K/Q5iCN82qRdqtUUpRFC+iLcXjsJnu&#10;Lt1M1iT7p9/eCIK3Gd6b93uzWPWmEi05X1pWMBknIIgzq0vOFXx/bUavIHxA1lhZJgX/5GG1fBos&#10;MNW24yO1p5CLGMI+RQVFCHUqpc8KMujHtiaO2q91BkNcXS61wy6Gm0pOk2QuDZYcCQXW9FlQ9ndq&#10;TOS2bz/r7aHylvbnc6dfLk3j5koNn/uPdxCB+vAw3693OtafTeD2TJx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xFxQAAANwAAAAPAAAAAAAAAAAAAAAAAJgCAABkcnMv&#10;ZG93bnJldi54bWxQSwUGAAAAAAQABAD1AAAAigMAAAAA&#10;" path="m86,159v-3,3,-8,3,-11,l3,87c,84,,79,3,75l75,3c78,,83,,86,3r72,72c162,79,162,84,158,87l86,159xm147,75r,12l75,15r11,l14,87r,-12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07" o:spid="_x0000_s1882" style="position:absolute;left:22540;top:16580;width:575;height:598;visibility:visible;mso-wrap-style:square;v-text-anchor:top" coordsize="10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tVOsEA&#10;AADcAAAADwAAAGRycy9kb3ducmV2LnhtbERPzYrCMBC+C/sOYRa8yJpacZFqlNJlYQ+CWH2AsRnb&#10;YjMpTbT17TeC4G0+vt9ZbwfTiDt1rrasYDaNQBAXVtdcKjgdf7+WIJxH1thYJgUPcrDdfIzWmGjb&#10;84HuuS9FCGGXoILK+zaR0hUVGXRT2xIH7mI7gz7ArpS6wz6Em0bGUfQtDdYcGipsKauouOY3oyA/&#10;ZZPbz2yf9btlajmNaSHPpNT4c0hXIDwN/i1+uf90mD+P4flMuE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LVTrBAAAA3AAAAA8AAAAAAAAAAAAAAAAAmAIAAGRycy9kb3du&#10;cmV2LnhtbFBLBQYAAAAABAAEAPUAAACGAwAAAAA=&#10;" path="m51,106l,53,51,r51,53l51,106xe" fillcolor="#4f81bd" stroked="f">
              <v:path arrowok="t" o:connecttype="custom" o:connectlocs="2147483647,2147483647;0,2147483647;2147483647,0;2147483647,2147483647;2147483647,2147483647" o:connectangles="0,0,0,0,0"/>
            </v:shape>
            <v:shape id="Freeform 108" o:spid="_x0000_s1883" style="position:absolute;left:22500;top:16546;width:654;height:671;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XqcUA&#10;AADcAAAADwAAAGRycy9kb3ducmV2LnhtbESPT2sCMRDF70K/Q5iCN822irRbo5SiKF5EW4rHYTPd&#10;XbqZrEn2j9/eCIK3Gd6b93szX/amEi05X1pW8DJOQBBnVpecK/j5Xo/eQPiArLGyTAou5GG5eBrM&#10;MdW24wO1x5CLGMI+RQVFCHUqpc8KMujHtiaO2p91BkNcXS61wy6Gm0q+JslMGiw5Egqs6aug7P/Y&#10;mMht339Xm33lLe1Op05Pz03jZkoNn/vPDxCB+vAw36+3OtafTOD2TJx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lepxQAAANwAAAAPAAAAAAAAAAAAAAAAAJgCAABkcnMv&#10;ZG93bnJldi54bWxQSwUGAAAAAAQABAD1AAAAigMAAAAA&#10;" path="m87,159v-3,3,-9,3,-12,l3,87c,84,,79,3,75l75,3c78,,84,,87,3r72,72c162,79,162,84,159,87l87,159xm147,75r,12l75,15r12,l15,87r,-12l87,147r-12,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09" o:spid="_x0000_s1884" style="position:absolute;left:25296;top:16591;width:581;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THzMIA&#10;AADcAAAADwAAAGRycy9kb3ducmV2LnhtbERPS4vCMBC+C/sfwix403RX8VGNsiqCFw/Whb2OzWxb&#10;bCalSWv990YQvM3H95zlujOlaKl2hWUFX8MIBHFqdcGZgt/zfjAD4TyyxtIyKbiTg/Xqo7fEWNsb&#10;n6hNfCZCCLsYFeTeV7GULs3JoBvaijhw/7Y26AOsM6lrvIVwU8rvKJpIgwWHhhwr2uaUXpPGKLhc&#10;p39zlpf98dTumk2CXTOLNkr1P7ufBQhPnX+LX+6DDvNHY3g+Ey6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MfMwgAAANwAAAAPAAAAAAAAAAAAAAAAAJgCAABkcnMvZG93&#10;bnJldi54bWxQSwUGAAAAAAQABAD1AAAAhwMAAAAA&#10;" path="m51,105l,53,51,r52,53l51,105xe" fillcolor="#4f81bd" stroked="f">
              <v:path arrowok="t" o:connecttype="custom" o:connectlocs="2147483647,2147483647;0,2147483647;2147483647,0;2147483647,2147483647;2147483647,2147483647" o:connectangles="0,0,0,0,0"/>
            </v:shape>
            <v:shape id="Freeform 110" o:spid="_x0000_s1885" style="position:absolute;left:25257;top:16552;width:654;height:671;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qRsUA&#10;AADcAAAADwAAAGRycy9kb3ducmV2LnhtbESPT2sCMRDF74LfIUzBm2Zbq7Rbo4goihepLcXjsJnu&#10;Lt1Mtkn2T7+9EYTeZnhv3u/NYtWbSrTkfGlZweMkAUGcWV1yruDzYzd+AeEDssbKMin4Iw+r5XCw&#10;wFTbjt+pPYdcxBD2KSooQqhTKX1WkEE/sTVx1L6tMxji6nKpHXYx3FTyKUnm0mDJkVBgTZuCsp9z&#10;YyK3ff3a7k+Vt3S8XDr9/Ns0bq7U6KFfv4EI1Id/8/36oGP96Qxuz8QJ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2pGxQAAANwAAAAPAAAAAAAAAAAAAAAAAJgCAABkcnMv&#10;ZG93bnJldi54bWxQSwUGAAAAAAQABAD1AAAAigMAAAAA&#10;" path="m87,158v-3,4,-8,4,-12,l3,86c,83,,78,3,75l75,3c79,,84,,87,3r72,72c162,78,162,83,159,86l87,158xm147,75r,11l75,14r12,l15,86r,-11l87,147r-12,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11" o:spid="_x0000_s1886" style="position:absolute;left:28054;top:16400;width:580;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r8IMMA&#10;AADcAAAADwAAAGRycy9kb3ducmV2LnhtbERPS2uDQBC+F/oflinkVtckYFObTciDQC89aAK5ju5E&#10;Je6suKux/75bKPQ2H99z1tvJtGKk3jWWFcyjGARxaXXDlYLL+fS6AuE8ssbWMin4JgfbzfPTGlNt&#10;H5zRmPtKhBB2KSqove9SKV1Zk0EX2Y44cDfbG/QB9pXUPT5CuGnlIo4TabDh0FBjR4eayns+GAXF&#10;/e36zrI4fWXjcdjnOA2reK/U7GXafYDwNPl/8Z/7U4f5ywR+nw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r8IMMAAADcAAAADwAAAAAAAAAAAAAAAACYAgAAZHJzL2Rv&#10;d25yZXYueG1sUEsFBgAAAAAEAAQA9QAAAIgDAAAAAA==&#10;" path="m52,105l,52,52,r51,52l52,105xe" fillcolor="#4f81bd" stroked="f">
              <v:path arrowok="t" o:connecttype="custom" o:connectlocs="2147483647,2147483647;0,2147483647;2147483647,0;2147483647,2147483647;2147483647,2147483647" o:connectangles="0,0,0,0,0"/>
            </v:shape>
            <v:shape id="Freeform 112" o:spid="_x0000_s1887" style="position:absolute;left:28025;top:16360;width:643;height:665;visibility:visible;mso-wrap-style:square;v-text-anchor:top" coordsize="16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EwzMIA&#10;AADcAAAADwAAAGRycy9kb3ducmV2LnhtbERPTYvCMBC9L/gfwgheZE1VWLUaxQqCCrqoC3sdmrEt&#10;NpPSRK3/3iwIe5vH+5zZojGluFPtCssK+r0IBHFqdcGZgp/z+nMMwnlkjaVlUvAkB4t562OGsbYP&#10;PtL95DMRQtjFqCD3voqldGlOBl3PVsSBu9jaoA+wzqSu8RHCTSkHUfQlDRYcGnKsaJVTej3djILx&#10;Opkcu7tm/ytxkn1vD8nAnxOlOu1mOQXhqfH/4rd7o8P84Qj+ngkX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TDMwgAAANwAAAAPAAAAAAAAAAAAAAAAAJgCAABkcnMvZG93&#10;bnJldi54bWxQSwUGAAAAAAQABAD1AAAAhwMAAAAA&#10;" path="m86,158v-3,3,-8,3,-11,l3,86c,83,,78,3,75l75,3c78,,83,,86,3r72,72c161,78,161,83,158,86l86,158xm147,75r,11l75,14r11,l14,86r,-11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13" o:spid="_x0000_s1888" style="position:absolute;left:30816;top:17296;width:575;height:598;visibility:visible;mso-wrap-style:square;v-text-anchor:top" coordsize="10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Ni0MQA&#10;AADcAAAADwAAAGRycy9kb3ducmV2LnhtbESPQWvCQBCF7wX/wzKCl6IbLS0SXSVEBA+F0tQfMGbH&#10;JJidDdnVxH/fORR6m+G9ee+b7X50rXpQHxrPBpaLBBRx6W3DlYHzz3G+BhUissXWMxl4UoD9bvKy&#10;xdT6gb/pUcRKSQiHFA3UMXap1qGsyWFY+I5YtKvvHUZZ+0rbHgcJd61eJcmHdtiwNNTYUV5TeSvu&#10;zkBxzl/vh+VXPnyuM8/Zit71hYyZTcdsAyrSGP/Nf9cnK/hvQivPyAR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YtDEAAAA3AAAAA8AAAAAAAAAAAAAAAAAmAIAAGRycy9k&#10;b3ducmV2LnhtbFBLBQYAAAAABAAEAPUAAACJAwAAAAA=&#10;" path="m51,106l,53,51,r51,53l51,106xe" fillcolor="#4f81bd" stroked="f">
              <v:path arrowok="t" o:connecttype="custom" o:connectlocs="2147483647,2147483647;0,2147483647;2147483647,0;2147483647,2147483647;2147483647,2147483647" o:connectangles="0,0,0,0,0"/>
            </v:shape>
            <v:shape id="Freeform 114" o:spid="_x0000_s1889" style="position:absolute;left:30782;top:17262;width:648;height:666;visibility:visible;mso-wrap-style:square;v-text-anchor:top" coordsize="16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hF8MA&#10;AADcAAAADwAAAGRycy9kb3ducmV2LnhtbERPTYvCMBC9C/sfwix4kTVVQbRrFLEKXjyoe9i9Dc1s&#10;U2wmpYla/fVGELzN433ObNHaSlyo8aVjBYN+AoI4d7rkQsHPcfM1AeEDssbKMSm4kYfF/KMzw1S7&#10;K+/pcgiFiCHsU1RgQqhTKX1uyKLvu5o4cv+usRgibAqpG7zGcFvJYZKMpcWSY4PBmlaG8tPhbBVM&#10;9drsj5uS7CDbne6/WdbL/u5KdT/b5TeIQG14i1/urY7zR1N4Ph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fhF8MAAADcAAAADwAAAAAAAAAAAAAAAACYAgAAZHJzL2Rv&#10;d25yZXYueG1sUEsFBgAAAAAEAAQA9QAAAIgDAAAAAA==&#10;" path="m86,158v-3,4,-8,4,-11,l3,86c,83,,78,3,75l75,3c78,,83,,86,3r72,72c161,78,161,83,158,86l86,158xm147,75r,11l75,14r11,l14,86r,-11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15" o:spid="_x0000_s1890" style="position:absolute;left:33578;top:17150;width:575;height:591;visibility:visible;mso-wrap-style:square;v-text-anchor:top" coordsize="10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oTBcMA&#10;AADcAAAADwAAAGRycy9kb3ducmV2LnhtbESPQW/CMAyF75P4D5GRuI0UmDbWERBCIHFDY9vdNKat&#10;aJyoCaXw6+fDpN1svef3Pi9WvWtUR22sPRuYjDNQxIW3NZcGvr92z3NQMSFbbDyTgTtFWC0HTwvM&#10;rb/xJ3XHVCoJ4ZijgSqlkGsdi4ocxrEPxKKdfeswydqW2rZ4k3DX6GmWvWqHNUtDhYE2FRWX49UZ&#10;+Jk9puXuYMMhYPd2moXs3Z23xoyG/foDVKI+/Zv/rvdW8F8EX56RCf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oTBcMAAADcAAAADwAAAAAAAAAAAAAAAACYAgAAZHJzL2Rv&#10;d25yZXYueG1sUEsFBgAAAAAEAAQA9QAAAIgDAAAAAA==&#10;" path="m51,105l,53,51,r51,53l51,105xe" fillcolor="#4f81bd" stroked="f">
              <v:path arrowok="t" o:connecttype="custom" o:connectlocs="2147483647,2147483647;0,2147483647;2147483647,0;2147483647,2147483647;2147483647,2147483647" o:connectangles="0,0,0,0,0"/>
            </v:shape>
            <v:shape id="Freeform 116" o:spid="_x0000_s1891" style="position:absolute;left:33539;top:17110;width:648;height:671;visibility:visible;mso-wrap-style:square;v-text-anchor:top" coordsize="16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eebMQA&#10;AADcAAAADwAAAGRycy9kb3ducmV2LnhtbERPS2vCQBC+F/wPywheSt1ESrGpGxGj4KUHH4f2NmSn&#10;2ZDsbMiuGv313ULB23x8z1ksB9uKC/W+dqwgnSYgiEuna64UnI7blzkIH5A1to5JwY08LPPR0wIz&#10;7a68p8shVCKGsM9QgQmhy6T0pSGLfuo64sj9uN5iiLCvpO7xGsNtK2dJ8iYt1hwbDHa0NlQ2h7NV&#10;8K43Zn/c1mTT4rO5fxXFc/F9V2oyHlYfIAIN4SH+d+90nP+awt8z8QK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HnmzEAAAA3AAAAA8AAAAAAAAAAAAAAAAAmAIAAGRycy9k&#10;b3ducmV2LnhtbFBLBQYAAAAABAAEAPUAAACJAwAAAAA=&#10;" path="m86,159v-3,3,-8,3,-11,l3,87c,84,,79,3,75l75,3c78,,83,,86,3r72,72c161,79,161,84,158,87l86,159xm147,75r,12l75,15r11,l14,87r,-12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17" o:spid="_x0000_s1892" style="position:absolute;left:36336;top:18001;width:580;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eJXsEA&#10;AADcAAAADwAAAGRycy9kb3ducmV2LnhtbERPS4vCMBC+L/gfwgje1lQRV6tRfCB42YNV8Do2Y1ts&#10;JqVJa/33RljY23x8z1muO1OKlmpXWFYwGkYgiFOrC84UXM6H7xkI55E1lpZJwYscrFe9ryXG2j75&#10;RG3iMxFC2MWoIPe+iqV0aU4G3dBWxIG729qgD7DOpK7xGcJNKcdRNJUGCw4NOVa0yyl9JI1RcHv8&#10;XOcsb4ffU7tvtgl2zSzaKjXod5sFCE+d/xf/uY86zJ+M4fNMuE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3iV7BAAAA3AAAAA8AAAAAAAAAAAAAAAAAmAIAAGRycy9kb3du&#10;cmV2LnhtbFBLBQYAAAAABAAEAPUAAACGAwAAAAA=&#10;" path="m52,105l,53,52,r51,53l52,105xe" fillcolor="#4f81bd" stroked="f">
              <v:path arrowok="t" o:connecttype="custom" o:connectlocs="2147483647,2147483647;0,2147483647;2147483647,0;2147483647,2147483647;2147483647,2147483647" o:connectangles="0,0,0,0,0"/>
            </v:shape>
            <v:shape id="Freeform 118" o:spid="_x0000_s1893" style="position:absolute;left:36302;top:17961;width:648;height:671;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k1MUA&#10;AADcAAAADwAAAGRycy9kb3ducmV2LnhtbESPW2sCMRCF3wX/QxihbzWrFdHVKCItLX0pXhAfh824&#10;u7iZbJPspf++KRR8m+GcOd+Z9bY3lWjJ+dKygsk4AUGcWV1yruB8entegPABWWNlmRT8kIftZjhY&#10;Y6ptxwdqjyEXMYR9igqKEOpUSp8VZNCPbU0ctZt1BkNcXS61wy6Gm0pOk2QuDZYcCQXWtC8oux8b&#10;E7nt8vL6/lV5S5/Xa6dn303j5ko9jfrdCkSgPjzM/9cfOtafvcDfM3EC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CTUxQAAANwAAAAPAAAAAAAAAAAAAAAAAJgCAABkcnMv&#10;ZG93bnJldi54bWxQSwUGAAAAAAQABAD1AAAAigMAAAAA&#10;" path="m86,159v-3,3,-8,3,-11,l3,87c,83,,78,3,75l75,3c78,,83,,86,3r72,72c162,78,162,83,158,87l86,159xm147,75r,12l75,15r11,l14,87r,-12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19" o:spid="_x0000_s1894" style="position:absolute;left:39098;top:18717;width:575;height:592;visibility:visible;mso-wrap-style:square;v-text-anchor:top" coordsize="10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EVBsIA&#10;AADcAAAADwAAAGRycy9kb3ducmV2LnhtbERPTWvCQBC9F/wPywje6kYNtY1ZRYqB3qTW3qfZMQlm&#10;Z5fsNon++m6h0Ns83ufku9G0oqfON5YVLOYJCOLS6oYrBeeP4vEZhA/IGlvLpOBGHnbbyUOOmbYD&#10;v1N/CpWIIewzVFCH4DIpfVmTQT+3jjhyF9sZDBF2ldQdDjHctHKZJE/SYMOxoUZHrzWV19O3UfC5&#10;ui+r4qjd0WG//lq55MVcDkrNpuN+AyLQGP7Ff+43HeenKfw+Ey+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YRUGwgAAANwAAAAPAAAAAAAAAAAAAAAAAJgCAABkcnMvZG93&#10;bnJldi54bWxQSwUGAAAAAAQABAD1AAAAhwMAAAAA&#10;" path="m51,105l,52,51,r51,52l51,105xe" fillcolor="#4f81bd" stroked="f">
              <v:path arrowok="t" o:connecttype="custom" o:connectlocs="2147483647,2147483647;0,2147483647;2147483647,0;2147483647,2147483647;2147483647,2147483647" o:connectangles="0,0,0,0,0"/>
            </v:shape>
            <v:shape id="Freeform 120" o:spid="_x0000_s1895" style="position:absolute;left:39058;top:18677;width:654;height:671;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EZO8UA&#10;AADcAAAADwAAAGRycy9kb3ducmV2LnhtbESPT2sCMRDF70K/Q5iCN822qLRbo5SiKF5EW4rHYTPd&#10;XbqZrEn2j9/eCIK3Gd6b93szX/amEi05X1pW8DJOQBBnVpecK/j5Xo/eQPiArLGyTAou5GG5eBrM&#10;MdW24wO1x5CLGMI+RQVFCHUqpc8KMujHtiaO2p91BkNcXS61wy6Gm0q+JslMGiw5Egqs6aug7P/Y&#10;mMht339Xm33lLe1Op05Pzk3jZkoNn/vPDxCB+vAw36+3OtafTOH2TJx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Rk7xQAAANwAAAAPAAAAAAAAAAAAAAAAAJgCAABkcnMv&#10;ZG93bnJldi54bWxQSwUGAAAAAAQABAD1AAAAigMAAAAA&#10;" path="m87,159v-4,3,-9,3,-12,l3,87c,83,,78,3,75l75,3c78,,83,,87,3r72,72c162,78,162,83,159,87l87,159xm147,75r,12l75,15r12,l15,87r,-12l87,147r-12,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21" o:spid="_x0000_s1896" style="position:absolute;left:41855;top:19856;width:581;height:597;visibility:visible;mso-wrap-style:square;v-text-anchor:top" coordsize="1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g48MA&#10;AADcAAAADwAAAGRycy9kb3ducmV2LnhtbERPTWvCQBC9F/oflhF6qxttCDW6ihQDvYjUVrwO2Wmy&#10;NDsbsmuS+utdodDbPN7nrDajbURPnTeOFcymCQji0mnDlYKvz+L5FYQPyBobx6Tglzxs1o8PK8y1&#10;G/iD+mOoRAxhn6OCOoQ2l9KXNVn0U9cSR+7bdRZDhF0ldYdDDLeNnCdJJi0ajg01tvRWU/lzvFgF&#10;2cLN9ydT4KEy27O5enfYvaRKPU3G7RJEoDH8i//c7zrOTzO4PxMv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kg48MAAADcAAAADwAAAAAAAAAAAAAAAACYAgAAZHJzL2Rv&#10;d25yZXYueG1sUEsFBgAAAAAEAAQA9QAAAIgDAAAAAA==&#10;" path="m51,106l,53,51,r52,53l51,106xe" fillcolor="#4f81bd" stroked="f">
              <v:path arrowok="t" o:connecttype="custom" o:connectlocs="2147483647,2147483647;0,2147483647;2147483647,0;2147483647,2147483647;2147483647,2147483647" o:connectangles="0,0,0,0,0"/>
            </v:shape>
            <v:shape id="Freeform 122" o:spid="_x0000_s1897" style="position:absolute;left:41821;top:19822;width:649;height:671;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18UA&#10;AADcAAAADwAAAGRycy9kb3ducmV2LnhtbESPT2sCMRDF70K/Q5hCbzVbEW1XoxRpUbyI2yIeh824&#10;u7iZbJPsn377Rih4m+G9eb83y/VgatGR85VlBS/jBARxbnXFhYLvr8/nVxA+IGusLZOCX/KwXj2M&#10;lphq2/ORuiwUIoawT1FBGUKTSunzkgz6sW2Io3axzmCIqyukdtjHcFPLSZLMpMGKI6HEhjYl5des&#10;NZHbvZ0+tofaW9qfz72e/rStmyn19Di8L0AEGsLd/H+907H+dA63Z+IE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XyLXxQAAANwAAAAPAAAAAAAAAAAAAAAAAJgCAABkcnMv&#10;ZG93bnJldi54bWxQSwUGAAAAAAQABAD1AAAAigMAAAAA&#10;" path="m87,159v-3,3,-8,3,-12,l3,87c,84,,79,3,76l75,4c79,,84,,87,4r72,72c162,79,162,84,159,87l87,159xm147,76r,11l75,15r12,l15,87r,-11l87,148r-12,l147,76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23" o:spid="_x0000_s1898" style="position:absolute;left:44612;top:20814;width:580;height:592;visibility:visible;mso-wrap-style:square;v-text-anchor:top" coordsize="1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UA&#10;AADcAAAADwAAAGRycy9kb3ducmV2LnhtbESPQWvCQBCF7wX/wzJCb3XTUqpN3UhVhF56MApex+w0&#10;CcnOhuwmpv++cyh4m+G9ee+b9WZyrRqpD7VnA8+LBBRx4W3NpYHz6fC0AhUissXWMxn4pQCbbPaw&#10;xtT6Gx9pzGOpJIRDigaqGLtU61BU5DAsfEcs2o/vHUZZ+1LbHm8S7lr9kiRv2mHN0lBhR7uKiiYf&#10;nIFrs7y8s74evo/jftjmOA2rZGvM43z6/AAVaYp38//1lxX8V6GVZ2QC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760xQAAANwAAAAPAAAAAAAAAAAAAAAAAJgCAABkcnMv&#10;ZG93bnJldi54bWxQSwUGAAAAAAQABAD1AAAAigMAAAAA&#10;" path="m52,105l,52,52,r51,52l52,105xe" fillcolor="#4f81bd" stroked="f">
              <v:path arrowok="t" o:connecttype="custom" o:connectlocs="2147483647,2147483647;0,2147483647;2147483647,0;2147483647,2147483647;2147483647,2147483647" o:connectangles="0,0,0,0,0"/>
            </v:shape>
            <v:shape id="Freeform 124" o:spid="_x0000_s1899" style="position:absolute;left:44578;top:20775;width:648;height:670;visibility:visible;mso-wrap-style:square;v-text-anchor:top" coordsize="16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wTPsUA&#10;AADcAAAADwAAAGRycy9kb3ducmV2LnhtbESPT2vCQBDF74V+h2UKvdWNIlKjmyBiaelFaot4HLJj&#10;EszOxt3Nn357t1DwNsN7835v1vloGtGT87VlBdNJAoK4sLrmUsHP99vLKwgfkDU2lknBL3nIs8eH&#10;NabaDvxF/SGUIoawT1FBFUKbSumLigz6iW2Jo3a2zmCIqyuldjjEcNPIWZIspMGaI6HClrYVFZdD&#10;ZyK3Xx537/vGW/o8nQY9v3adWyj1/DRuViACjeFu/r/+0LH+fAl/z8QJ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BM+xQAAANwAAAAPAAAAAAAAAAAAAAAAAJgCAABkcnMv&#10;ZG93bnJldi54bWxQSwUGAAAAAAQABAD1AAAAigMAAAAA&#10;" path="m87,159v-3,3,-8,3,-11,l4,87c,84,,78,4,75l76,3c79,,84,,87,3r72,72c162,78,162,84,159,87l87,159xm148,75r,12l76,15r11,l15,87r,-12l87,147r-11,l148,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25" o:spid="_x0000_s1900" style="position:absolute;left:47374;top:21316;width:575;height:597;visibility:visible;mso-wrap-style:square;v-text-anchor:top" coordsize="10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qLdsQA&#10;AADcAAAADwAAAGRycy9kb3ducmV2LnhtbESPQWvCQBCF7wX/wzJCL0U3CopEVwkRoQehGP0BY3aa&#10;hGZnQ3Y16b/vHITeZnhv3vtmdxhdq57Uh8azgcU8AUVcettwZeB2Pc02oEJEtth6JgO/FOCwn7zt&#10;MLV+4As9i1gpCeGQooE6xi7VOpQ1OQxz3xGL9u17h1HWvtK2x0HCXauXSbLWDhuWhho7ymsqf4qH&#10;M1Dc8o/HcfGVD+dN5jlb0krfyZj36ZhtQUUa47/5df1pBX8l+PKMTK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Ki3bEAAAA3AAAAA8AAAAAAAAAAAAAAAAAmAIAAGRycy9k&#10;b3ducmV2LnhtbFBLBQYAAAAABAAEAPUAAACJAwAAAAA=&#10;" path="m51,106l,53,51,r51,53l51,106xe" fillcolor="#4f81bd" stroked="f">
              <v:path arrowok="t" o:connecttype="custom" o:connectlocs="2147483647,2147483647;0,2147483647;2147483647,0;2147483647,2147483647;2147483647,2147483647" o:connectangles="0,0,0,0,0"/>
            </v:shape>
            <v:shape id="Freeform 126" o:spid="_x0000_s1901" style="position:absolute;left:47340;top:21282;width:648;height:665;visibility:visible;mso-wrap-style:square;v-text-anchor:top" coordsize="16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IscQA&#10;AADcAAAADwAAAGRycy9kb3ducmV2LnhtbERPS2vCQBC+F/wPywheSt1EaLGpGxGj4KUHH4f2NmSn&#10;2ZDsbMiuGv313ULB23x8z1ksB9uKC/W+dqwgnSYgiEuna64UnI7blzkIH5A1to5JwY08LPPR0wIz&#10;7a68p8shVCKGsM9QgQmhy6T0pSGLfuo64sj9uN5iiLCvpO7xGsNtK2dJ8iYt1hwbDHa0NlQ2h7NV&#10;8K43Zn/c1mTT4rO5fxXFc/F9V2oyHlYfIAIN4SH+d+90nP+awt8z8QK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eCLHEAAAA3AAAAA8AAAAAAAAAAAAAAAAAmAIAAGRycy9k&#10;b3ducmV2LnhtbFBLBQYAAAAABAAEAPUAAACJAwAAAAA=&#10;" path="m86,158v-3,4,-8,4,-11,l3,86c,83,,78,3,75l75,3c78,,83,,86,3r72,72c161,78,161,83,158,86l86,158xm147,75r,11l75,14r11,l14,86r,-11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shape id="Freeform 127" o:spid="_x0000_s1902" style="position:absolute;left:50137;top:22004;width:582;height:597;visibility:visible;mso-wrap-style:square;v-text-anchor:top" coordsize="1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wPcMA&#10;AADcAAAADwAAAGRycy9kb3ducmV2LnhtbERPTWvCQBC9F/wPywi91U3TKjZ1IyIVehExKr0O2Wmy&#10;NDsbsmtM++u7guBtHu9zFsvBNqKnzhvHCp4nCQji0mnDlYLjYfM0B+EDssbGMSn4JQ/LfPSwwEy7&#10;C++pL0IlYgj7DBXUIbSZlL6syaKfuJY4ct+usxgi7CqpO7zEcNvINElm0qLh2FBjS+uayp/ibBXM&#10;3ly6PZkN7iqz+jJ/3u0+Xl6VehwPq3cQgYZwF9/cnzrOn6ZwfSZeI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uwPcMAAADcAAAADwAAAAAAAAAAAAAAAACYAgAAZHJzL2Rv&#10;d25yZXYueG1sUEsFBgAAAAAEAAQA9QAAAIgDAAAAAA==&#10;" path="m51,106l,53,51,r52,53l51,106xe" fillcolor="#4f81bd" stroked="f">
              <v:path arrowok="t" o:connecttype="custom" o:connectlocs="2147483647,2147483647;0,2147483647;2147483647,0;2147483647,2147483647;2147483647,2147483647" o:connectangles="0,0,0,0,0"/>
            </v:shape>
            <v:shape id="Freeform 128" o:spid="_x0000_s1903" style="position:absolute;left:50098;top:21975;width:649;height:666;visibility:visible;mso-wrap-style:square;v-text-anchor:top" coordsize="16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xLG8IA&#10;AADcAAAADwAAAGRycy9kb3ducmV2LnhtbERPTYvCMBC9L/gfwgheZE0VV7QaxQqCCrqoC3sdmrEt&#10;NpPSRK3/3iwIe5vH+5zZojGluFPtCssK+r0IBHFqdcGZgp/z+nMMwnlkjaVlUvAkB4t562OGsbYP&#10;PtL95DMRQtjFqCD3voqldGlOBl3PVsSBu9jaoA+wzqSu8RHCTSkHUTSSBgsODTlWtMopvZ5uRsF4&#10;nUyO3V2z/5U4yb63h2Tgz4lSnXaznILw1Ph/8du90WH+1xD+ngkX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bEsbwgAAANwAAAAPAAAAAAAAAAAAAAAAAJgCAABkcnMvZG93&#10;bnJldi54bWxQSwUGAAAAAAQABAD1AAAAhwMAAAAA&#10;" path="m86,158v-3,3,-8,3,-11,l3,86c,83,,78,3,75l75,3c78,,83,,86,3r72,72c161,78,161,83,158,86l86,158xm147,75r,11l75,14r11,l14,86r,-11l86,147r-11,l147,75xe" fillcolor="#4a7ebb" strokecolor="#4a7ebb" strokeweight=".05pt">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
              <o:lock v:ext="edit" verticies="t"/>
            </v:shape>
            <v:rect id="Rectangle 129" o:spid="_x0000_s1904" style="position:absolute;left:2035;top:27889;width:580;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za74A&#10;AADcAAAADwAAAGRycy9kb3ducmV2LnhtbERP24rCMBB9X/Afwgi+ramC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fM2u+AAAA3AAAAA8AAAAAAAAAAAAAAAAAmAIAAGRycy9kb3ducmV2&#10;LnhtbFBLBQYAAAAABAAEAPUAAACDAwAAAAA=&#10;" filled="f" stroked="f">
              <v:textbox style="mso-next-textbox:#Rectangle 129;mso-fit-shape-to-text:t" inset="0,0,0,0">
                <w:txbxContent>
                  <w:p w:rsidR="001F544B" w:rsidRDefault="001F544B" w:rsidP="00573AD5">
                    <w:r>
                      <w:rPr>
                        <w:rFonts w:ascii="Calibri" w:hAnsi="Calibri" w:cs="Calibri"/>
                        <w:color w:val="000000"/>
                      </w:rPr>
                      <w:t>0</w:t>
                    </w:r>
                  </w:p>
                </w:txbxContent>
              </v:textbox>
            </v:rect>
            <v:rect id="Rectangle 130" o:spid="_x0000_s1905" style="position:absolute;left:2035;top:25133;width:580;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tHL4A&#10;AADcAAAADwAAAGRycy9kb3ducmV2LnhtbERP24rCMBB9X/Afwgi+ramC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sNrRy+AAAA3AAAAA8AAAAAAAAAAAAAAAAAmAIAAGRycy9kb3ducmV2&#10;LnhtbFBLBQYAAAAABAAEAPUAAACDAwAAAAA=&#10;" filled="f" stroked="f">
              <v:textbox style="mso-next-textbox:#Rectangle 130;mso-fit-shape-to-text:t" inset="0,0,0,0">
                <w:txbxContent>
                  <w:p w:rsidR="001F544B" w:rsidRDefault="001F544B" w:rsidP="00573AD5">
                    <w:r>
                      <w:rPr>
                        <w:rFonts w:ascii="Calibri" w:hAnsi="Calibri" w:cs="Calibri"/>
                        <w:color w:val="000000"/>
                      </w:rPr>
                      <w:t>2</w:t>
                    </w:r>
                  </w:p>
                </w:txbxContent>
              </v:textbox>
            </v:rect>
            <v:rect id="Rectangle 131" o:spid="_x0000_s1906" style="position:absolute;left:2035;top:22370;width:575;height:13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Ih78A&#10;AADcAAAADwAAAGRycy9kb3ducmV2LnhtbERP24rCMBB9F/yHMIJvmiq4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QQiHvwAAANwAAAAPAAAAAAAAAAAAAAAAAJgCAABkcnMvZG93bnJl&#10;di54bWxQSwUGAAAAAAQABAD1AAAAhAMAAAAA&#10;" filled="f" stroked="f">
              <v:textbox style="mso-next-textbox:#Rectangle 131;mso-fit-shape-to-text:t" inset="0,0,0,0">
                <w:txbxContent>
                  <w:p w:rsidR="001F544B" w:rsidRDefault="001F544B" w:rsidP="00573AD5">
                    <w:r>
                      <w:rPr>
                        <w:rFonts w:ascii="Calibri" w:hAnsi="Calibri" w:cs="Calibri"/>
                        <w:color w:val="000000"/>
                      </w:rPr>
                      <w:t>4</w:t>
                    </w:r>
                  </w:p>
                </w:txbxContent>
              </v:textbox>
            </v:rect>
            <v:rect id="Rectangle 132" o:spid="_x0000_s1907" style="position:absolute;left:2035;top:19602;width:580;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6c9cMA&#10;AADcAAAADwAAAGRycy9kb3ducmV2LnhtbESP3WoCMRCF74W+Q5hC7zRboS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6c9cMAAADcAAAADwAAAAAAAAAAAAAAAACYAgAAZHJzL2Rv&#10;d25yZXYueG1sUEsFBgAAAAAEAAQA9QAAAIgDAAAAAA==&#10;" filled="f" stroked="f">
              <v:textbox style="mso-next-textbox:#Rectangle 132;mso-fit-shape-to-text:t" inset="0,0,0,0">
                <w:txbxContent>
                  <w:p w:rsidR="001F544B" w:rsidRDefault="001F544B" w:rsidP="00573AD5">
                    <w:r>
                      <w:rPr>
                        <w:rFonts w:ascii="Calibri" w:hAnsi="Calibri" w:cs="Calibri"/>
                        <w:color w:val="000000"/>
                      </w:rPr>
                      <w:t>6</w:t>
                    </w:r>
                  </w:p>
                </w:txbxContent>
              </v:textbox>
            </v:rect>
            <v:rect id="Rectangle 133" o:spid="_x0000_s1908" style="position:absolute;left:2035;top:16851;width:580;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5br8A&#10;AADcAAAADwAAAGRycy9kb3ducmV2LnhtbERP24rCMBB9X/Afwgi+ramC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jluvwAAANwAAAAPAAAAAAAAAAAAAAAAAJgCAABkcnMvZG93bnJl&#10;di54bWxQSwUGAAAAAAQABAD1AAAAhAMAAAAA&#10;" filled="f" stroked="f">
              <v:textbox style="mso-next-textbox:#Rectangle 133;mso-fit-shape-to-text:t" inset="0,0,0,0">
                <w:txbxContent>
                  <w:p w:rsidR="001F544B" w:rsidRDefault="001F544B" w:rsidP="00573AD5">
                    <w:r>
                      <w:rPr>
                        <w:rFonts w:ascii="Calibri" w:hAnsi="Calibri" w:cs="Calibri"/>
                        <w:color w:val="000000"/>
                      </w:rPr>
                      <w:t>8</w:t>
                    </w:r>
                  </w:p>
                </w:txbxContent>
              </v:textbox>
            </v:rect>
            <v:rect id="Rectangle 134" o:spid="_x0000_s1909" style="position:absolute;left:1522;top:14088;width:1144;height:13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xsEA&#10;AADcAAAADwAAAGRycy9kb3ducmV2LnhtbESP3YrCMBSE7xd8h3AE79bUgot0jbIsCCreWH2AQ3P6&#10;wyYnJYm2vr0RhL0cZuYbZr0drRF38qFzrGAxz0AQV0533Ci4XnafKxAhIms0jknBgwJsN5OPNRba&#10;DXymexkbkSAcClTQxtgXUoaqJYth7nri5NXOW4xJ+kZqj0OCWyPzLPuSFjtOCy329NtS9VferAJ5&#10;KXfDqjQ+c8e8PpnD/lyTU2o2HX++QUQa43/43d5rBctFDq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TvsbBAAAA3AAAAA8AAAAAAAAAAAAAAAAAmAIAAGRycy9kb3du&#10;cmV2LnhtbFBLBQYAAAAABAAEAPUAAACGAwAAAAA=&#10;" filled="f" stroked="f">
              <v:textbox style="mso-next-textbox:#Rectangle 134;mso-fit-shape-to-text:t" inset="0,0,0,0">
                <w:txbxContent>
                  <w:p w:rsidR="001F544B" w:rsidRDefault="001F544B" w:rsidP="00573AD5">
                    <w:r>
                      <w:rPr>
                        <w:rFonts w:ascii="Calibri" w:hAnsi="Calibri" w:cs="Calibri"/>
                        <w:color w:val="000000"/>
                      </w:rPr>
                      <w:t>10</w:t>
                    </w:r>
                  </w:p>
                </w:txbxContent>
              </v:textbox>
            </v:rect>
            <v:rect id="Rectangle 135" o:spid="_x0000_s1910" style="position:absolute;left:1516;top:11326;width:1167;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sNMIA&#10;AADcAAAADwAAAGRycy9kb3ducmV2LnhtbESPzYoCMRCE74LvEFrwphlF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aw0wgAAANwAAAAPAAAAAAAAAAAAAAAAAJgCAABkcnMvZG93&#10;bnJldi54bWxQSwUGAAAAAAQABAD1AAAAhwMAAAAA&#10;" filled="f" stroked="f">
              <v:textbox style="mso-next-textbox:#Rectangle 135;mso-fit-shape-to-text:t" inset="0,0,0,0">
                <w:txbxContent>
                  <w:p w:rsidR="001F544B" w:rsidRDefault="001F544B" w:rsidP="00573AD5">
                    <w:r>
                      <w:rPr>
                        <w:rFonts w:ascii="Calibri" w:hAnsi="Calibri" w:cs="Calibri"/>
                        <w:color w:val="000000"/>
                      </w:rPr>
                      <w:t>12</w:t>
                    </w:r>
                  </w:p>
                </w:txbxContent>
              </v:textbox>
            </v:rect>
            <v:rect id="Rectangle 136" o:spid="_x0000_s1911" style="position:absolute;left:1516;top:8569;width:1156;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incIA&#10;AADcAAAADwAAAGRycy9kb3ducmV2LnhtbESPzYoCMRCE74LvEFrYm2ZUXGTWKCIIKl4c9wGaSc8P&#10;Jp0hyTqzb78RhD0WVfUVtdkN1ogn+dA6VjCfZSCIS6dbrhV834/TNYgQkTUax6TglwLstuPRBnPt&#10;er7Rs4i1SBAOOSpoYuxyKUPZkMUwcx1x8irnLcYkfS21xz7BrZGLLPuUFltOCw12dGiofBQ/VoG8&#10;F8d+XRifucuiuprz6VaRU+pjMuy/QEQa4n/43T5pBav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9aKdwgAAANwAAAAPAAAAAAAAAAAAAAAAAJgCAABkcnMvZG93&#10;bnJldi54bWxQSwUGAAAAAAQABAD1AAAAhwMAAAAA&#10;" filled="f" stroked="f">
              <v:textbox style="mso-next-textbox:#Rectangle 136;mso-fit-shape-to-text:t" inset="0,0,0,0">
                <w:txbxContent>
                  <w:p w:rsidR="001F544B" w:rsidRDefault="001F544B" w:rsidP="00573AD5">
                    <w:r>
                      <w:rPr>
                        <w:rFonts w:ascii="Calibri" w:hAnsi="Calibri" w:cs="Calibri"/>
                        <w:color w:val="000000"/>
                      </w:rPr>
                      <w:t>14</w:t>
                    </w:r>
                  </w:p>
                </w:txbxContent>
              </v:textbox>
            </v:rect>
            <v:rect id="Rectangle 137" o:spid="_x0000_s1912" style="position:absolute;left:1516;top:5806;width:1156;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66cIA&#10;AADcAAAADwAAAGRycy9kb3ducmV2LnhtbESPzYoCMRCE74LvEFrYm2YUXWTWKCIIKl4c9wGaSc8P&#10;Jp0hyTqzb78RhD0WVfUVtdkN1ogn+dA6VjCfZSCIS6dbrhV834/TNYgQkTUax6TglwLstuPRBnPt&#10;er7Rs4i1SBAOOSpoYuxyKUPZkMUwcx1x8irnLcYkfS21xz7BrZGLLPuUFltOCw12dGiofBQ/VoG8&#10;F8d+XRifucuiuprz6VaRU+pjMuy/QEQa4n/43T5pBav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DrpwgAAANwAAAAPAAAAAAAAAAAAAAAAAJgCAABkcnMvZG93&#10;bnJldi54bWxQSwUGAAAAAAQABAD1AAAAhwMAAAAA&#10;" filled="f" stroked="f">
              <v:textbox style="mso-next-textbox:#Rectangle 137;mso-fit-shape-to-text:t" inset="0,0,0,0">
                <w:txbxContent>
                  <w:p w:rsidR="001F544B" w:rsidRDefault="001F544B" w:rsidP="00573AD5">
                    <w:r>
                      <w:rPr>
                        <w:rFonts w:ascii="Calibri" w:hAnsi="Calibri" w:cs="Calibri"/>
                        <w:color w:val="000000"/>
                      </w:rPr>
                      <w:t>16</w:t>
                    </w:r>
                  </w:p>
                </w:txbxContent>
              </v:textbox>
            </v:rect>
            <v:rect id="Rectangle 138" o:spid="_x0000_s1913" style="position:absolute;left:1522;top:3050;width:1144;height:13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fcsEA&#10;AADcAAAADwAAAGRycy9kb3ducmV2LnhtbESP3YrCMBSE74V9h3CEvdNUoYtUo4gguOKN1Qc4NKc/&#10;mJyUJGu7b28WhL0cZuYbZrMbrRFP8qFzrGAxz0AQV0533Ci4346zFYgQkTUax6TglwLsth+TDRba&#10;DXylZxkbkSAcClTQxtgXUoaqJYth7nri5NXOW4xJ+kZqj0OCWyOXWfYlLXacFlrs6dBS9Sh/rAJ5&#10;K4/DqjQ+c+dlfTHfp2tNTqnP6bhfg4g0xv/wu33SCvI8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Qn3LBAAAA3AAAAA8AAAAAAAAAAAAAAAAAmAIAAGRycy9kb3du&#10;cmV2LnhtbFBLBQYAAAAABAAEAPUAAACGAwAAAAA=&#10;" filled="f" stroked="f">
              <v:textbox style="mso-next-textbox:#Rectangle 138;mso-fit-shape-to-text:t" inset="0,0,0,0">
                <w:txbxContent>
                  <w:p w:rsidR="001F544B" w:rsidRDefault="001F544B" w:rsidP="00573AD5">
                    <w:r>
                      <w:rPr>
                        <w:rFonts w:ascii="Calibri" w:hAnsi="Calibri" w:cs="Calibri"/>
                        <w:color w:val="000000"/>
                      </w:rPr>
                      <w:t>18</w:t>
                    </w:r>
                  </w:p>
                </w:txbxContent>
              </v:textbox>
            </v:rect>
            <v:rect id="Rectangle 139" o:spid="_x0000_s1914" style="position:absolute;left:1516;top:287;width:1156;height:139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BBcEA&#10;AADcAAAADwAAAGRycy9kb3ducmV2LnhtbESPzYoCMRCE7wu+Q2jB25pRUG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CAQXBAAAA3AAAAA8AAAAAAAAAAAAAAAAAmAIAAGRycy9kb3du&#10;cmV2LnhtbFBLBQYAAAAABAAEAPUAAACGAwAAAAA=&#10;" filled="f" stroked="f">
              <v:textbox style="mso-next-textbox:#Rectangle 139;mso-fit-shape-to-text:t" inset="0,0,0,0">
                <w:txbxContent>
                  <w:p w:rsidR="001F544B" w:rsidRDefault="001F544B" w:rsidP="00573AD5">
                    <w:r>
                      <w:rPr>
                        <w:rFonts w:ascii="Calibri" w:hAnsi="Calibri" w:cs="Calibri"/>
                        <w:color w:val="000000"/>
                      </w:rPr>
                      <w:t>20</w:t>
                    </w:r>
                  </w:p>
                </w:txbxContent>
              </v:textbox>
            </v:rect>
            <v:rect id="Rectangle 140" o:spid="_x0000_s1915" style="position:absolute;left:2479;top:29263;width:2318;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6knsIA&#10;AADcAAAADwAAAGRycy9kb3ducmV2LnhtbESPzYoCMRCE74LvEFrwphkFf5g1igiCLl4c9wGaSc8P&#10;Jp0hyTqzb79ZWPBYVNVX1O4wWCNe5EPrWMFinoEgLp1uuVbw9TjPtiBCRNZoHJOCHwpw2I9HO8y1&#10;6/lOryLWIkE45KigibHLpQxlQxbD3HXEyauctxiT9LXUHvsEt0Yus2wtLbacFhrs6NRQ+Sy+rQL5&#10;KM79tjA+c5/L6maul3tFTqnpZDh+gIg0xHf4v33RClarD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zqSewgAAANwAAAAPAAAAAAAAAAAAAAAAAJgCAABkcnMvZG93&#10;bnJldi54bWxQSwUGAAAAAAQABAD1AAAAhwMAAAAA&#10;" filled="f" stroked="f">
              <v:textbox style="mso-next-textbox:#Rectangle 140;mso-fit-shape-to-text:t" inset="0,0,0,0">
                <w:txbxContent>
                  <w:p w:rsidR="001F544B" w:rsidRDefault="001F544B" w:rsidP="00573AD5">
                    <w:r>
                      <w:rPr>
                        <w:rFonts w:ascii="Calibri" w:hAnsi="Calibri" w:cs="Calibri"/>
                        <w:color w:val="000000"/>
                      </w:rPr>
                      <w:t>1995</w:t>
                    </w:r>
                  </w:p>
                </w:txbxContent>
              </v:textbox>
            </v:rect>
            <v:rect id="Rectangle 141" o:spid="_x0000_s1916" style="position:absolute;left:5244;top:29266;width:2319;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2Vd8IA&#10;AADcAAAADwAAAGRycy9kb3ducmV2LnhtbESPzYoCMRCE7wu+Q2jB25pRcHFHo4ggqOzFcR+gmfT8&#10;YNIZkuiMb2+EhT0WVfUVtd4O1ogH+dA6VjCbZiCIS6dbrhX8Xg+fSxAhIms0jknBkwJsN6OPNeba&#10;9XyhRxFrkSAcclTQxNjlUoayIYth6jri5FXOW4xJ+lpqj32CWyPnWfYlLbacFhrsaN9QeSvuVoG8&#10;Fod+WRifufO8+jGn46Uip9RkPOxWICIN8T/81z5qBYvFN7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ZV3wgAAANwAAAAPAAAAAAAAAAAAAAAAAJgCAABkcnMvZG93&#10;bnJldi54bWxQSwUGAAAAAAQABAD1AAAAhwMAAAAA&#10;" filled="f" stroked="f">
              <v:textbox style="mso-next-textbox:#Rectangle 141;mso-fit-shape-to-text:t" inset="0,0,0,0">
                <w:txbxContent>
                  <w:p w:rsidR="001F544B" w:rsidRDefault="001F544B" w:rsidP="00573AD5">
                    <w:r>
                      <w:rPr>
                        <w:rFonts w:ascii="Calibri" w:hAnsi="Calibri" w:cs="Calibri"/>
                        <w:color w:val="000000"/>
                      </w:rPr>
                      <w:t>1996</w:t>
                    </w:r>
                  </w:p>
                </w:txbxContent>
              </v:textbox>
            </v:rect>
            <v:rect id="Rectangle 142" o:spid="_x0000_s1917" style="position:absolute;left:8005;top:29265;width:2317;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2V8AA&#10;AADcAAAADwAAAGRycy9kb3ducmV2LnhtbERPS2rDMBDdF3IHMYHuGjmGBuNGCSUQSEo2sXuAwRp/&#10;qDQykmK7t68WhSwf778/LtaIiXwYHCvYbjIQxI3TA3cKvuvzWwEiRGSNxjEp+KUAx8PqZY+ldjPf&#10;aapiJ1IIhxIV9DGOpZSh6cli2LiROHGt8xZjgr6T2uOcwq2ReZbtpMWBU0OPI516an6qh1Ug6+o8&#10;F5XxmfvK25u5Xu4tOaVe18vnB4hIS3yK/90XreB9l+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v2V8AAAADcAAAADwAAAAAAAAAAAAAAAACYAgAAZHJzL2Rvd25y&#10;ZXYueG1sUEsFBgAAAAAEAAQA9QAAAIUDAAAAAA==&#10;" filled="f" stroked="f">
              <v:textbox style="mso-next-textbox:#Rectangle 142;mso-fit-shape-to-text:t" inset="0,0,0,0">
                <w:txbxContent>
                  <w:p w:rsidR="001F544B" w:rsidRDefault="001F544B" w:rsidP="00573AD5">
                    <w:r>
                      <w:rPr>
                        <w:rFonts w:ascii="Calibri" w:hAnsi="Calibri" w:cs="Calibri"/>
                        <w:color w:val="000000"/>
                      </w:rPr>
                      <w:t>1997</w:t>
                    </w:r>
                  </w:p>
                </w:txbxContent>
              </v:textbox>
            </v:rect>
            <v:rect id="Rectangle 143" o:spid="_x0000_s1918" style="position:absolute;left:10761;top:29263;width:2318;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oIMIA&#10;AADcAAAADwAAAGRycy9kb3ducmV2LnhtbESPzYoCMRCE74LvEFrwphmVF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mWggwgAAANwAAAAPAAAAAAAAAAAAAAAAAJgCAABkcnMvZG93&#10;bnJldi54bWxQSwUGAAAAAAQABAD1AAAAhwMAAAAA&#10;" filled="f" stroked="f">
              <v:textbox style="mso-next-textbox:#Rectangle 143;mso-fit-shape-to-text:t" inset="0,0,0,0">
                <w:txbxContent>
                  <w:p w:rsidR="001F544B" w:rsidRDefault="001F544B" w:rsidP="00573AD5">
                    <w:r>
                      <w:rPr>
                        <w:rFonts w:ascii="Calibri" w:hAnsi="Calibri" w:cs="Calibri"/>
                        <w:color w:val="000000"/>
                      </w:rPr>
                      <w:t>1998</w:t>
                    </w:r>
                  </w:p>
                </w:txbxContent>
              </v:textbox>
            </v:rect>
            <v:rect id="Rectangle 144" o:spid="_x0000_s1919" style="position:absolute;left:13518;top:29265;width:2324;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wVMIA&#10;AADcAAAADwAAAGRycy9kb3ducmV2LnhtbESPzYoCMRCE74LvEFrwphnFF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PBUwgAAANwAAAAPAAAAAAAAAAAAAAAAAJgCAABkcnMvZG93&#10;bnJldi54bWxQSwUGAAAAAAQABAD1AAAAhwMAAAAA&#10;" filled="f" stroked="f">
              <v:textbox style="mso-next-textbox:#Rectangle 144;mso-fit-shape-to-text:t" inset="0,0,0,0">
                <w:txbxContent>
                  <w:p w:rsidR="001F544B" w:rsidRDefault="001F544B" w:rsidP="00573AD5">
                    <w:r>
                      <w:rPr>
                        <w:rFonts w:ascii="Calibri" w:hAnsi="Calibri" w:cs="Calibri"/>
                        <w:color w:val="000000"/>
                      </w:rPr>
                      <w:t>1999</w:t>
                    </w:r>
                  </w:p>
                </w:txbxContent>
              </v:textbox>
            </v:rect>
            <v:rect id="Rectangle 145" o:spid="_x0000_s1920" style="position:absolute;left:16281;top:29265;width:2323;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Vz8EA&#10;AADcAAAADwAAAGRycy9kb3ducmV2LnhtbESPzYoCMRCE7wu+Q2jB25pRUG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8Vc/BAAAA3AAAAA8AAAAAAAAAAAAAAAAAmAIAAGRycy9kb3du&#10;cmV2LnhtbFBLBQYAAAAABAAEAPUAAACGAwAAAAA=&#10;" filled="f" stroked="f">
              <v:textbox style="mso-next-textbox:#Rectangle 145;mso-fit-shape-to-text:t" inset="0,0,0,0">
                <w:txbxContent>
                  <w:p w:rsidR="001F544B" w:rsidRDefault="001F544B" w:rsidP="00573AD5">
                    <w:r>
                      <w:rPr>
                        <w:rFonts w:ascii="Calibri" w:hAnsi="Calibri" w:cs="Calibri"/>
                        <w:color w:val="000000"/>
                      </w:rPr>
                      <w:t>2000</w:t>
                    </w:r>
                  </w:p>
                </w:txbxContent>
              </v:textbox>
            </v:rect>
            <v:rect id="Rectangle 146" o:spid="_x0000_s1921" style="position:absolute;left:19038;top:29265;width:2323;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7LuMEA&#10;AADcAAAADwAAAGRycy9kb3ducmV2LnhtbESP3YrCMBSE7xd8h3AE79ZUw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uy7jBAAAA3AAAAA8AAAAAAAAAAAAAAAAAmAIAAGRycy9kb3du&#10;cmV2LnhtbFBLBQYAAAAABAAEAPUAAACGAwAAAAA=&#10;" filled="f" stroked="f">
              <v:textbox style="mso-next-textbox:#Rectangle 146;mso-fit-shape-to-text:t" inset="0,0,0,0">
                <w:txbxContent>
                  <w:p w:rsidR="001F544B" w:rsidRDefault="001F544B" w:rsidP="00573AD5">
                    <w:r>
                      <w:rPr>
                        <w:rFonts w:ascii="Calibri" w:hAnsi="Calibri" w:cs="Calibri"/>
                        <w:color w:val="000000"/>
                      </w:rPr>
                      <w:t>2001</w:t>
                    </w:r>
                  </w:p>
                </w:txbxContent>
              </v:textbox>
            </v:rect>
            <v:rect id="Rectangle 147" o:spid="_x0000_s1922" style="position:absolute;left:21807;top:29265;width:2322;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uI8IA&#10;AADcAAAADwAAAGRycy9kb3ducmV2LnhtbESPzYoCMRCE74LvEFrYm2YUd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m4jwgAAANwAAAAPAAAAAAAAAAAAAAAAAJgCAABkcnMvZG93&#10;bnJldi54bWxQSwUGAAAAAAQABAD1AAAAhwMAAAAA&#10;" filled="f" stroked="f">
              <v:textbox style="mso-next-textbox:#Rectangle 147;mso-fit-shape-to-text:t" inset="0,0,0,0">
                <w:txbxContent>
                  <w:p w:rsidR="001F544B" w:rsidRDefault="001F544B" w:rsidP="00573AD5">
                    <w:r>
                      <w:rPr>
                        <w:rFonts w:ascii="Calibri" w:hAnsi="Calibri" w:cs="Calibri"/>
                        <w:color w:val="000000"/>
                      </w:rPr>
                      <w:t>2002</w:t>
                    </w:r>
                  </w:p>
                </w:txbxContent>
              </v:textbox>
            </v:rect>
            <v:rect id="Rectangle 148" o:spid="_x0000_s1923" style="position:absolute;left:24558;top:29265;width:2305;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6UcAA&#10;AADcAAAADwAAAGRycy9kb3ducmV2LnhtbERPS2rDMBDdF3IHMYHuGjmGBu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36UcAAAADcAAAADwAAAAAAAAAAAAAAAACYAgAAZHJzL2Rvd25y&#10;ZXYueG1sUEsFBgAAAAAEAAQA9QAAAIUDAAAAAA==&#10;" filled="f" stroked="f">
              <v:textbox style="mso-next-textbox:#Rectangle 148;mso-fit-shape-to-text:t" inset="0,0,0,0">
                <w:txbxContent>
                  <w:p w:rsidR="001F544B" w:rsidRDefault="001F544B" w:rsidP="00573AD5">
                    <w:r>
                      <w:rPr>
                        <w:rFonts w:ascii="Calibri" w:hAnsi="Calibri" w:cs="Calibri"/>
                        <w:color w:val="000000"/>
                      </w:rPr>
                      <w:t>2003</w:t>
                    </w:r>
                  </w:p>
                </w:txbxContent>
              </v:textbox>
            </v:rect>
            <v:rect id="Rectangle 149" o:spid="_x0000_s1924" style="position:absolute;left:27325;top:29265;width:2324;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fysIA&#10;AADcAAAADwAAAGRycy9kb3ducmV2LnhtbESPzYoCMRCE74LvEFrwphkFxR2NIoKgy14c9wGaSc8P&#10;Jp0hic749puFhT0WVfUVtTsM1ogX+dA6VrCYZyCIS6dbrhV838+zDYgQkTUax6TgTQEO+/Foh7l2&#10;Pd/oVcRaJAiHHBU0MXa5lKFsyGKYu444eZXzFmOSvpbaY5/g1shllq2lxZbTQoMdnRoqH8XTKpD3&#10;4txvCuMz97msvsz1cqvIKTWdDMctiEhD/A//tS9awWr9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KwgAAANwAAAAPAAAAAAAAAAAAAAAAAJgCAABkcnMvZG93&#10;bnJldi54bWxQSwUGAAAAAAQABAD1AAAAhwMAAAAA&#10;" filled="f" stroked="f">
              <v:textbox style="mso-next-textbox:#Rectangle 149;mso-fit-shape-to-text:t" inset="0,0,0,0">
                <w:txbxContent>
                  <w:p w:rsidR="001F544B" w:rsidRDefault="001F544B" w:rsidP="00573AD5">
                    <w:r>
                      <w:rPr>
                        <w:rFonts w:ascii="Calibri" w:hAnsi="Calibri" w:cs="Calibri"/>
                        <w:color w:val="000000"/>
                      </w:rPr>
                      <w:t>2004</w:t>
                    </w:r>
                  </w:p>
                </w:txbxContent>
              </v:textbox>
            </v:rect>
            <v:rect id="Rectangle 150" o:spid="_x0000_s1925" style="position:absolute;left:30069;top:29260;width:2318;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gir8A&#10;AADcAAAADwAAAGRycy9kb3ducmV2LnhtbERPy4rCMBTdC/MP4Q7MTtMRfFCNIgOCDm5s/YBLc/vA&#10;5KYk0da/nywGXB7Oe7sfrRFP8qFzrOB7loEgrpzuuFFwK4/TNYgQkTUax6TgRQH2u4/JFnPtBr7S&#10;s4iNSCEcclTQxtjnUoaqJYth5nrixNXOW4wJ+kZqj0MKt0bOs2wpLXacGlrs6ael6l48rAJZFsdh&#10;XRifud95fTHn07Ump9TX53jYgIg0xrf4333SCharND+dSUd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kmCKvwAAANwAAAAPAAAAAAAAAAAAAAAAAJgCAABkcnMvZG93bnJl&#10;di54bWxQSwUGAAAAAAQABAD1AAAAhAMAAAAA&#10;" filled="f" stroked="f">
              <v:textbox style="mso-next-textbox:#Rectangle 150;mso-fit-shape-to-text:t" inset="0,0,0,0">
                <w:txbxContent>
                  <w:p w:rsidR="001F544B" w:rsidRDefault="001F544B" w:rsidP="00573AD5">
                    <w:r>
                      <w:rPr>
                        <w:rFonts w:ascii="Calibri" w:hAnsi="Calibri" w:cs="Calibri"/>
                        <w:color w:val="000000"/>
                      </w:rPr>
                      <w:t>2005</w:t>
                    </w:r>
                  </w:p>
                </w:txbxContent>
              </v:textbox>
            </v:rect>
            <v:rect id="Rectangle 151" o:spid="_x0000_s1926" style="position:absolute;left:32845;top:29265;width:2318;height:139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7FEcIA&#10;AADcAAAADwAAAGRycy9kb3ducmV2LnhtbESPzYoCMRCE74LvEFrwphkFXR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3sURwgAAANwAAAAPAAAAAAAAAAAAAAAAAJgCAABkcnMvZG93&#10;bnJldi54bWxQSwUGAAAAAAQABAD1AAAAhwMAAAAA&#10;" filled="f" stroked="f">
              <v:textbox style="mso-next-textbox:#Rectangle 151;mso-fit-shape-to-text:t" inset="0,0,0,0">
                <w:txbxContent>
                  <w:p w:rsidR="001F544B" w:rsidRDefault="001F544B" w:rsidP="00573AD5">
                    <w:r>
                      <w:rPr>
                        <w:rFonts w:ascii="Calibri" w:hAnsi="Calibri" w:cs="Calibri"/>
                        <w:color w:val="000000"/>
                      </w:rPr>
                      <w:t>2006</w:t>
                    </w:r>
                  </w:p>
                </w:txbxContent>
              </v:textbox>
            </v:rect>
            <v:rect id="Rectangle 152" o:spid="_x0000_s1927" style="position:absolute;left:35597;top:29265;width:2306;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bZsIA&#10;AADcAAAADwAAAGRycy9kb3ducmV2LnhtbESP3WoCMRSE7wXfIRzBO826YC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DFtmwgAAANwAAAAPAAAAAAAAAAAAAAAAAJgCAABkcnMvZG93&#10;bnJldi54bWxQSwUGAAAAAAQABAD1AAAAhwMAAAAA&#10;" filled="f" stroked="f">
              <v:textbox style="mso-next-textbox:#Rectangle 152;mso-fit-shape-to-text:t" inset="0,0,0,0">
                <w:txbxContent>
                  <w:p w:rsidR="001F544B" w:rsidRDefault="001F544B" w:rsidP="00573AD5">
                    <w:r>
                      <w:rPr>
                        <w:rFonts w:ascii="Calibri" w:hAnsi="Calibri" w:cs="Calibri"/>
                        <w:color w:val="000000"/>
                      </w:rPr>
                      <w:t>2007</w:t>
                    </w:r>
                  </w:p>
                </w:txbxContent>
              </v:textbox>
            </v:rect>
            <v:rect id="Rectangle 153" o:spid="_x0000_s1928" style="position:absolute;left:38359;top:29265;width:2306;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D+/cIA&#10;AADcAAAADwAAAGRycy9kb3ducmV2LnhtbESP3WoCMRSE7wu+QziCdzWrUp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P79wgAAANwAAAAPAAAAAAAAAAAAAAAAAJgCAABkcnMvZG93&#10;bnJldi54bWxQSwUGAAAAAAQABAD1AAAAhwMAAAAA&#10;" filled="f" stroked="f">
              <v:textbox style="mso-next-textbox:#Rectangle 153;mso-fit-shape-to-text:t" inset="0,0,0,0">
                <w:txbxContent>
                  <w:p w:rsidR="001F544B" w:rsidRDefault="001F544B" w:rsidP="00573AD5">
                    <w:r>
                      <w:rPr>
                        <w:rFonts w:ascii="Calibri" w:hAnsi="Calibri" w:cs="Calibri"/>
                        <w:color w:val="000000"/>
                      </w:rPr>
                      <w:t>2008</w:t>
                    </w:r>
                  </w:p>
                </w:txbxContent>
              </v:textbox>
            </v:rect>
            <v:rect id="Rectangle 154" o:spid="_x0000_s1929" style="position:absolute;left:41113;top:29263;width:2318;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micIA&#10;AADcAAAADwAAAGRycy9kb3ducmV2LnhtbESP3WoCMRSE7wu+QziCdzWrWJ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WaJwgAAANwAAAAPAAAAAAAAAAAAAAAAAJgCAABkcnMvZG93&#10;bnJldi54bWxQSwUGAAAAAAQABAD1AAAAhwMAAAAA&#10;" filled="f" stroked="f">
              <v:textbox style="mso-next-textbox:#Rectangle 154;mso-fit-shape-to-text:t" inset="0,0,0,0">
                <w:txbxContent>
                  <w:p w:rsidR="001F544B" w:rsidRDefault="001F544B" w:rsidP="00573AD5">
                    <w:r>
                      <w:rPr>
                        <w:rFonts w:ascii="Calibri" w:hAnsi="Calibri" w:cs="Calibri"/>
                        <w:color w:val="000000"/>
                      </w:rPr>
                      <w:t>2009</w:t>
                    </w:r>
                  </w:p>
                </w:txbxContent>
              </v:textbox>
            </v:rect>
            <v:rect id="Rectangle 155" o:spid="_x0000_s1930" style="position:absolute;left:43869;top:29263;width:2318;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EsIA&#10;AADcAAAADwAAAGRycy9kb3ducmV2LnhtbESPzYoCMRCE74LvEFrwphkFf5g1igiCLl4c9wGaSc8P&#10;Jp0hyTqzb79ZWPBYVNVX1O4wWCNe5EPrWMFinoEgLp1uuVbw9TjPtiBCRNZoHJOCHwpw2I9HO8y1&#10;6/lOryLWIkE45KigibHLpQxlQxbD3HXEyauctxiT9LXUHvsEt0Yus2wtLbacFhrs6NRQ+Sy+rQL5&#10;KM79tjA+c5/L6maul3tFTqnpZDh+gIg0xHf4v33RClab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5cMSwgAAANwAAAAPAAAAAAAAAAAAAAAAAJgCAABkcnMvZG93&#10;bnJldi54bWxQSwUGAAAAAAQABAD1AAAAhwMAAAAA&#10;" filled="f" stroked="f">
              <v:textbox style="mso-next-textbox:#Rectangle 155;mso-fit-shape-to-text:t" inset="0,0,0,0">
                <w:txbxContent>
                  <w:p w:rsidR="001F544B" w:rsidRDefault="001F544B" w:rsidP="00573AD5">
                    <w:r>
                      <w:rPr>
                        <w:rFonts w:ascii="Calibri" w:hAnsi="Calibri" w:cs="Calibri"/>
                        <w:color w:val="000000"/>
                      </w:rPr>
                      <w:t>2010</w:t>
                    </w:r>
                  </w:p>
                </w:txbxContent>
              </v:textbox>
            </v:rect>
            <v:rect id="Rectangle 156" o:spid="_x0000_s1931" style="position:absolute;left:46632;top:29263;width:2318;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dZcIA&#10;AADcAAAADwAAAGRycy9kb3ducmV2LnhtbESPzYoCMRCE74LvEFrYm2YUdG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11lwgAAANwAAAAPAAAAAAAAAAAAAAAAAJgCAABkcnMvZG93&#10;bnJldi54bWxQSwUGAAAAAAQABAD1AAAAhwMAAAAA&#10;" filled="f" stroked="f">
              <v:textbox style="mso-next-textbox:#Rectangle 156;mso-fit-shape-to-text:t" inset="0,0,0,0">
                <w:txbxContent>
                  <w:p w:rsidR="001F544B" w:rsidRDefault="001F544B" w:rsidP="00573AD5">
                    <w:r>
                      <w:rPr>
                        <w:rFonts w:ascii="Calibri" w:hAnsi="Calibri" w:cs="Calibri"/>
                        <w:color w:val="000000"/>
                      </w:rPr>
                      <w:t>2011</w:t>
                    </w:r>
                  </w:p>
                </w:txbxContent>
              </v:textbox>
            </v:rect>
            <v:rect id="Rectangle 157" o:spid="_x0000_s1932" style="position:absolute;left:49399;top:29265;width:2306;height:138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4/sIA&#10;AADcAAAADwAAAGRycy9kb3ducmV2LnhtbESPzYoCMRCE74LvEFrwphkFV5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j+wgAAANwAAAAPAAAAAAAAAAAAAAAAAJgCAABkcnMvZG93&#10;bnJldi54bWxQSwUGAAAAAAQABAD1AAAAhwMAAAAA&#10;" filled="f" stroked="f">
              <v:textbox style="mso-next-textbox:#Rectangle 157;mso-fit-shape-to-text:t" inset="0,0,0,0">
                <w:txbxContent>
                  <w:p w:rsidR="001F544B" w:rsidRDefault="001F544B" w:rsidP="00573AD5">
                    <w:r>
                      <w:rPr>
                        <w:rFonts w:ascii="Calibri" w:hAnsi="Calibri" w:cs="Calibri"/>
                        <w:color w:val="000000"/>
                      </w:rPr>
                      <w:t>2012</w:t>
                    </w:r>
                  </w:p>
                </w:txbxContent>
              </v:textbox>
            </v:rect>
            <w10:wrap type="none"/>
            <w10:anchorlock/>
          </v:group>
        </w:pict>
      </w:r>
    </w:p>
    <w:p w:rsidR="00573AD5" w:rsidRPr="0076579A" w:rsidRDefault="00573AD5" w:rsidP="0030066D">
      <w:pPr>
        <w:spacing w:after="60"/>
        <w:ind w:left="567"/>
        <w:rPr>
          <w:rFonts w:cs="Arial"/>
          <w:b/>
          <w:sz w:val="20"/>
          <w:szCs w:val="20"/>
          <w:lang w:val="ro-RO"/>
        </w:rPr>
      </w:pPr>
      <w:r>
        <w:rPr>
          <w:rFonts w:cs="Arial"/>
          <w:b/>
          <w:sz w:val="20"/>
          <w:szCs w:val="20"/>
          <w:lang w:val="ro-RO"/>
        </w:rPr>
        <w:t>Figura 5.</w:t>
      </w:r>
      <w:r w:rsidRPr="0076579A">
        <w:rPr>
          <w:rFonts w:cs="Arial"/>
          <w:b/>
          <w:sz w:val="20"/>
          <w:szCs w:val="20"/>
          <w:lang w:val="ro-RO"/>
        </w:rPr>
        <w:t>1 Numărul anual de călătorii cu trenul în România (2004-2012)</w:t>
      </w:r>
    </w:p>
    <w:p w:rsidR="00573AD5" w:rsidRPr="00AE1AD4" w:rsidRDefault="00573AD5" w:rsidP="00AE1AD4">
      <w:pPr>
        <w:ind w:left="851"/>
        <w:rPr>
          <w:i/>
          <w:lang w:val="ro-RO"/>
        </w:rPr>
      </w:pPr>
      <w:r w:rsidRPr="00AE1AD4">
        <w:rPr>
          <w:i/>
          <w:lang w:val="ro-RO"/>
        </w:rPr>
        <w:t xml:space="preserve">Sursa: Analiza datelor CFR Călători realizată de AECOM </w:t>
      </w:r>
    </w:p>
    <w:p w:rsidR="00573AD5" w:rsidRPr="0076579A" w:rsidRDefault="00573AD5" w:rsidP="002B7E09">
      <w:pPr>
        <w:pStyle w:val="NumberedParas"/>
      </w:pPr>
      <w:r w:rsidRPr="0076579A">
        <w:t xml:space="preserve">Cererea pentru transportul feroviar din România, măsurată în kilometrii parcurși per </w:t>
      </w:r>
      <w:r>
        <w:t>pasager</w:t>
      </w:r>
      <w:r w:rsidRPr="0076579A">
        <w:t xml:space="preserve">, este de două-trei ori mai mică în comparație cu alte țări. Media UE-27 este de 650km per </w:t>
      </w:r>
      <w:r>
        <w:t>pasager</w:t>
      </w:r>
      <w:r w:rsidRPr="0076579A">
        <w:t xml:space="preserve"> pe an, în timp ce indicatorul echivalent pentru România este cu 66% mai mic decât această valoare. S-a efectuat, de asemenea, o analiză comparativă a raportului de kilometri parcurși per </w:t>
      </w:r>
      <w:r>
        <w:t>pasager</w:t>
      </w:r>
      <w:r w:rsidRPr="0076579A">
        <w:t xml:space="preserve"> în România față de alte state membre UE</w:t>
      </w:r>
      <w:r w:rsidRPr="0076579A">
        <w:rPr>
          <w:bCs/>
        </w:rPr>
        <w:t xml:space="preserve">. Proporția corepunzătoare României (239 </w:t>
      </w:r>
      <w:r>
        <w:rPr>
          <w:bCs/>
        </w:rPr>
        <w:t>pasageri-km</w:t>
      </w:r>
      <w:r w:rsidRPr="0076579A">
        <w:rPr>
          <w:bCs/>
        </w:rPr>
        <w:t xml:space="preserve">/ </w:t>
      </w:r>
      <w:r>
        <w:rPr>
          <w:bCs/>
        </w:rPr>
        <w:t>pasager</w:t>
      </w:r>
      <w:r w:rsidRPr="0076579A">
        <w:rPr>
          <w:bCs/>
        </w:rPr>
        <w:t xml:space="preserve">) este mai mică decât în alte țări din Uniunea Europeană, exceptând Estonia (172), Grecia (118), și Lituania (34). După cum poate fi observat în </w:t>
      </w:r>
      <w:r>
        <w:rPr>
          <w:bCs/>
        </w:rPr>
        <w:t>Figura 5.</w:t>
      </w:r>
      <w:r w:rsidRPr="0076579A">
        <w:rPr>
          <w:bCs/>
        </w:rPr>
        <w:t>2, rezultatele obținute pentru România sunt mai mici decât cele corespunzătoare Bulgariei (270 pasageri-km / persoană) sau Ungariei (731). Comparativ cu țările care dispun de o capacitate similară a rețelei feroviare pe cap de locuitor</w:t>
      </w:r>
      <w:r w:rsidRPr="0076579A">
        <w:t>, rata de utilizare a căii</w:t>
      </w:r>
      <w:r>
        <w:t xml:space="preserve"> ferate din România este scăzută.</w:t>
      </w:r>
    </w:p>
    <w:p w:rsidR="00573AD5" w:rsidRPr="0076579A" w:rsidRDefault="00573AD5" w:rsidP="0030066D">
      <w:pPr>
        <w:rPr>
          <w:rFonts w:cs="Arial"/>
          <w:b/>
          <w:sz w:val="20"/>
          <w:szCs w:val="20"/>
          <w:lang w:val="ro-RO"/>
        </w:rPr>
      </w:pPr>
      <w:r w:rsidRPr="0076579A">
        <w:rPr>
          <w:rFonts w:cs="Arial"/>
          <w:b/>
          <w:sz w:val="20"/>
          <w:szCs w:val="20"/>
          <w:lang w:val="ro-RO"/>
        </w:rPr>
        <w:br w:type="page"/>
      </w:r>
    </w:p>
    <w:p w:rsidR="00573AD5" w:rsidRPr="0076579A" w:rsidRDefault="00573AD5" w:rsidP="0030066D">
      <w:pPr>
        <w:spacing w:after="60"/>
        <w:ind w:left="567"/>
        <w:rPr>
          <w:rFonts w:cs="Arial"/>
          <w:b/>
          <w:sz w:val="20"/>
          <w:szCs w:val="20"/>
          <w:lang w:val="ro-RO"/>
        </w:rPr>
      </w:pPr>
    </w:p>
    <w:p w:rsidR="00573AD5" w:rsidRPr="0076579A" w:rsidRDefault="00573AD5" w:rsidP="0030066D">
      <w:pPr>
        <w:spacing w:after="60"/>
        <w:ind w:left="567"/>
        <w:rPr>
          <w:lang w:val="ro-RO"/>
        </w:rPr>
      </w:pPr>
      <w:r w:rsidRPr="0076579A">
        <w:rPr>
          <w:noProof/>
          <w:lang w:val="ro-RO" w:eastAsia="ro-RO"/>
        </w:rPr>
        <w:drawing>
          <wp:inline distT="0" distB="0" distL="0" distR="0">
            <wp:extent cx="5472000" cy="3593326"/>
            <wp:effectExtent l="19050" t="0" r="0" b="0"/>
            <wp:docPr id="9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472000" cy="3593326"/>
                    </a:xfrm>
                    <a:prstGeom prst="rect">
                      <a:avLst/>
                    </a:prstGeom>
                    <a:noFill/>
                  </pic:spPr>
                </pic:pic>
              </a:graphicData>
            </a:graphic>
          </wp:inline>
        </w:drawing>
      </w:r>
    </w:p>
    <w:p w:rsidR="00573AD5" w:rsidRDefault="00573AD5" w:rsidP="0030066D">
      <w:pPr>
        <w:spacing w:after="60"/>
        <w:ind w:left="567"/>
        <w:rPr>
          <w:sz w:val="16"/>
          <w:szCs w:val="16"/>
          <w:lang w:val="ro-RO"/>
        </w:rPr>
      </w:pPr>
      <w:r>
        <w:rPr>
          <w:rFonts w:cs="Arial"/>
          <w:b/>
          <w:sz w:val="20"/>
          <w:szCs w:val="20"/>
          <w:lang w:val="ro-RO"/>
        </w:rPr>
        <w:t>Figura 5.</w:t>
      </w:r>
      <w:r w:rsidRPr="0076579A">
        <w:rPr>
          <w:rFonts w:cs="Arial"/>
          <w:b/>
          <w:sz w:val="20"/>
          <w:szCs w:val="20"/>
          <w:lang w:val="ro-RO"/>
        </w:rPr>
        <w:t xml:space="preserve">2: Comparație a numărului total de </w:t>
      </w:r>
      <w:r>
        <w:rPr>
          <w:rFonts w:cs="Arial"/>
          <w:b/>
          <w:sz w:val="20"/>
          <w:szCs w:val="20"/>
          <w:lang w:val="ro-RO"/>
        </w:rPr>
        <w:t>pasageri-km</w:t>
      </w:r>
      <w:r w:rsidRPr="0076579A">
        <w:rPr>
          <w:rFonts w:cs="Arial"/>
          <w:b/>
          <w:sz w:val="20"/>
          <w:szCs w:val="20"/>
          <w:lang w:val="ro-RO"/>
        </w:rPr>
        <w:t>-  România versus alte țări din UE</w:t>
      </w:r>
    </w:p>
    <w:p w:rsidR="00573AD5" w:rsidRPr="00AE1AD4" w:rsidRDefault="00573AD5" w:rsidP="00AE1AD4">
      <w:pPr>
        <w:ind w:left="851"/>
        <w:rPr>
          <w:i/>
          <w:lang w:val="ro-RO"/>
        </w:rPr>
      </w:pPr>
      <w:r w:rsidRPr="00AE1AD4">
        <w:rPr>
          <w:i/>
          <w:lang w:val="ro-RO"/>
        </w:rPr>
        <w:t xml:space="preserve">Sursa: </w:t>
      </w:r>
      <w:hyperlink r:id="rId172" w:history="1">
        <w:r w:rsidRPr="00AE1AD4">
          <w:rPr>
            <w:i/>
          </w:rPr>
          <w:t>http://ec.europa.eu/transport/facts-fundings/statistics/pocketbook-2013_en.htm</w:t>
        </w:r>
      </w:hyperlink>
    </w:p>
    <w:p w:rsidR="00573AD5" w:rsidRDefault="00573AD5" w:rsidP="002B7E09">
      <w:pPr>
        <w:pStyle w:val="NumberedParas"/>
      </w:pPr>
      <w:r>
        <w:t>Figura 5.3 prezintă magnitudinea procesului de reducere a rețelelor desfîșurat în perioada 1970 – 2011 în majoritatea țărilor UE, cu o reducere medie de 13% pe tot cuprinsul Uniunii Europene, inclusiv Germania (-23%), Belgia (-23%), Franța (-18), Marea Britanie (-17%), Polonia (-26%) și Portugalia (-22%)</w:t>
      </w:r>
      <w:r>
        <w:rPr>
          <w:rStyle w:val="FootnoteReference"/>
        </w:rPr>
        <w:footnoteReference w:id="25"/>
      </w:r>
      <w:r>
        <w:t>. S-au mai înregistrat reduceri substanțiale înainte de 1970, în țări precum Irlanda (-60%), Marea Britanie (-36%), Suedia (-28%), reduceri semnificative înregistrându-se și în Franța sau Germania (aproximativ -10%). În general, se poate concluziona trage concluzia că reducerile  de aproximativ 30% sau mai mult sunt destul de comune în Europa, în această perioadă de 30 de ani inclusiv în unele dintre cele mai bogate state membre, cum ar fi Germania, Franța și Marea Britanie. În comparație cu acestea, reducerile operate în România până în 2011 (-5% din 1990 sau -2% din 1970) sunt nesemnificative.</w:t>
      </w:r>
    </w:p>
    <w:p w:rsidR="00573AD5" w:rsidRDefault="00573AD5" w:rsidP="002B7E09">
      <w:pPr>
        <w:pStyle w:val="NumberedParas"/>
        <w:numPr>
          <w:ilvl w:val="0"/>
          <w:numId w:val="0"/>
        </w:numPr>
        <w:ind w:left="851"/>
      </w:pPr>
      <w:r w:rsidRPr="00944029">
        <w:rPr>
          <w:noProof/>
          <w:lang w:eastAsia="ro-RO"/>
        </w:rPr>
        <w:lastRenderedPageBreak/>
        <w:drawing>
          <wp:inline distT="0" distB="0" distL="0" distR="0">
            <wp:extent cx="4703614" cy="3625702"/>
            <wp:effectExtent l="0" t="0" r="1905" b="0"/>
            <wp:docPr id="931"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707033" cy="3628338"/>
                    </a:xfrm>
                    <a:prstGeom prst="rect">
                      <a:avLst/>
                    </a:prstGeom>
                    <a:noFill/>
                  </pic:spPr>
                </pic:pic>
              </a:graphicData>
            </a:graphic>
          </wp:inline>
        </w:drawing>
      </w:r>
    </w:p>
    <w:p w:rsidR="00573AD5" w:rsidRDefault="00573AD5" w:rsidP="002B7E09">
      <w:pPr>
        <w:pStyle w:val="NumberedParas"/>
        <w:numPr>
          <w:ilvl w:val="0"/>
          <w:numId w:val="0"/>
        </w:numPr>
        <w:ind w:left="851"/>
      </w:pPr>
      <w:r>
        <w:t>Figura 5.</w:t>
      </w:r>
      <w:r w:rsidRPr="002867A1">
        <w:t>3: Reduceri ale rețelelor feroviare (1970 -2011)</w:t>
      </w:r>
    </w:p>
    <w:p w:rsidR="00573AD5" w:rsidRPr="00AE1AD4" w:rsidRDefault="00573AD5" w:rsidP="00AE1AD4">
      <w:pPr>
        <w:ind w:left="851"/>
        <w:rPr>
          <w:i/>
          <w:lang w:val="ro-RO"/>
        </w:rPr>
      </w:pPr>
      <w:r w:rsidRPr="00AE1AD4">
        <w:rPr>
          <w:i/>
          <w:lang w:val="ro-RO"/>
        </w:rPr>
        <w:t xml:space="preserve">Sursa: Eurostat </w:t>
      </w:r>
    </w:p>
    <w:p w:rsidR="00573AD5" w:rsidRPr="0076579A" w:rsidRDefault="00573AD5" w:rsidP="0030066D">
      <w:pPr>
        <w:pStyle w:val="Hdg3"/>
      </w:pPr>
      <w:r w:rsidRPr="0076579A">
        <w:t xml:space="preserve">Statistici generale privind ponderea modală </w:t>
      </w:r>
    </w:p>
    <w:p w:rsidR="00573AD5" w:rsidRPr="0076579A" w:rsidRDefault="00573AD5" w:rsidP="002B7E09">
      <w:pPr>
        <w:pStyle w:val="NumberedParas"/>
      </w:pPr>
      <w:r w:rsidRPr="0076579A">
        <w:t xml:space="preserve">În </w:t>
      </w:r>
      <w:r>
        <w:t>Tabelul 5.</w:t>
      </w:r>
      <w:r w:rsidRPr="0076579A">
        <w:t xml:space="preserve">1 sunt ilustrate schimbările înregistrate între anii 2004 și 2012 în ceea ce privește numărul de călătorii cu transportul feroviar, rutier și cu alte moduri de transport. Datele furnizate de CFR Călători indică faptul că ponderea aferentă transportului feroviar a scăzut de la aproximativ o treime în 2004 la aproximativ o șesime până în anul 2012. În același interval de timp procentajul de călătorii cu transportul rutier a crescut cu peste 10%, restul numărului de călătorii fiind reprezentat de transportul aerian intern. </w:t>
      </w:r>
    </w:p>
    <w:p w:rsidR="00573AD5" w:rsidRPr="0076579A" w:rsidRDefault="00573AD5" w:rsidP="0030066D">
      <w:pPr>
        <w:spacing w:after="60"/>
        <w:rPr>
          <w:rFonts w:cs="Arial"/>
          <w:b/>
          <w:sz w:val="20"/>
          <w:szCs w:val="20"/>
          <w:lang w:val="ro-RO"/>
        </w:rPr>
      </w:pPr>
      <w:r>
        <w:rPr>
          <w:rFonts w:cs="Arial"/>
          <w:b/>
          <w:sz w:val="20"/>
          <w:szCs w:val="20"/>
          <w:lang w:val="ro-RO"/>
        </w:rPr>
        <w:t>Tabelul 5.</w:t>
      </w:r>
      <w:r w:rsidRPr="0076579A">
        <w:rPr>
          <w:rFonts w:cs="Arial"/>
          <w:b/>
          <w:sz w:val="20"/>
          <w:szCs w:val="20"/>
          <w:lang w:val="ro-RO"/>
        </w:rPr>
        <w:t>1: Comparație a ponderei modale dintre transportul feroviar și rutier – 2004 - 2012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1046"/>
        <w:gridCol w:w="1047"/>
        <w:gridCol w:w="1047"/>
        <w:gridCol w:w="1047"/>
        <w:gridCol w:w="1047"/>
        <w:gridCol w:w="1047"/>
        <w:gridCol w:w="1047"/>
        <w:gridCol w:w="1047"/>
        <w:gridCol w:w="1047"/>
      </w:tblGrid>
      <w:tr w:rsidR="00573AD5" w:rsidRPr="00E01273" w:rsidTr="0030066D">
        <w:tc>
          <w:tcPr>
            <w:tcW w:w="500" w:type="pct"/>
            <w:shd w:val="clear" w:color="auto" w:fill="C6D9F1"/>
          </w:tcPr>
          <w:p w:rsidR="00573AD5" w:rsidRPr="00E01273" w:rsidRDefault="00573AD5" w:rsidP="00573AD5">
            <w:pPr>
              <w:rPr>
                <w:rFonts w:cs="Arial"/>
                <w:b/>
                <w:sz w:val="22"/>
                <w:szCs w:val="22"/>
                <w:lang w:val="ro-RO"/>
              </w:rPr>
            </w:pP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2004</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2005</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2006</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2007</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2008</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2009</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2010</w:t>
            </w:r>
          </w:p>
        </w:tc>
        <w:tc>
          <w:tcPr>
            <w:tcW w:w="500" w:type="pct"/>
            <w:shd w:val="clear" w:color="auto" w:fill="B8CCE4" w:themeFill="accent1" w:themeFillTint="66"/>
          </w:tcPr>
          <w:p w:rsidR="00573AD5" w:rsidRPr="00E01273" w:rsidRDefault="00573AD5" w:rsidP="00573AD5">
            <w:pPr>
              <w:rPr>
                <w:rFonts w:cs="Arial"/>
                <w:b/>
                <w:sz w:val="22"/>
                <w:szCs w:val="22"/>
                <w:lang w:val="ro-RO"/>
              </w:rPr>
            </w:pPr>
            <w:r w:rsidRPr="00E01273">
              <w:rPr>
                <w:rFonts w:cs="Arial"/>
                <w:b/>
                <w:sz w:val="22"/>
                <w:szCs w:val="22"/>
                <w:lang w:val="ro-RO"/>
              </w:rPr>
              <w:t>2011</w:t>
            </w:r>
          </w:p>
        </w:tc>
        <w:tc>
          <w:tcPr>
            <w:tcW w:w="500" w:type="pct"/>
            <w:shd w:val="clear" w:color="auto" w:fill="C6D9F1"/>
          </w:tcPr>
          <w:p w:rsidR="00573AD5" w:rsidRPr="00E01273" w:rsidRDefault="00573AD5" w:rsidP="00573AD5">
            <w:pPr>
              <w:rPr>
                <w:rFonts w:cs="Arial"/>
                <w:b/>
                <w:sz w:val="22"/>
                <w:szCs w:val="22"/>
                <w:lang w:val="ro-RO"/>
              </w:rPr>
            </w:pPr>
            <w:r w:rsidRPr="00E01273">
              <w:rPr>
                <w:rFonts w:cs="Arial"/>
                <w:b/>
                <w:sz w:val="22"/>
                <w:szCs w:val="22"/>
                <w:lang w:val="ro-RO"/>
              </w:rPr>
              <w:t>2012</w:t>
            </w:r>
          </w:p>
        </w:tc>
      </w:tr>
      <w:tr w:rsidR="00573AD5" w:rsidRPr="00E01273" w:rsidTr="0030066D">
        <w:tc>
          <w:tcPr>
            <w:tcW w:w="500" w:type="pct"/>
          </w:tcPr>
          <w:p w:rsidR="00573AD5" w:rsidRPr="00E01273" w:rsidRDefault="00573AD5" w:rsidP="00573AD5">
            <w:pPr>
              <w:rPr>
                <w:rFonts w:cs="Arial"/>
                <w:b/>
                <w:sz w:val="22"/>
                <w:szCs w:val="22"/>
                <w:lang w:val="ro-RO"/>
              </w:rPr>
            </w:pPr>
            <w:r w:rsidRPr="00E01273">
              <w:rPr>
                <w:rFonts w:cs="Arial"/>
                <w:b/>
                <w:sz w:val="22"/>
                <w:szCs w:val="22"/>
                <w:lang w:val="ro-RO"/>
              </w:rPr>
              <w:t>Feroviar</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31.3%</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27.8%</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29.1%</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27.4%</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20.7%</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20.6%</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20.1%</w:t>
            </w:r>
          </w:p>
        </w:tc>
        <w:tc>
          <w:tcPr>
            <w:tcW w:w="500" w:type="pct"/>
            <w:shd w:val="clear" w:color="auto" w:fill="B8CCE4" w:themeFill="accent1" w:themeFillTint="66"/>
          </w:tcPr>
          <w:p w:rsidR="00573AD5" w:rsidRPr="00E01273" w:rsidRDefault="00573AD5" w:rsidP="00573AD5">
            <w:pPr>
              <w:jc w:val="right"/>
              <w:rPr>
                <w:rFonts w:cs="Arial"/>
                <w:sz w:val="22"/>
                <w:szCs w:val="22"/>
                <w:lang w:val="ro-RO"/>
              </w:rPr>
            </w:pPr>
            <w:r w:rsidRPr="00E01273">
              <w:rPr>
                <w:rFonts w:cs="Arial"/>
                <w:sz w:val="22"/>
                <w:szCs w:val="22"/>
                <w:lang w:val="ro-RO"/>
              </w:rPr>
              <w:t>19.7%</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17.8%</w:t>
            </w:r>
          </w:p>
        </w:tc>
      </w:tr>
      <w:tr w:rsidR="00573AD5" w:rsidRPr="00E01273" w:rsidTr="0030066D">
        <w:tc>
          <w:tcPr>
            <w:tcW w:w="500" w:type="pct"/>
          </w:tcPr>
          <w:p w:rsidR="00573AD5" w:rsidRPr="00E01273" w:rsidRDefault="00573AD5" w:rsidP="00573AD5">
            <w:pPr>
              <w:rPr>
                <w:rFonts w:cs="Arial"/>
                <w:b/>
                <w:sz w:val="22"/>
                <w:szCs w:val="22"/>
                <w:lang w:val="ro-RO"/>
              </w:rPr>
            </w:pPr>
            <w:r w:rsidRPr="00E01273">
              <w:rPr>
                <w:rFonts w:cs="Arial"/>
                <w:b/>
                <w:sz w:val="22"/>
                <w:szCs w:val="22"/>
                <w:lang w:val="ro-RO"/>
              </w:rPr>
              <w:t>Rutier</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68.2%</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71.6%</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70.2%</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71.6%</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78.4%</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76.7%</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76.7%</w:t>
            </w:r>
          </w:p>
        </w:tc>
        <w:tc>
          <w:tcPr>
            <w:tcW w:w="500" w:type="pct"/>
            <w:shd w:val="clear" w:color="auto" w:fill="B8CCE4" w:themeFill="accent1" w:themeFillTint="66"/>
          </w:tcPr>
          <w:p w:rsidR="00573AD5" w:rsidRPr="00E01273" w:rsidRDefault="00573AD5" w:rsidP="00573AD5">
            <w:pPr>
              <w:jc w:val="right"/>
              <w:rPr>
                <w:rFonts w:cs="Arial"/>
                <w:sz w:val="22"/>
                <w:szCs w:val="22"/>
                <w:lang w:val="ro-RO"/>
              </w:rPr>
            </w:pPr>
            <w:r w:rsidRPr="00E01273">
              <w:rPr>
                <w:rFonts w:cs="Arial"/>
                <w:sz w:val="22"/>
                <w:szCs w:val="22"/>
                <w:lang w:val="ro-RO"/>
              </w:rPr>
              <w:t>76.7%</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78.7%</w:t>
            </w:r>
          </w:p>
        </w:tc>
      </w:tr>
      <w:tr w:rsidR="00573AD5" w:rsidRPr="00E01273" w:rsidTr="0030066D">
        <w:tc>
          <w:tcPr>
            <w:tcW w:w="500" w:type="pct"/>
          </w:tcPr>
          <w:p w:rsidR="00573AD5" w:rsidRPr="00E01273" w:rsidRDefault="00573AD5" w:rsidP="00573AD5">
            <w:pPr>
              <w:rPr>
                <w:rFonts w:cs="Arial"/>
                <w:b/>
                <w:sz w:val="22"/>
                <w:szCs w:val="22"/>
                <w:lang w:val="ro-RO"/>
              </w:rPr>
            </w:pPr>
            <w:r w:rsidRPr="00E01273">
              <w:rPr>
                <w:rFonts w:cs="Arial"/>
                <w:b/>
                <w:sz w:val="22"/>
                <w:szCs w:val="22"/>
                <w:lang w:val="ro-RO"/>
              </w:rPr>
              <w:t>Altele</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0.5%</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0.5%</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0.7%</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1.1%</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1.0%</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2.8%</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3.2%</w:t>
            </w:r>
          </w:p>
        </w:tc>
        <w:tc>
          <w:tcPr>
            <w:tcW w:w="500" w:type="pct"/>
            <w:shd w:val="clear" w:color="auto" w:fill="B8CCE4" w:themeFill="accent1" w:themeFillTint="66"/>
          </w:tcPr>
          <w:p w:rsidR="00573AD5" w:rsidRPr="00E01273" w:rsidRDefault="00573AD5" w:rsidP="00573AD5">
            <w:pPr>
              <w:jc w:val="right"/>
              <w:rPr>
                <w:rFonts w:cs="Arial"/>
                <w:sz w:val="22"/>
                <w:szCs w:val="22"/>
                <w:lang w:val="ro-RO"/>
              </w:rPr>
            </w:pPr>
            <w:r w:rsidRPr="00E01273">
              <w:rPr>
                <w:rFonts w:cs="Arial"/>
                <w:sz w:val="22"/>
                <w:szCs w:val="22"/>
                <w:lang w:val="ro-RO"/>
              </w:rPr>
              <w:t>3.6%</w:t>
            </w:r>
          </w:p>
        </w:tc>
        <w:tc>
          <w:tcPr>
            <w:tcW w:w="500" w:type="pct"/>
          </w:tcPr>
          <w:p w:rsidR="00573AD5" w:rsidRPr="00E01273" w:rsidRDefault="00573AD5" w:rsidP="00573AD5">
            <w:pPr>
              <w:jc w:val="right"/>
              <w:rPr>
                <w:rFonts w:cs="Arial"/>
                <w:sz w:val="22"/>
                <w:szCs w:val="22"/>
                <w:lang w:val="ro-RO"/>
              </w:rPr>
            </w:pPr>
            <w:r w:rsidRPr="00E01273">
              <w:rPr>
                <w:rFonts w:cs="Arial"/>
                <w:sz w:val="22"/>
                <w:szCs w:val="22"/>
                <w:lang w:val="ro-RO"/>
              </w:rPr>
              <w:t>3.4%</w:t>
            </w:r>
          </w:p>
        </w:tc>
      </w:tr>
    </w:tbl>
    <w:p w:rsidR="00573AD5" w:rsidRPr="00AE1AD4" w:rsidRDefault="00573AD5" w:rsidP="00AE1AD4">
      <w:pPr>
        <w:ind w:left="851"/>
        <w:rPr>
          <w:i/>
          <w:lang w:val="ro-RO"/>
        </w:rPr>
      </w:pPr>
      <w:r w:rsidRPr="00AE1AD4">
        <w:rPr>
          <w:i/>
          <w:lang w:val="ro-RO"/>
        </w:rPr>
        <w:t>Sursa: CFR Călători</w:t>
      </w:r>
    </w:p>
    <w:p w:rsidR="00573AD5" w:rsidRPr="0076579A" w:rsidRDefault="00573AD5" w:rsidP="002B7E09">
      <w:pPr>
        <w:pStyle w:val="NumberedParas"/>
      </w:pPr>
      <w:r w:rsidRPr="0076579A">
        <w:t>Aceste statistici indică faptul că transportul feroviar deține o bună parte a procentajului total de călătorii, dar analizând numărul efectiv de călătorii per persoană se constată că acesta este semnificativ mai redus</w:t>
      </w:r>
      <w:r>
        <w:t xml:space="preserve"> față de nivelul altor parteneri din cadrul UE</w:t>
      </w:r>
      <w:r w:rsidRPr="0076579A">
        <w:t xml:space="preserve">. Comparația între numărul de </w:t>
      </w:r>
      <w:r>
        <w:t>pasageri-km</w:t>
      </w:r>
      <w:r w:rsidRPr="0076579A">
        <w:t xml:space="preserve">per persoană dintre România și alte țări UE indică faptul că dacă s-ar aduce îmbunătățiri serviciului de transport feroviar ar exista posibilități reale de a înregistra o creștere a pieței. </w:t>
      </w:r>
    </w:p>
    <w:p w:rsidR="00573AD5" w:rsidRPr="0076579A" w:rsidRDefault="00573AD5" w:rsidP="002B7E09">
      <w:pPr>
        <w:pStyle w:val="NumberedParas"/>
      </w:pPr>
      <w:r w:rsidRPr="0076579A">
        <w:t xml:space="preserve">S-au analizat datele privind călătoriile din anul 2011 pentru a identifica tiparele neobișnuite de călătorie. Următoarele sectoare acoperă o zonă geografică mult mai extinsă în comparație cu zonele individuale din cadrul Modelului Național de Transport. În </w:t>
      </w:r>
      <w:r>
        <w:t>Tabelul 5.</w:t>
      </w:r>
      <w:r w:rsidRPr="0076579A">
        <w:t xml:space="preserve">2 este prezentat numărul total de călătorii între sectoare, inclusiv cererea de transport intra-zonal reprezentată de călătoriile având originea și destinația în interiorul aceluiași sector.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4819"/>
        <w:gridCol w:w="3028"/>
      </w:tblGrid>
      <w:tr w:rsidR="00573AD5" w:rsidRPr="00E01273" w:rsidTr="0030066D">
        <w:trPr>
          <w:trHeight w:hRule="exact" w:val="399"/>
        </w:trPr>
        <w:tc>
          <w:tcPr>
            <w:tcW w:w="2660"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lastRenderedPageBreak/>
              <w:t>București</w:t>
            </w:r>
          </w:p>
        </w:tc>
        <w:tc>
          <w:tcPr>
            <w:tcW w:w="4819"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Constanța Bacău / Iași / Suceava</w:t>
            </w:r>
          </w:p>
        </w:tc>
        <w:tc>
          <w:tcPr>
            <w:tcW w:w="3028"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 xml:space="preserve">Galați / Focșani / Buzau </w:t>
            </w:r>
          </w:p>
        </w:tc>
      </w:tr>
      <w:tr w:rsidR="00573AD5" w:rsidRPr="00E01273" w:rsidTr="0030066D">
        <w:trPr>
          <w:trHeight w:hRule="exact" w:val="432"/>
        </w:trPr>
        <w:tc>
          <w:tcPr>
            <w:tcW w:w="2660"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Bacău / Iași / Suceava</w:t>
            </w:r>
          </w:p>
        </w:tc>
        <w:tc>
          <w:tcPr>
            <w:tcW w:w="4819"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Brașov / Sibiu / Târgu Mureș</w:t>
            </w:r>
            <w:r w:rsidRPr="00E01273">
              <w:rPr>
                <w:sz w:val="22"/>
                <w:szCs w:val="22"/>
              </w:rPr>
              <w:tab/>
            </w:r>
          </w:p>
        </w:tc>
        <w:tc>
          <w:tcPr>
            <w:tcW w:w="3028"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 xml:space="preserve">Craiova </w:t>
            </w:r>
          </w:p>
        </w:tc>
      </w:tr>
      <w:tr w:rsidR="00573AD5" w:rsidRPr="00E01273" w:rsidTr="0030066D">
        <w:trPr>
          <w:trHeight w:hRule="exact" w:val="870"/>
        </w:trPr>
        <w:tc>
          <w:tcPr>
            <w:tcW w:w="2660"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Timișoara / Arad</w:t>
            </w:r>
          </w:p>
        </w:tc>
        <w:tc>
          <w:tcPr>
            <w:tcW w:w="4819" w:type="dxa"/>
            <w:tcBorders>
              <w:top w:val="nil"/>
              <w:left w:val="nil"/>
              <w:bottom w:val="nil"/>
              <w:right w:val="nil"/>
            </w:tcBorders>
            <w:shd w:val="clear" w:color="auto" w:fill="auto"/>
          </w:tcPr>
          <w:p w:rsidR="00573AD5" w:rsidRPr="00E01273" w:rsidRDefault="00573AD5" w:rsidP="00573AD5">
            <w:pPr>
              <w:rPr>
                <w:sz w:val="22"/>
                <w:szCs w:val="22"/>
              </w:rPr>
            </w:pPr>
            <w:r w:rsidRPr="00E01273">
              <w:rPr>
                <w:sz w:val="22"/>
                <w:szCs w:val="22"/>
              </w:rPr>
              <w:t>Oradea / Cluj Napoca / Satu Mare / Baia Mare</w:t>
            </w:r>
          </w:p>
        </w:tc>
        <w:tc>
          <w:tcPr>
            <w:tcW w:w="3028" w:type="dxa"/>
            <w:tcBorders>
              <w:top w:val="nil"/>
              <w:left w:val="nil"/>
              <w:bottom w:val="nil"/>
              <w:right w:val="nil"/>
            </w:tcBorders>
            <w:shd w:val="clear" w:color="auto" w:fill="auto"/>
          </w:tcPr>
          <w:p w:rsidR="00573AD5" w:rsidRPr="00E01273" w:rsidRDefault="00573AD5" w:rsidP="00573AD5">
            <w:pPr>
              <w:rPr>
                <w:sz w:val="22"/>
                <w:szCs w:val="22"/>
              </w:rPr>
            </w:pPr>
          </w:p>
        </w:tc>
      </w:tr>
    </w:tbl>
    <w:p w:rsidR="00573AD5" w:rsidRPr="0076579A" w:rsidRDefault="00573AD5" w:rsidP="0030066D">
      <w:pPr>
        <w:spacing w:before="120" w:after="60"/>
        <w:rPr>
          <w:rFonts w:cs="Arial"/>
          <w:b/>
          <w:sz w:val="20"/>
          <w:szCs w:val="20"/>
          <w:lang w:val="ro-RO"/>
        </w:rPr>
      </w:pPr>
      <w:r>
        <w:rPr>
          <w:rFonts w:cs="Arial"/>
          <w:b/>
          <w:sz w:val="20"/>
          <w:szCs w:val="20"/>
          <w:lang w:val="ro-RO"/>
        </w:rPr>
        <w:t>Tabelul 5.</w:t>
      </w:r>
      <w:r w:rsidRPr="0076579A">
        <w:rPr>
          <w:rFonts w:cs="Arial"/>
          <w:b/>
          <w:sz w:val="20"/>
          <w:szCs w:val="20"/>
          <w:lang w:val="ro-RO"/>
        </w:rPr>
        <w:t>2 Rezumat al deplasărilor zilnice pe calea ferată – cererea pentru fiecare sector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946"/>
        <w:gridCol w:w="817"/>
        <w:gridCol w:w="946"/>
        <w:gridCol w:w="946"/>
        <w:gridCol w:w="946"/>
        <w:gridCol w:w="817"/>
        <w:gridCol w:w="946"/>
        <w:gridCol w:w="946"/>
        <w:gridCol w:w="939"/>
      </w:tblGrid>
      <w:tr w:rsidR="00573AD5" w:rsidRPr="0076579A" w:rsidTr="0030066D">
        <w:trPr>
          <w:trHeight w:hRule="exact" w:val="351"/>
          <w:tblHeader/>
        </w:trPr>
        <w:tc>
          <w:tcPr>
            <w:tcW w:w="1075" w:type="pct"/>
            <w:shd w:val="clear" w:color="auto" w:fill="B8CCE4"/>
            <w:vAlign w:val="center"/>
          </w:tcPr>
          <w:p w:rsidR="00573AD5" w:rsidRPr="0076579A" w:rsidRDefault="00573AD5" w:rsidP="00573AD5">
            <w:pPr>
              <w:rPr>
                <w:rFonts w:cs="Arial"/>
                <w:b/>
                <w:sz w:val="20"/>
                <w:szCs w:val="20"/>
                <w:lang w:val="ro-RO"/>
              </w:rPr>
            </w:pPr>
            <w:r w:rsidRPr="0076579A">
              <w:rPr>
                <w:rFonts w:cs="Arial"/>
                <w:b/>
                <w:sz w:val="20"/>
                <w:szCs w:val="20"/>
                <w:lang w:val="ro-RO"/>
              </w:rPr>
              <w:t>Sector</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1</w:t>
            </w:r>
          </w:p>
        </w:tc>
        <w:tc>
          <w:tcPr>
            <w:tcW w:w="389"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2</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3</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4</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5</w:t>
            </w:r>
          </w:p>
        </w:tc>
        <w:tc>
          <w:tcPr>
            <w:tcW w:w="389"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6</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7</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8</w:t>
            </w:r>
          </w:p>
        </w:tc>
        <w:tc>
          <w:tcPr>
            <w:tcW w:w="450" w:type="pct"/>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Total</w:t>
            </w:r>
          </w:p>
        </w:tc>
      </w:tr>
      <w:tr w:rsidR="00573AD5" w:rsidRPr="0076579A" w:rsidTr="0030066D">
        <w:trPr>
          <w:trHeight w:hRule="exact" w:val="356"/>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1 București</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15,562</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1,618</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2,757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2,015</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1,908</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3,370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1,178</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1,223</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29,631</w:t>
            </w:r>
          </w:p>
        </w:tc>
      </w:tr>
      <w:tr w:rsidR="00573AD5" w:rsidRPr="0076579A" w:rsidTr="0030066D">
        <w:trPr>
          <w:trHeight w:hRule="exact" w:val="356"/>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2 Constanța</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1,755</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3,900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394</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577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302</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360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597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241</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8,126</w:t>
            </w:r>
          </w:p>
        </w:tc>
      </w:tr>
      <w:tr w:rsidR="00573AD5" w:rsidRPr="0076579A" w:rsidTr="0030066D">
        <w:trPr>
          <w:trHeight w:hRule="exact" w:val="483"/>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3 Galați / Focșani / Buzău</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2,873</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376</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10,890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850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787</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357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242</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305</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16,680</w:t>
            </w:r>
          </w:p>
        </w:tc>
      </w:tr>
      <w:tr w:rsidR="00573AD5" w:rsidRPr="0076579A" w:rsidTr="0030066D">
        <w:trPr>
          <w:trHeight w:hRule="exact" w:val="574"/>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4 Bacău / Iași / Suceava</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2,103</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570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871</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14,673</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552</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590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1,040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1,358</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21,757</w:t>
            </w:r>
          </w:p>
        </w:tc>
      </w:tr>
      <w:tr w:rsidR="00573AD5" w:rsidRPr="0076579A" w:rsidTr="0030066D">
        <w:trPr>
          <w:trHeight w:hRule="exact" w:val="554"/>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5 Brașov / Sibiu / Târgu Mureș</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1,944</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292</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596</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525</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17,927</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623</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1,123</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1,349</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24,379</w:t>
            </w:r>
          </w:p>
        </w:tc>
      </w:tr>
      <w:tr w:rsidR="00573AD5" w:rsidRPr="0076579A" w:rsidTr="0030066D">
        <w:trPr>
          <w:trHeight w:hRule="exact" w:val="356"/>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6 Craiova</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3,446</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364</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360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590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652</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9,805</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1,165</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357</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16,739</w:t>
            </w:r>
          </w:p>
        </w:tc>
      </w:tr>
      <w:tr w:rsidR="00573AD5" w:rsidRPr="0076579A" w:rsidTr="0030066D">
        <w:trPr>
          <w:trHeight w:hRule="exact" w:val="356"/>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7 Timișoara / Arad</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1,256</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670</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257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1,228</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1,158</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1,229</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17,873</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1,026</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24,697</w:t>
            </w:r>
          </w:p>
        </w:tc>
      </w:tr>
      <w:tr w:rsidR="00573AD5" w:rsidRPr="0076579A" w:rsidTr="0030066D">
        <w:trPr>
          <w:trHeight w:hRule="exact" w:val="679"/>
        </w:trPr>
        <w:tc>
          <w:tcPr>
            <w:tcW w:w="1075" w:type="pct"/>
            <w:vAlign w:val="center"/>
          </w:tcPr>
          <w:p w:rsidR="00573AD5" w:rsidRPr="0076579A" w:rsidRDefault="00573AD5" w:rsidP="00573AD5">
            <w:pPr>
              <w:rPr>
                <w:rFonts w:cs="Arial"/>
                <w:sz w:val="20"/>
                <w:szCs w:val="20"/>
                <w:lang w:val="ro-RO"/>
              </w:rPr>
            </w:pPr>
            <w:r w:rsidRPr="0076579A">
              <w:rPr>
                <w:rFonts w:cs="Arial"/>
                <w:sz w:val="20"/>
                <w:szCs w:val="20"/>
                <w:lang w:val="ro-RO"/>
              </w:rPr>
              <w:t>8 Oradea / Cluj / S Mare / B Mare</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1,252</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254</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307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1,492</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1,330</w:t>
            </w:r>
          </w:p>
        </w:tc>
        <w:tc>
          <w:tcPr>
            <w:tcW w:w="389"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357</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983</w:t>
            </w:r>
          </w:p>
        </w:tc>
        <w:tc>
          <w:tcPr>
            <w:tcW w:w="450" w:type="pct"/>
            <w:vAlign w:val="center"/>
          </w:tcPr>
          <w:p w:rsidR="00573AD5" w:rsidRPr="0076579A" w:rsidRDefault="00573AD5" w:rsidP="00573AD5">
            <w:pPr>
              <w:jc w:val="center"/>
              <w:rPr>
                <w:rFonts w:cs="Arial"/>
                <w:sz w:val="20"/>
                <w:szCs w:val="20"/>
                <w:lang w:val="ro-RO"/>
              </w:rPr>
            </w:pPr>
            <w:r w:rsidRPr="0076579A">
              <w:rPr>
                <w:rFonts w:cs="Arial"/>
                <w:sz w:val="20"/>
                <w:szCs w:val="20"/>
                <w:lang w:val="ro-RO"/>
              </w:rPr>
              <w:t>15,787</w:t>
            </w:r>
          </w:p>
        </w:tc>
        <w:tc>
          <w:tcPr>
            <w:tcW w:w="450" w:type="pct"/>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21,762</w:t>
            </w:r>
          </w:p>
        </w:tc>
      </w:tr>
    </w:tbl>
    <w:p w:rsidR="00573AD5" w:rsidRPr="00AE1AD4" w:rsidRDefault="00573AD5" w:rsidP="00AE1AD4">
      <w:pPr>
        <w:ind w:left="851"/>
        <w:rPr>
          <w:i/>
          <w:lang w:val="ro-RO"/>
        </w:rPr>
      </w:pPr>
      <w:r w:rsidRPr="00AE1AD4">
        <w:rPr>
          <w:i/>
          <w:lang w:val="ro-RO"/>
        </w:rPr>
        <w:t>Sursa: Analiza Modelului Național de Transport realizată de AECOM</w:t>
      </w:r>
    </w:p>
    <w:p w:rsidR="00573AD5" w:rsidRPr="0076579A" w:rsidRDefault="00573AD5" w:rsidP="002B7E09">
      <w:pPr>
        <w:pStyle w:val="NumberedParas"/>
      </w:pPr>
      <w:r w:rsidRPr="0076579A">
        <w:t>Principalele concluzii ale analizei sunt următoarele:</w:t>
      </w:r>
    </w:p>
    <w:p w:rsidR="00573AD5" w:rsidRPr="0076579A" w:rsidRDefault="00573AD5" w:rsidP="00573AD5">
      <w:pPr>
        <w:pStyle w:val="BulletLevel1"/>
        <w:spacing w:after="60"/>
      </w:pPr>
      <w:r w:rsidRPr="0076579A">
        <w:t xml:space="preserve">Cererea de călătorie către și dinspre București generează cel mai mare număr de deplasări, aproape 30.000 călătorii pe zi. Aproximativ </w:t>
      </w:r>
      <w:r>
        <w:t>36</w:t>
      </w:r>
      <w:r w:rsidRPr="0076579A">
        <w:t xml:space="preserve">% din total sunt călătorii intrazonale, cu originea și destinația în acest sector care acoperă o suprafață extinsă și care include zona Ploiești. Au fost </w:t>
      </w:r>
      <w:r>
        <w:t>identificate</w:t>
      </w:r>
      <w:r w:rsidRPr="0076579A">
        <w:t xml:space="preserve"> și deplasări pe distanțe mai lungi, cu originea București, aproximativ 3.400 călătorii către Craiova, 2.750 către Galați/Focșani/Buzău și 2.000 către Bacău/Iași/Suceava și Brașov/Sibiu/Târgu Mureș; </w:t>
      </w:r>
    </w:p>
    <w:p w:rsidR="00573AD5" w:rsidRPr="0076579A" w:rsidRDefault="00573AD5" w:rsidP="00573AD5">
      <w:pPr>
        <w:pStyle w:val="BulletLevel1"/>
        <w:spacing w:after="60"/>
      </w:pPr>
      <w:r w:rsidRPr="0076579A">
        <w:t>Există alte două sectoare care generează peste 24.000 de călătorii zilnice. În contrast cu rezultatele obținute pentru București, ambele sectoare Brașov / Sibiu / Târgu Mureș și Timișoara / Arad au o mai mare pondere de călătorii cu originea sau destinația în cadrul aceluiași sector (</w:t>
      </w:r>
      <w:r>
        <w:t>aproximativ</w:t>
      </w:r>
      <w:r w:rsidRPr="0076579A">
        <w:t xml:space="preserve"> 70% în ambele cazuri). Aceste rezultate indică concentrarea călătoriilor în interiorul acestor sectoare, precum și densitatea mare a liniilor ferate locale, în jurul municipiilor Brașov și Timișoara. În cazul sectorului Timișoara / Arad, un factor de influență semnificativ este reprezentat și de călătoriile pe distanțe lungi către București; </w:t>
      </w:r>
    </w:p>
    <w:p w:rsidR="00573AD5" w:rsidRPr="0076579A" w:rsidRDefault="00573AD5" w:rsidP="00573AD5">
      <w:pPr>
        <w:pStyle w:val="BulletLevel1"/>
        <w:spacing w:after="60"/>
      </w:pPr>
      <w:r w:rsidRPr="0076579A">
        <w:t xml:space="preserve">În ciuda faptului că sectoarele Galați / Focșani / Buzău, Craiova, Oradea / Cluj Napoca / Satu Mare / Baia Mare generează un număr de călătorii zilnice mai redus în comparație cu sectoarele descrise mai sus (între 16.500 și 22.000) există, totuși, un procentaj ridicat al călătoriilor în interiorul sectoarelor. Acest lucru reflectă, de asemenea, caracterul local al deplasărilor generate de localitățile situate în aceste sectoare. Sectorul Constanța generează cel mai mic număr de deplasări, mai puțin de 8.200 pe zi. Mai puțin de 50% dintre călătorii au originea sau destinația în acest sector. Relativa proximitate cu municipiul București și lipsa localităților importante în vecinătatea județului Constanța au contribuit la acest rezultat;  </w:t>
      </w:r>
    </w:p>
    <w:p w:rsidR="00573AD5" w:rsidRPr="0076579A" w:rsidRDefault="00573AD5" w:rsidP="00573AD5">
      <w:pPr>
        <w:pStyle w:val="BulletLevel1"/>
        <w:spacing w:after="60"/>
      </w:pPr>
      <w:r w:rsidRPr="0076579A">
        <w:t xml:space="preserve">Procentajul mare de călătorii cu originea și destinația în cadrul aceluiași sector indică faptul că transportul pe calea ferată este utilizat pentru călătorii pe distanțe mai lungi de un număr </w:t>
      </w:r>
      <w:r w:rsidRPr="0076579A">
        <w:lastRenderedPageBreak/>
        <w:t>relativ mic de călători. Acest lucru reflectă tipare de călătorie istorice care sunt rezultatul duratelor mari călătorie între orașele principale, dar și faptul că există o cerere importantă de călătorii între orașe cu durata de 2 până la 4 ore.</w:t>
      </w:r>
    </w:p>
    <w:p w:rsidR="00573AD5" w:rsidRPr="0076579A" w:rsidRDefault="00573AD5" w:rsidP="002B7E09">
      <w:pPr>
        <w:pStyle w:val="NumberedParas"/>
      </w:pPr>
      <w:r w:rsidRPr="0076579A">
        <w:t>În continuare este prezentată cota de piață a transportului feroviar pentru unele dintre cele mai mari fluxuri de călătorie din România. Coridoarele cu cel mai mare flux de călătorii cu trenul ating o pondere modală de până la 25%, în special dacă alternativele de transport rutier sunt mai puțin convenabile, de exemplu în cazul rutei Craiova – București. Alte fluxuri pe distanțe scurte afectate de competiția semnificativă reprezentată de transportul rutier, atrag doar un procentaj de 2% călătorii cu trenul, de exemplu pe ruta Timșoara - Arad.</w:t>
      </w:r>
    </w:p>
    <w:p w:rsidR="00573AD5" w:rsidRPr="0076579A" w:rsidRDefault="00573AD5" w:rsidP="00573AD5">
      <w:pPr>
        <w:pStyle w:val="BulletLevel1"/>
        <w:spacing w:after="60"/>
      </w:pPr>
      <w:r w:rsidRPr="0076579A">
        <w:t>București - Craiova: pondere modală de 19%;</w:t>
      </w:r>
    </w:p>
    <w:p w:rsidR="00573AD5" w:rsidRPr="0076579A" w:rsidRDefault="00573AD5" w:rsidP="00573AD5">
      <w:pPr>
        <w:pStyle w:val="BulletLevel1"/>
        <w:spacing w:after="60"/>
      </w:pPr>
      <w:r w:rsidRPr="0076579A">
        <w:t>București - Arad: pondere modală de 25%;</w:t>
      </w:r>
    </w:p>
    <w:p w:rsidR="00573AD5" w:rsidRPr="0076579A" w:rsidRDefault="00573AD5" w:rsidP="00573AD5">
      <w:pPr>
        <w:pStyle w:val="BulletLevel1"/>
        <w:spacing w:after="60"/>
      </w:pPr>
      <w:r w:rsidRPr="0076579A">
        <w:t>București - Cluj Napoca: pondere modală de 10%;</w:t>
      </w:r>
    </w:p>
    <w:p w:rsidR="00573AD5" w:rsidRPr="0076579A" w:rsidRDefault="00573AD5" w:rsidP="00573AD5">
      <w:pPr>
        <w:pStyle w:val="BulletLevel1"/>
        <w:spacing w:after="60"/>
      </w:pPr>
      <w:r w:rsidRPr="0076579A">
        <w:t>București - Brașov: pondere modală de 5%;</w:t>
      </w:r>
    </w:p>
    <w:p w:rsidR="00573AD5" w:rsidRPr="0076579A" w:rsidRDefault="00573AD5" w:rsidP="00573AD5">
      <w:pPr>
        <w:pStyle w:val="BulletLevel1"/>
        <w:spacing w:after="60"/>
      </w:pPr>
      <w:r w:rsidRPr="0076579A">
        <w:t>București - Iași: pondere modală de 9%;</w:t>
      </w:r>
    </w:p>
    <w:p w:rsidR="00573AD5" w:rsidRPr="0076579A" w:rsidRDefault="00573AD5" w:rsidP="00573AD5">
      <w:pPr>
        <w:pStyle w:val="BulletLevel1"/>
        <w:spacing w:after="60"/>
      </w:pPr>
      <w:r w:rsidRPr="0076579A">
        <w:t>București - Galați: pondere modală de 9%;</w:t>
      </w:r>
    </w:p>
    <w:p w:rsidR="00573AD5" w:rsidRPr="0076579A" w:rsidRDefault="00573AD5" w:rsidP="00573AD5">
      <w:pPr>
        <w:pStyle w:val="BulletLevel1"/>
        <w:spacing w:after="60"/>
      </w:pPr>
      <w:r w:rsidRPr="0076579A">
        <w:t>București - Constanța: pondere modală de 4%;</w:t>
      </w:r>
    </w:p>
    <w:p w:rsidR="00573AD5" w:rsidRPr="0076579A" w:rsidRDefault="00573AD5" w:rsidP="00573AD5">
      <w:pPr>
        <w:pStyle w:val="BulletLevel1"/>
        <w:spacing w:after="60"/>
      </w:pPr>
      <w:r w:rsidRPr="0076579A">
        <w:t>Craiova - Timișoara: pondere modală de 1%;</w:t>
      </w:r>
    </w:p>
    <w:p w:rsidR="00573AD5" w:rsidRPr="0076579A" w:rsidRDefault="00573AD5" w:rsidP="00573AD5">
      <w:pPr>
        <w:pStyle w:val="BulletLevel1"/>
        <w:spacing w:after="60"/>
      </w:pPr>
      <w:r w:rsidRPr="0076579A">
        <w:t>Timișoara - Arad: pondere modală de 2%.</w:t>
      </w:r>
    </w:p>
    <w:p w:rsidR="00573AD5" w:rsidRPr="0076579A" w:rsidRDefault="00573AD5" w:rsidP="002B7E09">
      <w:pPr>
        <w:pStyle w:val="NumberedParas"/>
      </w:pPr>
      <w:r w:rsidRPr="0076579A">
        <w:t xml:space="preserve">Tiparele de călătorie rezumate sunt reprezentate grafic în </w:t>
      </w:r>
      <w:r>
        <w:t>Figura 5.4</w:t>
      </w:r>
      <w:r w:rsidRPr="0076579A">
        <w:t>. Există unele suprapuneri cu cele mai algomerate sectoare ale rețelei cu privire la faptul că o frecvență mai mare a serviciilor atrage și un număr mai mare de călători. Principalele fluxuri sunt rezumate mai jos:</w:t>
      </w:r>
    </w:p>
    <w:p w:rsidR="00573AD5" w:rsidRPr="0076579A" w:rsidRDefault="00573AD5" w:rsidP="00573AD5">
      <w:pPr>
        <w:pStyle w:val="BulletLevel1"/>
        <w:spacing w:after="60"/>
      </w:pPr>
      <w:r w:rsidRPr="0076579A">
        <w:t>În vecinătatea stației București Nord se înregistrează până la 70.000 de călători pe zi;</w:t>
      </w:r>
    </w:p>
    <w:p w:rsidR="00573AD5" w:rsidRPr="0076579A" w:rsidRDefault="00573AD5" w:rsidP="00573AD5">
      <w:pPr>
        <w:pStyle w:val="BulletLevel1"/>
        <w:spacing w:after="60"/>
      </w:pPr>
      <w:r w:rsidRPr="0076579A">
        <w:t xml:space="preserve">București Nord către Focșani, plus sectoarele Brașov și Craiova, atrag peste 9.000 de călătorii pe zi, dintre care până la 27.500 utilizează cele mai aglomerate secțiuni; </w:t>
      </w:r>
    </w:p>
    <w:p w:rsidR="00573AD5" w:rsidRPr="0076579A" w:rsidRDefault="00573AD5" w:rsidP="00573AD5">
      <w:pPr>
        <w:pStyle w:val="BulletLevel1"/>
        <w:spacing w:after="60"/>
      </w:pPr>
      <w:r w:rsidRPr="0076579A">
        <w:t xml:space="preserve">Numărul de călători care se deplasează către Timișoara, Arad, Oradea, Cluj Napoca, Iași și Suceava este mai mare de 3.500 pe zi, deși frecvența trenurilor în această zonă este mai redusă, în comparație cu frecvența trenurilor către București Nord; </w:t>
      </w:r>
    </w:p>
    <w:p w:rsidR="00573AD5" w:rsidRPr="0076579A" w:rsidRDefault="00573AD5" w:rsidP="00573AD5">
      <w:pPr>
        <w:pStyle w:val="BulletLevel1"/>
        <w:spacing w:after="60"/>
      </w:pPr>
      <w:r w:rsidRPr="0076579A">
        <w:t>Există numeroase linii secundare care atrag mai puțin de 1.</w:t>
      </w:r>
      <w:r>
        <w:t>0</w:t>
      </w:r>
      <w:r w:rsidRPr="0076579A">
        <w:t>00 călătorii pe zi, deși acest fapt este în general datorat frecvenței mai reduse de servicii furnizate (de regulă, mai puțin de 8 trenuri pe zi).</w:t>
      </w:r>
    </w:p>
    <w:p w:rsidR="00573AD5" w:rsidRPr="0076579A" w:rsidRDefault="00573AD5" w:rsidP="0030066D">
      <w:pPr>
        <w:rPr>
          <w:b/>
          <w:bCs/>
          <w:sz w:val="20"/>
          <w:szCs w:val="20"/>
          <w:lang w:val="ro-RO"/>
        </w:rPr>
      </w:pPr>
      <w:r w:rsidRPr="0076579A">
        <w:rPr>
          <w:b/>
          <w:sz w:val="20"/>
          <w:szCs w:val="20"/>
          <w:lang w:val="ro-RO"/>
        </w:rPr>
        <w:br w:type="page"/>
      </w:r>
    </w:p>
    <w:p w:rsidR="00573AD5" w:rsidRPr="0076579A" w:rsidRDefault="00573AD5" w:rsidP="0030066D">
      <w:pPr>
        <w:pStyle w:val="Caption"/>
        <w:spacing w:before="0" w:after="60"/>
        <w:rPr>
          <w:b/>
          <w:sz w:val="20"/>
          <w:szCs w:val="20"/>
          <w:lang w:val="ro-RO"/>
        </w:rPr>
      </w:pPr>
    </w:p>
    <w:p w:rsidR="00573AD5" w:rsidRPr="0076579A" w:rsidRDefault="00573AD5" w:rsidP="0030066D">
      <w:pPr>
        <w:spacing w:after="60"/>
        <w:rPr>
          <w:lang w:val="ro-RO"/>
        </w:rPr>
      </w:pPr>
      <w:r w:rsidRPr="0076579A">
        <w:rPr>
          <w:noProof/>
          <w:lang w:val="ro-RO" w:eastAsia="ro-RO"/>
        </w:rPr>
        <w:drawing>
          <wp:inline distT="0" distB="0" distL="0" distR="0">
            <wp:extent cx="5762625" cy="4020185"/>
            <wp:effectExtent l="19050" t="0" r="9525" b="0"/>
            <wp:docPr id="932" name="Picture 4" descr="Demand_Base_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mand_Base_scenario"/>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762625" cy="4020185"/>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b/>
          <w:sz w:val="20"/>
          <w:szCs w:val="20"/>
          <w:lang w:val="ro-RO"/>
        </w:rPr>
        <w:t>Figura 5.4</w:t>
      </w:r>
      <w:r w:rsidRPr="0076579A">
        <w:rPr>
          <w:b/>
          <w:sz w:val="20"/>
          <w:szCs w:val="20"/>
          <w:lang w:val="ro-RO"/>
        </w:rPr>
        <w:t>: Rezumat al tiparelor de deplasări zilnice cu trenul ale călătorilor (2011)</w:t>
      </w:r>
    </w:p>
    <w:p w:rsidR="00573AD5" w:rsidRPr="00AE1AD4" w:rsidRDefault="00573AD5" w:rsidP="00AE1AD4">
      <w:pPr>
        <w:ind w:left="851"/>
        <w:rPr>
          <w:i/>
          <w:lang w:val="ro-RO"/>
        </w:rPr>
      </w:pPr>
      <w:r w:rsidRPr="00AE1AD4">
        <w:rPr>
          <w:i/>
          <w:lang w:val="ro-RO"/>
        </w:rPr>
        <w:t xml:space="preserve">Sursa: Analiza AECOM </w:t>
      </w:r>
    </w:p>
    <w:p w:rsidR="00573AD5" w:rsidRPr="0076579A" w:rsidRDefault="00573AD5" w:rsidP="0030066D">
      <w:pPr>
        <w:pStyle w:val="Hdg3"/>
      </w:pPr>
      <w:r w:rsidRPr="0076579A">
        <w:t>Nivelul de utilizare a stațiilor</w:t>
      </w:r>
    </w:p>
    <w:p w:rsidR="00573AD5" w:rsidRPr="0076579A" w:rsidRDefault="00573AD5" w:rsidP="002B7E09">
      <w:pPr>
        <w:pStyle w:val="NumberedParas"/>
      </w:pPr>
      <w:r w:rsidRPr="0076579A">
        <w:t xml:space="preserve">În urma unei analize a cererii de călătorie a reieșit faptul că aproximativ 23% dintre stații generează o cerere de transport feroviar de 90%, incluzând procentajul de 1% dintre stații care generează 42% din călătorii. Acest fapt sugerează că există un număr mare de stații </w:t>
      </w:r>
      <w:r>
        <w:t>care generează</w:t>
      </w:r>
      <w:r w:rsidRPr="0076579A">
        <w:t xml:space="preserve"> o cerere neînsemnată de călătorii </w:t>
      </w:r>
      <w:r>
        <w:t>dar</w:t>
      </w:r>
      <w:r w:rsidRPr="0076579A">
        <w:t xml:space="preserve"> care, cu toate acestea, sunt în continuare în funcțiune, cu o frecvență a trenurilor relativ redusă. De exemplu, aproximativ 1.000 de stații din România generează mai</w:t>
      </w:r>
      <w:r>
        <w:t xml:space="preserve"> puțin de 50 de călătorii pe zi, iar la unele dintre aceste stații nu se înregistrează nicio călătorie. </w:t>
      </w:r>
      <w:r w:rsidRPr="0076579A">
        <w:t xml:space="preserve"> Acest lucru are impact asupra costurilor necesare pentru a furniza serviciile, venitul generat de aceste stații fiind limitat; </w:t>
      </w:r>
    </w:p>
    <w:p w:rsidR="00573AD5" w:rsidRPr="0076579A" w:rsidRDefault="00573AD5" w:rsidP="0030066D">
      <w:pPr>
        <w:spacing w:before="120" w:after="60"/>
        <w:rPr>
          <w:rFonts w:cs="Arial"/>
          <w:b/>
          <w:sz w:val="20"/>
          <w:szCs w:val="20"/>
          <w:lang w:val="ro-RO"/>
        </w:rPr>
      </w:pPr>
      <w:bookmarkStart w:id="95" w:name="_Ref369101103"/>
      <w:r>
        <w:rPr>
          <w:rFonts w:cs="Arial"/>
          <w:b/>
          <w:sz w:val="20"/>
          <w:szCs w:val="20"/>
          <w:lang w:val="ro-RO"/>
        </w:rPr>
        <w:t>Tabelul 5.</w:t>
      </w:r>
      <w:r w:rsidRPr="0076579A">
        <w:rPr>
          <w:rFonts w:cs="Arial"/>
          <w:b/>
          <w:sz w:val="20"/>
          <w:szCs w:val="20"/>
          <w:lang w:val="ro-RO"/>
        </w:rPr>
        <w:t xml:space="preserve">3 Tiparul îmbarcărilor în stații </w:t>
      </w:r>
    </w:p>
    <w:tbl>
      <w:tblPr>
        <w:tblW w:w="6096"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552"/>
      </w:tblGrid>
      <w:tr w:rsidR="00573AD5" w:rsidRPr="0076579A" w:rsidTr="0030066D">
        <w:tc>
          <w:tcPr>
            <w:tcW w:w="3544" w:type="dxa"/>
            <w:shd w:val="clear" w:color="auto" w:fill="C6D9F1"/>
            <w:vAlign w:val="center"/>
          </w:tcPr>
          <w:bookmarkEnd w:id="95"/>
          <w:p w:rsidR="00573AD5" w:rsidRPr="0076579A" w:rsidRDefault="00573AD5" w:rsidP="00573AD5">
            <w:pPr>
              <w:rPr>
                <w:rFonts w:cs="Arial"/>
                <w:b/>
                <w:sz w:val="20"/>
                <w:szCs w:val="20"/>
                <w:lang w:val="ro-RO"/>
              </w:rPr>
            </w:pPr>
            <w:r w:rsidRPr="0076579A">
              <w:rPr>
                <w:rFonts w:cs="Arial"/>
                <w:b/>
                <w:sz w:val="20"/>
                <w:szCs w:val="20"/>
                <w:lang w:val="ro-RO"/>
              </w:rPr>
              <w:t xml:space="preserve">Numărul de îmbarcări zilnice </w:t>
            </w:r>
          </w:p>
        </w:tc>
        <w:tc>
          <w:tcPr>
            <w:tcW w:w="2552"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Numărul de stații</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&gt;1,000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42</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500-1,000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42</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251-500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71</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101-250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188</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51-100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175</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11-50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435</w:t>
            </w:r>
          </w:p>
        </w:tc>
      </w:tr>
      <w:tr w:rsidR="00573AD5" w:rsidRPr="0076579A" w:rsidTr="0030066D">
        <w:trPr>
          <w:trHeight w:hRule="exact" w:val="340"/>
        </w:trPr>
        <w:tc>
          <w:tcPr>
            <w:tcW w:w="3544" w:type="dxa"/>
            <w:vAlign w:val="center"/>
          </w:tcPr>
          <w:p w:rsidR="00573AD5" w:rsidRPr="0076579A" w:rsidRDefault="00573AD5" w:rsidP="00573AD5">
            <w:pPr>
              <w:rPr>
                <w:rFonts w:cs="Arial"/>
                <w:sz w:val="20"/>
                <w:szCs w:val="20"/>
                <w:lang w:val="ro-RO"/>
              </w:rPr>
            </w:pPr>
            <w:r w:rsidRPr="0076579A">
              <w:rPr>
                <w:rFonts w:cs="Arial"/>
                <w:sz w:val="20"/>
                <w:szCs w:val="20"/>
                <w:lang w:val="ro-RO"/>
              </w:rPr>
              <w:t>&lt;10 îmbarcări</w:t>
            </w:r>
          </w:p>
        </w:tc>
        <w:tc>
          <w:tcPr>
            <w:tcW w:w="2552" w:type="dxa"/>
            <w:vAlign w:val="center"/>
          </w:tcPr>
          <w:p w:rsidR="00573AD5" w:rsidRPr="0076579A" w:rsidRDefault="00573AD5" w:rsidP="00573AD5">
            <w:pPr>
              <w:rPr>
                <w:rFonts w:cs="Arial"/>
                <w:sz w:val="20"/>
                <w:szCs w:val="20"/>
                <w:lang w:val="ro-RO"/>
              </w:rPr>
            </w:pPr>
            <w:r w:rsidRPr="0076579A">
              <w:rPr>
                <w:rFonts w:cs="Arial"/>
                <w:sz w:val="20"/>
                <w:szCs w:val="20"/>
                <w:lang w:val="ro-RO"/>
              </w:rPr>
              <w:t>535</w:t>
            </w:r>
          </w:p>
        </w:tc>
      </w:tr>
    </w:tbl>
    <w:p w:rsidR="00573AD5" w:rsidRPr="00AE1AD4" w:rsidRDefault="00573AD5" w:rsidP="00AE1AD4">
      <w:pPr>
        <w:ind w:left="851"/>
        <w:rPr>
          <w:i/>
          <w:lang w:val="ro-RO"/>
        </w:rPr>
      </w:pPr>
      <w:r w:rsidRPr="00AE1AD4">
        <w:rPr>
          <w:i/>
          <w:lang w:val="ro-RO"/>
        </w:rPr>
        <w:t xml:space="preserve">Sursa: Analiza AECOM </w:t>
      </w:r>
    </w:p>
    <w:p w:rsidR="00573AD5" w:rsidRPr="0076579A" w:rsidRDefault="00573AD5" w:rsidP="002B7E09">
      <w:pPr>
        <w:pStyle w:val="NumberedParas"/>
      </w:pPr>
      <w:r w:rsidRPr="0076579A">
        <w:lastRenderedPageBreak/>
        <w:t xml:space="preserve">În urma unei analize a datelor detaliate privind îmbarcarea în stații din alte țări s-au observat următoarele: </w:t>
      </w:r>
    </w:p>
    <w:p w:rsidR="00573AD5" w:rsidRPr="0076579A" w:rsidRDefault="00573AD5" w:rsidP="00573AD5">
      <w:pPr>
        <w:pStyle w:val="BulletLevel1"/>
        <w:spacing w:after="60"/>
      </w:pPr>
      <w:r w:rsidRPr="0076579A">
        <w:t xml:space="preserve">România: 1% din </w:t>
      </w:r>
      <w:r>
        <w:t>stații</w:t>
      </w:r>
      <w:r w:rsidRPr="0076579A">
        <w:t xml:space="preserve"> generează 42% din cerere, 23% din stații generând o cerere de 90%;</w:t>
      </w:r>
    </w:p>
    <w:p w:rsidR="00573AD5" w:rsidRPr="0076579A" w:rsidRDefault="00573AD5" w:rsidP="00573AD5">
      <w:pPr>
        <w:pStyle w:val="BulletLevel1"/>
        <w:spacing w:after="60"/>
      </w:pPr>
      <w:r w:rsidRPr="0076579A">
        <w:t xml:space="preserve">Anglia: 1% din </w:t>
      </w:r>
      <w:r>
        <w:t xml:space="preserve">stații </w:t>
      </w:r>
      <w:r w:rsidRPr="0076579A">
        <w:t>generează 35% din cerere, 33% din stații generând o cerere de 90%;</w:t>
      </w:r>
    </w:p>
    <w:p w:rsidR="00573AD5" w:rsidRPr="0076579A" w:rsidRDefault="00573AD5" w:rsidP="00573AD5">
      <w:pPr>
        <w:pStyle w:val="BulletLevel1"/>
        <w:spacing w:after="60"/>
      </w:pPr>
      <w:r w:rsidRPr="0076579A">
        <w:t xml:space="preserve">Scoția: 1% din </w:t>
      </w:r>
      <w:r>
        <w:t>stații</w:t>
      </w:r>
      <w:r w:rsidRPr="0076579A">
        <w:t xml:space="preserve"> generează 44% din cerere, 37% din stații generând o cerere de 90%;</w:t>
      </w:r>
    </w:p>
    <w:p w:rsidR="00573AD5" w:rsidRPr="0076579A" w:rsidRDefault="00573AD5" w:rsidP="00573AD5">
      <w:pPr>
        <w:pStyle w:val="BulletLevel1"/>
        <w:spacing w:after="60"/>
      </w:pPr>
      <w:r w:rsidRPr="0076579A">
        <w:t xml:space="preserve">Țata Galilor: 1% din </w:t>
      </w:r>
      <w:r>
        <w:t xml:space="preserve">stații </w:t>
      </w:r>
      <w:r w:rsidRPr="0076579A">
        <w:t>generează 35% din cerere, 31% din stații generând o cerere de 90%.</w:t>
      </w:r>
    </w:p>
    <w:p w:rsidR="00573AD5" w:rsidRPr="0076579A" w:rsidRDefault="00573AD5" w:rsidP="002B7E09">
      <w:pPr>
        <w:pStyle w:val="NumberedParas"/>
      </w:pPr>
      <w:r w:rsidRPr="0076579A">
        <w:t xml:space="preserve">Din această analiză rezultă faptul că există un procentaj mai mare de stații care generează doar 10% din cerere comparativ cu Anglia, Scoția sau Țara Galilor. Aceste rezultate indică faptul că există un procentaj mult mai mare de stații în România care generează o cerere mult mai mică comparativ cu exemplele din Marea Britanie. În </w:t>
      </w:r>
      <w:r>
        <w:t>Figura 5.5</w:t>
      </w:r>
      <w:r w:rsidRPr="0076579A">
        <w:t xml:space="preserve"> este ilustrată distribuția cumulativă a numărului de călători pe stații.</w:t>
      </w:r>
    </w:p>
    <w:p w:rsidR="00573AD5" w:rsidRPr="0076579A" w:rsidRDefault="00573AD5" w:rsidP="0030066D">
      <w:pPr>
        <w:spacing w:after="60"/>
        <w:rPr>
          <w:rFonts w:cs="Arial"/>
          <w:b/>
          <w:sz w:val="20"/>
          <w:szCs w:val="20"/>
          <w:lang w:val="ro-RO"/>
        </w:rPr>
      </w:pPr>
    </w:p>
    <w:p w:rsidR="00573AD5" w:rsidRPr="0076579A" w:rsidRDefault="00573AD5" w:rsidP="0030066D">
      <w:pPr>
        <w:ind w:left="720" w:hanging="720"/>
        <w:rPr>
          <w:b/>
          <w:lang w:val="ro-RO"/>
        </w:rPr>
      </w:pPr>
      <w:r w:rsidRPr="0076579A">
        <w:rPr>
          <w:b/>
          <w:noProof/>
          <w:lang w:val="ro-RO" w:eastAsia="ro-RO"/>
        </w:rPr>
        <w:drawing>
          <wp:inline distT="0" distB="0" distL="0" distR="0">
            <wp:extent cx="5873750" cy="3848621"/>
            <wp:effectExtent l="19050" t="0" r="0" b="0"/>
            <wp:docPr id="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872030" cy="3847494"/>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bCs/>
          <w:sz w:val="20"/>
          <w:szCs w:val="20"/>
          <w:lang w:val="ro-RO"/>
        </w:rPr>
        <w:t>Figura 5.5</w:t>
      </w:r>
      <w:r w:rsidRPr="0076579A">
        <w:rPr>
          <w:rFonts w:cs="Arial"/>
          <w:b/>
          <w:bCs/>
          <w:sz w:val="20"/>
          <w:szCs w:val="20"/>
          <w:lang w:val="ro-RO"/>
        </w:rPr>
        <w:t>:</w:t>
      </w:r>
      <w:r w:rsidRPr="0076579A">
        <w:rPr>
          <w:rFonts w:cs="Arial"/>
          <w:b/>
          <w:sz w:val="20"/>
          <w:szCs w:val="20"/>
          <w:lang w:val="ro-RO"/>
        </w:rPr>
        <w:t xml:space="preserve"> Distribuția cumulativă a numărului de călători pe stații</w:t>
      </w:r>
    </w:p>
    <w:p w:rsidR="00573AD5" w:rsidRPr="00AE1AD4" w:rsidRDefault="00573AD5" w:rsidP="00AE1AD4">
      <w:pPr>
        <w:ind w:left="851"/>
        <w:rPr>
          <w:i/>
          <w:lang w:val="ro-RO"/>
        </w:rPr>
      </w:pPr>
      <w:r w:rsidRPr="00AE1AD4">
        <w:rPr>
          <w:i/>
          <w:lang w:val="ro-RO"/>
        </w:rPr>
        <w:t xml:space="preserve">Sursa: Analiza datelor din cadrul Modelului Național de Transport pentru România realizată de AECOM </w:t>
      </w:r>
    </w:p>
    <w:p w:rsidR="00573AD5" w:rsidRPr="0076579A" w:rsidRDefault="00573AD5" w:rsidP="0030066D">
      <w:pPr>
        <w:spacing w:after="60"/>
        <w:rPr>
          <w:b/>
          <w:lang w:val="ro-RO"/>
        </w:rPr>
      </w:pPr>
    </w:p>
    <w:p w:rsidR="00573AD5" w:rsidRPr="0076579A" w:rsidRDefault="00573AD5" w:rsidP="0030066D">
      <w:pPr>
        <w:pStyle w:val="Hdg3"/>
      </w:pPr>
      <w:r w:rsidRPr="0076579A">
        <w:t xml:space="preserve">Călătorii </w:t>
      </w:r>
      <w:r>
        <w:t>fără bilet</w:t>
      </w:r>
    </w:p>
    <w:p w:rsidR="00573AD5" w:rsidRPr="0076579A" w:rsidRDefault="00573AD5" w:rsidP="002B7E09">
      <w:pPr>
        <w:pStyle w:val="NumberedParas"/>
      </w:pPr>
      <w:r w:rsidRPr="0076579A">
        <w:t xml:space="preserve">Există o serie de înregistrări din care rezultă proporția călătoriilor </w:t>
      </w:r>
      <w:r>
        <w:t>efectuate fără bilet</w:t>
      </w:r>
      <w:r w:rsidRPr="0076579A">
        <w:t xml:space="preserve"> De exemplu, CFR Călători a făcut anterior o estimare conform căreia un procentaj de 5% dintre călători circulă fără bilet, procentaj care nu este foarte diferit de</w:t>
      </w:r>
      <w:r>
        <w:t xml:space="preserve"> cel înregistrat de transportul</w:t>
      </w:r>
      <w:r w:rsidRPr="0076579A">
        <w:t xml:space="preserve"> feroviar din alte țări europene. Există însă înregistrări alternative care indică faptul că numărul de călătorii </w:t>
      </w:r>
      <w:r>
        <w:t>fără bilet</w:t>
      </w:r>
      <w:r w:rsidRPr="0076579A">
        <w:t xml:space="preserve"> este considerabil mai mare și că aproximativ o treime dintre călători circulă fără achiziționarea unui bilet. Dovezile empirice sugerează că procentajul real ar fi mai apropiat de a doua variantă. În orice caz, trebuie luate măsuri pentru reducerea procentajului de călătorii </w:t>
      </w:r>
      <w:r>
        <w:t>fără bilet</w:t>
      </w:r>
      <w:r w:rsidRPr="0076579A">
        <w:t xml:space="preserve">, care ar trebui să stea la baza unei propuneri viitoare, dat fiind faptul că o </w:t>
      </w:r>
      <w:r w:rsidRPr="0076579A">
        <w:lastRenderedPageBreak/>
        <w:t xml:space="preserve">creștere a veniturilor va contribui la consolidarea justificării financiare a investiției. Pierderea de venit estimată este de aproximativ 50 milioane de euro pe an. Liniile gestionate de CFR Călători înregistrează de regulă cel mai mare număr de călătorii frauduloase, fapt ce reflectă </w:t>
      </w:r>
      <w:r>
        <w:t>faptul că măsurile de protejare a veniturilor sunt în prezent  aplicate de</w:t>
      </w:r>
      <w:r w:rsidRPr="0076579A">
        <w:t xml:space="preserve"> operatori</w:t>
      </w:r>
      <w:r>
        <w:t>i</w:t>
      </w:r>
      <w:r w:rsidRPr="0076579A">
        <w:t xml:space="preserve"> privați.</w:t>
      </w:r>
    </w:p>
    <w:p w:rsidR="00573AD5" w:rsidRPr="0076579A" w:rsidRDefault="00573AD5" w:rsidP="0030066D">
      <w:pPr>
        <w:pStyle w:val="Hdg3"/>
      </w:pPr>
      <w:r w:rsidRPr="0076579A">
        <w:t>Prețurile biletelor</w:t>
      </w:r>
    </w:p>
    <w:p w:rsidR="00573AD5" w:rsidRPr="0076579A" w:rsidRDefault="00573AD5" w:rsidP="002B7E09">
      <w:pPr>
        <w:pStyle w:val="NumberedParas"/>
      </w:pPr>
      <w:r w:rsidRPr="0076579A">
        <w:t>În urma unei analize comparative s-a observat că tarifele de transport feroviar din România sunt relativ mari față de alte țări</w:t>
      </w:r>
      <w:r>
        <w:t xml:space="preserve"> europene</w:t>
      </w:r>
      <w:r w:rsidRPr="0076579A">
        <w:t xml:space="preserve">, dacă se compară puterea de cumpărare din aceste țări din UE. Acest lucru este relevant în special în cazul biletelor achiziționate în avans. Prețurile mari limitează oportunitățile de a atrage noi călători și reduc venitul net al sistemului feroviar, după cum poate fi observat în </w:t>
      </w:r>
      <w:r>
        <w:t>Figura 5.6</w:t>
      </w:r>
      <w:r w:rsidRPr="0076579A">
        <w:t>.</w:t>
      </w:r>
    </w:p>
    <w:p w:rsidR="00573AD5" w:rsidRPr="0076579A" w:rsidRDefault="00573AD5" w:rsidP="0030066D">
      <w:pPr>
        <w:spacing w:after="60"/>
        <w:rPr>
          <w:rFonts w:cs="Arial"/>
          <w:b/>
          <w:sz w:val="20"/>
          <w:szCs w:val="20"/>
          <w:lang w:val="ro-RO"/>
        </w:rPr>
      </w:pPr>
    </w:p>
    <w:p w:rsidR="00573AD5" w:rsidRPr="0076579A" w:rsidRDefault="00573AD5" w:rsidP="0030066D">
      <w:pPr>
        <w:spacing w:after="60"/>
        <w:rPr>
          <w:rFonts w:cs="Arial"/>
          <w:b/>
          <w:sz w:val="20"/>
          <w:szCs w:val="20"/>
          <w:lang w:val="ro-RO"/>
        </w:rPr>
      </w:pPr>
      <w:r w:rsidRPr="0076579A">
        <w:rPr>
          <w:rFonts w:cs="Arial"/>
          <w:b/>
          <w:noProof/>
          <w:sz w:val="20"/>
          <w:szCs w:val="20"/>
          <w:lang w:val="ro-RO" w:eastAsia="ro-RO"/>
        </w:rPr>
        <w:drawing>
          <wp:inline distT="0" distB="0" distL="0" distR="0">
            <wp:extent cx="5650230" cy="3580130"/>
            <wp:effectExtent l="19050" t="0" r="7620" b="0"/>
            <wp:docPr id="9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650230" cy="3580130"/>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5.6</w:t>
      </w:r>
      <w:r w:rsidRPr="0076579A">
        <w:rPr>
          <w:rFonts w:cs="Arial"/>
          <w:b/>
          <w:sz w:val="20"/>
          <w:szCs w:val="20"/>
          <w:lang w:val="ro-RO"/>
        </w:rPr>
        <w:t>: Comparație între tarifele din România și țări selecționate din UE</w:t>
      </w:r>
    </w:p>
    <w:p w:rsidR="00573AD5" w:rsidRPr="00AE1AD4" w:rsidRDefault="00573AD5" w:rsidP="00AE1AD4">
      <w:pPr>
        <w:ind w:left="851"/>
        <w:rPr>
          <w:i/>
          <w:lang w:val="ro-RO"/>
        </w:rPr>
      </w:pPr>
      <w:r w:rsidRPr="00AE1AD4">
        <w:rPr>
          <w:i/>
          <w:lang w:val="ro-RO"/>
        </w:rPr>
        <w:t xml:space="preserve">Sursa: Analiza AECOM a tarifelor selecționate pentru o călătorie de 100 km.Tarifele sunt ajustate pentru a ține cont de diferențele în PIB.  </w:t>
      </w:r>
    </w:p>
    <w:p w:rsidR="00573AD5" w:rsidRPr="0076579A" w:rsidRDefault="00573AD5" w:rsidP="0030066D">
      <w:pPr>
        <w:spacing w:after="60"/>
        <w:rPr>
          <w:rFonts w:cs="Arial"/>
          <w:b/>
          <w:sz w:val="20"/>
          <w:szCs w:val="20"/>
          <w:lang w:val="ro-RO"/>
        </w:rPr>
      </w:pPr>
    </w:p>
    <w:p w:rsidR="00573AD5" w:rsidRPr="0076579A" w:rsidRDefault="00573AD5" w:rsidP="0030066D">
      <w:pPr>
        <w:pStyle w:val="Hdg3"/>
      </w:pPr>
      <w:r w:rsidRPr="0076579A">
        <w:t>Nivelul de utilizare a transportului feroviar de marfă</w:t>
      </w:r>
    </w:p>
    <w:p w:rsidR="00573AD5" w:rsidRPr="0076579A" w:rsidRDefault="00573AD5" w:rsidP="002B7E09">
      <w:pPr>
        <w:pStyle w:val="NumberedParas"/>
      </w:pPr>
      <w:r w:rsidRPr="0076579A">
        <w:t>România este o țară relativ extinsă transportul feroviar fiind așadar adecvat. În general, este mai avantajoasă transportarea mărfurilor pe distanțe mari pe calea ferată, pentru că transportul feroviar furnizează o economie de scară mai bună decât transportul rutier. Cu toate acestea, transportul feroviar de marfă din România se află de mai multă vreme în declin</w:t>
      </w:r>
      <w:r>
        <w:t xml:space="preserve"> datorat în parte faptului că industriile tradiționale precum cea metalurgică au fost afectate de o scădere semnificativă a producției.</w:t>
      </w:r>
      <w:r w:rsidRPr="0076579A">
        <w:t xml:space="preserve"> Transportul feroviar a înregistrat o cotă de piață de 18% în 2012, ceea ce reprezintă o descreștere cu 1% față de anul 2011.</w:t>
      </w:r>
      <w:r>
        <w:t xml:space="preserve"> Cu toate acestea, se estimează că transportul feroviar de marfă va continua să piardă cotă de piață dacă nu apare o implicare în industriile noi, mai dinamice. Cele mai mari fluxuri de mărfuri transportate pe calea ferată în 2011 au fost reprezentate de combustibili minerali solizi, produse petrochimice </w:t>
      </w:r>
      <w:r>
        <w:lastRenderedPageBreak/>
        <w:t>și metalice – toate legate de industriile tradiționale prezentate în Figura 5.7. În plus, sectorul rutier s-a afirmat ca un competitor serios pentru transportul feroviar, oferind prețuri mai mici, timpi de parcurs mai mici și punctualitate mai mare.</w:t>
      </w:r>
    </w:p>
    <w:p w:rsidR="00573AD5" w:rsidRPr="0076579A" w:rsidRDefault="00573AD5" w:rsidP="0030066D">
      <w:pPr>
        <w:rPr>
          <w:rFonts w:cs="Arial"/>
          <w:b/>
          <w:sz w:val="20"/>
          <w:szCs w:val="20"/>
          <w:lang w:val="ro-RO"/>
        </w:rPr>
      </w:pPr>
    </w:p>
    <w:p w:rsidR="00573AD5" w:rsidRPr="0076579A" w:rsidRDefault="00573AD5" w:rsidP="0030066D">
      <w:pPr>
        <w:ind w:left="567"/>
        <w:rPr>
          <w:lang w:val="ro-RO"/>
        </w:rPr>
      </w:pPr>
      <w:r w:rsidRPr="00194A40">
        <w:rPr>
          <w:noProof/>
          <w:lang w:val="ro-RO" w:eastAsia="ro-RO"/>
        </w:rPr>
        <w:drawing>
          <wp:inline distT="0" distB="0" distL="0" distR="0">
            <wp:extent cx="4040505" cy="208407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040505" cy="2084070"/>
                    </a:xfrm>
                    <a:prstGeom prst="rect">
                      <a:avLst/>
                    </a:prstGeom>
                    <a:noFill/>
                    <a:ln>
                      <a:noFill/>
                    </a:ln>
                  </pic:spPr>
                </pic:pic>
              </a:graphicData>
            </a:graphic>
          </wp:inline>
        </w:drawing>
      </w:r>
    </w:p>
    <w:p w:rsidR="00573AD5" w:rsidRDefault="00573AD5" w:rsidP="0030066D">
      <w:pPr>
        <w:spacing w:after="60"/>
        <w:ind w:left="567"/>
        <w:rPr>
          <w:rFonts w:cs="Arial"/>
          <w:lang w:val="ro-RO"/>
        </w:rPr>
      </w:pPr>
      <w:r>
        <w:rPr>
          <w:rFonts w:cs="Arial"/>
          <w:b/>
          <w:sz w:val="20"/>
          <w:szCs w:val="20"/>
          <w:lang w:val="ro-RO"/>
        </w:rPr>
        <w:t>Figura 5.7</w:t>
      </w:r>
      <w:r w:rsidRPr="0076579A">
        <w:rPr>
          <w:rFonts w:cs="Arial"/>
          <w:b/>
          <w:sz w:val="20"/>
          <w:szCs w:val="20"/>
          <w:lang w:val="ro-RO"/>
        </w:rPr>
        <w:t>: Cota de piață a transportului feroviar de marfă</w:t>
      </w:r>
    </w:p>
    <w:p w:rsidR="00573AD5" w:rsidRPr="0076579A" w:rsidRDefault="00573AD5" w:rsidP="0030066D">
      <w:pPr>
        <w:spacing w:after="60"/>
        <w:ind w:left="567"/>
        <w:rPr>
          <w:rFonts w:cs="Arial"/>
          <w:lang w:val="ro-RO"/>
        </w:rPr>
      </w:pPr>
      <w:r w:rsidRPr="0076579A">
        <w:rPr>
          <w:rFonts w:cs="Arial"/>
          <w:lang w:val="ro-RO"/>
        </w:rPr>
        <w:t xml:space="preserve">Cota de piață a transportului feroviar de marfă în România în  2012 </w:t>
      </w:r>
    </w:p>
    <w:p w:rsidR="00573AD5" w:rsidRPr="00AE1AD4" w:rsidRDefault="00573AD5" w:rsidP="00AE1AD4">
      <w:pPr>
        <w:ind w:left="851"/>
        <w:rPr>
          <w:i/>
          <w:lang w:val="ro-RO"/>
        </w:rPr>
      </w:pPr>
      <w:r w:rsidRPr="00AE1AD4">
        <w:rPr>
          <w:i/>
          <w:lang w:val="ro-RO"/>
        </w:rPr>
        <w:t xml:space="preserve">Sursa:  </w:t>
      </w:r>
      <w:hyperlink r:id="rId178" w:history="1">
        <w:r w:rsidRPr="00AE1AD4">
          <w:rPr>
            <w:i/>
          </w:rPr>
          <w:t>http://www.insse.ro/cms/files/publicatii/Romania%20in%20cifre%202013_ro.pdf</w:t>
        </w:r>
      </w:hyperlink>
      <w:r w:rsidRPr="00AE1AD4">
        <w:rPr>
          <w:i/>
          <w:lang w:val="ro-RO"/>
        </w:rPr>
        <w:t xml:space="preserve"> </w:t>
      </w:r>
      <w:r w:rsidRPr="00AE1AD4">
        <w:rPr>
          <w:i/>
          <w:lang w:val="ro-RO"/>
        </w:rPr>
        <w:tab/>
      </w:r>
    </w:p>
    <w:p w:rsidR="00573AD5" w:rsidRDefault="00573AD5" w:rsidP="002B7E09">
      <w:pPr>
        <w:pStyle w:val="NumberedParas"/>
      </w:pPr>
      <w:r>
        <w:t xml:space="preserve"> Primele trei timpuri de mărfuri transportate pe calea ferată sunt combustibilii minerali solizi, produsee petrochimice și produsele metalice (a se consulta Figura 8.19)</w:t>
      </w:r>
    </w:p>
    <w:p w:rsidR="00573AD5" w:rsidRDefault="00573AD5" w:rsidP="00573AD5">
      <w:bookmarkStart w:id="96" w:name="_Toc413057752"/>
      <w:r>
        <w:rPr>
          <w:noProof/>
          <w:lang w:val="ro-RO" w:eastAsia="ro-RO"/>
        </w:rPr>
        <w:drawing>
          <wp:inline distT="0" distB="0" distL="0" distR="0">
            <wp:extent cx="5836257" cy="3471572"/>
            <wp:effectExtent l="19050" t="0" r="12093" b="0"/>
            <wp:docPr id="93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bookmarkEnd w:id="96"/>
    </w:p>
    <w:p w:rsidR="00573AD5" w:rsidRDefault="00573AD5" w:rsidP="0030066D">
      <w:pPr>
        <w:pStyle w:val="Caption"/>
        <w:rPr>
          <w:b/>
          <w:sz w:val="22"/>
          <w:szCs w:val="22"/>
        </w:rPr>
      </w:pPr>
      <w:r w:rsidRPr="00B37875">
        <w:rPr>
          <w:b/>
          <w:sz w:val="22"/>
          <w:szCs w:val="22"/>
        </w:rPr>
        <w:t>Figur</w:t>
      </w:r>
      <w:r>
        <w:rPr>
          <w:b/>
          <w:sz w:val="22"/>
          <w:szCs w:val="22"/>
        </w:rPr>
        <w:t>a</w:t>
      </w:r>
      <w:r w:rsidRPr="00B37875">
        <w:rPr>
          <w:b/>
          <w:sz w:val="22"/>
          <w:szCs w:val="22"/>
        </w:rPr>
        <w:t xml:space="preserve"> 5.</w:t>
      </w:r>
      <w:r w:rsidR="003259E9" w:rsidRPr="008C7A83">
        <w:rPr>
          <w:b/>
          <w:sz w:val="22"/>
          <w:szCs w:val="22"/>
        </w:rPr>
        <w:fldChar w:fldCharType="begin"/>
      </w:r>
      <w:r w:rsidRPr="00B37875">
        <w:rPr>
          <w:b/>
          <w:sz w:val="22"/>
          <w:szCs w:val="22"/>
        </w:rPr>
        <w:instrText xml:space="preserve"> SEQ Figure \* ARABIC </w:instrText>
      </w:r>
      <w:r w:rsidR="003259E9" w:rsidRPr="008C7A83">
        <w:rPr>
          <w:b/>
          <w:sz w:val="22"/>
          <w:szCs w:val="22"/>
        </w:rPr>
        <w:fldChar w:fldCharType="separate"/>
      </w:r>
      <w:r w:rsidRPr="008C7A83">
        <w:rPr>
          <w:b/>
          <w:sz w:val="22"/>
          <w:szCs w:val="22"/>
        </w:rPr>
        <w:t>8</w:t>
      </w:r>
      <w:r w:rsidR="003259E9" w:rsidRPr="008C7A83">
        <w:rPr>
          <w:b/>
          <w:sz w:val="22"/>
          <w:szCs w:val="22"/>
        </w:rPr>
        <w:fldChar w:fldCharType="end"/>
      </w:r>
      <w:r w:rsidRPr="00B37875">
        <w:rPr>
          <w:b/>
          <w:sz w:val="22"/>
          <w:szCs w:val="22"/>
        </w:rPr>
        <w:t xml:space="preserve">: </w:t>
      </w:r>
      <w:r>
        <w:rPr>
          <w:b/>
          <w:sz w:val="22"/>
          <w:szCs w:val="22"/>
        </w:rPr>
        <w:t>Fluxrui zilnice de mărfuri transportate</w:t>
      </w:r>
      <w:r w:rsidRPr="00B37875">
        <w:rPr>
          <w:b/>
          <w:sz w:val="22"/>
          <w:szCs w:val="22"/>
        </w:rPr>
        <w:t xml:space="preserve"> (Tone) </w:t>
      </w:r>
      <w:r>
        <w:rPr>
          <w:b/>
          <w:sz w:val="22"/>
          <w:szCs w:val="22"/>
        </w:rPr>
        <w:t>pe tipuri de mărfuri și pondere modală</w:t>
      </w:r>
    </w:p>
    <w:p w:rsidR="00573AD5" w:rsidRPr="00AE1AD4" w:rsidRDefault="00573AD5" w:rsidP="00AE1AD4">
      <w:pPr>
        <w:ind w:left="851"/>
        <w:rPr>
          <w:i/>
          <w:lang w:val="ro-RO"/>
        </w:rPr>
      </w:pPr>
      <w:r w:rsidRPr="00AE1AD4">
        <w:rPr>
          <w:i/>
          <w:lang w:val="ro-RO"/>
        </w:rPr>
        <w:t xml:space="preserve">Sursa:  </w:t>
      </w:r>
      <w:hyperlink r:id="rId180" w:history="1">
        <w:r w:rsidRPr="00AE1AD4">
          <w:rPr>
            <w:i/>
            <w:lang w:val="ro-RO"/>
          </w:rPr>
          <w:t>http://www.insse.ro/cms/files/publicatii/Romania%20in%20cifre%202013_ro.pdf</w:t>
        </w:r>
      </w:hyperlink>
    </w:p>
    <w:p w:rsidR="00573AD5" w:rsidRDefault="00573AD5" w:rsidP="002B7E09">
      <w:pPr>
        <w:pStyle w:val="NumberedParas"/>
      </w:pPr>
    </w:p>
    <w:p w:rsidR="00573AD5" w:rsidRDefault="00573AD5" w:rsidP="002B7E09">
      <w:pPr>
        <w:pStyle w:val="NumberedParas"/>
      </w:pPr>
      <w:r>
        <w:t xml:space="preserve"> Transportul mărfurior tradiționale tip vrac, nu este unul cu termen sensibil precum bunurile de larg consum, produsele alimentare sau auto. În consecință, vitezele mici din sistemul feroviar nu au reprezentat o problemă pentru clienți. În plus față de asigurarea celor mai bune condiții pentru clienții tradiționali de mărfuri vrac este important să învățăm lecțiile țărilor în care </w:t>
      </w:r>
      <w:r>
        <w:lastRenderedPageBreak/>
        <w:t>transportul feroviar de mărfuri este în creștere, cum ar fi Germania, Italia și Marea Britanie și să le aplicăm într-un mod selectiv și României.  Aceasta include transportul de bunuri de larg consum, de cele mai multe ori transportate în unități intermodale (containere), iar aceste mărfuri necesită timpi de parcurs fiabili scurți și preciși și prețuri competitive față de cele din sistemul rutier. Între aceste două extreme există o gamă de produse pentru care îmbunățirile aduse ofertei de servicii de ransport feroviar de marfă ar duce la creșterea procentului pe care traficul feroviar de marfă îl deține în România. Acestea au fost identificate prin comparații cu alte piețe de transport marfă. În sectorare precum cel al produselor metalice sau fertilizatorilor, există spațiu de creștere pentru transportul feroviar, acesta putând să își exploateze poziția existentă pentru a își crește cota de piață prin investiții specifice care vor conduce la creșterea fiabilității timpilor de parcurs și reducerii costurilor pentru coridoarele cheie pe care sunt transportate astfel de produse.</w:t>
      </w:r>
    </w:p>
    <w:p w:rsidR="00573AD5" w:rsidRPr="0076579A" w:rsidRDefault="00573AD5" w:rsidP="002B7E09">
      <w:pPr>
        <w:pStyle w:val="NumberedParas"/>
      </w:pPr>
      <w:r w:rsidRPr="0076579A">
        <w:t xml:space="preserve">Comparativ cu alte țări, România este poziționată pe locul 6, cu aproximativ 28% dintre mărfuri transportate pe calea ferată. Această proporție este cu aproximativ 10% mai mare comparativ cu media UE-27, de 18.4% (au fost utilizate datele din anul 2011, fiind cele mai recente date disponibile pe Eurostat în momentul redactării documentului adecvate pentru a face o comparație completă în întreaga țară). Această pondere ar putea să scadă dacă transportul rutier va fi îmbunătățit și va deveni mai eficient sau dacă industria feroviară nu va fi modernizată. Datele corespunzătoare României din anul 2012 indică un declin considerabil al cotei de piață în ceea ce privește numărul de tone-km, de la 28% la 21% până în anul 2011. Declinul industriilor grele tradiționale a contribuit, de asemenea, la reducerea pieței de transport feroviar de mărfuri, cu o descreștere de la 72 milioane de tone transportate în 2008 la 56 milioane tone în 2012. Această reducere a activităților de bază reduce venitul înregistrat de rețeaua feroviară, activități care nu au fost înlocuite cu o cerere pentru piețe noi. În </w:t>
      </w:r>
      <w:r>
        <w:t>Figura 5.9</w:t>
      </w:r>
      <w:r w:rsidRPr="0076579A">
        <w:t xml:space="preserve"> este ilustrat faptul că volumul de mărfuri transportate pe calea ferată a scăzut din 2006, cota de piață deținută de CFR Marfă reducându-se de la 75% la 60%. Această tendință a continuat, iar în 2012 operatorul de stat deținea doar 50% din piață. </w:t>
      </w:r>
    </w:p>
    <w:p w:rsidR="00573AD5" w:rsidRPr="00705E1F" w:rsidRDefault="00573AD5" w:rsidP="0030066D">
      <w:pPr>
        <w:spacing w:after="60"/>
        <w:ind w:left="567"/>
        <w:rPr>
          <w:rFonts w:cs="Arial"/>
          <w:b/>
          <w:sz w:val="20"/>
          <w:szCs w:val="20"/>
          <w:lang w:val="ro-RO"/>
        </w:rPr>
      </w:pPr>
    </w:p>
    <w:p w:rsidR="00573AD5" w:rsidRPr="0076579A" w:rsidRDefault="00573AD5" w:rsidP="002B7E09">
      <w:pPr>
        <w:pStyle w:val="NumberedParas"/>
        <w:numPr>
          <w:ilvl w:val="0"/>
          <w:numId w:val="0"/>
        </w:numPr>
        <w:ind w:left="851"/>
      </w:pPr>
      <w:r w:rsidRPr="0076579A">
        <w:rPr>
          <w:noProof/>
          <w:lang w:eastAsia="ro-RO"/>
        </w:rPr>
        <w:drawing>
          <wp:inline distT="0" distB="0" distL="0" distR="0">
            <wp:extent cx="4105072" cy="3113593"/>
            <wp:effectExtent l="0" t="0" r="0" b="0"/>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1" cstate="print"/>
                    <a:srcRect/>
                    <a:stretch>
                      <a:fillRect/>
                    </a:stretch>
                  </pic:blipFill>
                  <pic:spPr bwMode="auto">
                    <a:xfrm>
                      <a:off x="0" y="0"/>
                      <a:ext cx="4111425" cy="3118412"/>
                    </a:xfrm>
                    <a:prstGeom prst="rect">
                      <a:avLst/>
                    </a:prstGeom>
                    <a:noFill/>
                  </pic:spPr>
                </pic:pic>
              </a:graphicData>
            </a:graphic>
          </wp:inline>
        </w:drawing>
      </w:r>
    </w:p>
    <w:p w:rsidR="00573AD5" w:rsidRDefault="00573AD5" w:rsidP="0030066D">
      <w:pPr>
        <w:ind w:left="567"/>
        <w:rPr>
          <w:rFonts w:cs="Arial"/>
          <w:i/>
          <w:lang w:val="ro-RO"/>
        </w:rPr>
      </w:pPr>
      <w:r>
        <w:rPr>
          <w:rFonts w:cs="Arial"/>
          <w:b/>
          <w:sz w:val="20"/>
          <w:szCs w:val="20"/>
          <w:lang w:val="ro-RO"/>
        </w:rPr>
        <w:t>Figura 5.9</w:t>
      </w:r>
      <w:r w:rsidRPr="00705E1F">
        <w:rPr>
          <w:rFonts w:cs="Arial"/>
          <w:b/>
          <w:sz w:val="20"/>
          <w:szCs w:val="20"/>
          <w:lang w:val="ro-RO"/>
        </w:rPr>
        <w:t>: Schimbări în tonele de marfă transportate pe calea ferată (2006-2013)</w:t>
      </w:r>
    </w:p>
    <w:p w:rsidR="00573AD5" w:rsidRPr="00AE1AD4" w:rsidRDefault="00573AD5" w:rsidP="00AE1AD4">
      <w:pPr>
        <w:ind w:left="851"/>
        <w:rPr>
          <w:i/>
          <w:lang w:val="ro-RO"/>
        </w:rPr>
      </w:pPr>
      <w:r w:rsidRPr="00AE1AD4">
        <w:rPr>
          <w:i/>
          <w:lang w:val="ro-RO"/>
        </w:rPr>
        <w:t>Mii de tone de mărfuri transportate pe calea ferată în România (Sursa: Eurostat)</w:t>
      </w:r>
    </w:p>
    <w:p w:rsidR="00573AD5" w:rsidRPr="0076579A" w:rsidRDefault="00573AD5" w:rsidP="0030066D">
      <w:pPr>
        <w:pStyle w:val="Hdg3"/>
      </w:pPr>
      <w:r>
        <w:lastRenderedPageBreak/>
        <w:t xml:space="preserve">Nivelul </w:t>
      </w:r>
      <w:r w:rsidRPr="0076579A">
        <w:t>de servicii</w:t>
      </w:r>
    </w:p>
    <w:p w:rsidR="00573AD5" w:rsidRPr="0076579A" w:rsidRDefault="00573AD5" w:rsidP="002B7E09">
      <w:pPr>
        <w:pStyle w:val="NumberedParas"/>
      </w:pPr>
      <w:r w:rsidRPr="0076579A">
        <w:t xml:space="preserve">Rețeaua feroviară de transport călători din România este clasificată în linii “interoperabile” și neinteroperabile”. Trenurile care utilizează liniile interoperabile sunt operate </w:t>
      </w:r>
      <w:r>
        <w:t xml:space="preserve">fie </w:t>
      </w:r>
      <w:r w:rsidRPr="0076579A">
        <w:t xml:space="preserve">de operatorul de stat CFR Călători, </w:t>
      </w:r>
      <w:r>
        <w:t xml:space="preserve">fie de operatori privați </w:t>
      </w:r>
      <w:r w:rsidRPr="0076579A">
        <w:t xml:space="preserve">iar infrastructura este întreținută de compania de stat CFR SA. Pentru a oferi mai multe informații, în </w:t>
      </w:r>
      <w:r>
        <w:t>Figura 5.10</w:t>
      </w:r>
      <w:r w:rsidRPr="0076579A">
        <w:t xml:space="preserve"> este prezentată dispunerea liniilor interoperabile și neinteroperabile. Liniile interoperabile reprezintă 85% din rețeaua feroviară. În contrast, rutele neinteroperabile au fost transferate în sectorului privat, în urma unor licitații publice. </w:t>
      </w:r>
    </w:p>
    <w:p w:rsidR="00573AD5" w:rsidRPr="0076579A" w:rsidRDefault="00573AD5" w:rsidP="002B7E09">
      <w:pPr>
        <w:pStyle w:val="NumberedParas"/>
      </w:pPr>
      <w:r w:rsidRPr="0076579A">
        <w:t xml:space="preserve">Majoritatea liniilor ferate simple sunt închise în timpul dimineții pentru lucrări de întreținere (de regulă între orele 08.00 și 13.00) sau sunt operabile doar 16 ore pe zi. Astfel de închideri se efectuează și în cazul unor terminale de mărfuri și în puncte de trecere a frontierei. În consecință, trenurile trebuie să fie garate pentru a aștepta redeschiderea liniei sau trebuie programate în mersul trenurilor astfel încât să nu circule când se efectuează închideri de linie. Această problemă este întâmpinată și în cazul transportului feroviar de călători, cu pauze în programul de operare de până la șapte ore între anumite trenuri care opresc în stațiile intermediare dintre București și Brașov sau Craiova. În consecință, aceste rute nu reușesc să asigure un mers al trenurilor corespunzător cu cererea de călătorie. </w:t>
      </w:r>
    </w:p>
    <w:p w:rsidR="00573AD5" w:rsidRPr="0076579A" w:rsidRDefault="00573AD5" w:rsidP="0030066D">
      <w:pPr>
        <w:spacing w:after="60"/>
        <w:rPr>
          <w:rFonts w:cs="Arial"/>
          <w:b/>
          <w:sz w:val="20"/>
          <w:szCs w:val="20"/>
          <w:lang w:val="ro-RO"/>
        </w:rPr>
      </w:pPr>
    </w:p>
    <w:p w:rsidR="00573AD5" w:rsidRPr="0076579A" w:rsidRDefault="00573AD5" w:rsidP="0030066D">
      <w:pPr>
        <w:spacing w:after="60"/>
        <w:ind w:left="851" w:hanging="851"/>
        <w:rPr>
          <w:b/>
          <w:lang w:val="ro-RO"/>
        </w:rPr>
      </w:pPr>
      <w:r w:rsidRPr="0076579A">
        <w:rPr>
          <w:noProof/>
          <w:lang w:val="ro-RO" w:eastAsia="ro-RO"/>
        </w:rPr>
        <w:drawing>
          <wp:inline distT="0" distB="0" distL="0" distR="0">
            <wp:extent cx="6323330" cy="4477385"/>
            <wp:effectExtent l="19050" t="0" r="1270" b="0"/>
            <wp:docPr id="34" name="Picture 1" descr="Interoperable_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operable_links"/>
                    <pic:cNvPicPr>
                      <a:picLocks noChangeAspect="1" noChangeArrowheads="1"/>
                    </pic:cNvPicPr>
                  </pic:nvPicPr>
                  <pic:blipFill>
                    <a:blip r:embed="rId182" cstate="print"/>
                    <a:srcRect/>
                    <a:stretch>
                      <a:fillRect/>
                    </a:stretch>
                  </pic:blipFill>
                  <pic:spPr bwMode="auto">
                    <a:xfrm>
                      <a:off x="0" y="0"/>
                      <a:ext cx="6323330" cy="4477385"/>
                    </a:xfrm>
                    <a:prstGeom prst="rect">
                      <a:avLst/>
                    </a:prstGeom>
                    <a:noFill/>
                    <a:ln w="9525">
                      <a:noFill/>
                      <a:miter lim="800000"/>
                      <a:headEnd/>
                      <a:tailEnd/>
                    </a:ln>
                  </pic:spPr>
                </pic:pic>
              </a:graphicData>
            </a:graphic>
          </wp:inline>
        </w:drawing>
      </w:r>
    </w:p>
    <w:p w:rsidR="00573AD5" w:rsidRPr="0076579A" w:rsidRDefault="00573AD5" w:rsidP="0030066D">
      <w:pPr>
        <w:spacing w:after="60"/>
        <w:rPr>
          <w:rFonts w:cs="Arial"/>
          <w:b/>
          <w:sz w:val="20"/>
          <w:szCs w:val="20"/>
          <w:lang w:val="ro-RO"/>
        </w:rPr>
      </w:pPr>
      <w:r>
        <w:rPr>
          <w:rFonts w:cs="Arial"/>
          <w:b/>
          <w:sz w:val="20"/>
          <w:szCs w:val="20"/>
          <w:lang w:val="ro-RO"/>
        </w:rPr>
        <w:t>Figura 5.10</w:t>
      </w:r>
      <w:r w:rsidRPr="0076579A">
        <w:rPr>
          <w:rFonts w:cs="Arial"/>
          <w:b/>
          <w:sz w:val="20"/>
          <w:szCs w:val="20"/>
          <w:lang w:val="ro-RO"/>
        </w:rPr>
        <w:t xml:space="preserve"> Linii interoperabile și neinteroperabile </w:t>
      </w:r>
    </w:p>
    <w:p w:rsidR="00573AD5" w:rsidRPr="00AE1AD4" w:rsidRDefault="00573AD5" w:rsidP="00AE1AD4">
      <w:pPr>
        <w:ind w:left="851"/>
        <w:rPr>
          <w:i/>
          <w:lang w:val="ro-RO"/>
        </w:rPr>
      </w:pPr>
      <w:r w:rsidRPr="00AE1AD4">
        <w:rPr>
          <w:i/>
          <w:lang w:val="ro-RO"/>
        </w:rPr>
        <w:t xml:space="preserve">Sursa: Analiza datelor Modelului Național de Transport realizată de AECOM </w:t>
      </w:r>
    </w:p>
    <w:p w:rsidR="00573AD5" w:rsidRPr="0076579A" w:rsidRDefault="00573AD5" w:rsidP="0030066D">
      <w:pPr>
        <w:pStyle w:val="Hdg3"/>
      </w:pPr>
      <w:r w:rsidRPr="0076579A">
        <w:lastRenderedPageBreak/>
        <w:t>Performanța rețelei</w:t>
      </w:r>
    </w:p>
    <w:p w:rsidR="00573AD5" w:rsidRPr="0076579A" w:rsidRDefault="00573AD5" w:rsidP="002B7E09">
      <w:pPr>
        <w:pStyle w:val="NumberedParas"/>
      </w:pPr>
      <w:r w:rsidRPr="0076579A">
        <w:t xml:space="preserve">Performanța rețelei a fost rezumată ținând cont de adaptabilitatea graficelor de mers al trenurilor și de tiparele serviciilor furnizate la nevoile de pe piață. </w:t>
      </w:r>
      <w:r>
        <w:t>Figura 5.10</w:t>
      </w:r>
      <w:r w:rsidRPr="0076579A">
        <w:t xml:space="preserve"> prezintă frecvența medie a serviciilor de transport călători pe fiecare coridor și scoate în evidență timpii morți mari din graficele de mers al trenurilor care afectează rutele selecționate. Orele de plecare pentru cele mai aglomerate secțiuni ale rețelei feroviare, cum ar fi serviciile între București și Craiova, Constanța, Brașov și Focșani/Suceava, au intervale de succesiune neregulate, ceea ce determină un grafic de mers al trenurilor de călători complicat. Acest lucru reduce nivelul de confort al călătoriilor efectuate cu trenul. Mai mult, frecvența deplasărilor din stațiile locale mai mici este foarte redusă, cu un număr de plecări redus, la intervale neregulate de timp. De exemplu, există pauze în programul de operare de 7 ore între Ploiești și Brașov, Arad și Oradea,</w:t>
      </w:r>
      <w:r>
        <w:t>S</w:t>
      </w:r>
      <w:r w:rsidRPr="0076579A">
        <w:t>egmentele rețelei dintre Brașov și Alba Iulia via Sibiu, Caracal și Sibiu via Râmnicu Vâlcea, și dintre Suceava și Dej sunt cu precădere linii ferate simple</w:t>
      </w:r>
      <w:r>
        <w:t xml:space="preserve"> iar această dispunere restricționează numărul de trenuri care pot circula, în special în timpul zilei, date fiind lucrările de întreținere care trebuie efectuate pe rețea</w:t>
      </w:r>
      <w:r w:rsidRPr="0076579A">
        <w:t xml:space="preserve">. Numerosele servicii de pe timpul nopții compensează însă pentru numărul redus de trenuri din timpul zilei. </w:t>
      </w:r>
    </w:p>
    <w:p w:rsidR="00573AD5" w:rsidRPr="0076579A" w:rsidRDefault="00573AD5" w:rsidP="0030066D">
      <w:pPr>
        <w:spacing w:after="60"/>
        <w:rPr>
          <w:rFonts w:cs="Arial"/>
          <w:b/>
          <w:sz w:val="20"/>
          <w:szCs w:val="20"/>
          <w:lang w:val="ro-RO"/>
        </w:rPr>
      </w:pPr>
    </w:p>
    <w:p w:rsidR="00573AD5" w:rsidRPr="0076579A" w:rsidRDefault="00573AD5" w:rsidP="0030066D">
      <w:pPr>
        <w:spacing w:after="60"/>
        <w:rPr>
          <w:b/>
          <w:lang w:val="ro-RO"/>
        </w:rPr>
      </w:pPr>
      <w:r w:rsidRPr="0076579A">
        <w:rPr>
          <w:b/>
          <w:i/>
          <w:noProof/>
          <w:lang w:val="ro-RO" w:eastAsia="ro-RO"/>
        </w:rPr>
        <w:drawing>
          <wp:inline distT="0" distB="0" distL="0" distR="0">
            <wp:extent cx="4666615" cy="3312795"/>
            <wp:effectExtent l="19050" t="0" r="635"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666615" cy="3312795"/>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5.11</w:t>
      </w:r>
      <w:r w:rsidRPr="0076579A">
        <w:rPr>
          <w:rFonts w:cs="Arial"/>
          <w:b/>
          <w:sz w:val="20"/>
          <w:szCs w:val="20"/>
          <w:lang w:val="ro-RO"/>
        </w:rPr>
        <w:t xml:space="preserve"> Rezumatul frecvenței medii a trenurilor</w:t>
      </w:r>
    </w:p>
    <w:p w:rsidR="00573AD5" w:rsidRPr="00AE1AD4" w:rsidRDefault="00573AD5" w:rsidP="00AE1AD4">
      <w:pPr>
        <w:ind w:left="851"/>
        <w:rPr>
          <w:i/>
          <w:lang w:val="ro-RO"/>
        </w:rPr>
      </w:pPr>
      <w:r w:rsidRPr="00AE1AD4">
        <w:rPr>
          <w:i/>
          <w:lang w:val="ro-RO"/>
        </w:rPr>
        <w:t xml:space="preserve">Sursa: Analiza AECOM privind graficul de mers al trenurilor CFR Călători </w:t>
      </w:r>
    </w:p>
    <w:p w:rsidR="00573AD5" w:rsidRPr="0076579A" w:rsidRDefault="00573AD5" w:rsidP="0030066D">
      <w:pPr>
        <w:pStyle w:val="Hdg3"/>
      </w:pPr>
      <w:r w:rsidRPr="0076579A">
        <w:t>Viteza pe calea ferată</w:t>
      </w:r>
    </w:p>
    <w:p w:rsidR="00573AD5" w:rsidRPr="0076579A" w:rsidRDefault="00573AD5" w:rsidP="002B7E09">
      <w:pPr>
        <w:pStyle w:val="NumberedParas"/>
      </w:pPr>
      <w:r w:rsidRPr="0076579A">
        <w:t xml:space="preserve">În </w:t>
      </w:r>
      <w:r>
        <w:t>Figura 5.</w:t>
      </w:r>
      <w:r w:rsidRPr="0076579A">
        <w:t>1</w:t>
      </w:r>
      <w:r>
        <w:t>1</w:t>
      </w:r>
      <w:r w:rsidRPr="0076579A">
        <w:t xml:space="preserve"> este prezentată o comparație între viteza </w:t>
      </w:r>
      <w:r>
        <w:t>de circulație și viteza proiectată</w:t>
      </w:r>
      <w:r w:rsidRPr="0076579A">
        <w:t xml:space="preserve">ră, </w:t>
      </w:r>
      <w:r w:rsidRPr="0076579A">
        <w:rPr>
          <w:rStyle w:val="hps"/>
          <w:rFonts w:cs="Arial"/>
          <w:color w:val="000000" w:themeColor="text1"/>
        </w:rPr>
        <w:t>pentru</w:t>
      </w:r>
      <w:r w:rsidRPr="0076579A">
        <w:t xml:space="preserve"> </w:t>
      </w:r>
      <w:r w:rsidRPr="0076579A">
        <w:rPr>
          <w:rStyle w:val="hps"/>
          <w:rFonts w:cs="Arial"/>
          <w:color w:val="000000" w:themeColor="text1"/>
        </w:rPr>
        <w:t>a identifica</w:t>
      </w:r>
      <w:r w:rsidRPr="0076579A">
        <w:t xml:space="preserve"> </w:t>
      </w:r>
      <w:r w:rsidRPr="0076579A">
        <w:rPr>
          <w:rStyle w:val="hps"/>
          <w:rFonts w:cs="Arial"/>
          <w:color w:val="000000" w:themeColor="text1"/>
        </w:rPr>
        <w:t>secțiunile</w:t>
      </w:r>
      <w:r w:rsidRPr="0076579A">
        <w:t xml:space="preserve"> care </w:t>
      </w:r>
      <w:r w:rsidRPr="0076579A">
        <w:rPr>
          <w:rStyle w:val="hps"/>
          <w:rFonts w:cs="Arial"/>
          <w:color w:val="000000" w:themeColor="text1"/>
        </w:rPr>
        <w:t>sunt afectate de</w:t>
      </w:r>
      <w:r w:rsidRPr="0076579A">
        <w:t xml:space="preserve"> </w:t>
      </w:r>
      <w:r w:rsidRPr="0076579A">
        <w:rPr>
          <w:rStyle w:val="hps"/>
          <w:rFonts w:cs="Arial"/>
          <w:color w:val="000000" w:themeColor="text1"/>
        </w:rPr>
        <w:t>o viteză</w:t>
      </w:r>
      <w:r w:rsidRPr="0076579A">
        <w:t xml:space="preserve"> </w:t>
      </w:r>
      <w:r w:rsidRPr="0076579A">
        <w:rPr>
          <w:rStyle w:val="hps"/>
          <w:rFonts w:cs="Arial"/>
          <w:color w:val="000000" w:themeColor="text1"/>
        </w:rPr>
        <w:t>deosebit de mică</w:t>
      </w:r>
      <w:r w:rsidRPr="0076579A">
        <w:t xml:space="preserve">. O mare parte a rețelei din apropierea municipiului București înregistrează o valoare de 0.4-0.6, ceea ce indică viteze relativ reduse comparativ cu viteza maximă teoretică. </w:t>
      </w:r>
      <w:r w:rsidRPr="0076579A">
        <w:rPr>
          <w:rStyle w:val="hps"/>
          <w:rFonts w:cs="Arial"/>
          <w:color w:val="000000" w:themeColor="text1"/>
        </w:rPr>
        <w:t>Doar puține segmente</w:t>
      </w:r>
      <w:r w:rsidRPr="0076579A">
        <w:t xml:space="preserve"> </w:t>
      </w:r>
      <w:r w:rsidRPr="0076579A">
        <w:rPr>
          <w:rStyle w:val="hps"/>
          <w:rFonts w:cs="Arial"/>
          <w:color w:val="000000" w:themeColor="text1"/>
        </w:rPr>
        <w:t>ale rețelei</w:t>
      </w:r>
      <w:r w:rsidRPr="0076579A">
        <w:t xml:space="preserve"> </w:t>
      </w:r>
      <w:r w:rsidRPr="0076579A">
        <w:rPr>
          <w:rStyle w:val="hps"/>
          <w:rFonts w:cs="Arial"/>
          <w:color w:val="000000" w:themeColor="text1"/>
        </w:rPr>
        <w:t>au o valoare de</w:t>
      </w:r>
      <w:r w:rsidRPr="0076579A">
        <w:t xml:space="preserve"> </w:t>
      </w:r>
      <w:r w:rsidRPr="0076579A">
        <w:rPr>
          <w:rStyle w:val="hps"/>
          <w:rFonts w:cs="Arial"/>
          <w:color w:val="000000" w:themeColor="text1"/>
        </w:rPr>
        <w:t>peste</w:t>
      </w:r>
      <w:r w:rsidRPr="0076579A">
        <w:t xml:space="preserve"> </w:t>
      </w:r>
      <w:r w:rsidRPr="0076579A">
        <w:rPr>
          <w:rStyle w:val="hps"/>
          <w:rFonts w:cs="Arial"/>
          <w:color w:val="000000" w:themeColor="text1"/>
        </w:rPr>
        <w:t>0.</w:t>
      </w:r>
      <w:r>
        <w:rPr>
          <w:rStyle w:val="hps"/>
          <w:rFonts w:cs="Arial"/>
          <w:color w:val="000000" w:themeColor="text1"/>
        </w:rPr>
        <w:t>8 dar distribuția acestor segmente nu urmează un model specific, spre exemplu, liniile care se află cel mai aporape de București să beneficieze de viteze mai mari.</w:t>
      </w:r>
      <w:r w:rsidRPr="0076579A">
        <w:t xml:space="preserve"> Este foarte probabil ca la acest rezultat să fi contribuit eliminarea multor trenuri InterCity </w:t>
      </w:r>
      <w:r w:rsidRPr="0076579A">
        <w:lastRenderedPageBreak/>
        <w:t xml:space="preserve">din graficul de mers al trenurilor și înlocuirea acestora cu trenuri InterRegio, care au o viteză mai redusă și care de regulă fac opriri intermediare mai dese. </w:t>
      </w:r>
    </w:p>
    <w:p w:rsidR="00573AD5" w:rsidRPr="0076579A" w:rsidRDefault="00573AD5" w:rsidP="0030066D">
      <w:pPr>
        <w:rPr>
          <w:rFonts w:cs="Arial"/>
          <w:b/>
          <w:sz w:val="20"/>
          <w:szCs w:val="20"/>
          <w:lang w:val="ro-RO"/>
        </w:rPr>
      </w:pPr>
    </w:p>
    <w:p w:rsidR="00573AD5" w:rsidRDefault="00573AD5" w:rsidP="0030066D">
      <w:pPr>
        <w:spacing w:after="60"/>
        <w:rPr>
          <w:rFonts w:cs="Arial"/>
          <w:b/>
          <w:sz w:val="20"/>
          <w:szCs w:val="20"/>
          <w:lang w:val="ro-RO"/>
        </w:rPr>
      </w:pPr>
      <w:r w:rsidRPr="00944029">
        <w:rPr>
          <w:rFonts w:cs="Arial"/>
          <w:b/>
          <w:noProof/>
          <w:sz w:val="20"/>
          <w:szCs w:val="20"/>
          <w:lang w:val="ro-RO" w:eastAsia="ro-RO"/>
        </w:rPr>
        <w:drawing>
          <wp:inline distT="0" distB="0" distL="0" distR="0">
            <wp:extent cx="5936476" cy="4183812"/>
            <wp:effectExtent l="19050" t="0" r="7124" b="0"/>
            <wp:docPr id="36" name="Picture 20" descr="E:\Ratio_design_vs_Av_Speed_Base_scenario_fast_slow_t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Ratio_design_vs_Av_Speed_Base_scenario_fast_slow_trains.jpg"/>
                    <pic:cNvPicPr>
                      <a:picLocks noChangeAspect="1" noChangeArrowheads="1"/>
                    </pic:cNvPicPr>
                  </pic:nvPicPr>
                  <pic:blipFill>
                    <a:blip r:embed="rId184" cstate="print"/>
                    <a:srcRect l="2636" t="2759" r="2441" b="2710"/>
                    <a:stretch>
                      <a:fillRect/>
                    </a:stretch>
                  </pic:blipFill>
                  <pic:spPr bwMode="auto">
                    <a:xfrm>
                      <a:off x="0" y="0"/>
                      <a:ext cx="5938876" cy="4185504"/>
                    </a:xfrm>
                    <a:prstGeom prst="rect">
                      <a:avLst/>
                    </a:prstGeom>
                    <a:noFill/>
                    <a:ln w="9525">
                      <a:noFill/>
                      <a:miter lim="800000"/>
                      <a:headEnd/>
                      <a:tailEnd/>
                    </a:ln>
                  </pic:spPr>
                </pic:pic>
              </a:graphicData>
            </a:graphic>
          </wp:inline>
        </w:drawing>
      </w:r>
    </w:p>
    <w:p w:rsidR="00573AD5" w:rsidRPr="0076579A" w:rsidRDefault="00573AD5" w:rsidP="0030066D">
      <w:pPr>
        <w:spacing w:after="60"/>
        <w:rPr>
          <w:rFonts w:cs="Arial"/>
          <w:b/>
          <w:sz w:val="20"/>
          <w:szCs w:val="20"/>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2</w:t>
      </w:r>
      <w:r w:rsidRPr="0076579A">
        <w:rPr>
          <w:rFonts w:cs="Arial"/>
          <w:b/>
          <w:sz w:val="20"/>
          <w:szCs w:val="20"/>
          <w:lang w:val="ro-RO"/>
        </w:rPr>
        <w:t xml:space="preserve"> Comparație între viteza medie </w:t>
      </w:r>
      <w:r>
        <w:rPr>
          <w:rFonts w:cs="Arial"/>
          <w:b/>
          <w:sz w:val="20"/>
          <w:szCs w:val="20"/>
          <w:lang w:val="ro-RO"/>
        </w:rPr>
        <w:t xml:space="preserve">de circulație </w:t>
      </w:r>
      <w:r w:rsidRPr="0076579A">
        <w:rPr>
          <w:rFonts w:cs="Arial"/>
          <w:b/>
          <w:sz w:val="20"/>
          <w:szCs w:val="20"/>
          <w:lang w:val="ro-RO"/>
        </w:rPr>
        <w:t>și viteza maximă pe calea ferată</w:t>
      </w:r>
    </w:p>
    <w:p w:rsidR="00573AD5" w:rsidRPr="00AE1AD4" w:rsidRDefault="00573AD5" w:rsidP="00AE1AD4">
      <w:pPr>
        <w:ind w:left="851"/>
        <w:rPr>
          <w:i/>
          <w:lang w:val="ro-RO"/>
        </w:rPr>
      </w:pPr>
      <w:r w:rsidRPr="00AE1AD4">
        <w:rPr>
          <w:i/>
          <w:lang w:val="ro-RO"/>
        </w:rPr>
        <w:t>Sursa: Analiza AECOM privind graficele de mers al trenurilor CFR Călători și datele furnizate de CFR Infrastructură</w:t>
      </w:r>
      <w:r w:rsidRPr="00AE1AD4">
        <w:footnoteReference w:id="26"/>
      </w:r>
    </w:p>
    <w:p w:rsidR="00573AD5" w:rsidRPr="0076579A" w:rsidRDefault="00573AD5" w:rsidP="002B7E09">
      <w:pPr>
        <w:pStyle w:val="NumberedParas"/>
        <w:numPr>
          <w:ilvl w:val="0"/>
          <w:numId w:val="0"/>
        </w:numPr>
        <w:ind w:left="851"/>
      </w:pPr>
    </w:p>
    <w:p w:rsidR="00573AD5" w:rsidRPr="0076579A" w:rsidRDefault="00573AD5" w:rsidP="002B7E09">
      <w:pPr>
        <w:pStyle w:val="NumberedParas"/>
      </w:pPr>
      <w:r w:rsidRPr="0076579A">
        <w:t xml:space="preserve">Vitezele de călătorie cu trenul din România selecționate au fost comparate cu exemple de servicii europene, după cum este ilustrat în </w:t>
      </w:r>
      <w:r>
        <w:t>Figura 5.</w:t>
      </w:r>
      <w:r w:rsidRPr="0076579A">
        <w:t>1</w:t>
      </w:r>
      <w:r>
        <w:t>2</w:t>
      </w:r>
      <w:r w:rsidRPr="0076579A">
        <w:t xml:space="preserve">. De exemplu, viteza medie în România este de aproximativ 65-70km/h, însă o comparație cu Regatul Unit sau Germania indică faptul că viteza de călătorie cu trenul în România este de aproape două ori mai mică decât în aceste țări. Mai mult, timpii de parcurs din România sunt cu 40% mai lungi comparativ cu Ungaria și Polonia. Topografia din România reprezintă unul dintre factorii care afectează parțial viteza de călătorie, de exemplu, terenul deluros dintre București și Cluj, dar există și alți factori care afectează viteza de călătorie printre care numeroasele opriri intermediare, timpii mari de staționare și diversele motive tehnice menționate mai jos.   </w:t>
      </w:r>
    </w:p>
    <w:p w:rsidR="00573AD5" w:rsidRPr="0076579A" w:rsidRDefault="00573AD5" w:rsidP="0030066D">
      <w:pPr>
        <w:rPr>
          <w:rFonts w:cs="Arial"/>
          <w:b/>
          <w:sz w:val="20"/>
          <w:szCs w:val="20"/>
          <w:lang w:val="ro-RO"/>
        </w:rPr>
      </w:pPr>
      <w:r w:rsidRPr="0076579A">
        <w:rPr>
          <w:rFonts w:cs="Arial"/>
          <w:b/>
          <w:sz w:val="20"/>
          <w:szCs w:val="20"/>
          <w:lang w:val="ro-RO"/>
        </w:rPr>
        <w:br w:type="page"/>
      </w:r>
    </w:p>
    <w:p w:rsidR="00573AD5" w:rsidRPr="0076579A" w:rsidRDefault="00573AD5" w:rsidP="0030066D">
      <w:pPr>
        <w:spacing w:after="60"/>
        <w:rPr>
          <w:rFonts w:cs="Arial"/>
          <w:b/>
          <w:sz w:val="20"/>
          <w:szCs w:val="20"/>
          <w:lang w:val="ro-RO"/>
        </w:rPr>
      </w:pPr>
    </w:p>
    <w:p w:rsidR="00573AD5" w:rsidRPr="0076579A" w:rsidRDefault="00573AD5" w:rsidP="0030066D">
      <w:pPr>
        <w:spacing w:after="60"/>
        <w:ind w:left="851" w:hanging="851"/>
        <w:rPr>
          <w:b/>
          <w:lang w:val="ro-RO"/>
        </w:rPr>
      </w:pPr>
      <w:r w:rsidRPr="0076579A">
        <w:rPr>
          <w:b/>
          <w:noProof/>
          <w:lang w:val="ro-RO" w:eastAsia="ro-RO"/>
        </w:rPr>
        <w:drawing>
          <wp:inline distT="0" distB="0" distL="0" distR="0">
            <wp:extent cx="5356860" cy="3510915"/>
            <wp:effectExtent l="19050" t="0" r="0" b="0"/>
            <wp:docPr id="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356860" cy="3510915"/>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3</w:t>
      </w:r>
      <w:r w:rsidRPr="0076579A">
        <w:rPr>
          <w:rFonts w:cs="Arial"/>
          <w:b/>
          <w:sz w:val="20"/>
          <w:szCs w:val="20"/>
          <w:lang w:val="ro-RO"/>
        </w:rPr>
        <w:t xml:space="preserve"> Comparație a timpilor de călătorie cu trenul – România versus exemple din Europa (km/h)</w:t>
      </w:r>
    </w:p>
    <w:p w:rsidR="00573AD5" w:rsidRPr="00AE1AD4" w:rsidRDefault="00573AD5" w:rsidP="00AE1AD4">
      <w:pPr>
        <w:ind w:left="851"/>
        <w:rPr>
          <w:i/>
          <w:lang w:val="ro-RO"/>
        </w:rPr>
      </w:pPr>
      <w:r w:rsidRPr="00AE1AD4">
        <w:rPr>
          <w:i/>
          <w:lang w:val="ro-RO"/>
        </w:rPr>
        <w:t xml:space="preserve">Sursa: Analiza AECOM privind graficul de mers al trenurilor CFR Călători și pagina web DB </w:t>
      </w:r>
    </w:p>
    <w:p w:rsidR="00573AD5" w:rsidRPr="0076579A" w:rsidRDefault="00573AD5" w:rsidP="002B7E09">
      <w:pPr>
        <w:pStyle w:val="NumberedParas"/>
      </w:pPr>
      <w:r w:rsidRPr="0076579A">
        <w:t>Există o serie de factori care contribuie la vitezele reduse de călătorie enunțate mai sus. Printre aceștia se numără timpii mari de staționare, incluzând:</w:t>
      </w:r>
    </w:p>
    <w:p w:rsidR="00573AD5" w:rsidRPr="0076579A" w:rsidRDefault="00573AD5" w:rsidP="00573AD5">
      <w:pPr>
        <w:pStyle w:val="BulletLevel1"/>
        <w:spacing w:after="60"/>
      </w:pPr>
      <w:r w:rsidRPr="0076579A">
        <w:t>schimbările de locomotive electrice cu diesel;</w:t>
      </w:r>
    </w:p>
    <w:p w:rsidR="00573AD5" w:rsidRPr="0076579A" w:rsidRDefault="00573AD5" w:rsidP="00573AD5">
      <w:pPr>
        <w:pStyle w:val="BulletLevel1"/>
        <w:spacing w:after="60"/>
      </w:pPr>
      <w:r w:rsidRPr="0076579A">
        <w:t xml:space="preserve">necesitatea de efectuare a manevrelor de întoarcere în anumite stații, factor amplificat de operarea de garnituri locale în locul utilizării garniturilor DMU sau de unități push/pull pentru trenurile pe distanțe mari;  </w:t>
      </w:r>
    </w:p>
    <w:p w:rsidR="00573AD5" w:rsidRPr="0076579A" w:rsidRDefault="00573AD5" w:rsidP="00573AD5">
      <w:pPr>
        <w:pStyle w:val="BulletLevel1"/>
        <w:spacing w:after="60"/>
        <w:rPr>
          <w:rStyle w:val="hps"/>
          <w:sz w:val="18"/>
          <w:szCs w:val="18"/>
          <w:lang w:val="en-GB"/>
        </w:rPr>
      </w:pPr>
      <w:r w:rsidRPr="0076579A">
        <w:rPr>
          <w:rStyle w:val="hps"/>
          <w:rFonts w:cs="Arial"/>
          <w:color w:val="000000" w:themeColor="text1"/>
        </w:rPr>
        <w:t>întârzieri</w:t>
      </w:r>
      <w:r w:rsidRPr="0076579A">
        <w:t xml:space="preserve"> </w:t>
      </w:r>
      <w:r w:rsidRPr="0076579A">
        <w:rPr>
          <w:rStyle w:val="hps"/>
          <w:rFonts w:cs="Arial"/>
          <w:color w:val="000000" w:themeColor="text1"/>
        </w:rPr>
        <w:t>cauzate de așteptarea altor trenuri</w:t>
      </w:r>
      <w:r w:rsidRPr="0076579A">
        <w:t xml:space="preserve"> pe sectoarele cu linie ferată simplă</w:t>
      </w:r>
      <w:r w:rsidRPr="0076579A">
        <w:rPr>
          <w:rStyle w:val="hps"/>
          <w:rFonts w:cs="Arial"/>
          <w:color w:val="000000" w:themeColor="text1"/>
        </w:rPr>
        <w:t xml:space="preserve">; și </w:t>
      </w:r>
    </w:p>
    <w:p w:rsidR="00573AD5" w:rsidRPr="0076579A" w:rsidRDefault="00573AD5" w:rsidP="00573AD5">
      <w:pPr>
        <w:pStyle w:val="BulletLevel1"/>
        <w:spacing w:after="60"/>
      </w:pPr>
      <w:r w:rsidRPr="0076579A">
        <w:t xml:space="preserve">obligația de efectuare a </w:t>
      </w:r>
      <w:r w:rsidRPr="0076579A">
        <w:rPr>
          <w:rStyle w:val="hps"/>
          <w:rFonts w:cs="Arial"/>
          <w:color w:val="000000" w:themeColor="text1"/>
        </w:rPr>
        <w:t>inspecțiilor periodice ale</w:t>
      </w:r>
      <w:r w:rsidRPr="0076579A">
        <w:t xml:space="preserve"> </w:t>
      </w:r>
      <w:r w:rsidRPr="0076579A">
        <w:rPr>
          <w:rStyle w:val="hps"/>
          <w:rFonts w:cs="Arial"/>
          <w:color w:val="000000" w:themeColor="text1"/>
        </w:rPr>
        <w:t>materialului rulant vechi</w:t>
      </w:r>
      <w:r w:rsidRPr="0076579A">
        <w:t xml:space="preserve">. </w:t>
      </w:r>
    </w:p>
    <w:p w:rsidR="00573AD5" w:rsidRPr="0076579A" w:rsidRDefault="00573AD5" w:rsidP="002B7E09">
      <w:pPr>
        <w:pStyle w:val="NumberedParas"/>
      </w:pPr>
      <w:r w:rsidRPr="0076579A">
        <w:t xml:space="preserve">Procedurile vamale actuale contribuie, de asemenea, la înregistrarea de întârzieri mari și nu încurajează comerțul transfrontalier. Sunt incluse aici și întârzierile de la granița cu țările vecine, membre ale UE. </w:t>
      </w:r>
      <w:r w:rsidRPr="0076579A">
        <w:rPr>
          <w:rStyle w:val="hps"/>
          <w:rFonts w:cs="Arial"/>
          <w:color w:val="000000" w:themeColor="text1"/>
        </w:rPr>
        <w:t>Întârzierile</w:t>
      </w:r>
      <w:r w:rsidRPr="0076579A">
        <w:rPr>
          <w:rFonts w:cs="Arial"/>
          <w:color w:val="000000" w:themeColor="text1"/>
        </w:rPr>
        <w:t xml:space="preserve"> </w:t>
      </w:r>
      <w:r w:rsidRPr="0076579A">
        <w:rPr>
          <w:rStyle w:val="hps"/>
          <w:rFonts w:cs="Arial"/>
          <w:color w:val="000000" w:themeColor="text1"/>
        </w:rPr>
        <w:t>tipice</w:t>
      </w:r>
      <w:r w:rsidRPr="0076579A">
        <w:rPr>
          <w:rFonts w:cs="Arial"/>
          <w:color w:val="000000" w:themeColor="text1"/>
        </w:rPr>
        <w:t xml:space="preserve"> </w:t>
      </w:r>
      <w:r w:rsidRPr="0076579A">
        <w:rPr>
          <w:rStyle w:val="hps"/>
          <w:rFonts w:cs="Arial"/>
          <w:color w:val="000000" w:themeColor="text1"/>
        </w:rPr>
        <w:t>care afectează</w:t>
      </w:r>
      <w:r w:rsidRPr="0076579A">
        <w:rPr>
          <w:rFonts w:cs="Arial"/>
          <w:color w:val="000000" w:themeColor="text1"/>
        </w:rPr>
        <w:t xml:space="preserve"> </w:t>
      </w:r>
      <w:r w:rsidRPr="0076579A">
        <w:rPr>
          <w:rStyle w:val="hps"/>
          <w:rFonts w:cs="Arial"/>
          <w:color w:val="000000" w:themeColor="text1"/>
        </w:rPr>
        <w:t>trenurile de marfă</w:t>
      </w:r>
      <w:r w:rsidRPr="0076579A">
        <w:rPr>
          <w:rFonts w:cs="Arial"/>
          <w:color w:val="000000" w:themeColor="text1"/>
        </w:rPr>
        <w:t xml:space="preserve"> </w:t>
      </w:r>
      <w:r w:rsidRPr="0076579A">
        <w:rPr>
          <w:rStyle w:val="hps"/>
          <w:rFonts w:cs="Arial"/>
          <w:color w:val="000000" w:themeColor="text1"/>
        </w:rPr>
        <w:t>sunt de până</w:t>
      </w:r>
      <w:r w:rsidRPr="0076579A">
        <w:rPr>
          <w:rFonts w:cs="Arial"/>
          <w:color w:val="000000" w:themeColor="text1"/>
        </w:rPr>
        <w:t xml:space="preserve"> </w:t>
      </w:r>
      <w:r w:rsidRPr="0076579A">
        <w:rPr>
          <w:rStyle w:val="hps"/>
          <w:rFonts w:cs="Arial"/>
          <w:color w:val="000000" w:themeColor="text1"/>
        </w:rPr>
        <w:t>la 30 de ore</w:t>
      </w:r>
      <w:r w:rsidRPr="0076579A">
        <w:rPr>
          <w:rFonts w:cs="Arial"/>
          <w:color w:val="000000" w:themeColor="text1"/>
        </w:rPr>
        <w:t xml:space="preserve"> </w:t>
      </w:r>
      <w:r w:rsidRPr="0076579A">
        <w:rPr>
          <w:rStyle w:val="hps"/>
          <w:rFonts w:cs="Arial"/>
          <w:color w:val="000000" w:themeColor="text1"/>
        </w:rPr>
        <w:t>pe</w:t>
      </w:r>
      <w:r w:rsidRPr="0076579A">
        <w:rPr>
          <w:rFonts w:cs="Arial"/>
          <w:color w:val="000000" w:themeColor="text1"/>
        </w:rPr>
        <w:t xml:space="preserve"> </w:t>
      </w:r>
      <w:r w:rsidRPr="0076579A">
        <w:rPr>
          <w:rStyle w:val="hps"/>
          <w:rFonts w:cs="Arial"/>
          <w:color w:val="000000" w:themeColor="text1"/>
        </w:rPr>
        <w:t>partea ungară</w:t>
      </w:r>
      <w:r w:rsidRPr="0076579A">
        <w:rPr>
          <w:rFonts w:cs="Arial"/>
          <w:color w:val="000000" w:themeColor="text1"/>
        </w:rPr>
        <w:t xml:space="preserve"> </w:t>
      </w:r>
      <w:r w:rsidRPr="0076579A">
        <w:rPr>
          <w:rStyle w:val="hps"/>
          <w:rFonts w:cs="Arial"/>
          <w:color w:val="000000" w:themeColor="text1"/>
        </w:rPr>
        <w:t>și</w:t>
      </w:r>
      <w:r w:rsidRPr="0076579A">
        <w:rPr>
          <w:rFonts w:cs="Arial"/>
          <w:color w:val="000000" w:themeColor="text1"/>
        </w:rPr>
        <w:t xml:space="preserve"> de </w:t>
      </w:r>
      <w:r w:rsidRPr="0076579A">
        <w:rPr>
          <w:rStyle w:val="hps"/>
          <w:rFonts w:cs="Arial"/>
          <w:color w:val="000000" w:themeColor="text1"/>
        </w:rPr>
        <w:t>4-5 ore</w:t>
      </w:r>
      <w:r w:rsidRPr="0076579A">
        <w:rPr>
          <w:rFonts w:cs="Arial"/>
          <w:color w:val="000000" w:themeColor="text1"/>
        </w:rPr>
        <w:t xml:space="preserve"> </w:t>
      </w:r>
      <w:r w:rsidRPr="0076579A">
        <w:rPr>
          <w:rStyle w:val="hps"/>
          <w:rFonts w:cs="Arial"/>
          <w:color w:val="000000" w:themeColor="text1"/>
        </w:rPr>
        <w:t>pe</w:t>
      </w:r>
      <w:r w:rsidRPr="0076579A">
        <w:rPr>
          <w:rFonts w:cs="Arial"/>
          <w:color w:val="000000" w:themeColor="text1"/>
        </w:rPr>
        <w:t xml:space="preserve"> </w:t>
      </w:r>
      <w:r w:rsidRPr="0076579A">
        <w:rPr>
          <w:rStyle w:val="hps"/>
          <w:rFonts w:cs="Arial"/>
          <w:color w:val="000000" w:themeColor="text1"/>
        </w:rPr>
        <w:t>partea română</w:t>
      </w:r>
      <w:r w:rsidRPr="0076579A">
        <w:rPr>
          <w:rFonts w:cs="Arial"/>
          <w:color w:val="000000" w:themeColor="text1"/>
        </w:rPr>
        <w:t xml:space="preserve">. </w:t>
      </w:r>
      <w:r w:rsidRPr="0076579A">
        <w:rPr>
          <w:rStyle w:val="hps"/>
          <w:rFonts w:cs="Arial"/>
          <w:color w:val="000000" w:themeColor="text1"/>
        </w:rPr>
        <w:t>Acest lucru</w:t>
      </w:r>
      <w:r w:rsidRPr="0076579A">
        <w:rPr>
          <w:rFonts w:cs="Arial"/>
          <w:color w:val="000000" w:themeColor="text1"/>
        </w:rPr>
        <w:t xml:space="preserve"> </w:t>
      </w:r>
      <w:r w:rsidRPr="0076579A">
        <w:rPr>
          <w:rStyle w:val="hps"/>
          <w:rFonts w:cs="Arial"/>
          <w:color w:val="000000" w:themeColor="text1"/>
        </w:rPr>
        <w:t>face ca</w:t>
      </w:r>
      <w:r w:rsidRPr="0076579A">
        <w:rPr>
          <w:rFonts w:cs="Arial"/>
          <w:color w:val="000000" w:themeColor="text1"/>
        </w:rPr>
        <w:t xml:space="preserve"> </w:t>
      </w:r>
      <w:r w:rsidRPr="0076579A">
        <w:rPr>
          <w:rStyle w:val="hps"/>
          <w:rFonts w:cs="Arial"/>
          <w:color w:val="000000" w:themeColor="text1"/>
        </w:rPr>
        <w:t>transportul feroviar transfrontalier de marfă</w:t>
      </w:r>
      <w:r w:rsidRPr="0076579A">
        <w:rPr>
          <w:rFonts w:cs="Arial"/>
          <w:color w:val="000000" w:themeColor="text1"/>
        </w:rPr>
        <w:t xml:space="preserve"> să fie </w:t>
      </w:r>
      <w:r w:rsidRPr="0076579A">
        <w:rPr>
          <w:rStyle w:val="hps"/>
          <w:rFonts w:cs="Arial"/>
          <w:color w:val="000000" w:themeColor="text1"/>
        </w:rPr>
        <w:t>extrem de</w:t>
      </w:r>
      <w:r w:rsidRPr="0076579A">
        <w:rPr>
          <w:rFonts w:cs="Arial"/>
          <w:color w:val="000000" w:themeColor="text1"/>
        </w:rPr>
        <w:t xml:space="preserve"> </w:t>
      </w:r>
      <w:r w:rsidRPr="0076579A">
        <w:rPr>
          <w:rStyle w:val="hps"/>
          <w:rFonts w:cs="Arial"/>
          <w:color w:val="000000" w:themeColor="text1"/>
        </w:rPr>
        <w:t>necompetitiv</w:t>
      </w:r>
      <w:r>
        <w:rPr>
          <w:rStyle w:val="hps"/>
          <w:rFonts w:cs="Arial"/>
          <w:color w:val="000000" w:themeColor="text1"/>
        </w:rPr>
        <w:t>, date fiind întârzierile mult mai mici care afectează transportul rutier</w:t>
      </w:r>
      <w:r w:rsidRPr="0076579A">
        <w:rPr>
          <w:rFonts w:cs="Arial"/>
          <w:color w:val="000000" w:themeColor="text1"/>
        </w:rPr>
        <w:t xml:space="preserve">. </w:t>
      </w:r>
      <w:r w:rsidRPr="0076579A">
        <w:rPr>
          <w:rStyle w:val="hps"/>
          <w:rFonts w:cs="Arial"/>
          <w:color w:val="000000" w:themeColor="text1"/>
        </w:rPr>
        <w:t>Întârzierile</w:t>
      </w:r>
      <w:r w:rsidRPr="0076579A">
        <w:rPr>
          <w:rFonts w:cs="Arial"/>
          <w:color w:val="000000" w:themeColor="text1"/>
        </w:rPr>
        <w:t xml:space="preserve"> </w:t>
      </w:r>
      <w:r w:rsidRPr="0076579A">
        <w:rPr>
          <w:rStyle w:val="hps"/>
          <w:rFonts w:cs="Arial"/>
          <w:color w:val="000000" w:themeColor="text1"/>
        </w:rPr>
        <w:t>prelungite</w:t>
      </w:r>
      <w:r w:rsidRPr="0076579A">
        <w:rPr>
          <w:rFonts w:cs="Arial"/>
          <w:color w:val="000000" w:themeColor="text1"/>
        </w:rPr>
        <w:t xml:space="preserve"> </w:t>
      </w:r>
      <w:r w:rsidRPr="0076579A">
        <w:rPr>
          <w:rStyle w:val="hps"/>
          <w:rFonts w:cs="Arial"/>
          <w:color w:val="000000" w:themeColor="text1"/>
        </w:rPr>
        <w:t>la</w:t>
      </w:r>
      <w:r w:rsidRPr="0076579A">
        <w:rPr>
          <w:rFonts w:cs="Arial"/>
          <w:color w:val="000000" w:themeColor="text1"/>
        </w:rPr>
        <w:t xml:space="preserve"> </w:t>
      </w:r>
      <w:r w:rsidRPr="0076579A">
        <w:rPr>
          <w:rStyle w:val="hps"/>
          <w:rFonts w:cs="Arial"/>
          <w:color w:val="000000" w:themeColor="text1"/>
        </w:rPr>
        <w:t>controalele de la frontieră</w:t>
      </w:r>
      <w:r w:rsidRPr="0076579A">
        <w:rPr>
          <w:rFonts w:cs="Arial"/>
          <w:color w:val="000000" w:themeColor="text1"/>
        </w:rPr>
        <w:t xml:space="preserve"> </w:t>
      </w:r>
      <w:r w:rsidRPr="0076579A">
        <w:rPr>
          <w:rStyle w:val="hps"/>
          <w:rFonts w:cs="Arial"/>
          <w:color w:val="000000" w:themeColor="text1"/>
        </w:rPr>
        <w:t>afectează</w:t>
      </w:r>
      <w:r w:rsidRPr="0076579A">
        <w:rPr>
          <w:rFonts w:cs="Arial"/>
          <w:color w:val="000000" w:themeColor="text1"/>
        </w:rPr>
        <w:t xml:space="preserve">, de asemenea, </w:t>
      </w:r>
      <w:r w:rsidRPr="0076579A">
        <w:rPr>
          <w:rStyle w:val="hps"/>
          <w:rFonts w:cs="Arial"/>
          <w:color w:val="000000" w:themeColor="text1"/>
        </w:rPr>
        <w:t>serviciile de transport călători</w:t>
      </w:r>
      <w:r w:rsidRPr="0076579A">
        <w:rPr>
          <w:rFonts w:cs="Arial"/>
          <w:color w:val="000000" w:themeColor="text1"/>
        </w:rPr>
        <w:t xml:space="preserve"> </w:t>
      </w:r>
      <w:r w:rsidRPr="0076579A">
        <w:rPr>
          <w:rStyle w:val="hps"/>
          <w:rFonts w:cs="Arial"/>
          <w:color w:val="000000" w:themeColor="text1"/>
        </w:rPr>
        <w:t>deși</w:t>
      </w:r>
      <w:r w:rsidRPr="0076579A">
        <w:rPr>
          <w:rFonts w:cs="Arial"/>
          <w:color w:val="000000" w:themeColor="text1"/>
        </w:rPr>
        <w:t xml:space="preserve"> </w:t>
      </w:r>
      <w:r w:rsidRPr="0076579A">
        <w:rPr>
          <w:rStyle w:val="hps"/>
          <w:rFonts w:cs="Arial"/>
          <w:color w:val="000000" w:themeColor="text1"/>
        </w:rPr>
        <w:t>durata lor</w:t>
      </w:r>
      <w:r w:rsidRPr="0076579A">
        <w:rPr>
          <w:rFonts w:cs="Arial"/>
          <w:color w:val="000000" w:themeColor="text1"/>
        </w:rPr>
        <w:t xml:space="preserve"> </w:t>
      </w:r>
      <w:r w:rsidRPr="0076579A">
        <w:rPr>
          <w:rStyle w:val="hps"/>
          <w:rFonts w:cs="Arial"/>
          <w:color w:val="000000" w:themeColor="text1"/>
        </w:rPr>
        <w:t>este</w:t>
      </w:r>
      <w:r w:rsidRPr="0076579A">
        <w:rPr>
          <w:rFonts w:cs="Arial"/>
          <w:color w:val="000000" w:themeColor="text1"/>
        </w:rPr>
        <w:t xml:space="preserve"> </w:t>
      </w:r>
      <w:r w:rsidRPr="0076579A">
        <w:rPr>
          <w:rStyle w:val="hps"/>
          <w:rFonts w:cs="Arial"/>
          <w:color w:val="000000" w:themeColor="text1"/>
        </w:rPr>
        <w:t>mai scurtă decât</w:t>
      </w:r>
      <w:r w:rsidRPr="0076579A">
        <w:rPr>
          <w:rFonts w:cs="Arial"/>
          <w:color w:val="000000" w:themeColor="text1"/>
        </w:rPr>
        <w:t xml:space="preserve"> </w:t>
      </w:r>
      <w:r w:rsidRPr="0076579A">
        <w:rPr>
          <w:rStyle w:val="hps"/>
          <w:rFonts w:cs="Arial"/>
          <w:color w:val="000000" w:themeColor="text1"/>
        </w:rPr>
        <w:t>la transportul de marfă</w:t>
      </w:r>
      <w:r w:rsidRPr="0076579A">
        <w:t xml:space="preserve">. </w:t>
      </w:r>
    </w:p>
    <w:p w:rsidR="00573AD5" w:rsidRPr="0076579A" w:rsidRDefault="00573AD5" w:rsidP="002B7E09">
      <w:pPr>
        <w:pStyle w:val="NumberedParas"/>
      </w:pPr>
      <w:r w:rsidRPr="0076579A">
        <w:t xml:space="preserve">CFR a obținut recent </w:t>
      </w:r>
      <w:r>
        <w:t xml:space="preserve">finanțare pentru </w:t>
      </w:r>
      <w:r w:rsidRPr="0076579A">
        <w:t xml:space="preserve">sistemele de detecție a osiilor supraîncălzite și de inspecție a sistemelor de frânare, deși introducerea de material rulant nou cu sisteme de frânare eficiente ar fi de asemenea o soluție adecvată. Serviciile de transport feroviar de călători cu numeroase opriri intermediare, înregistrează și timpi de staționare mari în </w:t>
      </w:r>
      <w:r>
        <w:t>stații</w:t>
      </w:r>
      <w:r w:rsidRPr="0076579A">
        <w:t xml:space="preserve">, deși modurile de soluționare a acestei probleme sunt limitate dacă nu este revizuit graficul de opriri sau dacă nu sunt închise unele gări. </w:t>
      </w:r>
      <w:r>
        <w:t>Figura 5.</w:t>
      </w:r>
      <w:r w:rsidRPr="0076579A">
        <w:t>1</w:t>
      </w:r>
      <w:r>
        <w:t>3</w:t>
      </w:r>
      <w:r w:rsidRPr="0076579A">
        <w:t xml:space="preserve"> </w:t>
      </w:r>
      <w:r w:rsidRPr="0076579A">
        <w:rPr>
          <w:rStyle w:val="hps"/>
          <w:rFonts w:cs="Arial"/>
          <w:color w:val="000000" w:themeColor="text1"/>
        </w:rPr>
        <w:t>ilustrează timpul total</w:t>
      </w:r>
      <w:r w:rsidRPr="0076579A">
        <w:t xml:space="preserve"> </w:t>
      </w:r>
      <w:r w:rsidRPr="0076579A">
        <w:rPr>
          <w:rStyle w:val="hps"/>
          <w:rFonts w:cs="Arial"/>
          <w:color w:val="000000" w:themeColor="text1"/>
        </w:rPr>
        <w:t>de staționare</w:t>
      </w:r>
      <w:r w:rsidRPr="0076579A">
        <w:t xml:space="preserve"> </w:t>
      </w:r>
      <w:r w:rsidRPr="0076579A">
        <w:rPr>
          <w:rStyle w:val="hps"/>
          <w:rFonts w:cs="Arial"/>
          <w:color w:val="000000" w:themeColor="text1"/>
        </w:rPr>
        <w:t>în raport</w:t>
      </w:r>
      <w:r w:rsidRPr="0076579A">
        <w:t xml:space="preserve"> </w:t>
      </w:r>
      <w:r w:rsidRPr="0076579A">
        <w:rPr>
          <w:rStyle w:val="hps"/>
          <w:rFonts w:cs="Arial"/>
          <w:color w:val="000000" w:themeColor="text1"/>
        </w:rPr>
        <w:t>cu</w:t>
      </w:r>
      <w:r w:rsidRPr="0076579A">
        <w:t xml:space="preserve"> </w:t>
      </w:r>
      <w:r w:rsidRPr="0076579A">
        <w:rPr>
          <w:rStyle w:val="hps"/>
          <w:rFonts w:cs="Arial"/>
          <w:color w:val="000000" w:themeColor="text1"/>
        </w:rPr>
        <w:t>timpul total</w:t>
      </w:r>
      <w:r w:rsidRPr="0076579A">
        <w:t xml:space="preserve"> </w:t>
      </w:r>
      <w:r w:rsidRPr="0076579A">
        <w:rPr>
          <w:rStyle w:val="hps"/>
          <w:rFonts w:cs="Arial"/>
          <w:color w:val="000000" w:themeColor="text1"/>
        </w:rPr>
        <w:t>de călătorie</w:t>
      </w:r>
      <w:r w:rsidRPr="0076579A">
        <w:t xml:space="preserve"> </w:t>
      </w:r>
      <w:r w:rsidRPr="0076579A">
        <w:rPr>
          <w:rStyle w:val="hps"/>
          <w:rFonts w:cs="Arial"/>
          <w:color w:val="000000" w:themeColor="text1"/>
        </w:rPr>
        <w:t>pentru</w:t>
      </w:r>
      <w:r w:rsidRPr="0076579A">
        <w:t xml:space="preserve"> </w:t>
      </w:r>
      <w:r w:rsidRPr="0076579A">
        <w:rPr>
          <w:rStyle w:val="hps"/>
          <w:rFonts w:cs="Arial"/>
          <w:color w:val="000000" w:themeColor="text1"/>
        </w:rPr>
        <w:t>trenurile</w:t>
      </w:r>
      <w:r w:rsidRPr="0076579A">
        <w:t xml:space="preserve"> </w:t>
      </w:r>
      <w:r w:rsidRPr="0076579A">
        <w:rPr>
          <w:rStyle w:val="hps"/>
          <w:rFonts w:cs="Arial"/>
          <w:color w:val="000000" w:themeColor="text1"/>
        </w:rPr>
        <w:t>selectate, iar în</w:t>
      </w:r>
      <w:r w:rsidRPr="0076579A">
        <w:t xml:space="preserve"> </w:t>
      </w:r>
      <w:r>
        <w:t>Figura 5.</w:t>
      </w:r>
      <w:r w:rsidRPr="0076579A">
        <w:t>1</w:t>
      </w:r>
      <w:r>
        <w:t>4</w:t>
      </w:r>
      <w:r w:rsidRPr="0076579A">
        <w:t xml:space="preserve"> </w:t>
      </w:r>
      <w:r w:rsidRPr="0076579A">
        <w:rPr>
          <w:rStyle w:val="hps"/>
          <w:rFonts w:cs="Arial"/>
          <w:color w:val="000000" w:themeColor="text1"/>
        </w:rPr>
        <w:t xml:space="preserve">sunt reprezentați </w:t>
      </w:r>
      <w:r w:rsidRPr="0076579A">
        <w:rPr>
          <w:rStyle w:val="hps"/>
          <w:rFonts w:cs="Arial"/>
          <w:color w:val="000000" w:themeColor="text1"/>
        </w:rPr>
        <w:lastRenderedPageBreak/>
        <w:t>timpii medii de staționare pentru toate stațiile. În aceasta din urmă sunt incluse punctele unde apar cele mai mari întârzieri medii.</w:t>
      </w:r>
    </w:p>
    <w:p w:rsidR="00573AD5" w:rsidRPr="0076579A" w:rsidRDefault="00573AD5" w:rsidP="0030066D">
      <w:pPr>
        <w:rPr>
          <w:rFonts w:cs="Arial"/>
          <w:b/>
          <w:sz w:val="20"/>
          <w:szCs w:val="20"/>
          <w:lang w:val="ro-RO"/>
        </w:rPr>
      </w:pPr>
      <w:r w:rsidRPr="0076579A">
        <w:rPr>
          <w:rFonts w:cs="Arial"/>
          <w:b/>
          <w:sz w:val="20"/>
          <w:szCs w:val="20"/>
          <w:lang w:val="ro-RO"/>
        </w:rPr>
        <w:t xml:space="preserve"> </w:t>
      </w:r>
    </w:p>
    <w:p w:rsidR="00573AD5" w:rsidRPr="0076579A" w:rsidRDefault="00573AD5" w:rsidP="0030066D">
      <w:pPr>
        <w:spacing w:after="60"/>
        <w:rPr>
          <w:rFonts w:cs="Arial"/>
          <w:b/>
          <w:sz w:val="20"/>
          <w:szCs w:val="20"/>
          <w:lang w:val="ro-RO"/>
        </w:rPr>
      </w:pPr>
      <w:r w:rsidRPr="0076579A">
        <w:rPr>
          <w:rFonts w:cs="Arial"/>
          <w:b/>
          <w:noProof/>
          <w:sz w:val="20"/>
          <w:szCs w:val="20"/>
          <w:lang w:val="ro-RO" w:eastAsia="ro-RO"/>
        </w:rPr>
        <w:drawing>
          <wp:inline distT="0" distB="0" distL="0" distR="0">
            <wp:extent cx="5443220" cy="3338195"/>
            <wp:effectExtent l="1905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email">
                      <a:extLst>
                        <a:ext uri="{28A0092B-C50C-407E-A947-70E740481C1C}">
                          <a14:useLocalDpi xmlns:a14="http://schemas.microsoft.com/office/drawing/2010/main"/>
                        </a:ext>
                      </a:extLst>
                    </a:blip>
                    <a:srcRect l="6679" r="6319"/>
                    <a:stretch>
                      <a:fillRect/>
                    </a:stretch>
                  </pic:blipFill>
                  <pic:spPr bwMode="auto">
                    <a:xfrm>
                      <a:off x="0" y="0"/>
                      <a:ext cx="5443220" cy="3338195"/>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4</w:t>
      </w:r>
      <w:r w:rsidRPr="0076579A">
        <w:rPr>
          <w:rFonts w:cs="Arial"/>
          <w:b/>
          <w:sz w:val="20"/>
          <w:szCs w:val="20"/>
          <w:lang w:val="ro-RO"/>
        </w:rPr>
        <w:t xml:space="preserve"> Perioada generală de staționare ca procent din durata totală a călătoriei</w:t>
      </w:r>
    </w:p>
    <w:p w:rsidR="00573AD5" w:rsidRPr="00AE1AD4" w:rsidRDefault="00573AD5" w:rsidP="00AE1AD4">
      <w:pPr>
        <w:ind w:left="851"/>
        <w:rPr>
          <w:i/>
          <w:lang w:val="ro-RO"/>
        </w:rPr>
      </w:pPr>
      <w:r w:rsidRPr="00AE1AD4">
        <w:rPr>
          <w:i/>
          <w:lang w:val="ro-RO"/>
        </w:rPr>
        <w:t xml:space="preserve">Sursa: Analiza AECOM privind graficul de mers al trenurilor CFR Călători </w:t>
      </w:r>
    </w:p>
    <w:p w:rsidR="00573AD5" w:rsidRPr="0076579A" w:rsidRDefault="00573AD5" w:rsidP="0030066D">
      <w:pPr>
        <w:spacing w:after="60"/>
        <w:rPr>
          <w:rFonts w:cs="Arial"/>
          <w:b/>
          <w:sz w:val="20"/>
          <w:szCs w:val="20"/>
          <w:lang w:val="ro-RO"/>
        </w:rPr>
      </w:pPr>
      <w:r w:rsidRPr="00944029">
        <w:rPr>
          <w:rFonts w:cs="Arial"/>
          <w:b/>
          <w:noProof/>
          <w:sz w:val="20"/>
          <w:szCs w:val="20"/>
          <w:lang w:val="ro-RO" w:eastAsia="ro-RO"/>
        </w:rPr>
        <w:drawing>
          <wp:inline distT="0" distB="0" distL="0" distR="0">
            <wp:extent cx="5677200" cy="3990108"/>
            <wp:effectExtent l="19050" t="0" r="0" b="0"/>
            <wp:docPr id="40" name="Picture 22" descr="E:\Dwell_Time_Base_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well_Time_Base_Av.jpg"/>
                    <pic:cNvPicPr>
                      <a:picLocks noChangeAspect="1" noChangeArrowheads="1"/>
                    </pic:cNvPicPr>
                  </pic:nvPicPr>
                  <pic:blipFill>
                    <a:blip r:embed="rId186" cstate="print"/>
                    <a:srcRect l="2350" t="2243" r="2141" b="2784"/>
                    <a:stretch>
                      <a:fillRect/>
                    </a:stretch>
                  </pic:blipFill>
                  <pic:spPr bwMode="auto">
                    <a:xfrm>
                      <a:off x="0" y="0"/>
                      <a:ext cx="5677200" cy="3990108"/>
                    </a:xfrm>
                    <a:prstGeom prst="rect">
                      <a:avLst/>
                    </a:prstGeom>
                    <a:noFill/>
                    <a:ln w="9525">
                      <a:noFill/>
                      <a:miter lim="800000"/>
                      <a:headEnd/>
                      <a:tailEnd/>
                    </a:ln>
                  </pic:spPr>
                </pic:pic>
              </a:graphicData>
            </a:graphic>
          </wp:inline>
        </w:drawing>
      </w:r>
    </w:p>
    <w:p w:rsidR="00573AD5" w:rsidRPr="0076579A" w:rsidRDefault="00573AD5" w:rsidP="0030066D">
      <w:pPr>
        <w:spacing w:after="60"/>
        <w:ind w:left="851" w:hanging="851"/>
        <w:rPr>
          <w:lang w:val="ro-RO" w:eastAsia="en-GB"/>
        </w:rPr>
      </w:pP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5</w:t>
      </w:r>
      <w:r w:rsidRPr="0076579A">
        <w:rPr>
          <w:rFonts w:cs="Arial"/>
          <w:b/>
          <w:sz w:val="20"/>
          <w:szCs w:val="20"/>
          <w:lang w:val="ro-RO"/>
        </w:rPr>
        <w:t xml:space="preserve"> Timpii medii de staționare în </w:t>
      </w:r>
      <w:r>
        <w:rPr>
          <w:rFonts w:cs="Arial"/>
          <w:b/>
          <w:sz w:val="20"/>
          <w:szCs w:val="20"/>
          <w:lang w:val="ro-RO"/>
        </w:rPr>
        <w:t>stații</w:t>
      </w:r>
      <w:r w:rsidRPr="0076579A">
        <w:rPr>
          <w:rFonts w:cs="Arial"/>
          <w:b/>
          <w:sz w:val="20"/>
          <w:szCs w:val="20"/>
          <w:lang w:val="ro-RO"/>
        </w:rPr>
        <w:t>/ pentru trenuri</w:t>
      </w:r>
    </w:p>
    <w:p w:rsidR="00573AD5" w:rsidRPr="00AE1AD4" w:rsidRDefault="00573AD5" w:rsidP="00AE1AD4">
      <w:pPr>
        <w:ind w:left="851"/>
        <w:rPr>
          <w:i/>
          <w:lang w:val="ro-RO"/>
        </w:rPr>
      </w:pPr>
      <w:r w:rsidRPr="00AE1AD4">
        <w:rPr>
          <w:i/>
          <w:lang w:val="ro-RO"/>
        </w:rPr>
        <w:t xml:space="preserve">Sursa: </w:t>
      </w:r>
      <w:r w:rsidRPr="0076579A">
        <w:rPr>
          <w:i/>
          <w:lang w:val="ro-RO"/>
        </w:rPr>
        <w:t>Analiza datelor CFR Călători realizată de AECOM</w:t>
      </w:r>
    </w:p>
    <w:p w:rsidR="00573AD5" w:rsidRPr="0076579A" w:rsidRDefault="00573AD5" w:rsidP="002B7E09">
      <w:pPr>
        <w:pStyle w:val="NumberedParas"/>
      </w:pPr>
      <w:r w:rsidRPr="0076579A">
        <w:lastRenderedPageBreak/>
        <w:t>Doar 37% din rețeaua feroviară actuală este electrificată, fapt ce duce la înregistrarea unor întreruperi în programul de operare ca urmare a necesității schimbării loomotivelor, prin urmare la o prelungire a duratei de călătorie. Una dintre principalele rute pe care se înregistrează pauze în programul de operare este Cluj Napoca - Oradea, dar există și alte rute în aceeași situație, printre care Caracal - Craiova, Iași - Bârla</w:t>
      </w:r>
      <w:r>
        <w:t>d</w:t>
      </w:r>
      <w:r w:rsidRPr="0076579A">
        <w:t xml:space="preserve"> și ruta Botoșani, Piatra Neamț, Baia Mare și Satu Mare. </w:t>
      </w:r>
      <w:r>
        <w:t xml:space="preserve">Există pauze în programul de operare înregistrate pe rute din rețeaua feroviară electrificată care efectează rețeaua TEN-T, printre care Craiova- Calafat, Giugiu – București și Suceava – Ucraina. </w:t>
      </w:r>
    </w:p>
    <w:p w:rsidR="00573AD5" w:rsidRPr="0076579A" w:rsidRDefault="00573AD5" w:rsidP="0030066D">
      <w:pPr>
        <w:pStyle w:val="Hdg3"/>
      </w:pPr>
      <w:r w:rsidRPr="0076579A">
        <w:t>Timpii de parcurs pe calea ferată</w:t>
      </w:r>
    </w:p>
    <w:p w:rsidR="00573AD5" w:rsidRPr="0076579A" w:rsidRDefault="00573AD5" w:rsidP="002B7E09">
      <w:pPr>
        <w:pStyle w:val="NumberedParas"/>
      </w:pPr>
      <w:r w:rsidRPr="0076579A">
        <w:t xml:space="preserve">În </w:t>
      </w:r>
      <w:r>
        <w:t>Figura 5.</w:t>
      </w:r>
      <w:r w:rsidRPr="0076579A">
        <w:t>1</w:t>
      </w:r>
      <w:r>
        <w:t>5</w:t>
      </w:r>
      <w:r w:rsidRPr="0076579A">
        <w:t xml:space="preserve"> sunt ilustrați timpii de parcurs generalizați pe calea ferată din perimetrul municipiului București. Acest set de date reprezintă timpul de parcurs petrecut în tren, precum și impactul frecvențelor neregulate ale deplasărilor prezentate anterior. Craiova, Pitești, Buzău și Predeal au înregistrat timpi de parcurs generalizați de până la 400 de minute până în București. Timpii de parcurs generalizați de la Cluj la București depășesc 1.000 de minute, iar durata de parcurs de la Satu Mare, Baia Mare, Oradea la Arad depășește 1.200 de minute. </w:t>
      </w:r>
      <w:r>
        <w:t xml:space="preserve">Aceasta reflectă timpiii de parcurs mari ai trenurilor și timpii mari de așteptare pentru servicii. </w:t>
      </w:r>
    </w:p>
    <w:p w:rsidR="00573AD5" w:rsidRPr="0076579A" w:rsidRDefault="00573AD5" w:rsidP="0030066D">
      <w:pPr>
        <w:spacing w:after="60"/>
        <w:rPr>
          <w:rFonts w:cs="Arial"/>
          <w:b/>
          <w:sz w:val="20"/>
          <w:szCs w:val="20"/>
          <w:lang w:val="ro-RO"/>
        </w:rPr>
      </w:pPr>
    </w:p>
    <w:p w:rsidR="00573AD5" w:rsidRPr="0076579A" w:rsidRDefault="00573AD5" w:rsidP="0030066D">
      <w:pPr>
        <w:spacing w:after="60"/>
        <w:ind w:left="284" w:hanging="284"/>
        <w:rPr>
          <w:b/>
          <w:lang w:val="ro-RO"/>
        </w:rPr>
      </w:pPr>
      <w:r w:rsidRPr="0076579A">
        <w:rPr>
          <w:b/>
          <w:noProof/>
          <w:lang w:val="ro-RO" w:eastAsia="ro-RO"/>
        </w:rPr>
        <w:drawing>
          <wp:inline distT="0" distB="0" distL="0" distR="0">
            <wp:extent cx="6383655" cy="4519930"/>
            <wp:effectExtent l="19050" t="0" r="0"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cstate="print"/>
                    <a:srcRect/>
                    <a:stretch>
                      <a:fillRect/>
                    </a:stretch>
                  </pic:blipFill>
                  <pic:spPr bwMode="auto">
                    <a:xfrm>
                      <a:off x="0" y="0"/>
                      <a:ext cx="6383655" cy="4519930"/>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5</w:t>
      </w:r>
      <w:r w:rsidRPr="0076579A">
        <w:rPr>
          <w:rFonts w:cs="Arial"/>
          <w:b/>
          <w:sz w:val="20"/>
          <w:szCs w:val="20"/>
          <w:lang w:val="ro-RO"/>
        </w:rPr>
        <w:t xml:space="preserve"> Timpii de parcurs generalizați pe calea ferată până la București</w:t>
      </w:r>
    </w:p>
    <w:p w:rsidR="00573AD5" w:rsidRPr="00AE1AD4" w:rsidRDefault="00573AD5" w:rsidP="00AE1AD4">
      <w:pPr>
        <w:ind w:left="851"/>
        <w:rPr>
          <w:i/>
          <w:lang w:val="ro-RO"/>
        </w:rPr>
      </w:pPr>
      <w:r w:rsidRPr="00AE1AD4">
        <w:rPr>
          <w:i/>
          <w:lang w:val="ro-RO"/>
        </w:rPr>
        <w:t xml:space="preserve">Sursa: Analiza AECOM </w:t>
      </w:r>
      <w:r w:rsidRPr="0076579A">
        <w:rPr>
          <w:i/>
          <w:lang w:val="ro-RO"/>
        </w:rPr>
        <w:t>din cadrul Modelului Național de Transport pentru România</w:t>
      </w:r>
    </w:p>
    <w:p w:rsidR="00573AD5" w:rsidRPr="0076579A" w:rsidRDefault="00573AD5" w:rsidP="0030066D">
      <w:pPr>
        <w:pStyle w:val="Hdg3"/>
      </w:pPr>
      <w:r w:rsidRPr="0076579A">
        <w:lastRenderedPageBreak/>
        <w:t xml:space="preserve">Materialul rulant pentru transportul feroviar de călători </w:t>
      </w:r>
    </w:p>
    <w:p w:rsidR="00573AD5" w:rsidRDefault="00573AD5" w:rsidP="002B7E09">
      <w:pPr>
        <w:pStyle w:val="NumberedParas"/>
      </w:pPr>
      <w:r w:rsidRPr="0076579A">
        <w:t xml:space="preserve">Există doi factori majori care afectează materialul rulant. În primul rând, derularea transportului de călători este în general ineficientă, de exemplu pe distanța București – Constanța se întregistrează timpi de așteptare de până la cinci ore între serviciile de transport. Acest lucru reduce gradul de utilizare a materialului rulant și mărește dimensiunea parcului feroviar necesar. Staționările de durată între servicii implică o utilizare relativ ineficientă a materialului rulant. </w:t>
      </w:r>
      <w:r w:rsidRPr="0076579A">
        <w:rPr>
          <w:rStyle w:val="hps"/>
          <w:rFonts w:cs="Arial"/>
          <w:color w:val="000000" w:themeColor="text1"/>
        </w:rPr>
        <w:t>Cu</w:t>
      </w:r>
      <w:r w:rsidRPr="0076579A">
        <w:rPr>
          <w:rFonts w:cs="Arial"/>
          <w:color w:val="000000" w:themeColor="text1"/>
        </w:rPr>
        <w:t xml:space="preserve"> </w:t>
      </w:r>
      <w:r w:rsidRPr="0076579A">
        <w:rPr>
          <w:rStyle w:val="hps"/>
          <w:rFonts w:cs="Arial"/>
          <w:color w:val="000000" w:themeColor="text1"/>
        </w:rPr>
        <w:t>astfel de staționări incluse în</w:t>
      </w:r>
      <w:r w:rsidRPr="0076579A">
        <w:rPr>
          <w:rFonts w:cs="Arial"/>
          <w:color w:val="000000" w:themeColor="text1"/>
        </w:rPr>
        <w:t xml:space="preserve"> </w:t>
      </w:r>
      <w:r w:rsidRPr="0076579A">
        <w:rPr>
          <w:rStyle w:val="hps"/>
          <w:rFonts w:cs="Arial"/>
          <w:color w:val="000000" w:themeColor="text1"/>
        </w:rPr>
        <w:t>graficul de mers al trenurilor</w:t>
      </w:r>
      <w:r w:rsidRPr="0076579A">
        <w:rPr>
          <w:rFonts w:cs="Arial"/>
          <w:color w:val="000000" w:themeColor="text1"/>
        </w:rPr>
        <w:t xml:space="preserve">, </w:t>
      </w:r>
      <w:r w:rsidRPr="0076579A">
        <w:rPr>
          <w:rStyle w:val="hps"/>
          <w:rFonts w:cs="Arial"/>
          <w:color w:val="000000" w:themeColor="text1"/>
        </w:rPr>
        <w:t>există posibilitatea</w:t>
      </w:r>
      <w:r w:rsidRPr="0076579A">
        <w:rPr>
          <w:rFonts w:cs="Arial"/>
          <w:color w:val="000000" w:themeColor="text1"/>
        </w:rPr>
        <w:t xml:space="preserve"> </w:t>
      </w:r>
      <w:r w:rsidRPr="0076579A">
        <w:rPr>
          <w:rStyle w:val="hps"/>
          <w:rFonts w:cs="Arial"/>
          <w:color w:val="000000" w:themeColor="text1"/>
        </w:rPr>
        <w:t>de îmbunătățire a</w:t>
      </w:r>
      <w:r w:rsidRPr="0076579A">
        <w:rPr>
          <w:rFonts w:cs="Arial"/>
          <w:color w:val="000000" w:themeColor="text1"/>
        </w:rPr>
        <w:t xml:space="preserve"> </w:t>
      </w:r>
      <w:r w:rsidRPr="0076579A">
        <w:rPr>
          <w:rStyle w:val="hps"/>
          <w:rFonts w:cs="Arial"/>
          <w:color w:val="000000" w:themeColor="text1"/>
        </w:rPr>
        <w:t>eficienței</w:t>
      </w:r>
      <w:r w:rsidRPr="0076579A">
        <w:rPr>
          <w:rFonts w:cs="Arial"/>
          <w:color w:val="000000" w:themeColor="text1"/>
        </w:rPr>
        <w:t xml:space="preserve"> </w:t>
      </w:r>
      <w:r w:rsidRPr="0076579A">
        <w:rPr>
          <w:rStyle w:val="hps"/>
          <w:rFonts w:cs="Arial"/>
          <w:color w:val="000000" w:themeColor="text1"/>
        </w:rPr>
        <w:t>de exploatare</w:t>
      </w:r>
      <w:r w:rsidRPr="0076579A">
        <w:rPr>
          <w:rFonts w:cs="Arial"/>
          <w:color w:val="000000" w:themeColor="text1"/>
        </w:rPr>
        <w:t xml:space="preserve"> </w:t>
      </w:r>
      <w:r w:rsidRPr="0076579A">
        <w:rPr>
          <w:rStyle w:val="hps"/>
          <w:rFonts w:cs="Arial"/>
          <w:color w:val="000000" w:themeColor="text1"/>
        </w:rPr>
        <w:t>atât a</w:t>
      </w:r>
      <w:r w:rsidRPr="0076579A">
        <w:rPr>
          <w:rFonts w:cs="Arial"/>
          <w:color w:val="000000" w:themeColor="text1"/>
        </w:rPr>
        <w:t xml:space="preserve"> </w:t>
      </w:r>
      <w:r w:rsidRPr="0076579A">
        <w:rPr>
          <w:rStyle w:val="hps"/>
          <w:rFonts w:cs="Arial"/>
          <w:color w:val="000000" w:themeColor="text1"/>
        </w:rPr>
        <w:t>garniturilor</w:t>
      </w:r>
      <w:r w:rsidRPr="0076579A">
        <w:rPr>
          <w:rFonts w:cs="Arial"/>
          <w:color w:val="000000" w:themeColor="text1"/>
        </w:rPr>
        <w:t xml:space="preserve"> </w:t>
      </w:r>
      <w:r w:rsidRPr="0076579A">
        <w:rPr>
          <w:rStyle w:val="hps"/>
          <w:rFonts w:cs="Arial"/>
          <w:color w:val="000000" w:themeColor="text1"/>
        </w:rPr>
        <w:t>de tren, cât și</w:t>
      </w:r>
      <w:r w:rsidRPr="0076579A">
        <w:rPr>
          <w:rFonts w:cs="Arial"/>
          <w:color w:val="000000" w:themeColor="text1"/>
        </w:rPr>
        <w:t xml:space="preserve"> a </w:t>
      </w:r>
      <w:r w:rsidRPr="0076579A">
        <w:rPr>
          <w:rStyle w:val="hps"/>
          <w:rFonts w:cs="Arial"/>
          <w:color w:val="000000" w:themeColor="text1"/>
        </w:rPr>
        <w:t>personalului</w:t>
      </w:r>
      <w:r w:rsidRPr="0076579A">
        <w:rPr>
          <w:rFonts w:cs="Arial"/>
          <w:color w:val="000000" w:themeColor="text1"/>
        </w:rPr>
        <w:t xml:space="preserve">; </w:t>
      </w:r>
      <w:r w:rsidRPr="0076579A">
        <w:rPr>
          <w:rStyle w:val="hps"/>
          <w:rFonts w:cs="Arial"/>
          <w:color w:val="000000" w:themeColor="text1"/>
        </w:rPr>
        <w:t>aceste schimbări</w:t>
      </w:r>
      <w:r w:rsidRPr="0076579A">
        <w:rPr>
          <w:rFonts w:cs="Arial"/>
          <w:color w:val="000000" w:themeColor="text1"/>
        </w:rPr>
        <w:t xml:space="preserve"> </w:t>
      </w:r>
      <w:r w:rsidRPr="0076579A">
        <w:rPr>
          <w:rStyle w:val="hps"/>
          <w:rFonts w:cs="Arial"/>
          <w:color w:val="000000" w:themeColor="text1"/>
        </w:rPr>
        <w:t>ar crea</w:t>
      </w:r>
      <w:r w:rsidRPr="0076579A">
        <w:rPr>
          <w:rFonts w:cs="Arial"/>
          <w:color w:val="000000" w:themeColor="text1"/>
        </w:rPr>
        <w:t xml:space="preserve"> </w:t>
      </w:r>
      <w:r w:rsidRPr="0076579A">
        <w:rPr>
          <w:rStyle w:val="hps"/>
          <w:rFonts w:cs="Arial"/>
          <w:color w:val="000000" w:themeColor="text1"/>
        </w:rPr>
        <w:t>oportunități</w:t>
      </w:r>
      <w:r w:rsidRPr="0076579A">
        <w:rPr>
          <w:rFonts w:cs="Arial"/>
          <w:color w:val="000000" w:themeColor="text1"/>
        </w:rPr>
        <w:t xml:space="preserve"> </w:t>
      </w:r>
      <w:r w:rsidRPr="0076579A">
        <w:rPr>
          <w:rStyle w:val="hps"/>
          <w:rFonts w:cs="Arial"/>
          <w:color w:val="000000" w:themeColor="text1"/>
        </w:rPr>
        <w:t>de generare</w:t>
      </w:r>
      <w:r w:rsidRPr="0076579A">
        <w:rPr>
          <w:rFonts w:cs="Arial"/>
          <w:color w:val="000000" w:themeColor="text1"/>
        </w:rPr>
        <w:t xml:space="preserve"> de </w:t>
      </w:r>
      <w:r w:rsidRPr="0076579A">
        <w:rPr>
          <w:rStyle w:val="hps"/>
          <w:rFonts w:cs="Arial"/>
          <w:color w:val="000000" w:themeColor="text1"/>
        </w:rPr>
        <w:t>venituri suplimentare</w:t>
      </w:r>
      <w:r w:rsidRPr="0076579A">
        <w:t xml:space="preserve">. În </w:t>
      </w:r>
      <w:r>
        <w:t>Figura 5.</w:t>
      </w:r>
      <w:r w:rsidRPr="0076579A">
        <w:t>1</w:t>
      </w:r>
      <w:r>
        <w:t>6</w:t>
      </w:r>
      <w:r w:rsidRPr="0076579A">
        <w:t xml:space="preserve"> este prezentată o comparație a timpilor de întoarcere pentru ruta București – Constanța cu alte exemple la nivel european.  </w:t>
      </w:r>
    </w:p>
    <w:p w:rsidR="00573AD5" w:rsidRPr="0076579A" w:rsidRDefault="00573AD5" w:rsidP="002B7E09">
      <w:pPr>
        <w:pStyle w:val="NumberedParas"/>
        <w:numPr>
          <w:ilvl w:val="0"/>
          <w:numId w:val="0"/>
        </w:numPr>
        <w:ind w:left="851"/>
      </w:pPr>
    </w:p>
    <w:p w:rsidR="00573AD5" w:rsidRPr="0076579A" w:rsidRDefault="00573AD5" w:rsidP="0030066D">
      <w:pPr>
        <w:spacing w:after="60"/>
        <w:rPr>
          <w:rFonts w:cs="Arial"/>
          <w:b/>
          <w:sz w:val="20"/>
          <w:szCs w:val="20"/>
          <w:lang w:val="ro-RO"/>
        </w:rPr>
      </w:pPr>
    </w:p>
    <w:p w:rsidR="00573AD5" w:rsidRPr="0076579A" w:rsidRDefault="00573AD5" w:rsidP="0030066D">
      <w:pPr>
        <w:spacing w:after="60"/>
        <w:ind w:left="851" w:hanging="851"/>
        <w:rPr>
          <w:b/>
          <w:lang w:val="ro-RO"/>
        </w:rPr>
      </w:pPr>
      <w:r w:rsidRPr="0076579A">
        <w:rPr>
          <w:noProof/>
          <w:lang w:val="ro-RO" w:eastAsia="ro-RO"/>
        </w:rPr>
        <w:drawing>
          <wp:inline distT="0" distB="0" distL="0" distR="0">
            <wp:extent cx="5710555" cy="3640455"/>
            <wp:effectExtent l="19050" t="0" r="4445"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710555" cy="3640455"/>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7</w:t>
      </w:r>
      <w:r w:rsidRPr="0076579A">
        <w:rPr>
          <w:rFonts w:cs="Arial"/>
          <w:b/>
          <w:sz w:val="20"/>
          <w:szCs w:val="20"/>
          <w:lang w:val="ro-RO"/>
        </w:rPr>
        <w:t xml:space="preserve"> Comparație între timpii de întoarcere (minute)</w:t>
      </w:r>
    </w:p>
    <w:p w:rsidR="00573AD5" w:rsidRPr="00AE1AD4" w:rsidRDefault="00573AD5" w:rsidP="00AE1AD4">
      <w:pPr>
        <w:ind w:left="851"/>
        <w:rPr>
          <w:i/>
          <w:lang w:val="ro-RO"/>
        </w:rPr>
      </w:pPr>
      <w:r w:rsidRPr="00AE1AD4">
        <w:rPr>
          <w:i/>
          <w:lang w:val="ro-RO"/>
        </w:rPr>
        <w:t xml:space="preserve">Sursa: Analiza AECOM privind datele CFR Călători </w:t>
      </w:r>
    </w:p>
    <w:p w:rsidR="00573AD5" w:rsidRPr="0076579A" w:rsidRDefault="00573AD5" w:rsidP="002B7E09">
      <w:pPr>
        <w:pStyle w:val="NumberedParas"/>
      </w:pPr>
      <w:r w:rsidRPr="0076579A">
        <w:t>Al doilea factor este reprezentat de vechimea parcului de material rulant. Vechimea medie a garniturilor de trenuri este de aproximativ 35 de ani, dar există și unități care au o vechime de peste 60 de ani</w:t>
      </w:r>
      <w:r>
        <w:t>, 50% din acestea fiind încă în folosință</w:t>
      </w:r>
      <w:r w:rsidRPr="0076579A">
        <w:t xml:space="preserve">. Câteva alte tipuri de trenuri, cum ar fi locomotivele diesel-electrice, locomotivele diesel și ramele electrice au o vechime mai mare de 30 de ani, cu o rată de utilizare mai mică de 60%. În </w:t>
      </w:r>
      <w:r>
        <w:t>Tabelul 5.</w:t>
      </w:r>
      <w:r w:rsidRPr="0076579A">
        <w:t>4 este furnizat un rezumat al indicatorilor cu privire la materialul rulant.</w:t>
      </w:r>
    </w:p>
    <w:p w:rsidR="00573AD5" w:rsidRPr="0076579A" w:rsidRDefault="00573AD5" w:rsidP="0030066D">
      <w:pPr>
        <w:spacing w:after="60"/>
        <w:rPr>
          <w:b/>
          <w:lang w:val="ro-RO"/>
        </w:rPr>
      </w:pPr>
      <w:r>
        <w:rPr>
          <w:rFonts w:cs="Arial"/>
          <w:b/>
          <w:sz w:val="20"/>
          <w:szCs w:val="20"/>
          <w:lang w:val="ro-RO"/>
        </w:rPr>
        <w:t>Tabelul 5.</w:t>
      </w:r>
      <w:r w:rsidRPr="0076579A">
        <w:rPr>
          <w:rFonts w:cs="Arial"/>
          <w:b/>
          <w:sz w:val="20"/>
          <w:szCs w:val="20"/>
          <w:lang w:val="ro-RO"/>
        </w:rPr>
        <w:t>4 Rezumat privind disponibilitatea materialului rulant pentru transportul de călători (2013)</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134"/>
        <w:gridCol w:w="1275"/>
        <w:gridCol w:w="1134"/>
        <w:gridCol w:w="1702"/>
        <w:gridCol w:w="1133"/>
        <w:gridCol w:w="1276"/>
      </w:tblGrid>
      <w:tr w:rsidR="00573AD5" w:rsidRPr="0076579A" w:rsidTr="0030066D">
        <w:trPr>
          <w:trHeight w:hRule="exact" w:val="666"/>
        </w:trPr>
        <w:tc>
          <w:tcPr>
            <w:tcW w:w="2127"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573AD5" w:rsidRPr="0076579A" w:rsidRDefault="00573AD5" w:rsidP="00573AD5">
            <w:pPr>
              <w:rPr>
                <w:rFonts w:cs="Arial"/>
                <w:sz w:val="20"/>
                <w:szCs w:val="20"/>
                <w:lang w:val="ro-RO"/>
              </w:rPr>
            </w:pPr>
            <w:r w:rsidRPr="0076579A">
              <w:rPr>
                <w:rFonts w:cs="Arial"/>
                <w:b/>
                <w:sz w:val="20"/>
                <w:szCs w:val="20"/>
                <w:lang w:val="ro-RO"/>
              </w:rPr>
              <w:t>Tip</w:t>
            </w:r>
          </w:p>
        </w:tc>
        <w:tc>
          <w:tcPr>
            <w:tcW w:w="1134" w:type="dxa"/>
            <w:tcBorders>
              <w:top w:val="single" w:sz="4" w:space="0" w:color="auto"/>
              <w:left w:val="single" w:sz="4" w:space="0" w:color="auto"/>
              <w:bottom w:val="single" w:sz="4" w:space="0" w:color="auto"/>
              <w:right w:val="single" w:sz="4" w:space="0" w:color="auto"/>
            </w:tcBorders>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Stoc</w:t>
            </w:r>
          </w:p>
        </w:tc>
        <w:tc>
          <w:tcPr>
            <w:tcW w:w="1275" w:type="dxa"/>
            <w:tcBorders>
              <w:top w:val="single" w:sz="4" w:space="0" w:color="auto"/>
              <w:left w:val="single" w:sz="4" w:space="0" w:color="auto"/>
              <w:bottom w:val="single" w:sz="4" w:space="0" w:color="auto"/>
              <w:right w:val="single" w:sz="4" w:space="0" w:color="auto"/>
            </w:tcBorders>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Necesar</w:t>
            </w:r>
          </w:p>
        </w:tc>
        <w:tc>
          <w:tcPr>
            <w:tcW w:w="1134" w:type="dxa"/>
            <w:tcBorders>
              <w:top w:val="single" w:sz="4" w:space="0" w:color="auto"/>
              <w:left w:val="single" w:sz="4" w:space="0" w:color="auto"/>
              <w:bottom w:val="single" w:sz="4" w:space="0" w:color="auto"/>
              <w:right w:val="single" w:sz="4" w:space="0" w:color="auto"/>
            </w:tcBorders>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 în circulație</w:t>
            </w:r>
          </w:p>
        </w:tc>
        <w:tc>
          <w:tcPr>
            <w:tcW w:w="1702" w:type="dxa"/>
            <w:tcBorders>
              <w:top w:val="single" w:sz="4" w:space="0" w:color="auto"/>
              <w:left w:val="single" w:sz="4" w:space="0" w:color="auto"/>
              <w:bottom w:val="single" w:sz="4" w:space="0" w:color="auto"/>
              <w:right w:val="single" w:sz="4" w:space="0" w:color="auto"/>
            </w:tcBorders>
            <w:shd w:val="clear" w:color="auto" w:fill="B8CCE4"/>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...din care noi / recondiționate</w:t>
            </w:r>
          </w:p>
        </w:tc>
        <w:tc>
          <w:tcPr>
            <w:tcW w:w="1133"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573AD5" w:rsidRPr="0076579A" w:rsidRDefault="00573AD5" w:rsidP="00573AD5">
            <w:pPr>
              <w:jc w:val="center"/>
              <w:rPr>
                <w:rFonts w:cs="Arial"/>
                <w:b/>
                <w:sz w:val="20"/>
                <w:szCs w:val="20"/>
                <w:lang w:val="ro-RO"/>
              </w:rPr>
            </w:pPr>
            <w:r w:rsidRPr="0076579A">
              <w:rPr>
                <w:rFonts w:cs="Arial"/>
                <w:b/>
                <w:sz w:val="20"/>
                <w:szCs w:val="20"/>
                <w:lang w:val="ro-RO"/>
              </w:rPr>
              <w:t>Vechime medie</w:t>
            </w:r>
          </w:p>
        </w:tc>
        <w:tc>
          <w:tcPr>
            <w:tcW w:w="1276"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573AD5" w:rsidRPr="0076579A" w:rsidRDefault="00573AD5" w:rsidP="00573AD5">
            <w:pPr>
              <w:jc w:val="center"/>
              <w:rPr>
                <w:rFonts w:cs="Arial"/>
                <w:b/>
                <w:sz w:val="20"/>
                <w:szCs w:val="20"/>
                <w:lang w:val="ro-RO"/>
              </w:rPr>
            </w:pPr>
            <w:r w:rsidRPr="0076579A">
              <w:rPr>
                <w:rFonts w:cs="Arial"/>
                <w:b/>
                <w:sz w:val="20"/>
                <w:szCs w:val="20"/>
                <w:lang w:val="ro-RO"/>
              </w:rPr>
              <w:t>Viteza (km/h)</w:t>
            </w: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t>Loco-electric</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363</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282</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78%</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b/>
                <w:sz w:val="20"/>
                <w:szCs w:val="20"/>
                <w:lang w:val="ro-RO"/>
              </w:rPr>
            </w:pP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b/>
                <w:sz w:val="20"/>
                <w:szCs w:val="20"/>
                <w:lang w:val="ro-RO"/>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b/>
                <w:sz w:val="20"/>
                <w:szCs w:val="20"/>
                <w:lang w:val="ro-RO"/>
              </w:rPr>
            </w:pP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lastRenderedPageBreak/>
              <w:t>Loco-diesel electric</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244</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133</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55%</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59</w:t>
            </w: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36</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100-120</w:t>
            </w: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t>Loco-diesel</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185</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103</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56%</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18</w:t>
            </w: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36</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100</w:t>
            </w: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t>DMU (Desiro)</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120</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89</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74%</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120</w:t>
            </w: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8</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120</w:t>
            </w: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t>EMU</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19</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19</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100%</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19</w:t>
            </w: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42</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120</w:t>
            </w: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t>DMU</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143</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74</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52%</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30</w:t>
            </w: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64</w:t>
            </w:r>
          </w:p>
        </w:tc>
        <w:tc>
          <w:tcPr>
            <w:tcW w:w="1276"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70-120</w:t>
            </w:r>
          </w:p>
        </w:tc>
      </w:tr>
      <w:tr w:rsidR="00573AD5" w:rsidRPr="0076579A" w:rsidTr="0030066D">
        <w:trPr>
          <w:trHeight w:hRule="exact" w:val="340"/>
        </w:trPr>
        <w:tc>
          <w:tcPr>
            <w:tcW w:w="2127"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rPr>
                <w:rFonts w:cs="Arial"/>
                <w:sz w:val="20"/>
                <w:szCs w:val="20"/>
                <w:lang w:val="ro-RO"/>
              </w:rPr>
            </w:pPr>
            <w:r w:rsidRPr="0076579A">
              <w:rPr>
                <w:rFonts w:cs="Arial"/>
                <w:sz w:val="20"/>
                <w:szCs w:val="20"/>
                <w:lang w:val="ro-RO"/>
              </w:rPr>
              <w:t>Total</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1066</w:t>
            </w:r>
          </w:p>
        </w:tc>
        <w:tc>
          <w:tcPr>
            <w:tcW w:w="1275"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700</w:t>
            </w:r>
          </w:p>
        </w:tc>
        <w:tc>
          <w:tcPr>
            <w:tcW w:w="1134"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66%</w:t>
            </w:r>
          </w:p>
        </w:tc>
        <w:tc>
          <w:tcPr>
            <w:tcW w:w="1702"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r w:rsidRPr="0076579A">
              <w:rPr>
                <w:rFonts w:cs="Arial"/>
                <w:sz w:val="20"/>
                <w:szCs w:val="20"/>
                <w:lang w:val="ro-RO"/>
              </w:rPr>
              <w:t>295</w:t>
            </w:r>
          </w:p>
        </w:tc>
        <w:tc>
          <w:tcPr>
            <w:tcW w:w="1133" w:type="dxa"/>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jc w:val="center"/>
              <w:rPr>
                <w:rFonts w:cs="Arial"/>
                <w:sz w:val="20"/>
                <w:szCs w:val="20"/>
                <w:lang w:val="ro-RO"/>
              </w:rPr>
            </w:pPr>
            <w:r w:rsidRPr="0076579A">
              <w:rPr>
                <w:rFonts w:cs="Arial"/>
                <w:sz w:val="20"/>
                <w:szCs w:val="20"/>
                <w:lang w:val="ro-RO"/>
              </w:rPr>
              <w:t>35.4</w:t>
            </w:r>
          </w:p>
        </w:tc>
        <w:tc>
          <w:tcPr>
            <w:tcW w:w="1276" w:type="dxa"/>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jc w:val="center"/>
              <w:rPr>
                <w:rFonts w:cs="Arial"/>
                <w:sz w:val="20"/>
                <w:szCs w:val="20"/>
                <w:lang w:val="ro-RO"/>
              </w:rPr>
            </w:pPr>
          </w:p>
        </w:tc>
      </w:tr>
    </w:tbl>
    <w:p w:rsidR="00573AD5" w:rsidRPr="00AE1AD4" w:rsidRDefault="00573AD5" w:rsidP="00AE1AD4">
      <w:pPr>
        <w:ind w:left="851"/>
        <w:rPr>
          <w:i/>
          <w:lang w:val="ro-RO"/>
        </w:rPr>
      </w:pPr>
      <w:r w:rsidRPr="00AE1AD4">
        <w:rPr>
          <w:i/>
          <w:lang w:val="ro-RO"/>
        </w:rPr>
        <w:t xml:space="preserve">Sursa: Informații primite de la CFR Călători (2003). </w:t>
      </w:r>
    </w:p>
    <w:p w:rsidR="00573AD5" w:rsidRPr="0076579A" w:rsidRDefault="00573AD5" w:rsidP="002B7E09">
      <w:pPr>
        <w:pStyle w:val="NumberedParas"/>
      </w:pPr>
      <w:r w:rsidRPr="0076579A">
        <w:t xml:space="preserve">Vechimea materialului rulant duce la reducerea gradului de utilizare a acestuia. Garniturile de tren învechite sunt în general mai puțin fiabile și necesită mai multe lucrări de întreținere pentru a furniza servicii de o calitate similară cu cea a operării unui parc feroviar modern, ceea ce înseamnă că există un excedent în operare. Materialul rulant mai vechi este mai puțin atractiv pentru călători. S-a observat faptul că lipsa pieselor de schimb și nivelul scăzut al fondurilor pentru lucrări de întreținere au contribuit de asemenea la acest rezultat. Gradul de utilizare a materialului rulant pentru transportul de călători este de 65%, în comparație cu valorile de referință de 85-90% din alte țări europene. Analiza noului parc feroviar Desiro, cu o vechime de 8 ani, arată ca mai puțin de 80% din acest parc este necesar pentru operarea serviciilor programate. Înțelegem că un program de revizuire a garniturilor este în derulare, ceea ce a redus numărul de unități disponibile. Odată ce aceste revizii vor fi finalizate productivitatea parcului feroviar ar trebui să crească. </w:t>
      </w:r>
    </w:p>
    <w:p w:rsidR="00573AD5" w:rsidRPr="0076579A" w:rsidRDefault="00573AD5" w:rsidP="002B7E09">
      <w:pPr>
        <w:pStyle w:val="NumberedParas"/>
      </w:pPr>
      <w:r w:rsidRPr="0076579A">
        <w:rPr>
          <w:rStyle w:val="hps"/>
        </w:rPr>
        <w:t xml:space="preserve">Rețeaua feroviară din România a înregistrat o reducere de 10% a numărului total de tren-km începând cu anul 2008. În aceeași perioadă s-a înregistrat o creștere a numărului de garnituri necesare pentru furnizarea serviciilor (o creștere de 10%). Acest lucru se datorează în special creșterii vechimii medii a materialului rulant </w:t>
      </w:r>
      <w:r>
        <w:rPr>
          <w:rStyle w:val="hps"/>
        </w:rPr>
        <w:t xml:space="preserve">care a crescut nivelul deficitar al întreținerii </w:t>
      </w:r>
      <w:r w:rsidRPr="0076579A">
        <w:rPr>
          <w:rStyle w:val="hps"/>
        </w:rPr>
        <w:t>și a introducerii unor restricții de viteză suplimentare</w:t>
      </w:r>
      <w:r>
        <w:rPr>
          <w:rStyle w:val="hps"/>
        </w:rPr>
        <w:t>.</w:t>
      </w:r>
      <w:r w:rsidRPr="0076579A">
        <w:t>. Rata scăzută de utilizare indică faptul că sunt necesare aproximativ 240 de unități suplimentare pentru a respecta graficul actual de mers al trenurilor</w:t>
      </w:r>
      <w:r>
        <w:t>comparativ cu parcul de material rulant din țările din vestul Europei.</w:t>
      </w:r>
    </w:p>
    <w:p w:rsidR="00573AD5" w:rsidRPr="0076579A" w:rsidRDefault="00573AD5" w:rsidP="002B7E09">
      <w:pPr>
        <w:pStyle w:val="NumberedParas"/>
      </w:pPr>
      <w:r w:rsidRPr="0076579A">
        <w:rPr>
          <w:rStyle w:val="hps"/>
        </w:rPr>
        <w:t>Utilizarea locomotivelor pentru tractarea trenurilor cu 3-4 vagoane în stații poate fi ineficientă din punct de vedere al costurilor, în comparație cu trenurile DMU sau EMU. Trenurile tractate cu ajutorul locomotivelor din stații generează operațiuni ineficiente în stațiile unde aceste locomotive sunt nevoite să staționeze și, astfel, să rămână inactive o perioadă mai mare de timp</w:t>
      </w:r>
      <w:r w:rsidRPr="0076579A">
        <w:t>.</w:t>
      </w:r>
      <w:r>
        <w:t xml:space="preserve"> Aceasta contribuie la creșterea timpilor de așteptare la întoarcere. </w:t>
      </w:r>
    </w:p>
    <w:p w:rsidR="00573AD5" w:rsidRPr="0076579A" w:rsidRDefault="00573AD5" w:rsidP="0030066D">
      <w:pPr>
        <w:pStyle w:val="Hdg3"/>
      </w:pPr>
      <w:r w:rsidRPr="0076579A">
        <w:t xml:space="preserve">Materialul rulant pentru transportul feroviar de mărfuri </w:t>
      </w:r>
    </w:p>
    <w:p w:rsidR="00573AD5" w:rsidRPr="0076579A" w:rsidRDefault="00573AD5" w:rsidP="002B7E09">
      <w:pPr>
        <w:pStyle w:val="NumberedParas"/>
      </w:pPr>
      <w:r w:rsidRPr="0076579A">
        <w:rPr>
          <w:rStyle w:val="hps"/>
          <w:rFonts w:cs="Arial"/>
          <w:color w:val="000000" w:themeColor="text1"/>
        </w:rPr>
        <w:t>O</w:t>
      </w:r>
      <w:r w:rsidRPr="0076579A">
        <w:t xml:space="preserve"> </w:t>
      </w:r>
      <w:r w:rsidRPr="0076579A">
        <w:rPr>
          <w:rStyle w:val="hps"/>
          <w:rFonts w:cs="Arial"/>
          <w:color w:val="000000" w:themeColor="text1"/>
        </w:rPr>
        <w:t>mare parte din</w:t>
      </w:r>
      <w:r w:rsidRPr="0076579A">
        <w:t xml:space="preserve"> </w:t>
      </w:r>
      <w:r w:rsidRPr="0076579A">
        <w:rPr>
          <w:rStyle w:val="hps"/>
          <w:rFonts w:cs="Arial"/>
          <w:color w:val="000000" w:themeColor="text1"/>
        </w:rPr>
        <w:t>materialul rulant</w:t>
      </w:r>
      <w:r w:rsidRPr="0076579A">
        <w:t xml:space="preserve"> al </w:t>
      </w:r>
      <w:r w:rsidRPr="0076579A">
        <w:rPr>
          <w:rStyle w:val="hps"/>
          <w:rFonts w:cs="Arial"/>
          <w:color w:val="000000" w:themeColor="text1"/>
        </w:rPr>
        <w:t>CFR Marfă</w:t>
      </w:r>
      <w:r w:rsidRPr="0076579A">
        <w:t xml:space="preserve"> </w:t>
      </w:r>
      <w:r w:rsidRPr="0076579A">
        <w:rPr>
          <w:rStyle w:val="hps"/>
          <w:rFonts w:cs="Arial"/>
          <w:color w:val="000000" w:themeColor="text1"/>
        </w:rPr>
        <w:t>se află în stare proastă</w:t>
      </w:r>
      <w:r w:rsidRPr="0076579A">
        <w:t xml:space="preserve">, în timp ce, urmare a discuțiilor tehnice avute, este cunoscut faptul că destul </w:t>
      </w:r>
      <w:r w:rsidRPr="0076579A">
        <w:rPr>
          <w:rStyle w:val="hps"/>
          <w:rFonts w:cs="Arial"/>
          <w:color w:val="000000" w:themeColor="text1"/>
        </w:rPr>
        <w:t>de</w:t>
      </w:r>
      <w:r w:rsidRPr="0076579A">
        <w:t xml:space="preserve"> </w:t>
      </w:r>
      <w:r w:rsidRPr="0076579A">
        <w:rPr>
          <w:rStyle w:val="hps"/>
          <w:rFonts w:cs="Arial"/>
          <w:color w:val="000000" w:themeColor="text1"/>
        </w:rPr>
        <w:t>puține</w:t>
      </w:r>
      <w:r w:rsidRPr="0076579A">
        <w:t xml:space="preserve"> </w:t>
      </w:r>
      <w:r w:rsidRPr="0076579A">
        <w:rPr>
          <w:rStyle w:val="hps"/>
          <w:rFonts w:cs="Arial"/>
          <w:color w:val="000000" w:themeColor="text1"/>
        </w:rPr>
        <w:t>unități</w:t>
      </w:r>
      <w:r w:rsidRPr="0076579A">
        <w:t xml:space="preserve"> </w:t>
      </w:r>
      <w:r w:rsidRPr="0076579A">
        <w:rPr>
          <w:rStyle w:val="hps"/>
          <w:rFonts w:cs="Arial"/>
          <w:color w:val="000000" w:themeColor="text1"/>
        </w:rPr>
        <w:t>deținute de</w:t>
      </w:r>
      <w:r w:rsidRPr="0076579A">
        <w:t xml:space="preserve"> </w:t>
      </w:r>
      <w:r w:rsidRPr="0076579A">
        <w:rPr>
          <w:rStyle w:val="hps"/>
          <w:rFonts w:cs="Arial"/>
          <w:color w:val="000000" w:themeColor="text1"/>
        </w:rPr>
        <w:t>operatorii feroviari</w:t>
      </w:r>
      <w:r w:rsidRPr="0076579A">
        <w:t xml:space="preserve"> </w:t>
      </w:r>
      <w:r w:rsidRPr="0076579A">
        <w:rPr>
          <w:rStyle w:val="hps"/>
          <w:rFonts w:cs="Arial"/>
          <w:color w:val="000000" w:themeColor="text1"/>
        </w:rPr>
        <w:t>privați</w:t>
      </w:r>
      <w:r w:rsidRPr="0076579A">
        <w:t xml:space="preserve"> </w:t>
      </w:r>
      <w:r w:rsidRPr="0076579A">
        <w:rPr>
          <w:rStyle w:val="hps"/>
          <w:rFonts w:cs="Arial"/>
          <w:color w:val="000000" w:themeColor="text1"/>
        </w:rPr>
        <w:t>sunt</w:t>
      </w:r>
      <w:r w:rsidRPr="0076579A">
        <w:t xml:space="preserve"> </w:t>
      </w:r>
      <w:r w:rsidRPr="0076579A">
        <w:rPr>
          <w:rStyle w:val="hps"/>
          <w:rFonts w:cs="Arial"/>
          <w:color w:val="000000" w:themeColor="text1"/>
        </w:rPr>
        <w:t>învechite.</w:t>
      </w:r>
      <w:r w:rsidRPr="0076579A">
        <w:t xml:space="preserve"> </w:t>
      </w:r>
      <w:r w:rsidRPr="0076579A">
        <w:rPr>
          <w:rStyle w:val="hps"/>
          <w:rFonts w:cs="Arial"/>
          <w:color w:val="000000" w:themeColor="text1"/>
        </w:rPr>
        <w:t>Vârsta medie</w:t>
      </w:r>
      <w:r w:rsidRPr="0076579A">
        <w:t xml:space="preserve"> </w:t>
      </w:r>
      <w:r w:rsidRPr="0076579A">
        <w:rPr>
          <w:rStyle w:val="hps"/>
          <w:rFonts w:cs="Arial"/>
          <w:color w:val="000000" w:themeColor="text1"/>
        </w:rPr>
        <w:t>a</w:t>
      </w:r>
      <w:r w:rsidRPr="0076579A">
        <w:t xml:space="preserve"> </w:t>
      </w:r>
      <w:r w:rsidRPr="0076579A">
        <w:rPr>
          <w:rStyle w:val="hps"/>
          <w:rFonts w:cs="Arial"/>
          <w:color w:val="000000" w:themeColor="text1"/>
        </w:rPr>
        <w:t>unei locomotive</w:t>
      </w:r>
      <w:r w:rsidRPr="0076579A">
        <w:t xml:space="preserve"> </w:t>
      </w:r>
      <w:r w:rsidRPr="0076579A">
        <w:rPr>
          <w:rStyle w:val="hps"/>
          <w:rFonts w:cs="Arial"/>
          <w:color w:val="000000" w:themeColor="text1"/>
        </w:rPr>
        <w:t>CFR Marfă</w:t>
      </w:r>
      <w:r w:rsidRPr="0076579A">
        <w:t xml:space="preserve"> </w:t>
      </w:r>
      <w:r w:rsidRPr="0076579A">
        <w:rPr>
          <w:rStyle w:val="hps"/>
          <w:rFonts w:cs="Arial"/>
          <w:color w:val="000000" w:themeColor="text1"/>
        </w:rPr>
        <w:t>era de</w:t>
      </w:r>
      <w:r w:rsidRPr="0076579A">
        <w:t xml:space="preserve"> </w:t>
      </w:r>
      <w:r w:rsidRPr="0076579A">
        <w:rPr>
          <w:rStyle w:val="hps"/>
          <w:rFonts w:cs="Arial"/>
          <w:color w:val="000000" w:themeColor="text1"/>
        </w:rPr>
        <w:t>33 ani,</w:t>
      </w:r>
      <w:r w:rsidRPr="0076579A">
        <w:t xml:space="preserve"> </w:t>
      </w:r>
      <w:r w:rsidRPr="0076579A">
        <w:rPr>
          <w:rStyle w:val="hps"/>
          <w:rFonts w:cs="Arial"/>
          <w:color w:val="000000" w:themeColor="text1"/>
        </w:rPr>
        <w:t>iar pentru vagoane aceasta era de 30 de</w:t>
      </w:r>
      <w:r w:rsidRPr="0076579A">
        <w:t xml:space="preserve"> </w:t>
      </w:r>
      <w:r w:rsidRPr="0076579A">
        <w:rPr>
          <w:rStyle w:val="hps"/>
          <w:rFonts w:cs="Arial"/>
          <w:color w:val="000000" w:themeColor="text1"/>
        </w:rPr>
        <w:t>ani. Doar</w:t>
      </w:r>
      <w:r w:rsidRPr="0076579A">
        <w:t xml:space="preserve"> </w:t>
      </w:r>
      <w:r w:rsidRPr="0076579A">
        <w:rPr>
          <w:rStyle w:val="hps"/>
          <w:rFonts w:cs="Arial"/>
          <w:color w:val="000000" w:themeColor="text1"/>
        </w:rPr>
        <w:t>370</w:t>
      </w:r>
      <w:r w:rsidRPr="0076579A">
        <w:t xml:space="preserve"> </w:t>
      </w:r>
      <w:r w:rsidRPr="0076579A">
        <w:rPr>
          <w:rStyle w:val="hps"/>
          <w:rFonts w:cs="Arial"/>
          <w:color w:val="000000" w:themeColor="text1"/>
        </w:rPr>
        <w:t>din cele</w:t>
      </w:r>
      <w:r w:rsidRPr="0076579A">
        <w:t xml:space="preserve"> </w:t>
      </w:r>
      <w:r w:rsidRPr="0076579A">
        <w:rPr>
          <w:rStyle w:val="hps"/>
          <w:rFonts w:cs="Arial"/>
          <w:color w:val="000000" w:themeColor="text1"/>
        </w:rPr>
        <w:t>907 de</w:t>
      </w:r>
      <w:r w:rsidRPr="0076579A">
        <w:t xml:space="preserve"> </w:t>
      </w:r>
      <w:r w:rsidRPr="0076579A">
        <w:rPr>
          <w:rStyle w:val="hps"/>
          <w:rFonts w:cs="Arial"/>
          <w:color w:val="000000" w:themeColor="text1"/>
        </w:rPr>
        <w:t>locomotive</w:t>
      </w:r>
      <w:r w:rsidRPr="0076579A">
        <w:t xml:space="preserve"> </w:t>
      </w:r>
      <w:r w:rsidRPr="0076579A">
        <w:rPr>
          <w:rStyle w:val="hps"/>
          <w:rFonts w:cs="Arial"/>
          <w:color w:val="000000" w:themeColor="text1"/>
        </w:rPr>
        <w:t>erau active</w:t>
      </w:r>
      <w:r w:rsidRPr="0076579A">
        <w:t xml:space="preserve"> în anul 2012, în timp ce </w:t>
      </w:r>
      <w:r w:rsidRPr="0076579A">
        <w:rPr>
          <w:rStyle w:val="hps"/>
          <w:rFonts w:cs="Arial"/>
          <w:color w:val="000000" w:themeColor="text1"/>
        </w:rPr>
        <w:t>mai puțin de 60</w:t>
      </w:r>
      <w:r w:rsidRPr="0076579A">
        <w:t xml:space="preserve">% </w:t>
      </w:r>
      <w:r w:rsidRPr="0076579A">
        <w:rPr>
          <w:rStyle w:val="hps"/>
          <w:rFonts w:cs="Arial"/>
          <w:color w:val="000000" w:themeColor="text1"/>
        </w:rPr>
        <w:t>din</w:t>
      </w:r>
      <w:r w:rsidRPr="0076579A">
        <w:t xml:space="preserve"> </w:t>
      </w:r>
      <w:r w:rsidRPr="0076579A">
        <w:rPr>
          <w:rStyle w:val="hps"/>
          <w:rFonts w:cs="Arial"/>
          <w:color w:val="000000" w:themeColor="text1"/>
        </w:rPr>
        <w:t>vagoane</w:t>
      </w:r>
      <w:r w:rsidRPr="0076579A">
        <w:t xml:space="preserve"> erau utilizate. </w:t>
      </w:r>
      <w:r w:rsidRPr="0076579A">
        <w:rPr>
          <w:rStyle w:val="hps"/>
          <w:rFonts w:cs="Arial"/>
          <w:color w:val="000000" w:themeColor="text1"/>
        </w:rPr>
        <w:t>O mare parte</w:t>
      </w:r>
      <w:r w:rsidRPr="0076579A">
        <w:t xml:space="preserve"> </w:t>
      </w:r>
      <w:r w:rsidRPr="0076579A">
        <w:rPr>
          <w:rStyle w:val="hps"/>
          <w:rFonts w:cs="Arial"/>
          <w:color w:val="000000" w:themeColor="text1"/>
        </w:rPr>
        <w:t>a parcului</w:t>
      </w:r>
      <w:r w:rsidRPr="0076579A">
        <w:t xml:space="preserve"> </w:t>
      </w:r>
      <w:r w:rsidRPr="0076579A">
        <w:rPr>
          <w:rStyle w:val="hps"/>
          <w:rFonts w:cs="Arial"/>
          <w:color w:val="000000" w:themeColor="text1"/>
        </w:rPr>
        <w:t>de exploatare</w:t>
      </w:r>
      <w:r w:rsidRPr="0076579A">
        <w:t xml:space="preserve"> </w:t>
      </w:r>
      <w:r w:rsidRPr="0076579A">
        <w:rPr>
          <w:rStyle w:val="hps"/>
          <w:rFonts w:cs="Arial"/>
          <w:color w:val="000000" w:themeColor="text1"/>
        </w:rPr>
        <w:t>nu este adecvat pentru</w:t>
      </w:r>
      <w:r w:rsidRPr="0076579A">
        <w:t xml:space="preserve"> utilizare pe </w:t>
      </w:r>
      <w:r w:rsidRPr="0076579A">
        <w:rPr>
          <w:rStyle w:val="hps"/>
          <w:rFonts w:cs="Arial"/>
          <w:color w:val="000000" w:themeColor="text1"/>
        </w:rPr>
        <w:t>piețele emergente</w:t>
      </w:r>
      <w:r w:rsidRPr="0076579A">
        <w:t xml:space="preserve">, </w:t>
      </w:r>
      <w:r w:rsidRPr="0076579A">
        <w:rPr>
          <w:rStyle w:val="hps"/>
          <w:rFonts w:cs="Arial"/>
          <w:color w:val="000000" w:themeColor="text1"/>
        </w:rPr>
        <w:t>inclusiv în</w:t>
      </w:r>
      <w:r w:rsidRPr="0076579A">
        <w:t xml:space="preserve"> </w:t>
      </w:r>
      <w:r w:rsidRPr="0076579A">
        <w:rPr>
          <w:rStyle w:val="hps"/>
          <w:rFonts w:cs="Arial"/>
          <w:color w:val="000000" w:themeColor="text1"/>
        </w:rPr>
        <w:t>sectorul</w:t>
      </w:r>
      <w:r w:rsidRPr="0076579A">
        <w:t xml:space="preserve"> </w:t>
      </w:r>
      <w:r w:rsidRPr="0076579A">
        <w:rPr>
          <w:rStyle w:val="hps"/>
          <w:rFonts w:cs="Arial"/>
          <w:color w:val="000000" w:themeColor="text1"/>
        </w:rPr>
        <w:t>intermodal,</w:t>
      </w:r>
      <w:r w:rsidRPr="0076579A">
        <w:t xml:space="preserve"> aflat în </w:t>
      </w:r>
      <w:r w:rsidRPr="0076579A">
        <w:rPr>
          <w:rStyle w:val="hps"/>
          <w:rFonts w:cs="Arial"/>
          <w:color w:val="000000" w:themeColor="text1"/>
        </w:rPr>
        <w:t>expansiune</w:t>
      </w:r>
      <w:r w:rsidRPr="0076579A">
        <w:t xml:space="preserve">. </w:t>
      </w:r>
      <w:r w:rsidRPr="0076579A">
        <w:rPr>
          <w:rStyle w:val="hps"/>
          <w:rFonts w:cs="Arial"/>
          <w:color w:val="000000" w:themeColor="text1"/>
        </w:rPr>
        <w:t>Se pot obține venituri considerabile din</w:t>
      </w:r>
      <w:r w:rsidRPr="0076579A">
        <w:t xml:space="preserve"> </w:t>
      </w:r>
      <w:r w:rsidRPr="0076579A">
        <w:rPr>
          <w:rStyle w:val="hps"/>
          <w:rFonts w:cs="Arial"/>
          <w:color w:val="000000" w:themeColor="text1"/>
        </w:rPr>
        <w:t>materialul rulant</w:t>
      </w:r>
      <w:r w:rsidRPr="0076579A">
        <w:t xml:space="preserve"> </w:t>
      </w:r>
      <w:r w:rsidRPr="0076579A">
        <w:rPr>
          <w:rStyle w:val="hps"/>
          <w:rFonts w:cs="Arial"/>
          <w:color w:val="000000" w:themeColor="text1"/>
        </w:rPr>
        <w:t>abandonat</w:t>
      </w:r>
      <w:r w:rsidRPr="0076579A">
        <w:t xml:space="preserve"> care poate fi valorificat ca fier vechi la fel ca </w:t>
      </w:r>
      <w:r w:rsidRPr="0076579A">
        <w:rPr>
          <w:rStyle w:val="hps"/>
          <w:rFonts w:cs="Arial"/>
          <w:color w:val="000000" w:themeColor="text1"/>
        </w:rPr>
        <w:t>și</w:t>
      </w:r>
      <w:r w:rsidRPr="0076579A">
        <w:t xml:space="preserve"> </w:t>
      </w:r>
      <w:r w:rsidRPr="0076579A">
        <w:rPr>
          <w:rStyle w:val="hps"/>
          <w:rFonts w:cs="Arial"/>
          <w:color w:val="000000" w:themeColor="text1"/>
        </w:rPr>
        <w:t>calea ferată</w:t>
      </w:r>
      <w:r w:rsidRPr="0076579A">
        <w:t xml:space="preserve"> </w:t>
      </w:r>
      <w:r w:rsidRPr="0076579A">
        <w:rPr>
          <w:rStyle w:val="hps"/>
          <w:rFonts w:cs="Arial"/>
          <w:color w:val="000000" w:themeColor="text1"/>
        </w:rPr>
        <w:t>pe care acesta staționează</w:t>
      </w:r>
      <w:r w:rsidRPr="0076579A">
        <w:t xml:space="preserve">. În </w:t>
      </w:r>
      <w:r>
        <w:t>Tabelul 5.</w:t>
      </w:r>
      <w:r w:rsidRPr="0076579A">
        <w:t>5 de mai jos este inclusă o descriere a materialului rulant deținut de CFR Marfă.</w:t>
      </w:r>
    </w:p>
    <w:p w:rsidR="00573AD5" w:rsidRPr="0076579A" w:rsidRDefault="00573AD5" w:rsidP="0030066D">
      <w:pPr>
        <w:spacing w:after="60"/>
        <w:rPr>
          <w:b/>
          <w:lang w:val="ro-RO"/>
        </w:rPr>
      </w:pPr>
      <w:r>
        <w:rPr>
          <w:rFonts w:cs="Arial"/>
          <w:b/>
          <w:sz w:val="20"/>
          <w:szCs w:val="20"/>
          <w:lang w:val="ro-RO"/>
        </w:rPr>
        <w:t>Tabelul 5.</w:t>
      </w:r>
      <w:r w:rsidRPr="0076579A">
        <w:rPr>
          <w:rFonts w:cs="Arial"/>
          <w:b/>
          <w:sz w:val="20"/>
          <w:szCs w:val="20"/>
          <w:lang w:val="ro-RO"/>
        </w:rPr>
        <w:t>5 Rezumat al disponibilității materialului rulant pentru transportul de mărfuri (2013)</w:t>
      </w:r>
    </w:p>
    <w:tbl>
      <w:tblPr>
        <w:tblW w:w="9082" w:type="dxa"/>
        <w:tblInd w:w="6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1315"/>
        <w:gridCol w:w="960"/>
        <w:gridCol w:w="960"/>
        <w:gridCol w:w="960"/>
        <w:gridCol w:w="960"/>
        <w:gridCol w:w="960"/>
        <w:gridCol w:w="960"/>
      </w:tblGrid>
      <w:tr w:rsidR="00573AD5" w:rsidRPr="0076579A" w:rsidTr="0030066D">
        <w:trPr>
          <w:trHeight w:val="288"/>
        </w:trPr>
        <w:tc>
          <w:tcPr>
            <w:tcW w:w="3322" w:type="dxa"/>
            <w:gridSpan w:val="2"/>
            <w:shd w:val="clear" w:color="auto" w:fill="C6D9F1"/>
            <w:hideMark/>
          </w:tcPr>
          <w:p w:rsidR="00573AD5" w:rsidRPr="0076579A" w:rsidRDefault="00573AD5" w:rsidP="00573AD5">
            <w:pPr>
              <w:spacing w:before="120" w:after="120"/>
              <w:jc w:val="center"/>
              <w:rPr>
                <w:rFonts w:cs="Arial"/>
                <w:b/>
                <w:bCs/>
                <w:i/>
                <w:iCs/>
                <w:sz w:val="20"/>
                <w:szCs w:val="20"/>
                <w:lang w:val="ro-RO"/>
              </w:rPr>
            </w:pPr>
            <w:r w:rsidRPr="0076579A">
              <w:rPr>
                <w:rFonts w:cs="Arial"/>
                <w:b/>
                <w:bCs/>
                <w:i/>
                <w:iCs/>
                <w:sz w:val="20"/>
                <w:szCs w:val="20"/>
                <w:lang w:val="ro-RO"/>
              </w:rPr>
              <w:lastRenderedPageBreak/>
              <w:t>Material rulant CFR Marfă</w:t>
            </w:r>
          </w:p>
        </w:tc>
        <w:tc>
          <w:tcPr>
            <w:tcW w:w="960" w:type="dxa"/>
            <w:shd w:val="clear" w:color="auto" w:fill="C6D9F1"/>
            <w:noWrap/>
            <w:hideMark/>
          </w:tcPr>
          <w:p w:rsidR="00573AD5" w:rsidRPr="0076579A" w:rsidRDefault="00573AD5" w:rsidP="00573AD5">
            <w:pPr>
              <w:spacing w:before="120" w:after="120"/>
              <w:jc w:val="center"/>
              <w:rPr>
                <w:rFonts w:cs="Arial"/>
                <w:b/>
                <w:bCs/>
                <w:i/>
                <w:iCs/>
                <w:color w:val="000000"/>
                <w:sz w:val="20"/>
                <w:szCs w:val="20"/>
                <w:lang w:val="ro-RO"/>
              </w:rPr>
            </w:pPr>
            <w:r w:rsidRPr="0076579A">
              <w:rPr>
                <w:rFonts w:cs="Arial"/>
                <w:b/>
                <w:bCs/>
                <w:i/>
                <w:iCs/>
                <w:color w:val="000000"/>
                <w:sz w:val="20"/>
                <w:szCs w:val="20"/>
                <w:lang w:val="ro-RO"/>
              </w:rPr>
              <w:t>2007</w:t>
            </w:r>
          </w:p>
        </w:tc>
        <w:tc>
          <w:tcPr>
            <w:tcW w:w="960" w:type="dxa"/>
            <w:shd w:val="clear" w:color="auto" w:fill="C6D9F1"/>
            <w:noWrap/>
            <w:hideMark/>
          </w:tcPr>
          <w:p w:rsidR="00573AD5" w:rsidRPr="0076579A" w:rsidRDefault="00573AD5" w:rsidP="00573AD5">
            <w:pPr>
              <w:spacing w:before="120" w:after="120"/>
              <w:jc w:val="center"/>
              <w:rPr>
                <w:rFonts w:cs="Arial"/>
                <w:b/>
                <w:bCs/>
                <w:i/>
                <w:iCs/>
                <w:color w:val="000000"/>
                <w:sz w:val="20"/>
                <w:szCs w:val="20"/>
                <w:lang w:val="ro-RO"/>
              </w:rPr>
            </w:pPr>
            <w:r w:rsidRPr="0076579A">
              <w:rPr>
                <w:rFonts w:cs="Arial"/>
                <w:b/>
                <w:bCs/>
                <w:i/>
                <w:iCs/>
                <w:color w:val="000000"/>
                <w:sz w:val="20"/>
                <w:szCs w:val="20"/>
                <w:lang w:val="ro-RO"/>
              </w:rPr>
              <w:t>2008</w:t>
            </w:r>
          </w:p>
        </w:tc>
        <w:tc>
          <w:tcPr>
            <w:tcW w:w="960" w:type="dxa"/>
            <w:shd w:val="clear" w:color="auto" w:fill="C6D9F1"/>
            <w:noWrap/>
            <w:hideMark/>
          </w:tcPr>
          <w:p w:rsidR="00573AD5" w:rsidRPr="0076579A" w:rsidRDefault="00573AD5" w:rsidP="00573AD5">
            <w:pPr>
              <w:spacing w:before="120" w:after="120"/>
              <w:jc w:val="center"/>
              <w:rPr>
                <w:rFonts w:cs="Arial"/>
                <w:b/>
                <w:bCs/>
                <w:i/>
                <w:iCs/>
                <w:color w:val="000000"/>
                <w:sz w:val="20"/>
                <w:szCs w:val="20"/>
                <w:lang w:val="ro-RO"/>
              </w:rPr>
            </w:pPr>
            <w:r w:rsidRPr="0076579A">
              <w:rPr>
                <w:rFonts w:cs="Arial"/>
                <w:b/>
                <w:bCs/>
                <w:i/>
                <w:iCs/>
                <w:color w:val="000000"/>
                <w:sz w:val="20"/>
                <w:szCs w:val="20"/>
                <w:lang w:val="ro-RO"/>
              </w:rPr>
              <w:t>2009</w:t>
            </w:r>
          </w:p>
        </w:tc>
        <w:tc>
          <w:tcPr>
            <w:tcW w:w="960" w:type="dxa"/>
            <w:shd w:val="clear" w:color="auto" w:fill="C6D9F1"/>
            <w:noWrap/>
            <w:hideMark/>
          </w:tcPr>
          <w:p w:rsidR="00573AD5" w:rsidRPr="0076579A" w:rsidRDefault="00573AD5" w:rsidP="00573AD5">
            <w:pPr>
              <w:spacing w:before="120" w:after="120"/>
              <w:jc w:val="center"/>
              <w:rPr>
                <w:rFonts w:cs="Arial"/>
                <w:b/>
                <w:bCs/>
                <w:i/>
                <w:iCs/>
                <w:color w:val="000000"/>
                <w:sz w:val="20"/>
                <w:szCs w:val="20"/>
                <w:lang w:val="ro-RO"/>
              </w:rPr>
            </w:pPr>
            <w:r w:rsidRPr="0076579A">
              <w:rPr>
                <w:rFonts w:cs="Arial"/>
                <w:b/>
                <w:bCs/>
                <w:i/>
                <w:iCs/>
                <w:color w:val="000000"/>
                <w:sz w:val="20"/>
                <w:szCs w:val="20"/>
                <w:lang w:val="ro-RO"/>
              </w:rPr>
              <w:t>2010</w:t>
            </w:r>
          </w:p>
        </w:tc>
        <w:tc>
          <w:tcPr>
            <w:tcW w:w="960" w:type="dxa"/>
            <w:shd w:val="clear" w:color="auto" w:fill="C6D9F1"/>
            <w:noWrap/>
            <w:hideMark/>
          </w:tcPr>
          <w:p w:rsidR="00573AD5" w:rsidRPr="0076579A" w:rsidRDefault="00573AD5" w:rsidP="00573AD5">
            <w:pPr>
              <w:spacing w:before="120" w:after="120"/>
              <w:jc w:val="center"/>
              <w:rPr>
                <w:rFonts w:cs="Arial"/>
                <w:b/>
                <w:bCs/>
                <w:i/>
                <w:iCs/>
                <w:color w:val="000000"/>
                <w:sz w:val="20"/>
                <w:szCs w:val="20"/>
                <w:lang w:val="ro-RO"/>
              </w:rPr>
            </w:pPr>
            <w:r w:rsidRPr="0076579A">
              <w:rPr>
                <w:rFonts w:cs="Arial"/>
                <w:b/>
                <w:bCs/>
                <w:i/>
                <w:iCs/>
                <w:color w:val="000000"/>
                <w:sz w:val="20"/>
                <w:szCs w:val="20"/>
                <w:lang w:val="ro-RO"/>
              </w:rPr>
              <w:t>2011</w:t>
            </w:r>
          </w:p>
        </w:tc>
        <w:tc>
          <w:tcPr>
            <w:tcW w:w="960" w:type="dxa"/>
            <w:shd w:val="clear" w:color="auto" w:fill="C6D9F1"/>
            <w:noWrap/>
            <w:hideMark/>
          </w:tcPr>
          <w:p w:rsidR="00573AD5" w:rsidRPr="0076579A" w:rsidRDefault="00573AD5" w:rsidP="00573AD5">
            <w:pPr>
              <w:spacing w:before="120" w:after="120"/>
              <w:jc w:val="center"/>
              <w:rPr>
                <w:rFonts w:cs="Arial"/>
                <w:b/>
                <w:bCs/>
                <w:i/>
                <w:iCs/>
                <w:color w:val="000000"/>
                <w:sz w:val="20"/>
                <w:szCs w:val="20"/>
                <w:lang w:val="ro-RO"/>
              </w:rPr>
            </w:pPr>
            <w:r w:rsidRPr="0076579A">
              <w:rPr>
                <w:rFonts w:cs="Arial"/>
                <w:b/>
                <w:bCs/>
                <w:i/>
                <w:iCs/>
                <w:color w:val="000000"/>
                <w:sz w:val="20"/>
                <w:szCs w:val="20"/>
                <w:lang w:val="ro-RO"/>
              </w:rPr>
              <w:t>2012</w:t>
            </w:r>
          </w:p>
        </w:tc>
      </w:tr>
      <w:tr w:rsidR="00573AD5" w:rsidRPr="0076579A" w:rsidTr="0030066D">
        <w:trPr>
          <w:trHeight w:val="288"/>
        </w:trPr>
        <w:tc>
          <w:tcPr>
            <w:tcW w:w="2007" w:type="dxa"/>
            <w:vMerge w:val="restart"/>
            <w:shd w:val="clear" w:color="auto" w:fill="auto"/>
            <w:hideMark/>
          </w:tcPr>
          <w:p w:rsidR="00573AD5" w:rsidRPr="0076579A" w:rsidRDefault="00573AD5" w:rsidP="00573AD5">
            <w:pPr>
              <w:spacing w:before="120" w:after="120"/>
              <w:jc w:val="center"/>
              <w:rPr>
                <w:rFonts w:cs="Arial"/>
                <w:bCs/>
                <w:color w:val="000000"/>
                <w:sz w:val="20"/>
                <w:szCs w:val="20"/>
                <w:lang w:val="ro-RO"/>
              </w:rPr>
            </w:pPr>
            <w:r w:rsidRPr="0076579A">
              <w:rPr>
                <w:rFonts w:cs="Arial"/>
                <w:bCs/>
                <w:color w:val="000000"/>
                <w:sz w:val="20"/>
                <w:szCs w:val="20"/>
                <w:lang w:val="ro-RO"/>
              </w:rPr>
              <w:t>Material rulant CFR Marfă</w:t>
            </w:r>
          </w:p>
        </w:tc>
        <w:tc>
          <w:tcPr>
            <w:tcW w:w="1315" w:type="dxa"/>
            <w:shd w:val="clear" w:color="auto" w:fill="auto"/>
            <w:noWrap/>
            <w:hideMark/>
          </w:tcPr>
          <w:p w:rsidR="00573AD5" w:rsidRPr="0076579A" w:rsidRDefault="00573AD5" w:rsidP="00573AD5">
            <w:pPr>
              <w:spacing w:before="120" w:after="120"/>
              <w:jc w:val="center"/>
              <w:rPr>
                <w:rFonts w:cs="Arial"/>
                <w:bCs/>
                <w:color w:val="000000"/>
                <w:sz w:val="20"/>
                <w:szCs w:val="20"/>
                <w:lang w:val="ro-RO"/>
              </w:rPr>
            </w:pPr>
            <w:r w:rsidRPr="0076579A">
              <w:rPr>
                <w:rFonts w:cs="Arial"/>
                <w:bCs/>
                <w:color w:val="000000"/>
                <w:sz w:val="20"/>
                <w:szCs w:val="20"/>
                <w:lang w:val="ro-RO"/>
              </w:rPr>
              <w:t>locomotive</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991</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956</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907</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907</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907</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907</w:t>
            </w:r>
          </w:p>
        </w:tc>
      </w:tr>
      <w:tr w:rsidR="00573AD5" w:rsidRPr="0076579A" w:rsidTr="0030066D">
        <w:trPr>
          <w:trHeight w:val="288"/>
        </w:trPr>
        <w:tc>
          <w:tcPr>
            <w:tcW w:w="2007" w:type="dxa"/>
            <w:vMerge/>
            <w:shd w:val="clear" w:color="auto" w:fill="auto"/>
            <w:hideMark/>
          </w:tcPr>
          <w:p w:rsidR="00573AD5" w:rsidRPr="0076579A" w:rsidRDefault="00573AD5" w:rsidP="00573AD5">
            <w:pPr>
              <w:spacing w:before="120" w:after="120"/>
              <w:rPr>
                <w:rFonts w:cs="Arial"/>
                <w:bCs/>
                <w:color w:val="000000"/>
                <w:sz w:val="20"/>
                <w:szCs w:val="20"/>
                <w:lang w:val="ro-RO"/>
              </w:rPr>
            </w:pPr>
          </w:p>
        </w:tc>
        <w:tc>
          <w:tcPr>
            <w:tcW w:w="1315" w:type="dxa"/>
            <w:shd w:val="clear" w:color="auto" w:fill="auto"/>
            <w:noWrap/>
            <w:hideMark/>
          </w:tcPr>
          <w:p w:rsidR="00573AD5" w:rsidRPr="0076579A" w:rsidRDefault="00573AD5" w:rsidP="00573AD5">
            <w:pPr>
              <w:spacing w:before="120" w:after="120"/>
              <w:jc w:val="center"/>
              <w:rPr>
                <w:rFonts w:cs="Arial"/>
                <w:bCs/>
                <w:color w:val="000000"/>
                <w:sz w:val="20"/>
                <w:szCs w:val="20"/>
                <w:lang w:val="ro-RO"/>
              </w:rPr>
            </w:pPr>
            <w:r w:rsidRPr="0076579A">
              <w:rPr>
                <w:rFonts w:cs="Arial"/>
                <w:bCs/>
                <w:color w:val="000000"/>
                <w:sz w:val="20"/>
                <w:szCs w:val="20"/>
                <w:lang w:val="ro-RO"/>
              </w:rPr>
              <w:t>vagoane</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50,151</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42,925</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41,754</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39,741</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39,149</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38,498</w:t>
            </w:r>
          </w:p>
        </w:tc>
      </w:tr>
      <w:tr w:rsidR="00573AD5" w:rsidRPr="0076579A" w:rsidTr="0030066D">
        <w:trPr>
          <w:trHeight w:val="288"/>
        </w:trPr>
        <w:tc>
          <w:tcPr>
            <w:tcW w:w="2007" w:type="dxa"/>
            <w:vMerge w:val="restart"/>
            <w:shd w:val="clear" w:color="auto" w:fill="auto"/>
            <w:hideMark/>
          </w:tcPr>
          <w:p w:rsidR="00573AD5" w:rsidRPr="0076579A" w:rsidRDefault="00573AD5" w:rsidP="00573AD5">
            <w:pPr>
              <w:spacing w:before="120" w:after="120"/>
              <w:jc w:val="center"/>
              <w:rPr>
                <w:rFonts w:cs="Arial"/>
                <w:bCs/>
                <w:color w:val="000000"/>
                <w:sz w:val="20"/>
                <w:szCs w:val="20"/>
                <w:lang w:val="ro-RO"/>
              </w:rPr>
            </w:pPr>
            <w:r w:rsidRPr="0076579A">
              <w:rPr>
                <w:rFonts w:cs="Arial"/>
                <w:bCs/>
                <w:color w:val="000000"/>
                <w:sz w:val="20"/>
                <w:szCs w:val="20"/>
                <w:lang w:val="ro-RO"/>
              </w:rPr>
              <w:t>Material rulant activ CFR Marfă %</w:t>
            </w:r>
          </w:p>
        </w:tc>
        <w:tc>
          <w:tcPr>
            <w:tcW w:w="1315" w:type="dxa"/>
            <w:shd w:val="clear" w:color="auto" w:fill="auto"/>
            <w:noWrap/>
            <w:hideMark/>
          </w:tcPr>
          <w:p w:rsidR="00573AD5" w:rsidRPr="0076579A" w:rsidRDefault="00573AD5" w:rsidP="00573AD5">
            <w:pPr>
              <w:spacing w:before="120" w:after="120"/>
              <w:jc w:val="center"/>
              <w:rPr>
                <w:rFonts w:cs="Arial"/>
                <w:bCs/>
                <w:color w:val="000000"/>
                <w:sz w:val="20"/>
                <w:szCs w:val="20"/>
                <w:lang w:val="ro-RO"/>
              </w:rPr>
            </w:pPr>
            <w:r w:rsidRPr="0076579A">
              <w:rPr>
                <w:rFonts w:cs="Arial"/>
                <w:bCs/>
                <w:color w:val="000000"/>
                <w:sz w:val="20"/>
                <w:szCs w:val="20"/>
                <w:lang w:val="ro-RO"/>
              </w:rPr>
              <w:t>locomotive</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44.9%</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40.1%</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26.8%</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24.8%</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42.2%</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40.8%</w:t>
            </w:r>
          </w:p>
        </w:tc>
      </w:tr>
      <w:tr w:rsidR="00573AD5" w:rsidRPr="0076579A" w:rsidTr="0030066D">
        <w:trPr>
          <w:trHeight w:val="288"/>
        </w:trPr>
        <w:tc>
          <w:tcPr>
            <w:tcW w:w="2007" w:type="dxa"/>
            <w:vMerge/>
            <w:shd w:val="clear" w:color="auto" w:fill="auto"/>
            <w:hideMark/>
          </w:tcPr>
          <w:p w:rsidR="00573AD5" w:rsidRPr="0076579A" w:rsidRDefault="00573AD5" w:rsidP="00573AD5">
            <w:pPr>
              <w:spacing w:before="120" w:after="120"/>
              <w:rPr>
                <w:bCs/>
                <w:color w:val="000000"/>
                <w:sz w:val="20"/>
                <w:szCs w:val="20"/>
                <w:lang w:val="ro-RO"/>
              </w:rPr>
            </w:pPr>
          </w:p>
        </w:tc>
        <w:tc>
          <w:tcPr>
            <w:tcW w:w="1315" w:type="dxa"/>
            <w:shd w:val="clear" w:color="auto" w:fill="auto"/>
            <w:noWrap/>
            <w:hideMark/>
          </w:tcPr>
          <w:p w:rsidR="00573AD5" w:rsidRPr="0076579A" w:rsidRDefault="00573AD5" w:rsidP="00573AD5">
            <w:pPr>
              <w:spacing w:before="120" w:after="120"/>
              <w:jc w:val="center"/>
              <w:rPr>
                <w:rFonts w:cs="Arial"/>
                <w:bCs/>
                <w:color w:val="000000"/>
                <w:sz w:val="20"/>
                <w:szCs w:val="20"/>
                <w:lang w:val="ro-RO"/>
              </w:rPr>
            </w:pPr>
            <w:r w:rsidRPr="0076579A">
              <w:rPr>
                <w:rFonts w:cs="Arial"/>
                <w:bCs/>
                <w:color w:val="000000"/>
                <w:sz w:val="20"/>
                <w:szCs w:val="20"/>
                <w:lang w:val="ro-RO"/>
              </w:rPr>
              <w:t>vagoane</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w:t>
            </w:r>
          </w:p>
        </w:tc>
        <w:tc>
          <w:tcPr>
            <w:tcW w:w="960" w:type="dxa"/>
            <w:shd w:val="clear" w:color="auto" w:fill="auto"/>
            <w:noWrap/>
            <w:hideMark/>
          </w:tcPr>
          <w:p w:rsidR="00573AD5" w:rsidRPr="0076579A" w:rsidRDefault="00573AD5" w:rsidP="00573AD5">
            <w:pPr>
              <w:spacing w:before="120" w:after="120"/>
              <w:jc w:val="center"/>
              <w:rPr>
                <w:rFonts w:cs="Arial"/>
                <w:color w:val="000000"/>
                <w:sz w:val="20"/>
                <w:szCs w:val="20"/>
                <w:lang w:val="ro-RO"/>
              </w:rPr>
            </w:pPr>
            <w:r w:rsidRPr="0076579A">
              <w:rPr>
                <w:rFonts w:cs="Arial"/>
                <w:color w:val="000000"/>
                <w:sz w:val="20"/>
                <w:szCs w:val="20"/>
                <w:lang w:val="ro-RO"/>
              </w:rPr>
              <w:t>59.9%</w:t>
            </w:r>
          </w:p>
        </w:tc>
      </w:tr>
    </w:tbl>
    <w:p w:rsidR="00573AD5" w:rsidRPr="00AE1AD4" w:rsidRDefault="00573AD5" w:rsidP="00AE1AD4">
      <w:pPr>
        <w:ind w:left="851"/>
        <w:rPr>
          <w:i/>
          <w:lang w:val="ro-RO"/>
        </w:rPr>
      </w:pPr>
      <w:r w:rsidRPr="00AE1AD4">
        <w:rPr>
          <w:i/>
          <w:lang w:val="ro-RO"/>
        </w:rPr>
        <w:t>Sursa: Direcția Feroviară - MT</w:t>
      </w:r>
    </w:p>
    <w:p w:rsidR="00573AD5" w:rsidRPr="0076579A" w:rsidRDefault="00573AD5" w:rsidP="002B7E09">
      <w:pPr>
        <w:pStyle w:val="NumberedParas"/>
      </w:pPr>
      <w:r w:rsidRPr="0076579A">
        <w:t>Materialul rulant</w:t>
      </w:r>
      <w:r>
        <w:t xml:space="preserve">de transport marfă învechit </w:t>
      </w:r>
      <w:r w:rsidRPr="0076579A">
        <w:t xml:space="preserve">învechit va necesita inevitabil mai multe lucrări de întreținere și va fi mai puțin fiabil din cauza lucrărilor de întreținere neprogramate ce vor fi necesare. Mai mult, disponibilitatea pieselor de rezervă a fost redusă. De asemenea, s-a observat că nu sunt suficiente vagoane siloz descoperite. Un alt impediment este reprezentat de limita sarcinii pe osie de doar 20.5 tone, mai mică decât în multe alte țări membre ale UE (22.5 tone). În consecință, capacitatea utilă per vagon este redusă, ceea ce înseamnă că este necesar un număr mai mare de vagoane pentru a transporta aceeași cantitate de mărfuri. Acest lucru reprezintă o problemă și pentru tranzitul trenurilor internaționale care trec prin România, întrucât acestea </w:t>
      </w:r>
      <w:r w:rsidRPr="0076579A">
        <w:rPr>
          <w:rStyle w:val="hps"/>
          <w:rFonts w:cs="Arial"/>
          <w:color w:val="000000" w:themeColor="text1"/>
        </w:rPr>
        <w:t>sunt nevoite să respecte cea mai mică limita de greutate pentru a se încadra în normele legale pe parcursul călătoriei</w:t>
      </w:r>
      <w:r w:rsidRPr="0076579A">
        <w:t>. Chiar dacă limita pentru anumite linii reabilitate a ajuns la 22.7 tone, un tren din România care circulă pe rute nereabilitate sau care trece granița va călători în mare parte respectând limita de greutate inferioară</w:t>
      </w:r>
      <w:r>
        <w:t xml:space="preserve"> și va deveni astfel, ma ineficient</w:t>
      </w:r>
      <w:r w:rsidRPr="0076579A">
        <w:t>.</w:t>
      </w:r>
    </w:p>
    <w:p w:rsidR="00573AD5" w:rsidRPr="0076579A" w:rsidRDefault="00573AD5" w:rsidP="0030066D">
      <w:pPr>
        <w:pStyle w:val="Hdg3"/>
      </w:pPr>
      <w:r w:rsidRPr="0076579A">
        <w:t xml:space="preserve">Regimul de întreținere și </w:t>
      </w:r>
      <w:r>
        <w:t>reparații capitale</w:t>
      </w:r>
      <w:r w:rsidRPr="0076579A">
        <w:t xml:space="preserve"> </w:t>
      </w:r>
    </w:p>
    <w:p w:rsidR="00573AD5" w:rsidRPr="0076579A" w:rsidRDefault="00573AD5" w:rsidP="002B7E09">
      <w:pPr>
        <w:pStyle w:val="NumberedParas"/>
      </w:pPr>
      <w:r w:rsidRPr="0076579A">
        <w:t xml:space="preserve">Cheltuielile necesare pentru menținerea rețelei feroviare în condiții bune se împart în două categorii: </w:t>
      </w:r>
      <w:r>
        <w:t>întreținere și reparații capitale</w:t>
      </w:r>
      <w:r w:rsidRPr="0076579A">
        <w:t xml:space="preserve">. În acest capitol sunt definiți acești termeni, efectuând totodată o evaluare a cheltuielilor actuale și previzionate pentru aceste două categorii. Costurile cu întreținerea sunt costuri înregistrate în mod continuu pentru a asigura utilizarea în siguranța a infrastructurii. Menținerea infrastructurii la starea tehnică actuală permite continuarea utilizării acesteia la standardele la care a fost construită, de exemplu permite ca trenurile să circule în siguranță la viteza proiectată a rețelei. Dacă nivelul de întreținere a rețelei ajunge sub nivelul tehnic actual, starea acesteia se va deteriora reducând utilizarea și operarea eficientă a acesteia, fie în anumite puncte, fie pe secțiuni de cale mai întinse, sau în cazuri extreme, va determina închiderea liniei.  </w:t>
      </w:r>
    </w:p>
    <w:p w:rsidR="00573AD5" w:rsidRPr="0076579A" w:rsidRDefault="00573AD5" w:rsidP="002B7E09">
      <w:pPr>
        <w:pStyle w:val="NumberedParas"/>
      </w:pPr>
      <w:r w:rsidRPr="0076579A">
        <w:t xml:space="preserve">Investițiile recente în infrastructura feroviară nu au determinat îmbunătățirea timpilor de parcurs de-a lungul principalelor rute. De exemplu, timpul de călătorie între București și Constanța a rămas relativ același între 2001 și 2012, în ciuda investițiilor semnificative în reabilitarea liniei. Acest lucru pune în discuție valoarea investițiilor în infrastructură și evidențiază faptul că există și alte bariere instituționale și organizatorice care nu permit ca sectorului feroviar să-și atingă potențialul. De exemplu, în 2001, trenurile de marfă puteau circula la o viteză maximă de 120 km/oră pe sectoarele unde linia permitea acest lucru, dar ulterior viteza maximă a fost redusă la 80 km/oră pentru toate trenurile de marfă ca măsură legată de siguranță, inclusiv pe liniile reabilitate. Acest aspect este luat în considerare în graficul de mers al trenurilor 2013/14 și ar putea, în anumite circumstanțe de operare, să faciliteze creșterea vitezei de deplasare. </w:t>
      </w:r>
      <w:r>
        <w:t>Figura 5.</w:t>
      </w:r>
      <w:r w:rsidRPr="0076579A">
        <w:t>1</w:t>
      </w:r>
      <w:r>
        <w:t>7</w:t>
      </w:r>
      <w:r w:rsidRPr="0076579A">
        <w:t xml:space="preserve"> ilustrează situația de "înainte" și "după" a unei secțiuni care a beneficiat de reabilitarea liniei.</w:t>
      </w:r>
    </w:p>
    <w:p w:rsidR="00573AD5" w:rsidRPr="0076579A" w:rsidRDefault="00573AD5" w:rsidP="0030066D">
      <w:pPr>
        <w:spacing w:after="60"/>
        <w:rPr>
          <w:rFonts w:cs="Arial"/>
          <w:b/>
          <w:sz w:val="20"/>
          <w:szCs w:val="2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3"/>
        <w:gridCol w:w="5254"/>
      </w:tblGrid>
      <w:tr w:rsidR="00573AD5" w:rsidRPr="0076579A" w:rsidTr="0030066D">
        <w:tc>
          <w:tcPr>
            <w:tcW w:w="5253" w:type="dxa"/>
            <w:tcBorders>
              <w:top w:val="nil"/>
              <w:left w:val="nil"/>
              <w:bottom w:val="nil"/>
              <w:right w:val="nil"/>
            </w:tcBorders>
            <w:shd w:val="clear" w:color="auto" w:fill="auto"/>
          </w:tcPr>
          <w:p w:rsidR="00573AD5" w:rsidRPr="0076579A" w:rsidRDefault="00573AD5" w:rsidP="00573AD5">
            <w:pPr>
              <w:spacing w:after="60"/>
              <w:rPr>
                <w:b/>
                <w:lang w:val="ro-RO"/>
              </w:rPr>
            </w:pPr>
            <w:r w:rsidRPr="0076579A">
              <w:rPr>
                <w:b/>
                <w:noProof/>
                <w:lang w:val="ro-RO" w:eastAsia="ro-RO"/>
              </w:rPr>
              <w:drawing>
                <wp:inline distT="0" distB="0" distL="0" distR="0">
                  <wp:extent cx="3051769" cy="2377440"/>
                  <wp:effectExtent l="19050" t="0" r="0" b="0"/>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3056660" cy="2381250"/>
                          </a:xfrm>
                          <a:prstGeom prst="rect">
                            <a:avLst/>
                          </a:prstGeom>
                          <a:noFill/>
                        </pic:spPr>
                      </pic:pic>
                    </a:graphicData>
                  </a:graphic>
                </wp:inline>
              </w:drawing>
            </w:r>
          </w:p>
        </w:tc>
        <w:tc>
          <w:tcPr>
            <w:tcW w:w="5254" w:type="dxa"/>
            <w:tcBorders>
              <w:top w:val="nil"/>
              <w:left w:val="nil"/>
              <w:bottom w:val="nil"/>
              <w:right w:val="nil"/>
            </w:tcBorders>
            <w:shd w:val="clear" w:color="auto" w:fill="auto"/>
          </w:tcPr>
          <w:p w:rsidR="00573AD5" w:rsidRPr="0076579A" w:rsidRDefault="00573AD5" w:rsidP="00573AD5">
            <w:pPr>
              <w:spacing w:after="60"/>
              <w:rPr>
                <w:b/>
                <w:lang w:val="ro-RO"/>
              </w:rPr>
            </w:pPr>
            <w:r w:rsidRPr="0076579A">
              <w:rPr>
                <w:b/>
                <w:noProof/>
                <w:lang w:val="ro-RO" w:eastAsia="ro-RO"/>
              </w:rPr>
              <w:drawing>
                <wp:inline distT="0" distB="0" distL="0" distR="0">
                  <wp:extent cx="3162300" cy="2381250"/>
                  <wp:effectExtent l="1905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cstate="print"/>
                          <a:srcRect/>
                          <a:stretch>
                            <a:fillRect/>
                          </a:stretch>
                        </pic:blipFill>
                        <pic:spPr bwMode="auto">
                          <a:xfrm>
                            <a:off x="0" y="0"/>
                            <a:ext cx="3162300" cy="2381250"/>
                          </a:xfrm>
                          <a:prstGeom prst="rect">
                            <a:avLst/>
                          </a:prstGeom>
                          <a:noFill/>
                        </pic:spPr>
                      </pic:pic>
                    </a:graphicData>
                  </a:graphic>
                </wp:inline>
              </w:drawing>
            </w:r>
          </w:p>
        </w:tc>
      </w:tr>
    </w:tbl>
    <w:p w:rsidR="00573AD5" w:rsidRDefault="00573AD5" w:rsidP="002B7E09">
      <w:pPr>
        <w:pStyle w:val="NumberedParas"/>
        <w:numPr>
          <w:ilvl w:val="0"/>
          <w:numId w:val="0"/>
        </w:numPr>
      </w:pPr>
      <w:r>
        <w:t>Figura 5.</w:t>
      </w:r>
      <w:r w:rsidRPr="0076579A">
        <w:t>1</w:t>
      </w:r>
      <w:r>
        <w:t>8</w:t>
      </w:r>
      <w:r w:rsidRPr="0076579A">
        <w:t xml:space="preserve"> Exemplu de linie de cale ferată înainte și după reabilitare</w:t>
      </w:r>
    </w:p>
    <w:p w:rsidR="00573AD5" w:rsidRPr="0076579A" w:rsidRDefault="00573AD5" w:rsidP="002B7E09">
      <w:pPr>
        <w:pStyle w:val="NumberedParas"/>
      </w:pPr>
      <w:r w:rsidRPr="0076579A">
        <w:t xml:space="preserve">Informații furnizate recent de CFR Infrastructură indică următoarele cheltuieli cu întreținerea: 342.72 milioane euro (2010), 320.90 milioane euro (2011), 314.99 milioane euro (2012) și 324.32 milioane euro (2013), însă nu se știe dacă acest nivel de finanțare va continua. De exemplu, CFR SA a furnizat anterior date din care rezultă că bugetul alocat pentru lucrările de întreținere în perioada 2013 și 2020 ar fi de 958 milioane euro, adică o medie pe an de 137 milioane euro. Bugetul pentru lucrări de întreținere pentru perioada 2020 - 2030 este previzionat la 1.368 milioane euro, însemnând 137 milioane euro pe an. </w:t>
      </w:r>
    </w:p>
    <w:p w:rsidR="00573AD5" w:rsidRPr="0076579A" w:rsidRDefault="00573AD5" w:rsidP="002B7E09">
      <w:pPr>
        <w:pStyle w:val="NumberedParas"/>
        <w:rPr>
          <w:b/>
        </w:rPr>
      </w:pPr>
      <w:r w:rsidRPr="0076579A">
        <w:t>Toate componentele infrastructurii au o durată de viață definită (de exemplu: un pod poate avea o durată de viață de 60 de ani) și necesită înlocuire. Un program pe termen lung de modernizare continuă anuală a componentelor infrastructurii este de asemenea necesar pentru a reduce, și eventual îndepărta, componentele de infrastructură a căror durată de viață este depășită.  Acest lucru, împreună cu un program constant de lucrări de întreținere și reparații, va preveni necesitatea impunerii unor noi restricții de viteză, iar trenurile vor putea circula la viteza maximă posibilă. Informații recente furnizate de CFR Infrastructură indică următoarele cheltuieli: 17.55 milioane euro (2010), 9.97 milioane euro (2011), 8.34 milioane euro (2012) și 12.36 milioane euro (2013).</w:t>
      </w:r>
    </w:p>
    <w:p w:rsidR="00573AD5" w:rsidRPr="0076579A" w:rsidRDefault="00573AD5" w:rsidP="002B7E09">
      <w:pPr>
        <w:pStyle w:val="NumberedParas"/>
      </w:pPr>
      <w:r w:rsidRPr="0076579A">
        <w:t xml:space="preserve">Starea deteriorată a infrastructurii feroviare și a deficitului mare de lucrări de </w:t>
      </w:r>
      <w:r>
        <w:t>întreținere și reparații capitale</w:t>
      </w:r>
      <w:r w:rsidRPr="0076579A">
        <w:t xml:space="preserve"> au dus la expirarea duratei de viață a activelor, la restricții de viteză și la scăderea vitezei medii în cadrul rețelei. Până în anul 2012, aproximativ 65% din liniile principale, 80% din liniile secundare și macazuri, 85% din liniile de contact, 66% din terasamente și 40% din poduri aveau durata de viață depășită și necesitau lucrări de modernizare (“reparații capitale”). Acest lucru întărește concluzia conform căreia cheltuielile recente pentru modernizare au fost cu totul insuficiente. Pe mare parte a rețelei sunt amplasate sisteme de semnalizare controlate local. Acest lucru rezultă în costuri mari cu personalul și întreținerea pentru operarea unor servicii cu costuri fixe mari, în ciuda faptului că frecvența serviciilor furnizate este redusă.</w:t>
      </w:r>
    </w:p>
    <w:p w:rsidR="00573AD5" w:rsidRPr="0030066D" w:rsidRDefault="00573AD5" w:rsidP="0030066D">
      <w:pPr>
        <w:pStyle w:val="NumberedParas"/>
      </w:pPr>
      <w:r w:rsidRPr="0030066D">
        <w:rPr>
          <w:rStyle w:val="hps"/>
          <w:rFonts w:cs="Arial"/>
          <w:color w:val="000000" w:themeColor="text1"/>
        </w:rPr>
        <w:t>Lipsa fondurilor disponibile pentru întreținere a condus la necesitatea introducerii</w:t>
      </w:r>
      <w:r w:rsidRPr="0076579A">
        <w:t xml:space="preserve"> a </w:t>
      </w:r>
      <w:r w:rsidRPr="0030066D">
        <w:rPr>
          <w:rStyle w:val="hps"/>
          <w:rFonts w:cs="Arial"/>
          <w:color w:val="000000" w:themeColor="text1"/>
        </w:rPr>
        <w:t>1.800 de</w:t>
      </w:r>
      <w:r w:rsidRPr="0076579A">
        <w:t xml:space="preserve"> </w:t>
      </w:r>
      <w:r w:rsidRPr="0030066D">
        <w:rPr>
          <w:rStyle w:val="hps"/>
          <w:rFonts w:cs="Arial"/>
          <w:color w:val="000000" w:themeColor="text1"/>
        </w:rPr>
        <w:t>restricții</w:t>
      </w:r>
      <w:r w:rsidRPr="0076579A">
        <w:t xml:space="preserve"> </w:t>
      </w:r>
      <w:r w:rsidRPr="0030066D">
        <w:rPr>
          <w:rStyle w:val="hps"/>
          <w:rFonts w:cs="Arial"/>
          <w:color w:val="000000" w:themeColor="text1"/>
        </w:rPr>
        <w:t>temporare de viteză</w:t>
      </w:r>
      <w:r w:rsidRPr="0076579A">
        <w:t xml:space="preserve">, </w:t>
      </w:r>
      <w:r w:rsidRPr="0030066D">
        <w:rPr>
          <w:rStyle w:val="hps"/>
          <w:rFonts w:cs="Arial"/>
          <w:color w:val="000000" w:themeColor="text1"/>
        </w:rPr>
        <w:t>care la</w:t>
      </w:r>
      <w:r w:rsidRPr="0076579A">
        <w:t xml:space="preserve"> </w:t>
      </w:r>
      <w:r w:rsidRPr="0030066D">
        <w:rPr>
          <w:rStyle w:val="hps"/>
          <w:rFonts w:cs="Arial"/>
          <w:color w:val="000000" w:themeColor="text1"/>
        </w:rPr>
        <w:t>rândul lor în general atrag timpi de parcurs mai mari</w:t>
      </w:r>
      <w:r w:rsidRPr="0076579A">
        <w:t xml:space="preserve">. În anul 2012 au fost înregistrate întârzieri totale de </w:t>
      </w:r>
      <w:r w:rsidRPr="0030066D">
        <w:rPr>
          <w:rStyle w:val="hps"/>
          <w:rFonts w:cs="Arial"/>
          <w:color w:val="000000" w:themeColor="text1"/>
        </w:rPr>
        <w:t>3.18 milioane</w:t>
      </w:r>
      <w:r w:rsidRPr="0076579A">
        <w:t xml:space="preserve"> </w:t>
      </w:r>
      <w:r w:rsidRPr="0030066D">
        <w:rPr>
          <w:rStyle w:val="hps"/>
          <w:rFonts w:cs="Arial"/>
          <w:color w:val="000000" w:themeColor="text1"/>
        </w:rPr>
        <w:t>de minute</w:t>
      </w:r>
      <w:r w:rsidRPr="0076579A">
        <w:t xml:space="preserve">, </w:t>
      </w:r>
      <w:r w:rsidRPr="0030066D">
        <w:rPr>
          <w:rStyle w:val="hps"/>
          <w:rFonts w:cs="Arial"/>
          <w:color w:val="000000" w:themeColor="text1"/>
        </w:rPr>
        <w:t>în condițiile în care</w:t>
      </w:r>
      <w:r w:rsidRPr="0076579A">
        <w:t xml:space="preserve"> </w:t>
      </w:r>
      <w:r w:rsidRPr="0030066D">
        <w:rPr>
          <w:rStyle w:val="hps"/>
          <w:rFonts w:cs="Arial"/>
          <w:color w:val="000000" w:themeColor="text1"/>
        </w:rPr>
        <w:t>restricțiile de viteză</w:t>
      </w:r>
      <w:r w:rsidRPr="0076579A">
        <w:t xml:space="preserve"> </w:t>
      </w:r>
      <w:r w:rsidRPr="0030066D">
        <w:rPr>
          <w:rStyle w:val="hps"/>
          <w:rFonts w:cs="Arial"/>
          <w:color w:val="000000" w:themeColor="text1"/>
        </w:rPr>
        <w:t>au reprezentat</w:t>
      </w:r>
      <w:r w:rsidRPr="0076579A">
        <w:t xml:space="preserve"> </w:t>
      </w:r>
      <w:r w:rsidRPr="0030066D">
        <w:rPr>
          <w:rStyle w:val="hps"/>
          <w:rFonts w:cs="Arial"/>
          <w:color w:val="000000" w:themeColor="text1"/>
        </w:rPr>
        <w:t>mai mult de</w:t>
      </w:r>
      <w:r w:rsidRPr="0076579A">
        <w:t xml:space="preserve"> </w:t>
      </w:r>
      <w:r w:rsidRPr="0030066D">
        <w:rPr>
          <w:rStyle w:val="hps"/>
          <w:rFonts w:cs="Arial"/>
          <w:color w:val="000000" w:themeColor="text1"/>
        </w:rPr>
        <w:t>o treime</w:t>
      </w:r>
      <w:r w:rsidRPr="0076579A">
        <w:t xml:space="preserve"> </w:t>
      </w:r>
      <w:r w:rsidRPr="0030066D">
        <w:rPr>
          <w:rStyle w:val="hps"/>
          <w:rFonts w:cs="Arial"/>
          <w:color w:val="000000" w:themeColor="text1"/>
        </w:rPr>
        <w:t>din</w:t>
      </w:r>
      <w:r w:rsidRPr="0076579A">
        <w:t xml:space="preserve"> </w:t>
      </w:r>
      <w:r w:rsidRPr="0030066D">
        <w:rPr>
          <w:rStyle w:val="hps"/>
          <w:rFonts w:cs="Arial"/>
          <w:color w:val="000000" w:themeColor="text1"/>
        </w:rPr>
        <w:t>acest total</w:t>
      </w:r>
      <w:r w:rsidRPr="0076579A">
        <w:t xml:space="preserve">. </w:t>
      </w:r>
      <w:r w:rsidRPr="0030066D">
        <w:rPr>
          <w:rStyle w:val="hps"/>
          <w:rFonts w:cs="Arial"/>
          <w:color w:val="000000" w:themeColor="text1"/>
        </w:rPr>
        <w:t>Aceste restricții</w:t>
      </w:r>
      <w:r w:rsidRPr="0076579A">
        <w:t xml:space="preserve"> </w:t>
      </w:r>
      <w:r w:rsidRPr="0030066D">
        <w:rPr>
          <w:rStyle w:val="hps"/>
          <w:rFonts w:cs="Arial"/>
          <w:color w:val="000000" w:themeColor="text1"/>
        </w:rPr>
        <w:t>afectează</w:t>
      </w:r>
      <w:r w:rsidRPr="0076579A">
        <w:t xml:space="preserve"> </w:t>
      </w:r>
      <w:r w:rsidRPr="0030066D">
        <w:rPr>
          <w:rStyle w:val="hps"/>
          <w:rFonts w:cs="Arial"/>
          <w:color w:val="000000" w:themeColor="text1"/>
        </w:rPr>
        <w:t>în special</w:t>
      </w:r>
      <w:r w:rsidRPr="0076579A">
        <w:t xml:space="preserve"> </w:t>
      </w:r>
      <w:r w:rsidRPr="0030066D">
        <w:rPr>
          <w:rStyle w:val="hps"/>
          <w:rFonts w:cs="Arial"/>
          <w:color w:val="000000" w:themeColor="text1"/>
        </w:rPr>
        <w:t>serviciile de transport călători</w:t>
      </w:r>
      <w:r w:rsidRPr="0076579A">
        <w:t xml:space="preserve">, </w:t>
      </w:r>
      <w:r w:rsidRPr="0030066D">
        <w:rPr>
          <w:rStyle w:val="hps"/>
          <w:rFonts w:cs="Arial"/>
          <w:color w:val="000000" w:themeColor="text1"/>
        </w:rPr>
        <w:t>având</w:t>
      </w:r>
      <w:r w:rsidRPr="0076579A">
        <w:t xml:space="preserve"> </w:t>
      </w:r>
      <w:r w:rsidRPr="0030066D">
        <w:rPr>
          <w:rStyle w:val="hps"/>
          <w:rFonts w:cs="Arial"/>
          <w:color w:val="000000" w:themeColor="text1"/>
        </w:rPr>
        <w:t>un</w:t>
      </w:r>
      <w:r w:rsidRPr="0076579A">
        <w:t xml:space="preserve"> </w:t>
      </w:r>
      <w:r w:rsidRPr="0030066D">
        <w:rPr>
          <w:rStyle w:val="hps"/>
          <w:rFonts w:cs="Arial"/>
          <w:color w:val="000000" w:themeColor="text1"/>
        </w:rPr>
        <w:t>impact</w:t>
      </w:r>
      <w:r w:rsidRPr="0076579A">
        <w:t xml:space="preserve"> </w:t>
      </w:r>
      <w:r w:rsidRPr="0030066D">
        <w:rPr>
          <w:rStyle w:val="hps"/>
          <w:rFonts w:cs="Arial"/>
          <w:color w:val="000000" w:themeColor="text1"/>
        </w:rPr>
        <w:t>mai mic</w:t>
      </w:r>
      <w:r w:rsidRPr="0076579A">
        <w:t xml:space="preserve"> </w:t>
      </w:r>
      <w:r w:rsidRPr="0030066D">
        <w:rPr>
          <w:rStyle w:val="hps"/>
          <w:rFonts w:cs="Arial"/>
          <w:color w:val="000000" w:themeColor="text1"/>
        </w:rPr>
        <w:t>asupra</w:t>
      </w:r>
      <w:r w:rsidRPr="0076579A">
        <w:t xml:space="preserve"> </w:t>
      </w:r>
      <w:r w:rsidRPr="0076579A">
        <w:lastRenderedPageBreak/>
        <w:t xml:space="preserve">transportului de </w:t>
      </w:r>
      <w:r w:rsidRPr="0030066D">
        <w:rPr>
          <w:rStyle w:val="hps"/>
          <w:rFonts w:cs="Arial"/>
          <w:color w:val="000000" w:themeColor="text1"/>
        </w:rPr>
        <w:t>marfă</w:t>
      </w:r>
      <w:r w:rsidRPr="0076579A">
        <w:t xml:space="preserve">. În </w:t>
      </w:r>
      <w:r>
        <w:t>Figura 5.</w:t>
      </w:r>
      <w:r w:rsidRPr="0076579A">
        <w:t>1</w:t>
      </w:r>
      <w:r>
        <w:t>8</w:t>
      </w:r>
      <w:r w:rsidRPr="0076579A">
        <w:t xml:space="preserve"> sunt prezentate numărul de minute de întârziere pe an care afectează serviciile de transport călători și factorii determinanți, în perioada 2005 - 2010.</w:t>
      </w:r>
      <w:r>
        <w:br w:type="page"/>
      </w:r>
    </w:p>
    <w:p w:rsidR="00573AD5" w:rsidRPr="0076579A" w:rsidRDefault="00573AD5" w:rsidP="0030066D">
      <w:pPr>
        <w:rPr>
          <w:i/>
          <w:lang w:val="ro-RO"/>
        </w:rPr>
      </w:pPr>
      <w:r w:rsidRPr="0076579A">
        <w:rPr>
          <w:i/>
          <w:noProof/>
          <w:lang w:val="ro-RO" w:eastAsia="ro-RO"/>
        </w:rPr>
        <w:lastRenderedPageBreak/>
        <w:drawing>
          <wp:inline distT="0" distB="0" distL="0" distR="0">
            <wp:extent cx="5781675" cy="3623310"/>
            <wp:effectExtent l="19050" t="0" r="9525" b="0"/>
            <wp:docPr id="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781675" cy="3623310"/>
                    </a:xfrm>
                    <a:prstGeom prst="rect">
                      <a:avLst/>
                    </a:prstGeom>
                    <a:noFill/>
                  </pic:spPr>
                </pic:pic>
              </a:graphicData>
            </a:graphic>
          </wp:inline>
        </w:drawing>
      </w: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1</w:t>
      </w:r>
      <w:r>
        <w:rPr>
          <w:rFonts w:cs="Arial"/>
          <w:b/>
          <w:sz w:val="20"/>
          <w:szCs w:val="20"/>
          <w:lang w:val="ro-RO"/>
        </w:rPr>
        <w:t>9</w:t>
      </w:r>
      <w:r w:rsidRPr="0076579A">
        <w:rPr>
          <w:rFonts w:cs="Arial"/>
          <w:b/>
          <w:sz w:val="20"/>
          <w:szCs w:val="20"/>
          <w:lang w:val="ro-RO"/>
        </w:rPr>
        <w:t xml:space="preserve"> Rezumat privind întârzierile anuale totale și factorii determinanți – servicii de transport călători</w:t>
      </w:r>
    </w:p>
    <w:p w:rsidR="00573AD5" w:rsidRPr="00AE1AD4" w:rsidRDefault="00573AD5" w:rsidP="00AE1AD4">
      <w:pPr>
        <w:ind w:left="851"/>
        <w:rPr>
          <w:i/>
          <w:lang w:val="ro-RO"/>
        </w:rPr>
      </w:pPr>
      <w:r w:rsidRPr="00AE1AD4">
        <w:rPr>
          <w:i/>
          <w:lang w:val="ro-RO"/>
        </w:rPr>
        <w:t xml:space="preserve">Sursa: Analiza AECOM a datelor de la CFR Infrastructură și Călători </w:t>
      </w:r>
    </w:p>
    <w:p w:rsidR="00573AD5" w:rsidRPr="0076579A" w:rsidRDefault="00573AD5" w:rsidP="002B7E09">
      <w:pPr>
        <w:pStyle w:val="NumberedParas"/>
      </w:pPr>
      <w:r w:rsidRPr="0076579A">
        <w:t xml:space="preserve">Minutele de întârziere ilustrate în </w:t>
      </w:r>
      <w:r>
        <w:t>Figura 5.</w:t>
      </w:r>
      <w:r w:rsidRPr="0076579A">
        <w:t>1</w:t>
      </w:r>
      <w:r>
        <w:t>6</w:t>
      </w:r>
      <w:r w:rsidRPr="0076579A">
        <w:t xml:space="preserve"> sunt încadrate în trei categorii, cele cauzate de infrastructură, de CFR Călători și de alți factori. S-a observat o reducere a timpilor de întârziere totali în timpul anului 2011. Totuși, deși s-a înregistrat </w:t>
      </w:r>
      <w:r w:rsidRPr="0076579A">
        <w:rPr>
          <w:rFonts w:cs="Arial"/>
          <w:color w:val="000000" w:themeColor="text1"/>
        </w:rPr>
        <w:t>o reducere de 45% a întârzierilor, este posibil ca o parte din aceste întârzieri să fi fost deja introduse în cadrul graficului de mers al trenurilor revizuit, care include timpi de parcurs mai mari. În prezent, sectoarele cu linie de cale ferată simplă pot fi închise dimineața, de la 08.00 până pe la ora 13.00, pentru întreținere, dar există o necesitate similară și pentru liniile duble ce trebuie să opereze ca și linii simple, din aceleași considerente.</w:t>
      </w:r>
      <w:r w:rsidRPr="0076579A">
        <w:t xml:space="preserve"> Acest lucru fie duce la pauze mari în programul de operare al serviciilor furnizate pe sectoarele cu linie simplă sau la timpi de parcurs mai lungi pe alte sectoare ale rețelei pentru perioade lungi de timp dimineața pentru lucrări de întreținere. Mai mult, aceste linii în general deservesc unei frecvențe mai mari de cinci trenuri pe zi. </w:t>
      </w:r>
    </w:p>
    <w:p w:rsidR="00573AD5" w:rsidRPr="0076579A" w:rsidRDefault="00573AD5" w:rsidP="002B7E09">
      <w:pPr>
        <w:pStyle w:val="NumberedParas"/>
      </w:pPr>
      <w:r w:rsidRPr="0076579A">
        <w:rPr>
          <w:rStyle w:val="hps"/>
          <w:rFonts w:cs="Arial"/>
          <w:color w:val="000000" w:themeColor="text1"/>
        </w:rPr>
        <w:t>Anumite părți ale rețelei sunt afectate de furtul regulat și continuu de cabluri și alte echipamente, în special pe coridorul Constanța. Acest lucru a avut un impact negativ semnificativ asupra fiabilității serviciilor. Mai mult decât atât, rezultatul</w:t>
      </w:r>
      <w:r>
        <w:rPr>
          <w:rStyle w:val="hps"/>
          <w:rFonts w:cs="Arial"/>
          <w:color w:val="000000" w:themeColor="text1"/>
        </w:rPr>
        <w:t xml:space="preserve"> din partea operatorilor</w:t>
      </w:r>
      <w:r w:rsidRPr="0076579A">
        <w:rPr>
          <w:rStyle w:val="hps"/>
          <w:rFonts w:cs="Arial"/>
          <w:color w:val="000000" w:themeColor="text1"/>
        </w:rPr>
        <w:t xml:space="preserve"> a fost reducerea vitezei de operare </w:t>
      </w:r>
      <w:r>
        <w:rPr>
          <w:rStyle w:val="hps"/>
          <w:rFonts w:cs="Arial"/>
          <w:color w:val="000000" w:themeColor="text1"/>
        </w:rPr>
        <w:t xml:space="preserve">și </w:t>
      </w:r>
      <w:r w:rsidRPr="0076579A">
        <w:rPr>
          <w:rStyle w:val="hps"/>
          <w:rFonts w:cs="Arial"/>
          <w:color w:val="000000" w:themeColor="text1"/>
        </w:rPr>
        <w:t xml:space="preserve">includerea unui timp suplimentar în graficul de mers pentru a acoperi timpii </w:t>
      </w:r>
      <w:r>
        <w:rPr>
          <w:rStyle w:val="hps"/>
          <w:rFonts w:cs="Arial"/>
          <w:color w:val="000000" w:themeColor="text1"/>
        </w:rPr>
        <w:t>pentru</w:t>
      </w:r>
      <w:r w:rsidRPr="0076579A">
        <w:rPr>
          <w:rStyle w:val="hps"/>
          <w:rFonts w:cs="Arial"/>
          <w:color w:val="000000" w:themeColor="text1"/>
        </w:rPr>
        <w:t xml:space="preserve"> reparațiile sistemelor de semnalizare</w:t>
      </w:r>
      <w:r w:rsidRPr="0076579A">
        <w:t>.</w:t>
      </w:r>
    </w:p>
    <w:p w:rsidR="00573AD5" w:rsidRPr="0076579A" w:rsidRDefault="00573AD5" w:rsidP="002B7E09">
      <w:pPr>
        <w:pStyle w:val="NumberedParas"/>
      </w:pPr>
      <w:r w:rsidRPr="0076579A">
        <w:t xml:space="preserve">În ciuda acestui fapt, în </w:t>
      </w:r>
      <w:r>
        <w:t>Figura 5.</w:t>
      </w:r>
      <w:r w:rsidRPr="0076579A">
        <w:t>1</w:t>
      </w:r>
      <w:r>
        <w:t>9</w:t>
      </w:r>
      <w:r w:rsidRPr="0076579A">
        <w:t xml:space="preserve"> se poate observa că CFR Marfă a înregistrat mai puține întârzieri decât operatorii privați și că întârzierile înregistrate de operatorul de stat sunt în principal cauzate de ceilalți operatori. Operatorii privați înregistrează întârzieri de peste două ori mai mari decât operatorul de stat, principala cauză fiind</w:t>
      </w:r>
      <w:r>
        <w:t xml:space="preserve"> </w:t>
      </w:r>
      <w:r w:rsidRPr="0076579A">
        <w:t xml:space="preserve"> </w:t>
      </w:r>
      <w:r>
        <w:t>întârzierile implicate de operator. Această situație pare să corespundă schimbării cotelor de piață ale operatorului de stat față de operatorii privați, prezentată în Figura 5.20.</w:t>
      </w:r>
      <w:r w:rsidRPr="0076579A">
        <w:t xml:space="preserve"> Datele de mai jos arată, de asemenea, că întârzierile înregistrate de CFR Marfă sunt în scădere, în timp ce întârzierile înregistrate de operatorii privați au crescut între anii 2010 - 2012.</w:t>
      </w:r>
    </w:p>
    <w:p w:rsidR="00573AD5" w:rsidRPr="0076579A" w:rsidRDefault="00573AD5" w:rsidP="0030066D">
      <w:pPr>
        <w:spacing w:after="60"/>
        <w:rPr>
          <w:rFonts w:cs="Arial"/>
          <w:b/>
          <w:sz w:val="20"/>
          <w:szCs w:val="20"/>
          <w:lang w:val="ro-RO"/>
        </w:rPr>
      </w:pPr>
    </w:p>
    <w:p w:rsidR="00573AD5" w:rsidRPr="0076579A" w:rsidRDefault="00573AD5" w:rsidP="0030066D">
      <w:pPr>
        <w:rPr>
          <w:lang w:val="ro-RO"/>
        </w:rPr>
      </w:pPr>
      <w:r w:rsidRPr="0076579A">
        <w:rPr>
          <w:noProof/>
          <w:lang w:val="ro-RO" w:eastAsia="ro-RO"/>
        </w:rPr>
        <w:drawing>
          <wp:inline distT="0" distB="0" distL="0" distR="0">
            <wp:extent cx="6112042" cy="3545305"/>
            <wp:effectExtent l="0" t="0" r="22225" b="17145"/>
            <wp:docPr id="47"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573AD5" w:rsidRDefault="00573AD5" w:rsidP="002B7E09">
      <w:pPr>
        <w:pStyle w:val="NumberedParas"/>
        <w:numPr>
          <w:ilvl w:val="0"/>
          <w:numId w:val="0"/>
        </w:numPr>
        <w:ind w:left="851"/>
      </w:pPr>
      <w:r>
        <w:t>Figura 5.20</w:t>
      </w:r>
      <w:r w:rsidRPr="0076579A">
        <w:t xml:space="preserve"> Rezumat privind întârzierile anuale totale și factorii determinanți – servicii de transport mărfuri</w:t>
      </w:r>
    </w:p>
    <w:p w:rsidR="00573AD5" w:rsidRPr="0076579A" w:rsidRDefault="00573AD5" w:rsidP="002B7E09">
      <w:pPr>
        <w:pStyle w:val="NumberedParas"/>
      </w:pPr>
      <w:r w:rsidRPr="0076579A">
        <w:t xml:space="preserve">În </w:t>
      </w:r>
      <w:r>
        <w:t>Figura 5.20</w:t>
      </w:r>
      <w:r w:rsidRPr="0076579A">
        <w:t xml:space="preserve"> este prezentată media întârzierilor înregistrate în Constanța în comparație cu alte localități din România. Se poate observa că întârzierile din zona portului sunt mult mai mari decât în alte zone ale țării. </w:t>
      </w:r>
    </w:p>
    <w:p w:rsidR="00573AD5" w:rsidRPr="0076579A" w:rsidRDefault="00573AD5" w:rsidP="0030066D">
      <w:pPr>
        <w:pStyle w:val="Body"/>
        <w:spacing w:before="120"/>
        <w:rPr>
          <w:sz w:val="20"/>
          <w:szCs w:val="20"/>
          <w:lang w:val="ro-RO"/>
        </w:rPr>
      </w:pPr>
      <w:r w:rsidRPr="0076579A">
        <w:rPr>
          <w:noProof/>
          <w:sz w:val="20"/>
          <w:szCs w:val="20"/>
          <w:lang w:val="ro-RO" w:eastAsia="ro-RO"/>
        </w:rPr>
        <w:drawing>
          <wp:inline distT="0" distB="0" distL="0" distR="0">
            <wp:extent cx="5865879" cy="3652520"/>
            <wp:effectExtent l="0" t="0" r="20955" b="24130"/>
            <wp:docPr id="48"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573AD5" w:rsidRDefault="00573AD5" w:rsidP="0030066D">
      <w:pPr>
        <w:spacing w:after="60"/>
        <w:rPr>
          <w:rFonts w:cs="Arial"/>
          <w:b/>
          <w:sz w:val="20"/>
          <w:szCs w:val="20"/>
          <w:lang w:val="ro-RO"/>
        </w:rPr>
      </w:pPr>
      <w:r>
        <w:rPr>
          <w:rFonts w:cs="Arial"/>
          <w:b/>
          <w:sz w:val="20"/>
          <w:szCs w:val="20"/>
          <w:lang w:val="ro-RO"/>
        </w:rPr>
        <w:lastRenderedPageBreak/>
        <w:t>Figura 5.21</w:t>
      </w:r>
      <w:r w:rsidRPr="0076579A">
        <w:rPr>
          <w:rFonts w:cs="Arial"/>
          <w:b/>
          <w:sz w:val="20"/>
          <w:szCs w:val="20"/>
          <w:lang w:val="ro-RO"/>
        </w:rPr>
        <w:t xml:space="preserve"> Media minutelor de întârziere per 100 tren-km</w:t>
      </w:r>
    </w:p>
    <w:p w:rsidR="00573AD5" w:rsidRPr="00AE1AD4" w:rsidRDefault="00573AD5" w:rsidP="00AE1AD4">
      <w:pPr>
        <w:ind w:left="851"/>
        <w:rPr>
          <w:i/>
          <w:lang w:val="ro-RO"/>
        </w:rPr>
      </w:pPr>
      <w:bookmarkStart w:id="97" w:name="_Toc413057753"/>
      <w:r w:rsidRPr="00AE1AD4">
        <w:rPr>
          <w:i/>
          <w:lang w:val="ro-RO"/>
        </w:rPr>
        <w:t>Sursa: CFR Marfa</w:t>
      </w:r>
      <w:bookmarkEnd w:id="97"/>
      <w:r w:rsidRPr="00AE1AD4">
        <w:rPr>
          <w:i/>
          <w:lang w:val="ro-RO"/>
        </w:rPr>
        <w:t xml:space="preserve"> </w:t>
      </w:r>
    </w:p>
    <w:p w:rsidR="00573AD5" w:rsidRPr="00EA4223" w:rsidRDefault="00573AD5" w:rsidP="0030066D">
      <w:pPr>
        <w:spacing w:after="60"/>
        <w:rPr>
          <w:rFonts w:cs="Arial"/>
          <w:b/>
          <w:sz w:val="20"/>
          <w:szCs w:val="20"/>
          <w:lang w:val="ro-RO"/>
        </w:rPr>
      </w:pPr>
    </w:p>
    <w:p w:rsidR="00573AD5" w:rsidRPr="0076579A" w:rsidRDefault="00573AD5" w:rsidP="0030066D">
      <w:pPr>
        <w:pStyle w:val="Hdg3"/>
      </w:pPr>
      <w:r w:rsidRPr="0076579A">
        <w:t>Eficiența forței de muncă</w:t>
      </w:r>
    </w:p>
    <w:p w:rsidR="00573AD5" w:rsidRPr="0076579A" w:rsidRDefault="00573AD5" w:rsidP="002B7E09">
      <w:pPr>
        <w:pStyle w:val="NumberedParas"/>
      </w:pPr>
      <w:r w:rsidRPr="0076579A">
        <w:t>În ultimii zece ani s-a înregistrat o îmbunătățire semnificativă în ceea ce privește eficiența forței de muncă. Cu toate acestea, rata costurilor de operare per angajat a crescut cu aproximativ 20% în ultimii 5 ani, în vreme ce rata pasageri-km și tone marfă-km este considerabil mai mică comparativ cu exemple din Europa de vest.</w:t>
      </w:r>
    </w:p>
    <w:p w:rsidR="00573AD5" w:rsidRPr="0076579A" w:rsidRDefault="00573AD5" w:rsidP="002B7E09">
      <w:pPr>
        <w:pStyle w:val="NumberedParas"/>
      </w:pPr>
      <w:r w:rsidRPr="0076579A">
        <w:t>Numărul persoanelor angajate de CFR Călători s-a redus cu 20% între anii 2005 și 2012. Raportul dintre numărul de călătorii și numărul angajaților a scăzut cu 10% între 2009 și 2013, iar raportul dintre pasageri-km și numărul total de angajați a scăzut cu 24%.</w:t>
      </w:r>
    </w:p>
    <w:p w:rsidR="00573AD5" w:rsidRDefault="00573AD5" w:rsidP="002B7E09">
      <w:pPr>
        <w:pStyle w:val="NumberedParas"/>
      </w:pPr>
      <w:r w:rsidRPr="0076579A">
        <w:t xml:space="preserve">Există posibilitatea de a îmbunătăți în continuare eficiența, dacă s-ar efectua o raționalizare a numărului de angajați și s-ar opta pentru metode alternative de control a trenurilor. Avansarea către sistemul de semnalizare centralizat pentru liniile principale, cu operarea comenzilor pe bază radio pe liniile secundare, ar permite angajaților să controleze serviciile pe o arie geografică mai extinsă. </w:t>
      </w:r>
    </w:p>
    <w:p w:rsidR="00573AD5" w:rsidRPr="0076579A" w:rsidRDefault="00573AD5" w:rsidP="002B7E09">
      <w:pPr>
        <w:pStyle w:val="NumberedParas"/>
      </w:pPr>
      <w:r w:rsidRPr="0076579A">
        <w:t>Într-o zi obișnuită se parcurg aproximativ 223.000 tren-km (2012). Din această valoare, 80% dintre servicii sunt operate de CFR Călători, iar restul de operatorii privați. Dintre aceștia din urmă, Regiotrans este cel mai mare operator privat furnizând o varietate de servicii, în principal pe liniile secundare, deși anumite servicii sunt operate de asemenea și pe celelalte rute. Pentru o rețea de 10.820 kilometri, pe care se parcurg 70.7 milioane tren-km pe an, acest lucru ar însemna aproximativ 20.9 trenuri per rută-km pe zi. În vreme ce acest total nu este foarte diferit de statisticile aferente rețelei din Ungaria, este mult mai mic decât totalul pentru Olanda (134 trenuri/rută-km), Regatul Unit (95 trenuri/rută-km) și Franța (47 trenuri/rută-km)</w:t>
      </w:r>
      <w:r w:rsidRPr="0076579A">
        <w:rPr>
          <w:rStyle w:val="FootnoteReference"/>
          <w:rFonts w:cs="Arial"/>
          <w:sz w:val="20"/>
          <w:szCs w:val="20"/>
        </w:rPr>
        <w:footnoteReference w:id="27"/>
      </w:r>
      <w:r w:rsidRPr="0076579A">
        <w:t>.</w:t>
      </w:r>
    </w:p>
    <w:p w:rsidR="00573AD5" w:rsidRPr="0076579A" w:rsidRDefault="00573AD5" w:rsidP="002B7E09">
      <w:pPr>
        <w:pStyle w:val="NumberedParas"/>
      </w:pPr>
      <w:r w:rsidRPr="0076579A">
        <w:t xml:space="preserve">În ultimii zece ani s-a observat o îmbunătățire considerabilă în ceea ce privește eficiența personalului CFR SA, după cum se poate observa în </w:t>
      </w:r>
      <w:r>
        <w:t>Tabelul 5.</w:t>
      </w:r>
      <w:r w:rsidRPr="0076579A">
        <w:t>6. Numărul personalului CFR SA s-a înjumătățit aproape între anii 2002 și 2011, în vreme ce dimensiunea rețelei a rămas practic neschimbată. Acest lucru înseamnă că raportul numărului de angajați per rută-km, care poate fi folosit ca unitate de măsură a productivității forței de muncă, demonstrează o reducere de la 4.12 angajați per rută-km în anul 2002, la 2.21 în anul 2011. Acest lucru indică o îmbunătățire cu 46% a productivității forței de muncă. Eficiența ar putea fi îmbunătățită și mai mult dacă se vor face schimbări, de exemplu, dacă se va adopta un sistem centralizat de control al semnalizării.</w:t>
      </w:r>
    </w:p>
    <w:p w:rsidR="00573AD5" w:rsidRPr="0076579A" w:rsidRDefault="00573AD5" w:rsidP="0030066D">
      <w:pPr>
        <w:spacing w:after="60"/>
        <w:rPr>
          <w:rFonts w:cs="Arial"/>
          <w:b/>
          <w:sz w:val="20"/>
          <w:szCs w:val="20"/>
          <w:lang w:val="ro-RO"/>
        </w:rPr>
      </w:pPr>
      <w:bookmarkStart w:id="98" w:name="_Ref368931421"/>
      <w:r>
        <w:rPr>
          <w:rFonts w:cs="Arial"/>
          <w:b/>
          <w:sz w:val="20"/>
          <w:szCs w:val="20"/>
          <w:lang w:val="ro-RO"/>
        </w:rPr>
        <w:t>Tabelul 5.</w:t>
      </w:r>
      <w:r w:rsidRPr="0076579A">
        <w:rPr>
          <w:rFonts w:cs="Arial"/>
          <w:b/>
          <w:sz w:val="20"/>
          <w:szCs w:val="20"/>
          <w:lang w:val="ro-RO"/>
        </w:rPr>
        <w:t>6</w:t>
      </w:r>
      <w:bookmarkEnd w:id="98"/>
      <w:r w:rsidRPr="0076579A">
        <w:rPr>
          <w:rFonts w:cs="Arial"/>
          <w:b/>
          <w:sz w:val="20"/>
          <w:szCs w:val="20"/>
          <w:lang w:val="ro-RO"/>
        </w:rPr>
        <w:t>: Angajați CFR SA per rută-km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409"/>
        <w:gridCol w:w="1134"/>
        <w:gridCol w:w="2694"/>
      </w:tblGrid>
      <w:tr w:rsidR="00573AD5" w:rsidRPr="0076579A" w:rsidTr="0030066D">
        <w:trPr>
          <w:trHeight w:hRule="exact" w:val="340"/>
        </w:trPr>
        <w:tc>
          <w:tcPr>
            <w:tcW w:w="1560" w:type="dxa"/>
            <w:shd w:val="clear" w:color="auto" w:fill="C6D9F1"/>
          </w:tcPr>
          <w:p w:rsidR="00573AD5" w:rsidRPr="0076579A" w:rsidRDefault="00573AD5" w:rsidP="00573AD5">
            <w:pPr>
              <w:rPr>
                <w:rFonts w:cs="Arial"/>
                <w:b/>
                <w:sz w:val="20"/>
                <w:szCs w:val="20"/>
                <w:lang w:val="ro-RO"/>
              </w:rPr>
            </w:pPr>
            <w:r w:rsidRPr="0076579A">
              <w:rPr>
                <w:rFonts w:cs="Arial"/>
                <w:b/>
                <w:sz w:val="20"/>
                <w:szCs w:val="20"/>
                <w:lang w:val="ro-RO"/>
              </w:rPr>
              <w:t>Anul</w:t>
            </w:r>
          </w:p>
        </w:tc>
        <w:tc>
          <w:tcPr>
            <w:tcW w:w="2409" w:type="dxa"/>
            <w:shd w:val="clear" w:color="auto" w:fill="C6D9F1"/>
          </w:tcPr>
          <w:p w:rsidR="00573AD5" w:rsidRPr="0076579A" w:rsidRDefault="00573AD5" w:rsidP="00573AD5">
            <w:pPr>
              <w:rPr>
                <w:rFonts w:cs="Arial"/>
                <w:b/>
                <w:sz w:val="20"/>
                <w:szCs w:val="20"/>
                <w:lang w:val="ro-RO"/>
              </w:rPr>
            </w:pPr>
            <w:r w:rsidRPr="0076579A">
              <w:rPr>
                <w:rFonts w:cs="Arial"/>
                <w:b/>
                <w:sz w:val="20"/>
                <w:szCs w:val="20"/>
                <w:lang w:val="ro-RO"/>
              </w:rPr>
              <w:t>Număr de angajați</w:t>
            </w:r>
          </w:p>
        </w:tc>
        <w:tc>
          <w:tcPr>
            <w:tcW w:w="1134" w:type="dxa"/>
            <w:shd w:val="clear" w:color="auto" w:fill="C6D9F1"/>
          </w:tcPr>
          <w:p w:rsidR="00573AD5" w:rsidRPr="0076579A" w:rsidRDefault="00573AD5" w:rsidP="00573AD5">
            <w:pPr>
              <w:jc w:val="center"/>
              <w:rPr>
                <w:rFonts w:cs="Arial"/>
                <w:b/>
                <w:sz w:val="20"/>
                <w:szCs w:val="20"/>
                <w:lang w:val="ro-RO"/>
              </w:rPr>
            </w:pPr>
            <w:r w:rsidRPr="0076579A">
              <w:rPr>
                <w:rFonts w:cs="Arial"/>
                <w:b/>
                <w:sz w:val="20"/>
                <w:szCs w:val="20"/>
                <w:lang w:val="ro-RO"/>
              </w:rPr>
              <w:t>rută-km</w:t>
            </w:r>
          </w:p>
        </w:tc>
        <w:tc>
          <w:tcPr>
            <w:tcW w:w="2694" w:type="dxa"/>
            <w:shd w:val="clear" w:color="auto" w:fill="C6D9F1"/>
          </w:tcPr>
          <w:p w:rsidR="00573AD5" w:rsidRPr="0076579A" w:rsidRDefault="00573AD5" w:rsidP="00573AD5">
            <w:pPr>
              <w:jc w:val="center"/>
              <w:rPr>
                <w:rFonts w:cs="Arial"/>
                <w:b/>
                <w:sz w:val="20"/>
                <w:szCs w:val="20"/>
                <w:lang w:val="ro-RO"/>
              </w:rPr>
            </w:pPr>
            <w:r w:rsidRPr="0076579A">
              <w:rPr>
                <w:rFonts w:cs="Arial"/>
                <w:b/>
                <w:sz w:val="20"/>
                <w:szCs w:val="20"/>
                <w:lang w:val="ro-RO"/>
              </w:rPr>
              <w:t>Angajați / rută-km</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2002</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45.337</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11.002</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4.12</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2003</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35.896</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11.077</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3.24</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2004</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33.003</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11.053</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2.98</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2005</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28.006</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10.948</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2.56</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2006</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28.189</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10.789</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2.61</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2007</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27.951</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10.777</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2.59</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lastRenderedPageBreak/>
              <w:t>2008</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27.610</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10.785</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2.56</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2009</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26.830</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10.784</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2.49</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2010</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24.993</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10.785</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2.32</w:t>
            </w:r>
          </w:p>
        </w:tc>
      </w:tr>
      <w:tr w:rsidR="00573AD5" w:rsidRPr="0076579A" w:rsidTr="0030066D">
        <w:trPr>
          <w:trHeight w:hRule="exact" w:val="340"/>
        </w:trPr>
        <w:tc>
          <w:tcPr>
            <w:tcW w:w="1560" w:type="dxa"/>
          </w:tcPr>
          <w:p w:rsidR="00573AD5" w:rsidRPr="0076579A" w:rsidRDefault="00573AD5" w:rsidP="00573AD5">
            <w:pPr>
              <w:rPr>
                <w:rFonts w:cs="Arial"/>
                <w:b/>
                <w:sz w:val="20"/>
                <w:szCs w:val="20"/>
                <w:lang w:val="ro-RO"/>
              </w:rPr>
            </w:pPr>
            <w:r w:rsidRPr="0076579A">
              <w:rPr>
                <w:rFonts w:cs="Arial"/>
                <w:b/>
                <w:sz w:val="20"/>
                <w:szCs w:val="20"/>
                <w:lang w:val="ro-RO"/>
              </w:rPr>
              <w:t>2011</w:t>
            </w:r>
          </w:p>
        </w:tc>
        <w:tc>
          <w:tcPr>
            <w:tcW w:w="2409" w:type="dxa"/>
          </w:tcPr>
          <w:p w:rsidR="00573AD5" w:rsidRPr="0076579A" w:rsidRDefault="00573AD5" w:rsidP="00573AD5">
            <w:pPr>
              <w:jc w:val="center"/>
              <w:rPr>
                <w:rFonts w:cs="Arial"/>
                <w:sz w:val="20"/>
                <w:szCs w:val="20"/>
                <w:lang w:val="ro-RO"/>
              </w:rPr>
            </w:pPr>
            <w:r w:rsidRPr="0076579A">
              <w:rPr>
                <w:rFonts w:cs="Arial"/>
                <w:sz w:val="20"/>
                <w:szCs w:val="20"/>
                <w:lang w:val="ro-RO"/>
              </w:rPr>
              <w:t>23.839</w:t>
            </w:r>
          </w:p>
        </w:tc>
        <w:tc>
          <w:tcPr>
            <w:tcW w:w="1134" w:type="dxa"/>
          </w:tcPr>
          <w:p w:rsidR="00573AD5" w:rsidRPr="0076579A" w:rsidRDefault="00573AD5" w:rsidP="00573AD5">
            <w:pPr>
              <w:jc w:val="center"/>
              <w:rPr>
                <w:rFonts w:cs="Arial"/>
                <w:sz w:val="20"/>
                <w:szCs w:val="20"/>
                <w:lang w:val="ro-RO"/>
              </w:rPr>
            </w:pPr>
            <w:r w:rsidRPr="0076579A">
              <w:rPr>
                <w:rFonts w:cs="Arial"/>
                <w:sz w:val="20"/>
                <w:szCs w:val="20"/>
                <w:lang w:val="ro-RO"/>
              </w:rPr>
              <w:t>10.777</w:t>
            </w:r>
          </w:p>
        </w:tc>
        <w:tc>
          <w:tcPr>
            <w:tcW w:w="2694" w:type="dxa"/>
          </w:tcPr>
          <w:p w:rsidR="00573AD5" w:rsidRPr="0076579A" w:rsidRDefault="00573AD5" w:rsidP="00573AD5">
            <w:pPr>
              <w:jc w:val="center"/>
              <w:rPr>
                <w:rFonts w:cs="Arial"/>
                <w:sz w:val="20"/>
                <w:szCs w:val="20"/>
                <w:lang w:val="ro-RO"/>
              </w:rPr>
            </w:pPr>
            <w:r w:rsidRPr="0076579A">
              <w:rPr>
                <w:rFonts w:cs="Arial"/>
                <w:sz w:val="20"/>
                <w:szCs w:val="20"/>
                <w:lang w:val="ro-RO"/>
              </w:rPr>
              <w:t>2.21</w:t>
            </w:r>
          </w:p>
        </w:tc>
      </w:tr>
    </w:tbl>
    <w:p w:rsidR="00573AD5" w:rsidRPr="00AE1AD4" w:rsidRDefault="00573AD5" w:rsidP="00AE1AD4">
      <w:pPr>
        <w:ind w:left="851"/>
        <w:rPr>
          <w:i/>
          <w:lang w:val="ro-RO"/>
        </w:rPr>
      </w:pPr>
      <w:r w:rsidRPr="00AE1AD4">
        <w:rPr>
          <w:i/>
          <w:lang w:val="ro-RO"/>
        </w:rPr>
        <w:t>Sursa: Eurostat, Situație Financiară Consolidată CFR 2002-11</w:t>
      </w:r>
    </w:p>
    <w:p w:rsidR="00573AD5" w:rsidRPr="0076579A" w:rsidRDefault="00573AD5" w:rsidP="0030066D">
      <w:pPr>
        <w:pStyle w:val="Hdg3"/>
      </w:pPr>
      <w:r w:rsidRPr="0076579A">
        <w:t>Contracte de Servicii Publice</w:t>
      </w:r>
    </w:p>
    <w:p w:rsidR="00573AD5" w:rsidRPr="0076579A" w:rsidRDefault="00573AD5" w:rsidP="002B7E09">
      <w:pPr>
        <w:pStyle w:val="NumberedParas"/>
      </w:pPr>
      <w:r w:rsidRPr="0076579A">
        <w:t xml:space="preserve">Contractele de Servicii Publice sunt acordate </w:t>
      </w:r>
      <w:r>
        <w:t xml:space="preserve">CFR Călători și </w:t>
      </w:r>
      <w:r w:rsidRPr="0076579A">
        <w:t xml:space="preserve">organizațiilor pentru a opera serviciile feroviare pe care CFR Călători recent a refuzat să le opereze. Așadar, o serie de ofertanți privați sunt invitați să depună ofertele pentru operarea trenurilor pe baza unor specificații de operare minime. Aceste contracte tind să fie descrie într-o manieră relativ prescriptivă. Operatorii din sectorul privat primesc plata pe baza numărului de tren-km operați. Dacă serviciile sunt anulate, operatorul nu este plătit pentru faptul că operează aceste trenuri. Ministerul Transporturilor a anunțat de curând schimbări în ceea ce privește sistemul de plată către operatorii din sectorul privat, și anume 20% din plată va depinde de numărul total de călători-km, iar restul de 80% pe baza numărului de tren-km. </w:t>
      </w:r>
      <w:r>
        <w:t xml:space="preserve">Acest regim acordă operatorului facilități limitate pentru introducerea unor inițiative mai bine orientate comercial. </w:t>
      </w:r>
      <w:r w:rsidRPr="0076579A">
        <w:t xml:space="preserve">Mai mult, rata plăților pentru </w:t>
      </w:r>
      <w:r>
        <w:t>pasageri-km</w:t>
      </w:r>
      <w:r w:rsidRPr="0076579A">
        <w:t xml:space="preserve">a fost redusă considerabil, deși acest impact a fost compensat parțial de o creștere a plăților pentru numărul de tren-km. Această abordare se aplică atât serviciilor pe linii secundare, cât și trenurilor care operează pe liniile principale. Operatorii din sectorul privat plătesc taxe de utilizare a infrastructurii către CFR SA dacă trenurile acestora circulă pe linii interoperabile, dar nu primesc nicio compensație pentru întârzierile cauzate de starea infrastructurii sau de defecțiunile altor operatori. În cazul rutelor neinteroperabile, companiile private se ocupă de menținerea căii ferate (printr-o companie parteneră). </w:t>
      </w:r>
    </w:p>
    <w:p w:rsidR="00573AD5" w:rsidRPr="0076579A" w:rsidRDefault="00573AD5" w:rsidP="002B7E09">
      <w:pPr>
        <w:pStyle w:val="NumberedParas"/>
      </w:pPr>
      <w:r w:rsidRPr="0076579A">
        <w:t xml:space="preserve">Plata subvenției de la bugetul de stat depinde de un număr dat de trenuri operate. Dată fiind închiderea unor rute în timpul dimineții pentru lucrările de întreținere, anumite trenuri trebuie să circule pe timpul nopții pentru a atinge numărul de tren-km necesari. În consecință multe dintre servicii de transport feroviar atrag foarte puțini călători. </w:t>
      </w:r>
    </w:p>
    <w:p w:rsidR="00573AD5" w:rsidRPr="0076579A" w:rsidRDefault="00573AD5" w:rsidP="0030066D">
      <w:pPr>
        <w:pStyle w:val="Hdg3"/>
      </w:pPr>
      <w:r w:rsidRPr="0076579A">
        <w:t>Disponibilitatea terenului neutilizat</w:t>
      </w:r>
    </w:p>
    <w:p w:rsidR="00573AD5" w:rsidRPr="0076579A" w:rsidRDefault="00573AD5" w:rsidP="002B7E09">
      <w:pPr>
        <w:pStyle w:val="NumberedParas"/>
      </w:pPr>
      <w:r w:rsidRPr="0076579A">
        <w:t>Numărul de servicii de transport feroviar care a operat anterior în România a necesitat zone extinse de teren pentru staționarea materialului rulant și efectuarea lucrărilor de întreținere. Reducerea numărului de servicii de transport feroviar și alte reduceri în ceea ce privește eficiența înseamnă că și gradul de utilizare a terenului s-a redus considerabil, așadar există posibilitatea de a reutiliza acest teren în alte scopuri, de exemplu, pentru spații de birouri sau spații comerciale. Această oportunitate este relevantă în special în centrele urbane mari, dacă parcelele de teren</w:t>
      </w:r>
      <w:r>
        <w:t xml:space="preserve"> redundante</w:t>
      </w:r>
      <w:r w:rsidRPr="0076579A">
        <w:t xml:space="preserve"> sunt localizate adiacent centrului orașului sau rețelei rutiere principale, dat fiind faptul că valoaea acestor terenuri ar fi mult mai mare. Această proximitate cu clădirile de birouri în zona centrală a orașelor sau cu rețeaua rutieră principală ar contribui la creșterea interesului față de terenul ce urmează a fi vândut în acest scop. În mod similar, ar putea fi posibilă vânzarea unei zone de staționare existente adiacente zonei centrale a unui oraș pentru activități comerciale, dacă s-ar găsi un alt teren care să </w:t>
      </w:r>
      <w:r>
        <w:t>servească acestui scop</w:t>
      </w:r>
      <w:r w:rsidRPr="0076579A">
        <w:t xml:space="preserve">. Problema titlului de proprietate asupra terenului rețelei feroviare este relativ complexă, implicând statul, compania CFR SA și proprietarii privați. CFR SA a cedat teren statului pentru a-și plăti din datoriile anterioare, dar această înțelegere indică faptul că operatorul infrastructurii feroviare nu are sau are foarte puține stimulente pentru a identifica potențiale proiecte. </w:t>
      </w:r>
    </w:p>
    <w:p w:rsidR="00573AD5" w:rsidRPr="0076579A" w:rsidRDefault="00573AD5" w:rsidP="0030066D">
      <w:pPr>
        <w:pStyle w:val="Hdg3"/>
      </w:pPr>
      <w:r w:rsidRPr="0076579A">
        <w:lastRenderedPageBreak/>
        <w:t>Siguranță</w:t>
      </w:r>
    </w:p>
    <w:p w:rsidR="00573AD5" w:rsidRPr="0076579A" w:rsidRDefault="00573AD5" w:rsidP="002B7E09">
      <w:pPr>
        <w:pStyle w:val="NumberedParas"/>
      </w:pPr>
      <w:r>
        <w:t>N</w:t>
      </w:r>
      <w:r w:rsidRPr="0076579A">
        <w:t xml:space="preserve">umărul de accidente mortale care implică pasageri sau angajați este relativ </w:t>
      </w:r>
      <w:r>
        <w:t xml:space="preserve">mare </w:t>
      </w:r>
      <w:r w:rsidRPr="0076579A">
        <w:t>când este raportat la numărul de accidente per milliard călători-km,</w:t>
      </w:r>
      <w:r>
        <w:t xml:space="preserve"> în comparație cu alte țări din Uniunea Europeană.</w:t>
      </w:r>
      <w:r w:rsidRPr="0076579A">
        <w:t xml:space="preserve"> </w:t>
      </w:r>
      <w:r>
        <w:t>E</w:t>
      </w:r>
      <w:r w:rsidRPr="0076579A">
        <w:t xml:space="preserve">xistă totuși un număr mare de decese în urma suicidului sau alte accidente la trecerile la nivel </w:t>
      </w:r>
      <w:r>
        <w:t xml:space="preserve">cu </w:t>
      </w:r>
      <w:r w:rsidRPr="0076579A">
        <w:t xml:space="preserve">79 de accidente mortale asociate cu sistemul feroviar (toate decesele având loc pe infrastructura feroviară) per milliard de tren-km între anii 2007 și 2011. În România s-a înregistrat un număr de accidente mortale aproximativ de patru ori mare decât media în UE, clasându-se astfel pe locul 4, după cum se poate observa în </w:t>
      </w:r>
      <w:r>
        <w:t>Figura 5.</w:t>
      </w:r>
      <w:r w:rsidRPr="0076579A">
        <w:t>2</w:t>
      </w:r>
      <w:r>
        <w:t>1</w:t>
      </w:r>
      <w:r w:rsidRPr="0076579A">
        <w:t>.</w:t>
      </w:r>
    </w:p>
    <w:p w:rsidR="00573AD5" w:rsidRPr="0076579A" w:rsidRDefault="00573AD5" w:rsidP="0030066D">
      <w:pPr>
        <w:spacing w:after="60"/>
        <w:rPr>
          <w:b/>
          <w:lang w:val="ro-RO"/>
        </w:rPr>
      </w:pPr>
    </w:p>
    <w:p w:rsidR="00573AD5" w:rsidRPr="0076579A" w:rsidRDefault="00573AD5" w:rsidP="0030066D">
      <w:pPr>
        <w:spacing w:after="60"/>
        <w:rPr>
          <w:b/>
          <w:lang w:val="ro-RO"/>
        </w:rPr>
      </w:pPr>
      <w:r w:rsidRPr="0076579A">
        <w:rPr>
          <w:b/>
          <w:noProof/>
          <w:lang w:val="ro-RO" w:eastAsia="ro-RO"/>
        </w:rPr>
        <w:drawing>
          <wp:inline distT="0" distB="0" distL="0" distR="0">
            <wp:extent cx="5477510" cy="3209290"/>
            <wp:effectExtent l="19050" t="0" r="8890" b="0"/>
            <wp:docPr id="49" name="Picture 2" descr="safet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ty diagram"/>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477510" cy="3209290"/>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rFonts w:cs="Arial"/>
          <w:b/>
          <w:sz w:val="20"/>
          <w:szCs w:val="20"/>
          <w:lang w:val="ro-RO"/>
        </w:rPr>
        <w:t>Figura 5.</w:t>
      </w:r>
      <w:r w:rsidRPr="0076579A">
        <w:rPr>
          <w:rFonts w:cs="Arial"/>
          <w:b/>
          <w:sz w:val="20"/>
          <w:szCs w:val="20"/>
          <w:lang w:val="ro-RO"/>
        </w:rPr>
        <w:t>2</w:t>
      </w:r>
      <w:r>
        <w:rPr>
          <w:rFonts w:cs="Arial"/>
          <w:b/>
          <w:sz w:val="20"/>
          <w:szCs w:val="20"/>
          <w:lang w:val="ro-RO"/>
        </w:rPr>
        <w:t>2</w:t>
      </w:r>
      <w:r w:rsidRPr="0076579A">
        <w:rPr>
          <w:rFonts w:cs="Arial"/>
          <w:b/>
          <w:sz w:val="20"/>
          <w:szCs w:val="20"/>
          <w:lang w:val="ro-RO"/>
        </w:rPr>
        <w:t>: Comparație a numărului de accidente mortale (per milliard km-tren)</w:t>
      </w:r>
    </w:p>
    <w:p w:rsidR="00573AD5" w:rsidRPr="00AE1AD4" w:rsidRDefault="00573AD5" w:rsidP="00AE1AD4">
      <w:pPr>
        <w:ind w:left="851"/>
        <w:rPr>
          <w:i/>
          <w:lang w:val="ro-RO"/>
        </w:rPr>
      </w:pPr>
      <w:r w:rsidRPr="00AE1AD4">
        <w:rPr>
          <w:i/>
          <w:lang w:val="ro-RO"/>
        </w:rPr>
        <w:t>Sursa: Informații publicate de Uniunea Europeană în „The Guardian”, 13 mai 2013</w:t>
      </w:r>
    </w:p>
    <w:p w:rsidR="00573AD5" w:rsidRPr="0076579A" w:rsidRDefault="00573AD5" w:rsidP="00573AD5">
      <w:pPr>
        <w:pStyle w:val="Hdg2"/>
        <w:tabs>
          <w:tab w:val="clear" w:pos="2280"/>
          <w:tab w:val="num" w:pos="1146"/>
        </w:tabs>
        <w:ind w:left="1106"/>
      </w:pPr>
      <w:bookmarkStart w:id="99" w:name="_Toc398303859"/>
      <w:bookmarkStart w:id="100" w:name="_Toc413057754"/>
      <w:bookmarkStart w:id="101" w:name="_Toc413060321"/>
      <w:r w:rsidRPr="0076579A">
        <w:t>C</w:t>
      </w:r>
      <w:r>
        <w:t>oncurența</w:t>
      </w:r>
      <w:r w:rsidRPr="0076579A">
        <w:t xml:space="preserve"> cu sistemul rutier</w:t>
      </w:r>
      <w:bookmarkEnd w:id="99"/>
      <w:bookmarkEnd w:id="100"/>
      <w:bookmarkEnd w:id="101"/>
    </w:p>
    <w:p w:rsidR="00573AD5" w:rsidRPr="0076579A" w:rsidRDefault="00573AD5" w:rsidP="002B7E09">
      <w:pPr>
        <w:pStyle w:val="NumberedParas"/>
      </w:pPr>
      <w:r w:rsidRPr="0076579A">
        <w:t>S-a realizat o comparație a duratei de călătorie cu transportul feroviar, față de cel rutier pentru a evalua nivelul de competitivitate a acestor două moduri de transport în Bucureșt</w:t>
      </w:r>
      <w:r>
        <w:t>i. Raportul rezultatelor este prezentat sub forma unor contururi cu arii mai închise reprezentând acele zone în care viteza pe calea ferată  este cu 50% cu 100% sau cu peste 100% mai mică decât în sistem rutier  .</w:t>
      </w:r>
      <w:r w:rsidRPr="0076579A">
        <w:t xml:space="preserve">. Există foarte puține zone în România unde diferența între durata de călătorie cu trenul și cea cu autovehiculul este mai mică de 50%, după cum se poate observa în </w:t>
      </w:r>
      <w:r>
        <w:t>Figura 5.</w:t>
      </w:r>
      <w:r w:rsidRPr="0076579A">
        <w:t xml:space="preserve">21. Mai mult, există zone extinse din România în care timpii de parcurs generalizați cu transportul feroviar sunt cel puțin de două ori mai mari față de echivalentul din sistemul rutier. Coridorul dinspre București către Craiova, plus părți din coridorul IX către Suceava, inregistrează durate de călătorie cu doar 50% mai reduse decât cu autovehiculul. Coridoarele rutiere paralele pe care se circulă cu viteze relativ mici au influențat acest rezultat, și nu faptul că aceste servicii de transport feroviar ar fi considerabil mai rapide. Această analiză evidențiază de asemenea timpii morți înregistrați în cadrul rețelei, care implică o durată mai mare a călătoriei cu trenul, de exemplu, ruta București - Râmnicu Vâlcea și Sibiu în prezent se face via Brașov, în condițiile în care distanța pe linie aeriană este mult mai mică. Pe scurt, durata de călătorie cu trenul dinspre București către un număr de orașe precum Sibiu, Cluj-Napoca, Oradea, Baia Mare, Satu Mare și Timișoara este considerabil mai mare </w:t>
      </w:r>
      <w:r w:rsidRPr="0076579A">
        <w:lastRenderedPageBreak/>
        <w:t>decât cu transportul rutier, care ar fi cel mai competitiv mod de transport. Există un număr de factori care au dus la acest rezultat, și anume:</w:t>
      </w:r>
    </w:p>
    <w:p w:rsidR="00573AD5" w:rsidRPr="0076579A" w:rsidRDefault="00573AD5" w:rsidP="00573AD5">
      <w:pPr>
        <w:pStyle w:val="BulletLevel1"/>
        <w:spacing w:after="60"/>
      </w:pPr>
      <w:r w:rsidRPr="0076579A">
        <w:t>numeroasele opriri intermediare care rezultă din faptul că operatorii sistemului feroviar încearcă să îndeplinească mai multe roluri</w:t>
      </w:r>
      <w:r>
        <w:t>. Acestea includ încercarea de a crea</w:t>
      </w:r>
      <w:r w:rsidRPr="0076579A">
        <w:t>legături între orașele mari din România</w:t>
      </w:r>
      <w:r>
        <w:t xml:space="preserve"> și capitala țării și </w:t>
      </w:r>
      <w:r w:rsidRPr="0076579A">
        <w:t xml:space="preserve"> trenuri </w:t>
      </w:r>
      <w:r>
        <w:t>care să deservească</w:t>
      </w:r>
      <w:r w:rsidRPr="0076579A">
        <w:t xml:space="preserve"> un</w:t>
      </w:r>
      <w:r>
        <w:t>ele</w:t>
      </w:r>
      <w:r w:rsidRPr="0076579A">
        <w:t xml:space="preserve"> localitati mai mici, și de asemenea, </w:t>
      </w:r>
      <w:r>
        <w:t xml:space="preserve">să asigure </w:t>
      </w:r>
      <w:r w:rsidRPr="0076579A">
        <w:t>legături cu centrele regionale apropiate;</w:t>
      </w:r>
    </w:p>
    <w:p w:rsidR="00573AD5" w:rsidRPr="0076579A" w:rsidRDefault="00573AD5" w:rsidP="00573AD5">
      <w:pPr>
        <w:pStyle w:val="BulletLevel1"/>
        <w:spacing w:after="60"/>
      </w:pPr>
      <w:r w:rsidRPr="0076579A">
        <w:t>durata mare de staționare în anumite stații intermediare; și</w:t>
      </w:r>
    </w:p>
    <w:p w:rsidR="00573AD5" w:rsidRPr="0076579A" w:rsidRDefault="00573AD5" w:rsidP="00573AD5">
      <w:pPr>
        <w:pStyle w:val="BulletLevel1"/>
        <w:spacing w:after="60"/>
      </w:pPr>
      <w:r w:rsidRPr="0076579A">
        <w:t>regimul de întreținere inadecvat care contribuie, de asemenea, la prelungirea duratei de călătorie.</w:t>
      </w:r>
    </w:p>
    <w:p w:rsidR="00573AD5" w:rsidRPr="0076579A" w:rsidRDefault="00573AD5" w:rsidP="002B7E09">
      <w:pPr>
        <w:pStyle w:val="NumberedParas"/>
      </w:pPr>
      <w:r w:rsidRPr="0076579A">
        <w:t>Impactul general este acela că pentru călătorii care au posibilitatea de a alege, transportul feroviar reprezintă o alternativă mai puțin convenabil pentru călătorii în interes de serviciu, pentru vizitarea prietenilor sau a rudelor sau pentru călătorii de relaxare, incluzând vacanțele sau concediile.</w:t>
      </w:r>
    </w:p>
    <w:p w:rsidR="00573AD5" w:rsidRPr="0076579A" w:rsidRDefault="00573AD5" w:rsidP="0030066D">
      <w:pPr>
        <w:spacing w:after="60"/>
        <w:rPr>
          <w:b/>
          <w:lang w:val="ro-RO"/>
        </w:rPr>
      </w:pPr>
    </w:p>
    <w:p w:rsidR="00573AD5" w:rsidRPr="0076579A" w:rsidRDefault="00573AD5" w:rsidP="0030066D">
      <w:pPr>
        <w:spacing w:after="60"/>
        <w:rPr>
          <w:b/>
          <w:lang w:val="ro-RO"/>
        </w:rPr>
      </w:pPr>
      <w:r w:rsidRPr="0076579A">
        <w:rPr>
          <w:b/>
          <w:noProof/>
          <w:lang w:val="ro-RO" w:eastAsia="ro-RO"/>
        </w:rPr>
        <w:drawing>
          <wp:inline distT="0" distB="0" distL="0" distR="0">
            <wp:extent cx="5977890" cy="4201160"/>
            <wp:effectExtent l="19050" t="0" r="3810" b="0"/>
            <wp:docPr id="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srcRect/>
                    <a:stretch>
                      <a:fillRect/>
                    </a:stretch>
                  </pic:blipFill>
                  <pic:spPr bwMode="auto">
                    <a:xfrm>
                      <a:off x="0" y="0"/>
                      <a:ext cx="5977890" cy="4201160"/>
                    </a:xfrm>
                    <a:prstGeom prst="rect">
                      <a:avLst/>
                    </a:prstGeom>
                    <a:noFill/>
                    <a:ln w="9525">
                      <a:noFill/>
                      <a:miter lim="800000"/>
                      <a:headEnd/>
                      <a:tailEnd/>
                    </a:ln>
                  </pic:spPr>
                </pic:pic>
              </a:graphicData>
            </a:graphic>
          </wp:inline>
        </w:drawing>
      </w:r>
    </w:p>
    <w:p w:rsidR="00573AD5" w:rsidRDefault="00573AD5" w:rsidP="0030066D">
      <w:pPr>
        <w:spacing w:after="60"/>
        <w:rPr>
          <w:rFonts w:cs="Arial"/>
          <w:i/>
          <w:lang w:val="ro-RO"/>
        </w:rPr>
      </w:pPr>
      <w:r>
        <w:rPr>
          <w:b/>
          <w:lang w:val="ro-RO"/>
        </w:rPr>
        <w:t>Figura 5.</w:t>
      </w:r>
      <w:r w:rsidRPr="0076579A">
        <w:rPr>
          <w:b/>
          <w:lang w:val="ro-RO"/>
        </w:rPr>
        <w:t>2</w:t>
      </w:r>
      <w:r>
        <w:rPr>
          <w:b/>
          <w:lang w:val="ro-RO"/>
        </w:rPr>
        <w:t>3</w:t>
      </w:r>
      <w:r w:rsidRPr="0076579A">
        <w:rPr>
          <w:b/>
          <w:lang w:val="ro-RO"/>
        </w:rPr>
        <w:t xml:space="preserve"> Comparație a timpilor de parcurs generalizați în sistemul ferovar și cel rutier către București</w:t>
      </w:r>
    </w:p>
    <w:p w:rsidR="00573AD5" w:rsidRPr="00AE1AD4" w:rsidRDefault="00573AD5" w:rsidP="00AE1AD4">
      <w:pPr>
        <w:ind w:left="851"/>
        <w:rPr>
          <w:i/>
          <w:lang w:val="ro-RO"/>
        </w:rPr>
      </w:pPr>
      <w:r w:rsidRPr="00AE1AD4">
        <w:rPr>
          <w:i/>
          <w:lang w:val="ro-RO"/>
        </w:rPr>
        <w:t xml:space="preserve">Sursa: Analiza AECOM a Modelului Național de Transport pentru România </w:t>
      </w:r>
    </w:p>
    <w:p w:rsidR="00573AD5" w:rsidRPr="0076579A" w:rsidRDefault="00573AD5" w:rsidP="002B7E09">
      <w:pPr>
        <w:pStyle w:val="NumberedParas"/>
      </w:pPr>
      <w:r w:rsidRPr="0076579A">
        <w:t xml:space="preserve">În </w:t>
      </w:r>
      <w:r>
        <w:t>Figura 5.</w:t>
      </w:r>
      <w:r w:rsidRPr="0076579A">
        <w:t>2</w:t>
      </w:r>
      <w:r>
        <w:t>3</w:t>
      </w:r>
      <w:r w:rsidRPr="0076579A">
        <w:t xml:space="preserve"> sunt prezentate ponderea modală pentru sistemul feroviar, numărul total de călătorii zilnice în afara sistemului feroviar, raportul dintre timpii de parcurs în sistemul feroviar </w:t>
      </w:r>
      <w:r w:rsidRPr="00C95358">
        <w:t>versus sistemul rutier, viteza medie în sistemul feroviar și media timpilor dintre două trenuri consecutive pe coridoarele principale. De asemenea, sunt ilustrate fluxurile de trafic pe segmente.</w:t>
      </w:r>
      <w:r w:rsidRPr="0076579A">
        <w:t xml:space="preserve"> </w:t>
      </w:r>
    </w:p>
    <w:p w:rsidR="00573AD5" w:rsidRPr="0076579A" w:rsidRDefault="00573AD5" w:rsidP="0030066D">
      <w:pPr>
        <w:rPr>
          <w:lang w:val="ro-RO"/>
        </w:rPr>
      </w:pPr>
    </w:p>
    <w:p w:rsidR="00573AD5" w:rsidRPr="0076579A" w:rsidRDefault="00573AD5" w:rsidP="0030066D">
      <w:pPr>
        <w:rPr>
          <w:lang w:val="ro-RO"/>
        </w:rPr>
      </w:pPr>
    </w:p>
    <w:p w:rsidR="00573AD5" w:rsidRPr="0076579A" w:rsidRDefault="00573AD5" w:rsidP="0030066D">
      <w:pPr>
        <w:rPr>
          <w:lang w:val="ro-RO"/>
        </w:rPr>
        <w:sectPr w:rsidR="00573AD5" w:rsidRPr="0076579A" w:rsidSect="00933C17">
          <w:headerReference w:type="default" r:id="rId195"/>
          <w:pgSz w:w="11907" w:h="16840" w:code="9"/>
          <w:pgMar w:top="1418" w:right="709" w:bottom="1418" w:left="907" w:header="357" w:footer="567" w:gutter="0"/>
          <w:cols w:space="187"/>
          <w:docGrid w:linePitch="360"/>
        </w:sectPr>
      </w:pPr>
    </w:p>
    <w:p w:rsidR="00573AD5" w:rsidRPr="0076579A" w:rsidRDefault="00573AD5" w:rsidP="0030066D">
      <w:pPr>
        <w:spacing w:after="60"/>
        <w:rPr>
          <w:rFonts w:cs="Arial"/>
          <w:b/>
          <w:sz w:val="20"/>
          <w:szCs w:val="20"/>
          <w:lang w:val="ro-RO"/>
        </w:rPr>
      </w:pPr>
    </w:p>
    <w:p w:rsidR="00573AD5" w:rsidRPr="0076579A" w:rsidRDefault="00573AD5" w:rsidP="0030066D">
      <w:pPr>
        <w:ind w:left="426"/>
        <w:rPr>
          <w:b/>
          <w:lang w:val="ro-RO"/>
        </w:rPr>
      </w:pPr>
      <w:r w:rsidRPr="0076579A">
        <w:rPr>
          <w:noProof/>
          <w:lang w:val="ro-RO" w:eastAsia="ro-RO"/>
        </w:rPr>
        <w:drawing>
          <wp:inline distT="0" distB="0" distL="0" distR="0">
            <wp:extent cx="8219440" cy="4929426"/>
            <wp:effectExtent l="0" t="0" r="0" b="0"/>
            <wp:docPr id="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8226239" cy="4933504"/>
                    </a:xfrm>
                    <a:prstGeom prst="rect">
                      <a:avLst/>
                    </a:prstGeom>
                    <a:noFill/>
                    <a:ln w="9525">
                      <a:noFill/>
                      <a:miter lim="800000"/>
                      <a:headEnd/>
                      <a:tailEnd/>
                    </a:ln>
                  </pic:spPr>
                </pic:pic>
              </a:graphicData>
            </a:graphic>
          </wp:inline>
        </w:drawing>
      </w:r>
    </w:p>
    <w:p w:rsidR="00573AD5" w:rsidRDefault="00573AD5" w:rsidP="0030066D">
      <w:pPr>
        <w:rPr>
          <w:lang w:val="ro-RO"/>
        </w:rPr>
      </w:pPr>
      <w:r>
        <w:rPr>
          <w:lang w:val="ro-RO"/>
        </w:rPr>
        <w:tab/>
      </w:r>
      <w:r>
        <w:rPr>
          <w:rFonts w:cs="Arial"/>
          <w:b/>
          <w:sz w:val="20"/>
          <w:szCs w:val="20"/>
          <w:lang w:val="ro-RO"/>
        </w:rPr>
        <w:t>Figura 5.</w:t>
      </w:r>
      <w:r w:rsidRPr="0076579A">
        <w:rPr>
          <w:rFonts w:cs="Arial"/>
          <w:b/>
          <w:sz w:val="20"/>
          <w:szCs w:val="20"/>
          <w:lang w:val="ro-RO"/>
        </w:rPr>
        <w:t>2</w:t>
      </w:r>
      <w:r>
        <w:rPr>
          <w:rFonts w:cs="Arial"/>
          <w:b/>
          <w:sz w:val="20"/>
          <w:szCs w:val="20"/>
          <w:lang w:val="ro-RO"/>
        </w:rPr>
        <w:t>4</w:t>
      </w:r>
      <w:r w:rsidRPr="0076579A">
        <w:rPr>
          <w:rFonts w:cs="Arial"/>
          <w:b/>
          <w:sz w:val="20"/>
          <w:szCs w:val="20"/>
          <w:lang w:val="ro-RO"/>
        </w:rPr>
        <w:t>: Rezumare a datelor de referință pentru coridoarele selecționate</w:t>
      </w:r>
    </w:p>
    <w:p w:rsidR="00573AD5" w:rsidRDefault="00573AD5" w:rsidP="0030066D">
      <w:pPr>
        <w:rPr>
          <w:lang w:val="ro-RO"/>
        </w:rPr>
      </w:pPr>
    </w:p>
    <w:p w:rsidR="00573AD5" w:rsidRPr="001F4A01" w:rsidRDefault="00573AD5" w:rsidP="0030066D">
      <w:pPr>
        <w:rPr>
          <w:lang w:val="ro-RO"/>
        </w:rPr>
        <w:sectPr w:rsidR="00573AD5" w:rsidRPr="001F4A01" w:rsidSect="00E5363A">
          <w:pgSz w:w="16840" w:h="11907" w:orient="landscape" w:code="9"/>
          <w:pgMar w:top="907" w:right="1418" w:bottom="709" w:left="1418" w:header="357" w:footer="567" w:gutter="0"/>
          <w:cols w:space="187"/>
          <w:docGrid w:linePitch="360"/>
        </w:sectPr>
      </w:pPr>
    </w:p>
    <w:p w:rsidR="00573AD5" w:rsidRPr="0076579A" w:rsidRDefault="00573AD5" w:rsidP="0030066D">
      <w:pPr>
        <w:rPr>
          <w:b/>
          <w:lang w:val="ro-RO"/>
        </w:rPr>
      </w:pPr>
    </w:p>
    <w:p w:rsidR="00573AD5" w:rsidRDefault="00573AD5" w:rsidP="00573AD5">
      <w:pPr>
        <w:pStyle w:val="Hdg2"/>
        <w:tabs>
          <w:tab w:val="clear" w:pos="2280"/>
          <w:tab w:val="num" w:pos="1146"/>
        </w:tabs>
        <w:ind w:left="1106"/>
      </w:pPr>
      <w:bookmarkStart w:id="102" w:name="_Toc398303860"/>
      <w:bookmarkStart w:id="103" w:name="_Toc413057755"/>
      <w:bookmarkStart w:id="104" w:name="_Toc413060322"/>
      <w:r w:rsidRPr="0076579A">
        <w:t>Obiective strategice</w:t>
      </w:r>
      <w:bookmarkEnd w:id="102"/>
      <w:bookmarkEnd w:id="103"/>
      <w:bookmarkEnd w:id="104"/>
    </w:p>
    <w:p w:rsidR="00573AD5" w:rsidRDefault="00573AD5" w:rsidP="002B7E09">
      <w:pPr>
        <w:pStyle w:val="NumberedParas"/>
      </w:pPr>
      <w:r>
        <w:t>În această secțiune sunt descrise temele comune care leagă problemele identificate de potențiale soluții, în funcție de valoarea generală a acestora față de bugeutul alocat.</w:t>
      </w:r>
    </w:p>
    <w:p w:rsidR="00573AD5" w:rsidRPr="0076579A" w:rsidRDefault="00573AD5" w:rsidP="0030066D">
      <w:pPr>
        <w:spacing w:after="60"/>
        <w:rPr>
          <w:rFonts w:cs="Arial"/>
          <w:sz w:val="20"/>
          <w:szCs w:val="20"/>
          <w:lang w:val="ro-RO"/>
        </w:rPr>
      </w:pPr>
      <w:r w:rsidRPr="0076579A">
        <w:rPr>
          <w:rFonts w:cs="Arial"/>
          <w:sz w:val="20"/>
          <w:szCs w:val="20"/>
          <w:lang w:val="ro-RO"/>
        </w:rPr>
        <w:t xml:space="preserve">n </w:t>
      </w:r>
    </w:p>
    <w:p w:rsidR="00573AD5" w:rsidRDefault="00573AD5" w:rsidP="0030066D">
      <w:pPr>
        <w:rPr>
          <w:b/>
          <w:lang w:val="ro-RO"/>
        </w:rPr>
      </w:pPr>
      <w:r w:rsidRPr="0076579A">
        <w:rPr>
          <w:noProof/>
          <w:lang w:val="ro-RO" w:eastAsia="ro-RO"/>
        </w:rPr>
        <w:drawing>
          <wp:inline distT="0" distB="0" distL="0" distR="0">
            <wp:extent cx="5943600" cy="2622550"/>
            <wp:effectExtent l="19050" t="0" r="0" b="0"/>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943600" cy="2622550"/>
                    </a:xfrm>
                    <a:prstGeom prst="rect">
                      <a:avLst/>
                    </a:prstGeom>
                    <a:noFill/>
                    <a:ln w="9525">
                      <a:noFill/>
                      <a:miter lim="800000"/>
                      <a:headEnd/>
                      <a:tailEnd/>
                    </a:ln>
                  </pic:spPr>
                </pic:pic>
              </a:graphicData>
            </a:graphic>
          </wp:inline>
        </w:drawing>
      </w:r>
    </w:p>
    <w:p w:rsidR="00573AD5" w:rsidRPr="00100C8D" w:rsidRDefault="00573AD5" w:rsidP="0030066D">
      <w:pPr>
        <w:rPr>
          <w:b/>
          <w:lang w:val="ro-RO"/>
        </w:rPr>
      </w:pPr>
      <w:r>
        <w:rPr>
          <w:b/>
          <w:lang w:val="ro-RO"/>
        </w:rPr>
        <w:t xml:space="preserve">Figura 5.25 Obiectivele fundamentale pentru rețeaua de bază și extinsă TEN-T </w:t>
      </w:r>
    </w:p>
    <w:p w:rsidR="00573AD5" w:rsidRPr="0076579A" w:rsidRDefault="00573AD5" w:rsidP="002B7E09">
      <w:pPr>
        <w:pStyle w:val="NumberedParas"/>
      </w:pPr>
      <w:r w:rsidRPr="0076579A">
        <w:t>Asigurarea unei rețele feroviare sustenabile, eficiente din punct de vedere economic, flexibile, favorabile mediului înconjurător, sigure și echilibrate care să se integreze cu celelalte moduri de transport și care să fie compatibilă cu rețeaua de bază și extinsă TEN–T, dar și cu alte strategii și regulamente ale UE reprezintă un obiectiv fundamental. Obiectivul General va putea fi atins urmărind următoarele metode:</w:t>
      </w:r>
    </w:p>
    <w:p w:rsidR="00573AD5" w:rsidRPr="0076579A" w:rsidRDefault="00573AD5" w:rsidP="00573AD5">
      <w:pPr>
        <w:pStyle w:val="BulletLevel1"/>
        <w:spacing w:after="60"/>
      </w:pPr>
      <w:r w:rsidRPr="0076579A">
        <w:t>Stabilirea unor Obiective Comune pentru toate modurile de transport;</w:t>
      </w:r>
    </w:p>
    <w:p w:rsidR="00573AD5" w:rsidRPr="0076579A" w:rsidRDefault="00573AD5" w:rsidP="00573AD5">
      <w:pPr>
        <w:pStyle w:val="BulletLevel1"/>
        <w:spacing w:after="60"/>
      </w:pPr>
      <w:r w:rsidRPr="0076579A">
        <w:t>Stabilirea unor Obiective Specifice pentru fiecare mod de transport.</w:t>
      </w:r>
    </w:p>
    <w:p w:rsidR="00573AD5" w:rsidRPr="0076579A" w:rsidRDefault="00573AD5" w:rsidP="002B7E09">
      <w:pPr>
        <w:pStyle w:val="NumberedParas"/>
      </w:pPr>
      <w:r w:rsidRPr="0076579A">
        <w:t>S-au definit de asemenea cinci obiective mai specifice, și anume:</w:t>
      </w:r>
    </w:p>
    <w:p w:rsidR="00573AD5" w:rsidRPr="0076579A" w:rsidRDefault="00573AD5" w:rsidP="00573AD5">
      <w:pPr>
        <w:pStyle w:val="BulletLevel1"/>
        <w:spacing w:after="60"/>
      </w:pPr>
      <w:r w:rsidRPr="00D62754">
        <w:rPr>
          <w:b/>
        </w:rPr>
        <w:t>Eficiență economică</w:t>
      </w:r>
      <w:r w:rsidRPr="0076579A">
        <w:t>: un sistem de transport care generează beneficii mai mari decât costurile înregistrate;</w:t>
      </w:r>
    </w:p>
    <w:p w:rsidR="00573AD5" w:rsidRPr="0076579A" w:rsidRDefault="00573AD5" w:rsidP="00573AD5">
      <w:pPr>
        <w:pStyle w:val="BulletLevel1"/>
        <w:spacing w:after="60"/>
      </w:pPr>
      <w:r w:rsidRPr="00D62754">
        <w:rPr>
          <w:b/>
        </w:rPr>
        <w:t>Echitate</w:t>
      </w:r>
      <w:r w:rsidRPr="0076579A">
        <w:t>: costurile și veniturile unui sistem de transport ar trebui să fie distribuite corect între cetățeni, industrii și zone geografice;</w:t>
      </w:r>
    </w:p>
    <w:p w:rsidR="00573AD5" w:rsidRPr="0076579A" w:rsidRDefault="00573AD5" w:rsidP="00573AD5">
      <w:pPr>
        <w:pStyle w:val="BulletLevel1"/>
        <w:spacing w:after="60"/>
      </w:pPr>
      <w:r w:rsidRPr="00D62754">
        <w:rPr>
          <w:b/>
        </w:rPr>
        <w:t>Siguranță</w:t>
      </w:r>
      <w:r w:rsidRPr="0076579A">
        <w:t>: infrastructura și serviciile de transport ar trebui furnizate astfel încât să protejeze persoanele împotriva deceselor sau vătămării;</w:t>
      </w:r>
    </w:p>
    <w:p w:rsidR="00573AD5" w:rsidRPr="0076579A" w:rsidRDefault="00573AD5" w:rsidP="00573AD5">
      <w:pPr>
        <w:pStyle w:val="BulletLevel1"/>
        <w:spacing w:after="60"/>
      </w:pPr>
      <w:r w:rsidRPr="00D62754">
        <w:rPr>
          <w:b/>
        </w:rPr>
        <w:t>Integrare</w:t>
      </w:r>
      <w:r w:rsidRPr="0076579A">
        <w:t>: sistemul de transport ar trebui să permită persoanelor să călătorească confortabil și sigur utilizând o varietate de moduri de transport, și să minimizeze costurile de transport demărfuri;</w:t>
      </w:r>
    </w:p>
    <w:p w:rsidR="00573AD5" w:rsidRPr="0076579A" w:rsidRDefault="00573AD5" w:rsidP="00573AD5">
      <w:pPr>
        <w:pStyle w:val="BulletLevel1"/>
        <w:spacing w:after="60"/>
      </w:pPr>
      <w:r w:rsidRPr="00D62754">
        <w:rPr>
          <w:b/>
        </w:rPr>
        <w:t>Mediu</w:t>
      </w:r>
      <w:r w:rsidRPr="0076579A">
        <w:t>: Sistemul de transport ar trebui să protejeze mediul înconjurător sprijinind, astfel, dezvoltarea socială și economică în folosul prezentei generații și a celor viitoare.</w:t>
      </w:r>
    </w:p>
    <w:p w:rsidR="00573AD5" w:rsidRPr="0076579A" w:rsidRDefault="00573AD5" w:rsidP="002B7E09">
      <w:pPr>
        <w:pStyle w:val="NumberedParas"/>
      </w:pPr>
      <w:r w:rsidRPr="0076579A">
        <w:t>În plus față de aceste obiective strategice identificate, ar trebui de asemenea să fie luate în considerare un număr de obiective operaționale. Aceste obiective sunt rezultatul problemelor identificate în cadrul analizei de referință. Obiectivele operaționale au fost grupate în următoarele categorii:</w:t>
      </w:r>
    </w:p>
    <w:p w:rsidR="00573AD5" w:rsidRPr="0076579A" w:rsidRDefault="00573AD5" w:rsidP="00573AD5">
      <w:pPr>
        <w:pStyle w:val="BulletLevel1"/>
        <w:spacing w:after="60"/>
      </w:pPr>
      <w:r w:rsidRPr="0076579A">
        <w:lastRenderedPageBreak/>
        <w:t>OR1: Îmbunătățirea radicală a sistemului cu scopul de a stabili un cadru sustenabil de dezvoltare;</w:t>
      </w:r>
    </w:p>
    <w:p w:rsidR="00573AD5" w:rsidRPr="0076579A" w:rsidRDefault="00573AD5" w:rsidP="00573AD5">
      <w:pPr>
        <w:pStyle w:val="BulletLevel1"/>
        <w:spacing w:after="60"/>
      </w:pPr>
      <w:r w:rsidRPr="0076579A">
        <w:t>OR 2: Concentrarea puținelor lucrări de întreținere și resursele de dezvoltare pe o parte mai puțin sustenabilă a rețelei;</w:t>
      </w:r>
    </w:p>
    <w:p w:rsidR="00573AD5" w:rsidRPr="0076579A" w:rsidRDefault="00573AD5" w:rsidP="00573AD5">
      <w:pPr>
        <w:pStyle w:val="BulletLevel1"/>
        <w:spacing w:after="60"/>
      </w:pPr>
      <w:r w:rsidRPr="0076579A">
        <w:t>OR 3: Stabilirea unui cadru competitiv și comercial pentru transportul de călători;</w:t>
      </w:r>
    </w:p>
    <w:p w:rsidR="00573AD5" w:rsidRPr="00C95358" w:rsidRDefault="00573AD5" w:rsidP="00573AD5">
      <w:pPr>
        <w:pStyle w:val="BulletLevel1"/>
        <w:spacing w:after="60"/>
      </w:pPr>
      <w:r w:rsidRPr="00C95358">
        <w:t>OR 4: Stabilirea unui sistem bine pus la punct de responsabilizare în ceea ce privește performanța;</w:t>
      </w:r>
    </w:p>
    <w:p w:rsidR="00573AD5" w:rsidRPr="0076579A" w:rsidRDefault="00573AD5" w:rsidP="00573AD5">
      <w:pPr>
        <w:pStyle w:val="BulletLevel1"/>
        <w:spacing w:after="60"/>
        <w:rPr>
          <w:b/>
        </w:rPr>
      </w:pPr>
      <w:r w:rsidRPr="0076579A">
        <w:t>OR 5: Îmbunătățirea eficienței în ceea ce privește managementul companiilor feroviare și implicit a sustenabilității financiare a sistemului.</w:t>
      </w:r>
    </w:p>
    <w:p w:rsidR="00573AD5" w:rsidRPr="0076579A" w:rsidRDefault="00573AD5" w:rsidP="002B7E09">
      <w:pPr>
        <w:pStyle w:val="NumberedParas"/>
      </w:pPr>
      <w:r w:rsidRPr="0076579A">
        <w:t>Pe lângă obiectivele operaționale generale, s-au identificat și următoarele obiective operaționale specifice coridorului pentru a crește competitivitatea serviciilor de transport feroviar de călători:</w:t>
      </w:r>
    </w:p>
    <w:p w:rsidR="00573AD5" w:rsidRPr="0076579A" w:rsidRDefault="00573AD5" w:rsidP="00573AD5">
      <w:pPr>
        <w:pStyle w:val="BulletLevel1"/>
        <w:spacing w:after="60"/>
      </w:pPr>
      <w:r w:rsidRPr="0076579A">
        <w:t>OR 6 București – Arad/Cluj via Brasov și Teiuș;</w:t>
      </w:r>
    </w:p>
    <w:p w:rsidR="00573AD5" w:rsidRPr="0076579A" w:rsidRDefault="00573AD5" w:rsidP="00573AD5">
      <w:pPr>
        <w:pStyle w:val="BulletLevel1"/>
        <w:spacing w:after="60"/>
      </w:pPr>
      <w:r w:rsidRPr="0076579A">
        <w:t>OR 7: București – Constanța;</w:t>
      </w:r>
    </w:p>
    <w:p w:rsidR="00573AD5" w:rsidRPr="0076579A" w:rsidRDefault="00573AD5" w:rsidP="00573AD5">
      <w:pPr>
        <w:pStyle w:val="BulletLevel1"/>
        <w:spacing w:after="60"/>
      </w:pPr>
      <w:r w:rsidRPr="0076579A">
        <w:t>OR 8: București – Arad via Craiova și Timișoara;</w:t>
      </w:r>
    </w:p>
    <w:p w:rsidR="00573AD5" w:rsidRPr="0076579A" w:rsidRDefault="00573AD5" w:rsidP="00573AD5">
      <w:pPr>
        <w:pStyle w:val="BulletLevel1"/>
        <w:spacing w:after="60"/>
      </w:pPr>
      <w:r w:rsidRPr="0076579A">
        <w:t>OR 9: București – Iași via Bacău, și Buzău – Galați;</w:t>
      </w:r>
    </w:p>
    <w:p w:rsidR="00573AD5" w:rsidRPr="0076579A" w:rsidRDefault="00573AD5" w:rsidP="00573AD5">
      <w:pPr>
        <w:pStyle w:val="BulletLevel1"/>
        <w:spacing w:after="60"/>
      </w:pPr>
      <w:r w:rsidRPr="0076579A">
        <w:t>OR 10: București – Sibiu via Pitești și Râmnicu Vâlcea;</w:t>
      </w:r>
    </w:p>
    <w:p w:rsidR="00573AD5" w:rsidRPr="0076579A" w:rsidRDefault="00573AD5" w:rsidP="00573AD5">
      <w:pPr>
        <w:pStyle w:val="BulletLevel1"/>
        <w:spacing w:after="60"/>
      </w:pPr>
      <w:r w:rsidRPr="0076579A">
        <w:t>OR 11: Cluj-Napoca – Iași;</w:t>
      </w:r>
    </w:p>
    <w:p w:rsidR="00573AD5" w:rsidRPr="0076579A" w:rsidRDefault="00573AD5" w:rsidP="00573AD5">
      <w:pPr>
        <w:pStyle w:val="BulletLevel1"/>
        <w:spacing w:after="60"/>
      </w:pPr>
      <w:r w:rsidRPr="0076579A">
        <w:t>OR 12: Cluj-Napoca – Oradea: inclusiv electrificare și dublarea liniei;</w:t>
      </w:r>
    </w:p>
    <w:p w:rsidR="00573AD5" w:rsidRPr="0076579A" w:rsidRDefault="00573AD5" w:rsidP="00573AD5">
      <w:pPr>
        <w:pStyle w:val="BulletLevel1"/>
        <w:spacing w:after="60"/>
      </w:pPr>
      <w:r w:rsidRPr="0076579A">
        <w:t>OR 13: Oradea – Timișoara;</w:t>
      </w:r>
    </w:p>
    <w:p w:rsidR="00573AD5" w:rsidRPr="00F65A10" w:rsidRDefault="00573AD5" w:rsidP="00573AD5">
      <w:pPr>
        <w:pStyle w:val="BulletLevel1"/>
        <w:spacing w:after="60"/>
        <w:rPr>
          <w:b/>
        </w:rPr>
      </w:pPr>
      <w:r w:rsidRPr="0076579A">
        <w:t>OR 14: Oradea – Baia Mare, și Satu Mare - Cluj-Napoca via Baia Mare.</w:t>
      </w:r>
    </w:p>
    <w:p w:rsidR="00573AD5" w:rsidRPr="0076579A" w:rsidRDefault="00573AD5" w:rsidP="002B7E09">
      <w:pPr>
        <w:pStyle w:val="NumberedParas"/>
      </w:pPr>
      <w:r>
        <w:t xml:space="preserve">Selecția coridoarelor descrise mai sus reflectă nivelurile curente de trafic pe coridoarele individuale din scenariul de bază și luarea în considerare a cerințelor nr. 1315/2013 a Parlamentului European privind dezvoltarea rețelei de transport trans-europene. Componentele proiectelor țin cont de elementele legislative obligatorii care includ îmbunătățiri ale infrastructurii, îmbunătățiri ale sistemelor de semnalizare, electrificare și operarea cu material rulant de bună calitate. Dacă evaluarea economică demonstrează că anumite componente ale pachetului sunt nerentabile, vor trebui solicitate excepții de la reguli din partea Comisiei Europene.  </w:t>
      </w:r>
    </w:p>
    <w:p w:rsidR="00573AD5" w:rsidRPr="0076579A" w:rsidRDefault="00573AD5" w:rsidP="002B7E09">
      <w:pPr>
        <w:pStyle w:val="NumberedParas"/>
      </w:pPr>
      <w:r>
        <w:t>Pentru a ab</w:t>
      </w:r>
      <w:r w:rsidRPr="0076579A">
        <w:t>orda problema lipsei competitivității serviciilor de transport feroviar, coridoarele au fost identificate și analizate în ceea ce privește ponderea modală a sistemului feroviar, numărul total de călătorii, înțelegerea componentelor costurilor totale generalizate, inclusiv timpii de parcurs și timpii dintre două trenuri consecutive.</w:t>
      </w:r>
    </w:p>
    <w:p w:rsidR="00573AD5" w:rsidRDefault="00573AD5" w:rsidP="002B7E09">
      <w:pPr>
        <w:pStyle w:val="NumberedParas"/>
      </w:pPr>
      <w:r w:rsidRPr="0076579A">
        <w:t xml:space="preserve">În </w:t>
      </w:r>
      <w:r>
        <w:t>Tabelul 5.</w:t>
      </w:r>
      <w:r w:rsidRPr="0076579A">
        <w:t>7 sunt rezumate principalele probleme, folosind datele observate și aplicând obiectivele operaționale menționate anterior acestor probleme. Sunt prezentate, de asemenea, măsurile propuse și dacă acestea sunt adecvate pentru testare folosi</w:t>
      </w:r>
      <w:r>
        <w:t>nd Modelul Național de Transport.</w:t>
      </w:r>
    </w:p>
    <w:p w:rsidR="00573AD5" w:rsidRPr="0076579A" w:rsidRDefault="00573AD5" w:rsidP="002B7E09">
      <w:pPr>
        <w:pStyle w:val="NumberedParas"/>
        <w:numPr>
          <w:ilvl w:val="0"/>
          <w:numId w:val="0"/>
        </w:numPr>
        <w:ind w:left="851"/>
      </w:pPr>
    </w:p>
    <w:p w:rsidR="00573AD5" w:rsidRPr="0076579A" w:rsidRDefault="00573AD5" w:rsidP="002B7E09">
      <w:pPr>
        <w:pStyle w:val="NumberedParas"/>
        <w:sectPr w:rsidR="00573AD5" w:rsidRPr="0076579A" w:rsidSect="00E5363A">
          <w:pgSz w:w="11907" w:h="16840" w:code="9"/>
          <w:pgMar w:top="1418" w:right="709" w:bottom="1418" w:left="907" w:header="357" w:footer="567" w:gutter="0"/>
          <w:cols w:space="187"/>
          <w:docGrid w:linePitch="360"/>
        </w:sectPr>
      </w:pPr>
    </w:p>
    <w:p w:rsidR="00573AD5" w:rsidRPr="0076579A" w:rsidRDefault="00573AD5" w:rsidP="0030066D"/>
    <w:p w:rsidR="00573AD5" w:rsidRPr="0076579A" w:rsidRDefault="00573AD5" w:rsidP="0030066D">
      <w:pPr>
        <w:spacing w:after="60"/>
        <w:rPr>
          <w:rFonts w:cs="Arial"/>
          <w:b/>
          <w:sz w:val="20"/>
          <w:szCs w:val="20"/>
          <w:lang w:val="ro-RO"/>
        </w:rPr>
      </w:pPr>
      <w:r>
        <w:rPr>
          <w:rFonts w:cs="Arial"/>
          <w:b/>
          <w:sz w:val="20"/>
          <w:szCs w:val="20"/>
          <w:lang w:val="ro-RO"/>
        </w:rPr>
        <w:t>Tabelul 5.</w:t>
      </w:r>
      <w:r w:rsidRPr="0076579A">
        <w:rPr>
          <w:rFonts w:cs="Arial"/>
          <w:b/>
          <w:sz w:val="20"/>
          <w:szCs w:val="20"/>
          <w:lang w:val="ro-RO"/>
        </w:rPr>
        <w:t xml:space="preserve">7: Obiective generale și date observate privind transportul feroviar de călători și mărfuri </w:t>
      </w:r>
    </w:p>
    <w:tbl>
      <w:tblPr>
        <w:tblW w:w="2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67"/>
        <w:gridCol w:w="1417"/>
        <w:gridCol w:w="3119"/>
        <w:gridCol w:w="3118"/>
        <w:gridCol w:w="2127"/>
        <w:gridCol w:w="851"/>
        <w:gridCol w:w="3827"/>
        <w:gridCol w:w="1134"/>
        <w:gridCol w:w="1417"/>
        <w:gridCol w:w="1417"/>
        <w:gridCol w:w="17"/>
        <w:gridCol w:w="1401"/>
        <w:gridCol w:w="13"/>
      </w:tblGrid>
      <w:tr w:rsidR="00573AD5" w:rsidRPr="0076579A" w:rsidTr="0030066D">
        <w:trPr>
          <w:gridAfter w:val="1"/>
          <w:wAfter w:w="13" w:type="dxa"/>
          <w:tblHeader/>
        </w:trPr>
        <w:tc>
          <w:tcPr>
            <w:tcW w:w="1526" w:type="dxa"/>
            <w:vMerge w:val="restart"/>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Obiective generale</w:t>
            </w:r>
          </w:p>
        </w:tc>
        <w:tc>
          <w:tcPr>
            <w:tcW w:w="5103" w:type="dxa"/>
            <w:gridSpan w:val="3"/>
            <w:shd w:val="clear" w:color="auto" w:fill="C6D9F1"/>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Problema</w:t>
            </w:r>
          </w:p>
        </w:tc>
        <w:tc>
          <w:tcPr>
            <w:tcW w:w="3118" w:type="dxa"/>
            <w:vMerge w:val="restart"/>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 xml:space="preserve">Sinteză date observate / indicatori cantitativi </w:t>
            </w:r>
          </w:p>
        </w:tc>
        <w:tc>
          <w:tcPr>
            <w:tcW w:w="2978" w:type="dxa"/>
            <w:gridSpan w:val="2"/>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Obiective operaționale</w:t>
            </w:r>
          </w:p>
        </w:tc>
        <w:tc>
          <w:tcPr>
            <w:tcW w:w="3827" w:type="dxa"/>
            <w:shd w:val="clear" w:color="auto" w:fill="C6D9F1"/>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Intervenție(i)</w:t>
            </w:r>
          </w:p>
        </w:tc>
        <w:tc>
          <w:tcPr>
            <w:tcW w:w="3968" w:type="dxa"/>
            <w:gridSpan w:val="3"/>
            <w:shd w:val="clear" w:color="auto" w:fill="C6D9F1"/>
            <w:vAlign w:val="center"/>
          </w:tcPr>
          <w:p w:rsidR="00573AD5" w:rsidRPr="0076579A" w:rsidRDefault="00573AD5" w:rsidP="00573AD5">
            <w:pPr>
              <w:jc w:val="center"/>
              <w:rPr>
                <w:rFonts w:cs="Arial"/>
                <w:b/>
                <w:sz w:val="20"/>
                <w:szCs w:val="20"/>
                <w:lang w:val="ro-RO"/>
              </w:rPr>
            </w:pPr>
            <w:r w:rsidRPr="0076579A">
              <w:rPr>
                <w:rFonts w:cs="Arial"/>
                <w:b/>
                <w:sz w:val="20"/>
                <w:szCs w:val="20"/>
                <w:lang w:val="ro-RO"/>
              </w:rPr>
              <w:t>Plan de testare</w:t>
            </w:r>
          </w:p>
        </w:tc>
        <w:tc>
          <w:tcPr>
            <w:tcW w:w="1418" w:type="dxa"/>
            <w:gridSpan w:val="2"/>
            <w:vMerge w:val="restart"/>
            <w:shd w:val="clear" w:color="auto" w:fill="C6D9F1"/>
            <w:vAlign w:val="center"/>
          </w:tcPr>
          <w:p w:rsidR="00573AD5" w:rsidRDefault="00573AD5" w:rsidP="00573AD5">
            <w:pPr>
              <w:rPr>
                <w:rFonts w:cs="Arial"/>
                <w:b/>
                <w:sz w:val="20"/>
                <w:szCs w:val="20"/>
                <w:lang w:val="ro-RO"/>
              </w:rPr>
            </w:pPr>
            <w:r>
              <w:rPr>
                <w:rFonts w:cs="Arial"/>
                <w:b/>
                <w:sz w:val="20"/>
                <w:szCs w:val="20"/>
                <w:lang w:val="ro-RO"/>
              </w:rPr>
              <w:t>Proiect</w:t>
            </w:r>
          </w:p>
          <w:p w:rsidR="00573AD5" w:rsidRPr="0076579A" w:rsidRDefault="00573AD5" w:rsidP="00573AD5">
            <w:pPr>
              <w:rPr>
                <w:b/>
                <w:lang w:val="ro-RO"/>
              </w:rPr>
            </w:pPr>
          </w:p>
        </w:tc>
      </w:tr>
      <w:tr w:rsidR="00573AD5" w:rsidRPr="0076579A" w:rsidTr="0030066D">
        <w:trPr>
          <w:gridAfter w:val="1"/>
          <w:wAfter w:w="13" w:type="dxa"/>
          <w:tblHeader/>
        </w:trPr>
        <w:tc>
          <w:tcPr>
            <w:tcW w:w="1526" w:type="dxa"/>
            <w:vMerge/>
            <w:shd w:val="clear" w:color="auto" w:fill="C6D9F1"/>
            <w:vAlign w:val="center"/>
          </w:tcPr>
          <w:p w:rsidR="00573AD5" w:rsidRPr="0076579A" w:rsidRDefault="00573AD5" w:rsidP="00573AD5">
            <w:pPr>
              <w:rPr>
                <w:rFonts w:cs="Arial"/>
                <w:sz w:val="20"/>
                <w:szCs w:val="20"/>
                <w:lang w:val="ro-RO"/>
              </w:rPr>
            </w:pPr>
          </w:p>
        </w:tc>
        <w:tc>
          <w:tcPr>
            <w:tcW w:w="567"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Nr.</w:t>
            </w:r>
          </w:p>
        </w:tc>
        <w:tc>
          <w:tcPr>
            <w:tcW w:w="1417"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Subiect</w:t>
            </w:r>
          </w:p>
        </w:tc>
        <w:tc>
          <w:tcPr>
            <w:tcW w:w="3119"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Descriere</w:t>
            </w:r>
          </w:p>
        </w:tc>
        <w:tc>
          <w:tcPr>
            <w:tcW w:w="3118" w:type="dxa"/>
            <w:vMerge/>
            <w:shd w:val="clear" w:color="auto" w:fill="C6D9F1"/>
          </w:tcPr>
          <w:p w:rsidR="00573AD5" w:rsidRPr="0076579A" w:rsidRDefault="00573AD5" w:rsidP="00573AD5">
            <w:pPr>
              <w:rPr>
                <w:rFonts w:cs="Arial"/>
                <w:sz w:val="20"/>
                <w:szCs w:val="20"/>
                <w:lang w:val="ro-RO"/>
              </w:rPr>
            </w:pPr>
          </w:p>
        </w:tc>
        <w:tc>
          <w:tcPr>
            <w:tcW w:w="2127"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Descriere</w:t>
            </w:r>
          </w:p>
        </w:tc>
        <w:tc>
          <w:tcPr>
            <w:tcW w:w="851"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Ref.</w:t>
            </w:r>
          </w:p>
        </w:tc>
        <w:tc>
          <w:tcPr>
            <w:tcW w:w="3827"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Descriere / Alternative</w:t>
            </w:r>
          </w:p>
        </w:tc>
        <w:tc>
          <w:tcPr>
            <w:tcW w:w="1134"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Adecvat pentru testare</w:t>
            </w:r>
          </w:p>
        </w:tc>
        <w:tc>
          <w:tcPr>
            <w:tcW w:w="1417" w:type="dxa"/>
            <w:shd w:val="clear" w:color="auto" w:fill="C6D9F1"/>
            <w:vAlign w:val="center"/>
          </w:tcPr>
          <w:p w:rsidR="00573AD5" w:rsidRPr="0076579A" w:rsidRDefault="00573AD5" w:rsidP="00573AD5">
            <w:pPr>
              <w:rPr>
                <w:rFonts w:cs="Arial"/>
                <w:b/>
                <w:sz w:val="20"/>
                <w:szCs w:val="20"/>
                <w:lang w:val="ro-RO"/>
              </w:rPr>
            </w:pPr>
            <w:r w:rsidRPr="0076579A">
              <w:rPr>
                <w:rFonts w:cs="Arial"/>
                <w:b/>
                <w:sz w:val="20"/>
                <w:szCs w:val="20"/>
                <w:lang w:val="ro-RO"/>
              </w:rPr>
              <w:t>Tip de proiect de testat</w:t>
            </w:r>
          </w:p>
        </w:tc>
        <w:tc>
          <w:tcPr>
            <w:tcW w:w="1417" w:type="dxa"/>
            <w:shd w:val="clear" w:color="auto" w:fill="C6D9F1"/>
            <w:vAlign w:val="center"/>
          </w:tcPr>
          <w:p w:rsidR="00573AD5" w:rsidRPr="00AD3449" w:rsidRDefault="00573AD5" w:rsidP="00573AD5">
            <w:pPr>
              <w:rPr>
                <w:rFonts w:cs="Arial"/>
                <w:b/>
                <w:sz w:val="20"/>
                <w:szCs w:val="20"/>
                <w:lang w:val="ro-RO"/>
              </w:rPr>
            </w:pPr>
            <w:r w:rsidRPr="00AD3449">
              <w:rPr>
                <w:rFonts w:cs="Arial"/>
                <w:b/>
                <w:sz w:val="20"/>
                <w:szCs w:val="20"/>
                <w:lang w:val="ro-RO"/>
              </w:rPr>
              <w:t xml:space="preserve">Nivelul de agregare al testării </w:t>
            </w:r>
          </w:p>
        </w:tc>
        <w:tc>
          <w:tcPr>
            <w:tcW w:w="1418" w:type="dxa"/>
            <w:gridSpan w:val="2"/>
            <w:vMerge/>
            <w:shd w:val="clear" w:color="auto" w:fill="C6D9F1"/>
          </w:tcPr>
          <w:p w:rsidR="00573AD5" w:rsidRPr="0076579A" w:rsidRDefault="00573AD5" w:rsidP="00573AD5">
            <w:pPr>
              <w:rPr>
                <w:lang w:val="ro-RO"/>
              </w:rPr>
            </w:pPr>
          </w:p>
        </w:tc>
      </w:tr>
      <w:tr w:rsidR="00573AD5" w:rsidRPr="0076579A" w:rsidTr="0030066D">
        <w:trPr>
          <w:gridAfter w:val="1"/>
          <w:wAfter w:w="13" w:type="dxa"/>
        </w:trPr>
        <w:tc>
          <w:tcPr>
            <w:tcW w:w="1526"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Sustenabilitate</w:t>
            </w:r>
          </w:p>
        </w:tc>
        <w:tc>
          <w:tcPr>
            <w:tcW w:w="198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General</w:t>
            </w:r>
          </w:p>
        </w:tc>
        <w:tc>
          <w:tcPr>
            <w:tcW w:w="3119" w:type="dxa"/>
            <w:shd w:val="clear" w:color="auto" w:fill="auto"/>
            <w:vAlign w:val="center"/>
          </w:tcPr>
          <w:p w:rsidR="00573AD5" w:rsidRPr="0076579A" w:rsidRDefault="00573AD5" w:rsidP="00573AD5">
            <w:pPr>
              <w:spacing w:before="60" w:after="60"/>
              <w:rPr>
                <w:rFonts w:cs="Arial"/>
                <w:sz w:val="20"/>
                <w:szCs w:val="20"/>
                <w:lang w:val="ro-RO"/>
              </w:rPr>
            </w:pPr>
            <w:r w:rsidRPr="0076579A">
              <w:rPr>
                <w:rFonts w:cs="Arial"/>
                <w:sz w:val="20"/>
                <w:szCs w:val="20"/>
                <w:lang w:val="ro-RO"/>
              </w:rPr>
              <w:t>Sectorul de transport feroviar din România se află într-o situație de criză. Începând cu anul 1990 s-a înregistrat un declin dramatic și continuu în cadrul tuturor indicatorilor cheie de performanță.</w:t>
            </w:r>
          </w:p>
          <w:p w:rsidR="00573AD5" w:rsidRPr="0076579A" w:rsidRDefault="00573AD5" w:rsidP="00573AD5">
            <w:pPr>
              <w:spacing w:before="60" w:after="60"/>
              <w:rPr>
                <w:rFonts w:cs="Arial"/>
                <w:sz w:val="20"/>
                <w:szCs w:val="20"/>
                <w:lang w:val="ro-RO"/>
              </w:rPr>
            </w:pPr>
            <w:r w:rsidRPr="0076579A">
              <w:rPr>
                <w:rFonts w:cs="Arial"/>
                <w:sz w:val="20"/>
                <w:szCs w:val="20"/>
                <w:lang w:val="ro-RO"/>
              </w:rPr>
              <w:t>Dacă sistemul nu va fi reformat radical, atunci investițiile în modernizarea infrastructurii nu vor aduce beneficii concrete.</w:t>
            </w:r>
          </w:p>
          <w:p w:rsidR="00573AD5" w:rsidRPr="0076579A" w:rsidRDefault="00573AD5" w:rsidP="00573AD5">
            <w:pPr>
              <w:spacing w:before="60" w:after="60"/>
              <w:rPr>
                <w:rFonts w:cs="Arial"/>
                <w:sz w:val="20"/>
                <w:szCs w:val="20"/>
                <w:lang w:val="ro-RO"/>
              </w:rPr>
            </w:pPr>
            <w:r w:rsidRPr="0076579A">
              <w:rPr>
                <w:rFonts w:cs="Arial"/>
                <w:sz w:val="20"/>
                <w:szCs w:val="20"/>
                <w:lang w:val="ro-RO"/>
              </w:rPr>
              <w:t>Această criză este cauzată de o serie de probleme care au fost grupate în următoarele sub-categorii.</w:t>
            </w:r>
          </w:p>
        </w:tc>
        <w:tc>
          <w:tcPr>
            <w:tcW w:w="3118" w:type="dxa"/>
            <w:shd w:val="clear" w:color="auto" w:fill="auto"/>
            <w:vAlign w:val="center"/>
          </w:tcPr>
          <w:p w:rsidR="00573AD5" w:rsidRPr="0076579A" w:rsidRDefault="00573AD5" w:rsidP="00573AD5">
            <w:pPr>
              <w:spacing w:before="120" w:after="120"/>
              <w:jc w:val="both"/>
              <w:rPr>
                <w:rFonts w:cs="Arial"/>
                <w:sz w:val="20"/>
                <w:szCs w:val="20"/>
                <w:lang w:val="ro-RO"/>
              </w:rPr>
            </w:pPr>
            <w:r w:rsidRPr="0076579A">
              <w:rPr>
                <w:rFonts w:cs="Arial"/>
                <w:sz w:val="20"/>
                <w:szCs w:val="20"/>
                <w:lang w:val="ro-RO"/>
              </w:rPr>
              <w:t>A se vedea Raportul asupra Condițiilor Existente și Raportul asupra Definirii Problemelor.</w:t>
            </w:r>
          </w:p>
        </w:tc>
        <w:tc>
          <w:tcPr>
            <w:tcW w:w="2127" w:type="dxa"/>
            <w:shd w:val="clear" w:color="auto" w:fill="auto"/>
            <w:vAlign w:val="center"/>
          </w:tcPr>
          <w:p w:rsidR="00573AD5" w:rsidRPr="0076579A" w:rsidRDefault="00573AD5" w:rsidP="00573AD5">
            <w:pPr>
              <w:spacing w:before="60" w:after="60"/>
              <w:rPr>
                <w:rFonts w:cs="Arial"/>
                <w:sz w:val="20"/>
                <w:szCs w:val="20"/>
                <w:lang w:val="ro-RO"/>
              </w:rPr>
            </w:pPr>
            <w:r w:rsidRPr="0076579A">
              <w:rPr>
                <w:rFonts w:cs="Arial"/>
                <w:sz w:val="20"/>
                <w:szCs w:val="20"/>
                <w:lang w:val="ro-RO"/>
              </w:rPr>
              <w:t>Reformare radicală a sistemului pentru a crea un cadru sustenabil de dezvoltare.</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01</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Trebuie implementat un sistem elaborat de reformă cât de curând posibil (în continuare sunt prezentate componentele cheie ale acestui sistem).  </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În acest scop ar trebui să se înființeze o Agenție de Reformă Feroviară, sub conducerea Ministerului Transporturilor, care să implementeze reforma radicală necesară și care să devină apoi definitiv o autoritate a transportului feroviar public.</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Agenția de Reformă Feroviară ar trebui să apeleze la sprijinul experților internaționali de vârf prin intermediul </w:t>
            </w:r>
            <w:r>
              <w:rPr>
                <w:rFonts w:cs="Arial"/>
                <w:sz w:val="20"/>
                <w:szCs w:val="20"/>
                <w:lang w:val="ro-RO"/>
              </w:rPr>
              <w:t>asistenței tehnice</w:t>
            </w:r>
            <w:r w:rsidRPr="0076579A">
              <w:rPr>
                <w:rFonts w:cs="Arial"/>
                <w:sz w:val="20"/>
                <w:szCs w:val="20"/>
                <w:lang w:val="ro-RO"/>
              </w:rPr>
              <w:t xml:space="preserve"> </w:t>
            </w:r>
            <w:r w:rsidRPr="00C95358">
              <w:rPr>
                <w:rFonts w:cs="Arial"/>
                <w:sz w:val="20"/>
                <w:szCs w:val="20"/>
                <w:lang w:val="ro-RO"/>
              </w:rPr>
              <w:t>și posibil la un organsim consultativ IFI.</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8"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w:t>
            </w:r>
            <w:r>
              <w:rPr>
                <w:rFonts w:cs="Arial"/>
                <w:sz w:val="20"/>
                <w:szCs w:val="20"/>
                <w:lang w:val="ro-RO"/>
              </w:rPr>
              <w:t>12</w:t>
            </w:r>
            <w:r w:rsidRPr="0076579A">
              <w:rPr>
                <w:rFonts w:cs="Arial"/>
                <w:sz w:val="20"/>
                <w:szCs w:val="20"/>
                <w:lang w:val="ro-RO"/>
              </w:rPr>
              <w:t>A</w:t>
            </w:r>
          </w:p>
        </w:tc>
      </w:tr>
      <w:tr w:rsidR="00573AD5" w:rsidRPr="0076579A" w:rsidTr="0030066D">
        <w:tc>
          <w:tcPr>
            <w:tcW w:w="1526"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Sustenabilitate</w:t>
            </w:r>
          </w:p>
        </w:tc>
        <w:tc>
          <w:tcPr>
            <w:tcW w:w="56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(1)</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Sustenabilitatea infrastructurii</w:t>
            </w:r>
          </w:p>
        </w:tc>
        <w:tc>
          <w:tcPr>
            <w:tcW w:w="3119" w:type="dxa"/>
            <w:shd w:val="clear" w:color="auto" w:fill="auto"/>
            <w:vAlign w:val="center"/>
          </w:tcPr>
          <w:p w:rsidR="00573AD5" w:rsidRPr="0076579A" w:rsidRDefault="00573AD5" w:rsidP="00573AD5">
            <w:pPr>
              <w:spacing w:before="60" w:after="60"/>
              <w:rPr>
                <w:rFonts w:cs="Arial"/>
                <w:sz w:val="20"/>
                <w:szCs w:val="20"/>
                <w:lang w:val="ro-RO"/>
              </w:rPr>
            </w:pPr>
            <w:r w:rsidRPr="0076579A">
              <w:rPr>
                <w:rFonts w:cs="Arial"/>
                <w:sz w:val="20"/>
                <w:szCs w:val="20"/>
                <w:lang w:val="ro-RO"/>
              </w:rPr>
              <w:t xml:space="preserve">Dimensiunea actuală a rețelei feroviare întâmpină o discrepanță considerabilă și în creștere atât față de cererea de transport, cât și față de resursele financiare disponibile pentru a o întreține și opera. </w:t>
            </w:r>
          </w:p>
        </w:tc>
        <w:tc>
          <w:tcPr>
            <w:tcW w:w="3118" w:type="dxa"/>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90% din trafic este suportat de aproximativ 54% dintre rute (63% km-cale).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Resursele totale utilizate anual în mod real pentru întreținere și reparații capitale se situează la un nivel cu 40% mai mic decât nivelul necesar unui regim de întreținere normal pe întreaga rețea aflată în exploatare și la mai puțin de 20% față de nivelul necesar luând în considerare recuperarea deficitului de reparații capitale.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În vreme ce volumul de trafic a scăzut cu 93% începând cu anul 1990 dimensiunea rețelei a scăzut cu doar 5% în decursul aceleiași perioade de timp.</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 xml:space="preserve">Procedeul abordat în România de a reduce din rețea nu este unul eficient, întrucât chiar și după ce o linie este scoasă din rețeaua interoperabilă și este clasificată ca neinteroperabilă, aceasta este în continuare finanțată din fondurile publice. </w:t>
            </w:r>
          </w:p>
        </w:tc>
        <w:tc>
          <w:tcPr>
            <w:tcW w:w="2127" w:type="dxa"/>
            <w:shd w:val="clear" w:color="auto" w:fill="auto"/>
            <w:vAlign w:val="center"/>
          </w:tcPr>
          <w:p w:rsidR="00573AD5" w:rsidRPr="0076579A" w:rsidRDefault="00573AD5" w:rsidP="00573AD5">
            <w:pPr>
              <w:spacing w:before="60" w:after="60"/>
              <w:rPr>
                <w:rFonts w:cs="Arial"/>
                <w:sz w:val="20"/>
                <w:szCs w:val="20"/>
                <w:lang w:val="ro-RO"/>
              </w:rPr>
            </w:pPr>
            <w:r w:rsidRPr="0076579A">
              <w:rPr>
                <w:rFonts w:cs="Arial"/>
                <w:sz w:val="20"/>
                <w:szCs w:val="20"/>
                <w:lang w:val="ro-RO"/>
              </w:rPr>
              <w:t xml:space="preserve">Alocarea puținelor resurse pentru lucrări de întreținere și dezvoltare unei rețele puțin sustenabile.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02</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1. Clasificarea rețelei în linii interoperabile și neinteroperabile ar trebui înlocuită (prin modificarea legislației relevante) cu o structură mai clară bazată pe: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O rețea principală definită ca rețea de interes public național pe baza unor rute clare, incluzând atât infrastructura, cât și  transportul de călători. Dacă o rută este definită ca parte a serviciului public, aceasta va fi subvenționată/compensată atât pentru infrastructură, cât și pentru (acolo unde este cazul pentru servicii de transport pasageri) operare.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O rețea secundară care nu este de interes public național (dar care ar putea fi de interes local, așadar va fi preluată parțial sau în totalitate și subvenționată, de exemplu, de autoritățile județene sau municipale).</w:t>
            </w:r>
          </w:p>
          <w:p w:rsidR="00573AD5" w:rsidRPr="0076579A" w:rsidRDefault="00573AD5" w:rsidP="00573AD5">
            <w:pPr>
              <w:spacing w:before="60" w:after="60" w:line="264" w:lineRule="auto"/>
              <w:ind w:left="459"/>
              <w:jc w:val="both"/>
              <w:rPr>
                <w:rFonts w:cs="Arial"/>
                <w:sz w:val="20"/>
                <w:szCs w:val="20"/>
                <w:lang w:val="ro-RO"/>
              </w:rPr>
            </w:pPr>
            <w:r w:rsidRPr="0076579A">
              <w:rPr>
                <w:rFonts w:cs="Arial"/>
                <w:sz w:val="20"/>
                <w:szCs w:val="20"/>
                <w:lang w:val="ro-RO"/>
              </w:rPr>
              <w:t xml:space="preserve">O dată exclusă din serviciul public național, finanțarea unei astfel de linii de către stat nu va fi posibilă, iar în cazul în care nu va putea fi transferată autorităților locale și nici operatorilor privați, linia în cauză va fi automat închisă și nu va putea fi trecută din nou în proprietatea CFR Infrastructură. </w:t>
            </w:r>
          </w:p>
          <w:p w:rsidR="00573AD5" w:rsidRPr="0076579A" w:rsidRDefault="00573AD5" w:rsidP="00573AD5">
            <w:pPr>
              <w:spacing w:before="60" w:after="60" w:line="264" w:lineRule="auto"/>
              <w:ind w:left="175"/>
              <w:jc w:val="both"/>
              <w:rPr>
                <w:rFonts w:cs="Arial"/>
                <w:sz w:val="20"/>
                <w:szCs w:val="20"/>
                <w:lang w:val="ro-RO"/>
              </w:rPr>
            </w:pPr>
            <w:r w:rsidRPr="0076579A">
              <w:rPr>
                <w:rFonts w:cs="Arial"/>
                <w:sz w:val="20"/>
                <w:szCs w:val="20"/>
                <w:lang w:val="ro-RO"/>
              </w:rPr>
              <w:t xml:space="preserve">2.  Rețeaua principală ar trebui să fie limitată la </w:t>
            </w:r>
            <w:r w:rsidRPr="00AD3449">
              <w:rPr>
                <w:rFonts w:cs="Arial"/>
                <w:sz w:val="20"/>
                <w:szCs w:val="20"/>
                <w:lang w:val="ro-RO"/>
              </w:rPr>
              <w:t>aprox. 60% din numărul actual de km-cale (conform hărții indicative anexate Notei Feroviare</w:t>
            </w:r>
            <w:r w:rsidRPr="0076579A">
              <w:rPr>
                <w:rFonts w:cs="Arial"/>
                <w:sz w:val="20"/>
                <w:szCs w:val="20"/>
                <w:lang w:val="ro-RO"/>
              </w:rPr>
              <w:t>),</w:t>
            </w:r>
            <w:r>
              <w:rPr>
                <w:rFonts w:cs="Arial"/>
                <w:sz w:val="20"/>
                <w:szCs w:val="20"/>
                <w:lang w:val="ro-RO"/>
              </w:rPr>
              <w:t xml:space="preserve"> </w:t>
            </w:r>
            <w:r>
              <w:rPr>
                <w:rFonts w:cs="Arial"/>
                <w:sz w:val="20"/>
                <w:szCs w:val="20"/>
                <w:lang w:val="ro-RO"/>
              </w:rPr>
              <w:lastRenderedPageBreak/>
              <w:t>dat fiind faptul că aceasta ar putea acoperi aproximativ 95% din cererea de transport pasageri și marfă.</w:t>
            </w:r>
            <w:r w:rsidRPr="0076579A">
              <w:rPr>
                <w:rFonts w:cs="Arial"/>
                <w:sz w:val="20"/>
                <w:szCs w:val="20"/>
                <w:lang w:val="ro-RO"/>
              </w:rPr>
              <w:t xml:space="preserve"> </w:t>
            </w:r>
            <w:r>
              <w:rPr>
                <w:rFonts w:cs="Arial"/>
                <w:sz w:val="20"/>
                <w:szCs w:val="20"/>
                <w:lang w:val="ro-RO"/>
              </w:rPr>
              <w:t>Î</w:t>
            </w:r>
            <w:r w:rsidRPr="0076579A">
              <w:rPr>
                <w:rFonts w:cs="Arial"/>
                <w:sz w:val="20"/>
                <w:szCs w:val="20"/>
                <w:lang w:val="ro-RO"/>
              </w:rPr>
              <w:t>nsă această acțiune trebuie analizată în cadrul unui program de închidere de</w:t>
            </w:r>
            <w:r>
              <w:rPr>
                <w:rFonts w:cs="Arial"/>
                <w:sz w:val="20"/>
                <w:szCs w:val="20"/>
                <w:lang w:val="ro-RO"/>
              </w:rPr>
              <w:t>taliat (ce va fi efectuat prin intermediul unei analize de trafic specializate</w:t>
            </w:r>
            <w:r w:rsidRPr="0076579A">
              <w:rPr>
                <w:rFonts w:cs="Arial"/>
                <w:sz w:val="20"/>
                <w:szCs w:val="20"/>
                <w:lang w:val="ro-RO"/>
              </w:rPr>
              <w:t>, care să includă o analiză a sustenabilității financiare și de piață mult mai detaliată).</w:t>
            </w:r>
          </w:p>
          <w:p w:rsidR="00573AD5" w:rsidRPr="0076579A" w:rsidRDefault="00573AD5" w:rsidP="00573AD5">
            <w:pPr>
              <w:spacing w:before="60" w:after="60" w:line="264" w:lineRule="auto"/>
              <w:ind w:left="175"/>
              <w:jc w:val="both"/>
              <w:rPr>
                <w:rFonts w:cs="Arial"/>
                <w:sz w:val="20"/>
                <w:szCs w:val="20"/>
                <w:lang w:val="ro-RO"/>
              </w:rPr>
            </w:pPr>
            <w:r w:rsidRPr="0076579A">
              <w:rPr>
                <w:rFonts w:cs="Arial"/>
                <w:sz w:val="20"/>
                <w:szCs w:val="20"/>
                <w:lang w:val="ro-RO"/>
              </w:rPr>
              <w:t xml:space="preserve">3. Creșterea bugetului alocat de la aproximativ 350 milioane euro pe an, la aproximativ 500 milioane euro pe an pentru regimul de </w:t>
            </w:r>
            <w:r>
              <w:rPr>
                <w:rFonts w:cs="Arial"/>
                <w:sz w:val="20"/>
                <w:szCs w:val="20"/>
                <w:lang w:val="ro-RO"/>
              </w:rPr>
              <w:t>întreținere și reparații capitale</w:t>
            </w:r>
            <w:r w:rsidRPr="0076579A">
              <w:rPr>
                <w:rFonts w:cs="Arial"/>
                <w:sz w:val="20"/>
                <w:szCs w:val="20"/>
                <w:lang w:val="ro-RO"/>
              </w:rPr>
              <w:t xml:space="preserve"> sistematic al rețelei principale. Pe baza acestui regim se va iniția un program de modernizare a 200-250 km-cale în fiecare an. Acest lucru ar trebuie să fie asigurat printr-un angajament al Guvernului pe termen lung.</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Rețeaua propusă urmărind identificarea rutelor optime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Rețeaua revizuită</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DS1</w:t>
            </w:r>
            <w:r>
              <w:rPr>
                <w:rFonts w:cs="Arial"/>
                <w:sz w:val="20"/>
                <w:szCs w:val="20"/>
                <w:lang w:val="ro-RO"/>
              </w:rPr>
              <w:t>3</w:t>
            </w:r>
            <w:r w:rsidRPr="0076579A">
              <w:rPr>
                <w:rFonts w:cs="Arial"/>
                <w:sz w:val="20"/>
                <w:szCs w:val="20"/>
                <w:lang w:val="ro-RO"/>
              </w:rPr>
              <w:t>A</w:t>
            </w:r>
          </w:p>
        </w:tc>
      </w:tr>
      <w:tr w:rsidR="00573AD5" w:rsidRPr="0076579A" w:rsidTr="0030066D">
        <w:tc>
          <w:tcPr>
            <w:tcW w:w="1526"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Sustenabilitate</w:t>
            </w:r>
          </w:p>
        </w:tc>
        <w:tc>
          <w:tcPr>
            <w:tcW w:w="56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(2)</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Serviciile de transport călători</w:t>
            </w: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Serviciile de transport feroviar de călători  sunt necompetitive și în mare măsură necomerciale. Serviciile sunt în general neprofitabile, așadar acestea există doar datorită subvențiilor din partea Ministerului Transporturilor prin Contracte de Servicii Publice (CSP). Contractele de Servicii Publice nu sunt acordate prin licitații publice, ci prin licitație directă către operatori, iar CFR Călători deține aprox. 85% din servicii (2011).</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Lipsa unui cadru competitiv, îm-preună cu lipsa unei orientări de piață/afaceri, care nu este încurajată de termenii din Contractele de Servicii Publice și lipsa unui sistem de responsabilizare în ceea ce privește performanța, au dus la un nivel de servicii chiar și mai scăzut decât permite condiția infrastructurii. Acest aspect este evidențiat de: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Caracterul neregulat al graficului de mers al trenurilor și lipsa adaptabilității la cererea de pe piață, cu pauze în programul de operare de până la 7 ore între servicii în timpul zilei.</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Timpi de parcurs considerabil mai mari, ca urmare a duratelor foarte mari de staționare în gări – până la 50% din durata totală a călătoriei.</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 xml:space="preserve">Materialul rulant de calitate redusă: 87% dintre locomotive sunt mai vechi de 20 de ani, iar 82% dintre vagoane sunt mai vechi de 25 de ani. Rezolvarea problemelor de întreținere pe plan intern </w:t>
            </w:r>
            <w:r w:rsidRPr="0076579A">
              <w:rPr>
                <w:rFonts w:cs="Arial"/>
                <w:sz w:val="20"/>
                <w:szCs w:val="20"/>
                <w:lang w:val="ro-RO"/>
              </w:rPr>
              <w:lastRenderedPageBreak/>
              <w:t>(angajând aproximativ 7.000 de persoane) s-a dovedit a fi ineficientă; de exemplu 40% din noul parc de automotoare diesel Desiro a fost scos din funcțiune în mai puțin de 10 ani.</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Utilizarea ineficientă a materialului rulant disponibil: timpi de inversare a direcției de mers de până la 5 ore.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Costuri mari de operare a trenurilor generate de (i) locomotive vechi, mari cu un consum mare de energie electrică și (ii) productivitatea scăzută a materialului rulant.</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Tarife de călătorie relativ mari – comparativ cu tarifele din Franța, Germania, Italia sau Spania</w:t>
            </w:r>
            <w:r>
              <w:rPr>
                <w:rFonts w:cs="Arial"/>
                <w:sz w:val="20"/>
                <w:szCs w:val="20"/>
                <w:lang w:val="ro-RO"/>
              </w:rPr>
              <w:t>, în special pentru biletele rezervate în avans</w:t>
            </w:r>
            <w:r w:rsidRPr="0076579A">
              <w:rPr>
                <w:rFonts w:cs="Arial"/>
                <w:sz w:val="20"/>
                <w:szCs w:val="20"/>
                <w:lang w:val="ro-RO"/>
              </w:rPr>
              <w:t xml:space="preserve"> – și semnificativ mai mari decât serviciile competitive locale de transport cu autobuzul. </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Facilități necorespunzătoare în stații – chiar și stațiile mari reabilitate/modernizate prin diferite programe de finanțare sunt neprimitoare, neatractive din punct de vedere comercial și necorespunzător întreținute.</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 xml:space="preserve">Stabilirea unui cadru competitiv și comercial pentru serviciile de transport călători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03</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1.  Definierea unui nivel clar de cerințe de transport – limitat la rețeaua principală menționată mai sus (incluzând</w:t>
            </w:r>
            <w:r>
              <w:rPr>
                <w:rFonts w:cs="Arial"/>
                <w:sz w:val="20"/>
                <w:szCs w:val="20"/>
                <w:lang w:val="ro-RO"/>
              </w:rPr>
              <w:t xml:space="preserve"> măsuri de asigurare unei </w:t>
            </w:r>
            <w:r w:rsidRPr="0076579A">
              <w:rPr>
                <w:rFonts w:cs="Arial"/>
                <w:sz w:val="20"/>
                <w:szCs w:val="20"/>
                <w:lang w:val="ro-RO"/>
              </w:rPr>
              <w:t>frecven</w:t>
            </w:r>
            <w:r>
              <w:rPr>
                <w:rFonts w:cs="Arial"/>
                <w:sz w:val="20"/>
                <w:szCs w:val="20"/>
                <w:lang w:val="ro-RO"/>
              </w:rPr>
              <w:t>țe</w:t>
            </w:r>
            <w:r w:rsidRPr="0076579A">
              <w:rPr>
                <w:rFonts w:cs="Arial"/>
                <w:sz w:val="20"/>
                <w:szCs w:val="20"/>
                <w:lang w:val="ro-RO"/>
              </w:rPr>
              <w:t xml:space="preserve"> de călătorie care să atragă călătorii, indicatori de performanță, etc.) și acordarea contractelor de servicii publice prin licitații publice pe baza acestor cerințe  (de exemplu pe linii, pe regiuni sau grupuri de servicii, dacă e posibil chiar incluzând responsabilitatea gestiunii stațiilor de pe respectivele linii). Analiza posibilității de a efectua </w:t>
            </w:r>
            <w:r>
              <w:rPr>
                <w:rFonts w:cs="Arial"/>
                <w:sz w:val="20"/>
                <w:szCs w:val="20"/>
                <w:lang w:val="ro-RO"/>
              </w:rPr>
              <w:t xml:space="preserve">electrificări ale </w:t>
            </w:r>
            <w:r w:rsidRPr="0076579A">
              <w:rPr>
                <w:rFonts w:cs="Arial"/>
                <w:sz w:val="20"/>
                <w:szCs w:val="20"/>
                <w:lang w:val="ro-RO"/>
              </w:rPr>
              <w:t>rute</w:t>
            </w:r>
            <w:r>
              <w:rPr>
                <w:rFonts w:cs="Arial"/>
                <w:sz w:val="20"/>
                <w:szCs w:val="20"/>
                <w:lang w:val="ro-RO"/>
              </w:rPr>
              <w:t>lor</w:t>
            </w:r>
            <w:r w:rsidRPr="0076579A">
              <w:rPr>
                <w:rFonts w:cs="Arial"/>
                <w:sz w:val="20"/>
                <w:szCs w:val="20"/>
                <w:lang w:val="ro-RO"/>
              </w:rPr>
              <w:t xml:space="preserve"> selectate. Există posibilitatea ca specificațiile propuse pentru noile servicii îmbunătățite să fie operate utilizând mai puțin material rulant comparativ cu actualul grafic de mers al trenurilor, pornind de la premisa că utilizarea materialului rulant va fi îmbunătățită.</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Termenul pentru începerea licitațiilor pentru Contractele de Servicii Publice este anul 2016, astfel încât în anul 2017 să fie demarate noile servicii. Acest proces ar trebui să fie coordonat de Agenția de Reformă Feroviară și sprijinit </w:t>
            </w:r>
            <w:r>
              <w:rPr>
                <w:rFonts w:cs="Arial"/>
                <w:sz w:val="20"/>
                <w:szCs w:val="20"/>
                <w:lang w:val="ro-RO"/>
              </w:rPr>
              <w:t>prin intermediul unei asistențe tehnice de specialitate</w:t>
            </w:r>
            <w:r w:rsidRPr="0076579A">
              <w:rPr>
                <w:rFonts w:cs="Arial"/>
                <w:sz w:val="20"/>
                <w:szCs w:val="20"/>
                <w:lang w:val="ro-RO"/>
              </w:rPr>
              <w:t xml:space="preserve">. </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2. Procurarea unei garnituri de material rulant de calitate ridicată (de exemplu rame electrice, chiar și material rulant cu cutie înclinată) pentru a fi pusă la dispoziția operatorilor ca parte a licitației pentru contractele de servicii publice.</w:t>
            </w:r>
            <w:r>
              <w:rPr>
                <w:rFonts w:cs="Arial"/>
                <w:sz w:val="20"/>
                <w:szCs w:val="20"/>
                <w:lang w:val="ro-RO"/>
              </w:rPr>
              <w:t xml:space="preserve"> Pot fi necesare unele unități Diesel noi în funcție de extinderea prevăzută </w:t>
            </w:r>
            <w:r>
              <w:rPr>
                <w:rFonts w:cs="Arial"/>
                <w:sz w:val="20"/>
                <w:szCs w:val="20"/>
                <w:lang w:val="ro-RO"/>
              </w:rPr>
              <w:lastRenderedPageBreak/>
              <w:t xml:space="preserve">pentru rețeaua electrică. </w:t>
            </w:r>
            <w:r w:rsidRPr="0076579A">
              <w:rPr>
                <w:rFonts w:cs="Arial"/>
                <w:sz w:val="20"/>
                <w:szCs w:val="20"/>
                <w:lang w:val="ro-RO"/>
              </w:rPr>
              <w:t xml:space="preserve"> Achiziționarea trebuie structurată astfel încât să includă un contract pe termen lung de întreținere pentru a evita o situație nefavorabilă, cum s-a întâmplat în cazul parcului de automotoare diesel Desiro.</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3. Pentru a asigura un cadru echitabil pentru toți ofertanții ar trebui înființată o companie de leasing a materialului rulant/activelor (</w:t>
            </w:r>
            <w:r w:rsidRPr="00AD3449">
              <w:rPr>
                <w:rFonts w:cs="Arial"/>
                <w:sz w:val="20"/>
                <w:szCs w:val="20"/>
                <w:lang w:val="ro-RO"/>
              </w:rPr>
              <w:t>ROSCO</w:t>
            </w:r>
            <w:r w:rsidRPr="0076579A">
              <w:rPr>
                <w:rFonts w:cs="Arial"/>
                <w:sz w:val="20"/>
                <w:szCs w:val="20"/>
                <w:lang w:val="ro-RO"/>
              </w:rPr>
              <w:t xml:space="preserve">) sub egida Ministerului Transporturilor (sau, ca alternativă, Autoritatea de Reformă Feroviară ar putea să își însușească acest rol) care să achiziționeze noul material rulant și să preia activele vechi în momentul </w:t>
            </w:r>
            <w:r>
              <w:rPr>
                <w:rFonts w:cs="Arial"/>
                <w:sz w:val="20"/>
                <w:szCs w:val="20"/>
                <w:lang w:val="ro-RO"/>
              </w:rPr>
              <w:t xml:space="preserve">în care expiră contractul cu CFR Călători (de exemplu în 2016). Prin aceasta s-ar sigura introducerea unui sistem deschis de licitare.  </w:t>
            </w:r>
          </w:p>
          <w:p w:rsidR="00573AD5" w:rsidRPr="0076579A" w:rsidRDefault="00573AD5" w:rsidP="00573AD5">
            <w:pPr>
              <w:spacing w:before="60" w:after="60"/>
              <w:jc w:val="both"/>
              <w:rPr>
                <w:rFonts w:cs="Arial"/>
                <w:sz w:val="20"/>
                <w:szCs w:val="20"/>
                <w:lang w:val="ro-RO"/>
              </w:rPr>
            </w:pPr>
          </w:p>
          <w:p w:rsidR="00573AD5" w:rsidRPr="0076579A" w:rsidRDefault="00573AD5" w:rsidP="00573AD5">
            <w:pPr>
              <w:spacing w:before="60" w:after="60"/>
              <w:jc w:val="both"/>
              <w:rPr>
                <w:rFonts w:cs="Arial"/>
                <w:sz w:val="20"/>
                <w:szCs w:val="20"/>
                <w:lang w:val="ro-RO"/>
              </w:rPr>
            </w:pPr>
          </w:p>
          <w:p w:rsidR="00573AD5" w:rsidRPr="0076579A" w:rsidRDefault="00573AD5" w:rsidP="00573AD5">
            <w:pPr>
              <w:spacing w:before="60" w:after="60"/>
              <w:jc w:val="both"/>
              <w:rPr>
                <w:rFonts w:cs="Arial"/>
                <w:sz w:val="20"/>
                <w:szCs w:val="20"/>
                <w:lang w:val="ro-RO"/>
              </w:rPr>
            </w:pP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Parțial</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Grafic de mers al trenurilor cu intervale regulate, introducerea de material rulant nou testat utilizând modelul. Impactul unui sistem revizuit de  vânzare a biletelor nu va fi testat utilizând modelul. </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Intervențiile la nivelul materialului rulant / graficului de mers al trenurilor vor fi testate  pe coridoare individuale</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DS1</w:t>
            </w:r>
            <w:r>
              <w:rPr>
                <w:rFonts w:cs="Arial"/>
                <w:sz w:val="20"/>
                <w:szCs w:val="20"/>
                <w:lang w:val="ro-RO"/>
              </w:rPr>
              <w:t>4</w:t>
            </w:r>
            <w:r w:rsidRPr="0076579A">
              <w:rPr>
                <w:rFonts w:cs="Arial"/>
                <w:sz w:val="20"/>
                <w:szCs w:val="20"/>
                <w:lang w:val="ro-RO"/>
              </w:rPr>
              <w:t>A</w:t>
            </w:r>
          </w:p>
        </w:tc>
      </w:tr>
      <w:tr w:rsidR="00573AD5" w:rsidRPr="0076579A" w:rsidTr="0030066D">
        <w:tc>
          <w:tcPr>
            <w:tcW w:w="1526"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Sustenabilitate</w:t>
            </w:r>
          </w:p>
        </w:tc>
        <w:tc>
          <w:tcPr>
            <w:tcW w:w="56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(3)</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Sistem de reglementare și organizare </w:t>
            </w: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Sistemele actuale de reglementare, organizare și management nu reușesc să asigure nici unul dintre următoarele aspecte fundamentale:</w:t>
            </w:r>
          </w:p>
          <w:p w:rsidR="00573AD5" w:rsidRPr="0076579A" w:rsidRDefault="00573AD5" w:rsidP="00573AD5">
            <w:pPr>
              <w:numPr>
                <w:ilvl w:val="0"/>
                <w:numId w:val="20"/>
              </w:numPr>
              <w:tabs>
                <w:tab w:val="left" w:pos="317"/>
              </w:tabs>
              <w:spacing w:before="60" w:after="60" w:line="276" w:lineRule="auto"/>
              <w:ind w:left="317" w:hanging="294"/>
              <w:jc w:val="both"/>
              <w:rPr>
                <w:rFonts w:cs="Arial"/>
                <w:sz w:val="20"/>
                <w:szCs w:val="20"/>
                <w:lang w:val="ro-RO"/>
              </w:rPr>
            </w:pPr>
            <w:r w:rsidRPr="0076579A">
              <w:rPr>
                <w:rFonts w:cs="Arial"/>
                <w:sz w:val="20"/>
                <w:szCs w:val="20"/>
                <w:lang w:val="ro-RO"/>
              </w:rPr>
              <w:t xml:space="preserve">Responsabilizare în ceea ce privește performanța în cadrul sistemului. </w:t>
            </w:r>
          </w:p>
          <w:p w:rsidR="00573AD5" w:rsidRPr="0076579A" w:rsidRDefault="00573AD5" w:rsidP="00573AD5">
            <w:pPr>
              <w:numPr>
                <w:ilvl w:val="0"/>
                <w:numId w:val="20"/>
              </w:numPr>
              <w:tabs>
                <w:tab w:val="left" w:pos="317"/>
              </w:tabs>
              <w:spacing w:before="60" w:after="60" w:line="276" w:lineRule="auto"/>
              <w:ind w:left="317" w:hanging="294"/>
              <w:jc w:val="both"/>
              <w:rPr>
                <w:rFonts w:cs="Arial"/>
                <w:sz w:val="20"/>
                <w:szCs w:val="20"/>
                <w:lang w:val="ro-RO"/>
              </w:rPr>
            </w:pPr>
            <w:r w:rsidRPr="0076579A">
              <w:rPr>
                <w:rFonts w:cs="Arial"/>
                <w:sz w:val="20"/>
                <w:szCs w:val="20"/>
                <w:lang w:val="ro-RO"/>
              </w:rPr>
              <w:t>Alocarea eficientă a puținelor resurse publice.</w:t>
            </w:r>
          </w:p>
          <w:p w:rsidR="00573AD5" w:rsidRPr="0076579A" w:rsidRDefault="00573AD5" w:rsidP="00573AD5">
            <w:pPr>
              <w:numPr>
                <w:ilvl w:val="0"/>
                <w:numId w:val="20"/>
              </w:numPr>
              <w:tabs>
                <w:tab w:val="left" w:pos="317"/>
              </w:tabs>
              <w:spacing w:before="60" w:after="60" w:line="276" w:lineRule="auto"/>
              <w:ind w:left="317" w:hanging="294"/>
              <w:jc w:val="both"/>
              <w:rPr>
                <w:rFonts w:cs="Arial"/>
                <w:sz w:val="20"/>
                <w:szCs w:val="20"/>
                <w:lang w:val="ro-RO"/>
              </w:rPr>
            </w:pPr>
            <w:r w:rsidRPr="0076579A">
              <w:rPr>
                <w:rFonts w:cs="Arial"/>
                <w:sz w:val="20"/>
                <w:szCs w:val="20"/>
                <w:lang w:val="ro-RO"/>
              </w:rPr>
              <w:t xml:space="preserve">Un cadru competitiv pentru serviciile de transport </w:t>
            </w:r>
            <w:r w:rsidRPr="0076579A">
              <w:rPr>
                <w:rFonts w:cs="Arial"/>
                <w:sz w:val="20"/>
                <w:szCs w:val="20"/>
                <w:lang w:val="ro-RO"/>
              </w:rPr>
              <w:lastRenderedPageBreak/>
              <w:t xml:space="preserve">călători, </w:t>
            </w:r>
          </w:p>
          <w:p w:rsidR="00573AD5" w:rsidRPr="0076579A" w:rsidRDefault="00573AD5" w:rsidP="00573AD5">
            <w:pPr>
              <w:numPr>
                <w:ilvl w:val="0"/>
                <w:numId w:val="20"/>
              </w:numPr>
              <w:tabs>
                <w:tab w:val="left" w:pos="317"/>
              </w:tabs>
              <w:spacing w:before="60" w:after="60" w:line="276" w:lineRule="auto"/>
              <w:ind w:left="317" w:hanging="294"/>
              <w:jc w:val="both"/>
              <w:rPr>
                <w:rFonts w:cs="Arial"/>
                <w:sz w:val="20"/>
                <w:szCs w:val="20"/>
                <w:lang w:val="ro-RO"/>
              </w:rPr>
            </w:pPr>
            <w:r w:rsidRPr="0076579A">
              <w:rPr>
                <w:rFonts w:cs="Arial"/>
                <w:sz w:val="20"/>
                <w:szCs w:val="20"/>
                <w:lang w:val="ro-RO"/>
              </w:rPr>
              <w:t xml:space="preserve">Un management orientat către eficiență și aspectul comercial în cadrul companiilor de stat. </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A se vedea Raportul asupra Condițiilor Existente și Raportul asupra Definirii Problemelor</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Stabilirea unui sistem eficient de responsabilizare în ceea ce privește performanța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04</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Relația dintre autoritatea de transport public, CFR Infrastructură și operatori va fi restructurată  prin:</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 xml:space="preserve">Definirea unor indicatori de performanță clari pentru parametrii serviciilor publice – făcând legătură directă cu condițiile de plată,  precum penalizări pentru întârzierile înregistrate, comparativ cu timpii de parcurs prevăzuți în contractul de servicii publice. </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 xml:space="preserve">Utilizarea aceluiași sistem în relația dintre operatori și infrastructură – făcând legătură directă cu condițiile </w:t>
            </w:r>
            <w:r w:rsidRPr="0076579A">
              <w:rPr>
                <w:rFonts w:cs="Arial"/>
                <w:sz w:val="20"/>
                <w:szCs w:val="20"/>
                <w:lang w:val="ro-RO"/>
              </w:rPr>
              <w:lastRenderedPageBreak/>
              <w:t xml:space="preserve">de plată, incluzând penalizări din tariful de utilizare a infrastructurii pentru întârzierile generate din cauza infrastructurii, comparativ cu timpii de parcurs prevăzuți în contractul de servicii publice. </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Condițiile de forță majoră trebuie să fie definite clar și concis, iar autoritatea de reglementare trebuie să supervizeze eficient respectarea sistemului de forță majoră.</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jc w:val="center"/>
              <w:rPr>
                <w:lang w:val="ro-RO"/>
              </w:rPr>
            </w:pPr>
            <w:r w:rsidRPr="0076579A">
              <w:rPr>
                <w:lang w:val="ro-RO"/>
              </w:rPr>
              <w:t>DS1</w:t>
            </w:r>
            <w:r>
              <w:rPr>
                <w:lang w:val="ro-RO"/>
              </w:rPr>
              <w:t>5</w:t>
            </w:r>
            <w:r w:rsidRPr="0076579A">
              <w:rPr>
                <w:lang w:val="ro-RO"/>
              </w:rPr>
              <w:t>A</w:t>
            </w:r>
          </w:p>
        </w:tc>
      </w:tr>
      <w:tr w:rsidR="00573AD5" w:rsidRPr="0076579A" w:rsidTr="0030066D">
        <w:tc>
          <w:tcPr>
            <w:tcW w:w="1526" w:type="dxa"/>
            <w:shd w:val="clear" w:color="auto" w:fill="auto"/>
          </w:tcPr>
          <w:p w:rsidR="00573AD5" w:rsidRPr="0076579A" w:rsidRDefault="00573AD5" w:rsidP="00573AD5">
            <w:pPr>
              <w:spacing w:before="60" w:after="60"/>
              <w:jc w:val="both"/>
              <w:rPr>
                <w:rFonts w:cs="Arial"/>
                <w:sz w:val="20"/>
                <w:szCs w:val="20"/>
                <w:lang w:val="ro-RO"/>
              </w:rPr>
            </w:pPr>
          </w:p>
        </w:tc>
        <w:tc>
          <w:tcPr>
            <w:tcW w:w="56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(4)</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Eficiență în ceea ce privește managementul</w:t>
            </w: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Managementul companiilor feroviare de stat este ineficient.  </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A se vedea Planul Strategic al Ministerului Transporturilor elaborat cu sprijinul Băncii Mondiale, 2013  </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Îmbunătățirea eficienței managementului companiilor feroviare și astfel a sustenabilității financiare a sistemului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05</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Relansarea procesului de management privat, cu un proces adecvat de selectare a unei entități cu un profil de management în afaceri eficient, de preferat cu experiență similară de reformare a companiilor feroviare în alte țări.</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2. Auditarea activelor, operațiunilor și cheltuielilor companiilor CFR Infrastructură și CFR Călători.</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3.  Un program de reducere a costurilor, cu precădere în ceea ce privește: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 xml:space="preserve">Activitățile și activele care nu sunt esențiale </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Surplusul de linii de garare</w:t>
            </w:r>
          </w:p>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r w:rsidRPr="0076579A">
              <w:rPr>
                <w:rFonts w:cs="Arial"/>
                <w:sz w:val="20"/>
                <w:szCs w:val="20"/>
                <w:lang w:val="ro-RO"/>
              </w:rPr>
              <w:t>Surplusul de stații (de exemplu, există 533 de stații cu mai puțin de 10 călători îmbarcați pe zi).</w:t>
            </w:r>
          </w:p>
        </w:tc>
        <w:tc>
          <w:tcPr>
            <w:tcW w:w="1134"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DS1</w:t>
            </w:r>
            <w:r>
              <w:rPr>
                <w:rFonts w:cs="Arial"/>
                <w:sz w:val="20"/>
                <w:szCs w:val="20"/>
                <w:lang w:val="ro-RO"/>
              </w:rPr>
              <w:t>6</w:t>
            </w:r>
            <w:r w:rsidRPr="0076579A">
              <w:rPr>
                <w:rFonts w:cs="Arial"/>
                <w:sz w:val="20"/>
                <w:szCs w:val="20"/>
                <w:lang w:val="ro-RO"/>
              </w:rPr>
              <w:t>A</w:t>
            </w:r>
          </w:p>
        </w:tc>
      </w:tr>
      <w:tr w:rsidR="00573AD5" w:rsidRPr="0076579A" w:rsidTr="0030066D">
        <w:tc>
          <w:tcPr>
            <w:tcW w:w="1526"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Eficiență economică</w:t>
            </w:r>
          </w:p>
        </w:tc>
        <w:tc>
          <w:tcPr>
            <w:tcW w:w="56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(5)</w:t>
            </w:r>
          </w:p>
        </w:tc>
        <w:tc>
          <w:tcPr>
            <w:tcW w:w="141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Servicii de transport feroviar și infrastructură deficitare </w:t>
            </w:r>
          </w:p>
        </w:tc>
        <w:tc>
          <w:tcPr>
            <w:tcW w:w="3119"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Servicii de transport călători necompetitive între principalele orașe din România din cauza vitezei comerciale scăzute și a frecvenței reduse de circulație în graficul de mers al trenurilor  ceea ce a făcut ca transportul feroviar să nu își atingă potențialul pe piață.</w:t>
            </w:r>
          </w:p>
          <w:p w:rsidR="00573AD5" w:rsidRPr="0076579A" w:rsidRDefault="00573AD5" w:rsidP="00573AD5">
            <w:pPr>
              <w:spacing w:before="60" w:after="60"/>
              <w:jc w:val="both"/>
              <w:rPr>
                <w:rFonts w:cs="Arial"/>
                <w:sz w:val="20"/>
                <w:szCs w:val="20"/>
                <w:lang w:val="ro-RO"/>
              </w:rPr>
            </w:pPr>
          </w:p>
        </w:tc>
        <w:tc>
          <w:tcPr>
            <w:tcW w:w="3118"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Viteza comercială medie a majorității trenurilor variază între 50-60 km/h (atingând doar între 40-60% din viteza proiectată inițial, ca urmare a lipsei lucrărilor de </w:t>
            </w:r>
            <w:r>
              <w:rPr>
                <w:rFonts w:cs="Arial"/>
                <w:sz w:val="20"/>
                <w:szCs w:val="20"/>
                <w:lang w:val="ro-RO"/>
              </w:rPr>
              <w:t>întreținere și reparații capitale</w:t>
            </w:r>
            <w:r w:rsidRPr="0076579A">
              <w:rPr>
                <w:rFonts w:cs="Arial"/>
                <w:sz w:val="20"/>
                <w:szCs w:val="20"/>
                <w:lang w:val="ro-RO"/>
              </w:rPr>
              <w:t xml:space="preserve"> corespunzătoare).</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Media intervalelor de succesiune este de 3-4 ore pe multe dintre rutele importante care fac legătura între orașe</w:t>
            </w:r>
            <w:r>
              <w:rPr>
                <w:rFonts w:cs="Arial"/>
                <w:sz w:val="20"/>
                <w:szCs w:val="20"/>
                <w:lang w:val="ro-RO"/>
              </w:rPr>
              <w:t>, inclusiv pe rutele dinspre București.</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Costurile generalizate sunt mai mari cu 50-100% comparativ cu transportul rutier.</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Cota de piață pentru transportul de pasageri pe rutele cu cele mai slabe performanțe a scăzut la 2% (București-Sibiu), comparativ cu cota de piață de 37% înregistrată pe liniile cu performanțe mai bune ale serviciilor (București-Craiova). </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competitivității serviciilor de transport feroviar călători pe ruta București - Ungaria via Brașov, Teiuș / Cluj</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06</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frecvenței serviciilor de transport, cu un grafic de mers al trenurilor cu intervale regulate, care să circule la fiecare 2 ore către Cluj de la București, 0.5 tren pe oră dinspre București către Deva și 1 tren pe oră București către Brașov.</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vitezei liniei la parametrii proiectați (Fișele 038 și 057)</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Analiza posibilității de a crește eficiența la punctele de trecere a frontierei pentru a reduce întârzierile. </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Un cumul de îmbunătățiri la nivelul graficului de mers al trenurilor, al materialului rulant și al infrastructurii</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DS01A, DS01B</w:t>
            </w:r>
          </w:p>
        </w:tc>
      </w:tr>
      <w:tr w:rsidR="00573AD5" w:rsidRPr="0076579A" w:rsidTr="0030066D">
        <w:tc>
          <w:tcPr>
            <w:tcW w:w="1526"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56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141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119"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competitivității serviciilor de transport feroviar călători pe ruta București - Constanța</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07</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Creșterea frecvenței serviciilor de</w:t>
            </w:r>
            <w:r>
              <w:rPr>
                <w:rFonts w:cs="Arial"/>
                <w:sz w:val="20"/>
                <w:szCs w:val="20"/>
                <w:lang w:val="ro-RO"/>
              </w:rPr>
              <w:t xml:space="preserve"> transport cu 2 trenuri pe oră.</w:t>
            </w:r>
          </w:p>
        </w:tc>
        <w:tc>
          <w:tcPr>
            <w:tcW w:w="1134" w:type="dxa"/>
            <w:shd w:val="clear" w:color="auto" w:fill="auto"/>
            <w:vAlign w:val="center"/>
          </w:tcPr>
          <w:p w:rsidR="00573AD5" w:rsidRPr="0076579A" w:rsidRDefault="00573AD5" w:rsidP="00573AD5">
            <w:pPr>
              <w:jc w:val="center"/>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jc w:val="center"/>
              <w:rPr>
                <w:rFonts w:cs="Arial"/>
                <w:sz w:val="20"/>
                <w:szCs w:val="20"/>
                <w:lang w:val="ro-RO"/>
              </w:rPr>
            </w:pPr>
            <w:r w:rsidRPr="0076579A">
              <w:rPr>
                <w:rFonts w:cs="Arial"/>
                <w:sz w:val="20"/>
                <w:szCs w:val="20"/>
                <w:lang w:val="ro-RO"/>
              </w:rPr>
              <w:t>Un cumul de îmbunătățiri la nivelul graficului de mers al trenurilor, al materialului rulant și al infrastructurii</w:t>
            </w:r>
          </w:p>
        </w:tc>
        <w:tc>
          <w:tcPr>
            <w:tcW w:w="1434" w:type="dxa"/>
            <w:gridSpan w:val="2"/>
            <w:shd w:val="clear" w:color="auto" w:fill="auto"/>
            <w:vAlign w:val="center"/>
          </w:tcPr>
          <w:p w:rsidR="00573AD5" w:rsidRPr="0076579A" w:rsidRDefault="00573AD5" w:rsidP="00573AD5">
            <w:pPr>
              <w:jc w:val="center"/>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jc w:val="center"/>
              <w:rPr>
                <w:rFonts w:cs="Arial"/>
                <w:sz w:val="20"/>
                <w:szCs w:val="20"/>
                <w:lang w:val="ro-RO"/>
              </w:rPr>
            </w:pPr>
            <w:r w:rsidRPr="0076579A">
              <w:rPr>
                <w:rFonts w:cs="Arial"/>
                <w:sz w:val="20"/>
                <w:szCs w:val="20"/>
                <w:lang w:val="ro-RO"/>
              </w:rPr>
              <w:t>DS02A</w:t>
            </w:r>
          </w:p>
        </w:tc>
      </w:tr>
      <w:tr w:rsidR="00573AD5" w:rsidRPr="0076579A" w:rsidTr="0030066D">
        <w:tc>
          <w:tcPr>
            <w:tcW w:w="1526"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56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141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119"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competitivității serviciilor de transport feroviar călători pe ruta București - Arad via </w:t>
            </w:r>
            <w:r w:rsidRPr="0076579A">
              <w:rPr>
                <w:rFonts w:cs="Arial"/>
                <w:sz w:val="20"/>
                <w:szCs w:val="20"/>
                <w:lang w:val="ro-RO"/>
              </w:rPr>
              <w:lastRenderedPageBreak/>
              <w:t>Craiova și Timișoara</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OR08</w:t>
            </w:r>
          </w:p>
        </w:tc>
        <w:tc>
          <w:tcPr>
            <w:tcW w:w="38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frecvenței serviciilor de transport, cu un grafic de mers al trenurilor cu intervale regulate, care să circule la fiecare 2 ore către Arad via Timișoara de la București, 0.5 tren pe oră dinspre București către Craiova (1 </w:t>
            </w:r>
            <w:r w:rsidRPr="0076579A">
              <w:rPr>
                <w:rFonts w:cs="Arial"/>
                <w:sz w:val="20"/>
                <w:szCs w:val="20"/>
                <w:lang w:val="ro-RO"/>
              </w:rPr>
              <w:lastRenderedPageBreak/>
              <w:t xml:space="preserve">tren pe oră) și 0.5 tren pe oră către Simeria via Craiova și Târgu Jiu. </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Reabilitare pentru creșterea vitezei proiectate (Fișa 045).</w:t>
            </w:r>
          </w:p>
        </w:tc>
        <w:tc>
          <w:tcPr>
            <w:tcW w:w="1134" w:type="dxa"/>
            <w:shd w:val="clear" w:color="auto" w:fill="auto"/>
            <w:vAlign w:val="center"/>
          </w:tcPr>
          <w:p w:rsidR="00573AD5" w:rsidRPr="0076579A" w:rsidRDefault="00573AD5" w:rsidP="00573AD5">
            <w:pPr>
              <w:jc w:val="center"/>
              <w:rPr>
                <w:sz w:val="20"/>
                <w:szCs w:val="20"/>
                <w:lang w:val="ro-RO"/>
              </w:rPr>
            </w:pPr>
            <w:r w:rsidRPr="0076579A">
              <w:rPr>
                <w:rFonts w:cs="Arial"/>
                <w:sz w:val="20"/>
                <w:szCs w:val="20"/>
                <w:lang w:val="ro-RO"/>
              </w:rPr>
              <w:lastRenderedPageBreak/>
              <w:t>Da</w:t>
            </w:r>
          </w:p>
        </w:tc>
        <w:tc>
          <w:tcPr>
            <w:tcW w:w="1417" w:type="dxa"/>
            <w:shd w:val="clear" w:color="auto" w:fill="auto"/>
            <w:vAlign w:val="center"/>
          </w:tcPr>
          <w:p w:rsidR="00573AD5" w:rsidRPr="0076579A" w:rsidRDefault="00573AD5" w:rsidP="00573AD5">
            <w:pPr>
              <w:jc w:val="center"/>
              <w:rPr>
                <w:sz w:val="20"/>
                <w:szCs w:val="20"/>
                <w:lang w:val="ro-RO"/>
              </w:rPr>
            </w:pPr>
            <w:r w:rsidRPr="0076579A">
              <w:rPr>
                <w:rFonts w:cs="Arial"/>
                <w:sz w:val="20"/>
                <w:szCs w:val="20"/>
                <w:lang w:val="ro-RO"/>
              </w:rPr>
              <w:t xml:space="preserve">Un cumul de îmbunătățiri la nivelul graficului de mers al trenurilor, al </w:t>
            </w:r>
            <w:r w:rsidRPr="0076579A">
              <w:rPr>
                <w:rFonts w:cs="Arial"/>
                <w:sz w:val="20"/>
                <w:szCs w:val="20"/>
                <w:lang w:val="ro-RO"/>
              </w:rPr>
              <w:lastRenderedPageBreak/>
              <w:t>materialului rulant și al infrastructurii</w:t>
            </w:r>
          </w:p>
        </w:tc>
        <w:tc>
          <w:tcPr>
            <w:tcW w:w="1434" w:type="dxa"/>
            <w:gridSpan w:val="2"/>
            <w:shd w:val="clear" w:color="auto" w:fill="auto"/>
            <w:vAlign w:val="center"/>
          </w:tcPr>
          <w:p w:rsidR="00573AD5" w:rsidRPr="0076579A" w:rsidRDefault="00573AD5" w:rsidP="00573AD5">
            <w:pPr>
              <w:jc w:val="center"/>
              <w:rPr>
                <w:sz w:val="20"/>
                <w:szCs w:val="20"/>
                <w:lang w:val="ro-RO"/>
              </w:rPr>
            </w:pPr>
            <w:r w:rsidRPr="0076579A">
              <w:rPr>
                <w:rFonts w:cs="Arial"/>
                <w:sz w:val="20"/>
                <w:szCs w:val="20"/>
                <w:lang w:val="ro-RO"/>
              </w:rPr>
              <w:lastRenderedPageBreak/>
              <w:t>Coridor individual</w:t>
            </w:r>
          </w:p>
        </w:tc>
        <w:tc>
          <w:tcPr>
            <w:tcW w:w="1414" w:type="dxa"/>
            <w:gridSpan w:val="2"/>
            <w:shd w:val="clear" w:color="auto" w:fill="auto"/>
            <w:vAlign w:val="center"/>
          </w:tcPr>
          <w:p w:rsidR="00573AD5" w:rsidRPr="0076579A" w:rsidRDefault="00573AD5" w:rsidP="00573AD5">
            <w:pPr>
              <w:jc w:val="center"/>
              <w:rPr>
                <w:sz w:val="20"/>
                <w:szCs w:val="20"/>
                <w:lang w:val="ro-RO"/>
              </w:rPr>
            </w:pPr>
            <w:r w:rsidRPr="0076579A">
              <w:rPr>
                <w:sz w:val="20"/>
                <w:szCs w:val="20"/>
                <w:lang w:val="ro-RO"/>
              </w:rPr>
              <w:t>DS03A, DS03B</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competitivității serviciilor de transport feroviar călători pe ruta București - Iași / Suceava / Galați</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 09</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Creșterea frecvenței serviciilor de transport, cu un grafic de mers al trenurilor cu intervale regulate, care să circule la fiecare 2 ore către Mărășești, Suceava, Galați, și Iași via Bacău </w:t>
            </w:r>
          </w:p>
          <w:p w:rsidR="00573AD5" w:rsidRPr="0076579A" w:rsidRDefault="00573AD5" w:rsidP="00573AD5">
            <w:pPr>
              <w:jc w:val="both"/>
              <w:rPr>
                <w:rFonts w:cs="Arial"/>
                <w:sz w:val="20"/>
                <w:szCs w:val="20"/>
                <w:lang w:val="ro-RO"/>
              </w:rPr>
            </w:pPr>
            <w:r w:rsidRPr="0076579A">
              <w:rPr>
                <w:rFonts w:cs="Arial"/>
                <w:sz w:val="20"/>
                <w:szCs w:val="20"/>
                <w:lang w:val="ro-RO"/>
              </w:rPr>
              <w:t xml:space="preserve">Reabilitare pentru atingerea vitezei proiectate. </w:t>
            </w:r>
          </w:p>
          <w:p w:rsidR="00573AD5" w:rsidRPr="0076579A" w:rsidRDefault="00573AD5" w:rsidP="00573AD5">
            <w:pPr>
              <w:jc w:val="both"/>
              <w:rPr>
                <w:rFonts w:cs="Arial"/>
                <w:sz w:val="20"/>
                <w:szCs w:val="20"/>
                <w:lang w:val="ro-RO"/>
              </w:rPr>
            </w:pPr>
            <w:r w:rsidRPr="0076579A">
              <w:rPr>
                <w:rFonts w:cs="Arial"/>
                <w:sz w:val="20"/>
                <w:szCs w:val="20"/>
                <w:lang w:val="ro-RO"/>
              </w:rPr>
              <w:t>Analiza posibilității de a crește eficiența la punctele de trecere a frontierei pentru a reduce întârzierile.</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Un cumul de îmbunătățiri la nivelul graficului de mers al trenurilor, al materialului rulant și al infrastructurii</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DS04A,</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competitivității serviciilor de transport feroviar călători pe ruta București - Sibiu via Pitești și Râmnicu Vâlcea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OR10</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Creșterea frecvenței serviciilor de transport, cu un grafic de mers al trenurilor cu intervale regulate, care să circule la fiecare oră de la București către Pitești, cu trenuri </w:t>
            </w:r>
            <w:r w:rsidRPr="00AD3449">
              <w:rPr>
                <w:rFonts w:cs="Arial"/>
                <w:sz w:val="20"/>
                <w:szCs w:val="20"/>
                <w:lang w:val="ro-RO"/>
              </w:rPr>
              <w:t>suplimentare</w:t>
            </w:r>
            <w:r w:rsidRPr="0076579A">
              <w:rPr>
                <w:rFonts w:cs="Arial"/>
                <w:sz w:val="20"/>
                <w:szCs w:val="20"/>
                <w:lang w:val="ro-RO"/>
              </w:rPr>
              <w:t xml:space="preserve"> către Sibiu via o nouă legătură către Râmnicu Vâlcea.</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Un cumul de îmbunătățiri la nivelul graficului de mers al trenurilor, al materialului rulant și al infrastructurii, inclusiv electrificare </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DS05A</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competitivității serviciilor de transport feroviar călători pe ruta Cluj Napoca - Iași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OR11</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Creșterea frecvenței serviciilor de transport, cu un grafic de mers al trenurilor cu intervale regulate, care să circule la fiecare 2 ore către de la Cluj către Iași</w:t>
            </w:r>
          </w:p>
          <w:p w:rsidR="00573AD5" w:rsidRPr="0076579A" w:rsidRDefault="00573AD5" w:rsidP="00573AD5">
            <w:pPr>
              <w:jc w:val="both"/>
              <w:rPr>
                <w:rFonts w:cs="Arial"/>
                <w:sz w:val="20"/>
                <w:szCs w:val="20"/>
                <w:lang w:val="ro-RO"/>
              </w:rPr>
            </w:pPr>
            <w:r w:rsidRPr="0076579A">
              <w:rPr>
                <w:rFonts w:cs="Arial"/>
                <w:sz w:val="20"/>
                <w:szCs w:val="20"/>
                <w:lang w:val="ro-RO"/>
              </w:rPr>
              <w:t>Reabilitare pentru atingerea vitezei proiectate (Fișele 056 și 057).</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Un cumul de îmbunătățiri la nivelul graficului de mers al trenurilor, al materialului rulant și al infrastructurii</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DS06A, DS06B</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competitivității serviciilor de transport feroviar călători pe ruta Cluj Napoca - Oradea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OR12</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Creșterea frecvenței serviciilor de transport, cu un grafic de mers al trenurilor cu intervale regulate, care să circule la fiecare oră de la Cluj către Oradea.</w:t>
            </w:r>
          </w:p>
          <w:p w:rsidR="00573AD5" w:rsidRPr="0076579A" w:rsidRDefault="00573AD5" w:rsidP="00573AD5">
            <w:pPr>
              <w:jc w:val="both"/>
              <w:rPr>
                <w:rFonts w:cs="Arial"/>
                <w:sz w:val="20"/>
                <w:szCs w:val="20"/>
                <w:lang w:val="ro-RO"/>
              </w:rPr>
            </w:pPr>
            <w:r w:rsidRPr="0076579A">
              <w:rPr>
                <w:rFonts w:cs="Arial"/>
                <w:sz w:val="20"/>
                <w:szCs w:val="20"/>
                <w:lang w:val="ro-RO"/>
              </w:rPr>
              <w:t>Reabilitare pentru atingerea vitezei proiectate (Fișa 067).</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Un cumul de îmbunătățiri la nivelul graficului de mers al trenurilor, al materialului rulant și al infrastructurii, inclusiv electrificare </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Default="00573AD5" w:rsidP="00573AD5">
            <w:pPr>
              <w:spacing w:before="60" w:after="60"/>
              <w:jc w:val="both"/>
              <w:rPr>
                <w:rFonts w:cs="Arial"/>
                <w:sz w:val="20"/>
                <w:szCs w:val="20"/>
                <w:lang w:val="ro-RO"/>
              </w:rPr>
            </w:pPr>
            <w:r w:rsidRPr="0076579A">
              <w:rPr>
                <w:rFonts w:cs="Arial"/>
                <w:sz w:val="20"/>
                <w:szCs w:val="20"/>
                <w:lang w:val="ro-RO"/>
              </w:rPr>
              <w:t>DS07A, DS07B</w:t>
            </w:r>
          </w:p>
          <w:p w:rsidR="00573AD5" w:rsidRPr="0076579A" w:rsidRDefault="00573AD5" w:rsidP="00573AD5">
            <w:pPr>
              <w:spacing w:before="60" w:after="60"/>
              <w:jc w:val="both"/>
              <w:rPr>
                <w:rFonts w:cs="Arial"/>
                <w:sz w:val="20"/>
                <w:szCs w:val="20"/>
                <w:lang w:val="ro-RO"/>
              </w:rPr>
            </w:pPr>
            <w:r>
              <w:rPr>
                <w:rFonts w:cs="Arial"/>
                <w:sz w:val="20"/>
                <w:szCs w:val="20"/>
                <w:lang w:val="ro-RO"/>
              </w:rPr>
              <w:t>DS07C</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competitivității serviciilor de transport feroviar călători pe ruta Oradea – Timișoara</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OR13</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Creșterea frecvenței serviciilor de transport, cu un grafic de mers al trenurilor cu intervale regulate, care să circule la fiecare 2 ore de la Timișoara la Oradea.</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Un cumul de îmbunătățiri la nivelul graficului de mers al trenurilor, al materialului rulant și al infrastructurii, inclusiv electrificare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DS08A</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t xml:space="preserve">Creșterea competitivității </w:t>
            </w:r>
            <w:r>
              <w:rPr>
                <w:rFonts w:cs="Arial"/>
                <w:sz w:val="20"/>
                <w:szCs w:val="20"/>
                <w:lang w:val="ro-RO"/>
              </w:rPr>
              <w:lastRenderedPageBreak/>
              <w:t xml:space="preserve">serviciilor de transport feroviar de călători pe ruta Oradea – Cjul Napoca  via Baia Mare și Satu Mare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lastRenderedPageBreak/>
              <w:t>OR14</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Creșterea frecvenței serviciilor de transport, cu un grafic de mers al trenurilor cu intervale regulate, care să </w:t>
            </w:r>
            <w:r w:rsidRPr="0076579A">
              <w:rPr>
                <w:rFonts w:cs="Arial"/>
                <w:sz w:val="20"/>
                <w:szCs w:val="20"/>
                <w:lang w:val="ro-RO"/>
              </w:rPr>
              <w:lastRenderedPageBreak/>
              <w:t>circule la fiecare 2 ore pe distanța</w:t>
            </w:r>
            <w:r>
              <w:rPr>
                <w:rFonts w:cs="Arial"/>
                <w:sz w:val="20"/>
                <w:szCs w:val="20"/>
                <w:lang w:val="ro-RO"/>
              </w:rPr>
              <w:t xml:space="preserve"> Baia Mare – Oradea și Satu Mare – Cluj Napoca</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lastRenderedPageBreak/>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Un cumul de îmbunătățiri </w:t>
            </w:r>
            <w:r w:rsidRPr="0076579A">
              <w:rPr>
                <w:rFonts w:cs="Arial"/>
                <w:sz w:val="20"/>
                <w:szCs w:val="20"/>
                <w:lang w:val="ro-RO"/>
              </w:rPr>
              <w:lastRenderedPageBreak/>
              <w:t>la nivelul graficului de mers al trenurilor, al materialului rulant și al infrastructurii, inclusiv electrificare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t>DS09A</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t>Creșterea competitivității serviciilor de transport feroviar de călători pe ruta București - Giurgiu</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t>OR15</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Creșterea frecvenței serviciilor de transport, cu un grafic de mers al trenurilor cu intervale regulate, care să circule la fiecare 2 ore pe distanța</w:t>
            </w:r>
            <w:r>
              <w:rPr>
                <w:rFonts w:cs="Arial"/>
                <w:sz w:val="20"/>
                <w:szCs w:val="20"/>
                <w:lang w:val="ro-RO"/>
              </w:rPr>
              <w:t xml:space="preserve"> București – Giurgiu </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Un cumul de îmbunătățiri la nivelul graficului de mers al trenurilor, al materialului rulant și al infrastructurii, inclusiv electrificare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Default="00573AD5" w:rsidP="00573AD5">
            <w:pPr>
              <w:spacing w:before="60" w:after="60"/>
              <w:jc w:val="both"/>
              <w:rPr>
                <w:rFonts w:cs="Arial"/>
                <w:sz w:val="20"/>
                <w:szCs w:val="20"/>
                <w:lang w:val="ro-RO"/>
              </w:rPr>
            </w:pPr>
            <w:r>
              <w:rPr>
                <w:rFonts w:cs="Arial"/>
                <w:sz w:val="20"/>
                <w:szCs w:val="20"/>
                <w:lang w:val="ro-RO"/>
              </w:rPr>
              <w:t>DS10A</w:t>
            </w:r>
          </w:p>
          <w:p w:rsidR="00573AD5" w:rsidRPr="0076579A" w:rsidRDefault="00573AD5" w:rsidP="00573AD5">
            <w:pPr>
              <w:spacing w:before="60" w:after="60"/>
              <w:jc w:val="both"/>
              <w:rPr>
                <w:rFonts w:cs="Arial"/>
                <w:sz w:val="20"/>
                <w:szCs w:val="20"/>
                <w:lang w:val="ro-RO"/>
              </w:rPr>
            </w:pPr>
            <w:r>
              <w:rPr>
                <w:rFonts w:cs="Arial"/>
                <w:sz w:val="20"/>
                <w:szCs w:val="20"/>
                <w:lang w:val="ro-RO"/>
              </w:rPr>
              <w:t>DS10B</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competitivității serviciilor de transport feroviar călători pe ruta </w:t>
            </w:r>
            <w:r>
              <w:rPr>
                <w:rFonts w:cs="Arial"/>
                <w:sz w:val="20"/>
                <w:szCs w:val="20"/>
                <w:lang w:val="ro-RO"/>
              </w:rPr>
              <w:t>Craiova - Calafat</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w:t>
            </w:r>
            <w:r>
              <w:rPr>
                <w:rFonts w:cs="Arial"/>
                <w:sz w:val="20"/>
                <w:szCs w:val="20"/>
                <w:lang w:val="ro-RO"/>
              </w:rPr>
              <w:t>6</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Creșterea frecvenței serviciilor de transport, cu un grafic de mers al trenurilor cu intervale regulate, care să circule la fiecare 2 ore pe distanța </w:t>
            </w:r>
            <w:r>
              <w:rPr>
                <w:rFonts w:cs="Arial"/>
                <w:sz w:val="20"/>
                <w:szCs w:val="20"/>
                <w:lang w:val="ro-RO"/>
              </w:rPr>
              <w:t xml:space="preserve"> Craiova - Calafat</w:t>
            </w:r>
            <w:r w:rsidRPr="0076579A">
              <w:rPr>
                <w:rFonts w:cs="Arial"/>
                <w:sz w:val="20"/>
                <w:szCs w:val="20"/>
                <w:lang w:val="ro-RO"/>
              </w:rPr>
              <w:t>.</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Un cumul de îmbunătățiri la nivelul graficului de mers al trenurilor, al materialului rulant și al infrastructurii, inclusiv electrificare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Coridor individual</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DS</w:t>
            </w:r>
            <w:r>
              <w:rPr>
                <w:rFonts w:cs="Arial"/>
                <w:sz w:val="20"/>
                <w:szCs w:val="20"/>
                <w:lang w:val="ro-RO"/>
              </w:rPr>
              <w:t>11A</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Viteză comercială medie scăzută a trenurilor de transport mărfuri </w:t>
            </w:r>
          </w:p>
        </w:tc>
        <w:tc>
          <w:tcPr>
            <w:tcW w:w="3118"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Din motive de siguranță s-a impus o limită de viteză de 80km/h pentru toate trenurile de mărfuri pe toate rutele, inclusiv pe liniile reabilitate.</w:t>
            </w: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Viteza comercială medie actuală este de doar 21/22km/h. Timpul pentru a parcurge o distanță de 400km poate ajunge la aproximativ 28 de ore.</w:t>
            </w:r>
          </w:p>
          <w:p w:rsidR="00573AD5" w:rsidRPr="0076579A" w:rsidRDefault="00573AD5" w:rsidP="00573AD5">
            <w:pPr>
              <w:spacing w:before="60" w:after="60"/>
              <w:jc w:val="both"/>
              <w:rPr>
                <w:rFonts w:cs="Arial"/>
                <w:sz w:val="20"/>
                <w:szCs w:val="20"/>
                <w:lang w:val="ro-RO"/>
              </w:rPr>
            </w:pPr>
          </w:p>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În prezent toate trenurile de transport călători (inclusiv serviciile de transport locale cu viteze foarte reduse) au prioritate chiar și față de serviciile de transport mărfuri de importanță majoră. </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vitezei pe calea ferată la nivelul vitezei proiectate </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CFR Infrastructură trebuie să permită o viteză maximă mai mare pentru anumite trenuri de tranport mărfuri pe liniile reabilitate - 120km/h în loc de 80km/h, precum unitățile tren (block trains) intermodale.</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R31</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performanței activelor feroviare, în special a oportunităților de creștere a eficienței operaționale </w:t>
            </w:r>
          </w:p>
        </w:tc>
        <w:tc>
          <w:tcPr>
            <w:tcW w:w="851"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OR13</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CFR Infrastructură trebuie să asigure un sistem de control al trenurilor mai bun utilizând un </w:t>
            </w:r>
            <w:r w:rsidRPr="00AD3449">
              <w:rPr>
                <w:rFonts w:cs="Arial"/>
                <w:sz w:val="20"/>
                <w:szCs w:val="20"/>
                <w:lang w:val="ro-RO"/>
              </w:rPr>
              <w:t>sistem cu 2 niveluri</w:t>
            </w:r>
            <w:r w:rsidRPr="0076579A">
              <w:rPr>
                <w:rFonts w:cs="Arial"/>
                <w:sz w:val="20"/>
                <w:szCs w:val="20"/>
                <w:lang w:val="ro-RO"/>
              </w:rPr>
              <w:t xml:space="preserve"> care să permită trecerea trenurilor intermodale  echipate adecvat și dedicate, înaintea celorlalte tipuri de transport de mărfuri vrac și posibil a serviciilor de transport călători care ar putea staționa pentru a reduce timpii de parcurs din rețeaua de bază, crescând astfel competitivitatea cu timpii de parcurs corespunzători  transportului rutier.</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R33</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Încheierea unui contract între furnizorul de infrastructură și operatorii trenurilor în care să fie stipulate penalizări pentru întârzieri.</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R36</w:t>
            </w:r>
          </w:p>
        </w:tc>
      </w:tr>
      <w:tr w:rsidR="00573AD5" w:rsidRPr="0076579A" w:rsidTr="0030066D">
        <w:trPr>
          <w:trHeight w:val="486"/>
        </w:trPr>
        <w:tc>
          <w:tcPr>
            <w:tcW w:w="1526"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Eficiență economică</w:t>
            </w:r>
          </w:p>
        </w:tc>
        <w:tc>
          <w:tcPr>
            <w:tcW w:w="56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(6)</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Management și Operare</w:t>
            </w: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Modul de lucru bazat pe sisteme vechi și volume mari de documente, împreună cu lipsa instruirii îngreunează dezvoltarea unui sistem feroviar modern </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Formularele arătarea vagoanelor sunt completate manual, înregistrând fiecare număr de vagon și destinația fiecăruia de mână. Există anumite sisteme moderne disponibile (de exemplu </w:t>
            </w:r>
            <w:r w:rsidRPr="0076579A">
              <w:rPr>
                <w:rFonts w:cs="Arial"/>
                <w:sz w:val="20"/>
                <w:szCs w:val="20"/>
                <w:lang w:val="ro-RO"/>
              </w:rPr>
              <w:lastRenderedPageBreak/>
              <w:t xml:space="preserve">ARGOS), dar numărul de operatori instruiți este foarte mic. </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 xml:space="preserve">Creșterea performanței activelor feroviare, în special a oportunităților de creștere a eficienței </w:t>
            </w:r>
            <w:r w:rsidRPr="0076579A">
              <w:rPr>
                <w:rFonts w:cs="Arial"/>
                <w:sz w:val="20"/>
                <w:szCs w:val="20"/>
                <w:lang w:val="ro-RO"/>
              </w:rPr>
              <w:lastRenderedPageBreak/>
              <w:t>operaționale</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OR13</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Companiile trebuie să adopte practici și tehnologii moderne, precum utilizarea sistemului GPS pentru urmărirea materialului rulant. Trebuie să se introducă un număr de cursuri de instruire moderne în ceea ce privește operarea trenurilor și sistemele și </w:t>
            </w:r>
            <w:r w:rsidRPr="0076579A">
              <w:rPr>
                <w:rFonts w:cs="Arial"/>
                <w:sz w:val="20"/>
                <w:szCs w:val="20"/>
                <w:lang w:val="ro-RO"/>
              </w:rPr>
              <w:lastRenderedPageBreak/>
              <w:t>tehnologiile feroviare atât pentru personalul existent, cât și pentru cel nou angajat. Este important ca sectorul de transport feroviar să îmbine eficient experiența cu tehnologia.</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R27</w:t>
            </w:r>
          </w:p>
        </w:tc>
      </w:tr>
      <w:tr w:rsidR="00573AD5" w:rsidRPr="0076579A" w:rsidTr="0030066D">
        <w:trPr>
          <w:trHeight w:val="486"/>
        </w:trPr>
        <w:tc>
          <w:tcPr>
            <w:tcW w:w="1526"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Eficiență economică</w:t>
            </w:r>
          </w:p>
        </w:tc>
        <w:tc>
          <w:tcPr>
            <w:tcW w:w="56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(7)</w:t>
            </w:r>
          </w:p>
        </w:tc>
        <w:tc>
          <w:tcPr>
            <w:tcW w:w="141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Deficiențe ale infrastructurii</w:t>
            </w:r>
          </w:p>
        </w:tc>
        <w:tc>
          <w:tcPr>
            <w:tcW w:w="3119"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Terminalele învechite de mărfuri sunt ineficiente și/sau amplasate nepotrivit, în special cele intermodale </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Transportul containerizat și încurajarea transferului modal contribuie la reducerea timpilor de manevrare per tonă și la alte eficientizări.</w:t>
            </w:r>
          </w:p>
        </w:tc>
        <w:tc>
          <w:tcPr>
            <w:tcW w:w="212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Dezvoltarea unei rețele cu terminale de </w:t>
            </w:r>
            <w:r w:rsidRPr="00AD3449">
              <w:rPr>
                <w:rFonts w:cs="Arial"/>
                <w:sz w:val="20"/>
                <w:szCs w:val="20"/>
                <w:lang w:val="ro-RO"/>
              </w:rPr>
              <w:t>transport mărfuri cu regim deschis pentru utilizatori care să deservească</w:t>
            </w:r>
            <w:r w:rsidRPr="0076579A">
              <w:rPr>
                <w:rFonts w:cs="Arial"/>
                <w:sz w:val="20"/>
                <w:szCs w:val="20"/>
                <w:lang w:val="ro-RO"/>
              </w:rPr>
              <w:t xml:space="preserve"> regiunilor cu cel mai mare potențial de cerere din România, orașelor și piețelor majore din cadrul UE din Bulgaria și Ungaria. A se vedea Documentele Suport pentru o descriere completă a cerințelor pentru terminale și a factorilor determinanți în ceea ce privește amplasarea.</w:t>
            </w:r>
          </w:p>
        </w:tc>
        <w:tc>
          <w:tcPr>
            <w:tcW w:w="851"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OR16</w:t>
            </w:r>
          </w:p>
        </w:tc>
        <w:tc>
          <w:tcPr>
            <w:tcW w:w="3827" w:type="dxa"/>
            <w:vMerge w:val="restart"/>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Închiderea </w:t>
            </w:r>
            <w:r>
              <w:rPr>
                <w:rFonts w:cs="Arial"/>
                <w:sz w:val="20"/>
                <w:szCs w:val="20"/>
                <w:lang w:val="ro-RO"/>
              </w:rPr>
              <w:t>terminalului de marfă</w:t>
            </w:r>
            <w:r w:rsidRPr="0076579A">
              <w:rPr>
                <w:rFonts w:cs="Arial"/>
                <w:sz w:val="20"/>
                <w:szCs w:val="20"/>
                <w:lang w:val="ro-RO"/>
              </w:rPr>
              <w:t xml:space="preserve"> Bucureștii Noi și  deschiderea unui nou terminal intermodal cu o capacitate suplimentară în București, cu posibilitatea de a dezvolta un sistem cu capacitate  tri-modală în viitor.</w:t>
            </w:r>
          </w:p>
        </w:tc>
        <w:tc>
          <w:tcPr>
            <w:tcW w:w="1134"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Terminale intermodale</w:t>
            </w:r>
          </w:p>
        </w:tc>
        <w:tc>
          <w:tcPr>
            <w:tcW w:w="1434" w:type="dxa"/>
            <w:gridSpan w:val="2"/>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Doar București </w:t>
            </w:r>
          </w:p>
        </w:tc>
        <w:tc>
          <w:tcPr>
            <w:tcW w:w="1414" w:type="dxa"/>
            <w:gridSpan w:val="2"/>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R42</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Terminalele din București nu sunt suficient de spațioase pentru a acomoda dezvoltarea planificată. </w:t>
            </w: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827" w:type="dxa"/>
            <w:vMerge/>
            <w:shd w:val="clear" w:color="auto" w:fill="auto"/>
            <w:vAlign w:val="center"/>
          </w:tcPr>
          <w:p w:rsidR="00573AD5" w:rsidRPr="0076579A" w:rsidRDefault="00573AD5" w:rsidP="00573AD5">
            <w:pPr>
              <w:jc w:val="both"/>
              <w:rPr>
                <w:rFonts w:cs="Arial"/>
                <w:sz w:val="20"/>
                <w:szCs w:val="20"/>
                <w:lang w:val="ro-RO"/>
              </w:rPr>
            </w:pPr>
          </w:p>
        </w:tc>
        <w:tc>
          <w:tcPr>
            <w:tcW w:w="1134"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141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1434" w:type="dxa"/>
            <w:gridSpan w:val="2"/>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1414" w:type="dxa"/>
            <w:gridSpan w:val="2"/>
            <w:vMerge/>
            <w:shd w:val="clear" w:color="auto" w:fill="auto"/>
            <w:vAlign w:val="center"/>
          </w:tcPr>
          <w:p w:rsidR="00573AD5" w:rsidRPr="0076579A" w:rsidRDefault="00573AD5" w:rsidP="00573AD5">
            <w:pPr>
              <w:spacing w:before="60" w:after="60"/>
              <w:jc w:val="both"/>
              <w:rPr>
                <w:rFonts w:cs="Arial"/>
                <w:sz w:val="20"/>
                <w:szCs w:val="20"/>
                <w:lang w:val="ro-RO"/>
              </w:rPr>
            </w:pP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Multe terminale au fost închise în ciuda proximității față de numeroase zone cu potențiali clienți sau industrii (de exemplu, Craiova), sau nu sunt amplasate potrivit pentru fluxul de mărfuri actual sau previzionat (de exemplu, Iași).</w:t>
            </w: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OR13</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Reabilitarea terminalului intermodal din Iași, Socola, deservind astfel acestui al patrulea oraș care în prezent nu are propriile facilități și de asemenea, asigurând potențiala transbordare cu calea ferată rusească.</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Terminale intermodale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Doar Iași </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R38</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Protejarea terminalului Semenic din Timișoara ce deservește acest al doilea oraș ca mărime, care în prezent nu are propriile facilități, proiect care a fost suspendat.</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Terminale intermodale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Doar Timișoara </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R41</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Constuirea unui nou terminal intermodal în Craiova, deservind celui de-al șaselea cel mai mare oraș ca mărime și unei </w:t>
            </w:r>
            <w:r w:rsidRPr="00AD3449">
              <w:rPr>
                <w:rFonts w:cs="Arial"/>
                <w:sz w:val="20"/>
                <w:szCs w:val="20"/>
                <w:lang w:val="ro-RO"/>
              </w:rPr>
              <w:t>importante zone industriale care în prezent nu deține facilități pentru accesul utilizatorilor</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Terminale intermodale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Doar Craiova </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R43</w:t>
            </w:r>
          </w:p>
        </w:tc>
      </w:tr>
      <w:tr w:rsidR="00573AD5" w:rsidRPr="0076579A" w:rsidTr="0030066D">
        <w:trPr>
          <w:trHeight w:val="1267"/>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8"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Reabilitarea terminalelor existente pentru a furniza o rețea extinsă și strategică pentru transportul intermodal de mărfuri intern și internațional în: Cluj Napoca Est, Turda, Suceava și Bacău.</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Da</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Terminale intermodale</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Pe parcursul întregii rețele</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R44</w:t>
            </w:r>
          </w:p>
        </w:tc>
      </w:tr>
      <w:tr w:rsidR="00573AD5" w:rsidRPr="0076579A" w:rsidTr="0030066D">
        <w:trPr>
          <w:trHeight w:val="486"/>
        </w:trPr>
        <w:tc>
          <w:tcPr>
            <w:tcW w:w="1526"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Eficiență economică</w:t>
            </w:r>
          </w:p>
        </w:tc>
        <w:tc>
          <w:tcPr>
            <w:tcW w:w="56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(8)</w:t>
            </w:r>
          </w:p>
        </w:tc>
        <w:tc>
          <w:tcPr>
            <w:tcW w:w="141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Deficiențe ale infrastructurii</w:t>
            </w: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Cea mai mare parte a rețelei feroviare din România are limita maximă a sarcinii pe osie redusă, de 20.5 tone.</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În prezent este în vigoare o limitare a sarcinii pe osie la 20.5 tone, însă această limită este mai mică decât standardul european pentru rețeaua feroviară, de 22.5t. Pentru un tren cu 30 de vagoane se ajunge la o suplimentare de 240 de tone de produse (o îmbunătățire a productivității cu 15%).</w:t>
            </w:r>
          </w:p>
        </w:tc>
        <w:tc>
          <w:tcPr>
            <w:tcW w:w="2127"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Creșterea performanței activelor feroviare, în special a oportunităților de creștere a eficienței operaționale </w:t>
            </w:r>
          </w:p>
        </w:tc>
        <w:tc>
          <w:tcPr>
            <w:tcW w:w="851" w:type="dxa"/>
            <w:vMerge w:val="restart"/>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OR13</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Pentru a încuraja traficul feroviar internațional și de tranzit este necesară permiterea circulației cu o sarcină pe osie de 22.5 tone pe rutele reabilitate. Este, desigur, necesară eliberarea întregii rute astfel încât operatorii să o poată utiliza într-o manieră productivă. Acest aspect ar trebui inclus în toate reabilitările viitoare ale rutelor.</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R35</w:t>
            </w:r>
          </w:p>
        </w:tc>
      </w:tr>
      <w:tr w:rsidR="00573AD5" w:rsidRPr="0076579A" w:rsidTr="0030066D">
        <w:trPr>
          <w:trHeight w:val="486"/>
        </w:trPr>
        <w:tc>
          <w:tcPr>
            <w:tcW w:w="1526"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56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1417" w:type="dxa"/>
            <w:vMerge/>
            <w:shd w:val="clear" w:color="auto" w:fill="auto"/>
            <w:vAlign w:val="center"/>
          </w:tcPr>
          <w:p w:rsidR="00573AD5" w:rsidRPr="0076579A" w:rsidRDefault="00573AD5" w:rsidP="00573AD5">
            <w:pPr>
              <w:numPr>
                <w:ilvl w:val="0"/>
                <w:numId w:val="19"/>
              </w:numPr>
              <w:spacing w:before="60" w:after="60" w:line="264" w:lineRule="auto"/>
              <w:ind w:left="459" w:hanging="284"/>
              <w:jc w:val="both"/>
              <w:rPr>
                <w:rFonts w:cs="Arial"/>
                <w:sz w:val="20"/>
                <w:szCs w:val="20"/>
                <w:lang w:val="ro-RO"/>
              </w:rPr>
            </w:pP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Infrastructura învechită a rețelei nu permite  exploatarea avantajelor oferite de beneficiile și oportunitățile sistemelor moderne, precum eficiența electrificării liniilor</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 mare parte a infrastructurii feroviare din România are durata de viață depășită sau nu permite tehnologiilor moderne  să funcționeze la capacitate maximă.  De exemplu, nu există nicio secțiune de cale ferată unde să fie posibilă recuperarea de energie electrică.</w:t>
            </w:r>
          </w:p>
        </w:tc>
        <w:tc>
          <w:tcPr>
            <w:tcW w:w="2127"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851" w:type="dxa"/>
            <w:vMerge/>
            <w:shd w:val="clear" w:color="auto" w:fill="auto"/>
            <w:vAlign w:val="center"/>
          </w:tcPr>
          <w:p w:rsidR="00573AD5" w:rsidRPr="0076579A" w:rsidRDefault="00573AD5" w:rsidP="00573AD5">
            <w:pPr>
              <w:spacing w:before="60" w:after="60"/>
              <w:jc w:val="both"/>
              <w:rPr>
                <w:rFonts w:cs="Arial"/>
                <w:sz w:val="20"/>
                <w:szCs w:val="20"/>
                <w:lang w:val="ro-RO"/>
              </w:rPr>
            </w:pP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Efectuarea unui studiu de fezabilitate cu privire la introducerea sistemelor de energie electrică capabile să returneze energia electrică generată de frânarea regenerativă către rețeaua electrică în cadrul tuturor lucrărilor viitoare de reabilitare. Frânarea regenerativă poate recupera 5% din energia electrică utilizată în cazul trenurilor de marfă, însă în cazul trenurilor personal poate recupera până la 17% din energie.</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R34</w:t>
            </w:r>
          </w:p>
        </w:tc>
      </w:tr>
      <w:tr w:rsidR="00573AD5" w:rsidRPr="0076579A" w:rsidTr="0030066D">
        <w:trPr>
          <w:trHeight w:val="486"/>
        </w:trPr>
        <w:tc>
          <w:tcPr>
            <w:tcW w:w="1526"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lastRenderedPageBreak/>
              <w:t>Eficiență economică</w:t>
            </w:r>
          </w:p>
        </w:tc>
        <w:tc>
          <w:tcPr>
            <w:tcW w:w="56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(9)</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Management și Operare</w:t>
            </w:r>
          </w:p>
        </w:tc>
        <w:tc>
          <w:tcPr>
            <w:tcW w:w="3119"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Întârzierea privatizării companiei CFR Marfă</w:t>
            </w:r>
          </w:p>
        </w:tc>
        <w:tc>
          <w:tcPr>
            <w:tcW w:w="3118"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 xml:space="preserve">Din continua incertitudine și întârziere a privatizării companiei CFR Marfă rezultă faptul că transportul feroviar de marfă este blocat într-un proces ciclic de subfinanțare și contracte pe termen scurt.  </w:t>
            </w:r>
          </w:p>
        </w:tc>
        <w:tc>
          <w:tcPr>
            <w:tcW w:w="212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Creșterea veniturilor și eficienței prin asigurarea orientării contractelor spre inițiative comerciale.</w:t>
            </w:r>
          </w:p>
        </w:tc>
        <w:tc>
          <w:tcPr>
            <w:tcW w:w="851"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OR7</w:t>
            </w:r>
          </w:p>
        </w:tc>
        <w:tc>
          <w:tcPr>
            <w:tcW w:w="3827" w:type="dxa"/>
            <w:shd w:val="clear" w:color="auto" w:fill="auto"/>
            <w:vAlign w:val="center"/>
          </w:tcPr>
          <w:p w:rsidR="00573AD5" w:rsidRPr="0076579A" w:rsidRDefault="00573AD5" w:rsidP="00573AD5">
            <w:pPr>
              <w:jc w:val="both"/>
              <w:rPr>
                <w:rFonts w:cs="Arial"/>
                <w:sz w:val="20"/>
                <w:szCs w:val="20"/>
                <w:lang w:val="ro-RO"/>
              </w:rPr>
            </w:pPr>
            <w:r w:rsidRPr="0076579A">
              <w:rPr>
                <w:rFonts w:cs="Arial"/>
                <w:sz w:val="20"/>
                <w:szCs w:val="20"/>
                <w:lang w:val="ro-RO"/>
              </w:rPr>
              <w:t xml:space="preserve">Soluționarea incertitudinii cu privire la viitorul companiei CFR Marfă și privatizarea acesteia cât de repede posibil. Acest lucru va da întregii industrii feroviare oportunitatea de a concura </w:t>
            </w:r>
            <w:r>
              <w:rPr>
                <w:rFonts w:cs="Arial"/>
                <w:sz w:val="20"/>
                <w:szCs w:val="20"/>
                <w:lang w:val="ro-RO"/>
              </w:rPr>
              <w:t xml:space="preserve">cu o mai mare eficiență </w:t>
            </w:r>
            <w:r w:rsidRPr="0076579A">
              <w:rPr>
                <w:rFonts w:cs="Arial"/>
                <w:sz w:val="20"/>
                <w:szCs w:val="20"/>
                <w:lang w:val="ro-RO"/>
              </w:rPr>
              <w:t>în sectorul de transport mărfuri.</w:t>
            </w:r>
          </w:p>
        </w:tc>
        <w:tc>
          <w:tcPr>
            <w:tcW w:w="1134"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Nu</w:t>
            </w:r>
          </w:p>
        </w:tc>
        <w:tc>
          <w:tcPr>
            <w:tcW w:w="1417" w:type="dxa"/>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3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N/A</w:t>
            </w:r>
          </w:p>
        </w:tc>
        <w:tc>
          <w:tcPr>
            <w:tcW w:w="1414" w:type="dxa"/>
            <w:gridSpan w:val="2"/>
            <w:shd w:val="clear" w:color="auto" w:fill="auto"/>
            <w:vAlign w:val="center"/>
          </w:tcPr>
          <w:p w:rsidR="00573AD5" w:rsidRPr="0076579A" w:rsidRDefault="00573AD5" w:rsidP="00573AD5">
            <w:pPr>
              <w:spacing w:before="60" w:after="60"/>
              <w:jc w:val="both"/>
              <w:rPr>
                <w:rFonts w:cs="Arial"/>
                <w:sz w:val="20"/>
                <w:szCs w:val="20"/>
                <w:lang w:val="ro-RO"/>
              </w:rPr>
            </w:pPr>
            <w:r w:rsidRPr="0076579A">
              <w:rPr>
                <w:rFonts w:cs="Arial"/>
                <w:sz w:val="20"/>
                <w:szCs w:val="20"/>
                <w:lang w:val="ro-RO"/>
              </w:rPr>
              <w:t>R32</w:t>
            </w:r>
          </w:p>
        </w:tc>
      </w:tr>
    </w:tbl>
    <w:p w:rsidR="00573AD5" w:rsidRPr="0076579A" w:rsidRDefault="00573AD5" w:rsidP="002B7E09">
      <w:pPr>
        <w:pStyle w:val="NumberedParas"/>
        <w:numPr>
          <w:ilvl w:val="0"/>
          <w:numId w:val="0"/>
        </w:numPr>
        <w:ind w:left="851"/>
      </w:pPr>
    </w:p>
    <w:p w:rsidR="00573AD5" w:rsidRPr="0076579A" w:rsidRDefault="00573AD5" w:rsidP="002B7E09">
      <w:pPr>
        <w:pStyle w:val="NumberedParas"/>
        <w:sectPr w:rsidR="00573AD5" w:rsidRPr="0076579A" w:rsidSect="00D92358">
          <w:pgSz w:w="23814" w:h="16839" w:orient="landscape" w:code="8"/>
          <w:pgMar w:top="907" w:right="1418" w:bottom="709" w:left="1418" w:header="357" w:footer="567" w:gutter="0"/>
          <w:cols w:space="187"/>
          <w:docGrid w:linePitch="360"/>
        </w:sectPr>
      </w:pPr>
    </w:p>
    <w:p w:rsidR="00573AD5" w:rsidRPr="0076579A" w:rsidRDefault="00573AD5" w:rsidP="00573AD5">
      <w:pPr>
        <w:pStyle w:val="Hdg2"/>
        <w:tabs>
          <w:tab w:val="clear" w:pos="2280"/>
          <w:tab w:val="num" w:pos="1146"/>
        </w:tabs>
        <w:ind w:left="1106"/>
      </w:pPr>
      <w:bookmarkStart w:id="105" w:name="_Toc398303861"/>
      <w:bookmarkStart w:id="106" w:name="_Toc413057756"/>
      <w:bookmarkStart w:id="107" w:name="_Toc413060323"/>
      <w:r w:rsidRPr="0076579A">
        <w:lastRenderedPageBreak/>
        <w:t>Îmbunătățiri propuse</w:t>
      </w:r>
      <w:bookmarkEnd w:id="105"/>
      <w:bookmarkEnd w:id="106"/>
      <w:bookmarkEnd w:id="107"/>
    </w:p>
    <w:p w:rsidR="00573AD5" w:rsidRPr="0076579A" w:rsidRDefault="00573AD5" w:rsidP="002B7E09">
      <w:pPr>
        <w:pStyle w:val="NumberedParas"/>
      </w:pPr>
      <w:r w:rsidRPr="0076579A">
        <w:t xml:space="preserve">Utilizând informațiile </w:t>
      </w:r>
      <w:r>
        <w:t>incluse în</w:t>
      </w:r>
      <w:r w:rsidRPr="0076579A">
        <w:t xml:space="preserve"> Raportul </w:t>
      </w:r>
      <w:r>
        <w:t>privind identificarea problemlor</w:t>
      </w:r>
      <w:r w:rsidRPr="0076579A">
        <w:t xml:space="preserve">, intervențiile necesare pentru a soluționa aceste probleme au fost grupate în cinci activități principale, după cum se poate observa în </w:t>
      </w:r>
      <w:r>
        <w:t>Tabelul 5.</w:t>
      </w:r>
      <w:r w:rsidRPr="0076579A">
        <w:t xml:space="preserve">8. </w:t>
      </w:r>
    </w:p>
    <w:p w:rsidR="00573AD5" w:rsidRPr="0036322C" w:rsidRDefault="00573AD5" w:rsidP="0030066D">
      <w:pPr>
        <w:spacing w:after="60"/>
        <w:rPr>
          <w:rFonts w:cs="Arial"/>
          <w:b/>
          <w:sz w:val="20"/>
          <w:szCs w:val="20"/>
          <w:lang w:val="ro-RO"/>
        </w:rPr>
      </w:pPr>
      <w:bookmarkStart w:id="108" w:name="_Ref395012377"/>
      <w:r>
        <w:rPr>
          <w:rFonts w:cs="Arial"/>
          <w:b/>
          <w:sz w:val="20"/>
          <w:szCs w:val="20"/>
          <w:lang w:val="ro-RO"/>
        </w:rPr>
        <w:t>Tabelul 5.</w:t>
      </w:r>
      <w:r w:rsidRPr="0036322C">
        <w:rPr>
          <w:rFonts w:cs="Arial"/>
          <w:b/>
          <w:sz w:val="20"/>
          <w:szCs w:val="20"/>
          <w:lang w:val="ro-RO"/>
        </w:rPr>
        <w:t>8</w:t>
      </w:r>
      <w:bookmarkEnd w:id="108"/>
      <w:r w:rsidRPr="0036322C">
        <w:rPr>
          <w:rFonts w:cs="Arial"/>
          <w:b/>
          <w:sz w:val="20"/>
          <w:szCs w:val="20"/>
          <w:lang w:val="ro-RO"/>
        </w:rPr>
        <w:t xml:space="preserve">: Rezumare a potențialelor îmbunătățiri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7189"/>
      </w:tblGrid>
      <w:tr w:rsidR="00573AD5" w:rsidRPr="0076579A" w:rsidTr="0030066D">
        <w:tc>
          <w:tcPr>
            <w:tcW w:w="1579" w:type="pct"/>
            <w:shd w:val="clear" w:color="auto" w:fill="B6DDE8"/>
            <w:vAlign w:val="center"/>
          </w:tcPr>
          <w:p w:rsidR="00573AD5" w:rsidRPr="0076579A" w:rsidRDefault="00573AD5" w:rsidP="00573AD5">
            <w:pPr>
              <w:spacing w:before="120"/>
              <w:jc w:val="center"/>
              <w:rPr>
                <w:b/>
                <w:lang w:val="ro-RO"/>
              </w:rPr>
            </w:pPr>
            <w:r w:rsidRPr="0076579A">
              <w:rPr>
                <w:b/>
                <w:lang w:val="ro-RO"/>
              </w:rPr>
              <w:t>Activitate</w:t>
            </w:r>
          </w:p>
        </w:tc>
        <w:tc>
          <w:tcPr>
            <w:tcW w:w="3421" w:type="pct"/>
            <w:shd w:val="clear" w:color="auto" w:fill="B6DDE8"/>
            <w:vAlign w:val="center"/>
          </w:tcPr>
          <w:p w:rsidR="00573AD5" w:rsidRPr="0076579A" w:rsidRDefault="00573AD5" w:rsidP="00573AD5">
            <w:pPr>
              <w:spacing w:before="120"/>
              <w:jc w:val="center"/>
              <w:rPr>
                <w:b/>
                <w:lang w:val="ro-RO"/>
              </w:rPr>
            </w:pPr>
            <w:r w:rsidRPr="0076579A">
              <w:rPr>
                <w:b/>
                <w:lang w:val="ro-RO"/>
              </w:rPr>
              <w:t>Potențiale îmbunătățiri</w:t>
            </w:r>
          </w:p>
        </w:tc>
      </w:tr>
      <w:tr w:rsidR="00573AD5" w:rsidRPr="0076579A" w:rsidTr="0030066D">
        <w:tc>
          <w:tcPr>
            <w:tcW w:w="1579" w:type="pct"/>
            <w:vAlign w:val="center"/>
          </w:tcPr>
          <w:p w:rsidR="00573AD5" w:rsidRPr="0076579A" w:rsidRDefault="00573AD5" w:rsidP="00573AD5">
            <w:pPr>
              <w:spacing w:before="120"/>
              <w:rPr>
                <w:rFonts w:cs="Arial"/>
                <w:kern w:val="24"/>
                <w:sz w:val="20"/>
                <w:szCs w:val="20"/>
                <w:lang w:val="ro-RO" w:eastAsia="en-GB"/>
              </w:rPr>
            </w:pPr>
            <w:r>
              <w:rPr>
                <w:rFonts w:cs="Arial"/>
                <w:kern w:val="24"/>
                <w:sz w:val="20"/>
                <w:szCs w:val="20"/>
                <w:lang w:val="ro-RO" w:eastAsia="en-GB"/>
              </w:rPr>
              <w:t>Tema 1 - General</w:t>
            </w:r>
          </w:p>
        </w:tc>
        <w:tc>
          <w:tcPr>
            <w:tcW w:w="3421" w:type="pct"/>
          </w:tcPr>
          <w:p w:rsidR="00573AD5" w:rsidRPr="0076579A" w:rsidRDefault="00573AD5" w:rsidP="00573AD5">
            <w:pPr>
              <w:pStyle w:val="ListParagraph"/>
              <w:numPr>
                <w:ilvl w:val="0"/>
                <w:numId w:val="21"/>
              </w:numPr>
              <w:spacing w:line="276" w:lineRule="auto"/>
              <w:contextualSpacing/>
              <w:rPr>
                <w:lang w:val="ro-RO"/>
              </w:rPr>
            </w:pPr>
            <w:r>
              <w:rPr>
                <w:lang w:val="ro-RO"/>
              </w:rPr>
              <w:t>Crearea unei Agenții pentru Reforma Feroviară care să supravegheze aplicarea măsurilor de îmbunătățire</w:t>
            </w:r>
          </w:p>
        </w:tc>
      </w:tr>
      <w:tr w:rsidR="00573AD5" w:rsidRPr="0076579A" w:rsidTr="0030066D">
        <w:tc>
          <w:tcPr>
            <w:tcW w:w="1579" w:type="pct"/>
            <w:vAlign w:val="center"/>
          </w:tcPr>
          <w:p w:rsidR="00573AD5" w:rsidRPr="0076579A" w:rsidRDefault="00573AD5" w:rsidP="00573AD5">
            <w:pPr>
              <w:spacing w:before="120"/>
              <w:rPr>
                <w:kern w:val="24"/>
                <w:lang w:val="ro-RO" w:eastAsia="en-GB"/>
              </w:rPr>
            </w:pPr>
            <w:r>
              <w:rPr>
                <w:rFonts w:cs="Arial"/>
                <w:kern w:val="24"/>
                <w:sz w:val="20"/>
                <w:szCs w:val="20"/>
                <w:lang w:val="ro-RO" w:eastAsia="en-GB"/>
              </w:rPr>
              <w:t>Tema 2 – Sustenabilitatea infrastructurii</w:t>
            </w:r>
            <w:r w:rsidRPr="0076579A">
              <w:rPr>
                <w:kern w:val="24"/>
                <w:lang w:val="ro-RO" w:eastAsia="en-GB"/>
              </w:rPr>
              <w:t xml:space="preserve"> </w:t>
            </w:r>
          </w:p>
        </w:tc>
        <w:tc>
          <w:tcPr>
            <w:tcW w:w="3421" w:type="pct"/>
          </w:tcPr>
          <w:p w:rsidR="00573AD5" w:rsidRPr="0076579A" w:rsidRDefault="00573AD5" w:rsidP="00573AD5">
            <w:pPr>
              <w:pStyle w:val="ListParagraph"/>
              <w:numPr>
                <w:ilvl w:val="0"/>
                <w:numId w:val="21"/>
              </w:numPr>
              <w:spacing w:line="276" w:lineRule="auto"/>
              <w:contextualSpacing/>
              <w:rPr>
                <w:lang w:val="ro-RO"/>
              </w:rPr>
            </w:pPr>
            <w:r w:rsidRPr="0076579A">
              <w:rPr>
                <w:lang w:val="ro-RO"/>
              </w:rPr>
              <w:t xml:space="preserve">Creștere bugetului pentru </w:t>
            </w:r>
            <w:r>
              <w:rPr>
                <w:lang w:val="ro-RO"/>
              </w:rPr>
              <w:t>întreținere și reparații capitale</w:t>
            </w:r>
            <w:r w:rsidRPr="0076579A">
              <w:rPr>
                <w:lang w:val="ro-RO"/>
              </w:rPr>
              <w:t xml:space="preserve"> </w:t>
            </w:r>
          </w:p>
          <w:p w:rsidR="00573AD5" w:rsidRPr="0076579A" w:rsidRDefault="00573AD5" w:rsidP="00573AD5">
            <w:pPr>
              <w:pStyle w:val="ListParagraph"/>
              <w:numPr>
                <w:ilvl w:val="0"/>
                <w:numId w:val="21"/>
              </w:numPr>
              <w:spacing w:line="276" w:lineRule="auto"/>
              <w:contextualSpacing/>
              <w:rPr>
                <w:lang w:val="ro-RO"/>
              </w:rPr>
            </w:pPr>
            <w:r w:rsidRPr="0076579A">
              <w:rPr>
                <w:lang w:val="ro-RO"/>
              </w:rPr>
              <w:t>Menținerea rețelei de bază la starea tehnică actuală</w:t>
            </w:r>
          </w:p>
          <w:p w:rsidR="00573AD5" w:rsidRPr="0076579A" w:rsidRDefault="00573AD5" w:rsidP="00573AD5">
            <w:pPr>
              <w:pStyle w:val="ListParagraph"/>
              <w:numPr>
                <w:ilvl w:val="0"/>
                <w:numId w:val="21"/>
              </w:numPr>
              <w:spacing w:line="276" w:lineRule="auto"/>
              <w:contextualSpacing/>
              <w:rPr>
                <w:lang w:val="ro-RO"/>
              </w:rPr>
            </w:pPr>
            <w:r w:rsidRPr="0076579A">
              <w:rPr>
                <w:lang w:val="ro-RO"/>
              </w:rPr>
              <w:t xml:space="preserve">Programe de reparații și reînnoi </w:t>
            </w:r>
          </w:p>
          <w:p w:rsidR="00573AD5" w:rsidRPr="0076579A" w:rsidRDefault="00573AD5" w:rsidP="00573AD5">
            <w:pPr>
              <w:pStyle w:val="ListParagraph"/>
              <w:numPr>
                <w:ilvl w:val="0"/>
                <w:numId w:val="21"/>
              </w:numPr>
              <w:spacing w:line="276" w:lineRule="auto"/>
              <w:contextualSpacing/>
              <w:rPr>
                <w:lang w:val="ro-RO"/>
              </w:rPr>
            </w:pPr>
            <w:r w:rsidRPr="0076579A">
              <w:rPr>
                <w:lang w:val="ro-RO"/>
              </w:rPr>
              <w:t xml:space="preserve">Reabilitarea liniei pentru atingerea vitezei proiectate </w:t>
            </w:r>
          </w:p>
          <w:p w:rsidR="00573AD5" w:rsidRPr="0076579A" w:rsidRDefault="00573AD5" w:rsidP="00573AD5">
            <w:pPr>
              <w:pStyle w:val="ListParagraph"/>
              <w:numPr>
                <w:ilvl w:val="0"/>
                <w:numId w:val="21"/>
              </w:numPr>
              <w:spacing w:line="276" w:lineRule="auto"/>
              <w:contextualSpacing/>
              <w:rPr>
                <w:lang w:val="ro-RO"/>
              </w:rPr>
            </w:pPr>
            <w:r w:rsidRPr="0076579A">
              <w:rPr>
                <w:lang w:val="ro-RO"/>
              </w:rPr>
              <w:t xml:space="preserve">Reabilitarea liniei pentru atingerea unei viteze mai mari </w:t>
            </w:r>
          </w:p>
          <w:p w:rsidR="00573AD5" w:rsidRDefault="00573AD5" w:rsidP="00573AD5">
            <w:pPr>
              <w:pStyle w:val="ListParagraph"/>
              <w:numPr>
                <w:ilvl w:val="0"/>
                <w:numId w:val="21"/>
              </w:numPr>
              <w:spacing w:line="276" w:lineRule="auto"/>
              <w:contextualSpacing/>
              <w:rPr>
                <w:lang w:val="ro-RO"/>
              </w:rPr>
            </w:pPr>
            <w:r>
              <w:rPr>
                <w:lang w:val="ro-RO"/>
              </w:rPr>
              <w:t xml:space="preserve">Identificarea unei rețele primare care să cuprindă rute de importanță națională și care să acopere cel mai mare procent din trafic dat fiind bugetul disponibil estimat pentru întreținere și reparații capitale. </w:t>
            </w:r>
          </w:p>
          <w:p w:rsidR="00573AD5" w:rsidRDefault="00573AD5" w:rsidP="00573AD5">
            <w:pPr>
              <w:pStyle w:val="ListParagraph"/>
              <w:numPr>
                <w:ilvl w:val="0"/>
                <w:numId w:val="21"/>
              </w:numPr>
              <w:spacing w:line="276" w:lineRule="auto"/>
              <w:contextualSpacing/>
              <w:rPr>
                <w:lang w:val="ro-RO"/>
              </w:rPr>
            </w:pPr>
            <w:r>
              <w:rPr>
                <w:lang w:val="ro-RO"/>
              </w:rPr>
              <w:t>Identificarea rutelor secundare care ar putea fi administrate de către autoritățile locale.</w:t>
            </w:r>
          </w:p>
          <w:p w:rsidR="00573AD5" w:rsidRPr="0076579A" w:rsidRDefault="00573AD5" w:rsidP="002B7E09">
            <w:pPr>
              <w:pStyle w:val="ListParagraph"/>
              <w:numPr>
                <w:ilvl w:val="0"/>
                <w:numId w:val="21"/>
              </w:numPr>
              <w:spacing w:line="276" w:lineRule="auto"/>
              <w:contextualSpacing/>
              <w:rPr>
                <w:lang w:val="ro-RO"/>
              </w:rPr>
            </w:pPr>
            <w:r>
              <w:rPr>
                <w:lang w:val="ro-RO"/>
              </w:rPr>
              <w:t>Efectuarea lucrărilor de întreținere pe timp e noapte mai degrabă decât în timpul zilei, în orele normale de lucru</w:t>
            </w:r>
          </w:p>
        </w:tc>
      </w:tr>
      <w:tr w:rsidR="00573AD5" w:rsidRPr="0076579A" w:rsidTr="0030066D">
        <w:tc>
          <w:tcPr>
            <w:tcW w:w="1579" w:type="pct"/>
            <w:vAlign w:val="center"/>
          </w:tcPr>
          <w:p w:rsidR="00573AD5" w:rsidRPr="0076579A" w:rsidRDefault="00573AD5" w:rsidP="00573AD5">
            <w:pPr>
              <w:spacing w:before="120"/>
              <w:rPr>
                <w:kern w:val="24"/>
                <w:lang w:val="ro-RO" w:eastAsia="en-GB"/>
              </w:rPr>
            </w:pPr>
            <w:r>
              <w:rPr>
                <w:rFonts w:cs="Arial"/>
                <w:kern w:val="24"/>
                <w:sz w:val="20"/>
                <w:szCs w:val="20"/>
                <w:lang w:val="ro-RO" w:eastAsia="en-GB"/>
              </w:rPr>
              <w:t xml:space="preserve">Tema 3 -  Management și Operare </w:t>
            </w:r>
          </w:p>
        </w:tc>
        <w:tc>
          <w:tcPr>
            <w:tcW w:w="3421" w:type="pct"/>
          </w:tcPr>
          <w:p w:rsidR="00573AD5" w:rsidRDefault="00573AD5" w:rsidP="00573AD5">
            <w:pPr>
              <w:pStyle w:val="ListParagraph"/>
              <w:numPr>
                <w:ilvl w:val="0"/>
                <w:numId w:val="21"/>
              </w:numPr>
              <w:spacing w:line="276" w:lineRule="auto"/>
              <w:contextualSpacing/>
              <w:rPr>
                <w:lang w:val="ro-RO"/>
              </w:rPr>
            </w:pPr>
            <w:r>
              <w:rPr>
                <w:lang w:val="ro-RO"/>
              </w:rPr>
              <w:t xml:space="preserve">Identificarea unei strategii a materialului rulant care să includă solicitarea de unități noi </w:t>
            </w:r>
          </w:p>
          <w:p w:rsidR="00573AD5" w:rsidRPr="00571114" w:rsidRDefault="00573AD5" w:rsidP="00573AD5">
            <w:pPr>
              <w:pStyle w:val="ListParagraph"/>
              <w:numPr>
                <w:ilvl w:val="0"/>
                <w:numId w:val="21"/>
              </w:numPr>
              <w:spacing w:line="276" w:lineRule="auto"/>
              <w:contextualSpacing/>
              <w:rPr>
                <w:lang w:val="ro-RO"/>
              </w:rPr>
            </w:pPr>
            <w:r w:rsidRPr="00571114">
              <w:rPr>
                <w:lang w:val="ro-RO"/>
              </w:rPr>
              <w:t>Înființarea unei companii de leasing pentru material rulant care să administreze alocarea unităților</w:t>
            </w:r>
          </w:p>
          <w:p w:rsidR="00573AD5" w:rsidRPr="0076579A" w:rsidRDefault="00573AD5" w:rsidP="00573AD5">
            <w:pPr>
              <w:pStyle w:val="ListParagraph"/>
              <w:numPr>
                <w:ilvl w:val="0"/>
                <w:numId w:val="21"/>
              </w:numPr>
              <w:spacing w:line="276" w:lineRule="auto"/>
              <w:contextualSpacing/>
              <w:rPr>
                <w:lang w:val="ro-RO"/>
              </w:rPr>
            </w:pPr>
            <w:r w:rsidRPr="0076579A">
              <w:rPr>
                <w:lang w:val="ro-RO"/>
              </w:rPr>
              <w:t>Managementul de profit</w:t>
            </w:r>
          </w:p>
          <w:p w:rsidR="00573AD5" w:rsidRPr="0076579A" w:rsidRDefault="00573AD5" w:rsidP="002B7E09">
            <w:pPr>
              <w:pStyle w:val="ListParagraph"/>
              <w:numPr>
                <w:ilvl w:val="0"/>
                <w:numId w:val="21"/>
              </w:numPr>
              <w:spacing w:line="276" w:lineRule="auto"/>
              <w:contextualSpacing/>
              <w:rPr>
                <w:lang w:val="ro-RO"/>
              </w:rPr>
            </w:pPr>
            <w:r w:rsidRPr="0076579A">
              <w:rPr>
                <w:lang w:val="ro-RO"/>
              </w:rPr>
              <w:t xml:space="preserve">Strategie pentru prevenirea călătoriilor frauduloase </w:t>
            </w:r>
          </w:p>
        </w:tc>
      </w:tr>
      <w:tr w:rsidR="00573AD5" w:rsidRPr="0076579A" w:rsidTr="0030066D">
        <w:tc>
          <w:tcPr>
            <w:tcW w:w="1579" w:type="pct"/>
            <w:vAlign w:val="center"/>
          </w:tcPr>
          <w:p w:rsidR="00573AD5" w:rsidRPr="0076579A" w:rsidRDefault="00573AD5" w:rsidP="00573AD5">
            <w:pPr>
              <w:spacing w:before="120"/>
              <w:rPr>
                <w:kern w:val="24"/>
                <w:lang w:val="ro-RO" w:eastAsia="en-GB"/>
              </w:rPr>
            </w:pPr>
            <w:r>
              <w:rPr>
                <w:rFonts w:cs="Arial"/>
                <w:kern w:val="24"/>
                <w:sz w:val="20"/>
                <w:szCs w:val="20"/>
                <w:lang w:val="ro-RO" w:eastAsia="en-GB"/>
              </w:rPr>
              <w:t xml:space="preserve">Tema  4 Reglementarea și organizarea sistemului </w:t>
            </w:r>
            <w:r w:rsidRPr="0076579A">
              <w:rPr>
                <w:rFonts w:cs="Arial"/>
                <w:kern w:val="24"/>
                <w:sz w:val="20"/>
                <w:szCs w:val="20"/>
                <w:lang w:val="ro-RO" w:eastAsia="en-GB"/>
              </w:rPr>
              <w:t xml:space="preserve"> </w:t>
            </w:r>
          </w:p>
        </w:tc>
        <w:tc>
          <w:tcPr>
            <w:tcW w:w="3421" w:type="pct"/>
          </w:tcPr>
          <w:p w:rsidR="00573AD5" w:rsidRPr="00571114" w:rsidRDefault="00573AD5" w:rsidP="00573AD5">
            <w:pPr>
              <w:pStyle w:val="ListParagraph"/>
              <w:numPr>
                <w:ilvl w:val="0"/>
                <w:numId w:val="21"/>
              </w:numPr>
              <w:spacing w:after="60" w:line="276" w:lineRule="auto"/>
              <w:contextualSpacing/>
              <w:rPr>
                <w:lang w:val="ro-RO"/>
              </w:rPr>
            </w:pPr>
            <w:r w:rsidRPr="0076579A">
              <w:rPr>
                <w:lang w:val="ro-RO"/>
              </w:rPr>
              <w:t xml:space="preserve"> </w:t>
            </w:r>
            <w:r>
              <w:rPr>
                <w:lang w:val="ro-RO"/>
              </w:rPr>
              <w:t>Introducerea unui regim nou, transparent de performanță pentru compensații între administratorii de infrastructură și furnizorii de servicii</w:t>
            </w:r>
          </w:p>
        </w:tc>
      </w:tr>
      <w:tr w:rsidR="00573AD5" w:rsidRPr="0076579A" w:rsidTr="0030066D">
        <w:tc>
          <w:tcPr>
            <w:tcW w:w="1579" w:type="pct"/>
            <w:vAlign w:val="center"/>
          </w:tcPr>
          <w:p w:rsidR="00573AD5" w:rsidRPr="0076579A" w:rsidDel="00A8776C" w:rsidRDefault="00573AD5" w:rsidP="00573AD5">
            <w:pPr>
              <w:spacing w:before="120"/>
              <w:rPr>
                <w:rFonts w:cs="Arial"/>
                <w:kern w:val="24"/>
                <w:sz w:val="20"/>
                <w:szCs w:val="20"/>
                <w:lang w:val="ro-RO" w:eastAsia="en-GB"/>
              </w:rPr>
            </w:pPr>
            <w:r>
              <w:rPr>
                <w:rFonts w:cs="Arial"/>
                <w:kern w:val="24"/>
                <w:sz w:val="20"/>
                <w:szCs w:val="20"/>
                <w:lang w:val="ro-RO" w:eastAsia="en-GB"/>
              </w:rPr>
              <w:t xml:space="preserve">Tema  5 – Eficiența managementului </w:t>
            </w:r>
          </w:p>
        </w:tc>
        <w:tc>
          <w:tcPr>
            <w:tcW w:w="3421" w:type="pct"/>
          </w:tcPr>
          <w:p w:rsidR="00573AD5" w:rsidRDefault="00573AD5" w:rsidP="00573AD5">
            <w:pPr>
              <w:pStyle w:val="ListParagraph"/>
              <w:numPr>
                <w:ilvl w:val="0"/>
                <w:numId w:val="21"/>
              </w:numPr>
              <w:spacing w:line="276" w:lineRule="auto"/>
              <w:contextualSpacing/>
              <w:rPr>
                <w:lang w:val="ro-RO"/>
              </w:rPr>
            </w:pPr>
            <w:r>
              <w:rPr>
                <w:lang w:val="ro-RO"/>
              </w:rPr>
              <w:t xml:space="preserve">Identificrea unui program de închidere a stațiilor care înregistrează o rată foarte mică de utilizare </w:t>
            </w:r>
          </w:p>
          <w:p w:rsidR="00573AD5" w:rsidRDefault="00573AD5" w:rsidP="00573AD5">
            <w:pPr>
              <w:pStyle w:val="ListParagraph"/>
              <w:numPr>
                <w:ilvl w:val="0"/>
                <w:numId w:val="21"/>
              </w:numPr>
              <w:spacing w:line="276" w:lineRule="auto"/>
              <w:contextualSpacing/>
              <w:rPr>
                <w:lang w:val="ro-RO"/>
              </w:rPr>
            </w:pPr>
            <w:r>
              <w:rPr>
                <w:lang w:val="ro-RO"/>
              </w:rPr>
              <w:t xml:space="preserve">Introducerea unui nou sistem de semnalizare penru  a permite un control modernizat al circulației trenurilor </w:t>
            </w:r>
          </w:p>
          <w:p w:rsidR="00573AD5" w:rsidRPr="0076579A" w:rsidRDefault="00573AD5" w:rsidP="00573AD5">
            <w:pPr>
              <w:pStyle w:val="ListParagraph"/>
              <w:numPr>
                <w:ilvl w:val="0"/>
                <w:numId w:val="21"/>
              </w:numPr>
              <w:spacing w:line="276" w:lineRule="auto"/>
              <w:contextualSpacing/>
              <w:rPr>
                <w:lang w:val="ro-RO"/>
              </w:rPr>
            </w:pPr>
            <w:r>
              <w:rPr>
                <w:lang w:val="ro-RO"/>
              </w:rPr>
              <w:t>Vinderea activelor redundante și a altor bunuri pentru a genera venituri</w:t>
            </w:r>
          </w:p>
        </w:tc>
      </w:tr>
      <w:tr w:rsidR="00573AD5" w:rsidRPr="0076579A" w:rsidTr="0030066D">
        <w:tc>
          <w:tcPr>
            <w:tcW w:w="1579" w:type="pct"/>
            <w:vAlign w:val="center"/>
          </w:tcPr>
          <w:p w:rsidR="00573AD5" w:rsidRDefault="00573AD5" w:rsidP="00573AD5">
            <w:pPr>
              <w:spacing w:before="120"/>
              <w:rPr>
                <w:rFonts w:cs="Arial"/>
                <w:kern w:val="24"/>
                <w:sz w:val="20"/>
                <w:szCs w:val="20"/>
                <w:lang w:val="ro-RO" w:eastAsia="en-GB"/>
              </w:rPr>
            </w:pPr>
            <w:r>
              <w:rPr>
                <w:rFonts w:cs="Arial"/>
                <w:kern w:val="24"/>
                <w:sz w:val="20"/>
                <w:szCs w:val="20"/>
                <w:lang w:val="ro-RO" w:eastAsia="en-GB"/>
              </w:rPr>
              <w:t xml:space="preserve">Tema  6 – Stare precară a infrastructruii și servicii neatractive pentru pasageri </w:t>
            </w:r>
          </w:p>
        </w:tc>
        <w:tc>
          <w:tcPr>
            <w:tcW w:w="3421" w:type="pct"/>
          </w:tcPr>
          <w:p w:rsidR="00573AD5" w:rsidRDefault="00573AD5" w:rsidP="00573AD5">
            <w:pPr>
              <w:pStyle w:val="ListParagraph"/>
              <w:numPr>
                <w:ilvl w:val="0"/>
                <w:numId w:val="21"/>
              </w:numPr>
              <w:spacing w:line="276" w:lineRule="auto"/>
              <w:contextualSpacing/>
              <w:rPr>
                <w:lang w:val="ro-RO"/>
              </w:rPr>
            </w:pPr>
            <w:r>
              <w:rPr>
                <w:lang w:val="ro-RO"/>
              </w:rPr>
              <w:t>Creșterea frecvenței trenurilor pe principalele coridoare pentru îmbunătățirea competitivității căii ferate</w:t>
            </w:r>
          </w:p>
          <w:p w:rsidR="00573AD5" w:rsidRDefault="00573AD5" w:rsidP="00573AD5">
            <w:pPr>
              <w:pStyle w:val="ListParagraph"/>
              <w:numPr>
                <w:ilvl w:val="0"/>
                <w:numId w:val="21"/>
              </w:numPr>
              <w:spacing w:line="276" w:lineRule="auto"/>
              <w:contextualSpacing/>
              <w:rPr>
                <w:lang w:val="ro-RO"/>
              </w:rPr>
            </w:pPr>
            <w:r>
              <w:rPr>
                <w:lang w:val="ro-RO"/>
              </w:rPr>
              <w:t xml:space="preserve">Extinderea rețelei cu linii electrificate </w:t>
            </w:r>
          </w:p>
          <w:p w:rsidR="00573AD5" w:rsidRDefault="00573AD5" w:rsidP="00573AD5">
            <w:pPr>
              <w:pStyle w:val="ListParagraph"/>
              <w:numPr>
                <w:ilvl w:val="0"/>
                <w:numId w:val="21"/>
              </w:numPr>
              <w:spacing w:line="276" w:lineRule="auto"/>
              <w:contextualSpacing/>
              <w:rPr>
                <w:lang w:val="ro-RO"/>
              </w:rPr>
            </w:pPr>
            <w:r>
              <w:rPr>
                <w:lang w:val="ro-RO"/>
              </w:rPr>
              <w:t xml:space="preserve">Infrastructruă de linii noi – dublare de linii sau linii noi </w:t>
            </w:r>
          </w:p>
        </w:tc>
      </w:tr>
      <w:tr w:rsidR="00573AD5" w:rsidRPr="0076579A" w:rsidTr="0030066D">
        <w:tc>
          <w:tcPr>
            <w:tcW w:w="1579" w:type="pct"/>
            <w:vAlign w:val="center"/>
          </w:tcPr>
          <w:p w:rsidR="00573AD5" w:rsidRDefault="00573AD5" w:rsidP="00573AD5">
            <w:pPr>
              <w:spacing w:before="120"/>
              <w:rPr>
                <w:rFonts w:cs="Arial"/>
                <w:kern w:val="24"/>
                <w:sz w:val="20"/>
                <w:szCs w:val="20"/>
                <w:lang w:val="ro-RO" w:eastAsia="en-GB"/>
              </w:rPr>
            </w:pPr>
            <w:r>
              <w:rPr>
                <w:rFonts w:cs="Arial"/>
                <w:kern w:val="24"/>
                <w:sz w:val="20"/>
                <w:szCs w:val="20"/>
                <w:lang w:val="ro-RO" w:eastAsia="en-GB"/>
              </w:rPr>
              <w:t>Tema 7 – Starea precară a infrastructurii conduce la condiții nesatisfăcătoare pentru transportul de marfă</w:t>
            </w:r>
          </w:p>
        </w:tc>
        <w:tc>
          <w:tcPr>
            <w:tcW w:w="3421" w:type="pct"/>
          </w:tcPr>
          <w:p w:rsidR="00573AD5" w:rsidRDefault="00573AD5" w:rsidP="00573AD5">
            <w:pPr>
              <w:pStyle w:val="ListParagraph"/>
              <w:numPr>
                <w:ilvl w:val="0"/>
                <w:numId w:val="21"/>
              </w:numPr>
              <w:spacing w:line="276" w:lineRule="auto"/>
              <w:contextualSpacing/>
              <w:rPr>
                <w:lang w:val="ro-RO"/>
              </w:rPr>
            </w:pPr>
            <w:r>
              <w:rPr>
                <w:lang w:val="ro-RO"/>
              </w:rPr>
              <w:t xml:space="preserve">Introducerea unei viteze maxime permise mai mari pentru creșterae competitivității transportului de mărfuri pe calea ferată față de alte modouri de transport </w:t>
            </w:r>
          </w:p>
        </w:tc>
      </w:tr>
      <w:tr w:rsidR="00573AD5" w:rsidRPr="0076579A" w:rsidTr="0030066D">
        <w:tc>
          <w:tcPr>
            <w:tcW w:w="1579" w:type="pct"/>
            <w:vAlign w:val="center"/>
          </w:tcPr>
          <w:p w:rsidR="00573AD5" w:rsidRDefault="00573AD5" w:rsidP="00573AD5">
            <w:pPr>
              <w:spacing w:before="120"/>
              <w:rPr>
                <w:rFonts w:cs="Arial"/>
                <w:kern w:val="24"/>
                <w:sz w:val="20"/>
                <w:szCs w:val="20"/>
                <w:lang w:val="ro-RO" w:eastAsia="en-GB"/>
              </w:rPr>
            </w:pPr>
            <w:r>
              <w:rPr>
                <w:rFonts w:cs="Arial"/>
                <w:kern w:val="24"/>
                <w:sz w:val="20"/>
                <w:szCs w:val="20"/>
                <w:lang w:val="ro-RO" w:eastAsia="en-GB"/>
              </w:rPr>
              <w:t xml:space="preserve">Tema 8: Management și operare inadecvate pentru transportul feroviar de marfă  </w:t>
            </w:r>
          </w:p>
          <w:p w:rsidR="00573AD5" w:rsidRDefault="00573AD5" w:rsidP="00573AD5">
            <w:pPr>
              <w:spacing w:before="120"/>
              <w:rPr>
                <w:rFonts w:cs="Arial"/>
                <w:kern w:val="24"/>
                <w:sz w:val="20"/>
                <w:szCs w:val="20"/>
                <w:lang w:val="ro-RO" w:eastAsia="en-GB"/>
              </w:rPr>
            </w:pPr>
          </w:p>
        </w:tc>
        <w:tc>
          <w:tcPr>
            <w:tcW w:w="3421" w:type="pct"/>
          </w:tcPr>
          <w:p w:rsidR="00573AD5" w:rsidRDefault="00573AD5" w:rsidP="00573AD5">
            <w:pPr>
              <w:pStyle w:val="ListParagraph"/>
              <w:numPr>
                <w:ilvl w:val="0"/>
                <w:numId w:val="21"/>
              </w:numPr>
              <w:spacing w:line="276" w:lineRule="auto"/>
              <w:contextualSpacing/>
              <w:rPr>
                <w:lang w:val="ro-RO"/>
              </w:rPr>
            </w:pPr>
            <w:r>
              <w:rPr>
                <w:lang w:val="ro-RO"/>
              </w:rPr>
              <w:t xml:space="preserve">Aplicarea noilor tehnologii și sisteme în sectorul transportului feroviar de marfă pentru creșterea eficienței </w:t>
            </w:r>
          </w:p>
        </w:tc>
      </w:tr>
      <w:tr w:rsidR="00573AD5" w:rsidRPr="0076579A" w:rsidTr="0030066D">
        <w:tc>
          <w:tcPr>
            <w:tcW w:w="1579" w:type="pct"/>
            <w:vAlign w:val="center"/>
          </w:tcPr>
          <w:p w:rsidR="00573AD5" w:rsidRDefault="00573AD5" w:rsidP="00573AD5">
            <w:pPr>
              <w:spacing w:before="120"/>
              <w:rPr>
                <w:rFonts w:cs="Arial"/>
                <w:kern w:val="24"/>
                <w:sz w:val="20"/>
                <w:szCs w:val="20"/>
                <w:lang w:val="ro-RO" w:eastAsia="en-GB"/>
              </w:rPr>
            </w:pPr>
            <w:r>
              <w:rPr>
                <w:rFonts w:cs="Arial"/>
                <w:kern w:val="24"/>
                <w:sz w:val="20"/>
                <w:szCs w:val="20"/>
                <w:lang w:val="ro-RO" w:eastAsia="en-GB"/>
              </w:rPr>
              <w:t xml:space="preserve">Tema  9 – Deficit de infrastructură care afectează serviciile de </w:t>
            </w:r>
            <w:r>
              <w:rPr>
                <w:rFonts w:cs="Arial"/>
                <w:kern w:val="24"/>
                <w:sz w:val="20"/>
                <w:szCs w:val="20"/>
                <w:lang w:val="ro-RO" w:eastAsia="en-GB"/>
              </w:rPr>
              <w:lastRenderedPageBreak/>
              <w:t xml:space="preserve">transport mărfuri </w:t>
            </w:r>
          </w:p>
        </w:tc>
        <w:tc>
          <w:tcPr>
            <w:tcW w:w="3421" w:type="pct"/>
          </w:tcPr>
          <w:p w:rsidR="00573AD5" w:rsidRDefault="00573AD5" w:rsidP="00573AD5">
            <w:pPr>
              <w:pStyle w:val="ListParagraph"/>
              <w:numPr>
                <w:ilvl w:val="0"/>
                <w:numId w:val="21"/>
              </w:numPr>
              <w:spacing w:line="276" w:lineRule="auto"/>
              <w:contextualSpacing/>
              <w:rPr>
                <w:lang w:val="ro-RO"/>
              </w:rPr>
            </w:pPr>
            <w:r>
              <w:rPr>
                <w:lang w:val="ro-RO"/>
              </w:rPr>
              <w:lastRenderedPageBreak/>
              <w:t xml:space="preserve">Construirea noilor terminale intermodale în locații strategice (descirse în capitolul </w:t>
            </w:r>
          </w:p>
          <w:p w:rsidR="00573AD5" w:rsidRDefault="00573AD5" w:rsidP="00573AD5">
            <w:pPr>
              <w:pStyle w:val="ListParagraph"/>
              <w:numPr>
                <w:ilvl w:val="0"/>
                <w:numId w:val="21"/>
              </w:numPr>
              <w:spacing w:line="276" w:lineRule="auto"/>
              <w:contextualSpacing/>
              <w:rPr>
                <w:lang w:val="ro-RO"/>
              </w:rPr>
            </w:pPr>
            <w:r>
              <w:rPr>
                <w:lang w:val="ro-RO"/>
              </w:rPr>
              <w:lastRenderedPageBreak/>
              <w:t>Creșterea greutății totale pe osie la 22.5 tone</w:t>
            </w:r>
          </w:p>
          <w:p w:rsidR="00573AD5" w:rsidRDefault="00573AD5" w:rsidP="00573AD5">
            <w:pPr>
              <w:pStyle w:val="ListParagraph"/>
              <w:numPr>
                <w:ilvl w:val="0"/>
                <w:numId w:val="21"/>
              </w:numPr>
              <w:spacing w:line="276" w:lineRule="auto"/>
              <w:contextualSpacing/>
              <w:rPr>
                <w:lang w:val="ro-RO"/>
              </w:rPr>
            </w:pPr>
            <w:r>
              <w:rPr>
                <w:lang w:val="ro-RO"/>
              </w:rPr>
              <w:t xml:space="preserve">Achiziționarea de noi locomotive de marfă cu sistem de frânare regenerativă </w:t>
            </w:r>
          </w:p>
        </w:tc>
      </w:tr>
    </w:tbl>
    <w:p w:rsidR="00573AD5" w:rsidRPr="0076579A" w:rsidRDefault="00573AD5" w:rsidP="0030066D">
      <w:pPr>
        <w:spacing w:after="60"/>
        <w:rPr>
          <w:b/>
          <w:lang w:val="ro-RO"/>
        </w:rPr>
      </w:pPr>
    </w:p>
    <w:p w:rsidR="00573AD5" w:rsidRDefault="00573AD5" w:rsidP="00573AD5">
      <w:pPr>
        <w:pStyle w:val="Hdg2"/>
        <w:tabs>
          <w:tab w:val="clear" w:pos="2280"/>
          <w:tab w:val="num" w:pos="1146"/>
        </w:tabs>
        <w:ind w:left="1106"/>
      </w:pPr>
      <w:bookmarkStart w:id="109" w:name="_Toc413057757"/>
      <w:bookmarkStart w:id="110" w:name="_Toc413060324"/>
      <w:r>
        <w:t>Descrierea propunerilor</w:t>
      </w:r>
      <w:bookmarkEnd w:id="109"/>
      <w:bookmarkEnd w:id="110"/>
      <w:r>
        <w:t xml:space="preserve"> </w:t>
      </w:r>
    </w:p>
    <w:p w:rsidR="00573AD5" w:rsidRDefault="00573AD5" w:rsidP="0030066D">
      <w:pPr>
        <w:pStyle w:val="Hdg3"/>
      </w:pPr>
      <w:r>
        <w:t>Tema 1: Crearea unei Agenții pentru Reforma Feroviară</w:t>
      </w:r>
    </w:p>
    <w:p w:rsidR="00573AD5" w:rsidRPr="0076579A" w:rsidRDefault="00573AD5" w:rsidP="002B7E09">
      <w:pPr>
        <w:pStyle w:val="NumberedParas"/>
      </w:pPr>
      <w:r w:rsidRPr="0076579A">
        <w:rPr>
          <w:b/>
        </w:rPr>
        <w:t>Problema:</w:t>
      </w:r>
      <w:r w:rsidRPr="0076579A">
        <w:t xml:space="preserve"> </w:t>
      </w:r>
      <w:r>
        <w:t>E</w:t>
      </w:r>
      <w:r w:rsidRPr="0076579A">
        <w:t>ste necesară revizuirea unor aspecte fundamentale în cadrul regimului de guvernare. În consecință, sistemul de plată a operatorilor din cadrul Contractelor de Servicii Publice este în principal  bazat pe numărul de trenuri care operează, și nu pe durata de parcurs a acestor trenuri sau pe venitul generat. Clauzele din cadrul Contractelor de Servicii Publice privind plata operatorilor de tren sunt destul de simpliste, de exemplu 80% din suma acordată către CFR Călători este bazată pe numărul de km parcurși de tren și 20% pe încasările în urma vânzării d</w:t>
      </w:r>
      <w:r w:rsidRPr="00B64FCF">
        <w:rPr>
          <w:sz w:val="20"/>
          <w:szCs w:val="20"/>
        </w:rPr>
        <w:t>e bi</w:t>
      </w:r>
      <w:r w:rsidRPr="0076579A">
        <w:t>lete. În consecință, acest mecanism nu introduce deloc stimulente financiare sau introduce stimulente insuficiente pentru maximizarea eficienței, reducerea întârzierilor și creșterea performanței;</w:t>
      </w:r>
    </w:p>
    <w:p w:rsidR="00573AD5" w:rsidRDefault="00573AD5" w:rsidP="002B7E09">
      <w:pPr>
        <w:pStyle w:val="NumberedParas"/>
      </w:pPr>
      <w:r w:rsidRPr="00D62754">
        <w:rPr>
          <w:b/>
        </w:rPr>
        <w:t>Soluții propuse</w:t>
      </w:r>
      <w:r w:rsidRPr="0076579A">
        <w:t>: O analiza în detaliu a contractelor de servicii publice este așadar necesară și este dependentă de intervențiile prezentate mai sus:</w:t>
      </w:r>
      <w:r w:rsidRPr="00D62754">
        <w:rPr>
          <w:b/>
        </w:rPr>
        <w:t xml:space="preserve"> </w:t>
      </w:r>
      <w:r w:rsidRPr="00F317F2">
        <w:t xml:space="preserve">Aceasta </w:t>
      </w:r>
      <w:r>
        <w:t>include f</w:t>
      </w:r>
      <w:r w:rsidRPr="0076579A">
        <w:t>urnizarea unui grafic de mers al trenurilor cu un număr mai mare de curse în care să fie inclusă operarea a 85-90% de trenuri și nu a 65% cum este cazul în prezent. Această acțiune va reduce considerabil cerințele de material rulant din graficul actual de mers al trenurilor și va avea impact asupra numărului d</w:t>
      </w:r>
      <w:r>
        <w:t>e unități ce trebuie înlocuite.</w:t>
      </w:r>
      <w:r w:rsidRPr="0076579A">
        <w:t>Pe lângă eficiența materialului rulant, există de asemenea posibilitatea de a reduce costurile cu personalul prin repartizarea acestu</w:t>
      </w:r>
      <w:r>
        <w:t>ia într-o manieră mai eficientă. Alte măsuri includ un</w:t>
      </w:r>
      <w:r w:rsidRPr="0076579A">
        <w:t xml:space="preserve"> program de întreținere alternativ care să permită trenurilor să circule în timpul dimineții, pentru a elimina timpii morți actuali </w:t>
      </w:r>
      <w:r>
        <w:t>(</w:t>
      </w:r>
      <w:r w:rsidRPr="0076579A">
        <w:t>de până la 7 ore</w:t>
      </w:r>
      <w:r>
        <w:t>)</w:t>
      </w:r>
      <w:r w:rsidRPr="0076579A">
        <w:t xml:space="preserve">, fapt ce va contribui la atragerea de noi </w:t>
      </w:r>
      <w:r>
        <w:t xml:space="preserve">călători și va spori veniturile. Abordarea revizuită va veni în sprijinul atragerii de noi pasageri și creșterii veniturilor. Se mai pot lua măsuri comerciale precum un management mai eficient al profitului, introducerea unor servicii mai competitive plus strategii de eliminare a călătoriilor frauduloase. </w:t>
      </w:r>
    </w:p>
    <w:p w:rsidR="00573AD5" w:rsidRDefault="00573AD5" w:rsidP="002B7E09">
      <w:pPr>
        <w:pStyle w:val="NumberedParas"/>
      </w:pPr>
      <w:r w:rsidRPr="00651086">
        <w:t>Intr</w:t>
      </w:r>
      <w:r>
        <w:t>oducerea unui cadru de partajare a veniturilor poate fi de asemenea avantajos în sensul asigurării unei motivații continue operatorului pentru a se dezvolta ulterior. Aceste schimbări vor trebui introduse gradual pentru a evita situațiile în care operatorii sunt afectați de probleme financiare dacă schimbările mersului trenurilor nu sunt introduse destul de repede sau dacă pasagerii nu reacționează la timp. Odată ce sistemul este aplicat, datele de bază vor demonstra că se pot realiza creșteri economice și/sau reduceri de cost, care vor perimte următoarelor ținte comerciale să fie proiectate în funcție de necesități.</w:t>
      </w:r>
    </w:p>
    <w:p w:rsidR="00573AD5" w:rsidRDefault="00573AD5" w:rsidP="002B7E09">
      <w:pPr>
        <w:pStyle w:val="NumberedParas"/>
      </w:pPr>
      <w:r>
        <w:t xml:space="preserve">Pentru a asigura tranziția eficientă de la regimul actual de compensare și un cadru viitor care include o mai puternică orientare comercială, trebuie examinată fezabilitatea operării serviciilor de transport feroviar de călători ca o concesiune și nu ca franchiză pentru o perioadă inițială. În locul preluării de către noul operator al riscuirilor privind veniturile pentru serviciile care, la început, vor suferi schimbări substanțiale, recomandăm analiza fezabilității preluării pe termen scurt a acestor riscuri de către Guvernul României, pentru perioada de tranziție. Aceasta ar permite minimizarea impactului financiar al asumării riscurilor aferente veniturilor din această perioadă. Ca parte a concensiunii operatorul trebuie să primpască încă facilități pentru a putea introduce schimbări mai semnificative și astfel să atingă o creștere a </w:t>
      </w:r>
      <w:r>
        <w:lastRenderedPageBreak/>
        <w:t xml:space="preserve">veniturilor. După terminarea perioadei de tranziție trebuie intordus un regim contractual alternativ, bazat pe un sistem de franciză, în care operatorul preia riscurile aferente veniturilor. </w:t>
      </w:r>
    </w:p>
    <w:p w:rsidR="00573AD5" w:rsidRDefault="00573AD5" w:rsidP="002B7E09">
      <w:pPr>
        <w:pStyle w:val="NumberedParas"/>
      </w:pPr>
      <w:r>
        <w:t>Agenția de Reformă Feroviară propusă va fi înființată pentru a implementa multe dintre aceste schimbări. Rolul său va varia în timp având competența de a aborda sarcini specifice într-o ordine prioritizată pentru asigurarea finalizării în timp util a unui program compelx de activități. Aceasta va ajuta la îmbunătățirea poziției financiare generale a operatorului și furnizorului de infrastructură</w:t>
      </w:r>
    </w:p>
    <w:p w:rsidR="00573AD5" w:rsidRDefault="00573AD5" w:rsidP="002B7E09">
      <w:pPr>
        <w:pStyle w:val="NumberedParas"/>
      </w:pPr>
      <w:r>
        <w:t>ARFva avea următoarele responsabilități:</w:t>
      </w:r>
    </w:p>
    <w:p w:rsidR="00573AD5" w:rsidRDefault="00573AD5" w:rsidP="00573AD5">
      <w:pPr>
        <w:pStyle w:val="BulletLevel1"/>
        <w:spacing w:after="60"/>
      </w:pPr>
      <w:r>
        <w:t>Recrutarea personalului și identificarea rolurilor acestuia</w:t>
      </w:r>
    </w:p>
    <w:p w:rsidR="00573AD5" w:rsidRDefault="00573AD5" w:rsidP="00573AD5">
      <w:pPr>
        <w:pStyle w:val="BulletLevel1"/>
        <w:spacing w:after="60"/>
      </w:pPr>
      <w:r>
        <w:t xml:space="preserve"> Gestionarea tranziției dintre sistemul curent și implementarea diferitelor alternative </w:t>
      </w:r>
    </w:p>
    <w:p w:rsidR="00573AD5" w:rsidRDefault="00573AD5" w:rsidP="00573AD5">
      <w:pPr>
        <w:pStyle w:val="BulletLevel1"/>
        <w:spacing w:after="60"/>
      </w:pPr>
      <w:r>
        <w:t>Managementul procesului pentru identificarea rețele iprimare și apoi implementarea programului de închideri de linii;</w:t>
      </w:r>
    </w:p>
    <w:p w:rsidR="00573AD5" w:rsidRDefault="00573AD5" w:rsidP="00573AD5">
      <w:pPr>
        <w:pStyle w:val="BulletLevel1"/>
        <w:spacing w:after="60"/>
      </w:pPr>
      <w:r>
        <w:t>Definirea ariilor geografice inițial pentru concesiuni și apoi pentru tranziția către sistemul de franciză pe termen mai lung;</w:t>
      </w:r>
    </w:p>
    <w:p w:rsidR="00573AD5" w:rsidRDefault="00573AD5" w:rsidP="00573AD5">
      <w:pPr>
        <w:pStyle w:val="BulletLevel1"/>
        <w:spacing w:after="60"/>
      </w:pPr>
      <w:r>
        <w:t xml:space="preserve">Sprijinirea CFR Infrastructură în elaborarea unui Plan potrivit Directivei UE 34/2012, și obținerea acordului din partea Minsiterului Transporturilor pentru finațare și pregătirea contractelor care răspund cerințelor pieței între operator și managerul de infrastructură pentru asigurarea serviciilor eficiente. </w:t>
      </w:r>
    </w:p>
    <w:p w:rsidR="00573AD5" w:rsidRPr="0076579A" w:rsidRDefault="00573AD5" w:rsidP="002B7E09">
      <w:pPr>
        <w:pStyle w:val="NumberedParas"/>
      </w:pPr>
      <w:r>
        <w:t xml:space="preserve">Tema 2 - Sustenabilitatea Infrastructurii </w:t>
      </w:r>
      <w:r w:rsidRPr="0076579A">
        <w:t xml:space="preserve">În ultimii zece ani infrastructura feroviară din România s-a deteriorat constant cu o necesitate crescândă de recuperare a deficitului de întreținere și de reparații capitale. Mai mult, un număr mare de active, printre care calea ferată, semnalele și electrificarea din catenară au durata de viață depășită. Acestea au rezultat în impunerea unor restricții de viteză ce au dus la o creștere semnificativă a timpilor de parcurs pentru serviciile de transport călători. Deși s-au investit fonduri considerabile în îmbunătățirea rețelei feroviare pe anumite coridoare, printre care distanța București - Constanța și Brașov, aceste îmbunătățiri au avut un impact limitat asupra timpilor de parcurs. În prezent, după reabilitare, durata de călătorie pe linia București - Constanța este cu 9 minute mai mare decât înainte de reabilitare sau cu aproximativ 40% mai mare decât durata intenționată, de 2 ore. Pe alte rute, timpii de parcurs au crescut într-un ritm și mai alert începând cu anul 2000. În consecință, există o nevoie clară de a identifica opțiuni realiste pentru a furniza o rețea sustenabilă din punct de vedere financiar, care să deservească într-o manieră adecvată piețelor din rețeaua de bază pentru a permite acestui mod de transport să își asigure un avantaj în ceea ce privește competitivitatea pe termen lung. </w:t>
      </w:r>
    </w:p>
    <w:p w:rsidR="00573AD5" w:rsidRPr="0076579A" w:rsidRDefault="00573AD5" w:rsidP="0030066D">
      <w:pPr>
        <w:pStyle w:val="Hdg3"/>
      </w:pPr>
      <w:r>
        <w:t>Tema 2 – Bugetul pentru întreținere și reparații capitale</w:t>
      </w:r>
    </w:p>
    <w:p w:rsidR="00573AD5" w:rsidRPr="0076579A" w:rsidRDefault="00573AD5" w:rsidP="002B7E09">
      <w:pPr>
        <w:pStyle w:val="NumberedParas"/>
      </w:pPr>
      <w:r>
        <w:t>E</w:t>
      </w:r>
      <w:r w:rsidRPr="0076579A">
        <w:t>xistă două aspecte importante care trebuie evidențiate. În primul rând, nu este posibilă menținerea dimensiunii actuale a rețelei feroviare la standardele solicitate. În al doilea rând, există porțiuni semnificative ale rețelei pe care se transportă volume foarte mici de călători sau mărfuri, care consumă resurse ce ar putea fi utilizate mai eficient, în alte scopuri. Dat fiind nivelul redus de utilizare a transportului feroviar de călători și mărfuri per km cale ferată</w:t>
      </w:r>
      <w:r>
        <w:t>, pe anumite segment ale rețelei,</w:t>
      </w:r>
      <w:r w:rsidRPr="0076579A">
        <w:t xml:space="preserve"> și </w:t>
      </w:r>
      <w:r>
        <w:t>disponibilitatea limitată a finanițării</w:t>
      </w:r>
      <w:r w:rsidRPr="0076579A">
        <w:t xml:space="preserve">, este necesară o abordare care să aibă ca scop principal investiția în coridoarele principale de interes public național și care suportă cea mai mare parte a traficului feroviar. </w:t>
      </w:r>
      <w:r>
        <w:t xml:space="preserve">Aceasta se poate obține prin concentrarea pe definirea unei rețele primare cu un număr mai mic de km traseu. </w:t>
      </w:r>
      <w:r w:rsidRPr="0076579A">
        <w:t xml:space="preserve">Clasificarea actuală a căii ferate în linii interoperable și neinteroperabile ar putea fi înlocuită cu rute </w:t>
      </w:r>
      <w:r w:rsidRPr="0076579A">
        <w:lastRenderedPageBreak/>
        <w:t xml:space="preserve">principale de interes național. Rutele secundare care au funcționalitate locală  ar putea fi preluate și întreținute de către autoritățile locale, însă fără fonduri de la stat. Dacă o linie secundară nu este transferată din proprietatea CFR Infrastructură, atunci aceasta va fi automat închisă. Dimensiunea rețelei de bază ar trebui să fie în concordanță cu cererea de transport călători și cu resursele financiare disponibile. </w:t>
      </w:r>
    </w:p>
    <w:p w:rsidR="00573AD5" w:rsidRPr="0076579A" w:rsidRDefault="006566F8" w:rsidP="0030066D">
      <w:pPr>
        <w:pStyle w:val="Hdg3"/>
      </w:pPr>
      <w:r>
        <w:t>Tema</w:t>
      </w:r>
      <w:r w:rsidR="00573AD5">
        <w:t xml:space="preserve"> 2 – Programul de Reparații și  Reînnoiri </w:t>
      </w:r>
    </w:p>
    <w:p w:rsidR="00573AD5" w:rsidRPr="0076579A" w:rsidRDefault="00573AD5" w:rsidP="002B7E09">
      <w:pPr>
        <w:pStyle w:val="NumberedParas"/>
      </w:pPr>
      <w:r w:rsidRPr="0076579A">
        <w:t xml:space="preserve">În ciuda deficitului considerabil </w:t>
      </w:r>
      <w:r>
        <w:t>de investiții pentru reînnoiri și reparații</w:t>
      </w:r>
      <w:r w:rsidRPr="0076579A">
        <w:t xml:space="preserve"> comparativ cu nivelul solicitat și a densității reduse </w:t>
      </w:r>
      <w:r>
        <w:t>a traficului pe anumite segemnete sub-utilizate ale rețelei,</w:t>
      </w:r>
      <w:r w:rsidRPr="0076579A">
        <w:t xml:space="preserve">, există un număr de măsuri ce pot fi luate care are putea </w:t>
      </w:r>
      <w:r>
        <w:t xml:space="preserve">conduce la o </w:t>
      </w:r>
      <w:r w:rsidRPr="0076579A">
        <w:t>situație mai sustenabilă și ar putea reduce din deficinețele de finanțare, printre care:</w:t>
      </w:r>
    </w:p>
    <w:p w:rsidR="00573AD5" w:rsidRPr="0076579A" w:rsidRDefault="00573AD5" w:rsidP="00573AD5">
      <w:pPr>
        <w:pStyle w:val="BulletLevel1"/>
        <w:spacing w:after="60"/>
      </w:pPr>
      <w:r w:rsidRPr="0076579A">
        <w:t>raționalizarea rețelei astfel încât cerințele de finanțare necesare pentru întreținere și recuperarea deficitului de reparații capitale să fie mai redus;</w:t>
      </w:r>
    </w:p>
    <w:p w:rsidR="00573AD5" w:rsidRPr="0076579A" w:rsidRDefault="00573AD5" w:rsidP="00573AD5">
      <w:pPr>
        <w:pStyle w:val="BulletLevel1"/>
        <w:spacing w:after="60"/>
      </w:pPr>
      <w:r w:rsidRPr="0076579A">
        <w:t xml:space="preserve">introducerea </w:t>
      </w:r>
      <w:r>
        <w:t xml:space="preserve">unor inițiative </w:t>
      </w:r>
      <w:r w:rsidRPr="0076579A">
        <w:t xml:space="preserve"> comerciale </w:t>
      </w:r>
      <w:r>
        <w:t xml:space="preserve">diverse </w:t>
      </w:r>
      <w:r w:rsidRPr="0076579A">
        <w:t>pentru a crește venitul; și</w:t>
      </w:r>
    </w:p>
    <w:p w:rsidR="00573AD5" w:rsidRPr="0076579A" w:rsidRDefault="00573AD5" w:rsidP="00573AD5">
      <w:pPr>
        <w:pStyle w:val="BulletLevel1"/>
        <w:spacing w:after="60"/>
      </w:pPr>
      <w:r w:rsidRPr="0076579A">
        <w:t>creșterea finanțării.</w:t>
      </w:r>
    </w:p>
    <w:p w:rsidR="00573AD5" w:rsidRPr="00AD3449" w:rsidRDefault="00573AD5" w:rsidP="002B7E09">
      <w:pPr>
        <w:pStyle w:val="NumberedParas"/>
      </w:pPr>
      <w:r w:rsidRPr="0076579A">
        <w:t xml:space="preserve">Alte inițiative ar putea include introducerea unor servicii de transport călători mai competitive, o mai mare responsabilizare și un program de îmbunătățire a eficienței. S-a efectuat un exercițiu de prioritizare a legăturilor feroviare care generează cel mai mare venit (atât din încasările pe bilete în cazul transportului feroviar de călători, cât și din taxele de utilizare a infrastructurii în cazul transportului feroviar de mărfuri) comparativ cu costurile înregistrate (costuri de operare a </w:t>
      </w:r>
      <w:r w:rsidRPr="00AD3449">
        <w:t>trenurilor și costuri de întreținere și reparații capitale) pentru a afla raportul de recuperare a costurilor (RCC).</w:t>
      </w:r>
      <w:r w:rsidRPr="0076579A">
        <w:t xml:space="preserve"> Rețeaua interoperabilă și neinteroperabilă a fost abordată în același mod pentru a putea asigura identificarea unei rețele sustenabile indiferent de proprietar sau de </w:t>
      </w:r>
      <w:r w:rsidRPr="00AD3449">
        <w:t>mecanismele de finanțare alternative alese. Principalele tendințe includ:</w:t>
      </w:r>
    </w:p>
    <w:p w:rsidR="00573AD5" w:rsidRPr="00AD3449" w:rsidRDefault="00573AD5" w:rsidP="00573AD5">
      <w:pPr>
        <w:pStyle w:val="BulletLevel1"/>
        <w:spacing w:after="60"/>
      </w:pPr>
      <w:r w:rsidRPr="00AD3449">
        <w:t>Rutele care generează cel mai mare raport cost-venit includ distanța București – Timișoara via Craiova și Caransebeș, plus linia secundară utilizată pentru transportul de cărbune la nord-vest de Strehaia. Multe dintre aceste rute au un raport cost-venit mai mare de 0.6;</w:t>
      </w:r>
    </w:p>
    <w:p w:rsidR="00573AD5" w:rsidRPr="00AD3449" w:rsidRDefault="00573AD5" w:rsidP="00573AD5">
      <w:pPr>
        <w:pStyle w:val="BulletLevel1"/>
        <w:spacing w:after="60"/>
      </w:pPr>
      <w:r w:rsidRPr="00AD3449">
        <w:t xml:space="preserve">Ruta București – Constanța are un raport de 0.4 ceea ce reflectă faptul că pe acest coridor circulă atât trenuri de transport călători, cât și de transport mărfuri; </w:t>
      </w:r>
    </w:p>
    <w:p w:rsidR="00573AD5" w:rsidRDefault="00573AD5" w:rsidP="00573AD5">
      <w:pPr>
        <w:pStyle w:val="BulletLevel1"/>
        <w:spacing w:after="60"/>
      </w:pPr>
      <w:r w:rsidRPr="00AD3449">
        <w:t>În vreme ce pe liniile București - Suceava via Ploiești și Ploiești – Brașov raportul cost-venit este de aproximativ 0.4, există numeroase linii secundare care au un raport cost-venit mai mic de 0.1. Majoritatea acestor linii sunt simple și neelectrificate. Deși pe aceste</w:t>
      </w:r>
      <w:r w:rsidRPr="0076579A">
        <w:t xml:space="preserve"> linii cerințele de întreținere sunt mai mici, lipsa trenurilor de transport călători și mărfuri este factorul principal.  </w:t>
      </w:r>
    </w:p>
    <w:p w:rsidR="00573AD5" w:rsidRDefault="00573AD5" w:rsidP="0030066D">
      <w:pPr>
        <w:pStyle w:val="Hdg3"/>
      </w:pPr>
      <w:r>
        <w:t>Tema 2 – Identificarea Rețelei Primare și Secundare</w:t>
      </w:r>
    </w:p>
    <w:p w:rsidR="00573AD5" w:rsidRDefault="00573AD5" w:rsidP="002B7E09">
      <w:pPr>
        <w:pStyle w:val="NumberedParas"/>
      </w:pPr>
      <w:r w:rsidRPr="0076579A">
        <w:t xml:space="preserve">Există porțiuni mari ale rețelei feroviare din România care generează venituri relativ mici, fie prin încasările pe bilete, fie prin taxele de utilizare a infrastructurii, raportat la costurile de operare și întreținere a acestora. S-au analizat diferite scenarii de finanțare pentru a înțelege </w:t>
      </w:r>
      <w:r>
        <w:t>conexiunile</w:t>
      </w:r>
      <w:r w:rsidRPr="0076579A">
        <w:t xml:space="preserve"> între procentajul privind transportul de călători și cel de mărfuri care ar fi păstrat prin rețelele </w:t>
      </w:r>
      <w:r>
        <w:t xml:space="preserve">alternative </w:t>
      </w:r>
      <w:r w:rsidRPr="0076579A">
        <w:t xml:space="preserve">propuse și implicațiile privind finanțarea. Din această evaluare a reieșit faptul că menținerea de aproximativ 55% din 18.973 km de </w:t>
      </w:r>
      <w:r>
        <w:t>rețea</w:t>
      </w:r>
      <w:r w:rsidRPr="0076579A">
        <w:t xml:space="preserve"> permite ca aproximativ 99% din trafic să poată fi continuat. Numărul de 18.973 km </w:t>
      </w:r>
      <w:r>
        <w:t>linie principală</w:t>
      </w:r>
      <w:r w:rsidRPr="0076579A">
        <w:t xml:space="preserve"> estimat include liniile de garare din stațiile suplimentare și liniile directe, astfel încât impactul asupra rețelei operaționale să fie mai mic. Utilizând tarife unitare per km cale ferată pentru lucrările de </w:t>
      </w:r>
      <w:r>
        <w:lastRenderedPageBreak/>
        <w:t>întreținere și reparații capitale</w:t>
      </w:r>
      <w:r w:rsidRPr="0076579A">
        <w:t xml:space="preserve"> și facând o comparație cu alte țări din UE, s-a estimat un buget necesar de aproximativ 287 milioane euro pentru lucrările de întreținere și 245 milioane euro pentru lucrările de modernizare pe an, plus aproximativ 518 milioane euro anual pentru o perioadă de 15 ani pentru a recupera deficitul de reparații capitale. </w:t>
      </w:r>
      <w:r>
        <w:t xml:space="preserve">Costurile estimate pentru reabliitarea liniei sunt bazate pe ratele unitare medii, reprezentând tracțiune electrică sau diesel pe linie simplă sau dublă, dar nu există o descriere a caracteristicilor geografice ale fiecărei linii, spre exemplu liniille amplasate în arii topografice dificile. </w:t>
      </w:r>
    </w:p>
    <w:p w:rsidR="00573AD5" w:rsidRDefault="00573AD5" w:rsidP="002B7E09">
      <w:pPr>
        <w:pStyle w:val="NumberedParas"/>
        <w:rPr>
          <w:rFonts w:cs="Arial"/>
          <w:b/>
          <w:sz w:val="20"/>
          <w:szCs w:val="20"/>
        </w:rPr>
      </w:pPr>
      <w:r w:rsidRPr="0076579A">
        <w:t>Introducerea unor inițiative comerciale</w:t>
      </w:r>
      <w:r>
        <w:t>, inclusiv strategii mai eficiente de protejare a veniturilor, ar</w:t>
      </w:r>
      <w:r w:rsidRPr="0076579A">
        <w:t xml:space="preserve"> putea spori veniturile cu încă 45 milioane euro pe an. În </w:t>
      </w:r>
      <w:r>
        <w:t>Figura 5.</w:t>
      </w:r>
      <w:r w:rsidRPr="0076579A">
        <w:t>2</w:t>
      </w:r>
      <w:r>
        <w:t>5</w:t>
      </w:r>
      <w:r w:rsidRPr="0076579A">
        <w:t xml:space="preserve"> este prezentată aria de acoperire a rețelei care ar fi menținută și sunt, de </w:t>
      </w:r>
      <w:r w:rsidRPr="00AD3449">
        <w:t xml:space="preserve">asemenea, incluse câteva linii care ar trebui păstrate pentru legături strategice. Aceste linii suplimentare includ secțiuni din jurul orașului Timișoara și puncte de trecere a frontierei la nord de Suceava către Ucraina. Anumite legături ar putea fi </w:t>
      </w:r>
      <w:r>
        <w:t>de importanță strategică</w:t>
      </w:r>
      <w:r w:rsidRPr="00AD3449">
        <w:t xml:space="preserve"> pentru transport</w:t>
      </w:r>
      <w:r>
        <w:t>ul de</w:t>
      </w:r>
      <w:r w:rsidRPr="00AD3449">
        <w:t xml:space="preserve"> cărbune sau produse petroliere către o anumită centrală electrică sau pentru transportarea de materie primă către oțelării. Trebuie luat în considerare faptul că utilizarea costurilor și veniturilor medii ar putea influența rezultatele comparativ cu liniile operate de sectorul privat, așadar se recomandă</w:t>
      </w:r>
      <w:r w:rsidRPr="0076579A">
        <w:t xml:space="preserve"> re-examinarea anumitor </w:t>
      </w:r>
      <w:r>
        <w:t>linii secundare, care inițial au fost propuse spre închidere,</w:t>
      </w:r>
      <w:r w:rsidRPr="0076579A">
        <w:t xml:space="preserve"> înainte de </w:t>
      </w:r>
      <w:r>
        <w:t xml:space="preserve"> finalizarea deciziilor.</w:t>
      </w:r>
    </w:p>
    <w:p w:rsidR="00573AD5" w:rsidRPr="0076579A" w:rsidRDefault="00573AD5" w:rsidP="0030066D">
      <w:pPr>
        <w:keepNext/>
        <w:spacing w:after="60"/>
        <w:rPr>
          <w:lang w:val="ro-RO"/>
        </w:rPr>
      </w:pPr>
      <w:r w:rsidRPr="0076579A">
        <w:rPr>
          <w:noProof/>
          <w:lang w:val="ro-RO" w:eastAsia="ro-RO"/>
        </w:rPr>
        <w:drawing>
          <wp:inline distT="0" distB="0" distL="0" distR="0">
            <wp:extent cx="4288972" cy="3015276"/>
            <wp:effectExtent l="0" t="0" r="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4297968" cy="3021600"/>
                    </a:xfrm>
                    <a:prstGeom prst="rect">
                      <a:avLst/>
                    </a:prstGeom>
                    <a:noFill/>
                    <a:ln w="9525">
                      <a:noFill/>
                      <a:miter lim="800000"/>
                      <a:headEnd/>
                      <a:tailEnd/>
                    </a:ln>
                  </pic:spPr>
                </pic:pic>
              </a:graphicData>
            </a:graphic>
          </wp:inline>
        </w:drawing>
      </w:r>
    </w:p>
    <w:p w:rsidR="00573AD5" w:rsidRDefault="00573AD5" w:rsidP="0030066D">
      <w:pPr>
        <w:rPr>
          <w:rFonts w:cs="Arial"/>
          <w:b/>
          <w:sz w:val="20"/>
          <w:szCs w:val="20"/>
          <w:lang w:val="ro-RO"/>
        </w:rPr>
      </w:pPr>
      <w:r>
        <w:rPr>
          <w:rFonts w:cs="Arial"/>
          <w:b/>
          <w:sz w:val="20"/>
          <w:szCs w:val="20"/>
          <w:lang w:val="ro-RO"/>
        </w:rPr>
        <w:t>Figura 5.</w:t>
      </w:r>
      <w:r w:rsidRPr="0036322C">
        <w:rPr>
          <w:rFonts w:cs="Arial"/>
          <w:b/>
          <w:sz w:val="20"/>
          <w:szCs w:val="20"/>
          <w:lang w:val="ro-RO"/>
        </w:rPr>
        <w:t>2</w:t>
      </w:r>
      <w:r>
        <w:rPr>
          <w:rFonts w:cs="Arial"/>
          <w:b/>
          <w:sz w:val="20"/>
          <w:szCs w:val="20"/>
          <w:lang w:val="ro-RO"/>
        </w:rPr>
        <w:t>6</w:t>
      </w:r>
      <w:r w:rsidRPr="0036322C">
        <w:rPr>
          <w:rFonts w:cs="Arial"/>
          <w:b/>
          <w:sz w:val="20"/>
          <w:szCs w:val="20"/>
          <w:lang w:val="ro-RO"/>
        </w:rPr>
        <w:t xml:space="preserve"> </w:t>
      </w:r>
      <w:r>
        <w:rPr>
          <w:rFonts w:cs="Arial"/>
          <w:b/>
          <w:sz w:val="20"/>
          <w:szCs w:val="20"/>
          <w:lang w:val="ro-RO"/>
        </w:rPr>
        <w:t>Definirea rețelei primare</w:t>
      </w:r>
    </w:p>
    <w:p w:rsidR="00573AD5" w:rsidRPr="00AE1AD4" w:rsidRDefault="00573AD5" w:rsidP="00AE1AD4">
      <w:pPr>
        <w:ind w:left="851"/>
        <w:rPr>
          <w:i/>
          <w:lang w:val="ro-RO"/>
        </w:rPr>
      </w:pPr>
      <w:bookmarkStart w:id="111" w:name="_Toc413057758"/>
      <w:r w:rsidRPr="00AE1AD4">
        <w:rPr>
          <w:i/>
          <w:lang w:val="ro-RO"/>
        </w:rPr>
        <w:t>Sursa: Analiza AECOM</w:t>
      </w:r>
      <w:bookmarkEnd w:id="111"/>
      <w:r w:rsidRPr="00AE1AD4">
        <w:rPr>
          <w:i/>
          <w:lang w:val="ro-RO"/>
        </w:rPr>
        <w:t xml:space="preserve"> </w:t>
      </w:r>
    </w:p>
    <w:p w:rsidR="00573AD5" w:rsidRDefault="00573AD5" w:rsidP="0030066D">
      <w:pPr>
        <w:rPr>
          <w:i/>
          <w:lang w:val="ro-RO"/>
        </w:rPr>
      </w:pPr>
    </w:p>
    <w:p w:rsidR="00573AD5" w:rsidRDefault="00573AD5" w:rsidP="0030066D">
      <w:pPr>
        <w:rPr>
          <w:i/>
          <w:lang w:val="ro-RO"/>
        </w:rPr>
      </w:pPr>
      <w:r>
        <w:rPr>
          <w:i/>
          <w:lang w:val="ro-RO"/>
        </w:rPr>
        <w:br w:type="page"/>
      </w:r>
    </w:p>
    <w:p w:rsidR="00573AD5" w:rsidRPr="00AD3449" w:rsidRDefault="00573AD5" w:rsidP="0030066D">
      <w:pPr>
        <w:pStyle w:val="Hdg3"/>
      </w:pPr>
      <w:r>
        <w:lastRenderedPageBreak/>
        <w:t xml:space="preserve">Tema 2 - </w:t>
      </w:r>
      <w:r w:rsidRPr="00AD3449">
        <w:t xml:space="preserve">Regim de întreținere alternativ </w:t>
      </w:r>
    </w:p>
    <w:p w:rsidR="00573AD5" w:rsidRPr="0076579A" w:rsidRDefault="00573AD5" w:rsidP="002B7E09">
      <w:pPr>
        <w:pStyle w:val="NumberedParas"/>
      </w:pPr>
      <w:r w:rsidRPr="0076579A">
        <w:t xml:space="preserve">În plus față de fondurile </w:t>
      </w:r>
      <w:r>
        <w:t>necesare</w:t>
      </w:r>
      <w:r w:rsidRPr="0076579A">
        <w:t xml:space="preserve"> pentru întreținerea rețelei, trebuie revizuită și perioada alocată pentru aceste lucrări. Efectuarea lucrărilor în timpul dimineții poate crea inconveniențe pentru călătorii care circulă în această perioadă, dat fiind faptul că fie este întreruptă circularea trenurilor, fie crește durata de parcurs. Se propune reprogramarea acestor lucrări pe timpul nopții, în loc de intervalul 08.00 - 13.00. În ciuda faptului că această schimbare ar putea afecta serviciile de transport mărfuri care circulă în timpul nopții și va fi necesară identificarea unor măsuri de reducere a acestui impact, ar facilita pe de altă parte intensificarea serviciilor de transport călători pe parcursul dimineții prin eliminarea pauzelor mari în programul de operare din graficul de mers al trenurilor care reduc din atractivitatea serviciul de transport feroviar. Deși această stra</w:t>
      </w:r>
      <w:r w:rsidRPr="00D62754">
        <w:rPr>
          <w:rFonts w:cs="Arial"/>
          <w:b/>
          <w:sz w:val="20"/>
          <w:szCs w:val="20"/>
        </w:rPr>
        <w:t>t</w:t>
      </w:r>
      <w:r w:rsidRPr="0076579A">
        <w:t xml:space="preserve">egie revizuită va implica cheltuieli mai mari cu forța de muncă și echipament suplimentar adecvat pentru a efectua lucrările în timpul nopții, CFR Infrastructură ar putea recupera aceste costuri prin creșterea taxei de utilizare a infrastructurii. Mai mult decât atât, în această situație CFR Călători ar atrage un număr mai mare de pasageri, iar aceasta creștere a veniturilor ar putea acoperi creșterea costurilor. </w:t>
      </w:r>
    </w:p>
    <w:p w:rsidR="00573AD5" w:rsidRPr="0076579A" w:rsidRDefault="00573AD5" w:rsidP="002B7E09">
      <w:pPr>
        <w:pStyle w:val="NumberedParas"/>
      </w:pPr>
      <w:r w:rsidRPr="0076579A">
        <w:t xml:space="preserve">În </w:t>
      </w:r>
      <w:r>
        <w:t>Tabelul 5.</w:t>
      </w:r>
      <w:r w:rsidRPr="0076579A">
        <w:t>9 sunt rezumate potențialele impacturi asupra rețelei în cazul în care se recuperează deficitului de lucrări de întreținere. Acestea pot fi măsurate prin viteza medie actuală și rezultatele obținute în eventualitatea creșterii vitezei proiectate. Aceste rezultate sunt prezentate pentru coridoarele principale ale rețelei feroviare. Creșterea medie a vitezei între situația actuală și scenariul posibil este de aproximativ 33%, deși viteza între Arad și Timișoara ar fi mai mult decât dublă.</w:t>
      </w:r>
    </w:p>
    <w:p w:rsidR="00573AD5" w:rsidRPr="0036322C" w:rsidRDefault="00573AD5" w:rsidP="0030066D">
      <w:pPr>
        <w:spacing w:after="60"/>
        <w:rPr>
          <w:rFonts w:cs="Arial"/>
          <w:b/>
          <w:sz w:val="20"/>
          <w:szCs w:val="20"/>
          <w:lang w:val="ro-RO"/>
        </w:rPr>
      </w:pPr>
      <w:r>
        <w:rPr>
          <w:rFonts w:cs="Arial"/>
          <w:b/>
          <w:sz w:val="20"/>
          <w:szCs w:val="20"/>
          <w:lang w:val="ro-RO"/>
        </w:rPr>
        <w:t>Tabelul 5.</w:t>
      </w:r>
      <w:r w:rsidRPr="0036322C">
        <w:rPr>
          <w:rFonts w:cs="Arial"/>
          <w:b/>
          <w:sz w:val="20"/>
          <w:szCs w:val="20"/>
          <w:lang w:val="ro-RO"/>
        </w:rPr>
        <w:t xml:space="preserve">9: Rezumat al vitezei proiectate actuale și medii pe liniile selecționate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3062"/>
        <w:gridCol w:w="1019"/>
        <w:gridCol w:w="2469"/>
        <w:gridCol w:w="1616"/>
      </w:tblGrid>
      <w:tr w:rsidR="00573AD5" w:rsidRPr="0076579A" w:rsidTr="0030066D">
        <w:trPr>
          <w:cantSplit/>
          <w:tblHeader/>
        </w:trPr>
        <w:tc>
          <w:tcPr>
            <w:tcW w:w="1114"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573AD5" w:rsidRPr="0076579A" w:rsidRDefault="00573AD5" w:rsidP="00573AD5">
            <w:pPr>
              <w:jc w:val="center"/>
              <w:rPr>
                <w:b/>
                <w:lang w:val="ro-RO"/>
              </w:rPr>
            </w:pPr>
            <w:r w:rsidRPr="0076579A">
              <w:rPr>
                <w:b/>
                <w:lang w:val="ro-RO"/>
              </w:rPr>
              <w:t>Coridor(e)</w:t>
            </w:r>
          </w:p>
        </w:tc>
        <w:tc>
          <w:tcPr>
            <w:tcW w:w="1457"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573AD5" w:rsidRPr="0076579A" w:rsidRDefault="00573AD5" w:rsidP="00573AD5">
            <w:pPr>
              <w:jc w:val="center"/>
              <w:rPr>
                <w:b/>
                <w:lang w:val="ro-RO"/>
              </w:rPr>
            </w:pPr>
            <w:r w:rsidRPr="0076579A">
              <w:rPr>
                <w:b/>
                <w:lang w:val="ro-RO"/>
              </w:rPr>
              <w:t>Direcția</w:t>
            </w:r>
          </w:p>
        </w:tc>
        <w:tc>
          <w:tcPr>
            <w:tcW w:w="485"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573AD5" w:rsidRPr="0076579A" w:rsidRDefault="00573AD5" w:rsidP="00573AD5">
            <w:pPr>
              <w:jc w:val="center"/>
              <w:rPr>
                <w:b/>
                <w:lang w:val="ro-RO"/>
              </w:rPr>
            </w:pPr>
            <w:r w:rsidRPr="0076579A">
              <w:rPr>
                <w:b/>
                <w:lang w:val="ro-RO"/>
              </w:rPr>
              <w:t>Viteza medie (km/h)</w:t>
            </w:r>
          </w:p>
        </w:tc>
        <w:tc>
          <w:tcPr>
            <w:tcW w:w="1175" w:type="pct"/>
            <w:tcBorders>
              <w:top w:val="single" w:sz="4" w:space="0" w:color="auto"/>
              <w:left w:val="single" w:sz="4" w:space="0" w:color="auto"/>
              <w:bottom w:val="single" w:sz="4" w:space="0" w:color="auto"/>
              <w:right w:val="single" w:sz="4" w:space="0" w:color="auto"/>
            </w:tcBorders>
            <w:shd w:val="clear" w:color="auto" w:fill="C6D9F1"/>
            <w:vAlign w:val="center"/>
            <w:hideMark/>
          </w:tcPr>
          <w:p w:rsidR="00573AD5" w:rsidRPr="0076579A" w:rsidRDefault="00573AD5" w:rsidP="00573AD5">
            <w:pPr>
              <w:jc w:val="center"/>
              <w:rPr>
                <w:b/>
                <w:vertAlign w:val="superscript"/>
                <w:lang w:val="ro-RO"/>
              </w:rPr>
            </w:pPr>
            <w:r w:rsidRPr="0076579A">
              <w:rPr>
                <w:b/>
                <w:lang w:val="ro-RO"/>
              </w:rPr>
              <w:t>Viteza medie la viteza proiectată – servicii rapide (km/h)</w:t>
            </w:r>
            <w:r w:rsidRPr="0076579A">
              <w:rPr>
                <w:b/>
                <w:vertAlign w:val="superscript"/>
                <w:lang w:val="ro-RO"/>
              </w:rPr>
              <w:t>(1)</w:t>
            </w:r>
          </w:p>
        </w:tc>
        <w:tc>
          <w:tcPr>
            <w:tcW w:w="769" w:type="pct"/>
            <w:tcBorders>
              <w:top w:val="single" w:sz="4" w:space="0" w:color="auto"/>
              <w:left w:val="single" w:sz="4" w:space="0" w:color="auto"/>
              <w:bottom w:val="single" w:sz="4" w:space="0" w:color="auto"/>
              <w:right w:val="single" w:sz="4" w:space="0" w:color="auto"/>
            </w:tcBorders>
            <w:shd w:val="clear" w:color="auto" w:fill="C6D9F1"/>
          </w:tcPr>
          <w:p w:rsidR="00573AD5" w:rsidRPr="0076579A" w:rsidRDefault="00573AD5" w:rsidP="00573AD5">
            <w:pPr>
              <w:jc w:val="center"/>
              <w:rPr>
                <w:b/>
                <w:lang w:val="ro-RO"/>
              </w:rPr>
            </w:pPr>
            <w:r w:rsidRPr="0076579A">
              <w:rPr>
                <w:b/>
                <w:lang w:val="ro-RO"/>
              </w:rPr>
              <w:t>% îmbunătățire</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IV-S/900</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Timișoara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61</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70</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15</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IV-S/900</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Craiova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69</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80</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16</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IV-S</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Craiova - Timișoara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55</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65</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18</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IV-S</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Timișoara - Arad</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45</w:t>
            </w:r>
            <w:r w:rsidRPr="0076579A">
              <w:rPr>
                <w:rFonts w:cs="Arial"/>
                <w:b/>
                <w:sz w:val="20"/>
                <w:szCs w:val="20"/>
                <w:vertAlign w:val="superscript"/>
                <w:lang w:val="ro-RO"/>
              </w:rPr>
              <w:t>(2)</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92</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104</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IV-N</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Constanța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77</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113</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47</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IV-N</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Brașov</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60</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87</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45</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IV-N</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Arad</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59</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79</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34</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IV-N / 300</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Cluj-Napoca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57</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73</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28</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IV-N / 300</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Oradea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56</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69</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23</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IX</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Bacău</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63</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83</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32</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IX</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Iași</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59</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82</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39</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IX / 700</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Galați</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55</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79</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44</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IX</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Ploiești</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77</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98</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27</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Alte TEN-T / IV-N</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Cluj-Napoca - Timișoara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55</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68</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24</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Alte TEN-T / IX</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Cluj-Napoca - Iași</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55</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62</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13</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Alte TEN-T</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Cluj-Napoca - Oradea</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49</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56</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14</w:t>
            </w:r>
          </w:p>
        </w:tc>
      </w:tr>
      <w:tr w:rsidR="00573AD5" w:rsidRPr="0076579A" w:rsidTr="0030066D">
        <w:trPr>
          <w:cantSplit/>
          <w:trHeight w:hRule="exact" w:val="340"/>
        </w:trPr>
        <w:tc>
          <w:tcPr>
            <w:tcW w:w="1114"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sz w:val="20"/>
                <w:szCs w:val="20"/>
                <w:lang w:val="ro-RO"/>
              </w:rPr>
            </w:pPr>
            <w:r w:rsidRPr="0076579A">
              <w:rPr>
                <w:rFonts w:cs="Arial"/>
                <w:sz w:val="20"/>
                <w:szCs w:val="20"/>
                <w:lang w:val="ro-RO"/>
              </w:rPr>
              <w:t>Alte TEN-T</w:t>
            </w:r>
          </w:p>
        </w:tc>
        <w:tc>
          <w:tcPr>
            <w:tcW w:w="1457"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București - Sibiu</w:t>
            </w:r>
          </w:p>
        </w:tc>
        <w:tc>
          <w:tcPr>
            <w:tcW w:w="48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54</w:t>
            </w:r>
          </w:p>
        </w:tc>
        <w:tc>
          <w:tcPr>
            <w:tcW w:w="1175" w:type="pct"/>
            <w:tcBorders>
              <w:top w:val="single" w:sz="4" w:space="0" w:color="auto"/>
              <w:left w:val="single" w:sz="4" w:space="0" w:color="auto"/>
              <w:bottom w:val="single" w:sz="4" w:space="0" w:color="auto"/>
              <w:right w:val="single" w:sz="4" w:space="0" w:color="auto"/>
            </w:tcBorders>
            <w:vAlign w:val="center"/>
            <w:hideMark/>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72</w:t>
            </w:r>
          </w:p>
        </w:tc>
        <w:tc>
          <w:tcPr>
            <w:tcW w:w="769" w:type="pct"/>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color w:val="000000"/>
                <w:sz w:val="20"/>
                <w:szCs w:val="20"/>
                <w:lang w:val="ro-RO"/>
              </w:rPr>
              <w:t>33</w:t>
            </w:r>
          </w:p>
        </w:tc>
      </w:tr>
      <w:tr w:rsidR="00573AD5" w:rsidRPr="0076579A" w:rsidTr="0030066D">
        <w:trPr>
          <w:cantSplit/>
          <w:trHeight w:hRule="exact" w:val="340"/>
        </w:trPr>
        <w:tc>
          <w:tcPr>
            <w:tcW w:w="5000" w:type="pct"/>
            <w:gridSpan w:val="5"/>
            <w:tcBorders>
              <w:top w:val="single" w:sz="4" w:space="0" w:color="auto"/>
              <w:left w:val="single" w:sz="4" w:space="0" w:color="auto"/>
              <w:bottom w:val="single" w:sz="4" w:space="0" w:color="auto"/>
              <w:right w:val="single" w:sz="4" w:space="0" w:color="auto"/>
            </w:tcBorders>
            <w:vAlign w:val="center"/>
          </w:tcPr>
          <w:p w:rsidR="00573AD5" w:rsidRPr="0076579A" w:rsidRDefault="00573AD5" w:rsidP="00573AD5">
            <w:pPr>
              <w:spacing w:before="100" w:after="100"/>
              <w:jc w:val="center"/>
              <w:rPr>
                <w:rFonts w:cs="Arial"/>
                <w:color w:val="000000"/>
                <w:sz w:val="20"/>
                <w:szCs w:val="20"/>
                <w:lang w:val="ro-RO"/>
              </w:rPr>
            </w:pPr>
            <w:r w:rsidRPr="0076579A">
              <w:rPr>
                <w:rFonts w:cs="Arial"/>
                <w:b/>
                <w:sz w:val="20"/>
                <w:szCs w:val="20"/>
                <w:vertAlign w:val="superscript"/>
                <w:lang w:val="ro-RO"/>
              </w:rPr>
              <w:t>1</w:t>
            </w:r>
            <w:r w:rsidRPr="0076579A">
              <w:rPr>
                <w:rFonts w:cs="Arial"/>
                <w:color w:val="000000"/>
                <w:sz w:val="20"/>
                <w:szCs w:val="20"/>
                <w:lang w:val="ro-RO"/>
              </w:rPr>
              <w:t xml:space="preserve">  Serviciile Interregio și Intercity </w:t>
            </w:r>
            <w:r w:rsidRPr="0076579A">
              <w:rPr>
                <w:rFonts w:cs="Arial"/>
                <w:b/>
                <w:sz w:val="20"/>
                <w:szCs w:val="20"/>
                <w:vertAlign w:val="superscript"/>
                <w:lang w:val="ro-RO"/>
              </w:rPr>
              <w:t>2</w:t>
            </w:r>
            <w:r w:rsidRPr="0076579A">
              <w:rPr>
                <w:rFonts w:cs="Arial"/>
                <w:color w:val="000000"/>
                <w:sz w:val="20"/>
                <w:szCs w:val="20"/>
                <w:lang w:val="ro-RO"/>
              </w:rPr>
              <w:t xml:space="preserve"> Include serviciile Regio</w:t>
            </w:r>
          </w:p>
        </w:tc>
      </w:tr>
    </w:tbl>
    <w:p w:rsidR="00573AD5" w:rsidRDefault="00573AD5" w:rsidP="002B7E09">
      <w:pPr>
        <w:pStyle w:val="NumberedParas"/>
      </w:pPr>
      <w:r>
        <w:lastRenderedPageBreak/>
        <w:t xml:space="preserve">În vederea sprijinirii creșterii vitezelor trebuie realizat un program de modernizări ale trecerilor la nivel existente ca parte a proiectelor de reabilitare a liniilor. Acesată inițiativă, împreună cu alte propuneri legate de siguranță vor facilita abordarea problemei statisticilor slabe referitoare la siguranță din România, unde se înregistrează o rată mare a accidentelor mortale la un miliard de pasageri kilometri, comparativ cu alte țări europene. </w:t>
      </w:r>
    </w:p>
    <w:p w:rsidR="00573AD5" w:rsidRDefault="00573AD5" w:rsidP="006566F8">
      <w:pPr>
        <w:pStyle w:val="NumberedParas"/>
        <w:numPr>
          <w:ilvl w:val="0"/>
          <w:numId w:val="0"/>
        </w:numPr>
        <w:ind w:left="851"/>
      </w:pPr>
    </w:p>
    <w:p w:rsidR="00573AD5" w:rsidRDefault="00573AD5" w:rsidP="0030066D">
      <w:pPr>
        <w:pStyle w:val="Hdg3"/>
      </w:pPr>
      <w:r>
        <w:t>Tema  3 - Operare pasageri</w:t>
      </w:r>
    </w:p>
    <w:p w:rsidR="00573AD5" w:rsidRDefault="00573AD5" w:rsidP="0030066D">
      <w:pPr>
        <w:pStyle w:val="Hdg3"/>
      </w:pPr>
      <w:r>
        <w:t xml:space="preserve">Parcul de material rulant </w:t>
      </w:r>
      <w:r w:rsidRPr="0076579A">
        <w:t xml:space="preserve"> </w:t>
      </w:r>
    </w:p>
    <w:p w:rsidR="00573AD5" w:rsidRDefault="00573AD5" w:rsidP="002B7E09">
      <w:pPr>
        <w:pStyle w:val="NumberedParas"/>
      </w:pPr>
      <w:r w:rsidRPr="00D62754">
        <w:rPr>
          <w:b/>
        </w:rPr>
        <w:t>Problema</w:t>
      </w:r>
      <w:r>
        <w:t xml:space="preserve">: Doar aproximativ 65% din parcul de material rulant actual este necesar pentru operarea serviciior prevăzute în graficul de mers actual din România. Aceast nivel este considerat mai scăzut decât în alte țări din Europa (unde se înregistrează, de regulă, un procent de 85 - 90%). Vechimea materialului rulant este un factor contributiv la lipsa de fiabiitate și la fondurile mari necesare pentru reparații și înlocuiri de piese defectate. O combinație a programării ineficiente a exploatării parcului și cererea de tot mai multe unități funcționale, reflectând lipsa de fiabilitate a unităților vechi a contribuit la rezultatul din prezent. </w:t>
      </w:r>
    </w:p>
    <w:p w:rsidR="00573AD5" w:rsidRDefault="00573AD5" w:rsidP="002B7E09">
      <w:pPr>
        <w:pStyle w:val="NumberedParas"/>
      </w:pPr>
      <w:r w:rsidRPr="00D62754">
        <w:rPr>
          <w:b/>
        </w:rPr>
        <w:t>Soluția propusă</w:t>
      </w:r>
      <w:r>
        <w:rPr>
          <w:b/>
        </w:rPr>
        <w:t xml:space="preserve">: </w:t>
      </w:r>
      <w:r w:rsidRPr="00D130AC">
        <w:t>un grafic de mers</w:t>
      </w:r>
      <w:r>
        <w:rPr>
          <w:b/>
        </w:rPr>
        <w:t xml:space="preserve"> </w:t>
      </w:r>
      <w:r w:rsidRPr="00D130AC">
        <w:t>restructurat și mai intens</w:t>
      </w:r>
      <w:r>
        <w:t>,</w:t>
      </w:r>
      <w:r w:rsidRPr="00D130AC">
        <w:t xml:space="preserve"> </w:t>
      </w:r>
      <w:r>
        <w:t>în care se utilizează material rulant modern va oferi servicii semnificativ îmbunătățite pentru pasageri și va facilita justificarea nevoii de alte investiții. Pe durata ciclului de implementare a Master Planului tot parcul de material rulant va trebui înlocuit, cu excepția unităților Desiro. Aceasta oferă oportunitatea de a înlocui o parte din unitățile ineficiente tractate de locomotivă cu unități multiple moderne electrice sau diesel. În loc să se înlocuiască trenurile tractate de locomotivă de alte trenuri de acelasi tip, se pot introduce unități multiple EMU și DMU care au costuri de operare mai mici și a căror capacitate se poate alinia mai bine cererii estimate de servicii. Mai jos este descrisă o strategie privind materialul rulant</w:t>
      </w:r>
    </w:p>
    <w:p w:rsidR="00573AD5" w:rsidRDefault="00573AD5" w:rsidP="0030066D">
      <w:pPr>
        <w:pStyle w:val="Hdg3"/>
      </w:pPr>
      <w:r>
        <w:t xml:space="preserve">Strategia privind materialul rulant </w:t>
      </w:r>
    </w:p>
    <w:p w:rsidR="00573AD5" w:rsidRDefault="00573AD5" w:rsidP="002B7E09">
      <w:pPr>
        <w:pStyle w:val="NumberedParas"/>
      </w:pPr>
      <w:r>
        <w:t>Folosind numărul de tren-kilometri pe zi, vitezei medii a trenurilor și numărului real de unități utilizate de Northern Rail din Marea Britanie, a fost calculat numărul de trenuri necesar pentru operarea potrivit graficului de mers actual. Cu includerea unei marje pentru a reflecta o programare mai puțin eficientă a serviciilor în comparație cu Northern Rail, a fost estimat un număr de 680 de unități ca neceesar pentru operarea serviciilor curente, și un număr de aproximativ 580 de unități pentru exploatare zilnică.</w:t>
      </w:r>
    </w:p>
    <w:p w:rsidR="00573AD5" w:rsidRDefault="00573AD5" w:rsidP="002B7E09">
      <w:pPr>
        <w:pStyle w:val="NumberedParas"/>
      </w:pPr>
      <w:r>
        <w:t>În plus, a fost calculat numărul de unități ecesare pentru acoperirea unui mers candențat pentru trenurile Inter-Regio. În tabelul 5.10 este prezentat pe scurt necesarul de matrial rulant pentru fiecare propunere de servicii și se indică tipul de material rulant care ar putea fi introdus pentru a putea acoperi cel mai bine tiparele de călătorie ale pasagerilor. Pentru operarea conform acestui mers de tren va fi necesar un număr total de 104 unități (sau aproape 550 de vagoane).</w:t>
      </w:r>
    </w:p>
    <w:p w:rsidR="00573AD5" w:rsidRDefault="00573AD5" w:rsidP="0030066D">
      <w:pPr>
        <w:rPr>
          <w:b/>
          <w:bCs/>
          <w:sz w:val="22"/>
          <w:szCs w:val="22"/>
        </w:rPr>
      </w:pPr>
      <w:r>
        <w:rPr>
          <w:b/>
          <w:sz w:val="22"/>
          <w:szCs w:val="22"/>
        </w:rPr>
        <w:br w:type="page"/>
      </w:r>
    </w:p>
    <w:p w:rsidR="00573AD5" w:rsidRDefault="00573AD5" w:rsidP="0030066D">
      <w:pPr>
        <w:pStyle w:val="Caption"/>
        <w:rPr>
          <w:b/>
          <w:sz w:val="22"/>
          <w:szCs w:val="22"/>
        </w:rPr>
      </w:pPr>
      <w:r w:rsidRPr="001F5936">
        <w:rPr>
          <w:b/>
          <w:sz w:val="22"/>
          <w:szCs w:val="22"/>
        </w:rPr>
        <w:lastRenderedPageBreak/>
        <w:t>Tab</w:t>
      </w:r>
      <w:r>
        <w:rPr>
          <w:b/>
          <w:sz w:val="22"/>
          <w:szCs w:val="22"/>
        </w:rPr>
        <w:t>elul</w:t>
      </w:r>
      <w:r w:rsidRPr="001F5936">
        <w:rPr>
          <w:b/>
          <w:sz w:val="22"/>
          <w:szCs w:val="22"/>
        </w:rPr>
        <w:t xml:space="preserve"> 5.</w:t>
      </w:r>
      <w:r w:rsidR="003259E9" w:rsidRPr="001F5936">
        <w:rPr>
          <w:b/>
          <w:sz w:val="22"/>
          <w:szCs w:val="22"/>
        </w:rPr>
        <w:fldChar w:fldCharType="begin"/>
      </w:r>
      <w:r w:rsidRPr="001F5936">
        <w:rPr>
          <w:b/>
          <w:sz w:val="22"/>
          <w:szCs w:val="22"/>
        </w:rPr>
        <w:instrText xml:space="preserve"> SEQ Table \* ARABIC </w:instrText>
      </w:r>
      <w:r w:rsidR="003259E9" w:rsidRPr="001F5936">
        <w:rPr>
          <w:b/>
          <w:sz w:val="22"/>
          <w:szCs w:val="22"/>
        </w:rPr>
        <w:fldChar w:fldCharType="separate"/>
      </w:r>
      <w:r>
        <w:rPr>
          <w:b/>
          <w:sz w:val="22"/>
          <w:szCs w:val="22"/>
        </w:rPr>
        <w:t>10</w:t>
      </w:r>
      <w:r w:rsidR="003259E9" w:rsidRPr="001F5936">
        <w:rPr>
          <w:b/>
          <w:sz w:val="22"/>
          <w:szCs w:val="22"/>
        </w:rPr>
        <w:fldChar w:fldCharType="end"/>
      </w:r>
      <w:r w:rsidRPr="001F5936">
        <w:rPr>
          <w:b/>
          <w:sz w:val="22"/>
          <w:szCs w:val="22"/>
        </w:rPr>
        <w:t xml:space="preserve">: </w:t>
      </w:r>
      <w:r>
        <w:rPr>
          <w:b/>
          <w:sz w:val="22"/>
          <w:szCs w:val="22"/>
        </w:rPr>
        <w:t xml:space="preserve">Necesarul de material rulant </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276"/>
        <w:gridCol w:w="1134"/>
        <w:gridCol w:w="1985"/>
        <w:gridCol w:w="1842"/>
      </w:tblGrid>
      <w:tr w:rsidR="00573AD5" w:rsidRPr="000A76BD" w:rsidTr="0030066D">
        <w:trPr>
          <w:trHeight w:hRule="exact" w:val="505"/>
        </w:trPr>
        <w:tc>
          <w:tcPr>
            <w:tcW w:w="4077" w:type="dxa"/>
            <w:shd w:val="clear" w:color="auto" w:fill="C6D9F1"/>
            <w:vAlign w:val="center"/>
          </w:tcPr>
          <w:p w:rsidR="00573AD5" w:rsidRPr="000A76BD" w:rsidRDefault="00573AD5" w:rsidP="00573AD5">
            <w:pPr>
              <w:jc w:val="center"/>
              <w:rPr>
                <w:b/>
                <w:sz w:val="22"/>
                <w:szCs w:val="22"/>
              </w:rPr>
            </w:pPr>
            <w:r>
              <w:rPr>
                <w:b/>
                <w:sz w:val="22"/>
                <w:szCs w:val="22"/>
              </w:rPr>
              <w:t>Proiect</w:t>
            </w:r>
          </w:p>
        </w:tc>
        <w:tc>
          <w:tcPr>
            <w:tcW w:w="1276" w:type="dxa"/>
            <w:shd w:val="clear" w:color="auto" w:fill="C6D9F1"/>
            <w:vAlign w:val="center"/>
          </w:tcPr>
          <w:p w:rsidR="00573AD5" w:rsidRPr="000A76BD" w:rsidRDefault="00573AD5" w:rsidP="00573AD5">
            <w:pPr>
              <w:jc w:val="center"/>
              <w:rPr>
                <w:b/>
                <w:sz w:val="22"/>
                <w:szCs w:val="22"/>
              </w:rPr>
            </w:pPr>
            <w:r>
              <w:rPr>
                <w:b/>
                <w:sz w:val="22"/>
                <w:szCs w:val="22"/>
              </w:rPr>
              <w:t>Proiect</w:t>
            </w:r>
          </w:p>
        </w:tc>
        <w:tc>
          <w:tcPr>
            <w:tcW w:w="1134" w:type="dxa"/>
            <w:shd w:val="clear" w:color="auto" w:fill="C6D9F1"/>
            <w:vAlign w:val="center"/>
          </w:tcPr>
          <w:p w:rsidR="00573AD5" w:rsidRPr="000A76BD" w:rsidRDefault="00573AD5" w:rsidP="00573AD5">
            <w:pPr>
              <w:jc w:val="center"/>
              <w:rPr>
                <w:b/>
                <w:sz w:val="22"/>
                <w:szCs w:val="22"/>
              </w:rPr>
            </w:pPr>
            <w:r>
              <w:rPr>
                <w:b/>
                <w:sz w:val="22"/>
                <w:szCs w:val="22"/>
              </w:rPr>
              <w:t>Material rulant ne</w:t>
            </w:r>
          </w:p>
        </w:tc>
        <w:tc>
          <w:tcPr>
            <w:tcW w:w="1985" w:type="dxa"/>
            <w:shd w:val="clear" w:color="auto" w:fill="C6D9F1"/>
            <w:vAlign w:val="center"/>
          </w:tcPr>
          <w:p w:rsidR="00573AD5" w:rsidRPr="000A76BD" w:rsidRDefault="00573AD5" w:rsidP="00573AD5">
            <w:pPr>
              <w:jc w:val="center"/>
              <w:rPr>
                <w:b/>
                <w:sz w:val="22"/>
                <w:szCs w:val="22"/>
              </w:rPr>
            </w:pPr>
            <w:r>
              <w:rPr>
                <w:b/>
                <w:sz w:val="22"/>
                <w:szCs w:val="22"/>
              </w:rPr>
              <w:t>Tracțiune</w:t>
            </w:r>
          </w:p>
        </w:tc>
        <w:tc>
          <w:tcPr>
            <w:tcW w:w="1842" w:type="dxa"/>
            <w:shd w:val="clear" w:color="auto" w:fill="C6D9F1"/>
            <w:vAlign w:val="center"/>
          </w:tcPr>
          <w:p w:rsidR="00573AD5" w:rsidRPr="000A76BD" w:rsidDel="00C615C6" w:rsidRDefault="00573AD5" w:rsidP="00573AD5">
            <w:pPr>
              <w:jc w:val="center"/>
              <w:rPr>
                <w:b/>
                <w:sz w:val="22"/>
                <w:szCs w:val="22"/>
              </w:rPr>
            </w:pPr>
            <w:r>
              <w:rPr>
                <w:b/>
                <w:sz w:val="22"/>
                <w:szCs w:val="22"/>
              </w:rPr>
              <w:t>Nr. de vagoane</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Bucharest to Arad / Cluj via Brasov</w:t>
            </w:r>
          </w:p>
        </w:tc>
        <w:tc>
          <w:tcPr>
            <w:tcW w:w="1276" w:type="dxa"/>
            <w:shd w:val="clear" w:color="auto" w:fill="auto"/>
            <w:vAlign w:val="center"/>
          </w:tcPr>
          <w:p w:rsidR="00573AD5" w:rsidRPr="000A76BD" w:rsidRDefault="00573AD5" w:rsidP="00573AD5">
            <w:pPr>
              <w:jc w:val="center"/>
              <w:rPr>
                <w:sz w:val="22"/>
                <w:szCs w:val="22"/>
              </w:rPr>
            </w:pPr>
            <w:r>
              <w:rPr>
                <w:sz w:val="22"/>
                <w:szCs w:val="22"/>
              </w:rPr>
              <w:t>DS01</w:t>
            </w:r>
          </w:p>
        </w:tc>
        <w:tc>
          <w:tcPr>
            <w:tcW w:w="1134" w:type="dxa"/>
            <w:shd w:val="clear" w:color="auto" w:fill="auto"/>
            <w:vAlign w:val="center"/>
          </w:tcPr>
          <w:p w:rsidR="00573AD5" w:rsidRPr="000A76BD" w:rsidRDefault="00573AD5" w:rsidP="00573AD5">
            <w:pPr>
              <w:jc w:val="center"/>
              <w:rPr>
                <w:sz w:val="22"/>
                <w:szCs w:val="22"/>
              </w:rPr>
            </w:pPr>
            <w:r>
              <w:rPr>
                <w:sz w:val="22"/>
                <w:szCs w:val="22"/>
              </w:rPr>
              <w:t>22</w:t>
            </w:r>
          </w:p>
        </w:tc>
        <w:tc>
          <w:tcPr>
            <w:tcW w:w="1985" w:type="dxa"/>
            <w:shd w:val="clear" w:color="auto" w:fill="auto"/>
            <w:vAlign w:val="center"/>
          </w:tcPr>
          <w:p w:rsidR="00573AD5" w:rsidRPr="000A76BD" w:rsidRDefault="00573AD5" w:rsidP="00573AD5">
            <w:pPr>
              <w:rPr>
                <w:sz w:val="22"/>
                <w:szCs w:val="22"/>
              </w:rPr>
            </w:pPr>
            <w:r>
              <w:rPr>
                <w:sz w:val="22"/>
                <w:szCs w:val="22"/>
              </w:rPr>
              <w:t>Electrică</w:t>
            </w:r>
          </w:p>
        </w:tc>
        <w:tc>
          <w:tcPr>
            <w:tcW w:w="1842" w:type="dxa"/>
            <w:vAlign w:val="center"/>
          </w:tcPr>
          <w:p w:rsidR="00573AD5" w:rsidRPr="000A76BD" w:rsidDel="00C615C6" w:rsidRDefault="00573AD5" w:rsidP="00573AD5">
            <w:pPr>
              <w:jc w:val="center"/>
              <w:rPr>
                <w:sz w:val="22"/>
                <w:szCs w:val="22"/>
              </w:rPr>
            </w:pPr>
            <w:r>
              <w:rPr>
                <w:sz w:val="22"/>
                <w:szCs w:val="22"/>
              </w:rPr>
              <w:t>5</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Bucharest to Constanta</w:t>
            </w:r>
          </w:p>
        </w:tc>
        <w:tc>
          <w:tcPr>
            <w:tcW w:w="1276" w:type="dxa"/>
            <w:shd w:val="clear" w:color="auto" w:fill="auto"/>
            <w:vAlign w:val="center"/>
          </w:tcPr>
          <w:p w:rsidR="00573AD5" w:rsidRPr="000A76BD" w:rsidRDefault="00573AD5" w:rsidP="00573AD5">
            <w:pPr>
              <w:jc w:val="center"/>
              <w:rPr>
                <w:sz w:val="22"/>
                <w:szCs w:val="22"/>
              </w:rPr>
            </w:pPr>
            <w:r>
              <w:rPr>
                <w:sz w:val="22"/>
                <w:szCs w:val="22"/>
              </w:rPr>
              <w:t>DS02</w:t>
            </w:r>
          </w:p>
        </w:tc>
        <w:tc>
          <w:tcPr>
            <w:tcW w:w="1134" w:type="dxa"/>
            <w:shd w:val="clear" w:color="auto" w:fill="auto"/>
            <w:vAlign w:val="center"/>
          </w:tcPr>
          <w:p w:rsidR="00573AD5" w:rsidRPr="000A76BD" w:rsidRDefault="00573AD5" w:rsidP="00573AD5">
            <w:pPr>
              <w:jc w:val="center"/>
              <w:rPr>
                <w:sz w:val="22"/>
                <w:szCs w:val="22"/>
              </w:rPr>
            </w:pPr>
            <w:r>
              <w:rPr>
                <w:sz w:val="22"/>
                <w:szCs w:val="22"/>
              </w:rPr>
              <w:t>4</w:t>
            </w:r>
          </w:p>
        </w:tc>
        <w:tc>
          <w:tcPr>
            <w:tcW w:w="1985" w:type="dxa"/>
            <w:shd w:val="clear" w:color="auto" w:fill="auto"/>
            <w:vAlign w:val="center"/>
          </w:tcPr>
          <w:p w:rsidR="00573AD5" w:rsidRPr="000A76BD" w:rsidRDefault="00573AD5" w:rsidP="00573AD5">
            <w:pPr>
              <w:rPr>
                <w:sz w:val="22"/>
                <w:szCs w:val="22"/>
              </w:rPr>
            </w:pPr>
            <w:r>
              <w:rPr>
                <w:sz w:val="22"/>
                <w:szCs w:val="22"/>
              </w:rPr>
              <w:t>Electrică</w:t>
            </w:r>
          </w:p>
        </w:tc>
        <w:tc>
          <w:tcPr>
            <w:tcW w:w="1842" w:type="dxa"/>
            <w:vAlign w:val="center"/>
          </w:tcPr>
          <w:p w:rsidR="00573AD5" w:rsidRPr="000A76BD" w:rsidDel="00C615C6" w:rsidRDefault="00573AD5" w:rsidP="00573AD5">
            <w:pPr>
              <w:jc w:val="center"/>
              <w:rPr>
                <w:sz w:val="22"/>
                <w:szCs w:val="22"/>
              </w:rPr>
            </w:pPr>
            <w:r>
              <w:rPr>
                <w:sz w:val="22"/>
                <w:szCs w:val="22"/>
              </w:rPr>
              <w:t>4</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Bucharest to Arad via Craiova</w:t>
            </w:r>
          </w:p>
        </w:tc>
        <w:tc>
          <w:tcPr>
            <w:tcW w:w="1276" w:type="dxa"/>
            <w:shd w:val="clear" w:color="auto" w:fill="auto"/>
            <w:vAlign w:val="center"/>
          </w:tcPr>
          <w:p w:rsidR="00573AD5" w:rsidRPr="000A76BD" w:rsidRDefault="00573AD5" w:rsidP="00573AD5">
            <w:pPr>
              <w:jc w:val="center"/>
              <w:rPr>
                <w:sz w:val="22"/>
                <w:szCs w:val="22"/>
              </w:rPr>
            </w:pPr>
            <w:r>
              <w:rPr>
                <w:sz w:val="22"/>
                <w:szCs w:val="22"/>
              </w:rPr>
              <w:t>DS03</w:t>
            </w:r>
          </w:p>
        </w:tc>
        <w:tc>
          <w:tcPr>
            <w:tcW w:w="1134" w:type="dxa"/>
            <w:shd w:val="clear" w:color="auto" w:fill="auto"/>
            <w:vAlign w:val="center"/>
          </w:tcPr>
          <w:p w:rsidR="00573AD5" w:rsidRPr="000A76BD" w:rsidRDefault="00573AD5" w:rsidP="00573AD5">
            <w:pPr>
              <w:jc w:val="center"/>
              <w:rPr>
                <w:sz w:val="22"/>
                <w:szCs w:val="22"/>
              </w:rPr>
            </w:pPr>
            <w:r>
              <w:rPr>
                <w:sz w:val="22"/>
                <w:szCs w:val="22"/>
              </w:rPr>
              <w:t>8-7-4</w:t>
            </w:r>
          </w:p>
        </w:tc>
        <w:tc>
          <w:tcPr>
            <w:tcW w:w="1985" w:type="dxa"/>
            <w:shd w:val="clear" w:color="auto" w:fill="auto"/>
            <w:vAlign w:val="center"/>
          </w:tcPr>
          <w:p w:rsidR="00573AD5" w:rsidRPr="000A76BD" w:rsidRDefault="00573AD5" w:rsidP="00573AD5">
            <w:pPr>
              <w:rPr>
                <w:sz w:val="22"/>
                <w:szCs w:val="22"/>
              </w:rPr>
            </w:pPr>
            <w:r>
              <w:rPr>
                <w:sz w:val="22"/>
                <w:szCs w:val="22"/>
              </w:rPr>
              <w:t>Electrică</w:t>
            </w:r>
          </w:p>
        </w:tc>
        <w:tc>
          <w:tcPr>
            <w:tcW w:w="1842" w:type="dxa"/>
            <w:vAlign w:val="center"/>
          </w:tcPr>
          <w:p w:rsidR="00573AD5" w:rsidRPr="000A76BD" w:rsidDel="00C615C6" w:rsidRDefault="00573AD5" w:rsidP="00573AD5">
            <w:pPr>
              <w:jc w:val="center"/>
              <w:rPr>
                <w:sz w:val="22"/>
                <w:szCs w:val="22"/>
              </w:rPr>
            </w:pPr>
            <w:r>
              <w:rPr>
                <w:sz w:val="22"/>
                <w:szCs w:val="22"/>
              </w:rPr>
              <w:t>3-4-9</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Bucharest to Galati / Iasi / Suceava</w:t>
            </w:r>
          </w:p>
        </w:tc>
        <w:tc>
          <w:tcPr>
            <w:tcW w:w="1276" w:type="dxa"/>
            <w:shd w:val="clear" w:color="auto" w:fill="auto"/>
            <w:vAlign w:val="center"/>
          </w:tcPr>
          <w:p w:rsidR="00573AD5" w:rsidRPr="000A76BD" w:rsidRDefault="00573AD5" w:rsidP="00573AD5">
            <w:pPr>
              <w:jc w:val="center"/>
              <w:rPr>
                <w:sz w:val="22"/>
                <w:szCs w:val="22"/>
              </w:rPr>
            </w:pPr>
            <w:r>
              <w:rPr>
                <w:sz w:val="22"/>
                <w:szCs w:val="22"/>
              </w:rPr>
              <w:t>DS04</w:t>
            </w:r>
          </w:p>
        </w:tc>
        <w:tc>
          <w:tcPr>
            <w:tcW w:w="1134" w:type="dxa"/>
            <w:shd w:val="clear" w:color="auto" w:fill="auto"/>
            <w:vAlign w:val="center"/>
          </w:tcPr>
          <w:p w:rsidR="00573AD5" w:rsidRPr="000A76BD" w:rsidRDefault="00573AD5" w:rsidP="00573AD5">
            <w:pPr>
              <w:jc w:val="center"/>
              <w:rPr>
                <w:sz w:val="22"/>
                <w:szCs w:val="22"/>
              </w:rPr>
            </w:pPr>
            <w:r>
              <w:rPr>
                <w:sz w:val="22"/>
                <w:szCs w:val="22"/>
              </w:rPr>
              <w:t>2-23</w:t>
            </w:r>
          </w:p>
        </w:tc>
        <w:tc>
          <w:tcPr>
            <w:tcW w:w="1985" w:type="dxa"/>
            <w:shd w:val="clear" w:color="auto" w:fill="auto"/>
            <w:vAlign w:val="center"/>
          </w:tcPr>
          <w:p w:rsidR="00573AD5" w:rsidRPr="000A76BD" w:rsidRDefault="00573AD5" w:rsidP="00573AD5">
            <w:pPr>
              <w:rPr>
                <w:sz w:val="22"/>
                <w:szCs w:val="22"/>
              </w:rPr>
            </w:pPr>
            <w:r>
              <w:rPr>
                <w:sz w:val="22"/>
                <w:szCs w:val="22"/>
              </w:rPr>
              <w:t>Electrică</w:t>
            </w:r>
          </w:p>
        </w:tc>
        <w:tc>
          <w:tcPr>
            <w:tcW w:w="1842" w:type="dxa"/>
            <w:vAlign w:val="center"/>
          </w:tcPr>
          <w:p w:rsidR="00573AD5" w:rsidRPr="000A76BD" w:rsidDel="00C615C6" w:rsidRDefault="00573AD5" w:rsidP="00573AD5">
            <w:pPr>
              <w:jc w:val="center"/>
              <w:rPr>
                <w:sz w:val="22"/>
                <w:szCs w:val="22"/>
              </w:rPr>
            </w:pPr>
            <w:r>
              <w:rPr>
                <w:sz w:val="22"/>
                <w:szCs w:val="22"/>
              </w:rPr>
              <w:t>3-5</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Bucharest to Sibiu via Ramnicu Valcea</w:t>
            </w:r>
          </w:p>
        </w:tc>
        <w:tc>
          <w:tcPr>
            <w:tcW w:w="1276" w:type="dxa"/>
            <w:shd w:val="clear" w:color="auto" w:fill="auto"/>
            <w:vAlign w:val="center"/>
          </w:tcPr>
          <w:p w:rsidR="00573AD5" w:rsidRPr="000A76BD" w:rsidRDefault="00573AD5" w:rsidP="00573AD5">
            <w:pPr>
              <w:jc w:val="center"/>
              <w:rPr>
                <w:sz w:val="22"/>
                <w:szCs w:val="22"/>
              </w:rPr>
            </w:pPr>
            <w:r>
              <w:rPr>
                <w:sz w:val="22"/>
                <w:szCs w:val="22"/>
              </w:rPr>
              <w:t>DS05</w:t>
            </w:r>
          </w:p>
        </w:tc>
        <w:tc>
          <w:tcPr>
            <w:tcW w:w="1134" w:type="dxa"/>
            <w:shd w:val="clear" w:color="auto" w:fill="auto"/>
            <w:vAlign w:val="center"/>
          </w:tcPr>
          <w:p w:rsidR="00573AD5" w:rsidRPr="000A76BD" w:rsidRDefault="00573AD5" w:rsidP="00573AD5">
            <w:pPr>
              <w:jc w:val="center"/>
              <w:rPr>
                <w:sz w:val="22"/>
                <w:szCs w:val="22"/>
              </w:rPr>
            </w:pPr>
            <w:r>
              <w:rPr>
                <w:sz w:val="22"/>
                <w:szCs w:val="22"/>
              </w:rPr>
              <w:t>7</w:t>
            </w:r>
          </w:p>
        </w:tc>
        <w:tc>
          <w:tcPr>
            <w:tcW w:w="1985" w:type="dxa"/>
            <w:shd w:val="clear" w:color="auto" w:fill="auto"/>
            <w:vAlign w:val="center"/>
          </w:tcPr>
          <w:p w:rsidR="00573AD5" w:rsidRPr="000A76BD" w:rsidRDefault="00573AD5" w:rsidP="00573AD5">
            <w:pPr>
              <w:rPr>
                <w:sz w:val="22"/>
                <w:szCs w:val="22"/>
              </w:rPr>
            </w:pPr>
            <w:r>
              <w:rPr>
                <w:sz w:val="22"/>
                <w:szCs w:val="22"/>
              </w:rPr>
              <w:t>Electrică sau diesel</w:t>
            </w:r>
          </w:p>
        </w:tc>
        <w:tc>
          <w:tcPr>
            <w:tcW w:w="1842" w:type="dxa"/>
            <w:vAlign w:val="center"/>
          </w:tcPr>
          <w:p w:rsidR="00573AD5" w:rsidRPr="000A76BD" w:rsidDel="00C615C6" w:rsidRDefault="00573AD5" w:rsidP="00573AD5">
            <w:pPr>
              <w:jc w:val="center"/>
              <w:rPr>
                <w:sz w:val="22"/>
                <w:szCs w:val="22"/>
              </w:rPr>
            </w:pPr>
            <w:r>
              <w:rPr>
                <w:sz w:val="22"/>
                <w:szCs w:val="22"/>
              </w:rPr>
              <w:t>4</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Cluj Napoca to Iasi</w:t>
            </w:r>
          </w:p>
        </w:tc>
        <w:tc>
          <w:tcPr>
            <w:tcW w:w="1276" w:type="dxa"/>
            <w:shd w:val="clear" w:color="auto" w:fill="auto"/>
            <w:vAlign w:val="center"/>
          </w:tcPr>
          <w:p w:rsidR="00573AD5" w:rsidRPr="000A76BD" w:rsidRDefault="00573AD5" w:rsidP="00573AD5">
            <w:pPr>
              <w:jc w:val="center"/>
              <w:rPr>
                <w:sz w:val="22"/>
                <w:szCs w:val="22"/>
              </w:rPr>
            </w:pPr>
            <w:r>
              <w:rPr>
                <w:sz w:val="22"/>
                <w:szCs w:val="22"/>
              </w:rPr>
              <w:t>DS06</w:t>
            </w:r>
          </w:p>
        </w:tc>
        <w:tc>
          <w:tcPr>
            <w:tcW w:w="1134" w:type="dxa"/>
            <w:shd w:val="clear" w:color="auto" w:fill="auto"/>
            <w:vAlign w:val="center"/>
          </w:tcPr>
          <w:p w:rsidR="00573AD5" w:rsidRPr="000A76BD" w:rsidRDefault="00573AD5" w:rsidP="00573AD5">
            <w:pPr>
              <w:jc w:val="center"/>
              <w:rPr>
                <w:sz w:val="22"/>
                <w:szCs w:val="22"/>
              </w:rPr>
            </w:pPr>
            <w:r>
              <w:rPr>
                <w:sz w:val="22"/>
                <w:szCs w:val="22"/>
              </w:rPr>
              <w:t>7</w:t>
            </w:r>
          </w:p>
        </w:tc>
        <w:tc>
          <w:tcPr>
            <w:tcW w:w="1985" w:type="dxa"/>
            <w:shd w:val="clear" w:color="auto" w:fill="auto"/>
            <w:vAlign w:val="center"/>
          </w:tcPr>
          <w:p w:rsidR="00573AD5" w:rsidRPr="000A76BD" w:rsidRDefault="00573AD5" w:rsidP="00573AD5">
            <w:pPr>
              <w:rPr>
                <w:sz w:val="22"/>
                <w:szCs w:val="22"/>
              </w:rPr>
            </w:pPr>
            <w:r>
              <w:rPr>
                <w:sz w:val="22"/>
                <w:szCs w:val="22"/>
              </w:rPr>
              <w:t>Electricăă</w:t>
            </w:r>
          </w:p>
        </w:tc>
        <w:tc>
          <w:tcPr>
            <w:tcW w:w="1842" w:type="dxa"/>
            <w:vAlign w:val="center"/>
          </w:tcPr>
          <w:p w:rsidR="00573AD5" w:rsidRPr="000A76BD" w:rsidDel="00C615C6" w:rsidRDefault="00573AD5" w:rsidP="00573AD5">
            <w:pPr>
              <w:jc w:val="center"/>
              <w:rPr>
                <w:sz w:val="22"/>
                <w:szCs w:val="22"/>
              </w:rPr>
            </w:pPr>
            <w:r>
              <w:rPr>
                <w:sz w:val="22"/>
                <w:szCs w:val="22"/>
              </w:rPr>
              <w:t>4</w:t>
            </w:r>
          </w:p>
        </w:tc>
      </w:tr>
      <w:tr w:rsidR="00573AD5" w:rsidRPr="000A76BD" w:rsidTr="0030066D">
        <w:trPr>
          <w:trHeight w:val="506"/>
        </w:trPr>
        <w:tc>
          <w:tcPr>
            <w:tcW w:w="4077" w:type="dxa"/>
            <w:shd w:val="clear" w:color="auto" w:fill="auto"/>
            <w:vAlign w:val="center"/>
          </w:tcPr>
          <w:p w:rsidR="00573AD5" w:rsidRPr="000A76BD" w:rsidRDefault="00573AD5" w:rsidP="00573AD5">
            <w:pPr>
              <w:rPr>
                <w:sz w:val="22"/>
                <w:szCs w:val="22"/>
                <w:highlight w:val="yellow"/>
              </w:rPr>
            </w:pPr>
            <w:r>
              <w:rPr>
                <w:rFonts w:cs="Arial"/>
                <w:sz w:val="22"/>
                <w:szCs w:val="22"/>
              </w:rPr>
              <w:t>Cluj to Oradea</w:t>
            </w:r>
          </w:p>
        </w:tc>
        <w:tc>
          <w:tcPr>
            <w:tcW w:w="1276" w:type="dxa"/>
            <w:shd w:val="clear" w:color="auto" w:fill="auto"/>
            <w:vAlign w:val="center"/>
          </w:tcPr>
          <w:p w:rsidR="00573AD5" w:rsidRPr="000A76BD" w:rsidRDefault="00573AD5" w:rsidP="00573AD5">
            <w:pPr>
              <w:jc w:val="center"/>
              <w:rPr>
                <w:sz w:val="22"/>
                <w:szCs w:val="22"/>
              </w:rPr>
            </w:pPr>
            <w:r>
              <w:rPr>
                <w:sz w:val="22"/>
                <w:szCs w:val="22"/>
              </w:rPr>
              <w:t>DS07</w:t>
            </w:r>
          </w:p>
        </w:tc>
        <w:tc>
          <w:tcPr>
            <w:tcW w:w="1134" w:type="dxa"/>
            <w:shd w:val="clear" w:color="auto" w:fill="auto"/>
            <w:vAlign w:val="center"/>
          </w:tcPr>
          <w:p w:rsidR="00573AD5" w:rsidRPr="000A76BD" w:rsidRDefault="00573AD5" w:rsidP="00573AD5">
            <w:pPr>
              <w:jc w:val="center"/>
              <w:rPr>
                <w:sz w:val="22"/>
                <w:szCs w:val="22"/>
              </w:rPr>
            </w:pPr>
            <w:r>
              <w:rPr>
                <w:sz w:val="22"/>
                <w:szCs w:val="22"/>
              </w:rPr>
              <w:t>4</w:t>
            </w:r>
          </w:p>
        </w:tc>
        <w:tc>
          <w:tcPr>
            <w:tcW w:w="1985" w:type="dxa"/>
            <w:shd w:val="clear" w:color="auto" w:fill="auto"/>
            <w:vAlign w:val="center"/>
          </w:tcPr>
          <w:p w:rsidR="00573AD5" w:rsidRPr="000A76BD" w:rsidRDefault="00573AD5" w:rsidP="00573AD5">
            <w:pPr>
              <w:rPr>
                <w:sz w:val="22"/>
                <w:szCs w:val="22"/>
              </w:rPr>
            </w:pPr>
            <w:r>
              <w:rPr>
                <w:sz w:val="22"/>
                <w:szCs w:val="22"/>
              </w:rPr>
              <w:t>Electrică sau diesel</w:t>
            </w:r>
          </w:p>
        </w:tc>
        <w:tc>
          <w:tcPr>
            <w:tcW w:w="1842" w:type="dxa"/>
            <w:vAlign w:val="center"/>
          </w:tcPr>
          <w:p w:rsidR="00573AD5" w:rsidRPr="000A76BD" w:rsidDel="00C615C6" w:rsidRDefault="00573AD5" w:rsidP="00573AD5">
            <w:pPr>
              <w:jc w:val="center"/>
              <w:rPr>
                <w:sz w:val="22"/>
                <w:szCs w:val="22"/>
              </w:rPr>
            </w:pPr>
            <w:r>
              <w:rPr>
                <w:sz w:val="22"/>
                <w:szCs w:val="22"/>
              </w:rPr>
              <w:t>2/3</w:t>
            </w:r>
          </w:p>
        </w:tc>
      </w:tr>
      <w:tr w:rsidR="00573AD5" w:rsidRPr="000A76BD" w:rsidTr="0030066D">
        <w:trPr>
          <w:trHeight w:val="506"/>
        </w:trPr>
        <w:tc>
          <w:tcPr>
            <w:tcW w:w="4077" w:type="dxa"/>
            <w:shd w:val="clear" w:color="auto" w:fill="auto"/>
            <w:vAlign w:val="center"/>
          </w:tcPr>
          <w:p w:rsidR="00573AD5" w:rsidRPr="000A76BD" w:rsidRDefault="00573AD5" w:rsidP="00573AD5">
            <w:pPr>
              <w:rPr>
                <w:rFonts w:cs="Arial"/>
                <w:sz w:val="22"/>
                <w:szCs w:val="22"/>
              </w:rPr>
            </w:pPr>
            <w:r>
              <w:rPr>
                <w:rFonts w:cs="Arial"/>
                <w:sz w:val="22"/>
                <w:szCs w:val="22"/>
              </w:rPr>
              <w:t>Timisoara to Oradea</w:t>
            </w:r>
          </w:p>
        </w:tc>
        <w:tc>
          <w:tcPr>
            <w:tcW w:w="1276" w:type="dxa"/>
            <w:shd w:val="clear" w:color="auto" w:fill="auto"/>
            <w:vAlign w:val="center"/>
          </w:tcPr>
          <w:p w:rsidR="00573AD5" w:rsidRPr="000A76BD" w:rsidRDefault="00573AD5" w:rsidP="00573AD5">
            <w:pPr>
              <w:jc w:val="center"/>
              <w:rPr>
                <w:sz w:val="22"/>
                <w:szCs w:val="22"/>
              </w:rPr>
            </w:pPr>
            <w:r>
              <w:rPr>
                <w:sz w:val="22"/>
                <w:szCs w:val="22"/>
              </w:rPr>
              <w:t>DS08</w:t>
            </w:r>
          </w:p>
        </w:tc>
        <w:tc>
          <w:tcPr>
            <w:tcW w:w="1134" w:type="dxa"/>
            <w:shd w:val="clear" w:color="auto" w:fill="auto"/>
            <w:vAlign w:val="center"/>
          </w:tcPr>
          <w:p w:rsidR="00573AD5" w:rsidRPr="000A76BD" w:rsidRDefault="00573AD5" w:rsidP="00573AD5">
            <w:pPr>
              <w:jc w:val="center"/>
              <w:rPr>
                <w:sz w:val="22"/>
                <w:szCs w:val="22"/>
              </w:rPr>
            </w:pPr>
            <w:r>
              <w:rPr>
                <w:sz w:val="22"/>
                <w:szCs w:val="22"/>
              </w:rPr>
              <w:t>5</w:t>
            </w:r>
          </w:p>
        </w:tc>
        <w:tc>
          <w:tcPr>
            <w:tcW w:w="1985" w:type="dxa"/>
            <w:shd w:val="clear" w:color="auto" w:fill="auto"/>
            <w:vAlign w:val="center"/>
          </w:tcPr>
          <w:p w:rsidR="00573AD5" w:rsidRPr="000A76BD" w:rsidRDefault="00573AD5" w:rsidP="00573AD5">
            <w:pPr>
              <w:rPr>
                <w:sz w:val="22"/>
                <w:szCs w:val="22"/>
              </w:rPr>
            </w:pPr>
            <w:r>
              <w:rPr>
                <w:sz w:val="22"/>
                <w:szCs w:val="22"/>
              </w:rPr>
              <w:t>Electrică sau diesel</w:t>
            </w:r>
          </w:p>
        </w:tc>
        <w:tc>
          <w:tcPr>
            <w:tcW w:w="1842" w:type="dxa"/>
            <w:vAlign w:val="center"/>
          </w:tcPr>
          <w:p w:rsidR="00573AD5" w:rsidRPr="000A76BD" w:rsidDel="00C615C6" w:rsidRDefault="00573AD5" w:rsidP="00573AD5">
            <w:pPr>
              <w:jc w:val="center"/>
              <w:rPr>
                <w:sz w:val="22"/>
                <w:szCs w:val="22"/>
              </w:rPr>
            </w:pPr>
            <w:r>
              <w:rPr>
                <w:sz w:val="22"/>
                <w:szCs w:val="22"/>
              </w:rPr>
              <w:t>4</w:t>
            </w:r>
          </w:p>
        </w:tc>
      </w:tr>
      <w:tr w:rsidR="00573AD5" w:rsidRPr="000A76BD" w:rsidTr="0030066D">
        <w:trPr>
          <w:trHeight w:val="506"/>
        </w:trPr>
        <w:tc>
          <w:tcPr>
            <w:tcW w:w="4077" w:type="dxa"/>
            <w:shd w:val="clear" w:color="auto" w:fill="auto"/>
            <w:vAlign w:val="center"/>
          </w:tcPr>
          <w:p w:rsidR="00573AD5" w:rsidRPr="000A76BD" w:rsidRDefault="00573AD5" w:rsidP="00573AD5">
            <w:pPr>
              <w:rPr>
                <w:rFonts w:cs="Arial"/>
                <w:sz w:val="22"/>
                <w:szCs w:val="22"/>
                <w:lang w:val="es-ES_tradnl"/>
              </w:rPr>
            </w:pPr>
            <w:r>
              <w:rPr>
                <w:rFonts w:cs="Arial"/>
                <w:sz w:val="22"/>
                <w:szCs w:val="22"/>
                <w:lang w:val="es-ES_tradnl"/>
              </w:rPr>
              <w:t>Oradea to Cluj via Baia Mare</w:t>
            </w:r>
          </w:p>
        </w:tc>
        <w:tc>
          <w:tcPr>
            <w:tcW w:w="1276" w:type="dxa"/>
            <w:shd w:val="clear" w:color="auto" w:fill="auto"/>
            <w:vAlign w:val="center"/>
          </w:tcPr>
          <w:p w:rsidR="00573AD5" w:rsidRPr="000A76BD" w:rsidRDefault="00573AD5" w:rsidP="00573AD5">
            <w:pPr>
              <w:jc w:val="center"/>
              <w:rPr>
                <w:sz w:val="22"/>
                <w:szCs w:val="22"/>
              </w:rPr>
            </w:pPr>
            <w:r>
              <w:rPr>
                <w:sz w:val="22"/>
                <w:szCs w:val="22"/>
              </w:rPr>
              <w:t>DS09</w:t>
            </w:r>
          </w:p>
        </w:tc>
        <w:tc>
          <w:tcPr>
            <w:tcW w:w="1134" w:type="dxa"/>
            <w:shd w:val="clear" w:color="auto" w:fill="auto"/>
            <w:vAlign w:val="center"/>
          </w:tcPr>
          <w:p w:rsidR="00573AD5" w:rsidRPr="000A76BD" w:rsidRDefault="00573AD5" w:rsidP="00573AD5">
            <w:pPr>
              <w:jc w:val="center"/>
              <w:rPr>
                <w:sz w:val="22"/>
                <w:szCs w:val="22"/>
              </w:rPr>
            </w:pPr>
            <w:r>
              <w:rPr>
                <w:sz w:val="22"/>
                <w:szCs w:val="22"/>
              </w:rPr>
              <w:t>6</w:t>
            </w:r>
          </w:p>
        </w:tc>
        <w:tc>
          <w:tcPr>
            <w:tcW w:w="1985" w:type="dxa"/>
            <w:shd w:val="clear" w:color="auto" w:fill="auto"/>
            <w:vAlign w:val="center"/>
          </w:tcPr>
          <w:p w:rsidR="00573AD5" w:rsidRPr="000A76BD" w:rsidRDefault="00573AD5" w:rsidP="00573AD5">
            <w:pPr>
              <w:rPr>
                <w:sz w:val="22"/>
                <w:szCs w:val="22"/>
              </w:rPr>
            </w:pPr>
            <w:r>
              <w:rPr>
                <w:sz w:val="22"/>
                <w:szCs w:val="22"/>
              </w:rPr>
              <w:t>Diesel</w:t>
            </w:r>
          </w:p>
        </w:tc>
        <w:tc>
          <w:tcPr>
            <w:tcW w:w="1842" w:type="dxa"/>
            <w:vAlign w:val="center"/>
          </w:tcPr>
          <w:p w:rsidR="00573AD5" w:rsidRPr="000A76BD" w:rsidDel="00C615C6" w:rsidRDefault="00573AD5" w:rsidP="00573AD5">
            <w:pPr>
              <w:jc w:val="center"/>
              <w:rPr>
                <w:sz w:val="22"/>
                <w:szCs w:val="22"/>
              </w:rPr>
            </w:pPr>
            <w:r>
              <w:rPr>
                <w:sz w:val="22"/>
                <w:szCs w:val="22"/>
              </w:rPr>
              <w:t>3</w:t>
            </w:r>
          </w:p>
        </w:tc>
      </w:tr>
      <w:tr w:rsidR="00573AD5" w:rsidRPr="000A76BD" w:rsidTr="0030066D">
        <w:trPr>
          <w:trHeight w:val="506"/>
        </w:trPr>
        <w:tc>
          <w:tcPr>
            <w:tcW w:w="4077" w:type="dxa"/>
            <w:shd w:val="clear" w:color="auto" w:fill="auto"/>
            <w:vAlign w:val="center"/>
          </w:tcPr>
          <w:p w:rsidR="00573AD5" w:rsidRPr="000A76BD" w:rsidRDefault="00573AD5" w:rsidP="00573AD5">
            <w:pPr>
              <w:rPr>
                <w:rFonts w:cs="Arial"/>
                <w:sz w:val="22"/>
                <w:szCs w:val="22"/>
              </w:rPr>
            </w:pPr>
            <w:r>
              <w:rPr>
                <w:rFonts w:cs="Arial"/>
                <w:sz w:val="22"/>
                <w:szCs w:val="22"/>
                <w:lang w:val="es-ES_tradnl"/>
              </w:rPr>
              <w:t>Bucharest to Giurgiu</w:t>
            </w:r>
          </w:p>
        </w:tc>
        <w:tc>
          <w:tcPr>
            <w:tcW w:w="1276" w:type="dxa"/>
            <w:shd w:val="clear" w:color="auto" w:fill="auto"/>
            <w:vAlign w:val="center"/>
          </w:tcPr>
          <w:p w:rsidR="00573AD5" w:rsidRPr="000A76BD" w:rsidRDefault="00573AD5" w:rsidP="00573AD5">
            <w:pPr>
              <w:jc w:val="center"/>
              <w:rPr>
                <w:sz w:val="22"/>
                <w:szCs w:val="22"/>
              </w:rPr>
            </w:pPr>
            <w:r>
              <w:rPr>
                <w:sz w:val="22"/>
                <w:szCs w:val="22"/>
              </w:rPr>
              <w:t>DS10</w:t>
            </w:r>
          </w:p>
        </w:tc>
        <w:tc>
          <w:tcPr>
            <w:tcW w:w="1134" w:type="dxa"/>
            <w:shd w:val="clear" w:color="auto" w:fill="auto"/>
            <w:vAlign w:val="center"/>
          </w:tcPr>
          <w:p w:rsidR="00573AD5" w:rsidRPr="000A76BD" w:rsidRDefault="00573AD5" w:rsidP="00573AD5">
            <w:pPr>
              <w:jc w:val="center"/>
              <w:rPr>
                <w:sz w:val="22"/>
                <w:szCs w:val="22"/>
              </w:rPr>
            </w:pPr>
            <w:r>
              <w:rPr>
                <w:sz w:val="22"/>
                <w:szCs w:val="22"/>
              </w:rPr>
              <w:t>2</w:t>
            </w:r>
          </w:p>
        </w:tc>
        <w:tc>
          <w:tcPr>
            <w:tcW w:w="1985" w:type="dxa"/>
            <w:shd w:val="clear" w:color="auto" w:fill="auto"/>
            <w:vAlign w:val="center"/>
          </w:tcPr>
          <w:p w:rsidR="00573AD5" w:rsidRPr="000A76BD" w:rsidRDefault="00573AD5" w:rsidP="00573AD5">
            <w:pPr>
              <w:rPr>
                <w:sz w:val="22"/>
                <w:szCs w:val="22"/>
                <w:lang w:val="es-ES_tradnl"/>
              </w:rPr>
            </w:pPr>
            <w:r>
              <w:rPr>
                <w:sz w:val="22"/>
                <w:szCs w:val="22"/>
                <w:lang w:val="es-ES_tradnl"/>
              </w:rPr>
              <w:t xml:space="preserve">Electrică </w:t>
            </w:r>
          </w:p>
        </w:tc>
        <w:tc>
          <w:tcPr>
            <w:tcW w:w="1842" w:type="dxa"/>
            <w:vAlign w:val="center"/>
          </w:tcPr>
          <w:p w:rsidR="00573AD5" w:rsidRPr="000A76BD" w:rsidDel="00C615C6" w:rsidRDefault="00573AD5" w:rsidP="00573AD5">
            <w:pPr>
              <w:jc w:val="center"/>
              <w:rPr>
                <w:sz w:val="22"/>
                <w:szCs w:val="22"/>
              </w:rPr>
            </w:pPr>
            <w:r>
              <w:rPr>
                <w:sz w:val="22"/>
                <w:szCs w:val="22"/>
              </w:rPr>
              <w:t>5</w:t>
            </w:r>
          </w:p>
        </w:tc>
      </w:tr>
      <w:tr w:rsidR="00573AD5" w:rsidRPr="000A76BD" w:rsidTr="0030066D">
        <w:trPr>
          <w:trHeight w:val="506"/>
        </w:trPr>
        <w:tc>
          <w:tcPr>
            <w:tcW w:w="4077" w:type="dxa"/>
            <w:shd w:val="clear" w:color="auto" w:fill="auto"/>
            <w:vAlign w:val="center"/>
          </w:tcPr>
          <w:p w:rsidR="00573AD5" w:rsidRPr="000A76BD" w:rsidRDefault="00573AD5" w:rsidP="00573AD5">
            <w:pPr>
              <w:rPr>
                <w:rFonts w:cs="Arial"/>
                <w:sz w:val="22"/>
                <w:szCs w:val="22"/>
              </w:rPr>
            </w:pPr>
            <w:r>
              <w:rPr>
                <w:rFonts w:cs="Arial"/>
                <w:sz w:val="22"/>
                <w:szCs w:val="22"/>
                <w:lang w:val="es-ES_tradnl"/>
              </w:rPr>
              <w:t>Craiova to Calafat</w:t>
            </w:r>
          </w:p>
        </w:tc>
        <w:tc>
          <w:tcPr>
            <w:tcW w:w="1276" w:type="dxa"/>
            <w:shd w:val="clear" w:color="auto" w:fill="auto"/>
            <w:vAlign w:val="center"/>
          </w:tcPr>
          <w:p w:rsidR="00573AD5" w:rsidRPr="000A76BD" w:rsidRDefault="00573AD5" w:rsidP="00573AD5">
            <w:pPr>
              <w:jc w:val="center"/>
              <w:rPr>
                <w:sz w:val="22"/>
                <w:szCs w:val="22"/>
              </w:rPr>
            </w:pPr>
            <w:r>
              <w:rPr>
                <w:sz w:val="22"/>
                <w:szCs w:val="22"/>
              </w:rPr>
              <w:t>DS11</w:t>
            </w:r>
          </w:p>
        </w:tc>
        <w:tc>
          <w:tcPr>
            <w:tcW w:w="1134" w:type="dxa"/>
            <w:shd w:val="clear" w:color="auto" w:fill="auto"/>
            <w:vAlign w:val="center"/>
          </w:tcPr>
          <w:p w:rsidR="00573AD5" w:rsidRPr="000A76BD" w:rsidRDefault="00573AD5" w:rsidP="00573AD5">
            <w:pPr>
              <w:jc w:val="center"/>
              <w:rPr>
                <w:sz w:val="22"/>
                <w:szCs w:val="22"/>
              </w:rPr>
            </w:pPr>
            <w:r>
              <w:rPr>
                <w:sz w:val="22"/>
                <w:szCs w:val="22"/>
              </w:rPr>
              <w:t>3</w:t>
            </w:r>
          </w:p>
        </w:tc>
        <w:tc>
          <w:tcPr>
            <w:tcW w:w="1985" w:type="dxa"/>
            <w:shd w:val="clear" w:color="auto" w:fill="auto"/>
            <w:vAlign w:val="center"/>
          </w:tcPr>
          <w:p w:rsidR="00573AD5" w:rsidRPr="000A76BD" w:rsidRDefault="00573AD5" w:rsidP="00573AD5">
            <w:pPr>
              <w:rPr>
                <w:sz w:val="22"/>
                <w:szCs w:val="22"/>
              </w:rPr>
            </w:pPr>
            <w:r>
              <w:rPr>
                <w:sz w:val="22"/>
                <w:szCs w:val="22"/>
              </w:rPr>
              <w:t xml:space="preserve">Electrică </w:t>
            </w:r>
          </w:p>
        </w:tc>
        <w:tc>
          <w:tcPr>
            <w:tcW w:w="1842" w:type="dxa"/>
            <w:vAlign w:val="center"/>
          </w:tcPr>
          <w:p w:rsidR="00573AD5" w:rsidRPr="000A76BD" w:rsidDel="00C615C6" w:rsidRDefault="00573AD5" w:rsidP="00573AD5">
            <w:pPr>
              <w:jc w:val="center"/>
              <w:rPr>
                <w:sz w:val="22"/>
                <w:szCs w:val="22"/>
              </w:rPr>
            </w:pPr>
            <w:r>
              <w:rPr>
                <w:sz w:val="22"/>
                <w:szCs w:val="22"/>
              </w:rPr>
              <w:t>3</w:t>
            </w:r>
          </w:p>
        </w:tc>
      </w:tr>
      <w:tr w:rsidR="00573AD5" w:rsidRPr="000A76BD" w:rsidTr="0030066D">
        <w:trPr>
          <w:trHeight w:val="506"/>
        </w:trPr>
        <w:tc>
          <w:tcPr>
            <w:tcW w:w="4077" w:type="dxa"/>
            <w:shd w:val="clear" w:color="auto" w:fill="auto"/>
            <w:vAlign w:val="center"/>
          </w:tcPr>
          <w:p w:rsidR="00573AD5" w:rsidRPr="000A76BD" w:rsidRDefault="00573AD5" w:rsidP="00573AD5">
            <w:pPr>
              <w:rPr>
                <w:rFonts w:cs="Arial"/>
                <w:sz w:val="22"/>
                <w:szCs w:val="22"/>
              </w:rPr>
            </w:pPr>
            <w:r>
              <w:rPr>
                <w:rFonts w:cs="Arial"/>
                <w:sz w:val="22"/>
                <w:szCs w:val="22"/>
                <w:lang w:val="es-ES_tradnl"/>
              </w:rPr>
              <w:t>Combined scenario</w:t>
            </w:r>
          </w:p>
        </w:tc>
        <w:tc>
          <w:tcPr>
            <w:tcW w:w="1276" w:type="dxa"/>
            <w:shd w:val="clear" w:color="auto" w:fill="auto"/>
            <w:vAlign w:val="center"/>
          </w:tcPr>
          <w:p w:rsidR="00573AD5" w:rsidRPr="000A76BD" w:rsidRDefault="00573AD5" w:rsidP="00573AD5">
            <w:pPr>
              <w:jc w:val="center"/>
              <w:rPr>
                <w:sz w:val="22"/>
                <w:szCs w:val="22"/>
              </w:rPr>
            </w:pPr>
            <w:r>
              <w:rPr>
                <w:sz w:val="22"/>
                <w:szCs w:val="22"/>
              </w:rPr>
              <w:t>DS99</w:t>
            </w:r>
          </w:p>
        </w:tc>
        <w:tc>
          <w:tcPr>
            <w:tcW w:w="1134" w:type="dxa"/>
            <w:shd w:val="clear" w:color="auto" w:fill="auto"/>
            <w:vAlign w:val="center"/>
          </w:tcPr>
          <w:p w:rsidR="00573AD5" w:rsidRPr="000A76BD" w:rsidRDefault="00573AD5" w:rsidP="00573AD5">
            <w:pPr>
              <w:jc w:val="center"/>
              <w:rPr>
                <w:sz w:val="22"/>
                <w:szCs w:val="22"/>
              </w:rPr>
            </w:pPr>
            <w:r>
              <w:rPr>
                <w:sz w:val="22"/>
                <w:szCs w:val="22"/>
              </w:rPr>
              <w:t>104</w:t>
            </w:r>
          </w:p>
        </w:tc>
        <w:tc>
          <w:tcPr>
            <w:tcW w:w="1985" w:type="dxa"/>
            <w:shd w:val="clear" w:color="auto" w:fill="auto"/>
            <w:vAlign w:val="center"/>
          </w:tcPr>
          <w:p w:rsidR="00573AD5" w:rsidRPr="000A76BD" w:rsidRDefault="00573AD5" w:rsidP="00573AD5">
            <w:pPr>
              <w:rPr>
                <w:sz w:val="22"/>
                <w:szCs w:val="22"/>
              </w:rPr>
            </w:pPr>
            <w:r>
              <w:rPr>
                <w:sz w:val="22"/>
                <w:szCs w:val="22"/>
              </w:rPr>
              <w:t>Electrică și diesel</w:t>
            </w:r>
          </w:p>
        </w:tc>
        <w:tc>
          <w:tcPr>
            <w:tcW w:w="1842" w:type="dxa"/>
            <w:vAlign w:val="center"/>
          </w:tcPr>
          <w:p w:rsidR="00573AD5" w:rsidRPr="000A76BD" w:rsidDel="00C615C6" w:rsidRDefault="00573AD5" w:rsidP="00573AD5">
            <w:pPr>
              <w:jc w:val="center"/>
              <w:rPr>
                <w:sz w:val="22"/>
                <w:szCs w:val="22"/>
              </w:rPr>
            </w:pPr>
            <w:r>
              <w:rPr>
                <w:sz w:val="22"/>
                <w:szCs w:val="22"/>
              </w:rPr>
              <w:t>2 to 9</w:t>
            </w:r>
          </w:p>
        </w:tc>
      </w:tr>
    </w:tbl>
    <w:p w:rsidR="00573AD5" w:rsidRPr="00AE1AD4" w:rsidRDefault="00573AD5" w:rsidP="00AE1AD4">
      <w:pPr>
        <w:ind w:left="851"/>
        <w:rPr>
          <w:i/>
          <w:lang w:val="ro-RO"/>
        </w:rPr>
      </w:pPr>
      <w:bookmarkStart w:id="112" w:name="_Toc413057759"/>
      <w:r w:rsidRPr="00AE1AD4">
        <w:rPr>
          <w:i/>
          <w:lang w:val="ro-RO"/>
        </w:rPr>
        <w:t>Sursa: Calculul AECOM</w:t>
      </w:r>
      <w:bookmarkEnd w:id="112"/>
      <w:r w:rsidRPr="00AE1AD4">
        <w:rPr>
          <w:i/>
          <w:lang w:val="ro-RO"/>
        </w:rPr>
        <w:t xml:space="preserve"> </w:t>
      </w:r>
    </w:p>
    <w:p w:rsidR="00573AD5" w:rsidRDefault="00573AD5" w:rsidP="002B7E09">
      <w:pPr>
        <w:pStyle w:val="NumberedParas"/>
      </w:pPr>
      <w:r>
        <w:t>Prognozele inițiale ale cererii și tiparele de servicii propuse descrise mai sus au fost folosite pentru selectarea materialului rulant și stabilirea proporției de unități multiple diesel și unități multiple electrice.  Cu principalele îmbunătățiri concentrare pe trenurile -Regio, se afirmă încă o dată că noul material rulant trebuie să fie adatat pieței de transport pe distanțe lungi. Un program de înlocuire treptată a materialului rulant vechi cu unități multiple diesel și electrice noi  va înregistra beneficii semnificative pentru transportul feroviar de călători, permițând o flexibilitate mai mare și înregistrând întârzieri și costuri de operare mai mici pe tren-km.</w:t>
      </w:r>
    </w:p>
    <w:p w:rsidR="00573AD5" w:rsidRDefault="00573AD5" w:rsidP="002B7E09">
      <w:pPr>
        <w:pStyle w:val="NumberedParas"/>
      </w:pPr>
      <w:r>
        <w:t xml:space="preserve">Mai mult, poate exista potențialul introducerii mateiralului rulant cu cutie înclinată. Acest tip de unitate poate permite reducerea duratelor de parcurs, însă cu costuri de achiziție mai mmari. Este nevoie de un studiu de fezabilitate separat pentru a determina dacă este necesar și oportun un material rulant cu specificații mai performante după ce s-au evaluat potețialele îmbunătățiri ale vitezelor permise de infrastructura liniilor. În procesul de evaluare a proiectelor s-a utilizat un cost generic pe vagon pentru materialul rulant. Referințele la diesel și electric din Tabelul 5.14 iau în considerare și oportunitățle potențiale de introducere a tracțiunii alternative, în funcție de rezultatul anlizelor cost-beneficiu pentru electrificare. Numărul de vagoane depinde de cererea estimată, dar aceste ipoteze vor necesita o analiză amănunțită înainte de procurarea noilor garnituri. </w:t>
      </w:r>
    </w:p>
    <w:p w:rsidR="00573AD5" w:rsidRPr="0076579A" w:rsidRDefault="00573AD5" w:rsidP="0030066D">
      <w:pPr>
        <w:pStyle w:val="Hdg3"/>
      </w:pPr>
      <w:r w:rsidRPr="0076579A">
        <w:t>Managementul profitului</w:t>
      </w:r>
    </w:p>
    <w:p w:rsidR="00573AD5" w:rsidRDefault="00573AD5" w:rsidP="002B7E09">
      <w:pPr>
        <w:pStyle w:val="NumberedParas"/>
      </w:pPr>
      <w:r w:rsidRPr="004F7761">
        <w:rPr>
          <w:b/>
        </w:rPr>
        <w:t>Problema</w:t>
      </w:r>
      <w:r w:rsidRPr="0076579A">
        <w:t xml:space="preserve">: Structura de tarifare actuală pentru călătoriile cu trenul este relativ inflexibilă cu stimulente financiare limitate de încurajare a călătorilor să achiziționeze biletele la un preț mai mic prin rezervarea în avans. Majoritatea tarifelor sunt bazate pe distanța de călătorie, deși </w:t>
      </w:r>
      <w:r w:rsidRPr="0076579A">
        <w:lastRenderedPageBreak/>
        <w:t xml:space="preserve">anumite bilete pot fi achiziționate în avans utilizând pagina web CFR Călători. Cu toate acestea, există posibilitatea de a aduce îmbunătățiri. Această problemă trebuie revizuită, dat fiind faptul că achiziționarea biletelor în avans în România este între 75% și 100% mai puțin avantajoasă decât în alte țări europene pentru distanțe similare, luând în considerare diferențele salariale; </w:t>
      </w:r>
    </w:p>
    <w:p w:rsidR="00573AD5" w:rsidRDefault="00573AD5" w:rsidP="002B7E09">
      <w:pPr>
        <w:pStyle w:val="NumberedParas"/>
      </w:pPr>
      <w:r w:rsidRPr="0076579A">
        <w:rPr>
          <w:b/>
        </w:rPr>
        <w:t>Soluții propuse</w:t>
      </w:r>
      <w:r w:rsidRPr="0076579A">
        <w:t xml:space="preserve">: Această problemă ar putea fi soluționată prin introducerea unor măsuri de maximizare a profitului pentru cele mai utilizate trenuri. În paralel, ar putea fi furnizate reduceri mai mari pentru călătorii care circulă în perioade mai puțin aglomerate. Ar putea fi, de asemenea, introduse abonamente și reduceri pentru călătorii frecvente, măsuri care ar atrage mai mulți călători în sistemul feroviar. </w:t>
      </w:r>
      <w:r>
        <w:t xml:space="preserve">Oportunitățile de revizuire a </w:t>
      </w:r>
      <w:r w:rsidRPr="0076579A">
        <w:t>graficelor de mers al trenurilor subliniază si mai mult importanța introducerii unui management mai eficient al profitului. Aceste schimbări la nivelul graficelor de mers ar crește capacitatea pe rutele selectate, în special pentru călătoriile d</w:t>
      </w:r>
      <w:r>
        <w:t xml:space="preserve">care durează </w:t>
      </w:r>
      <w:r w:rsidRPr="0076579A">
        <w:t>2-3 ore dinspre / către București</w:t>
      </w:r>
    </w:p>
    <w:p w:rsidR="00573AD5" w:rsidRPr="0076579A" w:rsidRDefault="00573AD5" w:rsidP="0030066D">
      <w:pPr>
        <w:pStyle w:val="Hdg3"/>
      </w:pPr>
      <w:r w:rsidRPr="0076579A">
        <w:t>Călătorii frauduloase</w:t>
      </w:r>
    </w:p>
    <w:p w:rsidR="00573AD5" w:rsidRDefault="00573AD5" w:rsidP="002B7E09">
      <w:pPr>
        <w:pStyle w:val="NumberedParas"/>
        <w:rPr>
          <w:b/>
        </w:rPr>
      </w:pPr>
      <w:r w:rsidRPr="0054081C">
        <w:rPr>
          <w:b/>
        </w:rPr>
        <w:t>Problema:</w:t>
      </w:r>
      <w:r w:rsidRPr="0076579A">
        <w:t xml:space="preserve"> În urma discuțiilor cu CFR Călători rezultă că 25-30% dintre călători, fie călătoresc cu bilete incorecte, fie nu au achiziționat bilete deloc. Pierderea de venit estimată este de aproximativ 50 milioane euro pe an. Liniile operate de CFR Călători înregistrează cel mai mare procentaj de călătorii frauduloase, ceea ce reflectă faptul că este necesară aplicarea unor măsuri mai stricte de protecție în ceea ce privește venitul, pe care operatorii privați le-au introdus deja;</w:t>
      </w:r>
    </w:p>
    <w:p w:rsidR="00573AD5" w:rsidRDefault="00573AD5" w:rsidP="002B7E09">
      <w:pPr>
        <w:pStyle w:val="NumberedParas"/>
      </w:pPr>
      <w:r w:rsidRPr="0076579A">
        <w:rPr>
          <w:b/>
        </w:rPr>
        <w:t xml:space="preserve">Soluții propuse: </w:t>
      </w:r>
      <w:r w:rsidRPr="0076579A">
        <w:t>Pentru a soluționa problema numărului actual de călătorii frauduloase,  trebuie luate urgent măsuri care să motiveze operatorii să colecteze un procentaj mai mare din venitul total, aspect ce ar trebui să fie în directă legătură cu partea de guvernare descrisă mai sus. În plus, este necesară inițierea unor campanii care să evidențieze implicațiile sociale și financiare rezultate în urma călăt</w:t>
      </w:r>
      <w:r>
        <w:t xml:space="preserve"> </w:t>
      </w:r>
      <w:r w:rsidRPr="0076579A">
        <w:t xml:space="preserve">oriilor frauduloase, cu amenzi mai severe pentru călătorii care circulă fără bilet sau cu bilet greșit. Mulți dintre operatorii privați care au introdus </w:t>
      </w:r>
      <w:r>
        <w:t xml:space="preserve">cu succes </w:t>
      </w:r>
      <w:r w:rsidRPr="0076579A">
        <w:t>astfel de măsuri au sporit venitul de 6-7 ori, comparativ cu cel înregistrat de CFR Călători. Acest lucru indică faptul că inițiativele de reducere a numărului de călătorii frauduloase ar trebui să se poată auto-finanța.</w:t>
      </w:r>
      <w:r>
        <w:t xml:space="preserve"> </w:t>
      </w:r>
    </w:p>
    <w:p w:rsidR="00573AD5" w:rsidRDefault="00573AD5" w:rsidP="0030066D">
      <w:pPr>
        <w:pStyle w:val="Hdg3"/>
      </w:pPr>
      <w:r>
        <w:t xml:space="preserve">Tema 4 – Reglementarea și organizarea sistemului </w:t>
      </w:r>
    </w:p>
    <w:p w:rsidR="00573AD5" w:rsidRDefault="00573AD5" w:rsidP="002B7E09">
      <w:pPr>
        <w:pStyle w:val="NumberedParas"/>
      </w:pPr>
      <w:r>
        <w:rPr>
          <w:b/>
        </w:rPr>
        <w:t xml:space="preserve">Problema: </w:t>
      </w:r>
      <w:r>
        <w:t xml:space="preserve">în sistemul actual de administrare nu există prea multe stimulente pentru ca operatorii să aibă inițiative comerciale sau să acționeze într-un mod comercial. Stimulentele financiare pentru administratorul de infrastructură sau pentru operator în vederea implementării inițiativelor care vor duce la atragerea de noi călători sau la creșterea eficienței. </w:t>
      </w:r>
    </w:p>
    <w:p w:rsidR="00573AD5" w:rsidRDefault="00573AD5" w:rsidP="002B7E09">
      <w:pPr>
        <w:pStyle w:val="NumberedParas"/>
      </w:pPr>
      <w:r>
        <w:rPr>
          <w:b/>
        </w:rPr>
        <w:t>Soluții propuse:</w:t>
      </w:r>
      <w:r>
        <w:t xml:space="preserve"> </w:t>
      </w:r>
      <w:r w:rsidRPr="000A2753">
        <w:t>Se poate</w:t>
      </w:r>
      <w:r>
        <w:t xml:space="preserve"> oferi un scenariu revizuit cu o gamă de ințiative comerciale și de altă natură. Implementarea acestor măsuri va face posibilă o creștere a costurilor și a veniturilor înainte de apariția schimbărilor care vor afecta CSP. Contractele existente vor trebui atunci revizuite și ar trebui să inlcudă transferarea unui risc comercial mult mai mare rcătre operator. În prezent riscul comercial care este asumat de oprator este relativ limitat și acest fapt fectează în mod negativ dorința și disponibiltatea acestora de aintroduce inițiative alternative. Se recomandă elaborarea un model contractual care ține cont de diferențele dintre venituri și costuri după implementarea inițiativelor de mai sus. Unele dintre aceste îmbunătățiri care au ca scop reducerea costsurilor și creșterea numărului de călători sunt necesare deoarece se sție că unele îmbunătățiri ar putea necesita o implementare graduală, pe o </w:t>
      </w:r>
      <w:r>
        <w:lastRenderedPageBreak/>
        <w:t>perioadă îndelungată de timp. Structura sprijinlui financiar trebuie să fie proiectată astfel încât să atingă aceste rezultate.</w:t>
      </w:r>
    </w:p>
    <w:p w:rsidR="00573AD5" w:rsidRDefault="00573AD5" w:rsidP="0030066D">
      <w:pPr>
        <w:pStyle w:val="Hdg3"/>
      </w:pPr>
      <w:r>
        <w:t xml:space="preserve">Tema  5 – Eficiența managementului </w:t>
      </w:r>
    </w:p>
    <w:p w:rsidR="00573AD5" w:rsidRDefault="00573AD5" w:rsidP="0030066D">
      <w:pPr>
        <w:pStyle w:val="Hdg3"/>
      </w:pPr>
      <w:r>
        <w:t xml:space="preserve"> Raționalizarea stațiilor </w:t>
      </w:r>
    </w:p>
    <w:p w:rsidR="00573AD5" w:rsidRDefault="00573AD5" w:rsidP="002B7E09">
      <w:pPr>
        <w:pStyle w:val="NumberedParas"/>
      </w:pPr>
      <w:r w:rsidRPr="00A25781">
        <w:rPr>
          <w:b/>
        </w:rPr>
        <w:t>Problema</w:t>
      </w:r>
      <w:r w:rsidRPr="0076579A">
        <w:t>: În România există aproximativ 1.100 de stații pentru călători, deși multe dintre acestea sunt halte locale care înregistrează o cerere redusă de călătorii. Numărul de servicii locale înregistrate este, de asemenea, foarte limitat, cu intervale de timp mari între trenuri.</w:t>
      </w:r>
      <w:r>
        <w:t xml:space="preserve"> Aceasta reduce atractivitatea transportului feroviar.</w:t>
      </w:r>
      <w:r w:rsidRPr="0076579A">
        <w:t xml:space="preserve"> Statisticile privind nivelul de utilizare a stațiilor din anul 2011 indică faptul că peste 65% dintre stații sunt utilizate de mai puțin de 100 de călători pe zi, doar 8% dintre stații având un tranzit de cel puțin 500 de călători pe zi;</w:t>
      </w:r>
    </w:p>
    <w:p w:rsidR="00573AD5" w:rsidRDefault="00573AD5" w:rsidP="002B7E09">
      <w:pPr>
        <w:pStyle w:val="NumberedParas"/>
      </w:pPr>
      <w:r w:rsidRPr="0076579A">
        <w:rPr>
          <w:b/>
        </w:rPr>
        <w:t>Soluția propusă</w:t>
      </w:r>
      <w:r w:rsidRPr="0076579A">
        <w:t>: Așadar trebuie analizată posibilitatea reducerii numărul de stații prin inițierea unui program de închidere a stațiilor, în special dacă numărul general de călătorii utilizând linii secundare este redus, oferind astfel o posibilitate limitată de creștere. Reducerea numărului de stații ar putea crea oportunități de a reduce din durata de parcurs dintre stațiile mai mari. Ar reduce, de asemenea, costurile generate de întreținerea unui număr mare de stații puțin tranzitate</w:t>
      </w:r>
    </w:p>
    <w:p w:rsidR="00573AD5" w:rsidRDefault="00573AD5" w:rsidP="0030066D">
      <w:pPr>
        <w:pStyle w:val="Hdg3"/>
      </w:pPr>
      <w:r>
        <w:t>Introducerea noilor sisteme de semnalizare</w:t>
      </w:r>
    </w:p>
    <w:p w:rsidR="00573AD5" w:rsidRDefault="00573AD5" w:rsidP="002B7E09">
      <w:pPr>
        <w:pStyle w:val="NumberedParas"/>
        <w:rPr>
          <w:b/>
        </w:rPr>
      </w:pPr>
      <w:r w:rsidRPr="002646ED">
        <w:rPr>
          <w:b/>
        </w:rPr>
        <w:t xml:space="preserve">Probleme: </w:t>
      </w:r>
      <w:r w:rsidRPr="0076579A">
        <w:t xml:space="preserve">Există ineficiențe considerabile care afectează companiile CFR Călători și CFR Infrastructură. Vitezele scăzute și formatul actual al graficului de mers al trenurilor indică faptul că CFR Călători utilizează cu 15-20% mai mulți mecanici de locomotivă decât necesar pentru a opera serviciile de transport. CFR SA încă operează multe sisteme de semnalizare manuală, ceea ce înseamnă că numărul de angajați este mai mare decât </w:t>
      </w:r>
      <w:r>
        <w:t xml:space="preserve">cel </w:t>
      </w:r>
      <w:r w:rsidRPr="0076579A">
        <w:t>necesar;</w:t>
      </w:r>
    </w:p>
    <w:p w:rsidR="00573AD5" w:rsidRDefault="00573AD5" w:rsidP="002B7E09">
      <w:pPr>
        <w:pStyle w:val="NumberedParas"/>
      </w:pPr>
      <w:r w:rsidRPr="0076579A">
        <w:rPr>
          <w:b/>
        </w:rPr>
        <w:t xml:space="preserve">Soluții propuse: </w:t>
      </w:r>
      <w:r w:rsidRPr="0076579A">
        <w:t>De exemplu, stațiile cu semnale electrice necesită doar o treime din personalul total față de semnalele cu control manual. Utilizarea mai multor echipamente automatizate ar permite reducerea personalului necesar. De exemplu, introducerea sistemului pilot ERTMS și a unui sistem de telecomunicații mai bun cu control centralizat ar contribui la atingerea acestor obiective,</w:t>
      </w:r>
      <w:r>
        <w:t xml:space="preserve"> </w:t>
      </w:r>
    </w:p>
    <w:p w:rsidR="00573AD5" w:rsidRPr="0076579A" w:rsidRDefault="00573AD5" w:rsidP="0030066D">
      <w:pPr>
        <w:pStyle w:val="Hdg3"/>
      </w:pPr>
      <w:r w:rsidRPr="0076579A">
        <w:t>Disponibilitatea terenului neutilizat</w:t>
      </w:r>
    </w:p>
    <w:p w:rsidR="00573AD5" w:rsidRDefault="00573AD5" w:rsidP="002B7E09">
      <w:pPr>
        <w:pStyle w:val="NumberedParas"/>
      </w:pPr>
      <w:r w:rsidRPr="00ED5306">
        <w:rPr>
          <w:b/>
        </w:rPr>
        <w:t xml:space="preserve">Problema: </w:t>
      </w:r>
      <w:r w:rsidRPr="0076579A">
        <w:t>Reducerea serviciilor de transport feroviar și alte reduceri în vederea eficientizării înseamnă că necesitatea terenului pentru gararea și întreținerea trenurilor s-a redus considerabil. În consecință, există mult teren neutilizat disponibil în anumite zone care ar putea fi utilizat în prezent în alte scopuri. Aici sunt incluse și liniile de garare neutilizate, clădirile gărilor sau porțiuni ale depourilor sau ale stațiilor de triaj;</w:t>
      </w:r>
    </w:p>
    <w:p w:rsidR="00573AD5" w:rsidRDefault="00573AD5" w:rsidP="002B7E09">
      <w:pPr>
        <w:pStyle w:val="NumberedParas"/>
      </w:pPr>
      <w:r w:rsidRPr="0076579A">
        <w:rPr>
          <w:b/>
        </w:rPr>
        <w:t xml:space="preserve">Soluții propuse: </w:t>
      </w:r>
      <w:r w:rsidRPr="0076579A">
        <w:t>O parte din acest teren ar putea fi dezvoltat pentru a acomoda centre de afaceri, comerciale sau unități intermodale. Aceste oportunități sunt relevante în special în centrele urbane mari dacă parcelele de teren sunt adiacente cu centrul orașelor sau cu rețeaua rutieră principală. A fost sugerată stația București Triaj pentru o astfel de reamenajare, deși ar trebui identificate și alte zone din capitală, care mai apoi să fie prioritizate luând în considerare potențialul de a genera un venit mai mare față de alte exemple. Practicile din alte zone, precum Cracovia, Polonia, ar putea să furnizeze, de asemenea, informații utile pentru a identifica posibile programe.</w:t>
      </w:r>
    </w:p>
    <w:p w:rsidR="00573AD5" w:rsidRDefault="00573AD5" w:rsidP="0030066D">
      <w:pPr>
        <w:pStyle w:val="Hdg3"/>
      </w:pPr>
      <w:r>
        <w:lastRenderedPageBreak/>
        <w:t>Tema  6    Infrastructură   precară</w:t>
      </w:r>
    </w:p>
    <w:p w:rsidR="00573AD5" w:rsidRDefault="00573AD5" w:rsidP="0030066D">
      <w:pPr>
        <w:pStyle w:val="Body"/>
      </w:pPr>
      <w:r>
        <w:rPr>
          <w:lang w:val="ro-RO"/>
        </w:rPr>
        <w:t>Creșterea frecvenței trenurilor pe principalele coridoare feroviare</w:t>
      </w:r>
    </w:p>
    <w:p w:rsidR="00573AD5" w:rsidRDefault="00573AD5" w:rsidP="002B7E09">
      <w:pPr>
        <w:pStyle w:val="NumberedParas"/>
      </w:pPr>
      <w:r w:rsidRPr="0076579A">
        <w:t xml:space="preserve">Introducerea unei strategii revizuite de întreținere ar facilita planificarea mersului trenurilor în timpul dimineții pentru a soluționa problema timpilor morți înregistrați în prezent pe multe coridoare. Acest lucru ar permite acoperirea timpilor morți din graficul de mers al trenurilor și ar permite furnizarea serviciilor de transport conform preferințelor călătorilor și nu furnizarea serviciilor impuse de graficul de mers. Mai jos sunt prezentate detaliile privind schimbările necesare la nivelul serviciilor de transport. Aceste revizuiri a graficelor de mers au fost analizate în ‘pachete’ pentru a maximiza beneficiile. De exemplu, introducerea de material rulant nou nu va contribui la atingerea unor viteze competitive dacă rețeaua feroviară nu va fi îmbunătățită, iar aceste trenuri nu vor fi operate eficient dacă nu se introduce un grafic de mers al trenurilor mai intensificat. </w:t>
      </w:r>
    </w:p>
    <w:p w:rsidR="00573AD5" w:rsidRDefault="00573AD5" w:rsidP="002B7E09">
      <w:pPr>
        <w:pStyle w:val="NumberedParas"/>
      </w:pPr>
      <w:r w:rsidRPr="0076579A">
        <w:t>Principalul obiectiv al graficului de mers al trenurilor propus este de a furniza servicii rapide și frecvente între principalele stații de pe fiecare coridor, maximizând astfel cota de piață a transportului feroviar cu modificări treptate minime în ceea ce privește costurile de operare. Serviciile InterCity (IC) și InterRegio (IR) actuale de pe fiecare coridor sunt înlocuite de un grafic de mers al trenurilor cu intervale regulate</w:t>
      </w:r>
    </w:p>
    <w:p w:rsidR="00573AD5" w:rsidRDefault="00573AD5" w:rsidP="006566F8">
      <w:pPr>
        <w:pStyle w:val="NumberedParas"/>
        <w:numPr>
          <w:ilvl w:val="0"/>
          <w:numId w:val="0"/>
        </w:numPr>
        <w:ind w:left="851"/>
      </w:pPr>
    </w:p>
    <w:p w:rsidR="00573AD5" w:rsidRPr="0076579A" w:rsidRDefault="00573AD5" w:rsidP="0030066D">
      <w:pPr>
        <w:pStyle w:val="Hdg3"/>
      </w:pPr>
      <w:r>
        <w:t>Linii și grafice de mers</w:t>
      </w:r>
    </w:p>
    <w:p w:rsidR="00573AD5" w:rsidRPr="0076579A" w:rsidRDefault="00573AD5" w:rsidP="002B7E09">
      <w:pPr>
        <w:pStyle w:val="NumberedParas"/>
      </w:pPr>
      <w:r w:rsidRPr="0076579A">
        <w:rPr>
          <w:b/>
        </w:rPr>
        <w:t>Problema</w:t>
      </w:r>
      <w:r w:rsidRPr="0076579A">
        <w:t>: Productivitatea este scăzută comparativ cu alte țări europene, rețeaua feroviară din România atingând doar 40% din productivitatea medie</w:t>
      </w:r>
      <w:r>
        <w:t>.</w:t>
      </w:r>
      <w:r w:rsidRPr="004A48A4">
        <w:t xml:space="preserve"> </w:t>
      </w:r>
      <w:r w:rsidRPr="006C4CFE">
        <w:t>Graficele de mers al trenurilor sunt afectate de un număr de factori printre care viteze de călătorie reduse, necesitatea efectuării verificărilor asupra frânelor de siguranță în timp ce trenurile sunt în operare și duratele mari de staționare în gări, care în cazul anumitor servicii reprezintă până la 10% din durata totală de călătorie. Timpii de întoarcere în anumite stații terminus sunt, de asemenea, mai mari decât necesar, anumite trenuri staționând  până la cinci ore, ceea ce cauzează numeroase inconveniențe. Mai mult, lipsa unui grafic de mers al trenurilor cu intervale regulate și cu o consecvență a orelor de plecare și trenurile care au aceeași destinație derutează călătorii;</w:t>
      </w:r>
    </w:p>
    <w:p w:rsidR="00573AD5" w:rsidRPr="0076579A" w:rsidRDefault="00573AD5" w:rsidP="002B7E09">
      <w:pPr>
        <w:pStyle w:val="NumberedParas"/>
      </w:pPr>
      <w:r w:rsidRPr="00D62754">
        <w:rPr>
          <w:b/>
        </w:rPr>
        <w:t>Soluția propusă</w:t>
      </w:r>
      <w:r w:rsidRPr="006C4CFE">
        <w:t xml:space="preserve">: Introducera unor măsuri de creștere a productivității </w:t>
      </w:r>
      <w:r>
        <w:t xml:space="preserve"> trebuie să fie o prioritate </w:t>
      </w:r>
      <w:r w:rsidRPr="006C4CFE">
        <w:t xml:space="preserve">și </w:t>
      </w:r>
      <w:r>
        <w:t xml:space="preserve">se </w:t>
      </w:r>
      <w:r w:rsidRPr="006C4CFE">
        <w:t xml:space="preserve">poate fi atinsă prin </w:t>
      </w:r>
      <w:r>
        <w:t xml:space="preserve">introducerea </w:t>
      </w:r>
      <w:r w:rsidRPr="006C4CFE">
        <w:t>unui grafic de mers al trenurilor cu un număr mai mare de curse, după cum a fost descris în intervențiile necesare graficului de mers al trenurilor prezentate mai jos. Acest lucru va contribui la atragerea unui număr mai mare de călători în rețeaua feroviară și este în special relevant pentru cererea de călătorie pe rutele dintre București și alte orașe localizate la 2-3 ore de călătorie. Există posibilitatea de a crește poziția pe piață a transportului feroviar între București și Constanța, Craiova, Brașov, Ploiești, și Buzău</w:t>
      </w:r>
      <w:r w:rsidRPr="0076579A">
        <w:t>, în special pe coridoarele pe care transportul rutier este mai redus</w:t>
      </w:r>
      <w:r>
        <w:t xml:space="preserve">. </w:t>
      </w:r>
      <w:r w:rsidRPr="006C4CFE">
        <w:t>Pentru rutele principale desemnate sunt propuse schimbări în cadrul graficului de mers al trenurilor, printre care creșterea frecvenței trenurilor pe coridoarele mai aglomerate cu un tipar simplificat, consecvent. Planificarea poate fi efectuată mai eficient prin reducerea timpilor de întoarcere în stațiile terminus. Aceste propuneri sunt prezentate mai jos pentru fiecare linie în parte</w:t>
      </w:r>
      <w:r w:rsidRPr="0076579A">
        <w:t>;</w:t>
      </w:r>
      <w:r>
        <w:t xml:space="preserve">. </w:t>
      </w:r>
    </w:p>
    <w:p w:rsidR="00573AD5" w:rsidRDefault="00573AD5" w:rsidP="002B7E09">
      <w:pPr>
        <w:pStyle w:val="NumberedParas"/>
      </w:pPr>
      <w:r w:rsidRPr="0076579A">
        <w:t xml:space="preserve">Nodurile feroviare sunt îmbunătățite astfel încât conectivitatea feroviară să fie maximizată, să se reducă întârzierile și să crească oportunitatea de a efectua călătorii pe distanțe lungi și medii. Serviciile IR de pe majoritatea liniilor secundare și de pe alte segmente de rețea vor fi </w:t>
      </w:r>
      <w:r w:rsidRPr="0076579A">
        <w:lastRenderedPageBreak/>
        <w:t xml:space="preserve">conectate la rețea prin nodurile amplasate de-a lungul coridorului. Trenurile IC sunt în mare parte înlocuite de trenuri IR mai scurte și mai frecvente, cu excepția serviciilor de transport internațional care se presupune că nu vor fi afectate. Se va înregistra o reducere a duratei de parcurs pentru trenurile care circulă pe linii reabilitate. În </w:t>
      </w:r>
      <w:r>
        <w:t>Figura 5.</w:t>
      </w:r>
      <w:r w:rsidRPr="0076579A">
        <w:t>2</w:t>
      </w:r>
      <w:r>
        <w:t>6</w:t>
      </w:r>
      <w:r w:rsidRPr="0076579A">
        <w:t xml:space="preserve"> este prezentă structura graficului de mers al trenurilor propus, unde fiecare linie reprezintă un tren la 2 ore.</w:t>
      </w:r>
      <w:r>
        <w:t xml:space="preserve"> Trenurile pleacă la intervale regulate </w:t>
      </w:r>
      <w:r w:rsidRPr="0076579A">
        <w:t xml:space="preserve"> </w:t>
      </w:r>
      <w:r>
        <w:t xml:space="preserve">conform unui grafic standardizat astfel încât mersul trenurilor să devină mai simplu și ușor de memorat pentru călători. </w:t>
      </w:r>
      <w:r w:rsidRPr="0076579A">
        <w:t>Gara de Nord din București devine un nod feroviar și mai important pentru călătorii care merg mai departe de capitală.</w:t>
      </w:r>
      <w:r>
        <w:t xml:space="preserve"> Se presupune că trenurile vor adopta un tipar de opriri la un număr limitat de stații</w:t>
      </w:r>
    </w:p>
    <w:p w:rsidR="00573AD5" w:rsidRDefault="00573AD5" w:rsidP="00573AD5">
      <w:pPr>
        <w:pStyle w:val="BulletLevel1"/>
        <w:spacing w:after="60"/>
        <w:rPr>
          <w:b/>
        </w:rPr>
      </w:pPr>
      <w:r w:rsidRPr="003E3B6E">
        <w:rPr>
          <w:b/>
        </w:rPr>
        <w:t xml:space="preserve">DS01 București </w:t>
      </w:r>
      <w:r>
        <w:rPr>
          <w:b/>
        </w:rPr>
        <w:t>-</w:t>
      </w:r>
      <w:r w:rsidRPr="003E3B6E">
        <w:rPr>
          <w:b/>
        </w:rPr>
        <w:t>Arad</w:t>
      </w:r>
      <w:r>
        <w:rPr>
          <w:b/>
        </w:rPr>
        <w:t xml:space="preserve"> și Cluj Napoca via Brașov: </w:t>
      </w:r>
      <w:r>
        <w:t>2 trenuri pe oră între București și Brașov, cu 0.5 trenuri pe oră de la Brașov la Arad și Cluj Napoca.</w:t>
      </w:r>
    </w:p>
    <w:p w:rsidR="00573AD5" w:rsidRDefault="00573AD5" w:rsidP="00573AD5">
      <w:pPr>
        <w:pStyle w:val="BulletLevel1"/>
        <w:spacing w:after="60"/>
        <w:rPr>
          <w:b/>
        </w:rPr>
      </w:pPr>
      <w:r>
        <w:rPr>
          <w:b/>
        </w:rPr>
        <w:t xml:space="preserve">DS02 București – Constanța: </w:t>
      </w:r>
      <w:r>
        <w:t>1tren pe oră între aceste stații.</w:t>
      </w:r>
    </w:p>
    <w:p w:rsidR="00573AD5" w:rsidRDefault="00573AD5" w:rsidP="00573AD5">
      <w:pPr>
        <w:pStyle w:val="BulletLevel1"/>
        <w:spacing w:after="60"/>
        <w:rPr>
          <w:b/>
        </w:rPr>
      </w:pPr>
      <w:r>
        <w:rPr>
          <w:b/>
        </w:rPr>
        <w:t xml:space="preserve">DS03 București – Deva și Arad via Craiova: </w:t>
      </w:r>
      <w:r>
        <w:t>trenuri pe oră între București și Craiova cu 0,5 trenuri pe oră către Deva și Arad via Timișoara;</w:t>
      </w:r>
    </w:p>
    <w:p w:rsidR="00573AD5" w:rsidRDefault="00573AD5" w:rsidP="00573AD5">
      <w:pPr>
        <w:pStyle w:val="BulletLevel1"/>
        <w:spacing w:after="60"/>
      </w:pPr>
      <w:r>
        <w:t>DS04 București – Galați, Focșani, Iași și Suceava: 0,5 trenuri pe oră</w:t>
      </w:r>
    </w:p>
    <w:p w:rsidR="00573AD5" w:rsidRDefault="00573AD5" w:rsidP="00573AD5">
      <w:pPr>
        <w:pStyle w:val="BulletLevel1"/>
        <w:spacing w:after="60"/>
        <w:rPr>
          <w:b/>
        </w:rPr>
      </w:pPr>
      <w:r>
        <w:rPr>
          <w:b/>
        </w:rPr>
        <w:t xml:space="preserve">DS05 București – Pitești, Sibiu via noul tronson Râmnicu Vâlcea: </w:t>
      </w:r>
      <w:r>
        <w:t>1tren pe oră între București și Pitești cu trenuri alternative către Sib:iu plus un tren la 2 ore de la Brașov la Deva;</w:t>
      </w:r>
    </w:p>
    <w:p w:rsidR="00573AD5" w:rsidRDefault="00573AD5" w:rsidP="00573AD5">
      <w:pPr>
        <w:pStyle w:val="BulletLevel1"/>
        <w:spacing w:after="60"/>
        <w:rPr>
          <w:b/>
        </w:rPr>
      </w:pPr>
      <w:r>
        <w:rPr>
          <w:b/>
        </w:rPr>
        <w:t xml:space="preserve">DS06 Iași – Cluj napoca via Suceava și Dej: </w:t>
      </w:r>
      <w:r>
        <w:t>un tren la 2 ore 8plus reabilitarea liniei pentru a permite viteze de circulație la viteza proiectată;</w:t>
      </w:r>
    </w:p>
    <w:p w:rsidR="00573AD5" w:rsidRDefault="00573AD5" w:rsidP="00573AD5">
      <w:pPr>
        <w:pStyle w:val="BulletLevel1"/>
        <w:spacing w:after="60"/>
        <w:rPr>
          <w:b/>
        </w:rPr>
      </w:pPr>
      <w:r>
        <w:rPr>
          <w:b/>
        </w:rPr>
        <w:t xml:space="preserve">DS07 Cluj-Napoca – Oradea: </w:t>
      </w:r>
      <w:r w:rsidRPr="005250DA">
        <w:t>un tren la două ore plus reabilitarea liniei pentru a permite</w:t>
      </w:r>
      <w:r>
        <w:rPr>
          <w:u w:val="single"/>
        </w:rPr>
        <w:t xml:space="preserve"> </w:t>
      </w:r>
      <w:r>
        <w:t>viteze de circulație la viteza proiectată, dublarea liniilor și electrificare;</w:t>
      </w:r>
    </w:p>
    <w:p w:rsidR="00573AD5" w:rsidRDefault="00573AD5" w:rsidP="00573AD5">
      <w:pPr>
        <w:pStyle w:val="BulletLevel1"/>
        <w:spacing w:after="60"/>
        <w:rPr>
          <w:b/>
        </w:rPr>
      </w:pPr>
      <w:r>
        <w:rPr>
          <w:b/>
        </w:rPr>
        <w:t>DS08 Stamora Moravița – Oradea via Timișoara</w:t>
      </w:r>
      <w:r>
        <w:t xml:space="preserve"> – un tren la 2 ore plus reabilitarea liniei pentru a permite viteze de circulație la viteza proiectată</w:t>
      </w:r>
    </w:p>
    <w:p w:rsidR="00573AD5" w:rsidRDefault="00573AD5" w:rsidP="00573AD5">
      <w:pPr>
        <w:pStyle w:val="BulletLevel1"/>
        <w:spacing w:after="60"/>
        <w:rPr>
          <w:b/>
        </w:rPr>
      </w:pPr>
      <w:r>
        <w:rPr>
          <w:b/>
        </w:rPr>
        <w:t xml:space="preserve">DS Oradea – Cluj Napoca via Satu mare și Baia Mare: </w:t>
      </w:r>
      <w:r>
        <w:t>un tren la 2 ore plus reabilitarea liniei pentru a permite viteze de circulație la viteza proiectată</w:t>
      </w:r>
    </w:p>
    <w:p w:rsidR="00573AD5" w:rsidRDefault="00573AD5" w:rsidP="00573AD5">
      <w:pPr>
        <w:pStyle w:val="BulletLevel1"/>
        <w:spacing w:after="60"/>
        <w:rPr>
          <w:b/>
        </w:rPr>
      </w:pPr>
      <w:r>
        <w:rPr>
          <w:b/>
        </w:rPr>
        <w:t xml:space="preserve">DS 10 București – Giurgiu: </w:t>
      </w:r>
      <w:r>
        <w:t>un tren la 2 ore plus electrificare</w:t>
      </w:r>
    </w:p>
    <w:p w:rsidR="00573AD5" w:rsidRDefault="00573AD5" w:rsidP="00573AD5">
      <w:pPr>
        <w:pStyle w:val="BulletLevel1"/>
        <w:spacing w:after="60"/>
      </w:pPr>
      <w:r>
        <w:rPr>
          <w:b/>
        </w:rPr>
        <w:t xml:space="preserve">DS 11 Craiova – Calafat: </w:t>
      </w:r>
      <w:r>
        <w:t>un tren la 2 ore plus electrificare</w:t>
      </w:r>
    </w:p>
    <w:p w:rsidR="00573AD5" w:rsidRDefault="00573AD5" w:rsidP="002B7E09">
      <w:pPr>
        <w:pStyle w:val="NumberedParas"/>
      </w:pPr>
      <w:r w:rsidRPr="001E6590">
        <w:t xml:space="preserve">În plus față de </w:t>
      </w:r>
      <w:r>
        <w:t>tiparul de servicii propus mai sus, există un număr de puncte cheie de legătură, printre care Cluj Napoca, Timișoara, Brașov și Oradea, puncte în care se intersectează mai multe servicii, cu frecvențe relativ scăzute. Graficul de mers al acestor trenuri de legătură trebuie programat cu atenția pentru a maximiza oportunitățile de schimb între aceste servicii cu un număr limitat de opriri, serviciile complementare de tip Regio și rețeaua mai largă de transport public cu autobuzul.</w:t>
      </w:r>
    </w:p>
    <w:p w:rsidR="00573AD5" w:rsidRDefault="00573AD5" w:rsidP="002B7E09">
      <w:pPr>
        <w:pStyle w:val="NumberedParas"/>
      </w:pPr>
      <w:r>
        <w:t xml:space="preserve">În plus față de rețeaua propusă, care ar putea fi acoperită printr-un grafic de mers cadențat, au fost identificate mai multe coridoare în vederea îmbunătățirii. Aceste coridoare includ tronsoanele Fetești – Făurei, care ar putea sprijini economia agricolă din zonă, plus legături cu Moldova dela Făurei via tecuci, Bârlad, Vaslui și Iași. Piața transporturilor de marfă ar fi principalul beneficiar al îmbunătățirilor propuse. Cu toate acestea, ponderea economică majoră va fi dificil de demonstrat mai ales date fiind propunerile de îmbunătățiri  ale serviciilor de pasageri de la Iași via Pașcani. </w:t>
      </w:r>
    </w:p>
    <w:p w:rsidR="00573AD5" w:rsidRDefault="00573AD5" w:rsidP="002B7E09">
      <w:pPr>
        <w:pStyle w:val="NumberedParas"/>
      </w:pPr>
      <w:r>
        <w:t xml:space="preserve">Mai mult, părțile implicate au identificat un număr de linii care ar putea îndeplini o funcție de turism dar care nu apar pe rețeaua primară propusă. Spre exemplu Oravița – Anina, Caransebeș - Hațeg, Sibiu – Agnita, Turda – Abrud, Luduș - Magheruș și Târgu Mureș - </w:t>
      </w:r>
      <w:r>
        <w:lastRenderedPageBreak/>
        <w:t xml:space="preserve">Sovata Băi, ar putea fi păstrate ca rute secundare, în administrarea autorităților locale, în funcție de rezultatele unei evaluări mai detaliate cu privire la potențialul turistic al acestora. </w:t>
      </w:r>
    </w:p>
    <w:p w:rsidR="00573AD5" w:rsidRDefault="00573AD5" w:rsidP="002B7E09">
      <w:pPr>
        <w:pStyle w:val="NumberedParas"/>
      </w:pPr>
      <w:r>
        <w:t xml:space="preserve">Introducerea noilor servicii de pasageri, alături de reabilitarea liniilor în vederea posibilității circulației la vitezele proiectate ale liniilor vor contribui, de asemenea, la îmbunătățirea conectivității cu porturile majore. Spre exemplu, conexiunile feroviare către porturile Constanța, Brăila, Cernavodă, Giurgiu, Calafat și Drobeta Turnu Severin s-ar îmbunătăți la rândul lpr ca rezultat al implementării acestor propuneri, contribind la integrarea modală a porturilor și sistemului de transport feroviar. </w:t>
      </w:r>
    </w:p>
    <w:p w:rsidR="00573AD5" w:rsidRPr="0076579A" w:rsidRDefault="00573AD5" w:rsidP="0030066D">
      <w:pPr>
        <w:pStyle w:val="Hdg3"/>
      </w:pPr>
      <w:r w:rsidRPr="0076579A">
        <w:t>Facilitățile din stații</w:t>
      </w:r>
    </w:p>
    <w:p w:rsidR="00573AD5" w:rsidRDefault="00573AD5" w:rsidP="002B7E09">
      <w:pPr>
        <w:pStyle w:val="NumberedParas"/>
      </w:pPr>
      <w:r w:rsidRPr="00E1327C">
        <w:rPr>
          <w:b/>
        </w:rPr>
        <w:t>Problema</w:t>
      </w:r>
      <w:r w:rsidRPr="0076579A">
        <w:t>: Facilitățile disponibile în majoritatea stațiilor din România sunt relativ reduse și nu încurajează călătoria cu trenul. De exemplu, stațiile nu sunt monitorizate prin sistemul CCTV, iar iluminarea adecvată, zonele de așteptare, toaletele și zonele de așteptare acoperite sunt în mare parte inexistente;</w:t>
      </w:r>
    </w:p>
    <w:p w:rsidR="00573AD5" w:rsidRDefault="00573AD5" w:rsidP="002B7E09">
      <w:pPr>
        <w:pStyle w:val="NumberedParas"/>
      </w:pPr>
      <w:r w:rsidRPr="0076579A">
        <w:rPr>
          <w:b/>
        </w:rPr>
        <w:t>Soluții propuse</w:t>
      </w:r>
      <w:r w:rsidRPr="0076579A">
        <w:t>: Sistemele de informare și comunicare în timp real contribuie, de asemenea, la creșterea cererii de călătorie cu trenul prin reducerea incertitudinii cu privire la posibilele întârzieri. Pe lângă îmbunătățirea facilităților enumerate mai sus, este necesară  crearea unor legături mai bune cu alte moduri de transport și cu rețelele pietonale. Posibilitatea de a îmbunătăți facilitățile din cadrul fiecărei stații va fi determinată de nivelul actual și cel previzionat de utili</w:t>
      </w:r>
      <w:r>
        <w:t>zare a stațiilor, precum și de costurile</w:t>
      </w:r>
      <w:r w:rsidRPr="0076579A">
        <w:t xml:space="preserve"> </w:t>
      </w:r>
      <w:r>
        <w:t>potențiale ale construcției</w:t>
      </w:r>
      <w:r w:rsidRPr="0076579A">
        <w:t>.</w:t>
      </w:r>
      <w:r>
        <w:t xml:space="preserve"> Îmbunătățirile ar trebui să includă analiza fezabilității facilităților intermodale pentru a asigura conexiuni cât mai comode către modurile principale de transport. În plus, vor fi necesare facilități pentru persoanele cu mobilitate redusă, instalarea de sisteme de informare în timp real, lifturi, scări rulante, amenajarea locurilor de așteptare și locuri de odihnă, servit masa, etc.</w:t>
      </w:r>
    </w:p>
    <w:p w:rsidR="00573AD5" w:rsidRDefault="00573AD5" w:rsidP="002B7E09">
      <w:pPr>
        <w:pStyle w:val="NumberedParas"/>
      </w:pPr>
      <w:r w:rsidRPr="00D62754">
        <w:t xml:space="preserve">Este esențial ca </w:t>
      </w:r>
      <w:r>
        <w:t>stațiile identificate pentru reablitare să fie legate de acele rute care, de asemenea, sunt prevăzute pentru modernizare, deoarece beneficiile ar fi nesemnificative dacă s-ar rezolva doar prima categorie de probleme în lipsa impactului îmbunătățirlor pentru cea de a doua categorie de probleme. Stații care ar putea beneficia de modernizări sunt: Baia Mare, Satu Mare, Timișoara Nord, Miercurea Ciuc și Roșiorii de Vede.</w:t>
      </w:r>
    </w:p>
    <w:p w:rsidR="00573AD5" w:rsidRDefault="00573AD5" w:rsidP="0030066D">
      <w:pPr>
        <w:rPr>
          <w:sz w:val="22"/>
          <w:szCs w:val="22"/>
          <w:lang w:val="ro-RO"/>
        </w:rPr>
      </w:pPr>
    </w:p>
    <w:p w:rsidR="00573AD5" w:rsidRDefault="00573AD5" w:rsidP="0030066D">
      <w:pPr>
        <w:spacing w:after="60"/>
        <w:rPr>
          <w:rFonts w:cs="Arial"/>
          <w:b/>
          <w:sz w:val="22"/>
          <w:szCs w:val="22"/>
          <w:lang w:val="ro-RO"/>
        </w:rPr>
      </w:pPr>
      <w:r w:rsidRPr="00944029">
        <w:rPr>
          <w:noProof/>
          <w:sz w:val="22"/>
          <w:szCs w:val="22"/>
          <w:lang w:val="ro-RO" w:eastAsia="ro-RO"/>
        </w:rPr>
        <w:lastRenderedPageBreak/>
        <w:drawing>
          <wp:inline distT="0" distB="0" distL="0" distR="0">
            <wp:extent cx="6534785" cy="4511113"/>
            <wp:effectExtent l="19050" t="0" r="0" b="0"/>
            <wp:docPr id="54" name="Picture 14" descr="C:\Users\alonsorv\Rod\01_Transport\Romania\Regular_interval_timetable_scheme\Regular_interval_timetable_t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onsorv\Rod\01_Transport\Romania\Regular_interval_timetable_scheme\Regular_interval_timetable_tests.jpg"/>
                    <pic:cNvPicPr>
                      <a:picLocks noChangeAspect="1" noChangeArrowheads="1"/>
                    </pic:cNvPicPr>
                  </pic:nvPicPr>
                  <pic:blipFill>
                    <a:blip r:embed="rId199" cstate="print"/>
                    <a:srcRect/>
                    <a:stretch>
                      <a:fillRect/>
                    </a:stretch>
                  </pic:blipFill>
                  <pic:spPr bwMode="auto">
                    <a:xfrm>
                      <a:off x="0" y="0"/>
                      <a:ext cx="6534785" cy="4511113"/>
                    </a:xfrm>
                    <a:prstGeom prst="rect">
                      <a:avLst/>
                    </a:prstGeom>
                    <a:noFill/>
                    <a:ln w="9525">
                      <a:noFill/>
                      <a:miter lim="800000"/>
                      <a:headEnd/>
                      <a:tailEnd/>
                    </a:ln>
                  </pic:spPr>
                </pic:pic>
              </a:graphicData>
            </a:graphic>
          </wp:inline>
        </w:drawing>
      </w:r>
      <w:r>
        <w:rPr>
          <w:rFonts w:cs="Arial"/>
          <w:b/>
          <w:sz w:val="22"/>
          <w:szCs w:val="22"/>
          <w:lang w:val="ro-RO"/>
        </w:rPr>
        <w:t>Figura 5.27</w:t>
      </w:r>
      <w:r w:rsidRPr="0036322C">
        <w:rPr>
          <w:rFonts w:cs="Arial"/>
          <w:b/>
          <w:sz w:val="22"/>
          <w:szCs w:val="22"/>
          <w:lang w:val="ro-RO"/>
        </w:rPr>
        <w:t xml:space="preserve">: Graficul de mers </w:t>
      </w:r>
      <w:r>
        <w:rPr>
          <w:rFonts w:cs="Arial"/>
          <w:b/>
          <w:sz w:val="22"/>
          <w:szCs w:val="22"/>
          <w:lang w:val="ro-RO"/>
        </w:rPr>
        <w:t>cadențat</w:t>
      </w:r>
      <w:r w:rsidRPr="0036322C">
        <w:rPr>
          <w:rFonts w:cs="Arial"/>
          <w:b/>
          <w:sz w:val="22"/>
          <w:szCs w:val="22"/>
          <w:lang w:val="ro-RO"/>
        </w:rPr>
        <w:t xml:space="preserve"> propus </w:t>
      </w:r>
    </w:p>
    <w:p w:rsidR="00573AD5" w:rsidRPr="00AE1AD4" w:rsidRDefault="00573AD5" w:rsidP="00AE1AD4">
      <w:pPr>
        <w:ind w:left="851"/>
        <w:rPr>
          <w:i/>
          <w:lang w:val="ro-RO"/>
        </w:rPr>
      </w:pPr>
      <w:bookmarkStart w:id="113" w:name="_Toc413057760"/>
      <w:r w:rsidRPr="00AE1AD4">
        <w:rPr>
          <w:i/>
          <w:lang w:val="ro-RO"/>
        </w:rPr>
        <w:t>Sursa: Propunerea AECOM</w:t>
      </w:r>
      <w:bookmarkEnd w:id="113"/>
    </w:p>
    <w:p w:rsidR="00573AD5" w:rsidRDefault="00573AD5" w:rsidP="0030066D">
      <w:pPr>
        <w:outlineLvl w:val="0"/>
      </w:pPr>
    </w:p>
    <w:p w:rsidR="00573AD5" w:rsidRPr="0076579A" w:rsidRDefault="00573AD5" w:rsidP="0030066D">
      <w:pPr>
        <w:pStyle w:val="Hdg3"/>
      </w:pPr>
      <w:r w:rsidRPr="0076579A">
        <w:t>Strategia de electrificare</w:t>
      </w:r>
      <w:r>
        <w:t xml:space="preserve"> a rețelei de cale ferată</w:t>
      </w:r>
    </w:p>
    <w:p w:rsidR="00573AD5" w:rsidRPr="0076579A" w:rsidRDefault="00573AD5" w:rsidP="002B7E09">
      <w:pPr>
        <w:pStyle w:val="NumberedParas"/>
      </w:pPr>
      <w:r w:rsidRPr="006E6E01">
        <w:t>S-a evaluat potențialul impact al proiectelor de electrificare. Datele prezentate în raportul Băncii Mondiale au indicat faptul că aproximativ 6.000 km din rețeaua actuală nu sunt electrificați, așadar trebuie efectuat un plan de investiții. Programul de electrificare este de regulă determinat de potențiala reducere a costurilor de operare, deși aceste avantaje pot fi suplimentate prin cunatificarea valorii economice a reducerii emisiilor dacă trenurile electrice ar fi incluse pentru a înlocui trenurile diesel. S-au aplicat următoarele premise pentru a calcula beneficiile și costurile generate de electrificarea rețelei</w:t>
      </w:r>
      <w:r w:rsidRPr="0076579A">
        <w:t>:</w:t>
      </w:r>
    </w:p>
    <w:p w:rsidR="00573AD5" w:rsidRPr="0076579A" w:rsidRDefault="00573AD5" w:rsidP="00573AD5">
      <w:pPr>
        <w:pStyle w:val="BulletLevel1"/>
        <w:spacing w:after="60"/>
      </w:pPr>
      <w:r w:rsidRPr="0076579A">
        <w:t>Costul ramelor diesel pentru trenurile Inter-Regio: 52.6 lei / tren-km;</w:t>
      </w:r>
    </w:p>
    <w:p w:rsidR="00573AD5" w:rsidRPr="0076579A" w:rsidRDefault="00573AD5" w:rsidP="00573AD5">
      <w:pPr>
        <w:pStyle w:val="BulletLevel1"/>
        <w:spacing w:after="60"/>
      </w:pPr>
      <w:r w:rsidRPr="0076579A">
        <w:t>Costul ramelor electrice pentru trenurile Inter-Regio: 39.5 lei / tren-km;</w:t>
      </w:r>
    </w:p>
    <w:p w:rsidR="00573AD5" w:rsidRPr="0076579A" w:rsidRDefault="00573AD5" w:rsidP="00573AD5">
      <w:pPr>
        <w:pStyle w:val="BulletLevel1"/>
        <w:spacing w:after="60"/>
      </w:pPr>
      <w:r w:rsidRPr="0076579A">
        <w:t>Valoarea poluării aerului – tren diesel-km: 0.6239 euro (costurile au fost convertite în lei pentru a fi în concordanță cu alte valori);</w:t>
      </w:r>
    </w:p>
    <w:p w:rsidR="00573AD5" w:rsidRPr="0076579A" w:rsidRDefault="00573AD5" w:rsidP="00573AD5">
      <w:pPr>
        <w:pStyle w:val="BulletLevel1"/>
        <w:spacing w:after="60"/>
      </w:pPr>
      <w:r w:rsidRPr="0076579A">
        <w:t>Valoarea poluării aerului – tren electric-km: 0 euro (costurile au fost convertite în lei pentru a fi în concordanță cu alte valori);</w:t>
      </w:r>
    </w:p>
    <w:p w:rsidR="00573AD5" w:rsidRPr="0076579A" w:rsidRDefault="00573AD5" w:rsidP="00573AD5">
      <w:pPr>
        <w:pStyle w:val="BulletLevel1"/>
        <w:spacing w:after="60"/>
      </w:pPr>
      <w:r w:rsidRPr="0076579A">
        <w:t>Valoarea gazelor de seră – kilometri tren diesel: 0.1792 euro (costurile au fost convertite în lei pentru a fi în concordanță cu alte valori);</w:t>
      </w:r>
    </w:p>
    <w:p w:rsidR="00573AD5" w:rsidRPr="0076579A" w:rsidRDefault="00573AD5" w:rsidP="00573AD5">
      <w:pPr>
        <w:pStyle w:val="BulletLevel1"/>
        <w:spacing w:after="60"/>
      </w:pPr>
      <w:r w:rsidRPr="0076579A">
        <w:t>Valoarea gazelor de seră – kilometri tren electric: 0.1557 euro (costurile au fost convertite în lei pentru a fi în concordanță cu alte valori);</w:t>
      </w:r>
    </w:p>
    <w:p w:rsidR="00573AD5" w:rsidRPr="0076579A" w:rsidRDefault="00573AD5" w:rsidP="00573AD5">
      <w:pPr>
        <w:pStyle w:val="BulletLevel1"/>
        <w:spacing w:after="60"/>
      </w:pPr>
      <w:r w:rsidRPr="0076579A">
        <w:lastRenderedPageBreak/>
        <w:t>Costurile de capital per kilometru au fost estimate la o valoare de 3.09 milioane lei pe un kilometru de cale ferată. Această estimare reflectă costurile de electrificare standard per kilometru de cale ferată pentru alte proiecte europene, ajustate astfel încât să reflecte nivelul salarial minim din România;</w:t>
      </w:r>
    </w:p>
    <w:p w:rsidR="00573AD5" w:rsidRPr="0076579A" w:rsidRDefault="00573AD5" w:rsidP="00573AD5">
      <w:pPr>
        <w:pStyle w:val="BulletLevel1"/>
        <w:spacing w:after="60"/>
      </w:pPr>
      <w:r w:rsidRPr="0076579A">
        <w:t>Alte date includ specificarea numărului minim zilnic de tren-km și, astfel, a numărului total pe an, plus factorul de încărcare</w:t>
      </w:r>
      <w:r>
        <w:t xml:space="preserve"> estimat</w:t>
      </w:r>
      <w:r w:rsidRPr="0076579A">
        <w:t xml:space="preserve">, necesare pentru a demonstra dacă proiectul este fezabil din punct de vedere economic (de exemplu, dacă raportul beneficiu-cost depăsește valoarea de 1.0). </w:t>
      </w:r>
    </w:p>
    <w:p w:rsidR="00573AD5" w:rsidRPr="0076579A" w:rsidRDefault="00573AD5" w:rsidP="00573AD5">
      <w:pPr>
        <w:pStyle w:val="BulletLevel1"/>
        <w:spacing w:after="60"/>
      </w:pPr>
      <w:r w:rsidRPr="0076579A">
        <w:t>Valorile parametrilor privind mediul sunt bazate mai mult pe zonele rurale decât pe cele metropolitane. Procentajul de servicii feroviare operate pe cea din urmă zonă este relativ scăzut, așadar s-a presupus că ruta a fost amplasată 100% într-o altă zonă.</w:t>
      </w:r>
    </w:p>
    <w:p w:rsidR="00573AD5" w:rsidRDefault="00573AD5" w:rsidP="002B7E09">
      <w:pPr>
        <w:pStyle w:val="NumberedParas"/>
      </w:pPr>
      <w:r w:rsidRPr="0076579A">
        <w:t xml:space="preserve">Pentru un proiect național de electrificare a 100 km, rezultatele generale indică faptul că </w:t>
      </w:r>
      <w:r>
        <w:t xml:space="preserve">, în medie, </w:t>
      </w:r>
      <w:r w:rsidRPr="0076579A">
        <w:t>1 tren pe oră pe fiecare direcție de mers pentru o perioadă de 17 ore ar trebui să circule utilizând tractarea electrică pentru a genera un program pozitiv (beneficiile să fie mai mari decât costurile). Se presupune că toate trenurile care circulă pe acest segment de 100 km sunt modificate de la tracțiune diesel la tracțiune electrică pentru a genera beneficiile necesare. S-a luat în considerare un factor de conversie de 350 pentru convertirea numărului total de zilnic la numărul total anual. Acest nivel minim de frecvență pentru a genera un program pozitiv ar trebui să fie crescut dacă există linii duble pe segmentele individuale de cale ferată, de exemplu, ruta Cluj Napoca - Oradea. Costurile de capital vor fi mai mari dacă este electrificat un segment de cale ferată dublă din cadrul rețelei, decât în cazul unui segment de cale ferată simplă, care ar necesita servicii cu o frecvență mai mare pentru a genera un nivel economic pozitiv. Presupunând că aproximativ 50% din ruta propusă are cale ferată dublă, frecvența minimă va trebui crescută cu un procentaj similar pentru a genera suficiente beneficii.</w:t>
      </w:r>
    </w:p>
    <w:p w:rsidR="00573AD5" w:rsidRDefault="00573AD5" w:rsidP="002B7E09">
      <w:pPr>
        <w:pStyle w:val="NumberedParas"/>
      </w:pPr>
      <w:r w:rsidRPr="0076579A">
        <w:t xml:space="preserve">S-a analizat programul pentru electrificarea unor segmente individuale ale rutei pentru a determina dacă frecvența minimă este îndeplinită. Această evaluare a fost efectuată pe baza graficului de mers al trenurilor actual, precum și pe baza tiparului serviciilor previzionate pornind de la premisa că se va introduce un grafic cu intervale regulate. Această analiză indică faptul că segmentul dintre Oradea și Cluj Napoca trebuie electrificat indiferent de posibilele schimbări viitoare în graficul de mers al trenurilor. </w:t>
      </w:r>
      <w:r>
        <w:t>De asemnea, poate apărea necesitatea electrificării secțiunii de la Galați /Tecuci la Bârlad și Iași, deși unele părți ale acesti linii nu înregistrează destule curse pentru a demonstra  jusitificarea economică a interveției.</w:t>
      </w:r>
    </w:p>
    <w:p w:rsidR="00573AD5" w:rsidRDefault="00573AD5" w:rsidP="002B7E09">
      <w:pPr>
        <w:pStyle w:val="NumberedParas"/>
      </w:pPr>
      <w:r w:rsidRPr="0076579A">
        <w:t xml:space="preserve">Există un număr de alte rute care ar putea genera valori pozitive în ceea ce privește electrificarea dacă s-ar introduce un grafic de mers al trenurilor îmbunătățit. Printre acestea se numără rutele București - Pitești și Brașov - Alba Iulia via Sibiu. În plus, există posibilitatea înregistrarii unor valori pozitive în urma electrificării liniilor dintre Santana - Oradea și Baia Mare - Dej, deși acest lucru depinde de schimbările posibile la nivelul serviciilor Regio, odată ce se va introduce un grafic de mers al trenurilor InterRegio îmbunătățit. </w:t>
      </w:r>
      <w:r>
        <w:t>Frecvențele înregistrate în prezent  pe liniile neelctrificate sunt incluse în Tabelul 5.13</w:t>
      </w:r>
      <w:r w:rsidRPr="0076579A">
        <w:t>.</w:t>
      </w:r>
    </w:p>
    <w:p w:rsidR="00573AD5" w:rsidRDefault="00573AD5" w:rsidP="002B7E09">
      <w:pPr>
        <w:pStyle w:val="NumberedParas"/>
      </w:pPr>
      <w:r>
        <w:t xml:space="preserve">Electrificarea rețelei TEN-T Core va include rutele Craiova – Calafat, Giurgiu – București și Suceava – Granița cu Ucraina. Cu toate acestea, utilizarea criteriilor descrise mai sus, oportunitatea și fezabilitatea electrificării acestor părți ale rețelei ar fi relativ slabă dat fiind numărul curent de trenuri. </w:t>
      </w:r>
    </w:p>
    <w:p w:rsidR="006566F8" w:rsidRDefault="006566F8">
      <w:pPr>
        <w:rPr>
          <w:sz w:val="22"/>
          <w:szCs w:val="22"/>
          <w:lang w:val="ro-RO"/>
        </w:rPr>
      </w:pPr>
      <w:r>
        <w:lastRenderedPageBreak/>
        <w:br w:type="page"/>
      </w:r>
    </w:p>
    <w:p w:rsidR="00573AD5" w:rsidRPr="0076579A" w:rsidRDefault="00573AD5" w:rsidP="002B7E09">
      <w:pPr>
        <w:pStyle w:val="NumberedParas"/>
        <w:numPr>
          <w:ilvl w:val="0"/>
          <w:numId w:val="0"/>
        </w:numPr>
        <w:ind w:left="851"/>
      </w:pPr>
    </w:p>
    <w:p w:rsidR="00573AD5" w:rsidRPr="00944029" w:rsidRDefault="00573AD5" w:rsidP="0030066D">
      <w:pPr>
        <w:rPr>
          <w:b/>
          <w:sz w:val="22"/>
          <w:szCs w:val="22"/>
          <w:lang w:val="ro-RO"/>
        </w:rPr>
      </w:pPr>
      <w:bookmarkStart w:id="114" w:name="_Toc398303863"/>
      <w:bookmarkStart w:id="115" w:name="_Toc397058220"/>
      <w:r>
        <w:rPr>
          <w:b/>
          <w:sz w:val="22"/>
          <w:szCs w:val="22"/>
          <w:lang w:val="ro-RO"/>
        </w:rPr>
        <w:t>Tabelul 5.</w:t>
      </w:r>
      <w:r w:rsidRPr="00944029">
        <w:rPr>
          <w:b/>
          <w:sz w:val="22"/>
          <w:szCs w:val="22"/>
          <w:lang w:val="ro-RO"/>
        </w:rPr>
        <w:t>1</w:t>
      </w:r>
      <w:r>
        <w:rPr>
          <w:b/>
          <w:sz w:val="22"/>
          <w:szCs w:val="22"/>
          <w:lang w:val="ro-RO"/>
        </w:rPr>
        <w:t>1</w:t>
      </w:r>
      <w:r w:rsidRPr="00944029">
        <w:rPr>
          <w:b/>
          <w:sz w:val="22"/>
          <w:szCs w:val="22"/>
          <w:lang w:val="ro-RO"/>
        </w:rPr>
        <w:t xml:space="preserve"> Rezumat al frecvențelor zilnice propuse și curente (o singură direcție)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3"/>
        <w:gridCol w:w="939"/>
        <w:gridCol w:w="775"/>
        <w:gridCol w:w="3394"/>
        <w:gridCol w:w="1166"/>
        <w:gridCol w:w="1030"/>
      </w:tblGrid>
      <w:tr w:rsidR="00573AD5" w:rsidRPr="005E50B3" w:rsidTr="0030066D">
        <w:trPr>
          <w:trHeight w:val="792"/>
        </w:trPr>
        <w:tc>
          <w:tcPr>
            <w:tcW w:w="1524" w:type="pct"/>
            <w:shd w:val="clear" w:color="auto" w:fill="B8CCE4" w:themeFill="accent1" w:themeFillTint="66"/>
            <w:vAlign w:val="center"/>
          </w:tcPr>
          <w:p w:rsidR="00573AD5" w:rsidRPr="005E50B3" w:rsidRDefault="00573AD5" w:rsidP="00573AD5">
            <w:pPr>
              <w:rPr>
                <w:b/>
                <w:sz w:val="20"/>
                <w:szCs w:val="20"/>
              </w:rPr>
            </w:pPr>
            <w:r>
              <w:rPr>
                <w:b/>
                <w:sz w:val="20"/>
                <w:szCs w:val="20"/>
              </w:rPr>
              <w:t>Tronson</w:t>
            </w:r>
          </w:p>
        </w:tc>
        <w:tc>
          <w:tcPr>
            <w:tcW w:w="447" w:type="pct"/>
            <w:shd w:val="clear" w:color="auto" w:fill="B8CCE4" w:themeFill="accent1" w:themeFillTint="66"/>
            <w:vAlign w:val="center"/>
          </w:tcPr>
          <w:p w:rsidR="00573AD5" w:rsidRPr="005E50B3" w:rsidRDefault="00573AD5" w:rsidP="00573AD5">
            <w:pPr>
              <w:jc w:val="center"/>
              <w:rPr>
                <w:b/>
                <w:sz w:val="20"/>
                <w:szCs w:val="20"/>
              </w:rPr>
            </w:pPr>
            <w:r w:rsidRPr="005E50B3">
              <w:rPr>
                <w:b/>
                <w:sz w:val="20"/>
                <w:szCs w:val="20"/>
              </w:rPr>
              <w:t>Curr</w:t>
            </w:r>
            <w:r>
              <w:rPr>
                <w:b/>
                <w:sz w:val="20"/>
                <w:szCs w:val="20"/>
              </w:rPr>
              <w:t>e</w:t>
            </w:r>
            <w:r w:rsidRPr="005E50B3">
              <w:rPr>
                <w:b/>
                <w:sz w:val="20"/>
                <w:szCs w:val="20"/>
              </w:rPr>
              <w:t>nt</w:t>
            </w:r>
          </w:p>
        </w:tc>
        <w:tc>
          <w:tcPr>
            <w:tcW w:w="369" w:type="pct"/>
            <w:shd w:val="clear" w:color="auto" w:fill="B8CCE4" w:themeFill="accent1" w:themeFillTint="66"/>
            <w:vAlign w:val="center"/>
          </w:tcPr>
          <w:p w:rsidR="00573AD5" w:rsidRPr="005E50B3" w:rsidRDefault="00573AD5" w:rsidP="00573AD5">
            <w:pPr>
              <w:jc w:val="center"/>
              <w:rPr>
                <w:b/>
                <w:sz w:val="20"/>
                <w:szCs w:val="20"/>
              </w:rPr>
            </w:pPr>
            <w:r>
              <w:rPr>
                <w:b/>
                <w:sz w:val="20"/>
                <w:szCs w:val="20"/>
              </w:rPr>
              <w:t>Viitor</w:t>
            </w:r>
          </w:p>
        </w:tc>
        <w:tc>
          <w:tcPr>
            <w:tcW w:w="1615" w:type="pct"/>
            <w:shd w:val="clear" w:color="auto" w:fill="B8CCE4" w:themeFill="accent1" w:themeFillTint="66"/>
            <w:vAlign w:val="center"/>
          </w:tcPr>
          <w:p w:rsidR="00573AD5" w:rsidRPr="005E50B3" w:rsidRDefault="00573AD5" w:rsidP="00573AD5">
            <w:pPr>
              <w:rPr>
                <w:b/>
                <w:sz w:val="20"/>
                <w:szCs w:val="20"/>
              </w:rPr>
            </w:pPr>
            <w:r>
              <w:rPr>
                <w:b/>
                <w:sz w:val="20"/>
                <w:szCs w:val="20"/>
              </w:rPr>
              <w:t>Tronson</w:t>
            </w:r>
          </w:p>
        </w:tc>
        <w:tc>
          <w:tcPr>
            <w:tcW w:w="555" w:type="pct"/>
            <w:shd w:val="clear" w:color="auto" w:fill="B8CCE4" w:themeFill="accent1" w:themeFillTint="66"/>
            <w:vAlign w:val="center"/>
          </w:tcPr>
          <w:p w:rsidR="00573AD5" w:rsidRPr="005E50B3" w:rsidRDefault="00573AD5" w:rsidP="00573AD5">
            <w:pPr>
              <w:jc w:val="center"/>
              <w:rPr>
                <w:b/>
                <w:sz w:val="20"/>
                <w:szCs w:val="20"/>
              </w:rPr>
            </w:pPr>
            <w:r>
              <w:rPr>
                <w:b/>
                <w:sz w:val="20"/>
                <w:szCs w:val="20"/>
              </w:rPr>
              <w:t>Cur</w:t>
            </w:r>
            <w:r w:rsidRPr="005E50B3">
              <w:rPr>
                <w:b/>
                <w:sz w:val="20"/>
                <w:szCs w:val="20"/>
              </w:rPr>
              <w:t>ent</w:t>
            </w:r>
          </w:p>
        </w:tc>
        <w:tc>
          <w:tcPr>
            <w:tcW w:w="491" w:type="pct"/>
            <w:shd w:val="clear" w:color="auto" w:fill="B8CCE4" w:themeFill="accent1" w:themeFillTint="66"/>
            <w:vAlign w:val="center"/>
          </w:tcPr>
          <w:p w:rsidR="00573AD5" w:rsidRPr="005E50B3" w:rsidRDefault="00573AD5" w:rsidP="00573AD5">
            <w:pPr>
              <w:jc w:val="center"/>
              <w:rPr>
                <w:b/>
                <w:sz w:val="20"/>
                <w:szCs w:val="20"/>
              </w:rPr>
            </w:pPr>
            <w:r>
              <w:rPr>
                <w:b/>
                <w:sz w:val="20"/>
                <w:szCs w:val="20"/>
              </w:rPr>
              <w:t>Viitor</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 xml:space="preserve">Galati – Barlad – Crasna – Iasi </w:t>
            </w:r>
            <w:r>
              <w:rPr>
                <w:sz w:val="20"/>
                <w:szCs w:val="20"/>
              </w:rPr>
              <w:t>–</w:t>
            </w:r>
            <w:r w:rsidRPr="005E50B3">
              <w:rPr>
                <w:sz w:val="20"/>
                <w:szCs w:val="20"/>
              </w:rPr>
              <w:t xml:space="preserve"> Husi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Brasov – Sibiu – Alba Iulia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14</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17</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 xml:space="preserve">Veresti – Botosani – Dangeni </w:t>
            </w:r>
            <w:r>
              <w:rPr>
                <w:sz w:val="20"/>
                <w:szCs w:val="20"/>
              </w:rPr>
              <w:t>–</w:t>
            </w:r>
            <w:r w:rsidRPr="005E50B3">
              <w:rPr>
                <w:sz w:val="20"/>
                <w:szCs w:val="20"/>
              </w:rPr>
              <w:t xml:space="preserve"> Iasi</w:t>
            </w:r>
            <w:r>
              <w:rPr>
                <w:sz w:val="20"/>
                <w:szCs w:val="20"/>
              </w:rPr>
              <w:t xml:space="preserve"> – Cristesti Jijia</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4-9</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4-9</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Blaj – Tarnaveni</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11</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11</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Darmanesti – Dornesti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Tarnaveni – Praid</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Dornesti – Nisipitu</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Razboleni – Targu Mares – Deda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13</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13</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Bicaz – Bacau</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Razboleni – Sarmasu – Sieu Magherus</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7</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7</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Roman – Buhaiesti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Deva – Arad via Santana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Ploiesti – Urziceni – Giurgeni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Santana – Oradea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12</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19</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Bucharest – Urziceni – Faurei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Oradea – Cluj Napoca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23</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27</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Faurei – Tecuci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Oradea – Satu Mare</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Ploiesti – Slanic</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3</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3</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Satu Mare – Baia Mare</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14</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Ploiesti – Maneciu</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Baia Mare – Dej</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11</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19</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Bucharest – Pitesti</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16</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22</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Jibou – Saculeni</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Pitesti – Curtea de Arges</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Satu Mare – Bixad</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Pitesti – Argesel</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Jibou – Carei</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Pitesti – Rosiori de Vede</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Timisoara – Resita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11</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11</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Pitesti – Craiova</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Timsisoara – Jimbola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3</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3</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Rosiori de Vede – Zimnices</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Timisoara – Sannicolau Mare</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r>
      <w:tr w:rsidR="00573AD5" w:rsidRPr="005E50B3" w:rsidTr="0030066D">
        <w:tc>
          <w:tcPr>
            <w:tcW w:w="1524" w:type="pct"/>
            <w:shd w:val="clear" w:color="auto" w:fill="auto"/>
            <w:vAlign w:val="center"/>
          </w:tcPr>
          <w:p w:rsidR="00573AD5" w:rsidRPr="008C2899" w:rsidRDefault="00573AD5" w:rsidP="00573AD5">
            <w:pPr>
              <w:spacing w:after="120"/>
              <w:rPr>
                <w:sz w:val="20"/>
                <w:szCs w:val="20"/>
                <w:lang w:val="es-ES_tradnl"/>
              </w:rPr>
            </w:pPr>
            <w:r w:rsidRPr="008C2899">
              <w:rPr>
                <w:sz w:val="20"/>
                <w:szCs w:val="20"/>
                <w:lang w:val="es-ES_tradnl"/>
              </w:rPr>
              <w:t>Rosiori de Vede – Turnu Magurele</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Salva – Valea Viseului</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Corabia – Caracal</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6</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Medgidic – Tulcea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Caracal – Sibiu</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13</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Medgidic – Negru Voda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Craiova – Calafat</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4</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Eforie – Mangalia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7</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7</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Bucharest – Oltenita</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2</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Videle – Giurgiu</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7</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7</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Buzau – Neholasu</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Caransebes – Subcetate</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5</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sidRPr="005E50B3">
              <w:rPr>
                <w:sz w:val="20"/>
                <w:szCs w:val="20"/>
              </w:rPr>
              <w:t>Sibiu – Copsa Mica</w:t>
            </w:r>
          </w:p>
        </w:tc>
        <w:tc>
          <w:tcPr>
            <w:tcW w:w="447" w:type="pct"/>
            <w:shd w:val="clear" w:color="auto" w:fill="auto"/>
            <w:vAlign w:val="center"/>
          </w:tcPr>
          <w:p w:rsidR="00573AD5" w:rsidRPr="005E50B3" w:rsidRDefault="00573AD5" w:rsidP="00573AD5">
            <w:pPr>
              <w:spacing w:after="120"/>
              <w:jc w:val="center"/>
              <w:rPr>
                <w:sz w:val="20"/>
                <w:szCs w:val="20"/>
              </w:rPr>
            </w:pPr>
            <w:r w:rsidRPr="005E50B3">
              <w:rPr>
                <w:sz w:val="20"/>
                <w:szCs w:val="20"/>
              </w:rPr>
              <w:t>13</w:t>
            </w:r>
          </w:p>
        </w:tc>
        <w:tc>
          <w:tcPr>
            <w:tcW w:w="369" w:type="pct"/>
            <w:shd w:val="clear" w:color="auto" w:fill="auto"/>
            <w:vAlign w:val="center"/>
          </w:tcPr>
          <w:p w:rsidR="00573AD5" w:rsidRPr="005E50B3" w:rsidRDefault="00573AD5" w:rsidP="00573AD5">
            <w:pPr>
              <w:spacing w:after="120"/>
              <w:jc w:val="center"/>
              <w:rPr>
                <w:sz w:val="20"/>
                <w:szCs w:val="20"/>
              </w:rPr>
            </w:pPr>
            <w:r w:rsidRPr="005E50B3">
              <w:rPr>
                <w:sz w:val="20"/>
                <w:szCs w:val="20"/>
              </w:rPr>
              <w:t>13</w:t>
            </w:r>
          </w:p>
        </w:tc>
        <w:tc>
          <w:tcPr>
            <w:tcW w:w="1615" w:type="pct"/>
            <w:shd w:val="clear" w:color="auto" w:fill="auto"/>
            <w:vAlign w:val="center"/>
          </w:tcPr>
          <w:p w:rsidR="00573AD5" w:rsidRPr="005E50B3" w:rsidRDefault="00573AD5" w:rsidP="00573AD5">
            <w:pPr>
              <w:spacing w:after="120"/>
              <w:rPr>
                <w:sz w:val="20"/>
                <w:szCs w:val="20"/>
              </w:rPr>
            </w:pPr>
            <w:r w:rsidRPr="005E50B3">
              <w:rPr>
                <w:sz w:val="20"/>
                <w:szCs w:val="20"/>
              </w:rPr>
              <w:t>Lugoj – Illa</w:t>
            </w:r>
          </w:p>
        </w:tc>
        <w:tc>
          <w:tcPr>
            <w:tcW w:w="555"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c>
          <w:tcPr>
            <w:tcW w:w="491" w:type="pct"/>
            <w:shd w:val="clear" w:color="auto" w:fill="auto"/>
            <w:vAlign w:val="center"/>
          </w:tcPr>
          <w:p w:rsidR="00573AD5" w:rsidRPr="005E50B3" w:rsidRDefault="00573AD5" w:rsidP="00573AD5">
            <w:pPr>
              <w:spacing w:after="120"/>
              <w:jc w:val="center"/>
              <w:rPr>
                <w:sz w:val="20"/>
                <w:szCs w:val="20"/>
              </w:rPr>
            </w:pPr>
            <w:r w:rsidRPr="005E50B3">
              <w:rPr>
                <w:sz w:val="20"/>
                <w:szCs w:val="20"/>
              </w:rPr>
              <w:t>9</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Pr>
                <w:sz w:val="20"/>
                <w:szCs w:val="20"/>
              </w:rPr>
              <w:t>Tecuci - Barlad</w:t>
            </w:r>
          </w:p>
        </w:tc>
        <w:tc>
          <w:tcPr>
            <w:tcW w:w="447" w:type="pct"/>
            <w:shd w:val="clear" w:color="auto" w:fill="auto"/>
            <w:vAlign w:val="center"/>
          </w:tcPr>
          <w:p w:rsidR="00573AD5" w:rsidRPr="005E50B3" w:rsidRDefault="00573AD5" w:rsidP="00573AD5">
            <w:pPr>
              <w:spacing w:after="120"/>
              <w:jc w:val="center"/>
              <w:rPr>
                <w:sz w:val="20"/>
                <w:szCs w:val="20"/>
              </w:rPr>
            </w:pPr>
            <w:r>
              <w:rPr>
                <w:sz w:val="20"/>
                <w:szCs w:val="20"/>
              </w:rPr>
              <w:t>15</w:t>
            </w:r>
          </w:p>
        </w:tc>
        <w:tc>
          <w:tcPr>
            <w:tcW w:w="369" w:type="pct"/>
            <w:shd w:val="clear" w:color="auto" w:fill="auto"/>
            <w:vAlign w:val="center"/>
          </w:tcPr>
          <w:p w:rsidR="00573AD5" w:rsidRPr="005E50B3" w:rsidRDefault="00573AD5" w:rsidP="00573AD5">
            <w:pPr>
              <w:spacing w:after="120"/>
              <w:jc w:val="center"/>
              <w:rPr>
                <w:sz w:val="20"/>
                <w:szCs w:val="20"/>
              </w:rPr>
            </w:pPr>
            <w:r>
              <w:rPr>
                <w:sz w:val="20"/>
                <w:szCs w:val="20"/>
              </w:rPr>
              <w:t>15</w:t>
            </w:r>
          </w:p>
        </w:tc>
        <w:tc>
          <w:tcPr>
            <w:tcW w:w="1615" w:type="pct"/>
            <w:shd w:val="clear" w:color="auto" w:fill="auto"/>
            <w:vAlign w:val="center"/>
          </w:tcPr>
          <w:p w:rsidR="00573AD5" w:rsidRPr="005E50B3" w:rsidRDefault="00573AD5" w:rsidP="00573AD5">
            <w:pPr>
              <w:spacing w:after="120"/>
              <w:rPr>
                <w:sz w:val="20"/>
                <w:szCs w:val="20"/>
              </w:rPr>
            </w:pPr>
            <w:r>
              <w:rPr>
                <w:sz w:val="20"/>
                <w:szCs w:val="20"/>
              </w:rPr>
              <w:t>Bucharest – Giurgiu via Baneasa</w:t>
            </w:r>
          </w:p>
        </w:tc>
        <w:tc>
          <w:tcPr>
            <w:tcW w:w="555" w:type="pct"/>
            <w:shd w:val="clear" w:color="auto" w:fill="auto"/>
            <w:vAlign w:val="center"/>
          </w:tcPr>
          <w:p w:rsidR="00573AD5" w:rsidRPr="005E50B3" w:rsidRDefault="00573AD5" w:rsidP="00573AD5">
            <w:pPr>
              <w:spacing w:after="120"/>
              <w:jc w:val="center"/>
              <w:rPr>
                <w:sz w:val="20"/>
                <w:szCs w:val="20"/>
              </w:rPr>
            </w:pPr>
            <w:r>
              <w:rPr>
                <w:sz w:val="20"/>
                <w:szCs w:val="20"/>
              </w:rPr>
              <w:t>2</w:t>
            </w:r>
          </w:p>
        </w:tc>
        <w:tc>
          <w:tcPr>
            <w:tcW w:w="491" w:type="pct"/>
            <w:shd w:val="clear" w:color="auto" w:fill="auto"/>
            <w:vAlign w:val="center"/>
          </w:tcPr>
          <w:p w:rsidR="00573AD5" w:rsidRPr="005E50B3" w:rsidRDefault="00573AD5" w:rsidP="00573AD5">
            <w:pPr>
              <w:spacing w:after="120"/>
              <w:jc w:val="center"/>
              <w:rPr>
                <w:sz w:val="20"/>
                <w:szCs w:val="20"/>
              </w:rPr>
            </w:pPr>
            <w:r>
              <w:rPr>
                <w:sz w:val="20"/>
                <w:szCs w:val="20"/>
              </w:rPr>
              <w:t>2</w:t>
            </w:r>
          </w:p>
        </w:tc>
      </w:tr>
      <w:tr w:rsidR="00573AD5" w:rsidRPr="005E50B3" w:rsidTr="0030066D">
        <w:tc>
          <w:tcPr>
            <w:tcW w:w="1524" w:type="pct"/>
            <w:shd w:val="clear" w:color="auto" w:fill="auto"/>
            <w:vAlign w:val="center"/>
          </w:tcPr>
          <w:p w:rsidR="00573AD5" w:rsidRPr="005E50B3" w:rsidRDefault="00573AD5" w:rsidP="00573AD5">
            <w:pPr>
              <w:spacing w:after="120"/>
              <w:rPr>
                <w:sz w:val="20"/>
                <w:szCs w:val="20"/>
              </w:rPr>
            </w:pPr>
            <w:r>
              <w:rPr>
                <w:sz w:val="20"/>
                <w:szCs w:val="20"/>
              </w:rPr>
              <w:t>Timisoara – Stamora Moravita</w:t>
            </w:r>
          </w:p>
        </w:tc>
        <w:tc>
          <w:tcPr>
            <w:tcW w:w="447" w:type="pct"/>
            <w:shd w:val="clear" w:color="auto" w:fill="auto"/>
            <w:vAlign w:val="center"/>
          </w:tcPr>
          <w:p w:rsidR="00573AD5" w:rsidRPr="005E50B3" w:rsidRDefault="00573AD5" w:rsidP="00573AD5">
            <w:pPr>
              <w:spacing w:after="120"/>
              <w:jc w:val="center"/>
              <w:rPr>
                <w:sz w:val="20"/>
                <w:szCs w:val="20"/>
              </w:rPr>
            </w:pPr>
            <w:r>
              <w:rPr>
                <w:sz w:val="20"/>
                <w:szCs w:val="20"/>
              </w:rPr>
              <w:t>10</w:t>
            </w:r>
          </w:p>
        </w:tc>
        <w:tc>
          <w:tcPr>
            <w:tcW w:w="369" w:type="pct"/>
            <w:shd w:val="clear" w:color="auto" w:fill="auto"/>
            <w:vAlign w:val="center"/>
          </w:tcPr>
          <w:p w:rsidR="00573AD5" w:rsidRPr="005E50B3" w:rsidRDefault="00573AD5" w:rsidP="00573AD5">
            <w:pPr>
              <w:spacing w:after="120"/>
              <w:jc w:val="center"/>
              <w:rPr>
                <w:sz w:val="20"/>
                <w:szCs w:val="20"/>
              </w:rPr>
            </w:pPr>
            <w:r>
              <w:rPr>
                <w:sz w:val="20"/>
                <w:szCs w:val="20"/>
              </w:rPr>
              <w:t>10</w:t>
            </w:r>
          </w:p>
        </w:tc>
        <w:tc>
          <w:tcPr>
            <w:tcW w:w="1615" w:type="pct"/>
            <w:shd w:val="clear" w:color="auto" w:fill="auto"/>
            <w:vAlign w:val="center"/>
          </w:tcPr>
          <w:p w:rsidR="00573AD5" w:rsidRPr="005E50B3" w:rsidRDefault="00573AD5" w:rsidP="00573AD5">
            <w:pPr>
              <w:spacing w:after="120"/>
              <w:rPr>
                <w:sz w:val="20"/>
                <w:szCs w:val="20"/>
              </w:rPr>
            </w:pPr>
          </w:p>
        </w:tc>
        <w:tc>
          <w:tcPr>
            <w:tcW w:w="555" w:type="pct"/>
            <w:shd w:val="clear" w:color="auto" w:fill="auto"/>
            <w:vAlign w:val="center"/>
          </w:tcPr>
          <w:p w:rsidR="00573AD5" w:rsidRPr="005E50B3" w:rsidRDefault="00573AD5" w:rsidP="00573AD5">
            <w:pPr>
              <w:spacing w:after="120"/>
              <w:jc w:val="center"/>
              <w:rPr>
                <w:sz w:val="20"/>
                <w:szCs w:val="20"/>
              </w:rPr>
            </w:pPr>
          </w:p>
        </w:tc>
        <w:tc>
          <w:tcPr>
            <w:tcW w:w="491" w:type="pct"/>
            <w:shd w:val="clear" w:color="auto" w:fill="auto"/>
            <w:vAlign w:val="center"/>
          </w:tcPr>
          <w:p w:rsidR="00573AD5" w:rsidRPr="005E50B3" w:rsidRDefault="00573AD5" w:rsidP="00573AD5">
            <w:pPr>
              <w:spacing w:after="120"/>
              <w:jc w:val="center"/>
              <w:rPr>
                <w:sz w:val="20"/>
                <w:szCs w:val="20"/>
              </w:rPr>
            </w:pPr>
          </w:p>
        </w:tc>
      </w:tr>
    </w:tbl>
    <w:p w:rsidR="006566F8" w:rsidRPr="006566F8" w:rsidRDefault="006566F8" w:rsidP="006566F8">
      <w:pPr>
        <w:rPr>
          <w:i/>
        </w:rPr>
      </w:pPr>
      <w:bookmarkStart w:id="116" w:name="_Toc413057761"/>
      <w:r w:rsidRPr="006566F8">
        <w:rPr>
          <w:i/>
        </w:rPr>
        <w:t>Sursa: Propunerea AECOM</w:t>
      </w:r>
    </w:p>
    <w:p w:rsidR="00573AD5" w:rsidRDefault="00573AD5" w:rsidP="00AE1AD4">
      <w:pPr>
        <w:pStyle w:val="Hdg3"/>
      </w:pPr>
      <w:r>
        <w:t>Infrastructura de linii noi</w:t>
      </w:r>
      <w:bookmarkEnd w:id="116"/>
      <w:r>
        <w:t xml:space="preserve"> </w:t>
      </w:r>
    </w:p>
    <w:p w:rsidR="00573AD5" w:rsidRDefault="00573AD5" w:rsidP="002B7E09">
      <w:pPr>
        <w:pStyle w:val="NumberedParas"/>
      </w:pPr>
      <w:r>
        <w:t xml:space="preserve">Procesul de electrificare a rețelei TEN-T va include rutele Craiova- Calafat, Giurgiu – București și Suceava – Granița cu Ucraina. Cu toate acestea folosind criteriile descrise mai sus, oportunitatea de a introduce electrificarea pe aceste părți ale rețelei va fi una relativ slabă, dat fiind numărul curent de trenuri.  </w:t>
      </w:r>
    </w:p>
    <w:p w:rsidR="00573AD5" w:rsidRDefault="00573AD5" w:rsidP="00AE1AD4">
      <w:pPr>
        <w:pStyle w:val="Hdg3"/>
      </w:pPr>
      <w:bookmarkStart w:id="117" w:name="_Toc413057762"/>
      <w:r>
        <w:lastRenderedPageBreak/>
        <w:t>Tema 7  Infrastructura precară și  servicii neatractive de transport marfă</w:t>
      </w:r>
      <w:bookmarkEnd w:id="117"/>
    </w:p>
    <w:p w:rsidR="00573AD5" w:rsidRDefault="00573AD5" w:rsidP="002B7E09">
      <w:pPr>
        <w:pStyle w:val="NumberedParas"/>
      </w:pPr>
      <w:r>
        <w:rPr>
          <w:b/>
        </w:rPr>
        <w:t>Problema: V</w:t>
      </w:r>
      <w:r>
        <w:t xml:space="preserve">itezele permise existente pentru transportul feroviar de marfă pe mai mutle coridoare este prea mică pentru a intra într-o competiție eficientă cu alternativele oferite de sistemul rutier. Această intervenție va aborda problema vitezelor medii mici înregistrate în prezent în sectorul transportului feroviar de mărfuri (21 km/h), care face ca transportul feroviar de mărfuri să fie unul lent și necompetitiv față de transportul rutier. </w:t>
      </w:r>
    </w:p>
    <w:p w:rsidR="00573AD5" w:rsidRDefault="00573AD5" w:rsidP="002B7E09">
      <w:pPr>
        <w:pStyle w:val="NumberedParas"/>
        <w:rPr>
          <w:lang w:eastAsia="en-GB"/>
        </w:rPr>
      </w:pPr>
      <w:r>
        <w:rPr>
          <w:b/>
        </w:rPr>
        <w:t>Soluția propusă:</w:t>
      </w:r>
      <w:r>
        <w:t xml:space="preserve"> Propunerea AECOM este ca CFR Infrastructură să permită viteze maxime mai mari pentru trenurile de marfă pe liniile reabilitate –</w:t>
      </w:r>
      <w:r>
        <w:rPr>
          <w:lang w:eastAsia="en-GB"/>
        </w:rPr>
        <w:t xml:space="preserve"> 120km/h  pentru trenurile complete intermodale și o viteză de 80km/h pentru celelalte trenuri mixte ar trebui să reprezinte o țintă realistă. Aceasta ar duce la creșterea vitezelor de circulație pe calea ferată la nivelul vitezelor proiectate ale linilor. Mai mult, ar trebui investigată posibiltatea creării unui sistem cu două niveluri care să permită trenurilor intermodale dedicate și bine dotate să aibă prioritate față de celelalte tipuri de trenuri de marfă. Aceasta ar trebui, în principiu, să ofere prioritate trenurilor de marfă față de cursele locale de călători. Prin acesta s-ar impulsiona ponderea transportului feroviar de marfă în transportul intermodal iar, ca urmare a transferului de trafic din sistemul rutier în sistem feroviar, s-ar redue semnificativ emisiile de carbon.</w:t>
      </w:r>
    </w:p>
    <w:p w:rsidR="00573AD5" w:rsidRDefault="00573AD5" w:rsidP="00AE1AD4">
      <w:pPr>
        <w:pStyle w:val="Hdg3"/>
      </w:pPr>
      <w:bookmarkStart w:id="118" w:name="_Toc413057763"/>
      <w:r>
        <w:t>Tema 8 Management și operare inadecvată a serviciilor de transport feroviar de marfă</w:t>
      </w:r>
      <w:bookmarkEnd w:id="118"/>
      <w:r>
        <w:t xml:space="preserve"> </w:t>
      </w:r>
    </w:p>
    <w:p w:rsidR="00573AD5" w:rsidRDefault="00573AD5" w:rsidP="002B7E09">
      <w:pPr>
        <w:pStyle w:val="NumberedParas"/>
      </w:pPr>
      <w:r w:rsidRPr="00CC341C">
        <w:rPr>
          <w:b/>
        </w:rPr>
        <w:t>Problema:</w:t>
      </w:r>
      <w:r>
        <w:t xml:space="preserve"> Practicile curente de lucru nu sunt consecvente cu cele mai bune practici moderne și trebuie restructurate pentru promovarea unui plus de eficiență. Absorbția de noi tehnologii este scăzută, sistemele de înregistrare și documenațiile vechi combinate cu lipsa instruirii reprezentând o piedică în procesul de dezvoltare a unui sistem feroviar modern. De exemplu, fișele trenurilor sunt completate manual, fiecare număr de vagon fiind înscris olograf în registru și apoi notat încă o data în locul în care trebuie mutat. </w:t>
      </w:r>
    </w:p>
    <w:p w:rsidR="00573AD5" w:rsidRDefault="00573AD5" w:rsidP="002B7E09">
      <w:pPr>
        <w:pStyle w:val="NumberedParas"/>
        <w:rPr>
          <w:b/>
        </w:rPr>
      </w:pPr>
      <w:r>
        <w:rPr>
          <w:b/>
        </w:rPr>
        <w:t xml:space="preserve">Soluția propusă: </w:t>
      </w:r>
      <w:r>
        <w:t>Companiile ar trebui să adopte practici și tehnologii moderne precum utilizarea sistemelor GPS pentru localizarea materialului rulant</w:t>
      </w:r>
      <w:r w:rsidRPr="00F755D0">
        <w:t>.</w:t>
      </w:r>
      <w:r w:rsidRPr="00D62754">
        <w:t xml:space="preserve"> Această măsură</w:t>
      </w:r>
      <w:r>
        <w:t xml:space="preserve"> trebuie însoțită de introducerea unor cursuri moderne de instruire în sisteme și tehnologii feroviare de operare pentru personalul existent și pentru noii angajați. Această abordare ar duce la creșterea performanței căii ferate prin încurajarea eficienței operaționale.  Acest proiect trebuie implementat de CFR SA și CFR Marfă, operatorii privați și instituțile de instruire în perioada 2015 – 2020. </w:t>
      </w:r>
    </w:p>
    <w:p w:rsidR="00573AD5" w:rsidRDefault="00573AD5" w:rsidP="00AE1AD4">
      <w:pPr>
        <w:pStyle w:val="Hdg3"/>
      </w:pPr>
      <w:bookmarkStart w:id="119" w:name="_Toc413057764"/>
      <w:r>
        <w:t>Tema 9 Deficitul de infrastructură care afectează serviciile de transport feroviar de marfă</w:t>
      </w:r>
      <w:bookmarkEnd w:id="119"/>
    </w:p>
    <w:p w:rsidR="00573AD5" w:rsidRDefault="00573AD5" w:rsidP="002B7E09">
      <w:pPr>
        <w:pStyle w:val="NumberedParas"/>
      </w:pPr>
      <w:r>
        <w:rPr>
          <w:b/>
        </w:rPr>
        <w:t>Problema:</w:t>
      </w:r>
      <w:r>
        <w:t xml:space="preserve"> În prezent este în vigoare o limită a greutății pe osie de 20,5 tone dar aceasta este mai mică decât standardul rețelelor feroviare din UE, care este de 22,5 tone. Multe trenuri și o proporție însemnată a materialului rulant sunt astfel utilizate sub-optimal. Mai mult, nu există în prezent nicio secție de cale ferată pe care să se poată recupera energie din sistemul suspendat de electrificare, ceea ce ar reduce semnificativ costurile și ar îmbunătăți sustenabilitatea rețelei..</w:t>
      </w:r>
    </w:p>
    <w:p w:rsidR="00573AD5" w:rsidRDefault="00573AD5" w:rsidP="002B7E09">
      <w:pPr>
        <w:pStyle w:val="NumberedParas"/>
        <w:rPr>
          <w:b/>
        </w:rPr>
      </w:pPr>
      <w:r>
        <w:rPr>
          <w:b/>
        </w:rPr>
        <w:t xml:space="preserve">Soluția propusă: </w:t>
      </w:r>
      <w:r w:rsidRPr="00D62754">
        <w:t>Încurajarea</w:t>
      </w:r>
      <w:r>
        <w:t xml:space="preserve"> traficului internațional și de tranzit, pentru care să se permită o greutate pe osie de 22,5 tone pe rutele reabilitate. În mod clar, întreaga rută trebuie deschisă unui asemenea regim de circulație pentru ca operatorii să o poată utiliza într-un mod eficient. Acest element ar trebui integrat în toate proiectele viitoare de reabilitare a rutelor. Aceasta ar duce la creșterea performanței activelor din sistemul feroviar, în special oportunitățile de a atinge o mai bună eficiență operațională. Creșterea greutății pe osie ar permite o încărcare mai eficientă a vagoanelor. Pentru un tren cu 30 de vagoane, aceasta echivalează cu un plus </w:t>
      </w:r>
      <w:r>
        <w:lastRenderedPageBreak/>
        <w:t xml:space="preserve">de 240 de tone de produs transportat (o creștere de 15%). De asemenea, aceasta intervenție ar îmbunătăți procesul de tranzit al trenurilor internaționale. </w:t>
      </w:r>
    </w:p>
    <w:p w:rsidR="00573AD5" w:rsidRDefault="00573AD5" w:rsidP="002B7E09">
      <w:pPr>
        <w:pStyle w:val="NumberedParas"/>
      </w:pPr>
      <w:r>
        <w:t>Elaborarea unui studiu de fezabilitate pentru evaluarea oportunității de a introduce sisteme de alimentare capabile să recupereze energia generată de frânarea regenerativă pe care să o transmită înapoi în rețea, pentru  toate proiectele de reabilitări. Frânarea regenerativă poate reduce cu 5% consumul de energie pentru transportul feroviar de marfă și până la 17% în cazul trenurilor de navetiști. Această intervenție trebuie implementată de CFR SA și trebuie întreprinsă imediat pentru a perimte instalarea tehnologiei de frânare regenerativă pe coridoarele cheie ca parte a procesului de reabilitare.</w:t>
      </w:r>
    </w:p>
    <w:p w:rsidR="00573AD5" w:rsidRDefault="00573AD5" w:rsidP="00AE1AD4">
      <w:pPr>
        <w:pStyle w:val="Hdg3"/>
      </w:pPr>
      <w:bookmarkStart w:id="120" w:name="_Toc413057765"/>
      <w:r>
        <w:t>Alte teme</w:t>
      </w:r>
      <w:bookmarkEnd w:id="120"/>
    </w:p>
    <w:p w:rsidR="00573AD5" w:rsidRDefault="00573AD5" w:rsidP="002B7E09">
      <w:pPr>
        <w:pStyle w:val="NumberedParas"/>
      </w:pPr>
      <w:r>
        <w:t xml:space="preserve">Există dorința de a menține unele linii cu potențial turistic ca parte a Master Planului. Cu toate acestea, aceste rute nu fac parte din rețeaua primară și deservesc o piață fundamental diferită. Menținerea acestor linii va depinde de aplicarea principiilor diferite, aferente acestei piețe față de abordarea folosită pentru evaluarea celelorlalte rute primare și secundare. Astfel, în acest caz ar trebui folosită o abordare alternativă care să ia în considerare vizitele turistice înregistrate în zona respectivă. </w:t>
      </w:r>
    </w:p>
    <w:p w:rsidR="00573AD5" w:rsidRDefault="00573AD5" w:rsidP="00573AD5">
      <w:pPr>
        <w:pStyle w:val="Hdg2"/>
        <w:tabs>
          <w:tab w:val="clear" w:pos="2280"/>
          <w:tab w:val="num" w:pos="1146"/>
        </w:tabs>
        <w:ind w:left="1106"/>
      </w:pPr>
      <w:bookmarkStart w:id="121" w:name="_Toc413057766"/>
      <w:bookmarkStart w:id="122" w:name="_Toc413060325"/>
      <w:r w:rsidRPr="00CC5A4C">
        <w:t>Opțiuni de testare a serviciilor de transport feroviar</w:t>
      </w:r>
      <w:bookmarkEnd w:id="114"/>
      <w:bookmarkEnd w:id="121"/>
      <w:bookmarkEnd w:id="122"/>
      <w:r w:rsidRPr="00CC5A4C">
        <w:t xml:space="preserve"> </w:t>
      </w:r>
      <w:bookmarkEnd w:id="115"/>
    </w:p>
    <w:p w:rsidR="00573AD5" w:rsidRPr="00CC5A4C" w:rsidRDefault="00573AD5" w:rsidP="002B7E09">
      <w:pPr>
        <w:pStyle w:val="NumberedParas"/>
      </w:pPr>
      <w:r w:rsidRPr="00CC5A4C">
        <w:t>S-a pornit de la premisa că nivelul de referință pentru evaluarea opțiunilor privind serviciile de transport feroviar este întreținerea constantă și reparațiile la nivelul rețelei de bază, lucrările de întreținere pentru restul rețelei fiind de tipul „business as usual</w:t>
      </w:r>
      <w:r w:rsidRPr="00CC5A4C">
        <w:rPr>
          <w:lang w:val="en-US"/>
        </w:rPr>
        <w:t>”</w:t>
      </w:r>
      <w:r w:rsidRPr="00CC5A4C">
        <w:t xml:space="preserve"> și că graficul de mers al trenurilor din 2011 va fi aplicat în 2020, 2030 și 2040 (cu excepția serviciilor de transport călători de pe linia 902</w:t>
      </w:r>
      <w:r>
        <w:t>, care presupune reintroducerea podului peste Argeș</w:t>
      </w:r>
      <w:r w:rsidRPr="00CC5A4C">
        <w:t>). În Tabelul 5.10 este prezentată o descriere succintă a îmbunătățirilor modelate pentru fiecare</w:t>
      </w:r>
      <w:r>
        <w:t xml:space="preserve"> alternativă.</w:t>
      </w:r>
    </w:p>
    <w:p w:rsidR="00573AD5" w:rsidRDefault="00573AD5" w:rsidP="0030066D">
      <w:pPr>
        <w:rPr>
          <w:b/>
          <w:sz w:val="22"/>
          <w:szCs w:val="22"/>
          <w:lang w:val="ro-RO"/>
        </w:rPr>
      </w:pPr>
      <w:bookmarkStart w:id="123" w:name="_Ref395086415"/>
      <w:r>
        <w:rPr>
          <w:b/>
        </w:rPr>
        <w:br w:type="page"/>
      </w:r>
    </w:p>
    <w:p w:rsidR="00573AD5" w:rsidRPr="0036322C" w:rsidRDefault="00573AD5" w:rsidP="0030066D">
      <w:pPr>
        <w:spacing w:after="60"/>
        <w:rPr>
          <w:rFonts w:cs="Arial"/>
          <w:b/>
          <w:sz w:val="22"/>
          <w:szCs w:val="22"/>
          <w:lang w:val="ro-RO"/>
        </w:rPr>
      </w:pPr>
      <w:r>
        <w:rPr>
          <w:rFonts w:cs="Arial"/>
          <w:b/>
          <w:sz w:val="22"/>
          <w:szCs w:val="22"/>
          <w:lang w:val="ro-RO"/>
        </w:rPr>
        <w:lastRenderedPageBreak/>
        <w:t>Tabelul 5.</w:t>
      </w:r>
      <w:bookmarkEnd w:id="123"/>
      <w:r w:rsidRPr="0036322C">
        <w:rPr>
          <w:rFonts w:cs="Arial"/>
          <w:b/>
          <w:sz w:val="22"/>
          <w:szCs w:val="22"/>
          <w:lang w:val="ro-RO"/>
        </w:rPr>
        <w:t>1</w:t>
      </w:r>
      <w:r>
        <w:rPr>
          <w:rFonts w:cs="Arial"/>
          <w:b/>
          <w:sz w:val="22"/>
          <w:szCs w:val="22"/>
          <w:lang w:val="ro-RO"/>
        </w:rPr>
        <w:t>2</w:t>
      </w:r>
      <w:r w:rsidRPr="0036322C">
        <w:rPr>
          <w:rFonts w:cs="Arial"/>
          <w:b/>
          <w:sz w:val="22"/>
          <w:szCs w:val="22"/>
          <w:lang w:val="ro-RO"/>
        </w:rPr>
        <w:t xml:space="preserve">: Statistici principale ale rulării modelului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4"/>
        <w:gridCol w:w="1400"/>
        <w:gridCol w:w="6653"/>
      </w:tblGrid>
      <w:tr w:rsidR="00573AD5" w:rsidRPr="0076579A" w:rsidTr="0030066D">
        <w:trPr>
          <w:cantSplit/>
          <w:tblHeader/>
        </w:trPr>
        <w:tc>
          <w:tcPr>
            <w:tcW w:w="1168" w:type="pct"/>
            <w:shd w:val="clear" w:color="auto" w:fill="C6D9F1"/>
          </w:tcPr>
          <w:p w:rsidR="00573AD5" w:rsidRPr="0076579A" w:rsidRDefault="00573AD5" w:rsidP="00573AD5">
            <w:pPr>
              <w:spacing w:before="120"/>
              <w:ind w:left="720" w:hanging="720"/>
              <w:jc w:val="center"/>
              <w:rPr>
                <w:rFonts w:cs="Arial"/>
                <w:b/>
                <w:sz w:val="20"/>
                <w:szCs w:val="20"/>
                <w:lang w:val="ro-RO"/>
              </w:rPr>
            </w:pPr>
            <w:r w:rsidRPr="0076579A">
              <w:rPr>
                <w:rFonts w:cs="Arial"/>
                <w:b/>
                <w:sz w:val="20"/>
                <w:szCs w:val="20"/>
                <w:lang w:val="ro-RO"/>
              </w:rPr>
              <w:t>Descriere</w:t>
            </w:r>
          </w:p>
        </w:tc>
        <w:tc>
          <w:tcPr>
            <w:tcW w:w="666" w:type="pct"/>
            <w:shd w:val="clear" w:color="auto" w:fill="C6D9F1"/>
            <w:vAlign w:val="center"/>
          </w:tcPr>
          <w:p w:rsidR="00573AD5" w:rsidRPr="0076579A" w:rsidRDefault="00573AD5" w:rsidP="00573AD5">
            <w:pPr>
              <w:spacing w:before="120"/>
              <w:ind w:left="720" w:hanging="720"/>
              <w:jc w:val="center"/>
              <w:rPr>
                <w:rFonts w:cs="Arial"/>
                <w:b/>
                <w:sz w:val="20"/>
                <w:szCs w:val="20"/>
                <w:lang w:val="ro-RO"/>
              </w:rPr>
            </w:pPr>
            <w:r w:rsidRPr="0076579A">
              <w:rPr>
                <w:rFonts w:cs="Arial"/>
                <w:b/>
                <w:sz w:val="20"/>
                <w:szCs w:val="20"/>
                <w:lang w:val="ro-RO"/>
              </w:rPr>
              <w:t>Cod test</w:t>
            </w:r>
          </w:p>
        </w:tc>
        <w:tc>
          <w:tcPr>
            <w:tcW w:w="3166" w:type="pct"/>
            <w:shd w:val="clear" w:color="auto" w:fill="C6D9F1"/>
            <w:vAlign w:val="center"/>
          </w:tcPr>
          <w:p w:rsidR="00573AD5" w:rsidRPr="0076579A" w:rsidRDefault="00573AD5" w:rsidP="00573AD5">
            <w:pPr>
              <w:spacing w:before="120"/>
              <w:ind w:left="720" w:hanging="720"/>
              <w:jc w:val="center"/>
              <w:rPr>
                <w:rFonts w:cs="Arial"/>
                <w:b/>
                <w:sz w:val="20"/>
                <w:szCs w:val="20"/>
                <w:lang w:val="ro-RO"/>
              </w:rPr>
            </w:pPr>
            <w:r w:rsidRPr="0076579A">
              <w:rPr>
                <w:rFonts w:cs="Arial"/>
                <w:b/>
                <w:sz w:val="20"/>
                <w:szCs w:val="20"/>
                <w:lang w:val="ro-RO"/>
              </w:rPr>
              <w:t>Descriere test</w:t>
            </w:r>
          </w:p>
        </w:tc>
      </w:tr>
      <w:tr w:rsidR="00573AD5" w:rsidRPr="0076579A" w:rsidTr="0030066D">
        <w:trPr>
          <w:cantSplit/>
        </w:trPr>
        <w:tc>
          <w:tcPr>
            <w:tcW w:w="1168" w:type="pct"/>
            <w:vMerge w:val="restart"/>
            <w:shd w:val="clear" w:color="auto" w:fill="auto"/>
            <w:vAlign w:val="center"/>
          </w:tcPr>
          <w:p w:rsidR="00573AD5" w:rsidRPr="0076579A" w:rsidRDefault="00573AD5" w:rsidP="00573AD5">
            <w:pPr>
              <w:spacing w:before="60" w:after="60"/>
              <w:ind w:right="-2"/>
              <w:jc w:val="both"/>
              <w:rPr>
                <w:rFonts w:cs="Arial"/>
                <w:sz w:val="20"/>
                <w:szCs w:val="20"/>
                <w:lang w:val="ro-RO"/>
              </w:rPr>
            </w:pPr>
            <w:r w:rsidRPr="0076579A">
              <w:rPr>
                <w:rFonts w:cs="Arial"/>
                <w:sz w:val="20"/>
                <w:szCs w:val="20"/>
                <w:lang w:val="ro-RO"/>
              </w:rPr>
              <w:t>București - Arad / Cluj via Brasov</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DS01A</w:t>
            </w:r>
          </w:p>
        </w:tc>
        <w:tc>
          <w:tcPr>
            <w:tcW w:w="3166" w:type="pct"/>
            <w:shd w:val="clear" w:color="auto" w:fill="auto"/>
            <w:vAlign w:val="bottom"/>
          </w:tcPr>
          <w:p w:rsidR="00573AD5" w:rsidRDefault="00573AD5" w:rsidP="00573AD5">
            <w:pPr>
              <w:spacing w:before="60" w:after="60"/>
              <w:ind w:left="12" w:hanging="12"/>
              <w:jc w:val="both"/>
              <w:rPr>
                <w:rFonts w:cs="Arial"/>
                <w:b/>
                <w:sz w:val="20"/>
                <w:szCs w:val="20"/>
                <w:lang w:val="ro-RO"/>
              </w:rPr>
            </w:pPr>
            <w:r>
              <w:rPr>
                <w:rFonts w:cs="Arial"/>
                <w:sz w:val="20"/>
                <w:szCs w:val="20"/>
                <w:lang w:val="ro-RO"/>
              </w:rPr>
              <w:t xml:space="preserve">Refacerea </w:t>
            </w:r>
            <w:r w:rsidRPr="0076579A">
              <w:rPr>
                <w:rFonts w:cs="Arial"/>
                <w:sz w:val="20"/>
                <w:szCs w:val="20"/>
                <w:lang w:val="ro-RO"/>
              </w:rPr>
              <w:t>Coridorul</w:t>
            </w:r>
            <w:r>
              <w:rPr>
                <w:rFonts w:cs="Arial"/>
                <w:sz w:val="20"/>
                <w:szCs w:val="20"/>
                <w:lang w:val="ro-RO"/>
              </w:rPr>
              <w:t>ui</w:t>
            </w:r>
            <w:r w:rsidRPr="0076579A">
              <w:rPr>
                <w:rFonts w:cs="Arial"/>
                <w:sz w:val="20"/>
                <w:szCs w:val="20"/>
                <w:lang w:val="ro-RO"/>
              </w:rPr>
              <w:t xml:space="preserve"> TEN-T </w:t>
            </w:r>
            <w:r>
              <w:rPr>
                <w:rFonts w:cs="Arial"/>
                <w:sz w:val="20"/>
                <w:szCs w:val="20"/>
                <w:lang w:val="ro-RO"/>
              </w:rPr>
              <w:t xml:space="preserve">Core </w:t>
            </w:r>
            <w:r w:rsidRPr="0076579A">
              <w:rPr>
                <w:rFonts w:cs="Arial"/>
                <w:sz w:val="20"/>
                <w:szCs w:val="20"/>
                <w:lang w:val="ro-RO"/>
              </w:rPr>
              <w:t>IV-N și legătura cu Cluj-Napoca la viteza proiectată. Pachetul de măsuri include reabilitarea căii ferate pentru atingerea vitezei proiectate, îmbunătățiri în ceea ce privește electroalimentarea și echipamentul de semnalizare</w:t>
            </w:r>
            <w:r>
              <w:rPr>
                <w:rFonts w:cs="Arial"/>
                <w:sz w:val="20"/>
                <w:szCs w:val="20"/>
                <w:lang w:val="ro-RO"/>
              </w:rPr>
              <w:t xml:space="preserve"> (ERTMS 2),</w:t>
            </w:r>
            <w:r w:rsidRPr="0076579A">
              <w:rPr>
                <w:rFonts w:cs="Arial"/>
                <w:sz w:val="20"/>
                <w:szCs w:val="20"/>
                <w:lang w:val="ro-RO"/>
              </w:rPr>
              <w:t>material rulant nou și îmbunătățirea facilităților din stații în nodurile principale (de exemplu, București Nord, Ploiești, Brașov, Sighișoara, Mediaș, Blaj, Teiuș, Alba Iulia, Deva, Arad, Războieni, Câmpia Turzii și Cluj Napoca).</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795km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2tr/h la Brașov,, 0,5 tr/h până la Arad și 0,5 tr/h până la Cluj--Napoca.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noi:</w:t>
            </w:r>
            <w:r w:rsidRPr="007D2D9D">
              <w:rPr>
                <w:rFonts w:cs="Arial"/>
                <w:sz w:val="20"/>
                <w:szCs w:val="20"/>
                <w:lang w:val="ro-RO"/>
              </w:rPr>
              <w:t>22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D2D9D" w:rsidRDefault="00573AD5" w:rsidP="00573AD5">
            <w:pPr>
              <w:spacing w:before="60" w:after="60"/>
              <w:ind w:left="12" w:hanging="12"/>
              <w:jc w:val="both"/>
              <w:rPr>
                <w:rFonts w:cs="Arial"/>
                <w:b/>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shd w:val="clear" w:color="auto" w:fill="auto"/>
            <w:vAlign w:val="center"/>
          </w:tcPr>
          <w:p w:rsidR="00573AD5" w:rsidRPr="0076579A" w:rsidRDefault="00573AD5" w:rsidP="00573AD5">
            <w:pPr>
              <w:spacing w:before="60" w:after="60"/>
              <w:ind w:left="720" w:hanging="720"/>
              <w:jc w:val="both"/>
              <w:rPr>
                <w:rFonts w:cs="Arial"/>
                <w:sz w:val="20"/>
                <w:szCs w:val="20"/>
                <w:lang w:val="ro-RO"/>
              </w:rPr>
            </w:pPr>
          </w:p>
        </w:tc>
        <w:tc>
          <w:tcPr>
            <w:tcW w:w="666" w:type="pct"/>
            <w:shd w:val="clear" w:color="auto" w:fill="auto"/>
            <w:vAlign w:val="center"/>
          </w:tcPr>
          <w:p w:rsidR="00573AD5" w:rsidRDefault="00573AD5" w:rsidP="00573AD5">
            <w:pPr>
              <w:spacing w:before="60" w:after="60"/>
              <w:ind w:left="720" w:hanging="720"/>
              <w:jc w:val="center"/>
              <w:rPr>
                <w:rFonts w:cs="Arial"/>
                <w:sz w:val="20"/>
                <w:szCs w:val="20"/>
                <w:lang w:val="ro-RO"/>
              </w:rPr>
            </w:pPr>
          </w:p>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DS01B</w:t>
            </w:r>
          </w:p>
        </w:tc>
        <w:tc>
          <w:tcPr>
            <w:tcW w:w="3166" w:type="pct"/>
            <w:shd w:val="clear" w:color="auto" w:fill="auto"/>
            <w:vAlign w:val="bottom"/>
          </w:tcPr>
          <w:p w:rsidR="00573AD5" w:rsidRPr="0076579A"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Coridorul TEN-T </w:t>
            </w:r>
            <w:r>
              <w:rPr>
                <w:rFonts w:cs="Arial"/>
                <w:sz w:val="20"/>
                <w:szCs w:val="20"/>
                <w:lang w:val="ro-RO"/>
              </w:rPr>
              <w:t xml:space="preserve">Core </w:t>
            </w:r>
            <w:r w:rsidRPr="0076579A">
              <w:rPr>
                <w:rFonts w:cs="Arial"/>
                <w:sz w:val="20"/>
                <w:szCs w:val="20"/>
                <w:lang w:val="ro-RO"/>
              </w:rPr>
              <w:t>IV-N și legătura cu Cluj-Napoca la viteză îmbunătățită. Alte intervenții conform propunerilor de mai sus.</w:t>
            </w: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right="-2"/>
              <w:rPr>
                <w:rFonts w:cs="Arial"/>
                <w:sz w:val="20"/>
                <w:szCs w:val="20"/>
                <w:lang w:val="ro-RO"/>
              </w:rPr>
            </w:pPr>
            <w:r w:rsidRPr="0076579A">
              <w:rPr>
                <w:rFonts w:cs="Arial"/>
                <w:sz w:val="20"/>
                <w:szCs w:val="20"/>
                <w:lang w:val="ro-RO"/>
              </w:rPr>
              <w:t>București – Constanța</w:t>
            </w:r>
          </w:p>
        </w:tc>
        <w:tc>
          <w:tcPr>
            <w:tcW w:w="666" w:type="pct"/>
            <w:shd w:val="clear" w:color="auto" w:fill="auto"/>
            <w:vAlign w:val="center"/>
          </w:tcPr>
          <w:p w:rsidR="00573AD5" w:rsidRPr="0076579A" w:rsidRDefault="00573AD5" w:rsidP="00573AD5">
            <w:pPr>
              <w:spacing w:before="60" w:after="60"/>
              <w:rPr>
                <w:rFonts w:cs="Arial"/>
                <w:sz w:val="20"/>
                <w:szCs w:val="20"/>
                <w:lang w:val="ro-RO"/>
              </w:rPr>
            </w:pPr>
            <w:r>
              <w:rPr>
                <w:rFonts w:cs="Arial"/>
                <w:sz w:val="20"/>
                <w:szCs w:val="20"/>
                <w:lang w:val="ro-RO"/>
              </w:rPr>
              <w:t>DS02A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p>
          <w:p w:rsidR="00573AD5" w:rsidRDefault="00573AD5" w:rsidP="00573AD5">
            <w:pPr>
              <w:spacing w:before="60" w:after="60"/>
              <w:ind w:left="12" w:hanging="12"/>
              <w:jc w:val="both"/>
              <w:rPr>
                <w:rFonts w:cs="Arial"/>
                <w:sz w:val="20"/>
                <w:szCs w:val="20"/>
                <w:lang w:val="ro-RO"/>
              </w:rPr>
            </w:pPr>
            <w:r>
              <w:rPr>
                <w:rFonts w:cs="Arial"/>
                <w:sz w:val="20"/>
                <w:szCs w:val="20"/>
                <w:lang w:val="ro-RO"/>
              </w:rPr>
              <w:t>Ruta București – Constanța:</w:t>
            </w:r>
            <w:r w:rsidRPr="0076579A">
              <w:rPr>
                <w:rFonts w:cs="Arial"/>
                <w:sz w:val="20"/>
                <w:szCs w:val="20"/>
                <w:lang w:val="ro-RO"/>
              </w:rPr>
              <w:t xml:space="preserve"> material rulant nou și îmbunătățirea facilităților din stații în nodurile principale (Fundulea, Lehliu-Gară, Ciulnița, Fetești, Cernavodă Pod, Medgidia, Constanța).</w:t>
            </w:r>
            <w:r>
              <w:rPr>
                <w:rFonts w:cs="Arial"/>
                <w:sz w:val="20"/>
                <w:szCs w:val="20"/>
                <w:lang w:val="ro-RO"/>
              </w:rPr>
              <w:t xml:space="preserve"> În urma intervențiilor va crește gradul de eficiență a utilizării infrastructurii nou reabilitate. După finalizarea lucrărilor de reabilitare a podurilor și stațiilor aflate în desfășurare s-ar putea impune câteva îmbunătățiri suplimentare.</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0 km (cu excepția podurilor și stațiilor)</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1tr/h până la Constanța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Pr>
                <w:rFonts w:cs="Arial"/>
                <w:sz w:val="20"/>
                <w:szCs w:val="20"/>
                <w:lang w:val="ro-RO"/>
              </w:rPr>
              <w:t>4</w:t>
            </w:r>
            <w:r w:rsidRPr="007D2D9D">
              <w:rPr>
                <w:rFonts w:cs="Arial"/>
                <w:sz w:val="20"/>
                <w:szCs w:val="20"/>
                <w:lang w:val="ro-RO"/>
              </w:rPr>
              <w:t xml:space="preserve">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val="restart"/>
            <w:shd w:val="clear" w:color="auto" w:fill="auto"/>
            <w:vAlign w:val="center"/>
          </w:tcPr>
          <w:p w:rsidR="00573AD5" w:rsidRPr="0076579A" w:rsidRDefault="00573AD5" w:rsidP="00573AD5">
            <w:pPr>
              <w:spacing w:before="60" w:after="60"/>
              <w:ind w:right="-2"/>
              <w:rPr>
                <w:rFonts w:cs="Arial"/>
                <w:sz w:val="20"/>
                <w:szCs w:val="20"/>
                <w:lang w:val="ro-RO"/>
              </w:rPr>
            </w:pPr>
            <w:r w:rsidRPr="0076579A">
              <w:rPr>
                <w:rFonts w:cs="Arial"/>
                <w:sz w:val="20"/>
                <w:szCs w:val="20"/>
                <w:lang w:val="ro-RO"/>
              </w:rPr>
              <w:t>București - Arad via Craiova</w:t>
            </w:r>
          </w:p>
        </w:tc>
        <w:tc>
          <w:tcPr>
            <w:tcW w:w="666" w:type="pct"/>
            <w:shd w:val="clear" w:color="auto" w:fill="auto"/>
            <w:vAlign w:val="center"/>
          </w:tcPr>
          <w:p w:rsidR="00573AD5" w:rsidRDefault="00573AD5" w:rsidP="00573AD5">
            <w:pPr>
              <w:spacing w:before="60" w:after="60"/>
              <w:ind w:left="720" w:hanging="720"/>
              <w:jc w:val="center"/>
              <w:rPr>
                <w:rFonts w:cs="Arial"/>
                <w:sz w:val="20"/>
                <w:szCs w:val="20"/>
                <w:lang w:val="ro-RO"/>
              </w:rPr>
            </w:pPr>
          </w:p>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DS03A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Pr>
                <w:rFonts w:cs="Arial"/>
                <w:sz w:val="20"/>
                <w:szCs w:val="20"/>
                <w:lang w:val="ro-RO"/>
              </w:rPr>
              <w:t xml:space="preserve">Refacerea rutei București - Arad via Craiova: circulație </w:t>
            </w:r>
            <w:r w:rsidRPr="0076579A">
              <w:rPr>
                <w:rFonts w:cs="Arial"/>
                <w:sz w:val="20"/>
                <w:szCs w:val="20"/>
                <w:lang w:val="ro-RO"/>
              </w:rPr>
              <w:t>la viteza proiectată. Îmbunătățiri în ceea ce privește electroalimentarea și introducerea sistemului de frânare regenerativă, îmbunătățirea echipamentului de semnalizare</w:t>
            </w:r>
            <w:r>
              <w:rPr>
                <w:rFonts w:cs="Arial"/>
                <w:sz w:val="20"/>
                <w:szCs w:val="20"/>
                <w:lang w:val="ro-RO"/>
              </w:rPr>
              <w:t xml:space="preserve"> (ERTMS-2)</w:t>
            </w:r>
            <w:r w:rsidRPr="0076579A">
              <w:rPr>
                <w:rFonts w:cs="Arial"/>
                <w:sz w:val="20"/>
                <w:szCs w:val="20"/>
                <w:lang w:val="ro-RO"/>
              </w:rPr>
              <w:t>, material rulant nou și îmbunătățirea facilităților din stații în nodurile principale (de exemplu, București Nord, Videle, Roșiori de Vede, Caracal, Craiova, Filiași, Strehaia, Drobeta, Băile Herculane, Caransebeș, Lugoj, Timișoara și Arad).</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875km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2tr/h la Craiova, 0,5 tr/h până la Arad și 0,5 tr/h până la Deva.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Pr>
                <w:rFonts w:cs="Arial"/>
                <w:sz w:val="20"/>
                <w:szCs w:val="20"/>
                <w:lang w:val="ro-RO"/>
              </w:rPr>
              <w:t>19</w:t>
            </w:r>
            <w:r w:rsidRPr="007D2D9D">
              <w:rPr>
                <w:rFonts w:cs="Arial"/>
                <w:sz w:val="20"/>
                <w:szCs w:val="20"/>
                <w:lang w:val="ro-RO"/>
              </w:rPr>
              <w:t xml:space="preserve">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highlight w:val="yellow"/>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shd w:val="clear" w:color="auto" w:fill="auto"/>
            <w:vAlign w:val="center"/>
          </w:tcPr>
          <w:p w:rsidR="00573AD5" w:rsidRPr="0076579A" w:rsidRDefault="00573AD5" w:rsidP="00573AD5">
            <w:pPr>
              <w:spacing w:before="60" w:after="60"/>
              <w:ind w:right="-2"/>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DS03B</w:t>
            </w:r>
          </w:p>
        </w:tc>
        <w:tc>
          <w:tcPr>
            <w:tcW w:w="3166" w:type="pct"/>
            <w:shd w:val="clear" w:color="auto" w:fill="auto"/>
            <w:vAlign w:val="bottom"/>
          </w:tcPr>
          <w:p w:rsidR="00573AD5" w:rsidRPr="0076579A" w:rsidRDefault="00573AD5" w:rsidP="00573AD5">
            <w:pPr>
              <w:spacing w:before="60" w:after="60"/>
              <w:ind w:left="12" w:hanging="12"/>
              <w:jc w:val="both"/>
              <w:rPr>
                <w:rFonts w:cs="Arial"/>
                <w:sz w:val="20"/>
                <w:szCs w:val="20"/>
                <w:lang w:val="ro-RO"/>
              </w:rPr>
            </w:pPr>
            <w:r w:rsidRPr="0076579A">
              <w:rPr>
                <w:rFonts w:cs="Arial"/>
                <w:sz w:val="20"/>
                <w:szCs w:val="20"/>
                <w:lang w:val="ro-RO"/>
              </w:rPr>
              <w:t>Ruta București - Arad via Craiova la viteză îmbunătățită. Alte intervenții conform propunerilor de mai sus.</w:t>
            </w: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right="-2"/>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Pr>
                <w:rFonts w:cs="Arial"/>
                <w:sz w:val="20"/>
                <w:szCs w:val="20"/>
                <w:lang w:val="ro-RO"/>
              </w:rPr>
              <w:t>DS03C</w:t>
            </w:r>
          </w:p>
        </w:tc>
        <w:tc>
          <w:tcPr>
            <w:tcW w:w="3166" w:type="pct"/>
            <w:shd w:val="clear" w:color="auto" w:fill="auto"/>
            <w:vAlign w:val="bottom"/>
          </w:tcPr>
          <w:p w:rsidR="00573AD5" w:rsidRPr="0076579A" w:rsidRDefault="00573AD5" w:rsidP="00573AD5">
            <w:pPr>
              <w:spacing w:before="60" w:after="60"/>
              <w:ind w:left="12" w:hanging="12"/>
              <w:jc w:val="both"/>
              <w:rPr>
                <w:rFonts w:cs="Arial"/>
                <w:sz w:val="20"/>
                <w:szCs w:val="20"/>
                <w:lang w:val="ro-RO"/>
              </w:rPr>
            </w:pPr>
            <w:r>
              <w:rPr>
                <w:rFonts w:cs="Arial"/>
                <w:sz w:val="20"/>
                <w:szCs w:val="20"/>
                <w:lang w:val="ro-RO"/>
              </w:rPr>
              <w:t>Refacerea liniei București – Arad via Craiova și Filiași – Deva la viteza proiectată. Alte intervenții conform propunerilor de mai sus.</w:t>
            </w: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right="-2"/>
              <w:rPr>
                <w:rFonts w:cs="Arial"/>
                <w:sz w:val="20"/>
                <w:szCs w:val="20"/>
                <w:lang w:val="ro-RO"/>
              </w:rPr>
            </w:pPr>
            <w:r w:rsidRPr="0076579A">
              <w:rPr>
                <w:rFonts w:cs="Arial"/>
                <w:sz w:val="20"/>
                <w:szCs w:val="20"/>
                <w:lang w:val="ro-RO"/>
              </w:rPr>
              <w:lastRenderedPageBreak/>
              <w:t>București – Galați / Iași / Suceava</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DS04A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Coridorul TEN-T</w:t>
            </w:r>
            <w:r>
              <w:rPr>
                <w:rFonts w:cs="Arial"/>
                <w:sz w:val="20"/>
                <w:szCs w:val="20"/>
                <w:lang w:val="ro-RO"/>
              </w:rPr>
              <w:t xml:space="preserve"> Core</w:t>
            </w:r>
            <w:r w:rsidRPr="0076579A">
              <w:rPr>
                <w:rFonts w:cs="Arial"/>
                <w:sz w:val="20"/>
                <w:szCs w:val="20"/>
                <w:lang w:val="ro-RO"/>
              </w:rPr>
              <w:t xml:space="preserve"> IX și legăturile Buzău - Galati și Pașcani - Suceava la viteza proiectată. Îmbunătățiri în ceea ce privește electroalimentarea și introducerea sistemului de frânare regenerativă, îmbunătățirea echipamentului de semnalizare, material rulant nou și îmbunătățirea facilităților din stații în nodurile principale (de exemplu, București Nord, Ploiești, Buzău, Râmnicu, Focșani, Mărășești, Adjud, Bacău, Roman, Pașcani, Dolhasca, Verești, Suceava, Făurei, Brăila, Galați, Pașcani, Târgu Frumos și Iași).</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1.260km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sidRPr="00D2549E">
              <w:rPr>
                <w:rFonts w:cs="Arial"/>
                <w:sz w:val="20"/>
                <w:szCs w:val="20"/>
                <w:lang w:val="ro-RO"/>
              </w:rPr>
              <w:t>0,5tr</w:t>
            </w:r>
            <w:r>
              <w:rPr>
                <w:rFonts w:cs="Arial"/>
                <w:sz w:val="20"/>
                <w:szCs w:val="20"/>
                <w:lang w:val="ro-RO"/>
              </w:rPr>
              <w:t>/h la Suceava,, 0,5 tr/h până la Iași și 0,5 tr/h până la Focșani.</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sidRPr="007D2D9D">
              <w:rPr>
                <w:rFonts w:cs="Arial"/>
                <w:sz w:val="20"/>
                <w:szCs w:val="20"/>
                <w:lang w:val="ro-RO"/>
              </w:rPr>
              <w:t>2</w:t>
            </w:r>
            <w:r>
              <w:rPr>
                <w:rFonts w:cs="Arial"/>
                <w:sz w:val="20"/>
                <w:szCs w:val="20"/>
                <w:lang w:val="ro-RO"/>
              </w:rPr>
              <w:t>5</w:t>
            </w:r>
            <w:r w:rsidRPr="007D2D9D">
              <w:rPr>
                <w:rFonts w:cs="Arial"/>
                <w:sz w:val="20"/>
                <w:szCs w:val="20"/>
                <w:lang w:val="ro-RO"/>
              </w:rPr>
              <w:t xml:space="preserve">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val="restart"/>
            <w:shd w:val="clear" w:color="auto" w:fill="auto"/>
            <w:vAlign w:val="center"/>
          </w:tcPr>
          <w:p w:rsidR="00573AD5" w:rsidRPr="0076579A" w:rsidRDefault="00573AD5" w:rsidP="00573AD5">
            <w:pPr>
              <w:spacing w:before="60" w:after="60"/>
              <w:ind w:right="-2"/>
              <w:rPr>
                <w:rFonts w:cs="Arial"/>
                <w:sz w:val="20"/>
                <w:szCs w:val="20"/>
                <w:lang w:val="ro-RO"/>
              </w:rPr>
            </w:pPr>
            <w:r w:rsidRPr="0076579A">
              <w:rPr>
                <w:rFonts w:cs="Arial"/>
                <w:sz w:val="20"/>
                <w:szCs w:val="20"/>
                <w:lang w:val="ro-RO"/>
              </w:rPr>
              <w:t>București - Sibiu via Râmnicu Vâlcea</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DS05A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Ruta București – Pitești la viteza proiectată și o nouă legătură Videle - Râmnicu Vâlcea. Pachetul de măsuri include îmbunătățirea echipamentelor de semnalizare, material rulant nou și îmbunătățirea facilităților din stații în nodurile principale (de exemplu, București Nord, Titu, Găești, Pitești). </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320km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sidRPr="009E2DE6">
              <w:rPr>
                <w:rFonts w:cs="Arial"/>
                <w:sz w:val="20"/>
                <w:szCs w:val="20"/>
                <w:lang w:val="ro-RO"/>
              </w:rPr>
              <w:t>1t</w:t>
            </w:r>
            <w:r>
              <w:rPr>
                <w:rFonts w:cs="Arial"/>
                <w:sz w:val="20"/>
                <w:szCs w:val="20"/>
                <w:lang w:val="ro-RO"/>
              </w:rPr>
              <w:t>r/h Pitești, 0,5 tr/h până la Craiova și 0,5 tr/h până la Sibiu.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Pr>
                <w:rFonts w:cs="Arial"/>
                <w:sz w:val="20"/>
                <w:szCs w:val="20"/>
                <w:lang w:val="ro-RO"/>
              </w:rPr>
              <w:t>7 D</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shd w:val="clear" w:color="auto" w:fill="auto"/>
            <w:vAlign w:val="center"/>
          </w:tcPr>
          <w:p w:rsidR="00573AD5" w:rsidRPr="0076579A" w:rsidRDefault="00573AD5" w:rsidP="00573AD5">
            <w:pPr>
              <w:spacing w:before="60" w:after="60"/>
              <w:ind w:right="-2"/>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DS05B</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Ruta București – Pitești la viteza proiectată, o nouă legătură Videle - Râmnicu Vâlcea și electrificarea liniei. Alte intervenții conform propunerilor de mai sus și  as per the proposals above, plus îmbunătățirea echipamentului de semnalizare și frânare regenerativă.</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320km</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Frecvența serviciilor: </w:t>
            </w:r>
            <w:r w:rsidRPr="009E2DE6">
              <w:rPr>
                <w:rFonts w:cs="Arial"/>
                <w:sz w:val="20"/>
                <w:szCs w:val="20"/>
                <w:lang w:val="ro-RO"/>
              </w:rPr>
              <w:t>1t</w:t>
            </w:r>
            <w:r>
              <w:rPr>
                <w:rFonts w:cs="Arial"/>
                <w:sz w:val="20"/>
                <w:szCs w:val="20"/>
                <w:lang w:val="ro-RO"/>
              </w:rPr>
              <w:t>r/h Pitești, 0,5 tr/h până la Craiova și 0,5 tr/h până la Sibiu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Pr>
                <w:rFonts w:cs="Arial"/>
                <w:sz w:val="20"/>
                <w:szCs w:val="20"/>
                <w:lang w:val="ro-RO"/>
              </w:rPr>
              <w:t xml:space="preserve">7 </w:t>
            </w:r>
            <w:r w:rsidRPr="007D2D9D">
              <w:rPr>
                <w:rFonts w:cs="Arial"/>
                <w:sz w:val="20"/>
                <w:szCs w:val="20"/>
                <w:lang w:val="ro-RO"/>
              </w:rPr>
              <w:t>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Da</w:t>
            </w:r>
          </w:p>
          <w:p w:rsidR="00573AD5" w:rsidRPr="0076579A"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right="-2"/>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Pr>
                <w:rFonts w:cs="Arial"/>
                <w:sz w:val="20"/>
                <w:szCs w:val="20"/>
                <w:lang w:val="ro-RO"/>
              </w:rPr>
              <w:t>DS05C</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Pr>
                <w:rFonts w:cs="Arial"/>
                <w:sz w:val="20"/>
                <w:szCs w:val="20"/>
                <w:lang w:val="ro-RO"/>
              </w:rPr>
              <w:t>Restaurarea liniei Bucureși-Pitești și Pitești – Craiova la viteza proiectată, o nouă legătură între Vilcele și Râmnicu Vâlcea, plus electrificarea liniei. Alte intervenții potrivit propuneriloe de mai ssu, plus îmbunătățirea sistemelor de semnalizare și introducerea sistemului de frânare regenerativă.</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Rețeaua care urmează a fi reabilitatăȘ 470km</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Număr de unități noi: 11 EMU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Electrificare: Da</w:t>
            </w:r>
          </w:p>
        </w:tc>
      </w:tr>
      <w:tr w:rsidR="00573AD5" w:rsidRPr="0076579A" w:rsidTr="0030066D">
        <w:trPr>
          <w:cantSplit/>
        </w:trPr>
        <w:tc>
          <w:tcPr>
            <w:tcW w:w="1168" w:type="pct"/>
            <w:vMerge w:val="restart"/>
            <w:shd w:val="clear" w:color="auto" w:fill="auto"/>
            <w:vAlign w:val="center"/>
          </w:tcPr>
          <w:p w:rsidR="00573AD5" w:rsidRPr="0076579A" w:rsidRDefault="00573AD5" w:rsidP="00573AD5">
            <w:pPr>
              <w:spacing w:before="60" w:after="60"/>
              <w:ind w:right="-2"/>
              <w:rPr>
                <w:rFonts w:cs="Arial"/>
                <w:sz w:val="20"/>
                <w:szCs w:val="20"/>
                <w:lang w:val="ro-RO"/>
              </w:rPr>
            </w:pPr>
            <w:r w:rsidRPr="0076579A">
              <w:rPr>
                <w:rFonts w:cs="Arial"/>
                <w:sz w:val="20"/>
                <w:szCs w:val="20"/>
                <w:lang w:val="ro-RO"/>
              </w:rPr>
              <w:lastRenderedPageBreak/>
              <w:t>Cluj Napoca – Iași</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highlight w:val="yellow"/>
                <w:lang w:val="ro-RO"/>
              </w:rPr>
            </w:pPr>
            <w:r w:rsidRPr="0076579A">
              <w:rPr>
                <w:rFonts w:cs="Arial"/>
                <w:sz w:val="20"/>
                <w:szCs w:val="20"/>
                <w:lang w:val="ro-RO"/>
              </w:rPr>
              <w:t>DS06A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Ruta Cluj-Napoca – Iași la viteza proiectată. Alte intervenții printre care îmbunătățiri în ceea ce privește electroalimentarea și introducerea frânării regenerative, îmbunătățirea echipamentelor de semnalizare, material rulant nou și îmbunătățirea facilităților din stații în nodurile principale (de exemplu, Cluj Napoca, Gherla, Dej Călători, Beclean pe Someș, Salva, Ilva Mică, Vatra Dornei, Câmpulung Moldovenesc, Suceava, Verești, Dolhasca, Pașcani, Târgu Frumos, Iași).</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740 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0.5 tr/h de la Cluj-Napoca la Iași</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Pr>
                <w:rFonts w:cs="Arial"/>
                <w:sz w:val="20"/>
                <w:szCs w:val="20"/>
                <w:lang w:val="ro-RO"/>
              </w:rPr>
              <w:t>7</w:t>
            </w:r>
            <w:r w:rsidRPr="007D2D9D">
              <w:rPr>
                <w:rFonts w:cs="Arial"/>
                <w:sz w:val="20"/>
                <w:szCs w:val="20"/>
                <w:lang w:val="ro-RO"/>
              </w:rPr>
              <w:t xml:space="preserve">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shd w:val="clear" w:color="auto" w:fill="auto"/>
            <w:vAlign w:val="center"/>
          </w:tcPr>
          <w:p w:rsidR="00573AD5" w:rsidRPr="0076579A" w:rsidRDefault="00573AD5" w:rsidP="00573AD5">
            <w:pPr>
              <w:spacing w:before="60" w:after="60"/>
              <w:ind w:right="-2"/>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DS06B</w:t>
            </w:r>
          </w:p>
        </w:tc>
        <w:tc>
          <w:tcPr>
            <w:tcW w:w="3166" w:type="pct"/>
            <w:shd w:val="clear" w:color="auto" w:fill="auto"/>
            <w:vAlign w:val="bottom"/>
          </w:tcPr>
          <w:p w:rsidR="00573AD5" w:rsidRPr="0076579A" w:rsidRDefault="00573AD5" w:rsidP="00573AD5">
            <w:pPr>
              <w:spacing w:before="60" w:after="60"/>
              <w:ind w:left="12" w:hanging="12"/>
              <w:jc w:val="both"/>
              <w:rPr>
                <w:rFonts w:cs="Arial"/>
                <w:sz w:val="20"/>
                <w:szCs w:val="20"/>
                <w:lang w:val="ro-RO"/>
              </w:rPr>
            </w:pPr>
            <w:r w:rsidRPr="0076579A">
              <w:rPr>
                <w:rFonts w:cs="Arial"/>
                <w:sz w:val="20"/>
                <w:szCs w:val="20"/>
                <w:lang w:val="ro-RO"/>
              </w:rPr>
              <w:t>Ruta Cluj-Napoca – Iași la viteză îmbunătățită. Alte intervenții conform propunerilor de mai sus.</w:t>
            </w:r>
          </w:p>
        </w:tc>
      </w:tr>
      <w:tr w:rsidR="00573AD5" w:rsidRPr="0076579A" w:rsidTr="0030066D">
        <w:trPr>
          <w:cantSplit/>
        </w:trPr>
        <w:tc>
          <w:tcPr>
            <w:tcW w:w="1168" w:type="pct"/>
            <w:vMerge w:val="restart"/>
            <w:shd w:val="clear" w:color="auto" w:fill="auto"/>
            <w:vAlign w:val="center"/>
          </w:tcPr>
          <w:p w:rsidR="00573AD5" w:rsidRPr="0076579A" w:rsidRDefault="00573AD5" w:rsidP="00573AD5">
            <w:pPr>
              <w:spacing w:before="60" w:after="60"/>
              <w:ind w:right="-2"/>
              <w:rPr>
                <w:rFonts w:cs="Arial"/>
                <w:sz w:val="20"/>
                <w:szCs w:val="20"/>
                <w:lang w:val="ro-RO"/>
              </w:rPr>
            </w:pPr>
            <w:r w:rsidRPr="0076579A">
              <w:rPr>
                <w:rFonts w:cs="Arial"/>
                <w:sz w:val="20"/>
                <w:szCs w:val="20"/>
                <w:lang w:val="ro-RO"/>
              </w:rPr>
              <w:t>Cluj - Oradea</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DS07A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Ruta Cluj-Napoca - Oradea la viteza proiectată. Alte intervenții printre care îmbunătățiri în ceea ce privește electroalimentarea și introducerea frânării regenerative, îmbunătățirea echipamentelor de semnalizare, material rulant nou și îmbunătățirea facilităților din stații în nodurile principale (de exemplu, Cluj Napoca, Huedin și Oradea). </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270km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1tr/h de la Cluj-Napoca la Oradea.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solicitate:</w:t>
            </w:r>
            <w:r>
              <w:rPr>
                <w:rFonts w:cs="Arial"/>
                <w:sz w:val="20"/>
                <w:szCs w:val="20"/>
                <w:lang w:val="ro-RO"/>
              </w:rPr>
              <w:t>4</w:t>
            </w:r>
            <w:r w:rsidRPr="007D2D9D">
              <w:rPr>
                <w:rFonts w:cs="Arial"/>
                <w:sz w:val="20"/>
                <w:szCs w:val="20"/>
                <w:lang w:val="ro-RO"/>
              </w:rPr>
              <w:t xml:space="preserve"> </w:t>
            </w:r>
            <w:r>
              <w:rPr>
                <w:rFonts w:cs="Arial"/>
                <w:sz w:val="20"/>
                <w:szCs w:val="20"/>
                <w:lang w:val="ro-RO"/>
              </w:rPr>
              <w:t>D</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vMerge/>
            <w:shd w:val="clear" w:color="auto" w:fill="auto"/>
            <w:vAlign w:val="center"/>
          </w:tcPr>
          <w:p w:rsidR="00573AD5" w:rsidRPr="0076579A" w:rsidRDefault="00573AD5" w:rsidP="00573AD5">
            <w:pPr>
              <w:spacing w:before="60" w:after="60"/>
              <w:ind w:left="720" w:hanging="720"/>
              <w:jc w:val="both"/>
              <w:rPr>
                <w:rFonts w:cs="Arial"/>
                <w:sz w:val="20"/>
                <w:szCs w:val="20"/>
                <w:highlight w:val="yellow"/>
                <w:lang w:val="ro-RO"/>
              </w:rPr>
            </w:pPr>
          </w:p>
        </w:tc>
        <w:tc>
          <w:tcPr>
            <w:tcW w:w="666" w:type="pct"/>
            <w:shd w:val="clear" w:color="auto" w:fill="auto"/>
            <w:vAlign w:val="center"/>
          </w:tcPr>
          <w:p w:rsidR="00573AD5" w:rsidRDefault="00573AD5" w:rsidP="00573AD5">
            <w:pPr>
              <w:spacing w:before="60" w:after="60"/>
              <w:rPr>
                <w:rFonts w:cs="Arial"/>
                <w:sz w:val="20"/>
                <w:szCs w:val="20"/>
                <w:lang w:val="ro-RO"/>
              </w:rPr>
            </w:pPr>
            <w:r w:rsidRPr="0076579A">
              <w:rPr>
                <w:rFonts w:cs="Arial"/>
                <w:sz w:val="20"/>
                <w:szCs w:val="20"/>
                <w:lang w:val="ro-RO"/>
              </w:rPr>
              <w:t>DS07B</w:t>
            </w:r>
          </w:p>
          <w:p w:rsidR="00573AD5" w:rsidRDefault="00573AD5" w:rsidP="00573AD5">
            <w:pPr>
              <w:spacing w:before="60" w:after="60"/>
              <w:rPr>
                <w:rFonts w:cs="Arial"/>
                <w:sz w:val="20"/>
                <w:szCs w:val="20"/>
                <w:lang w:val="ro-RO"/>
              </w:rPr>
            </w:pPr>
          </w:p>
          <w:p w:rsidR="00573AD5" w:rsidRDefault="00573AD5" w:rsidP="00573AD5">
            <w:pPr>
              <w:spacing w:before="60" w:after="60"/>
              <w:rPr>
                <w:rFonts w:cs="Arial"/>
                <w:sz w:val="20"/>
                <w:szCs w:val="20"/>
                <w:lang w:val="ro-RO"/>
              </w:rPr>
            </w:pPr>
          </w:p>
          <w:p w:rsidR="00573AD5" w:rsidRDefault="00573AD5" w:rsidP="00573AD5">
            <w:pPr>
              <w:spacing w:before="60" w:after="60"/>
              <w:rPr>
                <w:rFonts w:cs="Arial"/>
                <w:sz w:val="20"/>
                <w:szCs w:val="20"/>
                <w:lang w:val="ro-RO"/>
              </w:rPr>
            </w:pPr>
          </w:p>
          <w:p w:rsidR="00573AD5" w:rsidRDefault="00573AD5" w:rsidP="00573AD5">
            <w:pPr>
              <w:spacing w:before="60" w:after="60"/>
              <w:rPr>
                <w:rFonts w:cs="Arial"/>
                <w:sz w:val="20"/>
                <w:szCs w:val="20"/>
                <w:lang w:val="ro-RO"/>
              </w:rPr>
            </w:pPr>
          </w:p>
          <w:p w:rsidR="00573AD5" w:rsidRDefault="00573AD5" w:rsidP="00573AD5">
            <w:pPr>
              <w:spacing w:before="60" w:after="60"/>
              <w:rPr>
                <w:rFonts w:cs="Arial"/>
                <w:sz w:val="20"/>
                <w:szCs w:val="20"/>
                <w:lang w:val="ro-RO"/>
              </w:rPr>
            </w:pPr>
          </w:p>
          <w:p w:rsidR="00573AD5" w:rsidRPr="0076579A" w:rsidRDefault="00573AD5" w:rsidP="00573AD5">
            <w:pPr>
              <w:spacing w:before="60" w:after="60"/>
              <w:rPr>
                <w:rFonts w:cs="Arial"/>
                <w:sz w:val="20"/>
                <w:szCs w:val="20"/>
                <w:lang w:val="ro-RO"/>
              </w:rPr>
            </w:pP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Ruta Cluj-Napoca - Oradea la viteza proiectată plus electrificarea și dublarea liniei. Alte intervenții conform propunerilor de mai sus.</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270km</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Frecvența serviciilor: </w:t>
            </w:r>
            <w:r>
              <w:rPr>
                <w:rFonts w:cs="Arial"/>
                <w:sz w:val="20"/>
                <w:szCs w:val="20"/>
                <w:lang w:val="ro-RO"/>
              </w:rPr>
              <w:t>1tr/h de la Cluj-Napoca la Oradea.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noi:</w:t>
            </w:r>
            <w:r>
              <w:rPr>
                <w:rFonts w:cs="Arial"/>
                <w:sz w:val="20"/>
                <w:szCs w:val="20"/>
                <w:lang w:val="ro-RO"/>
              </w:rPr>
              <w:t>4</w:t>
            </w:r>
            <w:r w:rsidRPr="007D2D9D">
              <w:rPr>
                <w:rFonts w:cs="Arial"/>
                <w:sz w:val="20"/>
                <w:szCs w:val="20"/>
                <w:lang w:val="ro-RO"/>
              </w:rPr>
              <w:t xml:space="preserve">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sidRPr="009B4AC9">
              <w:rPr>
                <w:rFonts w:cs="Arial"/>
                <w:sz w:val="20"/>
                <w:szCs w:val="20"/>
                <w:lang w:val="ro-RO"/>
              </w:rPr>
              <w:t>Da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Da</w:t>
            </w:r>
          </w:p>
          <w:p w:rsidR="00573AD5"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highlight w:val="yellow"/>
                <w:lang w:val="ro-RO"/>
              </w:rPr>
            </w:pPr>
          </w:p>
        </w:tc>
        <w:tc>
          <w:tcPr>
            <w:tcW w:w="666" w:type="pct"/>
            <w:shd w:val="clear" w:color="auto" w:fill="auto"/>
            <w:vAlign w:val="center"/>
          </w:tcPr>
          <w:p w:rsidR="00573AD5" w:rsidRPr="0076579A" w:rsidRDefault="00573AD5" w:rsidP="00573AD5">
            <w:pPr>
              <w:spacing w:before="60" w:after="60"/>
              <w:rPr>
                <w:rFonts w:cs="Arial"/>
                <w:sz w:val="20"/>
                <w:szCs w:val="20"/>
                <w:lang w:val="ro-RO"/>
              </w:rPr>
            </w:pPr>
            <w:r>
              <w:rPr>
                <w:rFonts w:cs="Arial"/>
                <w:sz w:val="20"/>
                <w:szCs w:val="20"/>
                <w:lang w:val="ro-RO"/>
              </w:rPr>
              <w:t>DS07C</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p>
          <w:p w:rsidR="00573AD5" w:rsidRDefault="00573AD5" w:rsidP="00573AD5">
            <w:pPr>
              <w:spacing w:before="60" w:after="60"/>
              <w:ind w:left="12" w:hanging="12"/>
              <w:jc w:val="both"/>
              <w:rPr>
                <w:rFonts w:cs="Arial"/>
                <w:sz w:val="20"/>
                <w:szCs w:val="20"/>
                <w:lang w:val="ro-RO"/>
              </w:rPr>
            </w:pPr>
            <w:r>
              <w:rPr>
                <w:rFonts w:cs="Arial"/>
                <w:sz w:val="20"/>
                <w:szCs w:val="20"/>
                <w:lang w:val="ro-RO"/>
              </w:rPr>
              <w:t>Linia Cluj-Napoca – Oradea – electrificare.</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Da</w:t>
            </w:r>
          </w:p>
          <w:p w:rsidR="00573AD5" w:rsidRPr="0076579A"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r>
              <w:rPr>
                <w:rFonts w:cs="Arial"/>
                <w:sz w:val="20"/>
                <w:szCs w:val="20"/>
                <w:lang w:val="ro-RO"/>
              </w:rPr>
              <w:t>Stamora Moravița</w:t>
            </w:r>
            <w:r w:rsidRPr="0076579A">
              <w:rPr>
                <w:rFonts w:cs="Arial"/>
                <w:sz w:val="20"/>
                <w:szCs w:val="20"/>
                <w:lang w:val="ro-RO"/>
              </w:rPr>
              <w:t>- Oradea</w:t>
            </w:r>
            <w:r>
              <w:rPr>
                <w:rFonts w:cs="Arial"/>
                <w:sz w:val="20"/>
                <w:szCs w:val="20"/>
                <w:lang w:val="ro-RO"/>
              </w:rPr>
              <w:t xml:space="preserve"> via Timisoara </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DS08A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Ruta Timișoara – Oradea la viteza proiectată. Alte intervenții printre care îmbunătățiri în ceea ce privește electroalimentarea și introducerea frânării regenerative, îmbunătățirea echipamentelor de semnalizare, material rulant nou și îmbunătățirea facilităților din stații în nodurile principale (de exemplu, Timișoara, Arad și Oradea).</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200km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0,5tr/h la Stamora Moravița și Oradea via Timișoara.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necesare:</w:t>
            </w:r>
            <w:r>
              <w:rPr>
                <w:rFonts w:cs="Arial"/>
                <w:sz w:val="20"/>
                <w:szCs w:val="20"/>
                <w:lang w:val="ro-RO"/>
              </w:rPr>
              <w:t>5 D</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Parțial</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shd w:val="clear" w:color="auto" w:fill="auto"/>
            <w:vAlign w:val="center"/>
          </w:tcPr>
          <w:p w:rsidR="00573AD5" w:rsidRDefault="00573AD5" w:rsidP="00573AD5">
            <w:pPr>
              <w:spacing w:before="60" w:after="60"/>
              <w:ind w:left="720" w:hanging="720"/>
              <w:jc w:val="both"/>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Pr>
                <w:rFonts w:cs="Arial"/>
                <w:sz w:val="20"/>
                <w:szCs w:val="20"/>
                <w:lang w:val="ro-RO"/>
              </w:rPr>
              <w:t>DS08B</w:t>
            </w:r>
          </w:p>
        </w:tc>
        <w:tc>
          <w:tcPr>
            <w:tcW w:w="3166" w:type="pct"/>
            <w:shd w:val="clear" w:color="auto" w:fill="auto"/>
            <w:vAlign w:val="bottom"/>
          </w:tcPr>
          <w:p w:rsidR="00573AD5" w:rsidRPr="0076579A" w:rsidRDefault="00573AD5" w:rsidP="00573AD5">
            <w:pPr>
              <w:spacing w:before="60" w:after="60"/>
              <w:ind w:left="12" w:hanging="12"/>
              <w:jc w:val="both"/>
              <w:rPr>
                <w:rFonts w:cs="Arial"/>
                <w:sz w:val="20"/>
                <w:szCs w:val="20"/>
                <w:lang w:val="ro-RO"/>
              </w:rPr>
            </w:pPr>
            <w:r>
              <w:rPr>
                <w:rFonts w:cs="Arial"/>
                <w:sz w:val="20"/>
                <w:szCs w:val="20"/>
                <w:lang w:val="ro-RO"/>
              </w:rPr>
              <w:t>Potrivit propunerii de mais sus inclusiv secțiunea Timișoara-Stamora Moravița</w:t>
            </w: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r w:rsidRPr="0076579A">
              <w:rPr>
                <w:rFonts w:cs="Arial"/>
                <w:sz w:val="20"/>
                <w:szCs w:val="20"/>
                <w:lang w:val="ro-RO"/>
              </w:rPr>
              <w:lastRenderedPageBreak/>
              <w:t>Oradea - Cluj via Baia Mare</w:t>
            </w:r>
            <w:r>
              <w:rPr>
                <w:rFonts w:cs="Arial"/>
                <w:sz w:val="20"/>
                <w:szCs w:val="20"/>
                <w:lang w:val="ro-RO"/>
              </w:rPr>
              <w:t xml:space="preserve"> și Satu Mare</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DS09A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Ruta Oradea - Satu Mare și Satu Mare - Cluj-Napoca la viteza proiectată. Pachete de alte îmbunătățiri care să includă îmbunătățirea echipamentelor de semnalizare, material rulant nou și îmbunătățirea facilităților din stații în nodurile principale (de exemplu, Oradea, Satu Mare, Baia Mare, Dej și Cluj Napoca).</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475km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0,5tr/h între Baia Mare și Oradea via Satu Mare, 0,5 tr/h până la Satu Mare via Cluj-Napoca, via Baia Mare.</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necesare:</w:t>
            </w:r>
            <w:r>
              <w:rPr>
                <w:rFonts w:cs="Arial"/>
                <w:sz w:val="20"/>
                <w:szCs w:val="20"/>
                <w:lang w:val="ro-RO"/>
              </w:rPr>
              <w:t>6</w:t>
            </w:r>
            <w:r w:rsidRPr="007D2D9D">
              <w:rPr>
                <w:rFonts w:cs="Arial"/>
                <w:sz w:val="20"/>
                <w:szCs w:val="20"/>
                <w:lang w:val="ro-RO"/>
              </w:rPr>
              <w:t xml:space="preserve"> </w:t>
            </w:r>
            <w:r>
              <w:rPr>
                <w:rFonts w:cs="Arial"/>
                <w:sz w:val="20"/>
                <w:szCs w:val="20"/>
                <w:lang w:val="ro-RO"/>
              </w:rPr>
              <w:t>D</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r w:rsidRPr="0076579A">
              <w:rPr>
                <w:rFonts w:cs="Arial"/>
                <w:sz w:val="20"/>
                <w:szCs w:val="20"/>
                <w:lang w:val="ro-RO"/>
              </w:rPr>
              <w:t>București - Giurgiu</w:t>
            </w:r>
          </w:p>
        </w:tc>
        <w:tc>
          <w:tcPr>
            <w:tcW w:w="666" w:type="pct"/>
            <w:shd w:val="clear" w:color="auto" w:fill="auto"/>
            <w:vAlign w:val="center"/>
          </w:tcPr>
          <w:p w:rsidR="00573AD5" w:rsidRDefault="00573AD5" w:rsidP="00573AD5">
            <w:pPr>
              <w:spacing w:before="60" w:after="60"/>
              <w:ind w:left="720" w:hanging="720"/>
              <w:jc w:val="center"/>
              <w:rPr>
                <w:rFonts w:cs="Arial"/>
                <w:sz w:val="20"/>
                <w:szCs w:val="20"/>
                <w:lang w:val="ro-RO"/>
              </w:rPr>
            </w:pPr>
            <w:r w:rsidRPr="0076579A">
              <w:rPr>
                <w:rFonts w:cs="Arial"/>
                <w:sz w:val="20"/>
                <w:szCs w:val="20"/>
                <w:lang w:val="ro-RO"/>
              </w:rPr>
              <w:t>DS10A</w:t>
            </w:r>
          </w:p>
          <w:p w:rsidR="00573AD5" w:rsidRDefault="00573AD5" w:rsidP="00573AD5">
            <w:pPr>
              <w:spacing w:before="60" w:after="60"/>
              <w:ind w:left="720" w:hanging="720"/>
              <w:jc w:val="center"/>
              <w:rPr>
                <w:rFonts w:cs="Arial"/>
                <w:sz w:val="20"/>
                <w:szCs w:val="20"/>
                <w:lang w:val="ro-RO"/>
              </w:rPr>
            </w:pPr>
          </w:p>
          <w:p w:rsidR="00573AD5" w:rsidRDefault="00573AD5" w:rsidP="00573AD5">
            <w:pPr>
              <w:spacing w:before="60" w:after="60"/>
              <w:ind w:left="720" w:hanging="720"/>
              <w:jc w:val="center"/>
              <w:rPr>
                <w:rFonts w:cs="Arial"/>
                <w:sz w:val="20"/>
                <w:szCs w:val="20"/>
                <w:lang w:val="ro-RO"/>
              </w:rPr>
            </w:pPr>
          </w:p>
          <w:p w:rsidR="00573AD5" w:rsidRDefault="00573AD5" w:rsidP="00573AD5">
            <w:pPr>
              <w:spacing w:before="60" w:after="60"/>
              <w:ind w:left="720" w:hanging="720"/>
              <w:jc w:val="center"/>
              <w:rPr>
                <w:rFonts w:cs="Arial"/>
                <w:sz w:val="20"/>
                <w:szCs w:val="20"/>
                <w:lang w:val="ro-RO"/>
              </w:rPr>
            </w:pPr>
          </w:p>
          <w:p w:rsidR="00573AD5" w:rsidRDefault="00573AD5" w:rsidP="00573AD5">
            <w:pPr>
              <w:spacing w:before="60" w:after="60"/>
              <w:ind w:left="720" w:hanging="720"/>
              <w:jc w:val="center"/>
              <w:rPr>
                <w:rFonts w:cs="Arial"/>
                <w:sz w:val="20"/>
                <w:szCs w:val="20"/>
                <w:lang w:val="ro-RO"/>
              </w:rPr>
            </w:pPr>
          </w:p>
          <w:p w:rsidR="00573AD5" w:rsidRDefault="00573AD5" w:rsidP="00573AD5">
            <w:pPr>
              <w:spacing w:before="60" w:after="60"/>
              <w:ind w:left="720" w:hanging="720"/>
              <w:jc w:val="center"/>
              <w:rPr>
                <w:rFonts w:cs="Arial"/>
                <w:sz w:val="20"/>
                <w:szCs w:val="20"/>
                <w:lang w:val="ro-RO"/>
              </w:rPr>
            </w:pPr>
          </w:p>
          <w:p w:rsidR="00573AD5" w:rsidRDefault="00573AD5" w:rsidP="00573AD5">
            <w:pPr>
              <w:spacing w:before="60" w:after="60"/>
              <w:ind w:left="720" w:hanging="720"/>
              <w:jc w:val="center"/>
              <w:rPr>
                <w:rFonts w:cs="Arial"/>
                <w:sz w:val="20"/>
                <w:szCs w:val="20"/>
                <w:lang w:val="ro-RO"/>
              </w:rPr>
            </w:pPr>
          </w:p>
          <w:p w:rsidR="00573AD5" w:rsidRDefault="00573AD5" w:rsidP="00573AD5">
            <w:pPr>
              <w:spacing w:before="60" w:after="60"/>
              <w:ind w:left="720" w:hanging="720"/>
              <w:jc w:val="center"/>
              <w:rPr>
                <w:rFonts w:cs="Arial"/>
                <w:sz w:val="20"/>
                <w:szCs w:val="20"/>
                <w:lang w:val="ro-RO"/>
              </w:rPr>
            </w:pP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Ruta București - Giurgiu via Grădistea la viteza proiectată. Pachete de alte îmbunătățiri care să includă îmbunătățirea echipamentelor de semnalizare, material rulant nou și îmbunătățirea facilităților din stații în nodurile principale (de exemplu, București Nord, Videle și Giurgiu). </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95km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0,5tr/h de la București la Giurgiu.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noi:</w:t>
            </w:r>
            <w:r w:rsidRPr="007D2D9D">
              <w:rPr>
                <w:rFonts w:cs="Arial"/>
                <w:sz w:val="20"/>
                <w:szCs w:val="20"/>
                <w:lang w:val="ro-RO"/>
              </w:rPr>
              <w:t xml:space="preserve">2 </w:t>
            </w:r>
            <w:r>
              <w:rPr>
                <w:rFonts w:cs="Arial"/>
                <w:sz w:val="20"/>
                <w:szCs w:val="20"/>
                <w:lang w:val="ro-RO"/>
              </w:rPr>
              <w:t>D</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p w:rsidR="00573AD5" w:rsidRDefault="00573AD5" w:rsidP="00573AD5">
            <w:pPr>
              <w:spacing w:before="60" w:after="60"/>
              <w:ind w:left="12" w:hanging="12"/>
              <w:jc w:val="both"/>
              <w:rPr>
                <w:rFonts w:cs="Arial"/>
                <w:sz w:val="20"/>
                <w:szCs w:val="20"/>
                <w:lang w:val="ro-RO"/>
              </w:rPr>
            </w:pPr>
          </w:p>
          <w:p w:rsidR="00573AD5" w:rsidRPr="0076579A"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p>
        </w:tc>
        <w:tc>
          <w:tcPr>
            <w:tcW w:w="666" w:type="pct"/>
            <w:shd w:val="clear" w:color="auto" w:fill="auto"/>
            <w:vAlign w:val="center"/>
          </w:tcPr>
          <w:p w:rsidR="00573AD5" w:rsidRDefault="00573AD5" w:rsidP="00573AD5">
            <w:pPr>
              <w:spacing w:before="60" w:after="60"/>
              <w:ind w:left="720" w:hanging="720"/>
              <w:jc w:val="center"/>
              <w:rPr>
                <w:rFonts w:cs="Arial"/>
                <w:sz w:val="20"/>
                <w:szCs w:val="20"/>
                <w:lang w:val="ro-RO"/>
              </w:rPr>
            </w:pPr>
            <w:r>
              <w:rPr>
                <w:rFonts w:cs="Arial"/>
                <w:sz w:val="20"/>
                <w:szCs w:val="20"/>
                <w:lang w:val="ro-RO"/>
              </w:rPr>
              <w:t>DS10B</w:t>
            </w:r>
          </w:p>
          <w:p w:rsidR="00573AD5" w:rsidRPr="0076579A" w:rsidRDefault="00573AD5" w:rsidP="00573AD5">
            <w:pPr>
              <w:spacing w:before="60" w:after="60"/>
              <w:ind w:left="720" w:hanging="720"/>
              <w:jc w:val="center"/>
              <w:rPr>
                <w:rFonts w:cs="Arial"/>
                <w:sz w:val="20"/>
                <w:szCs w:val="20"/>
                <w:lang w:val="ro-RO"/>
              </w:rPr>
            </w:pP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Ruta București - Giurgiu via Grădistea la viteza proiectată. Pachete de alte îmbunătățiri care să includă îmbunătățirea echipamentelor de semnalizare, material rulant nou și îmbunătățirea facilităților din stații în nodurile principale (de exemplu, București Nord, Videle și Giurgiu). </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noi:</w:t>
            </w:r>
            <w:r w:rsidRPr="007D2D9D">
              <w:rPr>
                <w:rFonts w:cs="Arial"/>
                <w:sz w:val="20"/>
                <w:szCs w:val="20"/>
                <w:lang w:val="ro-RO"/>
              </w:rPr>
              <w:t>2 EMU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Da</w:t>
            </w:r>
          </w:p>
          <w:p w:rsidR="00573AD5" w:rsidRPr="0076579A"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r w:rsidRPr="0076579A">
              <w:rPr>
                <w:rFonts w:cs="Arial"/>
                <w:sz w:val="20"/>
                <w:szCs w:val="20"/>
                <w:lang w:val="ro-RO"/>
              </w:rPr>
              <w:t>Craiova - Calafat</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DS11A</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Coridorul TEN-T </w:t>
            </w:r>
            <w:r>
              <w:rPr>
                <w:rFonts w:cs="Arial"/>
                <w:sz w:val="20"/>
                <w:szCs w:val="20"/>
                <w:lang w:val="ro-RO"/>
              </w:rPr>
              <w:t xml:space="preserve">Core </w:t>
            </w:r>
            <w:r w:rsidRPr="0076579A">
              <w:rPr>
                <w:rFonts w:cs="Arial"/>
                <w:sz w:val="20"/>
                <w:szCs w:val="20"/>
                <w:lang w:val="ro-RO"/>
              </w:rPr>
              <w:t>IV-N sectorul Craiova - Calafat la viteza proiectată. Pachete de alte îmbunătățiri care să includă îmbunătățirea echipamentelor de semnalizare, material rulant nou și îmbunătățirea facilităților din stații în nodurile principale (de exemplu, Craiova și Calafat).</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115km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0,5tr/h de la Calafat la Craiova.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necesare:</w:t>
            </w:r>
            <w:r>
              <w:rPr>
                <w:rFonts w:cs="Arial"/>
                <w:sz w:val="20"/>
                <w:szCs w:val="20"/>
                <w:lang w:val="ro-RO"/>
              </w:rPr>
              <w:t>3</w:t>
            </w:r>
            <w:r w:rsidRPr="007D2D9D">
              <w:rPr>
                <w:rFonts w:cs="Arial"/>
                <w:sz w:val="20"/>
                <w:szCs w:val="20"/>
                <w:lang w:val="ro-RO"/>
              </w:rPr>
              <w:t xml:space="preserve"> </w:t>
            </w:r>
            <w:r>
              <w:rPr>
                <w:rFonts w:cs="Arial"/>
                <w:sz w:val="20"/>
                <w:szCs w:val="20"/>
                <w:lang w:val="ro-RO"/>
              </w:rPr>
              <w:t>D</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Nu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Pr>
                <w:rFonts w:cs="Arial"/>
                <w:sz w:val="20"/>
                <w:szCs w:val="20"/>
                <w:lang w:val="ro-RO"/>
              </w:rPr>
              <w:t>DS11B</w:t>
            </w:r>
          </w:p>
        </w:tc>
        <w:tc>
          <w:tcPr>
            <w:tcW w:w="3166" w:type="pct"/>
            <w:shd w:val="clear" w:color="auto" w:fill="auto"/>
            <w:vAlign w:val="bottom"/>
          </w:tcPr>
          <w:p w:rsidR="00573AD5" w:rsidRDefault="00573AD5" w:rsidP="00573AD5">
            <w:pPr>
              <w:spacing w:before="60" w:after="60"/>
              <w:ind w:left="12" w:hanging="12"/>
              <w:jc w:val="both"/>
              <w:rPr>
                <w:rFonts w:cs="Arial"/>
                <w:sz w:val="20"/>
                <w:szCs w:val="20"/>
                <w:lang w:val="ro-RO"/>
              </w:rPr>
            </w:pPr>
            <w:r w:rsidRPr="0076579A">
              <w:rPr>
                <w:rFonts w:cs="Arial"/>
                <w:sz w:val="20"/>
                <w:szCs w:val="20"/>
                <w:lang w:val="ro-RO"/>
              </w:rPr>
              <w:t xml:space="preserve">Coridorul TEN-T </w:t>
            </w:r>
            <w:r>
              <w:rPr>
                <w:rFonts w:cs="Arial"/>
                <w:sz w:val="20"/>
                <w:szCs w:val="20"/>
                <w:lang w:val="ro-RO"/>
              </w:rPr>
              <w:t xml:space="preserve">Core </w:t>
            </w:r>
            <w:r w:rsidRPr="0076579A">
              <w:rPr>
                <w:rFonts w:cs="Arial"/>
                <w:sz w:val="20"/>
                <w:szCs w:val="20"/>
                <w:lang w:val="ro-RO"/>
              </w:rPr>
              <w:t>IV-N sectorul Craiova - Calafat la viteza proiectată. Pachete de alte îmbunătățiri care să includă îmbunătățirea echipamentelor de semnalizare, material rulant nou și îmbunătățirea facilităților din stații în nodurile principale (de exemplu, Craiova și Calafat)</w:t>
            </w:r>
          </w:p>
          <w:p w:rsidR="00573AD5" w:rsidRDefault="00573AD5" w:rsidP="00573AD5">
            <w:pPr>
              <w:spacing w:before="60" w:after="60"/>
              <w:ind w:left="12" w:hanging="12"/>
              <w:jc w:val="both"/>
              <w:rPr>
                <w:rFonts w:cs="Arial"/>
                <w:b/>
                <w:sz w:val="20"/>
                <w:szCs w:val="20"/>
                <w:lang w:val="ro-RO"/>
              </w:rPr>
            </w:pPr>
            <w:r>
              <w:rPr>
                <w:rFonts w:cs="Arial"/>
                <w:b/>
                <w:sz w:val="20"/>
                <w:szCs w:val="20"/>
                <w:lang w:val="ro-RO"/>
              </w:rPr>
              <w:t xml:space="preserve">Rețeaua care urmează a fi reabilitată: </w:t>
            </w:r>
            <w:r>
              <w:rPr>
                <w:rFonts w:cs="Arial"/>
                <w:sz w:val="20"/>
                <w:szCs w:val="20"/>
                <w:lang w:val="ro-RO"/>
              </w:rPr>
              <w:t>115km</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Frecvența serviciilor: </w:t>
            </w:r>
            <w:r>
              <w:rPr>
                <w:rFonts w:cs="Arial"/>
                <w:sz w:val="20"/>
                <w:szCs w:val="20"/>
                <w:lang w:val="ro-RO"/>
              </w:rPr>
              <w:t>0,5tr/h de la Calafat la Craiova.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Număr de unități necesare:</w:t>
            </w:r>
            <w:r>
              <w:rPr>
                <w:rFonts w:cs="Arial"/>
                <w:sz w:val="20"/>
                <w:szCs w:val="20"/>
                <w:lang w:val="ro-RO"/>
              </w:rPr>
              <w:t>3</w:t>
            </w:r>
            <w:r w:rsidRPr="007D2D9D">
              <w:rPr>
                <w:rFonts w:cs="Arial"/>
                <w:sz w:val="20"/>
                <w:szCs w:val="20"/>
                <w:lang w:val="ro-RO"/>
              </w:rPr>
              <w:t xml:space="preserve"> </w:t>
            </w:r>
            <w:r>
              <w:rPr>
                <w:rFonts w:cs="Arial"/>
                <w:sz w:val="20"/>
                <w:szCs w:val="20"/>
                <w:lang w:val="ro-RO"/>
              </w:rPr>
              <w:t>E</w:t>
            </w:r>
            <w:r w:rsidRPr="007D2D9D">
              <w:rPr>
                <w:rFonts w:cs="Arial"/>
                <w:sz w:val="20"/>
                <w:szCs w:val="20"/>
                <w:lang w:val="ro-RO"/>
              </w:rPr>
              <w:t>MU</w:t>
            </w:r>
          </w:p>
          <w:p w:rsidR="00573AD5" w:rsidRDefault="00573AD5" w:rsidP="00573AD5">
            <w:pPr>
              <w:spacing w:before="60" w:after="60"/>
              <w:ind w:left="12" w:hanging="12"/>
              <w:jc w:val="both"/>
              <w:rPr>
                <w:rFonts w:cs="Arial"/>
                <w:sz w:val="20"/>
                <w:szCs w:val="20"/>
                <w:lang w:val="ro-RO"/>
              </w:rPr>
            </w:pPr>
            <w:r>
              <w:rPr>
                <w:rFonts w:cs="Arial"/>
                <w:b/>
                <w:sz w:val="20"/>
                <w:szCs w:val="20"/>
                <w:lang w:val="ro-RO"/>
              </w:rPr>
              <w:t xml:space="preserve">Electrificare: </w:t>
            </w:r>
            <w:r>
              <w:rPr>
                <w:rFonts w:cs="Arial"/>
                <w:sz w:val="20"/>
                <w:szCs w:val="20"/>
                <w:lang w:val="ro-RO"/>
              </w:rPr>
              <w:t>Da</w:t>
            </w:r>
          </w:p>
          <w:p w:rsidR="00573AD5" w:rsidRDefault="00573AD5" w:rsidP="00573AD5">
            <w:pPr>
              <w:spacing w:before="60" w:after="60"/>
              <w:ind w:left="12" w:hanging="12"/>
              <w:jc w:val="both"/>
              <w:rPr>
                <w:rFonts w:cs="Arial"/>
                <w:sz w:val="20"/>
                <w:szCs w:val="20"/>
                <w:lang w:val="ro-RO"/>
              </w:rPr>
            </w:pPr>
            <w:r>
              <w:rPr>
                <w:rFonts w:cs="Arial"/>
                <w:b/>
                <w:sz w:val="20"/>
                <w:szCs w:val="20"/>
                <w:lang w:val="ro-RO"/>
              </w:rPr>
              <w:t>Dublarea liniilor:</w:t>
            </w:r>
            <w:r>
              <w:rPr>
                <w:rFonts w:cs="Arial"/>
                <w:sz w:val="20"/>
                <w:szCs w:val="20"/>
                <w:lang w:val="ro-RO"/>
              </w:rPr>
              <w:t xml:space="preserve"> </w:t>
            </w:r>
            <w:r w:rsidRPr="007D2D9D">
              <w:rPr>
                <w:rFonts w:cs="Arial"/>
                <w:sz w:val="20"/>
                <w:szCs w:val="20"/>
                <w:lang w:val="ro-RO"/>
              </w:rPr>
              <w:t>Nu</w:t>
            </w:r>
          </w:p>
          <w:p w:rsidR="00573AD5" w:rsidRPr="0076579A" w:rsidRDefault="00573AD5" w:rsidP="00573AD5">
            <w:pPr>
              <w:spacing w:before="60" w:after="60"/>
              <w:ind w:left="12" w:hanging="12"/>
              <w:jc w:val="both"/>
              <w:rPr>
                <w:rFonts w:cs="Arial"/>
                <w:sz w:val="20"/>
                <w:szCs w:val="20"/>
                <w:lang w:val="ro-RO"/>
              </w:rPr>
            </w:pPr>
          </w:p>
        </w:tc>
      </w:tr>
      <w:tr w:rsidR="00573AD5" w:rsidRPr="0076579A" w:rsidTr="0030066D">
        <w:trPr>
          <w:cantSplit/>
        </w:trPr>
        <w:tc>
          <w:tcPr>
            <w:tcW w:w="1168" w:type="pct"/>
            <w:shd w:val="clear" w:color="auto" w:fill="auto"/>
            <w:vAlign w:val="center"/>
          </w:tcPr>
          <w:p w:rsidR="00573AD5" w:rsidRPr="0076579A" w:rsidRDefault="00573AD5" w:rsidP="00573AD5">
            <w:pPr>
              <w:spacing w:before="60" w:after="60"/>
              <w:ind w:left="720" w:hanging="720"/>
              <w:jc w:val="both"/>
              <w:rPr>
                <w:rFonts w:cs="Arial"/>
                <w:sz w:val="20"/>
                <w:szCs w:val="20"/>
                <w:lang w:val="ro-RO"/>
              </w:rPr>
            </w:pPr>
            <w:r w:rsidRPr="0076579A">
              <w:rPr>
                <w:rFonts w:cs="Arial"/>
                <w:sz w:val="20"/>
                <w:szCs w:val="20"/>
                <w:lang w:val="ro-RO"/>
              </w:rPr>
              <w:t>Scenariu mixt</w:t>
            </w:r>
          </w:p>
        </w:tc>
        <w:tc>
          <w:tcPr>
            <w:tcW w:w="666" w:type="pct"/>
            <w:shd w:val="clear" w:color="auto" w:fill="auto"/>
            <w:vAlign w:val="center"/>
          </w:tcPr>
          <w:p w:rsidR="00573AD5" w:rsidRPr="0076579A" w:rsidRDefault="00573AD5" w:rsidP="00573AD5">
            <w:pPr>
              <w:spacing w:before="60" w:after="60"/>
              <w:ind w:left="720" w:hanging="720"/>
              <w:jc w:val="center"/>
              <w:rPr>
                <w:rFonts w:cs="Arial"/>
                <w:sz w:val="20"/>
                <w:szCs w:val="20"/>
                <w:lang w:val="ro-RO"/>
              </w:rPr>
            </w:pPr>
            <w:r w:rsidRPr="0076579A">
              <w:rPr>
                <w:rFonts w:cs="Arial"/>
                <w:sz w:val="20"/>
                <w:szCs w:val="20"/>
                <w:lang w:val="ro-RO"/>
              </w:rPr>
              <w:t>DS99A</w:t>
            </w:r>
          </w:p>
        </w:tc>
        <w:tc>
          <w:tcPr>
            <w:tcW w:w="3166" w:type="pct"/>
            <w:shd w:val="clear" w:color="auto" w:fill="auto"/>
            <w:vAlign w:val="bottom"/>
          </w:tcPr>
          <w:p w:rsidR="00573AD5" w:rsidRPr="0076579A" w:rsidRDefault="00573AD5" w:rsidP="00573AD5">
            <w:pPr>
              <w:spacing w:before="60" w:after="60"/>
              <w:ind w:left="12" w:hanging="12"/>
              <w:jc w:val="both"/>
              <w:rPr>
                <w:rFonts w:cs="Arial"/>
                <w:sz w:val="20"/>
                <w:szCs w:val="20"/>
                <w:lang w:val="ro-RO"/>
              </w:rPr>
            </w:pPr>
            <w:r w:rsidRPr="0076579A">
              <w:rPr>
                <w:rFonts w:cs="Arial"/>
                <w:sz w:val="20"/>
                <w:szCs w:val="20"/>
                <w:lang w:val="ro-RO"/>
              </w:rPr>
              <w:t>Scenariu mixt cu îmbunătățirile luate în considerare pentru alternativa optimă de operare pentru fiecare coridor. Pachete de alte îmbunătățiri care să includă îmbunătățirea echipamentelor de semnalizare, material rulant nou și îmbunătățirea facilităților din stații în nodurile principale.</w:t>
            </w:r>
          </w:p>
        </w:tc>
      </w:tr>
    </w:tbl>
    <w:p w:rsidR="00573AD5" w:rsidRPr="00AE1AD4" w:rsidRDefault="00573AD5" w:rsidP="00AE1AD4">
      <w:pPr>
        <w:ind w:left="851"/>
        <w:rPr>
          <w:i/>
          <w:lang w:val="ro-RO"/>
        </w:rPr>
      </w:pPr>
      <w:r w:rsidRPr="00AE1AD4">
        <w:rPr>
          <w:i/>
          <w:lang w:val="ro-RO"/>
        </w:rPr>
        <w:t xml:space="preserve">Sursa: </w:t>
      </w:r>
      <w:r w:rsidR="008E0E74">
        <w:rPr>
          <w:i/>
          <w:lang w:val="ro-RO"/>
        </w:rPr>
        <w:t xml:space="preserve">Propunerea </w:t>
      </w:r>
      <w:r w:rsidRPr="00AE1AD4">
        <w:rPr>
          <w:i/>
          <w:lang w:val="ro-RO"/>
        </w:rPr>
        <w:t>AECOM</w:t>
      </w:r>
    </w:p>
    <w:p w:rsidR="00573AD5" w:rsidRDefault="00573AD5" w:rsidP="002B7E09">
      <w:pPr>
        <w:pStyle w:val="NumberedParas"/>
      </w:pPr>
      <w:r>
        <w:t xml:space="preserve">Există un număr limitat de stații care beneficiază de îmbunătățiri dar care nu sunt incluse în programul de mers cadențat, cum ar fi Târgoviște și Miercurea Ciuc. Necesitatea îmbunătățirii acestor stații va trebui evaluată separat, anvergura proiectelor de îmbunătățire/modernizare a stațiilor fiind dependentă de cererea potențială de servicii </w:t>
      </w:r>
    </w:p>
    <w:p w:rsidR="00573AD5" w:rsidRDefault="00573AD5" w:rsidP="002B7E09">
      <w:pPr>
        <w:pStyle w:val="NumberedParas"/>
      </w:pPr>
      <w:r>
        <w:t>Pachetul de propuneri prezentat mai sus a fost comparat cu ipoteza Scenariului de Referință care ia în calcul nivelul serviciilor din Mersul Trenurilor 2011, pentru analizarea impactului. Din 2011 s-au observat îmbunătățiri modeste ale serviciilor însă pachetul de măsuri descris mai sus va oferi îmbunătățiri substanțiale pentru acele coridoare care oferă cele mai puternice oportunități de creștere a pieței de transport feroviar.</w:t>
      </w:r>
    </w:p>
    <w:p w:rsidR="00573AD5" w:rsidRPr="0076579A" w:rsidRDefault="00573AD5" w:rsidP="002B7E09">
      <w:pPr>
        <w:pStyle w:val="NumberedParas"/>
      </w:pPr>
      <w:r>
        <w:t>În plus față de testele efectuate cu ajutorul Modelului Național descrise mai sus, a fost definit un alt set de teste, folosind convenția de nume (DSXXR) pentru evaluarea necesității eliminării restricțiilor de viteză și implmenentarea unei grafic de mers la intervale cadențate pe fiecare coridor major. Aceste restricții de viteză impun întârzieri semnificative trenurilor de călători și de marfă și afectează fiabilitatea serviciilor. Implementarea acestui pachet ar reprezenta o oportunitate de a realiza unele “câștiguri rapide/</w:t>
      </w:r>
      <w:r w:rsidRPr="003A020C">
        <w:t>quick wins</w:t>
      </w:r>
      <w:r>
        <w:t xml:space="preserve">”. Graficele de mers cadențat propuse sunt comparabile cu cele specificate pentru testele proiectelor de reabilitare în termenii frecvențelor zilnice, dar au fost ajutate la timpii de parcurs prognozați după eliminarea restricțiilor menționate mai sus. Acest rezultat are unele implicații asupra necesarul de material rulant și astfel, asupra costurilor totale ale proiectului. </w:t>
      </w:r>
    </w:p>
    <w:p w:rsidR="00573AD5" w:rsidRPr="0076579A" w:rsidRDefault="00573AD5" w:rsidP="0030066D">
      <w:pPr>
        <w:pStyle w:val="Hdg3"/>
      </w:pPr>
      <w:r w:rsidRPr="0076579A">
        <w:t xml:space="preserve">Rezultate generale pentru opțiunile de servicii </w:t>
      </w:r>
    </w:p>
    <w:p w:rsidR="00573AD5" w:rsidRPr="0076579A" w:rsidRDefault="00573AD5" w:rsidP="002B7E09">
      <w:pPr>
        <w:pStyle w:val="NumberedParas"/>
      </w:pPr>
      <w:r w:rsidRPr="0076579A">
        <w:t xml:space="preserve">În </w:t>
      </w:r>
      <w:r w:rsidRPr="00D62754">
        <w:rPr>
          <w:b/>
        </w:rPr>
        <w:t xml:space="preserve">Figura </w:t>
      </w:r>
      <w:r w:rsidR="007A102C">
        <w:fldChar w:fldCharType="begin"/>
      </w:r>
      <w:r w:rsidR="007A102C">
        <w:instrText xml:space="preserve"> REF _Ref395086954 \h  \* MERGEFORMAT </w:instrText>
      </w:r>
      <w:r w:rsidR="007A102C">
        <w:fldChar w:fldCharType="separate"/>
      </w:r>
      <w:r>
        <w:rPr>
          <w:b/>
          <w:bCs/>
          <w:lang w:val="en-US"/>
        </w:rPr>
        <w:t>5.27.</w:t>
      </w:r>
      <w:r w:rsidR="007A102C">
        <w:fldChar w:fldCharType="end"/>
      </w:r>
      <w:r>
        <w:t>7</w:t>
      </w:r>
      <w:r w:rsidRPr="0076579A">
        <w:t xml:space="preserve"> este rezumat raportul beneficiu-cost total pentru fiecare test. Deși scenariul mixt generează un raport beneficiu-cost de 1.0, se așteaptă ca </w:t>
      </w:r>
      <w:r>
        <w:t>proiectele</w:t>
      </w:r>
      <w:r w:rsidRPr="0076579A">
        <w:t xml:space="preserve"> individuale care cuprind propunerile ce pornesc din București să genereze o </w:t>
      </w:r>
      <w:r>
        <w:t xml:space="preserve">puternică </w:t>
      </w:r>
      <w:r w:rsidRPr="0076579A">
        <w:t xml:space="preserve">valoare financiară pozitivă (RBC mai mare de 1), în vreme ce rezultatele pentru rutele care fac legătura între alte orașe în general generează o valoare financiară mică (RBC mai mic de 1). Scenariul DS10 este cea mai bună schemă de performanță cu un raport beneficiu-cost de aproximativ 4.2. Această valoare ridicată este datorată caracteristicilor coridorului care nu a înregistrat servicii de transport feroviar în 2011 pe linia 902 de la Giurgiu după Grădiștea din cauza cedării podului peste râul Argeș din 2005. Reconstruirea acestui pod, cu aducerea vitezei inapoi la </w:t>
      </w:r>
      <w:r w:rsidRPr="0076579A">
        <w:lastRenderedPageBreak/>
        <w:t xml:space="preserve">parametrii proiectați și implementarea unui grafic de mers al trenurilor cu intervale regulate pe această linie generează beneficii semnificative cu costuri modeste.  </w:t>
      </w:r>
    </w:p>
    <w:p w:rsidR="00573AD5" w:rsidRPr="0076579A" w:rsidRDefault="00573AD5" w:rsidP="002B7E09">
      <w:pPr>
        <w:pStyle w:val="NumberedParas"/>
      </w:pPr>
      <w:r w:rsidRPr="0076579A">
        <w:t xml:space="preserve">În mod similar, testul DS02A a furnizat beneficii </w:t>
      </w:r>
      <w:r>
        <w:t xml:space="preserve">considerabile prin </w:t>
      </w:r>
      <w:r w:rsidRPr="0076579A">
        <w:t xml:space="preserve">furnizarea unui grafic de mers al trenurilor mai intensificat cu operarea materialului rulant modern pe linia Constanța. Deși această linie a fost reabilitată în ultimii zece ani la standard înalt cu o viteză proiectată de până la 200 km/h, serviciile de transport nu au atins timpii de parcurs preconizați după reabilitare. </w:t>
      </w:r>
      <w:r>
        <w:t xml:space="preserve">Datele indică faptul </w:t>
      </w:r>
      <w:r w:rsidRPr="0076579A">
        <w:t xml:space="preserve"> că potențiala cotă de piață de pe acest segment nu a fost atinsă, îmbunătățirile aduse infrastructurii nefiind în prezent  utilizate la capacitatea maximă.</w:t>
      </w:r>
    </w:p>
    <w:p w:rsidR="00573AD5" w:rsidRPr="0076579A" w:rsidRDefault="00573AD5" w:rsidP="002B7E09">
      <w:pPr>
        <w:pStyle w:val="NumberedParas"/>
      </w:pPr>
      <w:r w:rsidRPr="0076579A">
        <w:t>Scenariile care implică reabilitarea coridoarelor mari pornind din București, precum DS01, DS03 și DS04, arată că raportul beneficiu-cost este puțin peste 1. Deși această valoare indică faptul că programul de reabilitare este justificat, distribuția cererii previzionate arată că în vreme ce traficul feroviar de pe segmentele din apropierea municipiului București crește, această valoare scade pe măsură ce distanța față de capitală crește. Din acest motiv, în continuare este prezentată o analiză a fiecărui segment</w:t>
      </w:r>
      <w:r>
        <w:t>.</w:t>
      </w:r>
      <w:r w:rsidRPr="0076579A">
        <w:t xml:space="preserve">    </w:t>
      </w:r>
    </w:p>
    <w:p w:rsidR="00573AD5" w:rsidRPr="0036322C" w:rsidRDefault="00573AD5" w:rsidP="0030066D">
      <w:pPr>
        <w:spacing w:after="60"/>
        <w:rPr>
          <w:rFonts w:cs="Arial"/>
          <w:b/>
          <w:sz w:val="22"/>
          <w:szCs w:val="22"/>
          <w:lang w:val="ro-RO"/>
        </w:rPr>
      </w:pPr>
    </w:p>
    <w:p w:rsidR="00573AD5" w:rsidRDefault="00573AD5" w:rsidP="0030066D">
      <w:pPr>
        <w:rPr>
          <w:highlight w:val="yellow"/>
          <w:lang w:val="ro-RO"/>
        </w:rPr>
      </w:pPr>
      <w:r w:rsidRPr="00944029">
        <w:rPr>
          <w:noProof/>
          <w:lang w:val="ro-RO" w:eastAsia="ro-RO"/>
        </w:rPr>
        <w:drawing>
          <wp:inline distT="0" distB="0" distL="0" distR="0">
            <wp:extent cx="5913918" cy="3147238"/>
            <wp:effectExtent l="19050" t="0" r="10632" b="0"/>
            <wp:docPr id="5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573AD5" w:rsidRDefault="00573AD5" w:rsidP="0030066D">
      <w:pPr>
        <w:rPr>
          <w:rFonts w:cs="Arial"/>
          <w:b/>
          <w:sz w:val="22"/>
          <w:szCs w:val="22"/>
          <w:lang w:val="ro-RO"/>
        </w:rPr>
      </w:pPr>
      <w:r>
        <w:rPr>
          <w:rFonts w:cs="Arial"/>
          <w:b/>
          <w:sz w:val="22"/>
          <w:szCs w:val="22"/>
          <w:lang w:val="ro-RO"/>
        </w:rPr>
        <w:t>Figura 5.</w:t>
      </w:r>
      <w:r w:rsidRPr="0036322C">
        <w:rPr>
          <w:rFonts w:cs="Arial"/>
          <w:b/>
          <w:sz w:val="22"/>
          <w:szCs w:val="22"/>
          <w:lang w:val="ro-RO"/>
        </w:rPr>
        <w:t>2</w:t>
      </w:r>
      <w:r>
        <w:rPr>
          <w:rFonts w:cs="Arial"/>
          <w:b/>
          <w:sz w:val="22"/>
          <w:szCs w:val="22"/>
          <w:lang w:val="ro-RO"/>
        </w:rPr>
        <w:t>8</w:t>
      </w:r>
      <w:r w:rsidRPr="0036322C">
        <w:rPr>
          <w:rFonts w:cs="Arial"/>
          <w:b/>
          <w:sz w:val="22"/>
          <w:szCs w:val="22"/>
          <w:lang w:val="ro-RO"/>
        </w:rPr>
        <w:t xml:space="preserve">: Raportul beneficiu-cost </w:t>
      </w:r>
      <w:r>
        <w:rPr>
          <w:rFonts w:cs="Arial"/>
          <w:b/>
          <w:sz w:val="22"/>
          <w:szCs w:val="22"/>
          <w:lang w:val="ro-RO"/>
        </w:rPr>
        <w:t>aferent fiecărui</w:t>
      </w:r>
      <w:r w:rsidRPr="0036322C">
        <w:rPr>
          <w:rFonts w:cs="Arial"/>
          <w:b/>
          <w:sz w:val="22"/>
          <w:szCs w:val="22"/>
          <w:lang w:val="ro-RO"/>
        </w:rPr>
        <w:t xml:space="preserve"> scenariu</w:t>
      </w:r>
    </w:p>
    <w:p w:rsidR="00573AD5" w:rsidRPr="00AE1AD4" w:rsidRDefault="00573AD5" w:rsidP="00AE1AD4">
      <w:pPr>
        <w:ind w:left="851"/>
        <w:rPr>
          <w:i/>
          <w:lang w:val="ro-RO"/>
        </w:rPr>
      </w:pPr>
      <w:r w:rsidRPr="00AE1AD4">
        <w:rPr>
          <w:i/>
          <w:lang w:val="ro-RO"/>
        </w:rPr>
        <w:t xml:space="preserve">Sursa: Calculul AECOM realizat cu ajutorul Modelului Național de Transport </w:t>
      </w:r>
    </w:p>
    <w:p w:rsidR="00573AD5" w:rsidRPr="0076579A" w:rsidRDefault="00573AD5" w:rsidP="0030066D">
      <w:pPr>
        <w:pStyle w:val="Hdg3"/>
      </w:pPr>
      <w:r w:rsidRPr="0076579A">
        <w:t>Analiza rezultatelor – Indicatori cheie de performanță</w:t>
      </w:r>
    </w:p>
    <w:p w:rsidR="00573AD5" w:rsidRPr="0076579A" w:rsidRDefault="00573AD5" w:rsidP="002B7E09">
      <w:pPr>
        <w:pStyle w:val="NumberedParas"/>
      </w:pPr>
      <w:r w:rsidRPr="0076579A">
        <w:t xml:space="preserve">În </w:t>
      </w:r>
      <w:r>
        <w:t>Tabelul 5.</w:t>
      </w:r>
      <w:r w:rsidRPr="0076579A">
        <w:t>11 sunt prezentate principalele rezultate ale modelării transportului feroviar descrise mai sus, utilizând Modelul Național de Transport. Rezultatele indică performanța fiecărui test modelat față de scenariul de referință</w:t>
      </w:r>
      <w:r>
        <w:t xml:space="preserve"> pentru transportul feroviar  care demonstrează potențialul de a obține creșteri dacă se implementează pachetul potrivit de măsuri.</w:t>
      </w:r>
      <w:r w:rsidRPr="0076579A">
        <w:t xml:space="preserve"> Trebuie evidențiat faptul că menținerea rețelei la nivelul tehnic actual și reparațiile la nivelul rețelei de bază implică costuri mari de </w:t>
      </w:r>
      <w:r>
        <w:t>întreținere și reparații capitale</w:t>
      </w:r>
      <w:r w:rsidRPr="0076579A">
        <w:t xml:space="preserve">. Rezultatele includ modificări în numărul de km-pasageri, de tone-km, la nivelul valoarii nete actualizate a programului și al raportului beneficiu-cost. Îmbunătățirea unui coridor are mai multe impacturi în ceea ce privește cererea de transport feroviar: </w:t>
      </w:r>
    </w:p>
    <w:p w:rsidR="00573AD5" w:rsidRPr="0076579A" w:rsidRDefault="00573AD5" w:rsidP="00573AD5">
      <w:pPr>
        <w:pStyle w:val="BulletLevel1"/>
        <w:spacing w:after="60"/>
      </w:pPr>
      <w:r w:rsidRPr="0076579A">
        <w:t>Creștere a cererii de transport feroviar în general (generarea de călătorii);</w:t>
      </w:r>
    </w:p>
    <w:p w:rsidR="00573AD5" w:rsidRPr="0076579A" w:rsidRDefault="00573AD5" w:rsidP="00573AD5">
      <w:pPr>
        <w:pStyle w:val="BulletLevel1"/>
        <w:spacing w:after="60"/>
      </w:pPr>
      <w:r w:rsidRPr="0076579A">
        <w:lastRenderedPageBreak/>
        <w:t xml:space="preserve">Redirecționarea traficului către liniile reabilitate (preluarea traficului de pe alte coridoare). </w:t>
      </w:r>
    </w:p>
    <w:p w:rsidR="00573AD5" w:rsidRPr="0076579A" w:rsidRDefault="00573AD5" w:rsidP="002B7E09">
      <w:pPr>
        <w:pStyle w:val="NumberedParas"/>
      </w:pPr>
      <w:bookmarkStart w:id="124" w:name="_Ref392676880"/>
      <w:r>
        <w:t>P</w:t>
      </w:r>
      <w:r w:rsidRPr="0076579A">
        <w:t>rincipalele linii către / dinspre București atrag o cerere mai mare și generează un raport beneficiu-cost mai mare comparativ cu alte coridoare</w:t>
      </w:r>
      <w:r>
        <w:t xml:space="preserve"> </w:t>
      </w:r>
      <w:r w:rsidRPr="0076579A">
        <w:t xml:space="preserve"> izolate care atrag un număr mai mic de călători și / sau transport de mărfuri. Acest lucru indică faptul că principalele rute din jurul municipiului București ar trebui să fie puse în ordinea priorităților dacă fondurile pentru investiții sunt limitate. În general, prognozele arată că impactul asupra serviciilor de transport călători este mai mare decât asupra serviciului de transport mărfuri. Acest lucru se datorează în parte presupunerii că trenurile de transport marfă beneficiază de o reducere mai mică a duratei de parcurs dincolo de coridorul reabilitat. Această supoziție poate fi validată și prin studierea timpilor de parcurs ai serviciilor de transport mărfuri pe linia Constanța înainte și după reabilitarea acesteia. Ponderea modală foarte scăzută a transportului feroviar și procentajul ridicat al populației care nu dispune de un autovehicul contribuie la creșterea relativ mare a cererii de transport feroviar de călători. </w:t>
      </w:r>
    </w:p>
    <w:p w:rsidR="00573AD5" w:rsidRPr="0076579A" w:rsidRDefault="00573AD5" w:rsidP="002B7E09">
      <w:pPr>
        <w:pStyle w:val="NumberedParas"/>
      </w:pPr>
      <w:r w:rsidRPr="0076579A">
        <w:t xml:space="preserve">În manieră similară, în </w:t>
      </w:r>
      <w:r>
        <w:t>Tabelul 5.</w:t>
      </w:r>
      <w:r w:rsidRPr="0076579A">
        <w:t xml:space="preserve">11 este prezentat faptul că variantele scenariului “A” tind să se îmbunătățească față de alternativa scenariului “B”, în special dacă singurele diferențe constau în viteza maximă proiectată previzionată. Acest lucru implică faptul că beneficiile suplimentare generate de viteze maxime mai mari nu justifică cheltuielile adiționale. Există secțiuni în care  îmbunătățirile aduse pentru a depăși viteza proiectată actuală ar putea </w:t>
      </w:r>
      <w:r w:rsidRPr="0036322C">
        <w:t>contribui la uniformizarea</w:t>
      </w:r>
      <w:r>
        <w:t xml:space="preserve"> vitezelor de circulație</w:t>
      </w:r>
      <w:r w:rsidRPr="0076579A">
        <w:t>, însă aceste propuneri trebuie examinate mai în detaliu. De exemplu, testul DS05B include electrificarea liniei între București și Sibiu via Pitești și Râmnicu Vâlcea (Coridorul 200)</w:t>
      </w:r>
      <w:r>
        <w:t xml:space="preserve">.Prin electrificare se </w:t>
      </w:r>
      <w:r w:rsidRPr="0076579A">
        <w:t xml:space="preserve">elimină dezavantajele privind poluarea aerului care ar apărea în DS05A de la ramele diesel de transport marfă. Singura îmbunătățire în testul DS05B față de DS05A este electrificarea, în vreme ce DS07B include electrificarea și dublarea liniei. </w:t>
      </w:r>
    </w:p>
    <w:p w:rsidR="00573AD5" w:rsidRDefault="00573AD5" w:rsidP="002B7E09">
      <w:pPr>
        <w:pStyle w:val="NumberedParas"/>
      </w:pPr>
      <w:r w:rsidRPr="0076579A">
        <w:t>Rezultatele scenariului DS07 sugerează că oricare dintre variantele ‘A’ sau ‘B’ ar putea fi incluse în scenariul mixt alternativ (DS99A). Cu toate acestea, s-a selectat scenariul DS07A, pentru că generează cea mai mare valoare netă actualizată. Rezultatele testului DS02A au indicat o reducere minoră a traficului de marfă în urma eliminării restricțiilor de viteză dintre București și Constanța. Acest coridor nu a înregistrat o reducere a duratei de parcurs pentru transportul feroviar de mărfuri la începutul anului 2000 ceea ce indică faptul că starea actuală a liniei nu condiționează timpii de parcurs. În acest context, numărul serviciilor de transport feroviar de călători transferate de la transportul rutier îmbunătățește cu puțin fluxul de trafic utilizând autostrada paralelă care la rândul ei crește atractivitatea transportului rutier de mărfuri.</w:t>
      </w:r>
    </w:p>
    <w:p w:rsidR="00573AD5" w:rsidRDefault="00573AD5" w:rsidP="002B7E09">
      <w:pPr>
        <w:pStyle w:val="NumberedParas"/>
      </w:pPr>
      <w:r>
        <w:t xml:space="preserve">În tabelul 5.11 sunt prezentate de asemenea, rezultatele pentru pachetul de îmbunătățiri cu costuri scăzute care implică eliminarea restricțiilor de viteză cu costuri scăzute și grafice de mers cadențat. Acest pachet de măsuri oferă un bun raport beneficiu – cost față de scenariul de referință, cu un numpr crescut de călători și tone de marfă transportate. În varianta scenariului ‘R’ pentru DS07 apare o scădere a numărului de călători față de scenariul de referință. Acesta este rezultatul timpului suplimentar impus călătorilor care merg de la Oradea spre centrul și sudul țării ca urmare a schmbării trenurilor (timpului de așteptare a trenului de legătură). În acest caz, graficele de mers pe linia Oradea – Cluj-Napoca ar ptuea fi ajutate pentru a se sincroniza cu orele de sosire și plecare ale trenurilor de pe coridorul IV-N București și astfel să minimizeze acest impact. </w:t>
      </w:r>
    </w:p>
    <w:p w:rsidR="00573AD5" w:rsidRDefault="00573AD5" w:rsidP="002B7E09">
      <w:pPr>
        <w:pStyle w:val="NumberedParas"/>
      </w:pPr>
      <w:r>
        <w:t xml:space="preserve">Introducerea acestor opțiuni cu costuri scăzute trebuie să joace un rol de bază în structurarea strategiei viitoare. Oportunitatea de a asigura câteva câștigurile rapide care se bazează pe </w:t>
      </w:r>
      <w:r>
        <w:lastRenderedPageBreak/>
        <w:t xml:space="preserve">implementarea unor măsuri de infrastructură cu costuri mici  va fi benefic prin sprijinirea procesului de inversare a declinului numărului de călători pe calea ferată, care s-a înregistrat în ultimii 10 -20 de ani. Introducerea schimbărilor în graficele de mers, a noului material rulant și a măsurilor de infrastructură care elimină restricțiile de viteză vor ajuta la inversarea spiralei declinului din sectorul de transport feroviar.  Cu toate acestea, acest pachet trebuie să reprezinte doar un puct de plecare pentru un program de investiții ulterioare în modernizarea infrastructurii și obținerea de noi reduceri ale timpilor de parcurs. Proiectele din această categorie de investiții se așteaptă să ofere un raport beneficiu-cost mai mic, însa acest raport nu trebuie să constituie o piedică în derularea investițiilor. </w:t>
      </w:r>
    </w:p>
    <w:p w:rsidR="00573AD5" w:rsidRDefault="00573AD5" w:rsidP="002B7E09">
      <w:pPr>
        <w:pStyle w:val="NumberedParas"/>
      </w:pPr>
      <w:r>
        <w:t xml:space="preserve">Ca și în cazul testelor proiectelor de reabilitare a liniilor, traficul de marfă înregistrează doar o creștere modestă ca rezultat al reducerilor timpilor de parcurs. Testul DS12R este, în cea mai mare parte, un test al traficului de marfă și nu include introducerea mersului cadențat, care ia în considerare impactul eliminării restricțiilor de viteză pe linia 702, între Fetești și Făurei. </w:t>
      </w:r>
    </w:p>
    <w:p w:rsidR="00573AD5" w:rsidRDefault="00573AD5" w:rsidP="0030066D">
      <w:pPr>
        <w:spacing w:after="60"/>
        <w:rPr>
          <w:rFonts w:cs="Arial"/>
          <w:b/>
          <w:sz w:val="22"/>
          <w:szCs w:val="22"/>
          <w:lang w:val="ro-RO"/>
        </w:rPr>
      </w:pPr>
      <w:r>
        <w:rPr>
          <w:rFonts w:cs="Arial"/>
          <w:b/>
          <w:sz w:val="22"/>
          <w:szCs w:val="22"/>
          <w:lang w:val="ro-RO"/>
        </w:rPr>
        <w:t>Tabelul 5.</w:t>
      </w:r>
      <w:bookmarkEnd w:id="124"/>
      <w:r w:rsidRPr="0036322C">
        <w:rPr>
          <w:rFonts w:cs="Arial"/>
          <w:b/>
          <w:sz w:val="22"/>
          <w:szCs w:val="22"/>
          <w:lang w:val="ro-RO"/>
        </w:rPr>
        <w:t>1</w:t>
      </w:r>
      <w:r>
        <w:rPr>
          <w:rFonts w:cs="Arial"/>
          <w:b/>
          <w:sz w:val="22"/>
          <w:szCs w:val="22"/>
          <w:lang w:val="ro-RO"/>
        </w:rPr>
        <w:t>3</w:t>
      </w:r>
      <w:r w:rsidRPr="0036322C">
        <w:rPr>
          <w:rFonts w:cs="Arial"/>
          <w:b/>
          <w:sz w:val="22"/>
          <w:szCs w:val="22"/>
          <w:lang w:val="ro-RO"/>
        </w:rPr>
        <w:t xml:space="preserve">: Principalele rezultate ale modelelor selectate </w:t>
      </w:r>
    </w:p>
    <w:tbl>
      <w:tblPr>
        <w:tblW w:w="5153" w:type="pct"/>
        <w:tblLayout w:type="fixed"/>
        <w:tblLook w:val="04A0" w:firstRow="1" w:lastRow="0" w:firstColumn="1" w:lastColumn="0" w:noHBand="0" w:noVBand="1"/>
      </w:tblPr>
      <w:tblGrid>
        <w:gridCol w:w="1092"/>
        <w:gridCol w:w="2135"/>
        <w:gridCol w:w="1559"/>
        <w:gridCol w:w="1265"/>
        <w:gridCol w:w="1427"/>
        <w:gridCol w:w="1276"/>
        <w:gridCol w:w="1276"/>
        <w:gridCol w:w="799"/>
      </w:tblGrid>
      <w:tr w:rsidR="00573AD5" w:rsidRPr="00760C6E" w:rsidTr="0030066D">
        <w:trPr>
          <w:cantSplit/>
          <w:trHeight w:hRule="exact" w:val="886"/>
          <w:tblHeader/>
        </w:trPr>
        <w:tc>
          <w:tcPr>
            <w:tcW w:w="504"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760C6E" w:rsidRDefault="00573AD5" w:rsidP="00573AD5">
            <w:pPr>
              <w:spacing w:before="120"/>
              <w:jc w:val="center"/>
              <w:rPr>
                <w:rFonts w:cs="Arial"/>
                <w:b/>
                <w:sz w:val="22"/>
                <w:szCs w:val="22"/>
              </w:rPr>
            </w:pPr>
            <w:r>
              <w:rPr>
                <w:rFonts w:cs="Arial"/>
                <w:b/>
                <w:sz w:val="22"/>
                <w:szCs w:val="22"/>
              </w:rPr>
              <w:t>Rulare model</w:t>
            </w:r>
          </w:p>
        </w:tc>
        <w:tc>
          <w:tcPr>
            <w:tcW w:w="986"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Default="00573AD5" w:rsidP="00573AD5">
            <w:pPr>
              <w:spacing w:before="120"/>
              <w:ind w:left="34" w:hanging="34"/>
              <w:jc w:val="center"/>
              <w:rPr>
                <w:rFonts w:cs="Arial"/>
                <w:b/>
                <w:sz w:val="22"/>
                <w:szCs w:val="22"/>
              </w:rPr>
            </w:pPr>
            <w:r>
              <w:rPr>
                <w:rFonts w:cs="Arial"/>
                <w:b/>
                <w:sz w:val="22"/>
                <w:szCs w:val="22"/>
              </w:rPr>
              <w:t>Descriere</w:t>
            </w:r>
          </w:p>
        </w:tc>
        <w:tc>
          <w:tcPr>
            <w:tcW w:w="720"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Default="00573AD5" w:rsidP="00573AD5">
            <w:pPr>
              <w:spacing w:before="120"/>
              <w:ind w:left="34" w:hanging="34"/>
              <w:jc w:val="center"/>
              <w:rPr>
                <w:rFonts w:cs="Arial"/>
                <w:b/>
                <w:sz w:val="22"/>
                <w:szCs w:val="22"/>
              </w:rPr>
            </w:pPr>
            <w:r>
              <w:rPr>
                <w:rFonts w:cs="Arial"/>
                <w:b/>
                <w:sz w:val="22"/>
                <w:szCs w:val="22"/>
              </w:rPr>
              <w:t xml:space="preserve">Schimbare - </w:t>
            </w:r>
            <w:r w:rsidRPr="002B5B4E">
              <w:rPr>
                <w:rFonts w:cs="Arial"/>
                <w:b/>
                <w:sz w:val="22"/>
                <w:szCs w:val="22"/>
              </w:rPr>
              <w:t>Pas-km (000’s)</w:t>
            </w:r>
          </w:p>
        </w:tc>
        <w:tc>
          <w:tcPr>
            <w:tcW w:w="584"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760C6E" w:rsidRDefault="00573AD5" w:rsidP="00573AD5">
            <w:pPr>
              <w:spacing w:before="120"/>
              <w:ind w:left="34" w:hanging="34"/>
              <w:jc w:val="center"/>
              <w:rPr>
                <w:rFonts w:cs="Arial"/>
                <w:b/>
                <w:sz w:val="22"/>
                <w:szCs w:val="22"/>
              </w:rPr>
            </w:pPr>
            <w:r>
              <w:rPr>
                <w:rFonts w:cs="Arial"/>
                <w:b/>
                <w:sz w:val="22"/>
                <w:szCs w:val="22"/>
              </w:rPr>
              <w:t>Schimbare cotă Pas-km</w:t>
            </w:r>
          </w:p>
        </w:tc>
        <w:tc>
          <w:tcPr>
            <w:tcW w:w="659"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Default="00573AD5" w:rsidP="00573AD5">
            <w:pPr>
              <w:spacing w:before="120"/>
              <w:ind w:left="34" w:hanging="34"/>
              <w:jc w:val="center"/>
              <w:rPr>
                <w:rFonts w:cs="Arial"/>
                <w:b/>
                <w:sz w:val="22"/>
                <w:szCs w:val="22"/>
              </w:rPr>
            </w:pPr>
            <w:r>
              <w:rPr>
                <w:rFonts w:cs="Arial"/>
                <w:b/>
                <w:sz w:val="22"/>
                <w:szCs w:val="22"/>
              </w:rPr>
              <w:t>Schimbare tone</w:t>
            </w:r>
            <w:r w:rsidRPr="002B5B4E">
              <w:rPr>
                <w:rFonts w:cs="Arial"/>
                <w:b/>
                <w:sz w:val="22"/>
                <w:szCs w:val="22"/>
              </w:rPr>
              <w:t>-km (000’s)</w:t>
            </w:r>
          </w:p>
        </w:tc>
        <w:tc>
          <w:tcPr>
            <w:tcW w:w="589"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Default="00573AD5" w:rsidP="00573AD5">
            <w:pPr>
              <w:spacing w:before="120"/>
              <w:ind w:left="34" w:hanging="34"/>
              <w:jc w:val="center"/>
              <w:rPr>
                <w:rFonts w:cs="Arial"/>
                <w:b/>
                <w:sz w:val="22"/>
                <w:szCs w:val="22"/>
              </w:rPr>
            </w:pPr>
            <w:r>
              <w:rPr>
                <w:rFonts w:cs="Arial"/>
                <w:b/>
                <w:sz w:val="22"/>
                <w:szCs w:val="22"/>
              </w:rPr>
              <w:t>Schimbare ton</w:t>
            </w:r>
            <w:r w:rsidRPr="002B5B4E">
              <w:rPr>
                <w:rFonts w:cs="Arial"/>
                <w:b/>
                <w:sz w:val="22"/>
                <w:szCs w:val="22"/>
              </w:rPr>
              <w:t xml:space="preserve">e-km share </w:t>
            </w:r>
          </w:p>
        </w:tc>
        <w:tc>
          <w:tcPr>
            <w:tcW w:w="589"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Default="00573AD5" w:rsidP="00573AD5">
            <w:pPr>
              <w:spacing w:before="120"/>
              <w:ind w:left="34" w:hanging="34"/>
              <w:jc w:val="center"/>
              <w:rPr>
                <w:rFonts w:cs="Arial"/>
                <w:b/>
                <w:sz w:val="22"/>
                <w:szCs w:val="22"/>
              </w:rPr>
            </w:pPr>
            <w:r>
              <w:rPr>
                <w:rFonts w:cs="Arial"/>
                <w:b/>
                <w:sz w:val="22"/>
                <w:szCs w:val="22"/>
              </w:rPr>
              <w:t xml:space="preserve">VAN Mil € </w:t>
            </w:r>
            <w:r w:rsidRPr="002B5B4E">
              <w:rPr>
                <w:rFonts w:cs="Arial"/>
                <w:b/>
                <w:sz w:val="22"/>
                <w:szCs w:val="22"/>
              </w:rPr>
              <w:t>(</w:t>
            </w:r>
            <w:r>
              <w:rPr>
                <w:rFonts w:cs="Arial"/>
                <w:b/>
                <w:sz w:val="22"/>
                <w:szCs w:val="22"/>
              </w:rPr>
              <w:t xml:space="preserve">Prețuri </w:t>
            </w:r>
            <w:r w:rsidRPr="002B5B4E">
              <w:rPr>
                <w:rFonts w:cs="Arial"/>
                <w:b/>
                <w:sz w:val="22"/>
                <w:szCs w:val="22"/>
              </w:rPr>
              <w:t>2014 Prices)</w:t>
            </w:r>
          </w:p>
        </w:tc>
        <w:tc>
          <w:tcPr>
            <w:tcW w:w="369"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760C6E" w:rsidRDefault="00573AD5" w:rsidP="00573AD5">
            <w:pPr>
              <w:spacing w:before="120"/>
              <w:ind w:left="34" w:hanging="34"/>
              <w:jc w:val="center"/>
              <w:rPr>
                <w:rFonts w:cs="Arial"/>
                <w:b/>
                <w:sz w:val="22"/>
                <w:szCs w:val="22"/>
              </w:rPr>
            </w:pPr>
            <w:r>
              <w:rPr>
                <w:rFonts w:cs="Arial"/>
                <w:b/>
                <w:sz w:val="22"/>
                <w:szCs w:val="22"/>
              </w:rPr>
              <w:t>RBC</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DS01R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București - Arad / Cluj via Brasov</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+1.781 (+8%)</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+0,5%</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+19(0%)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2</w:t>
            </w:r>
            <w:r>
              <w:rPr>
                <w:rFonts w:cs="Arial"/>
                <w:color w:val="000000"/>
                <w:sz w:val="22"/>
                <w:szCs w:val="22"/>
              </w:rPr>
              <w:t>77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8</w:t>
            </w:r>
            <w:r>
              <w:rPr>
                <w:rFonts w:cs="Arial"/>
                <w:color w:val="000000"/>
                <w:sz w:val="22"/>
                <w:szCs w:val="22"/>
              </w:rPr>
              <w:t>,</w:t>
            </w:r>
            <w:r w:rsidRPr="002B5B4E">
              <w:rPr>
                <w:rFonts w:cs="Arial"/>
                <w:color w:val="000000"/>
                <w:sz w:val="22"/>
                <w:szCs w:val="22"/>
              </w:rPr>
              <w:t>32</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DS01A</w:t>
            </w:r>
          </w:p>
        </w:tc>
        <w:tc>
          <w:tcPr>
            <w:tcW w:w="986" w:type="pct"/>
            <w:vMerge/>
            <w:tcBorders>
              <w:left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+5</w:t>
            </w:r>
            <w:r>
              <w:rPr>
                <w:rFonts w:cs="Arial"/>
                <w:sz w:val="22"/>
                <w:szCs w:val="22"/>
              </w:rPr>
              <w:t>.</w:t>
            </w:r>
            <w:r w:rsidRPr="002B5B4E">
              <w:rPr>
                <w:rFonts w:cs="Arial"/>
                <w:sz w:val="22"/>
                <w:szCs w:val="22"/>
              </w:rPr>
              <w:t>814 (+27%)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7%</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+4</w:t>
            </w:r>
            <w:r>
              <w:rPr>
                <w:rFonts w:cs="Arial"/>
                <w:sz w:val="22"/>
                <w:szCs w:val="22"/>
              </w:rPr>
              <w:t>.</w:t>
            </w:r>
            <w:r w:rsidRPr="002B5B4E">
              <w:rPr>
                <w:rFonts w:cs="Arial"/>
                <w:sz w:val="22"/>
                <w:szCs w:val="22"/>
              </w:rPr>
              <w:t>175 (+9%)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,1</w:t>
            </w:r>
            <w:r w:rsidRPr="002B5B4E">
              <w:rPr>
                <w:rFonts w:cs="Arial"/>
                <w:color w:val="000000"/>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83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09</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DS01B</w:t>
            </w:r>
          </w:p>
        </w:tc>
        <w:tc>
          <w:tcPr>
            <w:tcW w:w="986" w:type="pct"/>
            <w:vMerge/>
            <w:tcBorders>
              <w:left w:val="single" w:sz="4" w:space="0" w:color="auto"/>
              <w:bottom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+6</w:t>
            </w:r>
            <w:r>
              <w:rPr>
                <w:rFonts w:cs="Arial"/>
                <w:sz w:val="22"/>
                <w:szCs w:val="22"/>
              </w:rPr>
              <w:t>.</w:t>
            </w:r>
            <w:r w:rsidRPr="002B5B4E">
              <w:rPr>
                <w:rFonts w:cs="Arial"/>
                <w:sz w:val="22"/>
                <w:szCs w:val="22"/>
              </w:rPr>
              <w:t>374 (+30%)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9%</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+4</w:t>
            </w:r>
            <w:r>
              <w:rPr>
                <w:rFonts w:cs="Arial"/>
                <w:sz w:val="22"/>
                <w:szCs w:val="22"/>
              </w:rPr>
              <w:t>.</w:t>
            </w:r>
            <w:r w:rsidRPr="002B5B4E">
              <w:rPr>
                <w:rFonts w:cs="Arial"/>
                <w:sz w:val="22"/>
                <w:szCs w:val="22"/>
              </w:rPr>
              <w:t>189 (+9%)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,1</w:t>
            </w:r>
            <w:r w:rsidRPr="002B5B4E">
              <w:rPr>
                <w:rFonts w:cs="Arial"/>
                <w:color w:val="000000"/>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-3</w:t>
            </w:r>
            <w:r>
              <w:rPr>
                <w:rFonts w:cs="Arial"/>
                <w:color w:val="000000"/>
                <w:sz w:val="22"/>
                <w:szCs w:val="22"/>
              </w:rPr>
              <w:t>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99</w:t>
            </w:r>
          </w:p>
        </w:tc>
      </w:tr>
      <w:tr w:rsidR="00573AD5" w:rsidRPr="00703F94" w:rsidTr="0030066D">
        <w:trPr>
          <w:cantSplit/>
          <w:trHeight w:hRule="exact" w:val="595"/>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DS02A</w:t>
            </w:r>
          </w:p>
        </w:tc>
        <w:tc>
          <w:tcPr>
            <w:tcW w:w="986" w:type="pct"/>
            <w:tcBorders>
              <w:top w:val="single" w:sz="4" w:space="0" w:color="auto"/>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București – Constanța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w:t>
            </w:r>
            <w:r w:rsidRPr="002B5B4E">
              <w:rPr>
                <w:rFonts w:cs="Arial"/>
                <w:sz w:val="22"/>
                <w:szCs w:val="22"/>
              </w:rPr>
              <w:t>422 (+7%)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-14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2</w:t>
            </w:r>
            <w:r>
              <w:rPr>
                <w:rFonts w:cs="Arial"/>
                <w:color w:val="000000"/>
                <w:sz w:val="22"/>
                <w:szCs w:val="22"/>
              </w:rPr>
              <w:t>55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13</w:t>
            </w:r>
            <w:r>
              <w:rPr>
                <w:rFonts w:cs="Arial"/>
                <w:color w:val="000000"/>
                <w:sz w:val="22"/>
                <w:szCs w:val="22"/>
              </w:rPr>
              <w:t>,</w:t>
            </w:r>
            <w:r w:rsidRPr="002B5B4E">
              <w:rPr>
                <w:rFonts w:cs="Arial"/>
                <w:color w:val="000000"/>
                <w:sz w:val="22"/>
                <w:szCs w:val="22"/>
              </w:rPr>
              <w:t>62</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DS03R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București - Arad via Craoiva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+2.403 (+11%)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+0,7%</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+566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+0,2%</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422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2</w:t>
            </w:r>
            <w:r>
              <w:rPr>
                <w:rFonts w:cs="Arial"/>
                <w:color w:val="000000"/>
                <w:sz w:val="22"/>
                <w:szCs w:val="22"/>
              </w:rPr>
              <w:t>,</w:t>
            </w:r>
            <w:r w:rsidRPr="002B5B4E">
              <w:rPr>
                <w:rFonts w:cs="Arial"/>
                <w:color w:val="000000"/>
                <w:sz w:val="22"/>
                <w:szCs w:val="22"/>
              </w:rPr>
              <w:t>55</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DS03A</w:t>
            </w:r>
          </w:p>
        </w:tc>
        <w:tc>
          <w:tcPr>
            <w:tcW w:w="986" w:type="pct"/>
            <w:vMerge/>
            <w:tcBorders>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+4</w:t>
            </w:r>
            <w:r>
              <w:rPr>
                <w:rFonts w:cs="Arial"/>
                <w:sz w:val="22"/>
                <w:szCs w:val="22"/>
              </w:rPr>
              <w:t>.</w:t>
            </w:r>
            <w:r w:rsidRPr="002B5B4E">
              <w:rPr>
                <w:rFonts w:cs="Arial"/>
                <w:sz w:val="22"/>
                <w:szCs w:val="22"/>
              </w:rPr>
              <w:t>946 (+23%)</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5%</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+4</w:t>
            </w:r>
            <w:r>
              <w:rPr>
                <w:rFonts w:cs="Arial"/>
                <w:sz w:val="22"/>
                <w:szCs w:val="22"/>
              </w:rPr>
              <w:t>.</w:t>
            </w:r>
            <w:r w:rsidRPr="002B5B4E">
              <w:rPr>
                <w:rFonts w:cs="Arial"/>
                <w:sz w:val="22"/>
                <w:szCs w:val="22"/>
              </w:rPr>
              <w:t>101 (+</w:t>
            </w:r>
            <w:r>
              <w:rPr>
                <w:rFonts w:cs="Arial"/>
                <w:sz w:val="22"/>
                <w:szCs w:val="22"/>
              </w:rPr>
              <w:t>6</w:t>
            </w:r>
            <w:r w:rsidRPr="002B5B4E">
              <w:rPr>
                <w:rFonts w:cs="Arial"/>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2%</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106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06</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DS03B</w:t>
            </w:r>
          </w:p>
        </w:tc>
        <w:tc>
          <w:tcPr>
            <w:tcW w:w="986" w:type="pct"/>
            <w:vMerge/>
            <w:tcBorders>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+5</w:t>
            </w:r>
            <w:r>
              <w:rPr>
                <w:rFonts w:cs="Arial"/>
                <w:sz w:val="22"/>
                <w:szCs w:val="22"/>
              </w:rPr>
              <w:t>.</w:t>
            </w:r>
            <w:r w:rsidRPr="002B5B4E">
              <w:rPr>
                <w:rFonts w:cs="Arial"/>
                <w:sz w:val="22"/>
                <w:szCs w:val="22"/>
              </w:rPr>
              <w:t>721 (+27%)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7%</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+4</w:t>
            </w:r>
            <w:r>
              <w:rPr>
                <w:rFonts w:cs="Arial"/>
                <w:sz w:val="22"/>
                <w:szCs w:val="22"/>
              </w:rPr>
              <w:t>.</w:t>
            </w:r>
            <w:r w:rsidRPr="002B5B4E">
              <w:rPr>
                <w:rFonts w:cs="Arial"/>
                <w:sz w:val="22"/>
                <w:szCs w:val="22"/>
              </w:rPr>
              <w:t>083 (+</w:t>
            </w:r>
            <w:r>
              <w:rPr>
                <w:rFonts w:cs="Arial"/>
                <w:sz w:val="22"/>
                <w:szCs w:val="22"/>
              </w:rPr>
              <w:t>6</w:t>
            </w:r>
            <w:r w:rsidRPr="002B5B4E">
              <w:rPr>
                <w:rFonts w:cs="Arial"/>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2%</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00</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DS04R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București - Galati / Iasi / Suceava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+1.370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30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2</w:t>
            </w:r>
            <w:r>
              <w:rPr>
                <w:rFonts w:cs="Arial"/>
                <w:color w:val="000000"/>
                <w:sz w:val="22"/>
                <w:szCs w:val="22"/>
              </w:rPr>
              <w:t>98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3</w:t>
            </w:r>
            <w:r>
              <w:rPr>
                <w:rFonts w:cs="Arial"/>
                <w:color w:val="000000"/>
                <w:sz w:val="22"/>
                <w:szCs w:val="22"/>
              </w:rPr>
              <w:t>,</w:t>
            </w:r>
            <w:r w:rsidRPr="002B5B4E">
              <w:rPr>
                <w:rFonts w:cs="Arial"/>
                <w:color w:val="000000"/>
                <w:sz w:val="22"/>
                <w:szCs w:val="22"/>
              </w:rPr>
              <w:t>64</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DS04A</w:t>
            </w:r>
          </w:p>
        </w:tc>
        <w:tc>
          <w:tcPr>
            <w:tcW w:w="986" w:type="pct"/>
            <w:vMerge/>
            <w:tcBorders>
              <w:left w:val="single" w:sz="4" w:space="0" w:color="auto"/>
              <w:bottom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+6</w:t>
            </w:r>
            <w:r>
              <w:rPr>
                <w:rFonts w:cs="Arial"/>
                <w:sz w:val="22"/>
                <w:szCs w:val="22"/>
              </w:rPr>
              <w:t>.</w:t>
            </w:r>
            <w:r w:rsidRPr="002B5B4E">
              <w:rPr>
                <w:rFonts w:cs="Arial"/>
                <w:sz w:val="22"/>
                <w:szCs w:val="22"/>
              </w:rPr>
              <w:t>783 (+32%)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+2</w:t>
            </w:r>
            <w:r>
              <w:rPr>
                <w:rFonts w:cs="Arial"/>
                <w:color w:val="000000"/>
                <w:sz w:val="22"/>
                <w:szCs w:val="22"/>
              </w:rPr>
              <w:t>,</w:t>
            </w:r>
            <w:r w:rsidRPr="002B5B4E">
              <w:rPr>
                <w:rFonts w:cs="Arial"/>
                <w:color w:val="000000"/>
                <w:sz w:val="22"/>
                <w:szCs w:val="22"/>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+2</w:t>
            </w:r>
            <w:r>
              <w:rPr>
                <w:rFonts w:cs="Arial"/>
                <w:sz w:val="22"/>
                <w:szCs w:val="22"/>
              </w:rPr>
              <w:t>.</w:t>
            </w:r>
            <w:r w:rsidRPr="002B5B4E">
              <w:rPr>
                <w:rFonts w:cs="Arial"/>
                <w:sz w:val="22"/>
                <w:szCs w:val="22"/>
              </w:rPr>
              <w:t>159 (+</w:t>
            </w:r>
            <w:r>
              <w:rPr>
                <w:rFonts w:cs="Arial"/>
                <w:sz w:val="22"/>
                <w:szCs w:val="22"/>
              </w:rPr>
              <w:t>3</w:t>
            </w:r>
            <w:r w:rsidRPr="002B5B4E">
              <w:rPr>
                <w:rFonts w:cs="Arial"/>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6%</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529</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23</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DS05R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București - Sibiu via Ramnicu Valcea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+73(+0%)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+26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-8</w:t>
            </w:r>
            <w:r>
              <w:rPr>
                <w:rFonts w:cs="Arial"/>
                <w:color w:val="000000"/>
                <w:sz w:val="22"/>
                <w:szCs w:val="22"/>
              </w:rPr>
              <w:t>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DS05A</w:t>
            </w:r>
          </w:p>
        </w:tc>
        <w:tc>
          <w:tcPr>
            <w:tcW w:w="986" w:type="pct"/>
            <w:vMerge/>
            <w:tcBorders>
              <w:left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w:t>
            </w:r>
            <w:r w:rsidRPr="002B5B4E">
              <w:rPr>
                <w:rFonts w:cs="Arial"/>
                <w:sz w:val="22"/>
                <w:szCs w:val="22"/>
              </w:rPr>
              <w:t>253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+1</w:t>
            </w:r>
            <w:r>
              <w:rPr>
                <w:rFonts w:cs="Arial"/>
                <w:sz w:val="22"/>
                <w:szCs w:val="22"/>
              </w:rPr>
              <w:t>.</w:t>
            </w:r>
            <w:r w:rsidRPr="002B5B4E">
              <w:rPr>
                <w:rFonts w:cs="Arial"/>
                <w:sz w:val="22"/>
                <w:szCs w:val="22"/>
              </w:rPr>
              <w:t>435 (+</w:t>
            </w:r>
            <w:r>
              <w:rPr>
                <w:rFonts w:cs="Arial"/>
                <w:sz w:val="22"/>
                <w:szCs w:val="22"/>
              </w:rPr>
              <w:t>2</w:t>
            </w:r>
            <w:r w:rsidRPr="002B5B4E">
              <w:rPr>
                <w:rFonts w:cs="Arial"/>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5%</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605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01</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DS05B</w:t>
            </w:r>
          </w:p>
        </w:tc>
        <w:tc>
          <w:tcPr>
            <w:tcW w:w="986" w:type="pct"/>
            <w:vMerge/>
            <w:tcBorders>
              <w:left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w:t>
            </w:r>
            <w:r w:rsidRPr="002B5B4E">
              <w:rPr>
                <w:rFonts w:cs="Arial"/>
                <w:sz w:val="22"/>
                <w:szCs w:val="22"/>
              </w:rPr>
              <w:t>238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+1</w:t>
            </w:r>
            <w:r>
              <w:rPr>
                <w:rFonts w:cs="Arial"/>
                <w:sz w:val="22"/>
                <w:szCs w:val="22"/>
              </w:rPr>
              <w:t>.</w:t>
            </w:r>
            <w:r w:rsidRPr="002B5B4E">
              <w:rPr>
                <w:rFonts w:cs="Arial"/>
                <w:sz w:val="22"/>
                <w:szCs w:val="22"/>
              </w:rPr>
              <w:t>358 (+2%)</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4%</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6</w:t>
            </w:r>
            <w:r>
              <w:rPr>
                <w:rFonts w:cs="Arial"/>
                <w:color w:val="000000"/>
                <w:sz w:val="22"/>
                <w:szCs w:val="22"/>
              </w:rPr>
              <w:t>59</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61</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DS05C</w:t>
            </w:r>
          </w:p>
        </w:tc>
        <w:tc>
          <w:tcPr>
            <w:tcW w:w="986" w:type="pct"/>
            <w:vMerge/>
            <w:tcBorders>
              <w:left w:val="single" w:sz="4" w:space="0" w:color="auto"/>
              <w:bottom w:val="single" w:sz="4" w:space="0" w:color="auto"/>
              <w:right w:val="single" w:sz="4" w:space="0" w:color="auto"/>
            </w:tcBorders>
          </w:tcPr>
          <w:p w:rsidR="00573AD5"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+1.580 (+7%)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+0,5%</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+2.855 (+4%)</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+0,8%</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03F94" w:rsidRDefault="00573AD5" w:rsidP="00573AD5">
            <w:pPr>
              <w:spacing w:before="120"/>
              <w:ind w:left="720" w:hanging="720"/>
              <w:jc w:val="center"/>
              <w:rPr>
                <w:rFonts w:cs="Arial"/>
                <w:color w:val="000000"/>
                <w:sz w:val="22"/>
                <w:szCs w:val="22"/>
              </w:rPr>
            </w:pPr>
            <w:r w:rsidRPr="002B5B4E">
              <w:rPr>
                <w:rFonts w:cs="Arial"/>
                <w:color w:val="000000"/>
                <w:sz w:val="22"/>
                <w:szCs w:val="22"/>
              </w:rPr>
              <w:t>2</w:t>
            </w:r>
            <w:r>
              <w:rPr>
                <w:rFonts w:cs="Arial"/>
                <w:color w:val="000000"/>
                <w:sz w:val="22"/>
                <w:szCs w:val="22"/>
              </w:rPr>
              <w:t>91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03F94"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w:t>
            </w:r>
            <w:r w:rsidRPr="002B5B4E">
              <w:rPr>
                <w:rFonts w:cs="Arial"/>
                <w:color w:val="000000"/>
                <w:sz w:val="22"/>
                <w:szCs w:val="22"/>
              </w:rPr>
              <w:t>23</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DS06R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720" w:hanging="720"/>
              <w:jc w:val="center"/>
              <w:rPr>
                <w:rFonts w:cs="Arial"/>
                <w:sz w:val="22"/>
                <w:szCs w:val="22"/>
              </w:rPr>
            </w:pPr>
            <w:r>
              <w:rPr>
                <w:rFonts w:cs="Arial"/>
                <w:sz w:val="22"/>
                <w:szCs w:val="22"/>
              </w:rPr>
              <w:t>Cluj Napoca - Iasi</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+272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+24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75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DS06A</w:t>
            </w:r>
          </w:p>
        </w:tc>
        <w:tc>
          <w:tcPr>
            <w:tcW w:w="986" w:type="pct"/>
            <w:vMerge/>
            <w:tcBorders>
              <w:left w:val="single" w:sz="4" w:space="0" w:color="auto"/>
              <w:right w:val="single" w:sz="4" w:space="0" w:color="auto"/>
            </w:tcBorders>
            <w:vAlign w:val="center"/>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w:t>
            </w:r>
            <w:r w:rsidRPr="002B5B4E">
              <w:rPr>
                <w:rFonts w:cs="Arial"/>
                <w:sz w:val="22"/>
                <w:szCs w:val="22"/>
              </w:rPr>
              <w:t>390 (+7%)</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+1</w:t>
            </w:r>
            <w:r>
              <w:rPr>
                <w:rFonts w:cs="Arial"/>
                <w:sz w:val="22"/>
                <w:szCs w:val="22"/>
              </w:rPr>
              <w:t>.</w:t>
            </w:r>
            <w:r w:rsidRPr="002B5B4E">
              <w:rPr>
                <w:rFonts w:cs="Arial"/>
                <w:sz w:val="22"/>
                <w:szCs w:val="22"/>
              </w:rPr>
              <w:t>220 (+</w:t>
            </w:r>
            <w:r>
              <w:rPr>
                <w:rFonts w:cs="Arial"/>
                <w:sz w:val="22"/>
                <w:szCs w:val="22"/>
              </w:rPr>
              <w:t>2</w:t>
            </w:r>
            <w:r w:rsidRPr="002B5B4E">
              <w:rPr>
                <w:rFonts w:cs="Arial"/>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.183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39</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DS06B</w:t>
            </w:r>
          </w:p>
        </w:tc>
        <w:tc>
          <w:tcPr>
            <w:tcW w:w="986" w:type="pct"/>
            <w:vMerge/>
            <w:tcBorders>
              <w:left w:val="single" w:sz="4" w:space="0" w:color="auto"/>
              <w:bottom w:val="single" w:sz="4" w:space="0" w:color="auto"/>
              <w:right w:val="single" w:sz="4" w:space="0" w:color="auto"/>
            </w:tcBorders>
            <w:vAlign w:val="center"/>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+2</w:t>
            </w:r>
            <w:r>
              <w:rPr>
                <w:rFonts w:cs="Arial"/>
                <w:sz w:val="22"/>
                <w:szCs w:val="22"/>
              </w:rPr>
              <w:t>.</w:t>
            </w:r>
            <w:r w:rsidRPr="002B5B4E">
              <w:rPr>
                <w:rFonts w:cs="Arial"/>
                <w:sz w:val="22"/>
                <w:szCs w:val="22"/>
              </w:rPr>
              <w:t>156 (+10%)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6%</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right"/>
              <w:rPr>
                <w:rFonts w:cs="Arial"/>
                <w:sz w:val="22"/>
                <w:szCs w:val="22"/>
              </w:rPr>
            </w:pPr>
            <w:r w:rsidRPr="002B5B4E">
              <w:rPr>
                <w:rFonts w:cs="Arial"/>
                <w:sz w:val="22"/>
                <w:szCs w:val="22"/>
              </w:rPr>
              <w:t>+1</w:t>
            </w:r>
            <w:r>
              <w:rPr>
                <w:rFonts w:cs="Arial"/>
                <w:sz w:val="22"/>
                <w:szCs w:val="22"/>
              </w:rPr>
              <w:t>.</w:t>
            </w:r>
            <w:r w:rsidRPr="002B5B4E">
              <w:rPr>
                <w:rFonts w:cs="Arial"/>
                <w:sz w:val="22"/>
                <w:szCs w:val="22"/>
              </w:rPr>
              <w:t>221 (+</w:t>
            </w:r>
            <w:r>
              <w:rPr>
                <w:rFonts w:cs="Arial"/>
                <w:sz w:val="22"/>
                <w:szCs w:val="22"/>
              </w:rPr>
              <w:t>2</w:t>
            </w:r>
            <w:r w:rsidRPr="002B5B4E">
              <w:rPr>
                <w:rFonts w:cs="Arial"/>
                <w:sz w:val="22"/>
                <w:szCs w:val="22"/>
              </w:rPr>
              <w:t>%)</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.740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35</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DS07R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Cluj Napoca - Oradea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-234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+11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73</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DS07A</w:t>
            </w:r>
          </w:p>
        </w:tc>
        <w:tc>
          <w:tcPr>
            <w:tcW w:w="986" w:type="pct"/>
            <w:vMerge/>
            <w:tcBorders>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79</w:t>
            </w:r>
            <w:r w:rsidRPr="002B5B4E">
              <w:rPr>
                <w:rFonts w:cs="Arial"/>
                <w:sz w:val="22"/>
                <w:szCs w:val="22"/>
              </w:rPr>
              <w:t xml:space="preserve">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+456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316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30</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DS07B</w:t>
            </w:r>
          </w:p>
        </w:tc>
        <w:tc>
          <w:tcPr>
            <w:tcW w:w="986" w:type="pct"/>
            <w:vMerge/>
            <w:tcBorders>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+389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+456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740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39</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DS07C</w:t>
            </w:r>
          </w:p>
        </w:tc>
        <w:tc>
          <w:tcPr>
            <w:tcW w:w="986" w:type="pct"/>
            <w:vMerge/>
            <w:tcBorders>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+58 (0%)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-19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,98</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DS08R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Stamora Moravita - Oradea via Timisoara</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+421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-12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-10</w:t>
            </w:r>
            <w:r>
              <w:rPr>
                <w:rFonts w:cs="Arial"/>
                <w:color w:val="000000"/>
                <w:sz w:val="22"/>
                <w:szCs w:val="22"/>
              </w:rPr>
              <w:t>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,35</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DS08A</w:t>
            </w:r>
          </w:p>
        </w:tc>
        <w:tc>
          <w:tcPr>
            <w:tcW w:w="986" w:type="pct"/>
            <w:vMerge/>
            <w:tcBorders>
              <w:left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w:t>
            </w:r>
            <w:r w:rsidRPr="002B5B4E">
              <w:rPr>
                <w:rFonts w:cs="Arial"/>
                <w:sz w:val="22"/>
                <w:szCs w:val="22"/>
              </w:rPr>
              <w:t>212 (</w:t>
            </w:r>
            <w:r>
              <w:rPr>
                <w:rFonts w:cs="Arial"/>
                <w:sz w:val="22"/>
                <w:szCs w:val="22"/>
              </w:rPr>
              <w:t>+</w:t>
            </w:r>
            <w:r w:rsidRPr="002B5B4E">
              <w:rPr>
                <w:rFonts w:cs="Arial"/>
                <w:sz w:val="22"/>
                <w:szCs w:val="22"/>
              </w:rPr>
              <w:t>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+281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-9</w:t>
            </w:r>
            <w:r>
              <w:rPr>
                <w:rFonts w:cs="Arial"/>
                <w:color w:val="000000"/>
                <w:sz w:val="22"/>
                <w:szCs w:val="22"/>
              </w:rPr>
              <w:t>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,63</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DS08B</w:t>
            </w:r>
          </w:p>
        </w:tc>
        <w:tc>
          <w:tcPr>
            <w:tcW w:w="986" w:type="pct"/>
            <w:vMerge/>
            <w:tcBorders>
              <w:left w:val="single" w:sz="4" w:space="0" w:color="auto"/>
              <w:bottom w:val="single" w:sz="4" w:space="0" w:color="auto"/>
              <w:right w:val="single" w:sz="4" w:space="0" w:color="auto"/>
            </w:tcBorders>
          </w:tcPr>
          <w:p w:rsidR="00573AD5"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1.251 (+6%)</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color w:val="000000"/>
                <w:sz w:val="22"/>
                <w:szCs w:val="22"/>
              </w:rPr>
            </w:pPr>
            <w:r>
              <w:rPr>
                <w:rFonts w:cs="Arial"/>
                <w:color w:val="000000"/>
                <w:sz w:val="22"/>
                <w:szCs w:val="22"/>
              </w:rPr>
              <w:t>0,4%</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+281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color w:val="000000"/>
                <w:sz w:val="22"/>
                <w:szCs w:val="22"/>
              </w:rPr>
            </w:pPr>
            <w:r>
              <w:rPr>
                <w:rFonts w:cs="Arial"/>
                <w:color w:val="000000"/>
                <w:sz w:val="22"/>
                <w:szCs w:val="22"/>
              </w:rPr>
              <w:t>0,1%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515CCA" w:rsidRDefault="00573AD5" w:rsidP="00573AD5">
            <w:pPr>
              <w:spacing w:before="120"/>
              <w:ind w:left="720" w:hanging="720"/>
              <w:jc w:val="center"/>
              <w:rPr>
                <w:rFonts w:cs="Arial"/>
                <w:color w:val="000000"/>
                <w:sz w:val="22"/>
                <w:szCs w:val="22"/>
              </w:rPr>
            </w:pPr>
            <w:r>
              <w:rPr>
                <w:rFonts w:cs="Arial"/>
                <w:color w:val="000000"/>
                <w:sz w:val="22"/>
                <w:szCs w:val="22"/>
              </w:rPr>
              <w:t>-98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515CCA" w:rsidRDefault="00573AD5" w:rsidP="00573AD5">
            <w:pPr>
              <w:spacing w:before="120"/>
              <w:ind w:left="720" w:hanging="720"/>
              <w:jc w:val="center"/>
              <w:rPr>
                <w:rFonts w:cs="Arial"/>
                <w:color w:val="000000"/>
                <w:sz w:val="22"/>
                <w:szCs w:val="22"/>
              </w:rPr>
            </w:pPr>
            <w:r>
              <w:rPr>
                <w:rFonts w:cs="Arial"/>
                <w:color w:val="000000"/>
                <w:sz w:val="22"/>
                <w:szCs w:val="22"/>
              </w:rPr>
              <w:t>0,63</w:t>
            </w:r>
          </w:p>
        </w:tc>
      </w:tr>
      <w:tr w:rsidR="00573AD5" w:rsidRPr="00703F94" w:rsidTr="0030066D">
        <w:trPr>
          <w:cantSplit/>
          <w:trHeight w:hRule="exact" w:val="505"/>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lastRenderedPageBreak/>
              <w:t>DS09R</w:t>
            </w:r>
          </w:p>
        </w:tc>
        <w:tc>
          <w:tcPr>
            <w:tcW w:w="986" w:type="pct"/>
            <w:vMerge w:val="restart"/>
            <w:tcBorders>
              <w:top w:val="single" w:sz="4" w:space="0" w:color="auto"/>
              <w:left w:val="single" w:sz="4" w:space="0" w:color="auto"/>
              <w:right w:val="single" w:sz="4" w:space="0" w:color="auto"/>
            </w:tcBorders>
          </w:tcPr>
          <w:p w:rsidR="00573AD5" w:rsidRDefault="00573AD5" w:rsidP="00573AD5">
            <w:pPr>
              <w:spacing w:before="120"/>
              <w:ind w:left="34" w:hanging="34"/>
              <w:jc w:val="center"/>
              <w:rPr>
                <w:rFonts w:cs="Arial"/>
                <w:sz w:val="22"/>
                <w:szCs w:val="22"/>
              </w:rPr>
            </w:pPr>
            <w:r>
              <w:rPr>
                <w:rFonts w:cs="Arial"/>
                <w:sz w:val="22"/>
                <w:szCs w:val="22"/>
              </w:rPr>
              <w:t>Oradea - Cluj via Baia Mare și Satu Mare</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+444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-10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-1</w:t>
            </w:r>
            <w:r>
              <w:rPr>
                <w:rFonts w:cs="Arial"/>
                <w:color w:val="000000"/>
                <w:sz w:val="22"/>
                <w:szCs w:val="22"/>
              </w:rPr>
              <w:t>03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,12</w:t>
            </w:r>
          </w:p>
        </w:tc>
      </w:tr>
      <w:tr w:rsidR="00573AD5" w:rsidRPr="00703F94" w:rsidTr="0030066D">
        <w:trPr>
          <w:cantSplit/>
          <w:trHeight w:hRule="exact" w:val="427"/>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DS09A</w:t>
            </w:r>
          </w:p>
        </w:tc>
        <w:tc>
          <w:tcPr>
            <w:tcW w:w="986" w:type="pct"/>
            <w:vMerge/>
            <w:tcBorders>
              <w:left w:val="single" w:sz="4" w:space="0" w:color="auto"/>
              <w:bottom w:val="single" w:sz="4" w:space="0" w:color="auto"/>
              <w:right w:val="single" w:sz="4" w:space="0" w:color="auto"/>
            </w:tcBorders>
          </w:tcPr>
          <w:p w:rsidR="00573AD5" w:rsidRPr="00515CCA" w:rsidRDefault="00573AD5" w:rsidP="00573AD5">
            <w:pPr>
              <w:spacing w:before="120"/>
              <w:ind w:left="720" w:hanging="720"/>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w:t>
            </w:r>
            <w:r>
              <w:rPr>
                <w:rFonts w:cs="Arial"/>
                <w:sz w:val="22"/>
                <w:szCs w:val="22"/>
              </w:rPr>
              <w:t>.</w:t>
            </w:r>
            <w:r w:rsidRPr="002B5B4E">
              <w:rPr>
                <w:rFonts w:cs="Arial"/>
                <w:sz w:val="22"/>
                <w:szCs w:val="22"/>
              </w:rPr>
              <w:t>085 (+5%)</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3%</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+414 (+1%)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633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,25</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DS10R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București - Giurgiu</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+456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+54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395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11,18</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DS10A</w:t>
            </w:r>
          </w:p>
        </w:tc>
        <w:tc>
          <w:tcPr>
            <w:tcW w:w="986" w:type="pct"/>
            <w:vMerge/>
            <w:tcBorders>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+545 (+3%)</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,2</w:t>
            </w:r>
            <w:r w:rsidRPr="002B5B4E">
              <w:rPr>
                <w:rFonts w:cs="Arial"/>
                <w:color w:val="000000"/>
                <w:sz w:val="22"/>
                <w:szCs w:val="22"/>
              </w:rPr>
              <w:t>%</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+123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335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4,20</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DS10B</w:t>
            </w:r>
          </w:p>
        </w:tc>
        <w:tc>
          <w:tcPr>
            <w:tcW w:w="986" w:type="pct"/>
            <w:vMerge/>
            <w:tcBorders>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+545 (+3%)</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,2</w:t>
            </w:r>
            <w:r w:rsidRPr="002B5B4E">
              <w:rPr>
                <w:rFonts w:cs="Arial"/>
                <w:color w:val="000000"/>
                <w:sz w:val="22"/>
                <w:szCs w:val="22"/>
              </w:rPr>
              <w:t>%</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+123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3</w:t>
            </w:r>
            <w:r>
              <w:rPr>
                <w:rFonts w:cs="Arial"/>
                <w:color w:val="000000"/>
                <w:sz w:val="22"/>
                <w:szCs w:val="22"/>
              </w:rPr>
              <w:t>47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2,68</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DS11R</w:t>
            </w:r>
          </w:p>
        </w:tc>
        <w:tc>
          <w:tcPr>
            <w:tcW w:w="986" w:type="pct"/>
            <w:vMerge w:val="restart"/>
            <w:tcBorders>
              <w:top w:val="single" w:sz="4" w:space="0" w:color="auto"/>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Craoiva - Calafat</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+151 (+1%)</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Pr>
                <w:rFonts w:cs="Arial"/>
                <w:sz w:val="22"/>
                <w:szCs w:val="22"/>
              </w:rPr>
              <w:t>-1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sidRPr="002B5B4E">
              <w:rPr>
                <w:rFonts w:cs="Arial"/>
                <w:color w:val="000000"/>
                <w:sz w:val="22"/>
                <w:szCs w:val="22"/>
              </w:rPr>
              <w:t>3</w:t>
            </w:r>
            <w:r>
              <w:rPr>
                <w:rFonts w:cs="Arial"/>
                <w:color w:val="000000"/>
                <w:sz w:val="22"/>
                <w:szCs w:val="22"/>
              </w:rPr>
              <w:t>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3,65</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DS11A</w:t>
            </w:r>
          </w:p>
        </w:tc>
        <w:tc>
          <w:tcPr>
            <w:tcW w:w="986" w:type="pct"/>
            <w:vMerge/>
            <w:tcBorders>
              <w:left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+363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w:t>
            </w:r>
            <w:r w:rsidRPr="002B5B4E">
              <w:rPr>
                <w:rFonts w:cs="Arial"/>
                <w:color w:val="000000"/>
                <w:sz w:val="22"/>
                <w:szCs w:val="22"/>
              </w:rPr>
              <w:t>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spacing w:before="120"/>
              <w:ind w:left="720" w:hanging="720"/>
              <w:jc w:val="center"/>
              <w:rPr>
                <w:rFonts w:cs="Arial"/>
                <w:sz w:val="22"/>
                <w:szCs w:val="22"/>
              </w:rPr>
            </w:pPr>
            <w:r w:rsidRPr="002B5B4E">
              <w:rPr>
                <w:rFonts w:cs="Arial"/>
                <w:sz w:val="22"/>
                <w:szCs w:val="22"/>
              </w:rPr>
              <w:t>+92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spacing w:before="120"/>
              <w:ind w:left="720" w:hanging="720"/>
              <w:jc w:val="center"/>
              <w:rPr>
                <w:rFonts w:cs="Arial"/>
                <w:color w:val="000000"/>
                <w:sz w:val="22"/>
                <w:szCs w:val="22"/>
              </w:rPr>
            </w:pPr>
            <w:r w:rsidRPr="002B5B4E">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-12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0,91</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tabs>
                <w:tab w:val="left" w:pos="680"/>
                <w:tab w:val="right" w:leader="dot" w:pos="10291"/>
              </w:tabs>
              <w:spacing w:before="120"/>
              <w:ind w:left="720" w:right="170" w:hanging="720"/>
              <w:jc w:val="center"/>
              <w:rPr>
                <w:rFonts w:cs="Arial"/>
                <w:color w:val="000000"/>
                <w:sz w:val="22"/>
                <w:szCs w:val="22"/>
              </w:rPr>
            </w:pPr>
            <w:r>
              <w:rPr>
                <w:rFonts w:cs="Arial"/>
                <w:color w:val="000000"/>
                <w:sz w:val="22"/>
                <w:szCs w:val="22"/>
              </w:rPr>
              <w:t>DS11B</w:t>
            </w:r>
          </w:p>
        </w:tc>
        <w:tc>
          <w:tcPr>
            <w:tcW w:w="986" w:type="pct"/>
            <w:vMerge/>
            <w:tcBorders>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tabs>
                <w:tab w:val="left" w:pos="680"/>
                <w:tab w:val="right" w:leader="dot" w:pos="10291"/>
              </w:tabs>
              <w:spacing w:before="120"/>
              <w:ind w:left="720" w:right="170" w:hanging="720"/>
              <w:jc w:val="center"/>
              <w:rPr>
                <w:rFonts w:cs="Arial"/>
                <w:sz w:val="22"/>
                <w:szCs w:val="22"/>
              </w:rPr>
            </w:pPr>
            <w:r>
              <w:rPr>
                <w:rFonts w:cs="Arial"/>
                <w:sz w:val="22"/>
                <w:szCs w:val="22"/>
              </w:rPr>
              <w:t>+363 (+2%)</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Pr>
                <w:rFonts w:cs="Arial"/>
                <w:color w:val="000000"/>
                <w:sz w:val="22"/>
                <w:szCs w:val="22"/>
              </w:rPr>
              <w:t>+0,1%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tabs>
                <w:tab w:val="left" w:pos="680"/>
                <w:tab w:val="right" w:leader="dot" w:pos="10291"/>
              </w:tabs>
              <w:spacing w:before="120"/>
              <w:ind w:left="720" w:right="170" w:hanging="720"/>
              <w:jc w:val="center"/>
              <w:rPr>
                <w:rFonts w:cs="Arial"/>
                <w:sz w:val="22"/>
                <w:szCs w:val="22"/>
              </w:rPr>
            </w:pPr>
            <w:r>
              <w:rPr>
                <w:rFonts w:cs="Arial"/>
                <w:sz w:val="22"/>
                <w:szCs w:val="22"/>
              </w:rPr>
              <w:t>+92%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90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sidRPr="002B5B4E">
              <w:rPr>
                <w:rFonts w:cs="Arial"/>
                <w:color w:val="000000"/>
                <w:sz w:val="22"/>
                <w:szCs w:val="22"/>
              </w:rPr>
              <w:t>0</w:t>
            </w:r>
            <w:r>
              <w:rPr>
                <w:rFonts w:cs="Arial"/>
                <w:color w:val="000000"/>
                <w:sz w:val="22"/>
                <w:szCs w:val="22"/>
              </w:rPr>
              <w:t>,64</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Pr>
                <w:rFonts w:cs="Arial"/>
                <w:color w:val="000000"/>
                <w:sz w:val="22"/>
                <w:szCs w:val="22"/>
              </w:rPr>
              <w:t>DS12RR</w:t>
            </w:r>
          </w:p>
        </w:tc>
        <w:tc>
          <w:tcPr>
            <w:tcW w:w="986" w:type="pct"/>
            <w:tcBorders>
              <w:top w:val="single" w:sz="4" w:space="0" w:color="auto"/>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Test tr.marfă</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tabs>
                <w:tab w:val="left" w:pos="680"/>
                <w:tab w:val="right" w:leader="dot" w:pos="10291"/>
              </w:tabs>
              <w:spacing w:before="120"/>
              <w:ind w:left="720" w:right="170" w:hanging="720"/>
              <w:jc w:val="center"/>
              <w:rPr>
                <w:rFonts w:cs="Arial"/>
                <w:sz w:val="22"/>
                <w:szCs w:val="22"/>
              </w:rPr>
            </w:pPr>
            <w:r>
              <w:rPr>
                <w:rFonts w:cs="Arial"/>
                <w:sz w:val="22"/>
                <w:szCs w:val="22"/>
              </w:rPr>
              <w:t>+20 (+0%)</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Pr>
                <w:rFonts w:cs="Arial"/>
                <w:color w:val="000000"/>
                <w:sz w:val="22"/>
                <w:szCs w:val="22"/>
              </w:rPr>
              <w:t>+0%</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tabs>
                <w:tab w:val="left" w:pos="680"/>
                <w:tab w:val="right" w:leader="dot" w:pos="10291"/>
              </w:tabs>
              <w:spacing w:before="120"/>
              <w:ind w:left="720" w:right="170" w:hanging="720"/>
              <w:jc w:val="center"/>
              <w:rPr>
                <w:rFonts w:cs="Arial"/>
                <w:sz w:val="22"/>
                <w:szCs w:val="22"/>
              </w:rPr>
            </w:pPr>
            <w:r>
              <w:rPr>
                <w:rFonts w:cs="Arial"/>
                <w:sz w:val="22"/>
                <w:szCs w:val="22"/>
              </w:rPr>
              <w:t>+18 (0%)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Pr>
                <w:rFonts w:cs="Arial"/>
                <w:color w:val="000000"/>
                <w:sz w:val="22"/>
                <w:szCs w:val="22"/>
              </w:rPr>
              <w:t>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sidRPr="002B5B4E">
              <w:rPr>
                <w:rFonts w:cs="Arial"/>
                <w:color w:val="000000"/>
                <w:sz w:val="22"/>
                <w:szCs w:val="22"/>
              </w:rPr>
              <w:t>-</w:t>
            </w:r>
            <w:r>
              <w:rPr>
                <w:rFonts w:cs="Arial"/>
                <w:color w:val="000000"/>
                <w:sz w:val="22"/>
                <w:szCs w:val="22"/>
              </w:rPr>
              <w:t>15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jc w:val="center"/>
              <w:rPr>
                <w:rFonts w:cs="Arial"/>
                <w:color w:val="000000"/>
                <w:sz w:val="22"/>
                <w:szCs w:val="22"/>
              </w:rPr>
            </w:pPr>
            <w:r>
              <w:rPr>
                <w:rFonts w:cs="Arial"/>
                <w:color w:val="000000"/>
                <w:sz w:val="22"/>
                <w:szCs w:val="22"/>
              </w:rPr>
              <w:t>-</w:t>
            </w:r>
          </w:p>
        </w:tc>
      </w:tr>
      <w:tr w:rsidR="00573AD5" w:rsidRPr="00703F94" w:rsidTr="0030066D">
        <w:trPr>
          <w:cantSplit/>
          <w:trHeight w:hRule="exact" w:val="369"/>
        </w:trPr>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sidRPr="002B5B4E">
              <w:rPr>
                <w:rFonts w:cs="Arial"/>
                <w:color w:val="000000"/>
                <w:sz w:val="22"/>
                <w:szCs w:val="22"/>
              </w:rPr>
              <w:t>DS99A</w:t>
            </w:r>
          </w:p>
        </w:tc>
        <w:tc>
          <w:tcPr>
            <w:tcW w:w="986" w:type="pct"/>
            <w:tcBorders>
              <w:top w:val="single" w:sz="4" w:space="0" w:color="auto"/>
              <w:left w:val="single" w:sz="4" w:space="0" w:color="auto"/>
              <w:bottom w:val="single" w:sz="4" w:space="0" w:color="auto"/>
              <w:right w:val="single" w:sz="4" w:space="0" w:color="auto"/>
            </w:tcBorders>
            <w:vAlign w:val="center"/>
          </w:tcPr>
          <w:p w:rsidR="00573AD5" w:rsidRDefault="00573AD5" w:rsidP="00573AD5">
            <w:pPr>
              <w:spacing w:before="120"/>
              <w:ind w:left="34" w:hanging="34"/>
              <w:jc w:val="center"/>
              <w:rPr>
                <w:rFonts w:cs="Arial"/>
                <w:sz w:val="22"/>
                <w:szCs w:val="22"/>
              </w:rPr>
            </w:pPr>
            <w:r>
              <w:rPr>
                <w:rFonts w:cs="Arial"/>
                <w:sz w:val="22"/>
                <w:szCs w:val="22"/>
              </w:rPr>
              <w:t>Test combinat</w:t>
            </w:r>
          </w:p>
        </w:tc>
        <w:tc>
          <w:tcPr>
            <w:tcW w:w="720" w:type="pct"/>
            <w:tcBorders>
              <w:top w:val="single" w:sz="4" w:space="0" w:color="auto"/>
              <w:left w:val="single" w:sz="4" w:space="0" w:color="auto"/>
              <w:bottom w:val="single" w:sz="4" w:space="0" w:color="auto"/>
              <w:right w:val="single" w:sz="4" w:space="0" w:color="auto"/>
            </w:tcBorders>
            <w:shd w:val="clear" w:color="auto" w:fill="auto"/>
          </w:tcPr>
          <w:p w:rsidR="00573AD5" w:rsidRDefault="00573AD5" w:rsidP="00573AD5">
            <w:pPr>
              <w:tabs>
                <w:tab w:val="left" w:pos="680"/>
                <w:tab w:val="right" w:leader="dot" w:pos="10291"/>
              </w:tabs>
              <w:spacing w:before="120"/>
              <w:ind w:left="720" w:right="170" w:hanging="720"/>
              <w:jc w:val="center"/>
              <w:rPr>
                <w:rFonts w:cs="Arial"/>
                <w:sz w:val="22"/>
                <w:szCs w:val="22"/>
              </w:rPr>
            </w:pPr>
            <w:r w:rsidRPr="002B5B4E">
              <w:rPr>
                <w:rFonts w:cs="Arial"/>
                <w:sz w:val="22"/>
                <w:szCs w:val="22"/>
              </w:rPr>
              <w:t>+24</w:t>
            </w:r>
            <w:r>
              <w:rPr>
                <w:rFonts w:cs="Arial"/>
                <w:sz w:val="22"/>
                <w:szCs w:val="22"/>
              </w:rPr>
              <w:t>.</w:t>
            </w:r>
            <w:r w:rsidRPr="002B5B4E">
              <w:rPr>
                <w:rFonts w:cs="Arial"/>
                <w:sz w:val="22"/>
                <w:szCs w:val="22"/>
              </w:rPr>
              <w:t>289</w:t>
            </w:r>
            <w:r>
              <w:rPr>
                <w:rFonts w:cs="Arial"/>
                <w:sz w:val="22"/>
                <w:szCs w:val="22"/>
              </w:rPr>
              <w:t xml:space="preserve"> (115%)</w:t>
            </w:r>
            <w:r w:rsidRPr="002B5B4E">
              <w:rPr>
                <w:rFonts w:cs="Arial"/>
                <w:sz w:val="22"/>
                <w:szCs w:val="22"/>
              </w:rPr>
              <w:t xml:space="preserve"> (+115%)</w:t>
            </w:r>
          </w:p>
        </w:tc>
        <w:tc>
          <w:tcPr>
            <w:tcW w:w="584"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sidRPr="002B5B4E">
              <w:rPr>
                <w:rFonts w:cs="Arial"/>
                <w:color w:val="000000"/>
                <w:sz w:val="22"/>
                <w:szCs w:val="22"/>
              </w:rPr>
              <w:t>+7</w:t>
            </w:r>
            <w:r>
              <w:rPr>
                <w:rFonts w:cs="Arial"/>
                <w:color w:val="000000"/>
                <w:sz w:val="22"/>
                <w:szCs w:val="22"/>
              </w:rPr>
              <w:t>,</w:t>
            </w:r>
            <w:r w:rsidRPr="002B5B4E">
              <w:rPr>
                <w:rFonts w:cs="Arial"/>
                <w:color w:val="000000"/>
                <w:sz w:val="22"/>
                <w:szCs w:val="22"/>
              </w:rPr>
              <w:t>1%</w:t>
            </w:r>
          </w:p>
        </w:tc>
        <w:tc>
          <w:tcPr>
            <w:tcW w:w="65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right"/>
              <w:rPr>
                <w:rFonts w:cs="Arial"/>
                <w:sz w:val="22"/>
                <w:szCs w:val="22"/>
              </w:rPr>
            </w:pPr>
            <w:r w:rsidRPr="002B5B4E">
              <w:rPr>
                <w:rFonts w:cs="Arial"/>
                <w:sz w:val="22"/>
                <w:szCs w:val="22"/>
              </w:rPr>
              <w:t>+8</w:t>
            </w:r>
            <w:r>
              <w:rPr>
                <w:rFonts w:cs="Arial"/>
                <w:sz w:val="22"/>
                <w:szCs w:val="22"/>
              </w:rPr>
              <w:t>.</w:t>
            </w:r>
            <w:r w:rsidRPr="002B5B4E">
              <w:rPr>
                <w:rFonts w:cs="Arial"/>
                <w:sz w:val="22"/>
                <w:szCs w:val="22"/>
              </w:rPr>
              <w:t>525</w:t>
            </w:r>
            <w:r>
              <w:rPr>
                <w:rFonts w:cs="Arial"/>
                <w:sz w:val="22"/>
                <w:szCs w:val="22"/>
              </w:rPr>
              <w:t xml:space="preserve"> (13%)</w:t>
            </w:r>
            <w:r w:rsidRPr="002B5B4E">
              <w:rPr>
                <w:rFonts w:cs="Arial"/>
                <w:sz w:val="22"/>
                <w:szCs w:val="22"/>
              </w:rPr>
              <w:t xml:space="preserve"> </w:t>
            </w:r>
            <w:r>
              <w:rPr>
                <w:rFonts w:cs="Arial"/>
                <w:sz w:val="22"/>
                <w:szCs w:val="22"/>
              </w:rPr>
              <w:t>(1</w:t>
            </w:r>
            <w:r w:rsidRPr="002B5B4E">
              <w:rPr>
                <w:rFonts w:cs="Arial"/>
                <w:sz w:val="22"/>
                <w:szCs w:val="22"/>
              </w:rPr>
              <w:t>(+19%)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573AD5" w:rsidRPr="00760C6E" w:rsidRDefault="00573AD5" w:rsidP="00573AD5">
            <w:pPr>
              <w:tabs>
                <w:tab w:val="left" w:pos="680"/>
                <w:tab w:val="right" w:leader="dot" w:pos="10291"/>
              </w:tabs>
              <w:spacing w:before="120"/>
              <w:ind w:left="720" w:right="170" w:hanging="720"/>
              <w:jc w:val="center"/>
              <w:rPr>
                <w:rFonts w:cs="Arial"/>
                <w:color w:val="000000"/>
                <w:sz w:val="22"/>
                <w:szCs w:val="22"/>
              </w:rPr>
            </w:pPr>
            <w:r w:rsidRPr="002B5B4E">
              <w:rPr>
                <w:rFonts w:cs="Arial"/>
                <w:color w:val="000000"/>
                <w:sz w:val="22"/>
                <w:szCs w:val="22"/>
              </w:rPr>
              <w:t>+2</w:t>
            </w:r>
            <w:r>
              <w:rPr>
                <w:rFonts w:cs="Arial"/>
                <w:color w:val="000000"/>
                <w:sz w:val="22"/>
                <w:szCs w:val="22"/>
              </w:rPr>
              <w:t>,</w:t>
            </w:r>
            <w:r w:rsidRPr="002B5B4E">
              <w:rPr>
                <w:rFonts w:cs="Arial"/>
                <w:color w:val="000000"/>
                <w:sz w:val="22"/>
                <w:szCs w:val="22"/>
              </w:rPr>
              <w:t>5%</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248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573AD5" w:rsidRDefault="00573AD5" w:rsidP="00573AD5">
            <w:pPr>
              <w:spacing w:before="120"/>
              <w:ind w:left="720" w:hanging="720"/>
              <w:jc w:val="center"/>
              <w:rPr>
                <w:rFonts w:cs="Arial"/>
                <w:color w:val="000000"/>
                <w:sz w:val="22"/>
                <w:szCs w:val="22"/>
              </w:rPr>
            </w:pPr>
            <w:r>
              <w:rPr>
                <w:rFonts w:cs="Arial"/>
                <w:color w:val="000000"/>
                <w:sz w:val="22"/>
                <w:szCs w:val="22"/>
              </w:rPr>
              <w:t>1,03</w:t>
            </w:r>
          </w:p>
        </w:tc>
      </w:tr>
    </w:tbl>
    <w:p w:rsidR="00573AD5" w:rsidRPr="00AE1AD4" w:rsidRDefault="00573AD5" w:rsidP="00AE1AD4">
      <w:pPr>
        <w:ind w:left="851"/>
        <w:rPr>
          <w:i/>
          <w:lang w:val="ro-RO"/>
        </w:rPr>
      </w:pPr>
    </w:p>
    <w:p w:rsidR="00573AD5" w:rsidRPr="0076579A" w:rsidRDefault="00573AD5" w:rsidP="0030066D">
      <w:pPr>
        <w:pStyle w:val="Hdg3"/>
      </w:pPr>
      <w:r w:rsidRPr="0076579A">
        <w:t>Analiza rezultatelor detaliate</w:t>
      </w:r>
    </w:p>
    <w:p w:rsidR="00573AD5" w:rsidRDefault="00573AD5" w:rsidP="002B7E09">
      <w:pPr>
        <w:pStyle w:val="NumberedParas"/>
      </w:pPr>
      <w:r w:rsidRPr="0076579A">
        <w:t>S-a aproximat un raport beneficiu-cost pentru fiecare segment al rutelor prin sub-</w:t>
      </w:r>
      <w:r w:rsidRPr="00D62754">
        <w:rPr>
          <w:b/>
        </w:rPr>
        <w:t>divizarea</w:t>
      </w:r>
      <w:r w:rsidRPr="0076579A">
        <w:t xml:space="preserve"> costurilor și beneficiilor, după cum poate fi observat în </w:t>
      </w:r>
      <w:r>
        <w:t>Tabelul 5.</w:t>
      </w:r>
      <w:r w:rsidRPr="0076579A">
        <w:t xml:space="preserve">12. </w:t>
      </w:r>
      <w:r>
        <w:t>Chiar dacă</w:t>
      </w:r>
      <w:r w:rsidRPr="0076579A">
        <w:t xml:space="preserve"> acest exercițiu generează</w:t>
      </w:r>
      <w:r>
        <w:t xml:space="preserve"> doar</w:t>
      </w:r>
      <w:r w:rsidRPr="0076579A">
        <w:t xml:space="preserve"> rezultate </w:t>
      </w:r>
      <w:r w:rsidRPr="0036322C">
        <w:t>agregate</w:t>
      </w:r>
      <w:r w:rsidRPr="0076579A">
        <w:t>,</w:t>
      </w:r>
      <w:r>
        <w:t>el oferă  însă</w:t>
      </w:r>
      <w:r w:rsidRPr="0076579A">
        <w:t xml:space="preserve"> indicatori care să ajute la clasificarea </w:t>
      </w:r>
      <w:r>
        <w:t xml:space="preserve">la nivel mai detaliat a </w:t>
      </w:r>
      <w:r w:rsidRPr="0076579A">
        <w:t xml:space="preserve">proiectelor care să contribuie la punerea acestora în ordinea priorităților. În Anexa C este furnizată o descriere mai detaliată a rezultatelor testelor. În </w:t>
      </w:r>
      <w:r w:rsidR="007A102C">
        <w:fldChar w:fldCharType="begin"/>
      </w:r>
      <w:r w:rsidR="007A102C">
        <w:instrText xml:space="preserve"> REF _Ref395018931 \h  \* MERGEFORMAT </w:instrText>
      </w:r>
      <w:r w:rsidR="007A102C">
        <w:fldChar w:fldCharType="separate"/>
      </w:r>
      <w:r w:rsidRPr="00E55673">
        <w:t>Tabelul 5.1</w:t>
      </w:r>
      <w:r w:rsidR="007A102C">
        <w:fldChar w:fldCharType="end"/>
      </w:r>
      <w:r w:rsidRPr="0036322C">
        <w:t>2</w:t>
      </w:r>
      <w:r w:rsidRPr="0076579A">
        <w:t xml:space="preserve"> este prezentat faptul că segmentele de cale ferată din apropierea municipiului București tind să genereze o valoare financiară mai bună. Singurele două excepții includ ruta Timișoara - Arad și Baia Mare - Satu Mare care fac legătura între orașe de dimensiuni medii cu orașele mari, furnizând în prezent servicii de transport feroviar necorespunzătoare. S-a propus un grafic de mers al trenurilor cu un număr mai mare de curse și cu intervale de succesiune regulate pentru segmentele dintre aceste orașe care ar putea </w:t>
      </w:r>
      <w:r>
        <w:t>atrage un număr semnificativ de pasageri</w:t>
      </w:r>
      <w:r w:rsidRPr="0076579A">
        <w:t xml:space="preserve">, dată fiind competiția cu serviciile locale de transport cu autobuzul. În Scenariul de referință este, de asemenea, prognozat faptul că anumite segmente ale coridorului de bază Ten-T IV-N vor fi reabilitate până în 2020. Conform rezultatelor modelării, schimbările la nivel guvernamental privind rețeaua și îmbunătățirea serviciilor pot inversa tendința actuală de descreștere a cererii pentru transportul feroviar de călători și de mărfuri și de deteriorare a stării rețelei. Există o mare posibilitate de creștere a transportului feroviar de călători și de mărfuri pe rutele de bază care ar putea contribui la îmbunătățirea rețelei feroviare și la furnizarea unor servicii mai bune cu costuri mai mici. </w:t>
      </w:r>
    </w:p>
    <w:p w:rsidR="00573AD5" w:rsidRDefault="00573AD5" w:rsidP="0030066D">
      <w:pPr>
        <w:spacing w:after="60"/>
        <w:rPr>
          <w:rFonts w:cs="Arial"/>
          <w:b/>
          <w:sz w:val="22"/>
          <w:szCs w:val="22"/>
          <w:lang w:val="ro-RO"/>
        </w:rPr>
      </w:pPr>
      <w:bookmarkStart w:id="125" w:name="_Ref395018931"/>
      <w:r>
        <w:rPr>
          <w:rFonts w:cs="Arial"/>
          <w:b/>
          <w:sz w:val="22"/>
          <w:szCs w:val="22"/>
          <w:lang w:val="ro-RO"/>
        </w:rPr>
        <w:t>Tabelul 5.</w:t>
      </w:r>
      <w:bookmarkEnd w:id="125"/>
      <w:r w:rsidRPr="0036322C">
        <w:rPr>
          <w:rFonts w:cs="Arial"/>
          <w:b/>
          <w:sz w:val="22"/>
          <w:szCs w:val="22"/>
          <w:lang w:val="ro-RO"/>
        </w:rPr>
        <w:t>1</w:t>
      </w:r>
      <w:r>
        <w:rPr>
          <w:rFonts w:cs="Arial"/>
          <w:b/>
          <w:sz w:val="22"/>
          <w:szCs w:val="22"/>
          <w:lang w:val="ro-RO"/>
        </w:rPr>
        <w:t>4</w:t>
      </w:r>
      <w:r w:rsidRPr="0036322C">
        <w:rPr>
          <w:rFonts w:cs="Arial"/>
          <w:b/>
          <w:sz w:val="22"/>
          <w:szCs w:val="22"/>
          <w:lang w:val="ro-RO"/>
        </w:rPr>
        <w:t xml:space="preserve">:  Rezultatele detaliate pentru testele selectate, prețuri din 2014 </w:t>
      </w:r>
    </w:p>
    <w:tbl>
      <w:tblPr>
        <w:tblW w:w="5000" w:type="pct"/>
        <w:jc w:val="center"/>
        <w:tblLayout w:type="fixed"/>
        <w:tblLook w:val="04A0" w:firstRow="1" w:lastRow="0" w:firstColumn="1" w:lastColumn="0" w:noHBand="0" w:noVBand="1"/>
      </w:tblPr>
      <w:tblGrid>
        <w:gridCol w:w="971"/>
        <w:gridCol w:w="1265"/>
        <w:gridCol w:w="1904"/>
        <w:gridCol w:w="2240"/>
        <w:gridCol w:w="1143"/>
        <w:gridCol w:w="1143"/>
        <w:gridCol w:w="868"/>
        <w:gridCol w:w="973"/>
      </w:tblGrid>
      <w:tr w:rsidR="00573AD5" w:rsidRPr="00760C6E" w:rsidTr="008E0E74">
        <w:trPr>
          <w:cantSplit/>
          <w:tblHeader/>
          <w:jc w:val="center"/>
        </w:trPr>
        <w:tc>
          <w:tcPr>
            <w:tcW w:w="462"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760C6E" w:rsidRDefault="00573AD5" w:rsidP="00573AD5">
            <w:pPr>
              <w:ind w:left="720" w:hanging="720"/>
              <w:jc w:val="center"/>
              <w:rPr>
                <w:rFonts w:cs="Arial"/>
                <w:b/>
                <w:bCs/>
                <w:sz w:val="22"/>
                <w:szCs w:val="22"/>
              </w:rPr>
            </w:pPr>
            <w:r w:rsidRPr="009268DF">
              <w:rPr>
                <w:rFonts w:cs="Arial"/>
                <w:b/>
                <w:bCs/>
                <w:sz w:val="22"/>
                <w:szCs w:val="22"/>
              </w:rPr>
              <w:t>Test</w:t>
            </w:r>
          </w:p>
        </w:tc>
        <w:tc>
          <w:tcPr>
            <w:tcW w:w="602"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sidRPr="009268DF">
              <w:rPr>
                <w:rFonts w:cs="Arial"/>
                <w:b/>
                <w:sz w:val="22"/>
                <w:szCs w:val="22"/>
              </w:rPr>
              <w:t>S</w:t>
            </w:r>
            <w:r>
              <w:rPr>
                <w:rFonts w:cs="Arial"/>
                <w:b/>
                <w:sz w:val="22"/>
                <w:szCs w:val="22"/>
              </w:rPr>
              <w:t>egment</w:t>
            </w:r>
          </w:p>
        </w:tc>
        <w:tc>
          <w:tcPr>
            <w:tcW w:w="906"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Pr>
                <w:rFonts w:cs="Arial"/>
                <w:b/>
                <w:sz w:val="22"/>
                <w:szCs w:val="22"/>
              </w:rPr>
              <w:t>De la</w:t>
            </w:r>
          </w:p>
        </w:tc>
        <w:tc>
          <w:tcPr>
            <w:tcW w:w="1066"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Pr>
                <w:rFonts w:cs="Arial"/>
                <w:b/>
                <w:sz w:val="22"/>
                <w:szCs w:val="22"/>
              </w:rPr>
              <w:t>La</w:t>
            </w:r>
          </w:p>
        </w:tc>
        <w:tc>
          <w:tcPr>
            <w:tcW w:w="544"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Pr>
                <w:rFonts w:cs="Arial"/>
                <w:b/>
                <w:sz w:val="22"/>
                <w:szCs w:val="22"/>
              </w:rPr>
              <w:t>VAC</w:t>
            </w:r>
          </w:p>
          <w:p w:rsidR="00573AD5" w:rsidRPr="00DD143B" w:rsidRDefault="00573AD5" w:rsidP="00573AD5">
            <w:pPr>
              <w:ind w:left="720" w:hanging="720"/>
              <w:jc w:val="center"/>
              <w:rPr>
                <w:rFonts w:cs="Arial"/>
                <w:b/>
                <w:sz w:val="22"/>
                <w:szCs w:val="22"/>
              </w:rPr>
            </w:pPr>
            <w:r w:rsidRPr="009268DF">
              <w:rPr>
                <w:rFonts w:cs="Arial"/>
                <w:b/>
                <w:sz w:val="22"/>
                <w:szCs w:val="22"/>
              </w:rPr>
              <w:t>(Mill €)</w:t>
            </w:r>
          </w:p>
        </w:tc>
        <w:tc>
          <w:tcPr>
            <w:tcW w:w="544"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Pr>
                <w:rFonts w:cs="Arial"/>
                <w:b/>
                <w:sz w:val="22"/>
                <w:szCs w:val="22"/>
              </w:rPr>
              <w:t>VAB</w:t>
            </w:r>
          </w:p>
          <w:p w:rsidR="00573AD5" w:rsidRPr="00DD143B" w:rsidRDefault="00573AD5" w:rsidP="00573AD5">
            <w:pPr>
              <w:ind w:left="720" w:hanging="720"/>
              <w:jc w:val="center"/>
              <w:rPr>
                <w:rFonts w:cs="Arial"/>
                <w:b/>
                <w:sz w:val="22"/>
                <w:szCs w:val="22"/>
              </w:rPr>
            </w:pPr>
            <w:r w:rsidRPr="009268DF">
              <w:rPr>
                <w:rFonts w:cs="Arial"/>
                <w:b/>
                <w:sz w:val="22"/>
                <w:szCs w:val="22"/>
              </w:rPr>
              <w:t>(Mill €)</w:t>
            </w:r>
          </w:p>
        </w:tc>
        <w:tc>
          <w:tcPr>
            <w:tcW w:w="413"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Pr>
                <w:rFonts w:cs="Arial"/>
                <w:b/>
                <w:sz w:val="22"/>
                <w:szCs w:val="22"/>
              </w:rPr>
              <w:t>VAN</w:t>
            </w:r>
          </w:p>
          <w:p w:rsidR="00573AD5" w:rsidRPr="00DD143B" w:rsidRDefault="00573AD5" w:rsidP="00573AD5">
            <w:pPr>
              <w:ind w:left="720" w:hanging="720"/>
              <w:jc w:val="center"/>
              <w:rPr>
                <w:rFonts w:cs="Arial"/>
                <w:b/>
                <w:sz w:val="22"/>
                <w:szCs w:val="22"/>
              </w:rPr>
            </w:pPr>
            <w:r w:rsidRPr="009268DF">
              <w:rPr>
                <w:rFonts w:cs="Arial"/>
                <w:b/>
                <w:sz w:val="22"/>
                <w:szCs w:val="22"/>
              </w:rPr>
              <w:t>(Mill )</w:t>
            </w:r>
          </w:p>
        </w:tc>
        <w:tc>
          <w:tcPr>
            <w:tcW w:w="463" w:type="pct"/>
            <w:tcBorders>
              <w:top w:val="single" w:sz="4" w:space="0" w:color="auto"/>
              <w:left w:val="single" w:sz="4" w:space="0" w:color="auto"/>
              <w:bottom w:val="single" w:sz="4" w:space="0" w:color="auto"/>
              <w:right w:val="single" w:sz="4" w:space="0" w:color="auto"/>
            </w:tcBorders>
            <w:shd w:val="clear" w:color="auto" w:fill="C6D9F1"/>
            <w:vAlign w:val="center"/>
          </w:tcPr>
          <w:p w:rsidR="00573AD5" w:rsidRPr="00DD143B" w:rsidRDefault="00573AD5" w:rsidP="00573AD5">
            <w:pPr>
              <w:ind w:left="720" w:hanging="720"/>
              <w:jc w:val="center"/>
              <w:rPr>
                <w:rFonts w:cs="Arial"/>
                <w:b/>
                <w:sz w:val="22"/>
                <w:szCs w:val="22"/>
              </w:rPr>
            </w:pPr>
            <w:r>
              <w:rPr>
                <w:rFonts w:cs="Arial"/>
                <w:b/>
                <w:sz w:val="22"/>
                <w:szCs w:val="22"/>
              </w:rPr>
              <w:t>RBC</w:t>
            </w:r>
          </w:p>
        </w:tc>
      </w:tr>
      <w:tr w:rsidR="00573AD5" w:rsidRPr="00760C6E" w:rsidTr="008E0E74">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DS01A</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Arad / Cluj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2080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2263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1.09</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Câmpina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94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417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323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4.44</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Câmpina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Predeal</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191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Predeal</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Brașov</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0.74</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Brașov</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Sighișoara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630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751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1.19</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Sighișoara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Coșlariu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Coșlariu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Simeria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136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132</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7</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Simeria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km 614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681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356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-325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0.52</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km 614</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Ungaria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9</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Coșlariu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Cluj-Napoca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518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162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-356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0.31</w:t>
            </w:r>
          </w:p>
        </w:tc>
      </w:tr>
      <w:tr w:rsidR="00573AD5" w:rsidRPr="00760C6E" w:rsidTr="008E0E74">
        <w:trPr>
          <w:cantSplit/>
          <w:jc w:val="center"/>
        </w:trPr>
        <w:tc>
          <w:tcPr>
            <w:tcW w:w="462" w:type="pct"/>
            <w:vMerge w:val="restart"/>
            <w:tcBorders>
              <w:left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DS01B</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2B7E09">
            <w:pPr>
              <w:pStyle w:val="NumberedParas"/>
            </w:pPr>
            <w:r>
              <w:t>Arad / Cluj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2477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2441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0.99</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Câmpina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95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449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355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4.75</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Câmpina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Predeal</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Predeal</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Brașov</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246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115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-131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0.47</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Brașov</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Sighișoara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636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817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1.28</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Sighișoara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Coșlariu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134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Coșlariu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Simeria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142</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7</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Simeria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km 614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687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373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-314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0.54</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8</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km 614</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Ungaria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9</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Coșlariu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Cluj-Napoca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799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-625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0.22</w:t>
            </w:r>
          </w:p>
        </w:tc>
      </w:tr>
      <w:tr w:rsidR="00573AD5" w:rsidRPr="00760C6E" w:rsidTr="008E0E74">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DS03A</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1658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1764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1.06</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594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786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192</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1.32</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Craiova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Filiași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0.26</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Filiași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Caransebeș</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593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582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98</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Caransebeș</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Timișoara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12</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Timișoara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42</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39</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Filiași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Deva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DS03B</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760C6E">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760C6E">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2015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2020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00</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760C6E">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606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816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35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760C6E">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Craiova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Filiași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27</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760C6E">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Filiași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Caransebeș</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926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800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86</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Caransebeș</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Timișoara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195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222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14</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Timișoara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31</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Filiași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4B56BB">
              <w:rPr>
                <w:rFonts w:cs="Arial"/>
                <w:sz w:val="22"/>
                <w:szCs w:val="22"/>
              </w:rPr>
              <w:t>Deva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w:t>
            </w:r>
          </w:p>
        </w:tc>
      </w:tr>
      <w:tr w:rsidR="00573AD5" w:rsidRPr="00760C6E" w:rsidTr="008E0E74">
        <w:trPr>
          <w:cantSplit/>
          <w:jc w:val="center"/>
        </w:trPr>
        <w:tc>
          <w:tcPr>
            <w:tcW w:w="462" w:type="pct"/>
            <w:vMerge w:val="restart"/>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Pr>
                <w:rFonts w:cs="Arial"/>
                <w:color w:val="000000"/>
                <w:sz w:val="22"/>
                <w:szCs w:val="22"/>
              </w:rPr>
              <w:t>DS03C</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760C6E">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2223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1889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-334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85</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4B56BB">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608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827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220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36</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4B56BB">
              <w:rPr>
                <w:rFonts w:cs="Arial"/>
                <w:sz w:val="22"/>
                <w:szCs w:val="22"/>
              </w:rPr>
              <w:t>Craiova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Filiași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175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48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-128</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27</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Filiași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Caransebeș</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608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517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-90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85</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Caransebeș</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Timișoara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192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192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00</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Timișoara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4B56BB">
              <w:rPr>
                <w:rFonts w:cs="Arial"/>
                <w:sz w:val="22"/>
                <w:szCs w:val="22"/>
              </w:rPr>
              <w:t>Arad</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109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143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31</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Filiași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4B56BB">
              <w:rPr>
                <w:rFonts w:cs="Arial"/>
                <w:sz w:val="22"/>
                <w:szCs w:val="22"/>
              </w:rPr>
              <w:t>Deva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531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161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-369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30</w:t>
            </w:r>
          </w:p>
        </w:tc>
      </w:tr>
      <w:tr w:rsidR="00573AD5" w:rsidRPr="00760C6E" w:rsidTr="008E0E74">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DS04A</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Galați</w:t>
            </w:r>
            <w:r w:rsidRPr="009268DF">
              <w:rPr>
                <w:rFonts w:cs="Arial"/>
                <w:sz w:val="22"/>
                <w:szCs w:val="22"/>
              </w:rPr>
              <w:t xml:space="preserve"> / Iasi / Suceava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2276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2805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529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23</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Ploiești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371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314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w:t>
            </w:r>
            <w:r>
              <w:rPr>
                <w:rFonts w:cs="Arial"/>
                <w:sz w:val="22"/>
                <w:szCs w:val="22"/>
              </w:rPr>
              <w:t>,</w:t>
            </w:r>
            <w:r w:rsidRPr="009268DF">
              <w:rPr>
                <w:rFonts w:cs="Arial"/>
                <w:sz w:val="22"/>
                <w:szCs w:val="22"/>
              </w:rPr>
              <w:t>52</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Ploiești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Buzău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533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329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r>
              <w:rPr>
                <w:rFonts w:cs="Arial"/>
                <w:sz w:val="22"/>
                <w:szCs w:val="22"/>
              </w:rPr>
              <w:t>,</w:t>
            </w:r>
            <w:r w:rsidRPr="009268DF">
              <w:rPr>
                <w:rFonts w:cs="Arial"/>
                <w:sz w:val="22"/>
                <w:szCs w:val="22"/>
              </w:rPr>
              <w:t>61</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Buzău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Focșani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197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383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95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Focșani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Bacău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296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519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223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75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Bacău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Pașcani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313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55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Pașcani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Moldova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426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157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-269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37</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7</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Pașcani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Ucraina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407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-326</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20</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8</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Buzău</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Galați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376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589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57</w:t>
            </w:r>
          </w:p>
        </w:tc>
      </w:tr>
      <w:tr w:rsidR="00573AD5" w:rsidRPr="00760C6E" w:rsidTr="008E0E74">
        <w:trPr>
          <w:cantSplit/>
          <w:jc w:val="center"/>
        </w:trPr>
        <w:tc>
          <w:tcPr>
            <w:tcW w:w="462" w:type="pct"/>
            <w:vMerge w:val="restart"/>
            <w:tcBorders>
              <w:left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Pr>
                <w:rFonts w:cs="Arial"/>
                <w:sz w:val="22"/>
                <w:szCs w:val="22"/>
              </w:rPr>
              <w:t>DS05C</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Craiova / Sibiu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1275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1566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291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23</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București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Sibiu</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1010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1530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520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51</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Pitesti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Craiova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265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-229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14</w:t>
            </w:r>
          </w:p>
        </w:tc>
      </w:tr>
      <w:tr w:rsidR="00573AD5" w:rsidRPr="00760C6E" w:rsidTr="008E0E74">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DS06A</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Cluj 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1945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762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-1183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39</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317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223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-94</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70</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Dej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112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21</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Dej</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Beclean pe Somes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385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45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Beclean pe Somes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Vartra Dornei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427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-279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Vartra Dornei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Suceava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399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-291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27</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Suceava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Pașcani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306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29</w:t>
            </w:r>
          </w:p>
        </w:tc>
      </w:tr>
      <w:tr w:rsidR="00573AD5" w:rsidRPr="00760C6E" w:rsidTr="008E0E74">
        <w:trPr>
          <w:cantSplit/>
          <w:jc w:val="center"/>
        </w:trPr>
        <w:tc>
          <w:tcPr>
            <w:tcW w:w="462" w:type="pct"/>
            <w:vMerge w:val="restart"/>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r w:rsidRPr="00760C6E">
              <w:rPr>
                <w:rFonts w:cs="Arial"/>
                <w:sz w:val="22"/>
                <w:szCs w:val="22"/>
              </w:rPr>
              <w:t>DS06</w:t>
            </w:r>
            <w:r>
              <w:rPr>
                <w:rFonts w:cs="Arial"/>
                <w:sz w:val="22"/>
                <w:szCs w:val="22"/>
              </w:rPr>
              <w:t>B</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760C6E">
              <w:rPr>
                <w:rFonts w:cs="Arial"/>
                <w:sz w:val="22"/>
                <w:szCs w:val="22"/>
              </w:rPr>
              <w:t>Cluj 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760C6E">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2687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947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-1740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35</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Iasi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324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183</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-141</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56</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sidRPr="00760C6E">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Dej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114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21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-93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18</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Dej</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Beclean pe Somes</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778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301</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-477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39</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Beclean pe Somes</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Vartra Dornei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745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277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-467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37</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5</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Vartra Dornei</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Suceava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411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98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-313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24</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Default="00573AD5" w:rsidP="00573AD5">
            <w:pPr>
              <w:ind w:left="720" w:hanging="720"/>
              <w:jc w:val="center"/>
              <w:rPr>
                <w:rFonts w:cs="Arial"/>
                <w:sz w:val="22"/>
                <w:szCs w:val="22"/>
              </w:rPr>
            </w:pPr>
            <w:r>
              <w:rPr>
                <w:rFonts w:cs="Arial"/>
                <w:sz w:val="22"/>
                <w:szCs w:val="22"/>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Suceava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Pr>
                <w:rFonts w:cs="Arial"/>
                <w:sz w:val="22"/>
                <w:szCs w:val="22"/>
              </w:rPr>
              <w:t>Pașcani</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314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67</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-248</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4B56BB"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21</w:t>
            </w:r>
          </w:p>
        </w:tc>
      </w:tr>
      <w:tr w:rsidR="00573AD5" w:rsidRPr="00760C6E" w:rsidTr="008E0E74">
        <w:trPr>
          <w:cantSplit/>
          <w:jc w:val="center"/>
        </w:trPr>
        <w:tc>
          <w:tcPr>
            <w:tcW w:w="462" w:type="pct"/>
            <w:vMerge w:val="restart"/>
            <w:tcBorders>
              <w:left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Pr>
                <w:rFonts w:cs="Arial"/>
                <w:sz w:val="22"/>
                <w:szCs w:val="22"/>
              </w:rPr>
              <w:t>DS08B</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Oradea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Serbia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393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180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46</w:t>
            </w:r>
          </w:p>
        </w:tc>
      </w:tr>
      <w:tr w:rsidR="00573AD5" w:rsidRPr="00760C6E" w:rsidTr="008E0E74">
        <w:trPr>
          <w:cantSplit/>
          <w:jc w:val="center"/>
        </w:trPr>
        <w:tc>
          <w:tcPr>
            <w:tcW w:w="462" w:type="pct"/>
            <w:vMerge/>
            <w:tcBorders>
              <w:left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Oradea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Timișoara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321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176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-145</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55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Timișoara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Serbia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72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-68</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05</w:t>
            </w:r>
          </w:p>
        </w:tc>
      </w:tr>
      <w:tr w:rsidR="00573AD5" w:rsidRPr="00760C6E" w:rsidTr="008E0E74">
        <w:trPr>
          <w:cantSplit/>
          <w:jc w:val="center"/>
        </w:trPr>
        <w:tc>
          <w:tcPr>
            <w:tcW w:w="462" w:type="pct"/>
            <w:vMerge w:val="restart"/>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ind w:left="720" w:hanging="720"/>
              <w:jc w:val="center"/>
              <w:rPr>
                <w:rFonts w:cs="Arial"/>
                <w:sz w:val="22"/>
                <w:szCs w:val="22"/>
              </w:rPr>
            </w:pPr>
            <w:r w:rsidRPr="009268DF">
              <w:rPr>
                <w:rFonts w:cs="Arial"/>
                <w:sz w:val="22"/>
                <w:szCs w:val="22"/>
              </w:rPr>
              <w:t>DS09A</w:t>
            </w: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All</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Oradea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845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212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-633</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25</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Cluj-Napoca</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Dej</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307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68</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-239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22</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Dej</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Baia Mare</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308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-289</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06</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3</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Baia Mare</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Satu Mare</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68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115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47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w:t>
            </w:r>
            <w:r>
              <w:rPr>
                <w:rFonts w:cs="Arial"/>
                <w:sz w:val="22"/>
                <w:szCs w:val="22"/>
              </w:rPr>
              <w:t>,</w:t>
            </w:r>
            <w:r w:rsidRPr="009268DF">
              <w:rPr>
                <w:rFonts w:cs="Arial"/>
                <w:sz w:val="22"/>
                <w:szCs w:val="22"/>
              </w:rPr>
              <w:t>69</w:t>
            </w:r>
          </w:p>
        </w:tc>
      </w:tr>
      <w:tr w:rsidR="00573AD5" w:rsidRPr="00760C6E" w:rsidTr="008E0E74">
        <w:trPr>
          <w:cantSplit/>
          <w:jc w:val="center"/>
        </w:trPr>
        <w:tc>
          <w:tcPr>
            <w:tcW w:w="462" w:type="pct"/>
            <w:vMerge/>
            <w:tcBorders>
              <w:left w:val="single" w:sz="4" w:space="0" w:color="auto"/>
              <w:bottom w:val="single" w:sz="4" w:space="0" w:color="auto"/>
              <w:right w:val="single" w:sz="4" w:space="0" w:color="auto"/>
            </w:tcBorders>
            <w:shd w:val="clear" w:color="auto" w:fill="auto"/>
            <w:vAlign w:val="center"/>
          </w:tcPr>
          <w:p w:rsidR="00573AD5" w:rsidRPr="00760C6E" w:rsidRDefault="00573AD5" w:rsidP="00573AD5">
            <w:pPr>
              <w:spacing w:before="120"/>
              <w:ind w:left="720" w:hanging="720"/>
              <w:jc w:val="center"/>
              <w:rPr>
                <w:rFonts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Pr>
                <w:rFonts w:cs="Arial"/>
                <w:sz w:val="22"/>
                <w:szCs w:val="22"/>
              </w:rPr>
              <w:t>4</w:t>
            </w:r>
          </w:p>
        </w:tc>
        <w:tc>
          <w:tcPr>
            <w:tcW w:w="90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Satu Mare</w:t>
            </w:r>
          </w:p>
        </w:tc>
        <w:tc>
          <w:tcPr>
            <w:tcW w:w="1066"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Oradea</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162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-152</w:t>
            </w:r>
          </w:p>
        </w:tc>
        <w:tc>
          <w:tcPr>
            <w:tcW w:w="463" w:type="pct"/>
            <w:tcBorders>
              <w:top w:val="single" w:sz="4" w:space="0" w:color="auto"/>
              <w:left w:val="single" w:sz="4" w:space="0" w:color="auto"/>
              <w:bottom w:val="single" w:sz="4" w:space="0" w:color="auto"/>
              <w:right w:val="single" w:sz="4" w:space="0" w:color="auto"/>
            </w:tcBorders>
            <w:shd w:val="clear" w:color="auto" w:fill="auto"/>
            <w:vAlign w:val="bottom"/>
          </w:tcPr>
          <w:p w:rsidR="00573AD5" w:rsidRPr="00760C6E" w:rsidRDefault="00573AD5" w:rsidP="00573AD5">
            <w:pPr>
              <w:ind w:left="720" w:hanging="720"/>
              <w:jc w:val="center"/>
              <w:rPr>
                <w:rFonts w:cs="Arial"/>
                <w:sz w:val="22"/>
                <w:szCs w:val="22"/>
              </w:rPr>
            </w:pPr>
            <w:r w:rsidRPr="009268DF">
              <w:rPr>
                <w:rFonts w:cs="Arial"/>
                <w:sz w:val="22"/>
                <w:szCs w:val="22"/>
              </w:rPr>
              <w:t>0</w:t>
            </w:r>
            <w:r>
              <w:rPr>
                <w:rFonts w:cs="Arial"/>
                <w:sz w:val="22"/>
                <w:szCs w:val="22"/>
              </w:rPr>
              <w:t>,</w:t>
            </w:r>
            <w:r w:rsidRPr="009268DF">
              <w:rPr>
                <w:rFonts w:cs="Arial"/>
                <w:sz w:val="22"/>
                <w:szCs w:val="22"/>
              </w:rPr>
              <w:t>06</w:t>
            </w:r>
          </w:p>
        </w:tc>
      </w:tr>
    </w:tbl>
    <w:p w:rsidR="00573AD5" w:rsidRPr="00AE1AD4" w:rsidRDefault="00573AD5" w:rsidP="00AE1AD4">
      <w:pPr>
        <w:ind w:left="851"/>
        <w:rPr>
          <w:i/>
          <w:lang w:val="ro-RO"/>
        </w:rPr>
      </w:pPr>
      <w:r w:rsidRPr="00AE1AD4">
        <w:rPr>
          <w:i/>
          <w:lang w:val="ro-RO"/>
        </w:rPr>
        <w:t>Sursa: Model de prognoză AECOM</w:t>
      </w:r>
    </w:p>
    <w:p w:rsidR="00573AD5" w:rsidRDefault="00573AD5" w:rsidP="008E0E74">
      <w:pPr>
        <w:pStyle w:val="NumberedParas"/>
        <w:numPr>
          <w:ilvl w:val="2"/>
          <w:numId w:val="73"/>
        </w:numPr>
      </w:pPr>
      <w:r>
        <w:t xml:space="preserve">În plus față de rezultatele opțiunii de bază prezentate în Tabelul 5.12 a fost analizat impactul ipotezelor alternative pentru reparații de infrastructură. Spre exemplu, doar abordarea restricțiilor de viteză temporare cauzate de lipsa întreținerii adecvate a liniilor reprezintă baza unui pachet inițial de lucrări, în ipoteza că un set mai larg de lucrări de infrastructură va fi implementat în urma acestui pachet inițial. Propunerile pentru mersul de tren revizuit și materialul rulant nou, cum sunt descrise în opțiunea de bază (cuprinzând reabilitare, material rulant nou și mers de tren revizuit – Scenariul A), o opțiune mai optimistă ( care include viteze de circulație mai mari – Scenariul B) plus opțiunea pesimistă care include lucrări minimale de infrastructură (Scenariul R). </w:t>
      </w:r>
      <w:r w:rsidRPr="008E0E74">
        <w:rPr>
          <w:lang w:val="en-GB"/>
        </w:rPr>
        <w:t>Rezultatele</w:t>
      </w:r>
      <w:r>
        <w:t xml:space="preserve"> RBC pentru scenariul pesimist sunt mai mari în comparație cu opțiunile  de bază și optimiste ceea ce reflectă includerea unor lucrări de infrastructură de mai mică anvergură care implică un cost de capital mai mic.  Aceste rezultate indică fatpul că  graficul de mers și materialul rulant generază majoritatea îmbunătățirilor, deoarece modificarea incrementală a beneficiilor este mai mare decât costurile revizuite. Trebuie notat faptul că deși rapoartele beneficiu-cost sunt mai mari în testele opțiunii pesimiste în comparație cu opțiunea de bază, ar trebui să existe totuși cerința de realizare a lucrărilor mai mari de infrastructură, chiar dacă RBC incremental este mai mic. </w:t>
      </w:r>
    </w:p>
    <w:p w:rsidR="00573AD5" w:rsidRDefault="00573AD5" w:rsidP="002B7E09">
      <w:pPr>
        <w:pStyle w:val="NumberedParas"/>
      </w:pPr>
      <w:r>
        <w:t xml:space="preserve">Elementele inițiale ale unui proiect mai larg vor genera, de obicei, cel mai mare raport beneficiu-cost. Cu toate acestea, acest rezultat nu trebuie să afecteze oportunitatea unor lucrări mai ample de infrastructură în viitor, presupunând că RBC pentru proiectul total încă este peste 1.0. În unele teste apare o schimbare semnificativă a rezultatului RBC la un test de senzitivitate față de opțiunea de bază. Acest fapt poate fi atribuit relației dintre beneficiile totale și costuri; în particular relația dintre costurile de operare și costurile de capital poate diferi. Dacă </w:t>
      </w:r>
      <w:r w:rsidRPr="00D62754">
        <w:rPr>
          <w:lang w:val="en-GB"/>
        </w:rPr>
        <w:t>costurile</w:t>
      </w:r>
      <w:r>
        <w:t xml:space="preserve"> de capital reprezintă un procent mai mare din costurile totale, amânarea cele i mai mari părți a costurilor de infrastructură până la o etapă ulterioară a lucrărilor va duce la o schimbare mai mare a costurilor totale actualizate, iar rezultatul va fi un RBC mai mare. </w:t>
      </w:r>
      <w:r>
        <w:lastRenderedPageBreak/>
        <w:t xml:space="preserve">Tabelul 5.13 prezintă rezultatele testelor alterntive inclusiv opțiunile cu costuri reduse. Există două msaje cheie care trebuie subliniate. În primul rând raportul beneficiu-cost pentru opțiunile cu costuri reduse est, în general, mai mare în comparație cu opțiunea de bază sau cu propunerile care includ o creștere a vitezei de circulație, și reflectă costuri de capital mai mici. În al doilea rând, există o diferență semnificativă între scara relativă a beneficiilor și costurilor. Folosind Testul DS01 ca exemplu, beneficiile și costurile penru variantele A și B variază de la 2,1mld </w:t>
      </w:r>
      <w:r w:rsidRPr="009268DF">
        <w:t>£</w:t>
      </w:r>
      <w:r>
        <w:t xml:space="preserve"> la 2,3 mld </w:t>
      </w:r>
      <w:r w:rsidRPr="009268DF">
        <w:t>£</w:t>
      </w:r>
      <w:r>
        <w:t xml:space="preserve">  pe o perioadă de evaluare de 60 de ani, și cu toate acestea, costurile pentru varianta R sunt sub 40 de milioane de lire sterline, cu beneficii cu o valoare mai mică de 310 milioane de lire. Abilitatea variantelor A și B din fiecare test, de a genera beneficii și costuri pentru transportul de marfă reprezintă unul dintre cei mi importanți factori care contribuie la aceste diferențe. Cu timpi de parcurs mai mici în scenariile A și B, aceste opțiuni încurajează trasferul traficului de marfă de la sistemul rutier la cel feroviar. Aceasta duce la costuri și beneficii mai mari. Această formă a rezultatelor apare în multe din testele efectute deși scara beneficiilor și costurilor generate de deplasările de marfă pe calea ferată diferă în funcție de schimbarea timpilor de parcurs dintre scenarii. </w:t>
      </w:r>
    </w:p>
    <w:p w:rsidR="00573AD5" w:rsidRDefault="00573AD5" w:rsidP="002B7E09">
      <w:pPr>
        <w:pStyle w:val="NumberedParas"/>
        <w:numPr>
          <w:ilvl w:val="0"/>
          <w:numId w:val="0"/>
        </w:numPr>
        <w:ind w:left="851"/>
      </w:pPr>
    </w:p>
    <w:p w:rsidR="00573AD5" w:rsidRDefault="00573AD5" w:rsidP="0030066D">
      <w:pPr>
        <w:sectPr w:rsidR="00573AD5" w:rsidSect="0030066D">
          <w:headerReference w:type="default" r:id="rId201"/>
          <w:pgSz w:w="11907" w:h="16840" w:code="9"/>
          <w:pgMar w:top="1418" w:right="709" w:bottom="1418" w:left="907" w:header="357" w:footer="567" w:gutter="0"/>
          <w:cols w:space="187"/>
          <w:docGrid w:linePitch="360"/>
        </w:sectPr>
      </w:pPr>
    </w:p>
    <w:p w:rsidR="00573AD5" w:rsidRDefault="00573AD5" w:rsidP="0030066D">
      <w:pPr>
        <w:pStyle w:val="Body"/>
        <w:rPr>
          <w:b/>
        </w:rPr>
      </w:pPr>
      <w:r w:rsidRPr="00D62754">
        <w:rPr>
          <w:b/>
        </w:rPr>
        <w:lastRenderedPageBreak/>
        <w:t>Tabelul 5.15</w:t>
      </w:r>
      <w:r>
        <w:rPr>
          <w:b/>
        </w:rPr>
        <w:t xml:space="preserve"> Sumar al rezultatelor evaluării economice  - Teste de senzitivitate (prețuri 2014)</w:t>
      </w:r>
    </w:p>
    <w:tbl>
      <w:tblPr>
        <w:tblStyle w:val="TableGrid"/>
        <w:tblW w:w="5000" w:type="pct"/>
        <w:jc w:val="center"/>
        <w:tblLook w:val="04A0" w:firstRow="1" w:lastRow="0" w:firstColumn="1" w:lastColumn="0" w:noHBand="0" w:noVBand="1"/>
      </w:tblPr>
      <w:tblGrid>
        <w:gridCol w:w="342"/>
        <w:gridCol w:w="447"/>
        <w:gridCol w:w="2828"/>
        <w:gridCol w:w="361"/>
        <w:gridCol w:w="814"/>
        <w:gridCol w:w="814"/>
        <w:gridCol w:w="1724"/>
        <w:gridCol w:w="1734"/>
        <w:gridCol w:w="1936"/>
        <w:gridCol w:w="1245"/>
        <w:gridCol w:w="1171"/>
        <w:gridCol w:w="804"/>
      </w:tblGrid>
      <w:tr w:rsidR="002B7E09" w:rsidRPr="0030066D" w:rsidTr="002B7E09">
        <w:trPr>
          <w:trHeight w:val="170"/>
          <w:jc w:val="center"/>
        </w:trPr>
        <w:tc>
          <w:tcPr>
            <w:tcW w:w="1274" w:type="pct"/>
            <w:gridSpan w:val="3"/>
            <w:shd w:val="clear" w:color="auto" w:fill="C6D9F1"/>
            <w:vAlign w:val="center"/>
          </w:tcPr>
          <w:p w:rsidR="00573AD5" w:rsidRPr="0030066D" w:rsidRDefault="00573AD5" w:rsidP="002B7E09">
            <w:pPr>
              <w:rPr>
                <w:sz w:val="20"/>
                <w:szCs w:val="20"/>
              </w:rPr>
            </w:pPr>
            <w:bookmarkStart w:id="126" w:name="_Toc413057767"/>
            <w:r w:rsidRPr="0030066D">
              <w:rPr>
                <w:sz w:val="20"/>
                <w:szCs w:val="20"/>
              </w:rPr>
              <w:t>Test și descriere</w:t>
            </w:r>
            <w:bookmarkEnd w:id="126"/>
          </w:p>
        </w:tc>
        <w:tc>
          <w:tcPr>
            <w:tcW w:w="121" w:type="pct"/>
            <w:shd w:val="clear" w:color="auto" w:fill="C6D9F1"/>
          </w:tcPr>
          <w:p w:rsidR="00573AD5" w:rsidRPr="0030066D" w:rsidRDefault="00573AD5" w:rsidP="0030066D">
            <w:pPr>
              <w:jc w:val="center"/>
              <w:rPr>
                <w:sz w:val="20"/>
                <w:szCs w:val="20"/>
              </w:rPr>
            </w:pPr>
          </w:p>
        </w:tc>
        <w:tc>
          <w:tcPr>
            <w:tcW w:w="287" w:type="pct"/>
            <w:shd w:val="clear" w:color="auto" w:fill="C6D9F1"/>
            <w:vAlign w:val="center"/>
          </w:tcPr>
          <w:p w:rsidR="00573AD5" w:rsidRPr="0030066D" w:rsidRDefault="00573AD5" w:rsidP="0030066D">
            <w:pPr>
              <w:jc w:val="center"/>
              <w:rPr>
                <w:sz w:val="20"/>
                <w:szCs w:val="20"/>
                <w:vertAlign w:val="superscript"/>
              </w:rPr>
            </w:pPr>
            <w:bookmarkStart w:id="127" w:name="_Toc413057768"/>
            <w:r w:rsidRPr="0030066D">
              <w:rPr>
                <w:sz w:val="20"/>
                <w:szCs w:val="20"/>
              </w:rPr>
              <w:t>VAC</w:t>
            </w:r>
            <w:bookmarkEnd w:id="127"/>
          </w:p>
          <w:p w:rsidR="00573AD5" w:rsidRPr="0030066D" w:rsidRDefault="00573AD5" w:rsidP="0030066D">
            <w:pPr>
              <w:jc w:val="center"/>
              <w:rPr>
                <w:sz w:val="20"/>
                <w:szCs w:val="20"/>
                <w:vertAlign w:val="superscript"/>
              </w:rPr>
            </w:pPr>
            <w:bookmarkStart w:id="128" w:name="_Toc413057769"/>
            <w:r w:rsidRPr="0030066D">
              <w:rPr>
                <w:sz w:val="20"/>
                <w:szCs w:val="20"/>
              </w:rPr>
              <w:t>Total</w:t>
            </w:r>
            <w:r w:rsidRPr="0030066D">
              <w:rPr>
                <w:sz w:val="20"/>
                <w:szCs w:val="20"/>
                <w:vertAlign w:val="superscript"/>
              </w:rPr>
              <w:t>1</w:t>
            </w:r>
            <w:bookmarkEnd w:id="128"/>
          </w:p>
        </w:tc>
        <w:tc>
          <w:tcPr>
            <w:tcW w:w="287" w:type="pct"/>
            <w:shd w:val="clear" w:color="auto" w:fill="C6D9F1"/>
            <w:vAlign w:val="center"/>
          </w:tcPr>
          <w:p w:rsidR="00573AD5" w:rsidRPr="0030066D" w:rsidRDefault="00573AD5" w:rsidP="0030066D">
            <w:pPr>
              <w:jc w:val="center"/>
              <w:rPr>
                <w:sz w:val="20"/>
                <w:szCs w:val="20"/>
              </w:rPr>
            </w:pPr>
            <w:bookmarkStart w:id="129" w:name="_Toc413057770"/>
            <w:r w:rsidRPr="0030066D">
              <w:rPr>
                <w:sz w:val="20"/>
                <w:szCs w:val="20"/>
              </w:rPr>
              <w:t>VAB</w:t>
            </w:r>
            <w:bookmarkEnd w:id="129"/>
          </w:p>
          <w:p w:rsidR="00573AD5" w:rsidRPr="0030066D" w:rsidRDefault="00573AD5" w:rsidP="0030066D">
            <w:pPr>
              <w:jc w:val="center"/>
              <w:rPr>
                <w:sz w:val="20"/>
                <w:szCs w:val="20"/>
                <w:vertAlign w:val="superscript"/>
              </w:rPr>
            </w:pPr>
            <w:bookmarkStart w:id="130" w:name="_Toc413057771"/>
            <w:r w:rsidRPr="0030066D">
              <w:rPr>
                <w:sz w:val="20"/>
                <w:szCs w:val="20"/>
              </w:rPr>
              <w:t>Total</w:t>
            </w:r>
            <w:r w:rsidRPr="0030066D">
              <w:rPr>
                <w:sz w:val="20"/>
                <w:szCs w:val="20"/>
                <w:vertAlign w:val="superscript"/>
              </w:rPr>
              <w:t>1</w:t>
            </w:r>
            <w:bookmarkEnd w:id="130"/>
          </w:p>
        </w:tc>
        <w:tc>
          <w:tcPr>
            <w:tcW w:w="607" w:type="pct"/>
            <w:shd w:val="clear" w:color="auto" w:fill="C6D9F1"/>
            <w:vAlign w:val="center"/>
          </w:tcPr>
          <w:p w:rsidR="00573AD5" w:rsidRPr="0030066D" w:rsidRDefault="00573AD5" w:rsidP="0030066D">
            <w:pPr>
              <w:jc w:val="center"/>
              <w:rPr>
                <w:sz w:val="20"/>
                <w:szCs w:val="20"/>
              </w:rPr>
            </w:pPr>
            <w:bookmarkStart w:id="131" w:name="_Toc413057772"/>
            <w:r w:rsidRPr="0030066D">
              <w:rPr>
                <w:sz w:val="20"/>
                <w:szCs w:val="20"/>
              </w:rPr>
              <w:t>Cost admin. infrastructura</w:t>
            </w:r>
            <w:bookmarkEnd w:id="131"/>
          </w:p>
        </w:tc>
        <w:tc>
          <w:tcPr>
            <w:tcW w:w="610" w:type="pct"/>
            <w:shd w:val="clear" w:color="auto" w:fill="C6D9F1"/>
            <w:vAlign w:val="center"/>
          </w:tcPr>
          <w:p w:rsidR="00573AD5" w:rsidRPr="0030066D" w:rsidRDefault="00573AD5" w:rsidP="0030066D">
            <w:pPr>
              <w:jc w:val="center"/>
              <w:rPr>
                <w:sz w:val="20"/>
                <w:szCs w:val="20"/>
              </w:rPr>
            </w:pPr>
            <w:bookmarkStart w:id="132" w:name="_Toc413057773"/>
            <w:r w:rsidRPr="0030066D">
              <w:rPr>
                <w:sz w:val="20"/>
                <w:szCs w:val="20"/>
              </w:rPr>
              <w:t>Cost operator</w:t>
            </w:r>
            <w:bookmarkEnd w:id="132"/>
          </w:p>
          <w:p w:rsidR="00573AD5" w:rsidRPr="0030066D" w:rsidRDefault="00573AD5" w:rsidP="0030066D">
            <w:pPr>
              <w:jc w:val="center"/>
              <w:rPr>
                <w:sz w:val="20"/>
                <w:szCs w:val="20"/>
              </w:rPr>
            </w:pPr>
            <w:bookmarkStart w:id="133" w:name="_Toc413057774"/>
            <w:r w:rsidRPr="0030066D">
              <w:rPr>
                <w:sz w:val="20"/>
                <w:szCs w:val="20"/>
              </w:rPr>
              <w:t>(Pas.)</w:t>
            </w:r>
            <w:bookmarkEnd w:id="133"/>
          </w:p>
        </w:tc>
        <w:tc>
          <w:tcPr>
            <w:tcW w:w="681" w:type="pct"/>
            <w:shd w:val="clear" w:color="auto" w:fill="C6D9F1"/>
            <w:vAlign w:val="center"/>
          </w:tcPr>
          <w:p w:rsidR="00573AD5" w:rsidRPr="0030066D" w:rsidRDefault="00573AD5" w:rsidP="0030066D">
            <w:pPr>
              <w:jc w:val="center"/>
              <w:rPr>
                <w:sz w:val="20"/>
                <w:szCs w:val="20"/>
              </w:rPr>
            </w:pPr>
            <w:bookmarkStart w:id="134" w:name="_Toc413057775"/>
            <w:r w:rsidRPr="0030066D">
              <w:rPr>
                <w:sz w:val="20"/>
                <w:szCs w:val="20"/>
              </w:rPr>
              <w:t>Cost operator</w:t>
            </w:r>
            <w:bookmarkEnd w:id="134"/>
          </w:p>
          <w:p w:rsidR="00573AD5" w:rsidRPr="0030066D" w:rsidRDefault="00573AD5" w:rsidP="0030066D">
            <w:pPr>
              <w:jc w:val="center"/>
              <w:rPr>
                <w:sz w:val="20"/>
                <w:szCs w:val="20"/>
              </w:rPr>
            </w:pPr>
            <w:bookmarkStart w:id="135" w:name="_Toc413057776"/>
            <w:r w:rsidRPr="0030066D">
              <w:rPr>
                <w:sz w:val="20"/>
                <w:szCs w:val="20"/>
              </w:rPr>
              <w:t>(Marfă)</w:t>
            </w:r>
            <w:bookmarkEnd w:id="135"/>
          </w:p>
        </w:tc>
        <w:tc>
          <w:tcPr>
            <w:tcW w:w="438" w:type="pct"/>
            <w:shd w:val="clear" w:color="auto" w:fill="C6D9F1"/>
            <w:vAlign w:val="center"/>
          </w:tcPr>
          <w:p w:rsidR="00573AD5" w:rsidRPr="0030066D" w:rsidRDefault="00573AD5" w:rsidP="0030066D">
            <w:pPr>
              <w:jc w:val="center"/>
              <w:rPr>
                <w:sz w:val="20"/>
                <w:szCs w:val="20"/>
              </w:rPr>
            </w:pPr>
            <w:bookmarkStart w:id="136" w:name="_Toc413057777"/>
            <w:r w:rsidRPr="0030066D">
              <w:rPr>
                <w:sz w:val="20"/>
                <w:szCs w:val="20"/>
              </w:rPr>
              <w:t>Beneficii</w:t>
            </w:r>
            <w:bookmarkEnd w:id="136"/>
          </w:p>
          <w:p w:rsidR="00573AD5" w:rsidRPr="0030066D" w:rsidRDefault="00573AD5" w:rsidP="0030066D">
            <w:pPr>
              <w:jc w:val="center"/>
              <w:rPr>
                <w:sz w:val="20"/>
                <w:szCs w:val="20"/>
              </w:rPr>
            </w:pPr>
            <w:bookmarkStart w:id="137" w:name="_Toc413057778"/>
            <w:r w:rsidRPr="0030066D">
              <w:rPr>
                <w:sz w:val="20"/>
                <w:szCs w:val="20"/>
              </w:rPr>
              <w:t>(Pas.)</w:t>
            </w:r>
            <w:bookmarkEnd w:id="137"/>
          </w:p>
        </w:tc>
        <w:tc>
          <w:tcPr>
            <w:tcW w:w="412" w:type="pct"/>
            <w:shd w:val="clear" w:color="auto" w:fill="C6D9F1"/>
            <w:vAlign w:val="center"/>
          </w:tcPr>
          <w:p w:rsidR="00573AD5" w:rsidRPr="0030066D" w:rsidRDefault="00573AD5" w:rsidP="0030066D">
            <w:pPr>
              <w:jc w:val="center"/>
              <w:rPr>
                <w:sz w:val="20"/>
                <w:szCs w:val="20"/>
              </w:rPr>
            </w:pPr>
            <w:bookmarkStart w:id="138" w:name="_Toc413057779"/>
            <w:r w:rsidRPr="0030066D">
              <w:rPr>
                <w:sz w:val="20"/>
                <w:szCs w:val="20"/>
              </w:rPr>
              <w:t>Beneficii</w:t>
            </w:r>
            <w:bookmarkEnd w:id="138"/>
          </w:p>
          <w:p w:rsidR="00573AD5" w:rsidRPr="0030066D" w:rsidRDefault="00573AD5" w:rsidP="0030066D">
            <w:pPr>
              <w:jc w:val="center"/>
              <w:rPr>
                <w:sz w:val="20"/>
                <w:szCs w:val="20"/>
              </w:rPr>
            </w:pPr>
            <w:bookmarkStart w:id="139" w:name="_Toc413057780"/>
            <w:r w:rsidRPr="0030066D">
              <w:rPr>
                <w:sz w:val="20"/>
                <w:szCs w:val="20"/>
              </w:rPr>
              <w:t>(Marfă)</w:t>
            </w:r>
            <w:bookmarkEnd w:id="139"/>
          </w:p>
        </w:tc>
        <w:tc>
          <w:tcPr>
            <w:tcW w:w="282" w:type="pct"/>
            <w:shd w:val="clear" w:color="auto" w:fill="C6D9F1"/>
            <w:vAlign w:val="center"/>
          </w:tcPr>
          <w:p w:rsidR="00573AD5" w:rsidRPr="0030066D" w:rsidRDefault="00573AD5" w:rsidP="0030066D">
            <w:pPr>
              <w:jc w:val="center"/>
              <w:rPr>
                <w:sz w:val="20"/>
                <w:szCs w:val="20"/>
                <w:vertAlign w:val="superscript"/>
              </w:rPr>
            </w:pPr>
            <w:bookmarkStart w:id="140" w:name="_Toc413057781"/>
            <w:r w:rsidRPr="0030066D">
              <w:rPr>
                <w:sz w:val="20"/>
                <w:szCs w:val="20"/>
              </w:rPr>
              <w:t>RBC</w:t>
            </w:r>
            <w:r w:rsidRPr="0030066D">
              <w:rPr>
                <w:sz w:val="20"/>
                <w:szCs w:val="20"/>
                <w:vertAlign w:val="superscript"/>
              </w:rPr>
              <w:t>1</w:t>
            </w:r>
            <w:bookmarkEnd w:id="140"/>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141" w:name="_Toc413057782"/>
            <w:r w:rsidRPr="0030066D">
              <w:rPr>
                <w:sz w:val="20"/>
                <w:szCs w:val="20"/>
              </w:rPr>
              <w:t>DS01</w:t>
            </w:r>
            <w:bookmarkEnd w:id="141"/>
          </w:p>
        </w:tc>
        <w:tc>
          <w:tcPr>
            <w:tcW w:w="995" w:type="pct"/>
            <w:vMerge w:val="restart"/>
            <w:vAlign w:val="center"/>
          </w:tcPr>
          <w:p w:rsidR="00573AD5" w:rsidRPr="0030066D" w:rsidRDefault="00573AD5" w:rsidP="002B7E09">
            <w:pPr>
              <w:rPr>
                <w:sz w:val="20"/>
                <w:szCs w:val="20"/>
              </w:rPr>
            </w:pPr>
            <w:bookmarkStart w:id="142" w:name="_Toc413057783"/>
            <w:r w:rsidRPr="0030066D">
              <w:rPr>
                <w:sz w:val="20"/>
                <w:szCs w:val="20"/>
              </w:rPr>
              <w:t>București - Arad / Cluj via Brașov</w:t>
            </w:r>
            <w:bookmarkEnd w:id="142"/>
          </w:p>
        </w:tc>
        <w:tc>
          <w:tcPr>
            <w:tcW w:w="121" w:type="pct"/>
          </w:tcPr>
          <w:p w:rsidR="00573AD5" w:rsidRPr="0030066D" w:rsidRDefault="00573AD5" w:rsidP="0030066D">
            <w:pPr>
              <w:jc w:val="center"/>
              <w:rPr>
                <w:sz w:val="20"/>
                <w:szCs w:val="20"/>
              </w:rPr>
            </w:pPr>
            <w:bookmarkStart w:id="143" w:name="_Toc413057784"/>
            <w:r w:rsidRPr="0030066D">
              <w:rPr>
                <w:sz w:val="20"/>
                <w:szCs w:val="20"/>
              </w:rPr>
              <w:t>R</w:t>
            </w:r>
            <w:bookmarkEnd w:id="143"/>
          </w:p>
        </w:tc>
        <w:tc>
          <w:tcPr>
            <w:tcW w:w="287" w:type="pct"/>
            <w:vAlign w:val="bottom"/>
          </w:tcPr>
          <w:p w:rsidR="00573AD5" w:rsidRPr="0030066D" w:rsidRDefault="00573AD5" w:rsidP="0030066D">
            <w:pPr>
              <w:jc w:val="center"/>
              <w:rPr>
                <w:sz w:val="20"/>
                <w:szCs w:val="20"/>
              </w:rPr>
            </w:pPr>
            <w:bookmarkStart w:id="144" w:name="_Toc413057785"/>
            <w:r w:rsidRPr="0030066D">
              <w:rPr>
                <w:sz w:val="20"/>
                <w:szCs w:val="20"/>
              </w:rPr>
              <w:t>38</w:t>
            </w:r>
            <w:bookmarkEnd w:id="144"/>
          </w:p>
        </w:tc>
        <w:tc>
          <w:tcPr>
            <w:tcW w:w="287" w:type="pct"/>
            <w:vAlign w:val="bottom"/>
          </w:tcPr>
          <w:p w:rsidR="00573AD5" w:rsidRPr="0030066D" w:rsidRDefault="00573AD5" w:rsidP="0030066D">
            <w:pPr>
              <w:jc w:val="center"/>
              <w:rPr>
                <w:sz w:val="20"/>
                <w:szCs w:val="20"/>
              </w:rPr>
            </w:pPr>
            <w:bookmarkStart w:id="145" w:name="_Toc413057786"/>
            <w:r w:rsidRPr="0030066D">
              <w:rPr>
                <w:sz w:val="20"/>
                <w:szCs w:val="20"/>
              </w:rPr>
              <w:t>315</w:t>
            </w:r>
            <w:bookmarkEnd w:id="145"/>
          </w:p>
        </w:tc>
        <w:tc>
          <w:tcPr>
            <w:tcW w:w="607" w:type="pct"/>
            <w:vAlign w:val="bottom"/>
          </w:tcPr>
          <w:p w:rsidR="00573AD5" w:rsidRPr="0030066D" w:rsidRDefault="00573AD5" w:rsidP="0030066D">
            <w:pPr>
              <w:jc w:val="center"/>
              <w:rPr>
                <w:sz w:val="20"/>
                <w:szCs w:val="20"/>
              </w:rPr>
            </w:pPr>
            <w:bookmarkStart w:id="146" w:name="_Toc413057787"/>
            <w:r w:rsidRPr="0030066D">
              <w:rPr>
                <w:sz w:val="20"/>
                <w:szCs w:val="20"/>
              </w:rPr>
              <w:t>4</w:t>
            </w:r>
            <w:bookmarkEnd w:id="146"/>
          </w:p>
        </w:tc>
        <w:tc>
          <w:tcPr>
            <w:tcW w:w="610" w:type="pct"/>
            <w:vAlign w:val="bottom"/>
          </w:tcPr>
          <w:p w:rsidR="00573AD5" w:rsidRPr="0030066D" w:rsidRDefault="00573AD5" w:rsidP="0030066D">
            <w:pPr>
              <w:jc w:val="center"/>
              <w:rPr>
                <w:sz w:val="20"/>
                <w:szCs w:val="20"/>
              </w:rPr>
            </w:pPr>
            <w:bookmarkStart w:id="147" w:name="_Toc413057788"/>
            <w:r w:rsidRPr="0030066D">
              <w:rPr>
                <w:sz w:val="20"/>
                <w:szCs w:val="20"/>
              </w:rPr>
              <w:t>30</w:t>
            </w:r>
            <w:bookmarkEnd w:id="147"/>
          </w:p>
        </w:tc>
        <w:tc>
          <w:tcPr>
            <w:tcW w:w="681" w:type="pct"/>
            <w:vAlign w:val="bottom"/>
          </w:tcPr>
          <w:p w:rsidR="00573AD5" w:rsidRPr="0030066D" w:rsidRDefault="00573AD5" w:rsidP="0030066D">
            <w:pPr>
              <w:jc w:val="center"/>
              <w:rPr>
                <w:sz w:val="20"/>
                <w:szCs w:val="20"/>
              </w:rPr>
            </w:pPr>
            <w:bookmarkStart w:id="148" w:name="_Toc413057789"/>
            <w:r w:rsidRPr="0030066D">
              <w:rPr>
                <w:sz w:val="20"/>
                <w:szCs w:val="20"/>
              </w:rPr>
              <w:t>4</w:t>
            </w:r>
            <w:bookmarkEnd w:id="148"/>
          </w:p>
        </w:tc>
        <w:tc>
          <w:tcPr>
            <w:tcW w:w="438" w:type="pct"/>
            <w:vAlign w:val="bottom"/>
          </w:tcPr>
          <w:p w:rsidR="00573AD5" w:rsidRPr="0030066D" w:rsidRDefault="00573AD5" w:rsidP="0030066D">
            <w:pPr>
              <w:jc w:val="center"/>
              <w:rPr>
                <w:sz w:val="20"/>
                <w:szCs w:val="20"/>
              </w:rPr>
            </w:pPr>
            <w:bookmarkStart w:id="149" w:name="_Toc413057790"/>
            <w:r w:rsidRPr="0030066D">
              <w:rPr>
                <w:sz w:val="20"/>
                <w:szCs w:val="20"/>
              </w:rPr>
              <w:t>306</w:t>
            </w:r>
            <w:bookmarkEnd w:id="149"/>
          </w:p>
        </w:tc>
        <w:tc>
          <w:tcPr>
            <w:tcW w:w="412" w:type="pct"/>
            <w:vAlign w:val="bottom"/>
          </w:tcPr>
          <w:p w:rsidR="00573AD5" w:rsidRPr="0030066D" w:rsidRDefault="00573AD5" w:rsidP="0030066D">
            <w:pPr>
              <w:jc w:val="center"/>
              <w:rPr>
                <w:sz w:val="20"/>
                <w:szCs w:val="20"/>
              </w:rPr>
            </w:pPr>
            <w:bookmarkStart w:id="150" w:name="_Toc413057791"/>
            <w:r w:rsidRPr="0030066D">
              <w:rPr>
                <w:sz w:val="20"/>
                <w:szCs w:val="20"/>
              </w:rPr>
              <w:t>9</w:t>
            </w:r>
            <w:bookmarkEnd w:id="150"/>
          </w:p>
        </w:tc>
        <w:tc>
          <w:tcPr>
            <w:tcW w:w="282" w:type="pct"/>
          </w:tcPr>
          <w:p w:rsidR="00573AD5" w:rsidRPr="0030066D" w:rsidRDefault="00573AD5" w:rsidP="0030066D">
            <w:pPr>
              <w:jc w:val="center"/>
              <w:rPr>
                <w:sz w:val="20"/>
                <w:szCs w:val="20"/>
              </w:rPr>
            </w:pPr>
            <w:bookmarkStart w:id="151" w:name="_Toc413057792"/>
            <w:r w:rsidRPr="0030066D">
              <w:rPr>
                <w:sz w:val="20"/>
                <w:szCs w:val="20"/>
              </w:rPr>
              <w:t>8,32</w:t>
            </w:r>
            <w:bookmarkEnd w:id="151"/>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152" w:name="_Toc413057793"/>
            <w:r w:rsidRPr="0030066D">
              <w:rPr>
                <w:sz w:val="20"/>
                <w:szCs w:val="20"/>
              </w:rPr>
              <w:t>A</w:t>
            </w:r>
            <w:bookmarkEnd w:id="152"/>
          </w:p>
        </w:tc>
        <w:tc>
          <w:tcPr>
            <w:tcW w:w="287" w:type="pct"/>
            <w:vAlign w:val="bottom"/>
          </w:tcPr>
          <w:p w:rsidR="00573AD5" w:rsidRPr="0030066D" w:rsidRDefault="00573AD5" w:rsidP="0030066D">
            <w:pPr>
              <w:jc w:val="center"/>
              <w:rPr>
                <w:sz w:val="20"/>
                <w:szCs w:val="20"/>
              </w:rPr>
            </w:pPr>
            <w:bookmarkStart w:id="153" w:name="_Toc413057794"/>
            <w:r w:rsidRPr="0030066D">
              <w:rPr>
                <w:sz w:val="20"/>
                <w:szCs w:val="20"/>
              </w:rPr>
              <w:t>2080</w:t>
            </w:r>
            <w:bookmarkEnd w:id="153"/>
          </w:p>
        </w:tc>
        <w:tc>
          <w:tcPr>
            <w:tcW w:w="287" w:type="pct"/>
            <w:vAlign w:val="bottom"/>
          </w:tcPr>
          <w:p w:rsidR="00573AD5" w:rsidRPr="0030066D" w:rsidRDefault="00573AD5" w:rsidP="0030066D">
            <w:pPr>
              <w:jc w:val="center"/>
              <w:rPr>
                <w:sz w:val="20"/>
                <w:szCs w:val="20"/>
              </w:rPr>
            </w:pPr>
            <w:bookmarkStart w:id="154" w:name="_Toc413057795"/>
            <w:r w:rsidRPr="0030066D">
              <w:rPr>
                <w:sz w:val="20"/>
                <w:szCs w:val="20"/>
              </w:rPr>
              <w:t>2263</w:t>
            </w:r>
            <w:bookmarkEnd w:id="154"/>
          </w:p>
        </w:tc>
        <w:tc>
          <w:tcPr>
            <w:tcW w:w="607" w:type="pct"/>
            <w:vAlign w:val="bottom"/>
          </w:tcPr>
          <w:p w:rsidR="00573AD5" w:rsidRPr="0030066D" w:rsidRDefault="00573AD5" w:rsidP="0030066D">
            <w:pPr>
              <w:jc w:val="center"/>
              <w:rPr>
                <w:sz w:val="20"/>
                <w:szCs w:val="20"/>
              </w:rPr>
            </w:pPr>
            <w:bookmarkStart w:id="155" w:name="_Toc413057796"/>
            <w:r w:rsidRPr="0030066D">
              <w:rPr>
                <w:sz w:val="20"/>
                <w:szCs w:val="20"/>
              </w:rPr>
              <w:t>2035</w:t>
            </w:r>
            <w:bookmarkEnd w:id="155"/>
          </w:p>
        </w:tc>
        <w:tc>
          <w:tcPr>
            <w:tcW w:w="610" w:type="pct"/>
            <w:vAlign w:val="bottom"/>
          </w:tcPr>
          <w:p w:rsidR="00573AD5" w:rsidRPr="0030066D" w:rsidRDefault="00573AD5" w:rsidP="0030066D">
            <w:pPr>
              <w:jc w:val="center"/>
              <w:rPr>
                <w:sz w:val="20"/>
                <w:szCs w:val="20"/>
              </w:rPr>
            </w:pPr>
            <w:bookmarkStart w:id="156" w:name="_Toc413057797"/>
            <w:r w:rsidRPr="0030066D">
              <w:rPr>
                <w:sz w:val="20"/>
                <w:szCs w:val="20"/>
              </w:rPr>
              <w:t>22</w:t>
            </w:r>
            <w:bookmarkEnd w:id="156"/>
          </w:p>
        </w:tc>
        <w:tc>
          <w:tcPr>
            <w:tcW w:w="681" w:type="pct"/>
            <w:vAlign w:val="bottom"/>
          </w:tcPr>
          <w:p w:rsidR="00573AD5" w:rsidRPr="0030066D" w:rsidRDefault="00573AD5" w:rsidP="0030066D">
            <w:pPr>
              <w:jc w:val="center"/>
              <w:rPr>
                <w:sz w:val="20"/>
                <w:szCs w:val="20"/>
              </w:rPr>
            </w:pPr>
            <w:bookmarkStart w:id="157" w:name="_Toc413057798"/>
            <w:r w:rsidRPr="0030066D">
              <w:rPr>
                <w:sz w:val="20"/>
                <w:szCs w:val="20"/>
              </w:rPr>
              <w:t>642</w:t>
            </w:r>
            <w:bookmarkEnd w:id="157"/>
          </w:p>
        </w:tc>
        <w:tc>
          <w:tcPr>
            <w:tcW w:w="438" w:type="pct"/>
            <w:vAlign w:val="bottom"/>
          </w:tcPr>
          <w:p w:rsidR="00573AD5" w:rsidRPr="0030066D" w:rsidRDefault="00573AD5" w:rsidP="0030066D">
            <w:pPr>
              <w:jc w:val="center"/>
              <w:rPr>
                <w:sz w:val="20"/>
                <w:szCs w:val="20"/>
              </w:rPr>
            </w:pPr>
            <w:bookmarkStart w:id="158" w:name="_Toc413057799"/>
            <w:r w:rsidRPr="0030066D">
              <w:rPr>
                <w:sz w:val="20"/>
                <w:szCs w:val="20"/>
              </w:rPr>
              <w:t>1703</w:t>
            </w:r>
            <w:bookmarkEnd w:id="158"/>
          </w:p>
        </w:tc>
        <w:tc>
          <w:tcPr>
            <w:tcW w:w="412" w:type="pct"/>
            <w:vAlign w:val="bottom"/>
          </w:tcPr>
          <w:p w:rsidR="00573AD5" w:rsidRPr="0030066D" w:rsidRDefault="00573AD5" w:rsidP="0030066D">
            <w:pPr>
              <w:jc w:val="center"/>
              <w:rPr>
                <w:sz w:val="20"/>
                <w:szCs w:val="20"/>
              </w:rPr>
            </w:pPr>
            <w:bookmarkStart w:id="159" w:name="_Toc413057800"/>
            <w:r w:rsidRPr="0030066D">
              <w:rPr>
                <w:sz w:val="20"/>
                <w:szCs w:val="20"/>
              </w:rPr>
              <w:t>1179</w:t>
            </w:r>
            <w:bookmarkEnd w:id="159"/>
          </w:p>
        </w:tc>
        <w:tc>
          <w:tcPr>
            <w:tcW w:w="282" w:type="pct"/>
          </w:tcPr>
          <w:p w:rsidR="00573AD5" w:rsidRPr="0030066D" w:rsidRDefault="00573AD5" w:rsidP="0030066D">
            <w:pPr>
              <w:jc w:val="center"/>
              <w:rPr>
                <w:sz w:val="20"/>
                <w:szCs w:val="20"/>
              </w:rPr>
            </w:pPr>
            <w:bookmarkStart w:id="160" w:name="_Toc413057801"/>
            <w:r w:rsidRPr="0030066D">
              <w:rPr>
                <w:sz w:val="20"/>
                <w:szCs w:val="20"/>
              </w:rPr>
              <w:t>1,09</w:t>
            </w:r>
            <w:bookmarkEnd w:id="160"/>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161" w:name="_Toc413057802"/>
            <w:r w:rsidRPr="0030066D">
              <w:rPr>
                <w:sz w:val="20"/>
                <w:szCs w:val="20"/>
              </w:rPr>
              <w:t>B</w:t>
            </w:r>
            <w:bookmarkEnd w:id="161"/>
          </w:p>
        </w:tc>
        <w:tc>
          <w:tcPr>
            <w:tcW w:w="287" w:type="pct"/>
            <w:vAlign w:val="bottom"/>
          </w:tcPr>
          <w:p w:rsidR="00573AD5" w:rsidRPr="0030066D" w:rsidRDefault="00573AD5" w:rsidP="0030066D">
            <w:pPr>
              <w:jc w:val="center"/>
              <w:rPr>
                <w:sz w:val="20"/>
                <w:szCs w:val="20"/>
              </w:rPr>
            </w:pPr>
            <w:bookmarkStart w:id="162" w:name="_Toc413057803"/>
            <w:r w:rsidRPr="0030066D">
              <w:rPr>
                <w:sz w:val="20"/>
                <w:szCs w:val="20"/>
              </w:rPr>
              <w:t>2477</w:t>
            </w:r>
            <w:bookmarkEnd w:id="162"/>
          </w:p>
        </w:tc>
        <w:tc>
          <w:tcPr>
            <w:tcW w:w="287" w:type="pct"/>
            <w:vAlign w:val="bottom"/>
          </w:tcPr>
          <w:p w:rsidR="00573AD5" w:rsidRPr="0030066D" w:rsidRDefault="00573AD5" w:rsidP="0030066D">
            <w:pPr>
              <w:jc w:val="center"/>
              <w:rPr>
                <w:sz w:val="20"/>
                <w:szCs w:val="20"/>
              </w:rPr>
            </w:pPr>
            <w:bookmarkStart w:id="163" w:name="_Toc413057804"/>
            <w:r w:rsidRPr="0030066D">
              <w:rPr>
                <w:sz w:val="20"/>
                <w:szCs w:val="20"/>
              </w:rPr>
              <w:t>2441</w:t>
            </w:r>
            <w:bookmarkEnd w:id="163"/>
          </w:p>
        </w:tc>
        <w:tc>
          <w:tcPr>
            <w:tcW w:w="607" w:type="pct"/>
            <w:vAlign w:val="bottom"/>
          </w:tcPr>
          <w:p w:rsidR="00573AD5" w:rsidRPr="0030066D" w:rsidRDefault="00573AD5" w:rsidP="0030066D">
            <w:pPr>
              <w:jc w:val="center"/>
              <w:rPr>
                <w:sz w:val="20"/>
                <w:szCs w:val="20"/>
              </w:rPr>
            </w:pPr>
            <w:bookmarkStart w:id="164" w:name="_Toc413057805"/>
            <w:r w:rsidRPr="0030066D">
              <w:rPr>
                <w:sz w:val="20"/>
                <w:szCs w:val="20"/>
              </w:rPr>
              <w:t>2433</w:t>
            </w:r>
            <w:bookmarkEnd w:id="164"/>
          </w:p>
        </w:tc>
        <w:tc>
          <w:tcPr>
            <w:tcW w:w="610" w:type="pct"/>
            <w:vAlign w:val="bottom"/>
          </w:tcPr>
          <w:p w:rsidR="00573AD5" w:rsidRPr="0030066D" w:rsidRDefault="00573AD5" w:rsidP="0030066D">
            <w:pPr>
              <w:jc w:val="center"/>
              <w:rPr>
                <w:sz w:val="20"/>
                <w:szCs w:val="20"/>
              </w:rPr>
            </w:pPr>
            <w:bookmarkStart w:id="165" w:name="_Toc413057806"/>
            <w:r w:rsidRPr="0030066D">
              <w:rPr>
                <w:sz w:val="20"/>
                <w:szCs w:val="20"/>
              </w:rPr>
              <w:t>30</w:t>
            </w:r>
            <w:bookmarkEnd w:id="165"/>
          </w:p>
        </w:tc>
        <w:tc>
          <w:tcPr>
            <w:tcW w:w="681" w:type="pct"/>
            <w:vAlign w:val="bottom"/>
          </w:tcPr>
          <w:p w:rsidR="00573AD5" w:rsidRPr="0030066D" w:rsidRDefault="00573AD5" w:rsidP="0030066D">
            <w:pPr>
              <w:jc w:val="center"/>
              <w:rPr>
                <w:sz w:val="20"/>
                <w:szCs w:val="20"/>
              </w:rPr>
            </w:pPr>
            <w:bookmarkStart w:id="166" w:name="_Toc413057807"/>
            <w:r w:rsidRPr="0030066D">
              <w:rPr>
                <w:sz w:val="20"/>
                <w:szCs w:val="20"/>
              </w:rPr>
              <w:t>642</w:t>
            </w:r>
            <w:bookmarkEnd w:id="166"/>
          </w:p>
        </w:tc>
        <w:tc>
          <w:tcPr>
            <w:tcW w:w="438" w:type="pct"/>
            <w:vAlign w:val="bottom"/>
          </w:tcPr>
          <w:p w:rsidR="00573AD5" w:rsidRPr="0030066D" w:rsidRDefault="00573AD5" w:rsidP="0030066D">
            <w:pPr>
              <w:jc w:val="center"/>
              <w:rPr>
                <w:sz w:val="20"/>
                <w:szCs w:val="20"/>
              </w:rPr>
            </w:pPr>
            <w:bookmarkStart w:id="167" w:name="_Toc413057808"/>
            <w:r w:rsidRPr="0030066D">
              <w:rPr>
                <w:sz w:val="20"/>
                <w:szCs w:val="20"/>
              </w:rPr>
              <w:t>1885</w:t>
            </w:r>
            <w:bookmarkEnd w:id="167"/>
          </w:p>
        </w:tc>
        <w:tc>
          <w:tcPr>
            <w:tcW w:w="412" w:type="pct"/>
            <w:vAlign w:val="bottom"/>
          </w:tcPr>
          <w:p w:rsidR="00573AD5" w:rsidRPr="0030066D" w:rsidRDefault="00573AD5" w:rsidP="0030066D">
            <w:pPr>
              <w:jc w:val="center"/>
              <w:rPr>
                <w:sz w:val="20"/>
                <w:szCs w:val="20"/>
              </w:rPr>
            </w:pPr>
            <w:bookmarkStart w:id="168" w:name="_Toc413057809"/>
            <w:r w:rsidRPr="0030066D">
              <w:rPr>
                <w:sz w:val="20"/>
                <w:szCs w:val="20"/>
              </w:rPr>
              <w:t>1184</w:t>
            </w:r>
            <w:bookmarkEnd w:id="168"/>
          </w:p>
        </w:tc>
        <w:tc>
          <w:tcPr>
            <w:tcW w:w="282" w:type="pct"/>
          </w:tcPr>
          <w:p w:rsidR="00573AD5" w:rsidRPr="0030066D" w:rsidRDefault="00573AD5" w:rsidP="0030066D">
            <w:pPr>
              <w:jc w:val="center"/>
              <w:rPr>
                <w:sz w:val="20"/>
                <w:szCs w:val="20"/>
              </w:rPr>
            </w:pPr>
            <w:bookmarkStart w:id="169" w:name="_Toc413057810"/>
            <w:r w:rsidRPr="0030066D">
              <w:rPr>
                <w:sz w:val="20"/>
                <w:szCs w:val="20"/>
              </w:rPr>
              <w:t>0,99</w:t>
            </w:r>
            <w:bookmarkEnd w:id="169"/>
          </w:p>
        </w:tc>
      </w:tr>
      <w:tr w:rsidR="0030066D" w:rsidRPr="0030066D" w:rsidTr="002B7E09">
        <w:trPr>
          <w:trHeight w:val="170"/>
          <w:jc w:val="center"/>
        </w:trPr>
        <w:tc>
          <w:tcPr>
            <w:tcW w:w="279" w:type="pct"/>
            <w:gridSpan w:val="2"/>
            <w:vAlign w:val="center"/>
          </w:tcPr>
          <w:p w:rsidR="00573AD5" w:rsidRPr="0030066D" w:rsidRDefault="00573AD5" w:rsidP="002B7E09">
            <w:pPr>
              <w:rPr>
                <w:sz w:val="20"/>
                <w:szCs w:val="20"/>
              </w:rPr>
            </w:pPr>
            <w:bookmarkStart w:id="170" w:name="_Toc413057811"/>
            <w:r w:rsidRPr="0030066D">
              <w:rPr>
                <w:sz w:val="20"/>
                <w:szCs w:val="20"/>
              </w:rPr>
              <w:t>DS02</w:t>
            </w:r>
            <w:bookmarkEnd w:id="170"/>
          </w:p>
        </w:tc>
        <w:tc>
          <w:tcPr>
            <w:tcW w:w="995" w:type="pct"/>
          </w:tcPr>
          <w:p w:rsidR="00573AD5" w:rsidRPr="0030066D" w:rsidRDefault="00573AD5" w:rsidP="002B7E09">
            <w:pPr>
              <w:rPr>
                <w:sz w:val="20"/>
                <w:szCs w:val="20"/>
              </w:rPr>
            </w:pPr>
            <w:bookmarkStart w:id="171" w:name="_Toc413057812"/>
            <w:r w:rsidRPr="0030066D">
              <w:rPr>
                <w:sz w:val="20"/>
                <w:szCs w:val="20"/>
              </w:rPr>
              <w:t>București - Constanta</w:t>
            </w:r>
            <w:bookmarkEnd w:id="171"/>
          </w:p>
        </w:tc>
        <w:tc>
          <w:tcPr>
            <w:tcW w:w="121" w:type="pct"/>
          </w:tcPr>
          <w:p w:rsidR="00573AD5" w:rsidRPr="0030066D" w:rsidRDefault="00573AD5" w:rsidP="0030066D">
            <w:pPr>
              <w:jc w:val="center"/>
              <w:rPr>
                <w:sz w:val="20"/>
                <w:szCs w:val="20"/>
              </w:rPr>
            </w:pPr>
            <w:bookmarkStart w:id="172" w:name="_Toc413057813"/>
            <w:r w:rsidRPr="0030066D">
              <w:rPr>
                <w:sz w:val="20"/>
                <w:szCs w:val="20"/>
              </w:rPr>
              <w:t>A</w:t>
            </w:r>
            <w:bookmarkEnd w:id="172"/>
          </w:p>
        </w:tc>
        <w:tc>
          <w:tcPr>
            <w:tcW w:w="287" w:type="pct"/>
            <w:vAlign w:val="bottom"/>
          </w:tcPr>
          <w:p w:rsidR="00573AD5" w:rsidRPr="0030066D" w:rsidRDefault="00573AD5" w:rsidP="0030066D">
            <w:pPr>
              <w:jc w:val="center"/>
              <w:rPr>
                <w:sz w:val="20"/>
                <w:szCs w:val="20"/>
              </w:rPr>
            </w:pPr>
            <w:bookmarkStart w:id="173" w:name="_Toc413057814"/>
            <w:r w:rsidRPr="0030066D">
              <w:rPr>
                <w:sz w:val="20"/>
                <w:szCs w:val="20"/>
              </w:rPr>
              <w:t>20</w:t>
            </w:r>
            <w:bookmarkEnd w:id="173"/>
          </w:p>
        </w:tc>
        <w:tc>
          <w:tcPr>
            <w:tcW w:w="287" w:type="pct"/>
            <w:vAlign w:val="bottom"/>
          </w:tcPr>
          <w:p w:rsidR="00573AD5" w:rsidRPr="0030066D" w:rsidRDefault="00573AD5" w:rsidP="0030066D">
            <w:pPr>
              <w:jc w:val="center"/>
              <w:rPr>
                <w:sz w:val="20"/>
                <w:szCs w:val="20"/>
              </w:rPr>
            </w:pPr>
            <w:bookmarkStart w:id="174" w:name="_Toc413057815"/>
            <w:r w:rsidRPr="0030066D">
              <w:rPr>
                <w:sz w:val="20"/>
                <w:szCs w:val="20"/>
              </w:rPr>
              <w:t>275</w:t>
            </w:r>
            <w:bookmarkEnd w:id="174"/>
          </w:p>
        </w:tc>
        <w:tc>
          <w:tcPr>
            <w:tcW w:w="607" w:type="pct"/>
            <w:vAlign w:val="bottom"/>
          </w:tcPr>
          <w:p w:rsidR="00573AD5" w:rsidRPr="0030066D" w:rsidRDefault="00573AD5" w:rsidP="0030066D">
            <w:pPr>
              <w:jc w:val="center"/>
              <w:rPr>
                <w:sz w:val="20"/>
                <w:szCs w:val="20"/>
              </w:rPr>
            </w:pPr>
            <w:bookmarkStart w:id="175" w:name="_Toc413057816"/>
            <w:r w:rsidRPr="0030066D">
              <w:rPr>
                <w:sz w:val="20"/>
                <w:szCs w:val="20"/>
              </w:rPr>
              <w:t>0</w:t>
            </w:r>
            <w:bookmarkEnd w:id="175"/>
          </w:p>
        </w:tc>
        <w:tc>
          <w:tcPr>
            <w:tcW w:w="610" w:type="pct"/>
            <w:vAlign w:val="bottom"/>
          </w:tcPr>
          <w:p w:rsidR="00573AD5" w:rsidRPr="0030066D" w:rsidRDefault="00573AD5" w:rsidP="0030066D">
            <w:pPr>
              <w:jc w:val="center"/>
              <w:rPr>
                <w:sz w:val="20"/>
                <w:szCs w:val="20"/>
              </w:rPr>
            </w:pPr>
            <w:bookmarkStart w:id="176" w:name="_Toc413057817"/>
            <w:r w:rsidRPr="0030066D">
              <w:rPr>
                <w:sz w:val="20"/>
                <w:szCs w:val="20"/>
              </w:rPr>
              <w:t>104</w:t>
            </w:r>
            <w:bookmarkEnd w:id="176"/>
          </w:p>
        </w:tc>
        <w:tc>
          <w:tcPr>
            <w:tcW w:w="681" w:type="pct"/>
            <w:vAlign w:val="bottom"/>
          </w:tcPr>
          <w:p w:rsidR="00573AD5" w:rsidRPr="0030066D" w:rsidRDefault="00573AD5" w:rsidP="0030066D">
            <w:pPr>
              <w:jc w:val="center"/>
              <w:rPr>
                <w:sz w:val="20"/>
                <w:szCs w:val="20"/>
              </w:rPr>
            </w:pPr>
            <w:bookmarkStart w:id="177" w:name="_Toc413057818"/>
            <w:r w:rsidRPr="0030066D">
              <w:rPr>
                <w:sz w:val="20"/>
                <w:szCs w:val="20"/>
              </w:rPr>
              <w:t>0</w:t>
            </w:r>
            <w:bookmarkEnd w:id="177"/>
          </w:p>
        </w:tc>
        <w:tc>
          <w:tcPr>
            <w:tcW w:w="438" w:type="pct"/>
            <w:vAlign w:val="bottom"/>
          </w:tcPr>
          <w:p w:rsidR="00573AD5" w:rsidRPr="0030066D" w:rsidRDefault="00573AD5" w:rsidP="0030066D">
            <w:pPr>
              <w:jc w:val="center"/>
              <w:rPr>
                <w:sz w:val="20"/>
                <w:szCs w:val="20"/>
              </w:rPr>
            </w:pPr>
            <w:bookmarkStart w:id="178" w:name="_Toc413057819"/>
            <w:r w:rsidRPr="0030066D">
              <w:rPr>
                <w:sz w:val="20"/>
                <w:szCs w:val="20"/>
              </w:rPr>
              <w:t>349</w:t>
            </w:r>
            <w:bookmarkEnd w:id="178"/>
          </w:p>
        </w:tc>
        <w:tc>
          <w:tcPr>
            <w:tcW w:w="412" w:type="pct"/>
            <w:vAlign w:val="bottom"/>
          </w:tcPr>
          <w:p w:rsidR="00573AD5" w:rsidRPr="0030066D" w:rsidRDefault="00573AD5" w:rsidP="0030066D">
            <w:pPr>
              <w:jc w:val="center"/>
              <w:rPr>
                <w:sz w:val="20"/>
                <w:szCs w:val="20"/>
              </w:rPr>
            </w:pPr>
            <w:bookmarkStart w:id="179" w:name="_Toc413057820"/>
            <w:r w:rsidRPr="0030066D">
              <w:rPr>
                <w:sz w:val="20"/>
                <w:szCs w:val="20"/>
              </w:rPr>
              <w:t>10</w:t>
            </w:r>
            <w:bookmarkEnd w:id="179"/>
          </w:p>
        </w:tc>
        <w:tc>
          <w:tcPr>
            <w:tcW w:w="282" w:type="pct"/>
          </w:tcPr>
          <w:p w:rsidR="00573AD5" w:rsidRPr="0030066D" w:rsidRDefault="00573AD5" w:rsidP="0030066D">
            <w:pPr>
              <w:jc w:val="center"/>
              <w:rPr>
                <w:sz w:val="20"/>
                <w:szCs w:val="20"/>
              </w:rPr>
            </w:pPr>
            <w:bookmarkStart w:id="180" w:name="_Toc413057821"/>
            <w:r w:rsidRPr="0030066D">
              <w:rPr>
                <w:sz w:val="20"/>
                <w:szCs w:val="20"/>
              </w:rPr>
              <w:t>13,62</w:t>
            </w:r>
            <w:bookmarkEnd w:id="180"/>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181" w:name="_Toc413057822"/>
            <w:r w:rsidRPr="0030066D">
              <w:rPr>
                <w:sz w:val="20"/>
                <w:szCs w:val="20"/>
              </w:rPr>
              <w:t>DS03</w:t>
            </w:r>
            <w:bookmarkEnd w:id="181"/>
          </w:p>
        </w:tc>
        <w:tc>
          <w:tcPr>
            <w:tcW w:w="995" w:type="pct"/>
            <w:vMerge w:val="restart"/>
          </w:tcPr>
          <w:p w:rsidR="00573AD5" w:rsidRPr="0030066D" w:rsidRDefault="00573AD5" w:rsidP="002B7E09">
            <w:pPr>
              <w:rPr>
                <w:sz w:val="20"/>
                <w:szCs w:val="20"/>
              </w:rPr>
            </w:pPr>
            <w:bookmarkStart w:id="182" w:name="_Toc413057823"/>
            <w:r w:rsidRPr="0030066D">
              <w:rPr>
                <w:sz w:val="20"/>
                <w:szCs w:val="20"/>
              </w:rPr>
              <w:t>București - Arad via Craoiva</w:t>
            </w:r>
            <w:bookmarkEnd w:id="182"/>
          </w:p>
        </w:tc>
        <w:tc>
          <w:tcPr>
            <w:tcW w:w="121" w:type="pct"/>
          </w:tcPr>
          <w:p w:rsidR="00573AD5" w:rsidRPr="0030066D" w:rsidRDefault="00573AD5" w:rsidP="0030066D">
            <w:pPr>
              <w:jc w:val="center"/>
              <w:rPr>
                <w:sz w:val="20"/>
                <w:szCs w:val="20"/>
              </w:rPr>
            </w:pPr>
            <w:bookmarkStart w:id="183" w:name="_Toc413057824"/>
            <w:r w:rsidRPr="0030066D">
              <w:rPr>
                <w:sz w:val="20"/>
                <w:szCs w:val="20"/>
              </w:rPr>
              <w:t>R</w:t>
            </w:r>
            <w:bookmarkEnd w:id="183"/>
          </w:p>
        </w:tc>
        <w:tc>
          <w:tcPr>
            <w:tcW w:w="287" w:type="pct"/>
            <w:vAlign w:val="bottom"/>
          </w:tcPr>
          <w:p w:rsidR="00573AD5" w:rsidRPr="0030066D" w:rsidRDefault="00573AD5" w:rsidP="0030066D">
            <w:pPr>
              <w:jc w:val="center"/>
              <w:rPr>
                <w:sz w:val="20"/>
                <w:szCs w:val="20"/>
              </w:rPr>
            </w:pPr>
            <w:bookmarkStart w:id="184" w:name="_Toc413057825"/>
            <w:r w:rsidRPr="0030066D">
              <w:rPr>
                <w:sz w:val="20"/>
                <w:szCs w:val="20"/>
              </w:rPr>
              <w:t>273</w:t>
            </w:r>
            <w:bookmarkEnd w:id="184"/>
          </w:p>
        </w:tc>
        <w:tc>
          <w:tcPr>
            <w:tcW w:w="287" w:type="pct"/>
            <w:vAlign w:val="bottom"/>
          </w:tcPr>
          <w:p w:rsidR="00573AD5" w:rsidRPr="0030066D" w:rsidRDefault="00573AD5" w:rsidP="0030066D">
            <w:pPr>
              <w:jc w:val="center"/>
              <w:rPr>
                <w:sz w:val="20"/>
                <w:szCs w:val="20"/>
              </w:rPr>
            </w:pPr>
            <w:bookmarkStart w:id="185" w:name="_Toc413057826"/>
            <w:r w:rsidRPr="0030066D">
              <w:rPr>
                <w:sz w:val="20"/>
                <w:szCs w:val="20"/>
              </w:rPr>
              <w:t>696</w:t>
            </w:r>
            <w:bookmarkEnd w:id="185"/>
          </w:p>
        </w:tc>
        <w:tc>
          <w:tcPr>
            <w:tcW w:w="607" w:type="pct"/>
            <w:vAlign w:val="bottom"/>
          </w:tcPr>
          <w:p w:rsidR="00573AD5" w:rsidRPr="0030066D" w:rsidRDefault="00573AD5" w:rsidP="0030066D">
            <w:pPr>
              <w:jc w:val="center"/>
              <w:rPr>
                <w:sz w:val="20"/>
                <w:szCs w:val="20"/>
              </w:rPr>
            </w:pPr>
            <w:bookmarkStart w:id="186" w:name="_Toc413057827"/>
            <w:r w:rsidRPr="0030066D">
              <w:rPr>
                <w:sz w:val="20"/>
                <w:szCs w:val="20"/>
              </w:rPr>
              <w:t>18</w:t>
            </w:r>
            <w:bookmarkEnd w:id="186"/>
          </w:p>
        </w:tc>
        <w:tc>
          <w:tcPr>
            <w:tcW w:w="610" w:type="pct"/>
            <w:vAlign w:val="bottom"/>
          </w:tcPr>
          <w:p w:rsidR="00573AD5" w:rsidRPr="0030066D" w:rsidRDefault="00573AD5" w:rsidP="0030066D">
            <w:pPr>
              <w:jc w:val="center"/>
              <w:rPr>
                <w:sz w:val="20"/>
                <w:szCs w:val="20"/>
              </w:rPr>
            </w:pPr>
            <w:bookmarkStart w:id="187" w:name="_Toc413057828"/>
            <w:r w:rsidRPr="0030066D">
              <w:rPr>
                <w:sz w:val="20"/>
                <w:szCs w:val="20"/>
              </w:rPr>
              <w:t>220</w:t>
            </w:r>
            <w:bookmarkEnd w:id="187"/>
          </w:p>
        </w:tc>
        <w:tc>
          <w:tcPr>
            <w:tcW w:w="681" w:type="pct"/>
            <w:vAlign w:val="bottom"/>
          </w:tcPr>
          <w:p w:rsidR="00573AD5" w:rsidRPr="0030066D" w:rsidRDefault="00573AD5" w:rsidP="0030066D">
            <w:pPr>
              <w:jc w:val="center"/>
              <w:rPr>
                <w:sz w:val="20"/>
                <w:szCs w:val="20"/>
              </w:rPr>
            </w:pPr>
            <w:bookmarkStart w:id="188" w:name="_Toc413057829"/>
            <w:r w:rsidRPr="0030066D">
              <w:rPr>
                <w:sz w:val="20"/>
                <w:szCs w:val="20"/>
              </w:rPr>
              <w:t>36</w:t>
            </w:r>
            <w:bookmarkEnd w:id="188"/>
          </w:p>
        </w:tc>
        <w:tc>
          <w:tcPr>
            <w:tcW w:w="438" w:type="pct"/>
            <w:vAlign w:val="bottom"/>
          </w:tcPr>
          <w:p w:rsidR="00573AD5" w:rsidRPr="0030066D" w:rsidRDefault="00573AD5" w:rsidP="0030066D">
            <w:pPr>
              <w:jc w:val="center"/>
              <w:rPr>
                <w:sz w:val="20"/>
                <w:szCs w:val="20"/>
              </w:rPr>
            </w:pPr>
            <w:bookmarkStart w:id="189" w:name="_Toc413057830"/>
            <w:r w:rsidRPr="0030066D">
              <w:rPr>
                <w:sz w:val="20"/>
                <w:szCs w:val="20"/>
              </w:rPr>
              <w:t>439</w:t>
            </w:r>
            <w:bookmarkEnd w:id="189"/>
          </w:p>
        </w:tc>
        <w:tc>
          <w:tcPr>
            <w:tcW w:w="412" w:type="pct"/>
            <w:vAlign w:val="bottom"/>
          </w:tcPr>
          <w:p w:rsidR="00573AD5" w:rsidRPr="0030066D" w:rsidRDefault="00573AD5" w:rsidP="0030066D">
            <w:pPr>
              <w:jc w:val="center"/>
              <w:rPr>
                <w:sz w:val="20"/>
                <w:szCs w:val="20"/>
              </w:rPr>
            </w:pPr>
            <w:bookmarkStart w:id="190" w:name="_Toc413057831"/>
            <w:r w:rsidRPr="0030066D">
              <w:rPr>
                <w:sz w:val="20"/>
                <w:szCs w:val="20"/>
              </w:rPr>
              <w:t>256</w:t>
            </w:r>
            <w:bookmarkEnd w:id="190"/>
          </w:p>
        </w:tc>
        <w:tc>
          <w:tcPr>
            <w:tcW w:w="282" w:type="pct"/>
          </w:tcPr>
          <w:p w:rsidR="00573AD5" w:rsidRPr="0030066D" w:rsidRDefault="00573AD5" w:rsidP="0030066D">
            <w:pPr>
              <w:jc w:val="center"/>
              <w:rPr>
                <w:sz w:val="20"/>
                <w:szCs w:val="20"/>
              </w:rPr>
            </w:pPr>
            <w:bookmarkStart w:id="191" w:name="_Toc413057832"/>
            <w:r w:rsidRPr="0030066D">
              <w:rPr>
                <w:sz w:val="20"/>
                <w:szCs w:val="20"/>
              </w:rPr>
              <w:t>2,46</w:t>
            </w:r>
            <w:bookmarkEnd w:id="191"/>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192" w:name="_Toc413057833"/>
            <w:r w:rsidRPr="0030066D">
              <w:rPr>
                <w:sz w:val="20"/>
                <w:szCs w:val="20"/>
              </w:rPr>
              <w:t>A</w:t>
            </w:r>
            <w:bookmarkEnd w:id="192"/>
          </w:p>
        </w:tc>
        <w:tc>
          <w:tcPr>
            <w:tcW w:w="287" w:type="pct"/>
            <w:vAlign w:val="bottom"/>
          </w:tcPr>
          <w:p w:rsidR="00573AD5" w:rsidRPr="0030066D" w:rsidRDefault="00573AD5" w:rsidP="0030066D">
            <w:pPr>
              <w:jc w:val="center"/>
              <w:rPr>
                <w:sz w:val="20"/>
                <w:szCs w:val="20"/>
              </w:rPr>
            </w:pPr>
            <w:bookmarkStart w:id="193" w:name="_Toc413057834"/>
            <w:r w:rsidRPr="0030066D">
              <w:rPr>
                <w:sz w:val="20"/>
                <w:szCs w:val="20"/>
              </w:rPr>
              <w:t>1658</w:t>
            </w:r>
            <w:bookmarkEnd w:id="193"/>
          </w:p>
        </w:tc>
        <w:tc>
          <w:tcPr>
            <w:tcW w:w="287" w:type="pct"/>
            <w:vAlign w:val="bottom"/>
          </w:tcPr>
          <w:p w:rsidR="00573AD5" w:rsidRPr="0030066D" w:rsidRDefault="00573AD5" w:rsidP="0030066D">
            <w:pPr>
              <w:jc w:val="center"/>
              <w:rPr>
                <w:sz w:val="20"/>
                <w:szCs w:val="20"/>
              </w:rPr>
            </w:pPr>
            <w:bookmarkStart w:id="194" w:name="_Toc413057835"/>
            <w:r w:rsidRPr="0030066D">
              <w:rPr>
                <w:sz w:val="20"/>
                <w:szCs w:val="20"/>
              </w:rPr>
              <w:t>1764</w:t>
            </w:r>
            <w:bookmarkEnd w:id="194"/>
          </w:p>
        </w:tc>
        <w:tc>
          <w:tcPr>
            <w:tcW w:w="607" w:type="pct"/>
            <w:vAlign w:val="bottom"/>
          </w:tcPr>
          <w:p w:rsidR="00573AD5" w:rsidRPr="0030066D" w:rsidRDefault="00573AD5" w:rsidP="0030066D">
            <w:pPr>
              <w:jc w:val="center"/>
              <w:rPr>
                <w:sz w:val="20"/>
                <w:szCs w:val="20"/>
              </w:rPr>
            </w:pPr>
            <w:bookmarkStart w:id="195" w:name="_Toc413057836"/>
            <w:r w:rsidRPr="0030066D">
              <w:rPr>
                <w:sz w:val="20"/>
                <w:szCs w:val="20"/>
              </w:rPr>
              <w:t>1623</w:t>
            </w:r>
            <w:bookmarkEnd w:id="195"/>
          </w:p>
        </w:tc>
        <w:tc>
          <w:tcPr>
            <w:tcW w:w="610" w:type="pct"/>
            <w:vAlign w:val="bottom"/>
          </w:tcPr>
          <w:p w:rsidR="00573AD5" w:rsidRPr="0030066D" w:rsidRDefault="00573AD5" w:rsidP="0030066D">
            <w:pPr>
              <w:jc w:val="center"/>
              <w:rPr>
                <w:sz w:val="20"/>
                <w:szCs w:val="20"/>
              </w:rPr>
            </w:pPr>
            <w:bookmarkStart w:id="196" w:name="_Toc413057837"/>
            <w:r w:rsidRPr="0030066D">
              <w:rPr>
                <w:sz w:val="20"/>
                <w:szCs w:val="20"/>
              </w:rPr>
              <w:t>220</w:t>
            </w:r>
            <w:bookmarkEnd w:id="196"/>
          </w:p>
        </w:tc>
        <w:tc>
          <w:tcPr>
            <w:tcW w:w="681" w:type="pct"/>
            <w:vAlign w:val="bottom"/>
          </w:tcPr>
          <w:p w:rsidR="00573AD5" w:rsidRPr="0030066D" w:rsidRDefault="00573AD5" w:rsidP="0030066D">
            <w:pPr>
              <w:jc w:val="center"/>
              <w:rPr>
                <w:sz w:val="20"/>
                <w:szCs w:val="20"/>
              </w:rPr>
            </w:pPr>
            <w:bookmarkStart w:id="197" w:name="_Toc413057838"/>
            <w:r w:rsidRPr="0030066D">
              <w:rPr>
                <w:sz w:val="20"/>
                <w:szCs w:val="20"/>
              </w:rPr>
              <w:t>604</w:t>
            </w:r>
            <w:bookmarkEnd w:id="197"/>
          </w:p>
        </w:tc>
        <w:tc>
          <w:tcPr>
            <w:tcW w:w="438" w:type="pct"/>
            <w:vAlign w:val="bottom"/>
          </w:tcPr>
          <w:p w:rsidR="00573AD5" w:rsidRPr="0030066D" w:rsidRDefault="00573AD5" w:rsidP="0030066D">
            <w:pPr>
              <w:jc w:val="center"/>
              <w:rPr>
                <w:sz w:val="20"/>
                <w:szCs w:val="20"/>
              </w:rPr>
            </w:pPr>
            <w:bookmarkStart w:id="198" w:name="_Toc413057839"/>
            <w:r w:rsidRPr="0030066D">
              <w:rPr>
                <w:sz w:val="20"/>
                <w:szCs w:val="20"/>
              </w:rPr>
              <w:t>1398</w:t>
            </w:r>
            <w:bookmarkEnd w:id="198"/>
          </w:p>
        </w:tc>
        <w:tc>
          <w:tcPr>
            <w:tcW w:w="412" w:type="pct"/>
            <w:vAlign w:val="bottom"/>
          </w:tcPr>
          <w:p w:rsidR="00573AD5" w:rsidRPr="0030066D" w:rsidRDefault="00573AD5" w:rsidP="0030066D">
            <w:pPr>
              <w:jc w:val="center"/>
              <w:rPr>
                <w:sz w:val="20"/>
                <w:szCs w:val="20"/>
              </w:rPr>
            </w:pPr>
            <w:bookmarkStart w:id="199" w:name="_Toc413057840"/>
            <w:r w:rsidRPr="0030066D">
              <w:rPr>
                <w:sz w:val="20"/>
                <w:szCs w:val="20"/>
              </w:rPr>
              <w:t>1154</w:t>
            </w:r>
            <w:bookmarkEnd w:id="199"/>
          </w:p>
        </w:tc>
        <w:tc>
          <w:tcPr>
            <w:tcW w:w="282" w:type="pct"/>
          </w:tcPr>
          <w:p w:rsidR="00573AD5" w:rsidRPr="0030066D" w:rsidRDefault="00573AD5" w:rsidP="0030066D">
            <w:pPr>
              <w:jc w:val="center"/>
              <w:rPr>
                <w:sz w:val="20"/>
                <w:szCs w:val="20"/>
              </w:rPr>
            </w:pPr>
            <w:bookmarkStart w:id="200" w:name="_Toc413057841"/>
            <w:r w:rsidRPr="0030066D">
              <w:rPr>
                <w:sz w:val="20"/>
                <w:szCs w:val="20"/>
              </w:rPr>
              <w:t>1,06</w:t>
            </w:r>
            <w:bookmarkEnd w:id="200"/>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01" w:name="_Toc413057842"/>
            <w:r w:rsidRPr="0030066D">
              <w:rPr>
                <w:sz w:val="20"/>
                <w:szCs w:val="20"/>
              </w:rPr>
              <w:t>B</w:t>
            </w:r>
            <w:bookmarkEnd w:id="201"/>
          </w:p>
        </w:tc>
        <w:tc>
          <w:tcPr>
            <w:tcW w:w="287" w:type="pct"/>
            <w:vAlign w:val="bottom"/>
          </w:tcPr>
          <w:p w:rsidR="00573AD5" w:rsidRPr="0030066D" w:rsidRDefault="00573AD5" w:rsidP="0030066D">
            <w:pPr>
              <w:jc w:val="center"/>
              <w:rPr>
                <w:sz w:val="20"/>
                <w:szCs w:val="20"/>
              </w:rPr>
            </w:pPr>
            <w:bookmarkStart w:id="202" w:name="_Toc413057843"/>
            <w:r w:rsidRPr="0030066D">
              <w:rPr>
                <w:sz w:val="20"/>
                <w:szCs w:val="20"/>
              </w:rPr>
              <w:t>2015</w:t>
            </w:r>
            <w:bookmarkEnd w:id="202"/>
          </w:p>
        </w:tc>
        <w:tc>
          <w:tcPr>
            <w:tcW w:w="287" w:type="pct"/>
            <w:vAlign w:val="bottom"/>
          </w:tcPr>
          <w:p w:rsidR="00573AD5" w:rsidRPr="0030066D" w:rsidRDefault="00573AD5" w:rsidP="0030066D">
            <w:pPr>
              <w:jc w:val="center"/>
              <w:rPr>
                <w:sz w:val="20"/>
                <w:szCs w:val="20"/>
              </w:rPr>
            </w:pPr>
            <w:bookmarkStart w:id="203" w:name="_Toc413057844"/>
            <w:r w:rsidRPr="0030066D">
              <w:rPr>
                <w:sz w:val="20"/>
                <w:szCs w:val="20"/>
              </w:rPr>
              <w:t>2020</w:t>
            </w:r>
            <w:bookmarkEnd w:id="203"/>
          </w:p>
        </w:tc>
        <w:tc>
          <w:tcPr>
            <w:tcW w:w="607" w:type="pct"/>
            <w:vAlign w:val="bottom"/>
          </w:tcPr>
          <w:p w:rsidR="00573AD5" w:rsidRPr="0030066D" w:rsidRDefault="00573AD5" w:rsidP="0030066D">
            <w:pPr>
              <w:jc w:val="center"/>
              <w:rPr>
                <w:sz w:val="20"/>
                <w:szCs w:val="20"/>
              </w:rPr>
            </w:pPr>
            <w:bookmarkStart w:id="204" w:name="_Toc413057845"/>
            <w:r w:rsidRPr="0030066D">
              <w:rPr>
                <w:sz w:val="20"/>
                <w:szCs w:val="20"/>
              </w:rPr>
              <w:t>1979</w:t>
            </w:r>
            <w:bookmarkEnd w:id="204"/>
          </w:p>
        </w:tc>
        <w:tc>
          <w:tcPr>
            <w:tcW w:w="610" w:type="pct"/>
            <w:vAlign w:val="bottom"/>
          </w:tcPr>
          <w:p w:rsidR="00573AD5" w:rsidRPr="0030066D" w:rsidRDefault="00573AD5" w:rsidP="0030066D">
            <w:pPr>
              <w:jc w:val="center"/>
              <w:rPr>
                <w:sz w:val="20"/>
                <w:szCs w:val="20"/>
              </w:rPr>
            </w:pPr>
            <w:bookmarkStart w:id="205" w:name="_Toc413057846"/>
            <w:r w:rsidRPr="0030066D">
              <w:rPr>
                <w:sz w:val="20"/>
                <w:szCs w:val="20"/>
              </w:rPr>
              <w:t>220</w:t>
            </w:r>
            <w:bookmarkEnd w:id="205"/>
          </w:p>
        </w:tc>
        <w:tc>
          <w:tcPr>
            <w:tcW w:w="681" w:type="pct"/>
            <w:vAlign w:val="bottom"/>
          </w:tcPr>
          <w:p w:rsidR="00573AD5" w:rsidRPr="0030066D" w:rsidRDefault="00573AD5" w:rsidP="0030066D">
            <w:pPr>
              <w:jc w:val="center"/>
              <w:rPr>
                <w:sz w:val="20"/>
                <w:szCs w:val="20"/>
              </w:rPr>
            </w:pPr>
            <w:bookmarkStart w:id="206" w:name="_Toc413057847"/>
            <w:r w:rsidRPr="0030066D">
              <w:rPr>
                <w:sz w:val="20"/>
                <w:szCs w:val="20"/>
              </w:rPr>
              <w:t>601</w:t>
            </w:r>
            <w:bookmarkEnd w:id="206"/>
          </w:p>
        </w:tc>
        <w:tc>
          <w:tcPr>
            <w:tcW w:w="438" w:type="pct"/>
            <w:vAlign w:val="bottom"/>
          </w:tcPr>
          <w:p w:rsidR="00573AD5" w:rsidRPr="0030066D" w:rsidRDefault="00573AD5" w:rsidP="0030066D">
            <w:pPr>
              <w:jc w:val="center"/>
              <w:rPr>
                <w:sz w:val="20"/>
                <w:szCs w:val="20"/>
              </w:rPr>
            </w:pPr>
            <w:bookmarkStart w:id="207" w:name="_Toc413057848"/>
            <w:r w:rsidRPr="0030066D">
              <w:rPr>
                <w:sz w:val="20"/>
                <w:szCs w:val="20"/>
              </w:rPr>
              <w:t>1655</w:t>
            </w:r>
            <w:bookmarkEnd w:id="207"/>
          </w:p>
        </w:tc>
        <w:tc>
          <w:tcPr>
            <w:tcW w:w="412" w:type="pct"/>
            <w:vAlign w:val="bottom"/>
          </w:tcPr>
          <w:p w:rsidR="00573AD5" w:rsidRPr="0030066D" w:rsidRDefault="00573AD5" w:rsidP="0030066D">
            <w:pPr>
              <w:jc w:val="center"/>
              <w:rPr>
                <w:sz w:val="20"/>
                <w:szCs w:val="20"/>
              </w:rPr>
            </w:pPr>
            <w:bookmarkStart w:id="208" w:name="_Toc413057849"/>
            <w:r w:rsidRPr="0030066D">
              <w:rPr>
                <w:sz w:val="20"/>
                <w:szCs w:val="20"/>
              </w:rPr>
              <w:t>1151</w:t>
            </w:r>
            <w:bookmarkEnd w:id="208"/>
          </w:p>
        </w:tc>
        <w:tc>
          <w:tcPr>
            <w:tcW w:w="282" w:type="pct"/>
          </w:tcPr>
          <w:p w:rsidR="00573AD5" w:rsidRPr="0030066D" w:rsidRDefault="00573AD5" w:rsidP="0030066D">
            <w:pPr>
              <w:jc w:val="center"/>
              <w:rPr>
                <w:sz w:val="20"/>
                <w:szCs w:val="20"/>
              </w:rPr>
            </w:pPr>
            <w:bookmarkStart w:id="209" w:name="_Toc413057850"/>
            <w:r w:rsidRPr="0030066D">
              <w:rPr>
                <w:sz w:val="20"/>
                <w:szCs w:val="20"/>
              </w:rPr>
              <w:t>1,00</w:t>
            </w:r>
            <w:bookmarkEnd w:id="209"/>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10" w:name="_Toc413057851"/>
            <w:r w:rsidRPr="0030066D">
              <w:rPr>
                <w:sz w:val="20"/>
                <w:szCs w:val="20"/>
              </w:rPr>
              <w:t>C</w:t>
            </w:r>
            <w:bookmarkEnd w:id="210"/>
          </w:p>
        </w:tc>
        <w:tc>
          <w:tcPr>
            <w:tcW w:w="287" w:type="pct"/>
            <w:vAlign w:val="bottom"/>
          </w:tcPr>
          <w:p w:rsidR="00573AD5" w:rsidRPr="0030066D" w:rsidRDefault="00573AD5" w:rsidP="0030066D">
            <w:pPr>
              <w:jc w:val="center"/>
              <w:rPr>
                <w:sz w:val="20"/>
                <w:szCs w:val="20"/>
              </w:rPr>
            </w:pPr>
            <w:bookmarkStart w:id="211" w:name="_Toc413057852"/>
            <w:r w:rsidRPr="0030066D">
              <w:rPr>
                <w:sz w:val="20"/>
                <w:szCs w:val="20"/>
              </w:rPr>
              <w:t>3079</w:t>
            </w:r>
            <w:bookmarkEnd w:id="211"/>
          </w:p>
        </w:tc>
        <w:tc>
          <w:tcPr>
            <w:tcW w:w="287" w:type="pct"/>
            <w:vAlign w:val="bottom"/>
          </w:tcPr>
          <w:p w:rsidR="00573AD5" w:rsidRPr="0030066D" w:rsidRDefault="00573AD5" w:rsidP="0030066D">
            <w:pPr>
              <w:jc w:val="center"/>
              <w:rPr>
                <w:sz w:val="20"/>
                <w:szCs w:val="20"/>
              </w:rPr>
            </w:pPr>
            <w:bookmarkStart w:id="212" w:name="_Toc413057853"/>
            <w:r w:rsidRPr="0030066D">
              <w:rPr>
                <w:sz w:val="20"/>
                <w:szCs w:val="20"/>
              </w:rPr>
              <w:t>2745</w:t>
            </w:r>
            <w:bookmarkEnd w:id="212"/>
          </w:p>
        </w:tc>
        <w:tc>
          <w:tcPr>
            <w:tcW w:w="607" w:type="pct"/>
            <w:vAlign w:val="bottom"/>
          </w:tcPr>
          <w:p w:rsidR="00573AD5" w:rsidRPr="0030066D" w:rsidRDefault="00573AD5" w:rsidP="0030066D">
            <w:pPr>
              <w:jc w:val="center"/>
              <w:rPr>
                <w:sz w:val="20"/>
                <w:szCs w:val="20"/>
              </w:rPr>
            </w:pPr>
            <w:bookmarkStart w:id="213" w:name="_Toc413057854"/>
            <w:r w:rsidRPr="0030066D">
              <w:rPr>
                <w:sz w:val="20"/>
                <w:szCs w:val="20"/>
              </w:rPr>
              <w:t>2187</w:t>
            </w:r>
            <w:bookmarkEnd w:id="213"/>
          </w:p>
        </w:tc>
        <w:tc>
          <w:tcPr>
            <w:tcW w:w="610" w:type="pct"/>
            <w:vAlign w:val="bottom"/>
          </w:tcPr>
          <w:p w:rsidR="00573AD5" w:rsidRPr="0030066D" w:rsidRDefault="00573AD5" w:rsidP="0030066D">
            <w:pPr>
              <w:jc w:val="center"/>
              <w:rPr>
                <w:sz w:val="20"/>
                <w:szCs w:val="20"/>
              </w:rPr>
            </w:pPr>
            <w:bookmarkStart w:id="214" w:name="_Toc413057855"/>
            <w:r w:rsidRPr="0030066D">
              <w:rPr>
                <w:sz w:val="20"/>
                <w:szCs w:val="20"/>
              </w:rPr>
              <w:t>220</w:t>
            </w:r>
            <w:bookmarkEnd w:id="214"/>
          </w:p>
        </w:tc>
        <w:tc>
          <w:tcPr>
            <w:tcW w:w="681" w:type="pct"/>
            <w:vAlign w:val="bottom"/>
          </w:tcPr>
          <w:p w:rsidR="00573AD5" w:rsidRPr="0030066D" w:rsidRDefault="00573AD5" w:rsidP="0030066D">
            <w:pPr>
              <w:jc w:val="center"/>
              <w:rPr>
                <w:sz w:val="20"/>
                <w:szCs w:val="20"/>
              </w:rPr>
            </w:pPr>
            <w:bookmarkStart w:id="215" w:name="_Toc413057856"/>
            <w:r w:rsidRPr="0030066D">
              <w:rPr>
                <w:sz w:val="20"/>
                <w:szCs w:val="20"/>
              </w:rPr>
              <w:t>672</w:t>
            </w:r>
            <w:bookmarkEnd w:id="215"/>
          </w:p>
        </w:tc>
        <w:tc>
          <w:tcPr>
            <w:tcW w:w="438" w:type="pct"/>
            <w:vAlign w:val="bottom"/>
          </w:tcPr>
          <w:p w:rsidR="00573AD5" w:rsidRPr="0030066D" w:rsidRDefault="00573AD5" w:rsidP="0030066D">
            <w:pPr>
              <w:jc w:val="center"/>
              <w:rPr>
                <w:sz w:val="20"/>
                <w:szCs w:val="20"/>
              </w:rPr>
            </w:pPr>
            <w:bookmarkStart w:id="216" w:name="_Toc413057857"/>
            <w:r w:rsidRPr="0030066D">
              <w:rPr>
                <w:sz w:val="20"/>
                <w:szCs w:val="20"/>
              </w:rPr>
              <w:t>1480</w:t>
            </w:r>
            <w:bookmarkEnd w:id="216"/>
          </w:p>
        </w:tc>
        <w:tc>
          <w:tcPr>
            <w:tcW w:w="412" w:type="pct"/>
            <w:vAlign w:val="bottom"/>
          </w:tcPr>
          <w:p w:rsidR="00573AD5" w:rsidRPr="0030066D" w:rsidRDefault="00573AD5" w:rsidP="0030066D">
            <w:pPr>
              <w:jc w:val="center"/>
              <w:rPr>
                <w:sz w:val="20"/>
                <w:szCs w:val="20"/>
              </w:rPr>
            </w:pPr>
            <w:bookmarkStart w:id="217" w:name="_Toc413057858"/>
            <w:r w:rsidRPr="0030066D">
              <w:rPr>
                <w:sz w:val="20"/>
                <w:szCs w:val="20"/>
              </w:rPr>
              <w:t>1265</w:t>
            </w:r>
            <w:bookmarkEnd w:id="217"/>
          </w:p>
        </w:tc>
        <w:tc>
          <w:tcPr>
            <w:tcW w:w="282" w:type="pct"/>
          </w:tcPr>
          <w:p w:rsidR="00573AD5" w:rsidRPr="0030066D" w:rsidRDefault="00573AD5" w:rsidP="0030066D">
            <w:pPr>
              <w:jc w:val="center"/>
              <w:rPr>
                <w:sz w:val="20"/>
                <w:szCs w:val="20"/>
              </w:rPr>
            </w:pPr>
            <w:bookmarkStart w:id="218" w:name="_Toc413057859"/>
            <w:r w:rsidRPr="0030066D">
              <w:rPr>
                <w:sz w:val="20"/>
                <w:szCs w:val="20"/>
              </w:rPr>
              <w:t>0,89</w:t>
            </w:r>
            <w:bookmarkEnd w:id="218"/>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219" w:name="_Toc413057860"/>
            <w:r w:rsidRPr="0030066D">
              <w:rPr>
                <w:sz w:val="20"/>
                <w:szCs w:val="20"/>
              </w:rPr>
              <w:t>DS04</w:t>
            </w:r>
            <w:bookmarkEnd w:id="219"/>
          </w:p>
        </w:tc>
        <w:tc>
          <w:tcPr>
            <w:tcW w:w="995" w:type="pct"/>
            <w:vMerge w:val="restart"/>
          </w:tcPr>
          <w:p w:rsidR="00573AD5" w:rsidRPr="0030066D" w:rsidRDefault="00573AD5" w:rsidP="002B7E09">
            <w:pPr>
              <w:rPr>
                <w:sz w:val="20"/>
                <w:szCs w:val="20"/>
              </w:rPr>
            </w:pPr>
            <w:bookmarkStart w:id="220" w:name="_Toc413057861"/>
            <w:r w:rsidRPr="0030066D">
              <w:rPr>
                <w:sz w:val="20"/>
                <w:szCs w:val="20"/>
              </w:rPr>
              <w:t>București - Galați / Iasi / Suceava</w:t>
            </w:r>
            <w:bookmarkEnd w:id="220"/>
          </w:p>
        </w:tc>
        <w:tc>
          <w:tcPr>
            <w:tcW w:w="121" w:type="pct"/>
          </w:tcPr>
          <w:p w:rsidR="00573AD5" w:rsidRPr="0030066D" w:rsidRDefault="00573AD5" w:rsidP="0030066D">
            <w:pPr>
              <w:jc w:val="center"/>
              <w:rPr>
                <w:sz w:val="20"/>
                <w:szCs w:val="20"/>
              </w:rPr>
            </w:pPr>
            <w:bookmarkStart w:id="221" w:name="_Toc413057862"/>
            <w:r w:rsidRPr="0030066D">
              <w:rPr>
                <w:sz w:val="20"/>
                <w:szCs w:val="20"/>
              </w:rPr>
              <w:t>R</w:t>
            </w:r>
            <w:bookmarkEnd w:id="221"/>
          </w:p>
        </w:tc>
        <w:tc>
          <w:tcPr>
            <w:tcW w:w="287" w:type="pct"/>
            <w:vAlign w:val="bottom"/>
          </w:tcPr>
          <w:p w:rsidR="00573AD5" w:rsidRPr="0030066D" w:rsidRDefault="00573AD5" w:rsidP="0030066D">
            <w:pPr>
              <w:jc w:val="center"/>
              <w:rPr>
                <w:sz w:val="20"/>
                <w:szCs w:val="20"/>
              </w:rPr>
            </w:pPr>
            <w:bookmarkStart w:id="222" w:name="_Toc413057863"/>
            <w:r w:rsidRPr="0030066D">
              <w:rPr>
                <w:sz w:val="20"/>
                <w:szCs w:val="20"/>
              </w:rPr>
              <w:t>113</w:t>
            </w:r>
            <w:bookmarkEnd w:id="222"/>
          </w:p>
        </w:tc>
        <w:tc>
          <w:tcPr>
            <w:tcW w:w="287" w:type="pct"/>
            <w:vAlign w:val="bottom"/>
          </w:tcPr>
          <w:p w:rsidR="00573AD5" w:rsidRPr="0030066D" w:rsidRDefault="00573AD5" w:rsidP="0030066D">
            <w:pPr>
              <w:jc w:val="center"/>
              <w:rPr>
                <w:sz w:val="20"/>
                <w:szCs w:val="20"/>
              </w:rPr>
            </w:pPr>
            <w:r w:rsidRPr="0030066D">
              <w:rPr>
                <w:sz w:val="20"/>
                <w:szCs w:val="20"/>
              </w:rPr>
              <w:t>410</w:t>
            </w:r>
          </w:p>
        </w:tc>
        <w:tc>
          <w:tcPr>
            <w:tcW w:w="607" w:type="pct"/>
            <w:vAlign w:val="bottom"/>
          </w:tcPr>
          <w:p w:rsidR="00573AD5" w:rsidRPr="0030066D" w:rsidRDefault="00573AD5" w:rsidP="0030066D">
            <w:pPr>
              <w:jc w:val="center"/>
              <w:rPr>
                <w:sz w:val="20"/>
                <w:szCs w:val="20"/>
              </w:rPr>
            </w:pPr>
            <w:bookmarkStart w:id="223" w:name="_Toc413057864"/>
            <w:r w:rsidRPr="0030066D">
              <w:rPr>
                <w:sz w:val="20"/>
                <w:szCs w:val="20"/>
              </w:rPr>
              <w:t>1</w:t>
            </w:r>
            <w:bookmarkEnd w:id="223"/>
          </w:p>
        </w:tc>
        <w:tc>
          <w:tcPr>
            <w:tcW w:w="610" w:type="pct"/>
            <w:vAlign w:val="bottom"/>
          </w:tcPr>
          <w:p w:rsidR="00573AD5" w:rsidRPr="0030066D" w:rsidRDefault="00573AD5" w:rsidP="0030066D">
            <w:pPr>
              <w:jc w:val="center"/>
              <w:rPr>
                <w:sz w:val="20"/>
                <w:szCs w:val="20"/>
              </w:rPr>
            </w:pPr>
            <w:bookmarkStart w:id="224" w:name="_Toc413057865"/>
            <w:r w:rsidRPr="0030066D">
              <w:rPr>
                <w:sz w:val="20"/>
                <w:szCs w:val="20"/>
              </w:rPr>
              <w:t>104</w:t>
            </w:r>
            <w:bookmarkEnd w:id="224"/>
          </w:p>
        </w:tc>
        <w:tc>
          <w:tcPr>
            <w:tcW w:w="681" w:type="pct"/>
            <w:vAlign w:val="bottom"/>
          </w:tcPr>
          <w:p w:rsidR="00573AD5" w:rsidRPr="0030066D" w:rsidRDefault="00573AD5" w:rsidP="0030066D">
            <w:pPr>
              <w:jc w:val="center"/>
              <w:rPr>
                <w:sz w:val="20"/>
                <w:szCs w:val="20"/>
              </w:rPr>
            </w:pPr>
            <w:bookmarkStart w:id="225" w:name="_Toc413057866"/>
            <w:r w:rsidRPr="0030066D">
              <w:rPr>
                <w:sz w:val="20"/>
                <w:szCs w:val="20"/>
              </w:rPr>
              <w:t>8</w:t>
            </w:r>
            <w:bookmarkEnd w:id="225"/>
          </w:p>
        </w:tc>
        <w:tc>
          <w:tcPr>
            <w:tcW w:w="438" w:type="pct"/>
            <w:vAlign w:val="bottom"/>
          </w:tcPr>
          <w:p w:rsidR="00573AD5" w:rsidRPr="0030066D" w:rsidRDefault="00573AD5" w:rsidP="0030066D">
            <w:pPr>
              <w:jc w:val="center"/>
              <w:rPr>
                <w:sz w:val="20"/>
                <w:szCs w:val="20"/>
              </w:rPr>
            </w:pPr>
            <w:bookmarkStart w:id="226" w:name="_Toc413057867"/>
            <w:r w:rsidRPr="0030066D">
              <w:rPr>
                <w:sz w:val="20"/>
                <w:szCs w:val="20"/>
              </w:rPr>
              <w:t>320</w:t>
            </w:r>
            <w:bookmarkEnd w:id="226"/>
          </w:p>
        </w:tc>
        <w:tc>
          <w:tcPr>
            <w:tcW w:w="412" w:type="pct"/>
            <w:vAlign w:val="bottom"/>
          </w:tcPr>
          <w:p w:rsidR="00573AD5" w:rsidRPr="0030066D" w:rsidRDefault="00573AD5" w:rsidP="0030066D">
            <w:pPr>
              <w:jc w:val="center"/>
              <w:rPr>
                <w:sz w:val="20"/>
                <w:szCs w:val="20"/>
              </w:rPr>
            </w:pPr>
            <w:bookmarkStart w:id="227" w:name="_Toc413057868"/>
            <w:r w:rsidRPr="0030066D">
              <w:rPr>
                <w:sz w:val="20"/>
                <w:szCs w:val="20"/>
              </w:rPr>
              <w:t>90</w:t>
            </w:r>
            <w:bookmarkEnd w:id="227"/>
          </w:p>
        </w:tc>
        <w:tc>
          <w:tcPr>
            <w:tcW w:w="282" w:type="pct"/>
          </w:tcPr>
          <w:p w:rsidR="00573AD5" w:rsidRPr="0030066D" w:rsidRDefault="00573AD5" w:rsidP="0030066D">
            <w:pPr>
              <w:jc w:val="center"/>
              <w:rPr>
                <w:sz w:val="20"/>
                <w:szCs w:val="20"/>
              </w:rPr>
            </w:pPr>
            <w:bookmarkStart w:id="228" w:name="_Toc413057869"/>
            <w:r w:rsidRPr="0030066D">
              <w:rPr>
                <w:sz w:val="20"/>
                <w:szCs w:val="20"/>
              </w:rPr>
              <w:t>3,64</w:t>
            </w:r>
            <w:bookmarkEnd w:id="228"/>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29" w:name="_Toc413057870"/>
            <w:r w:rsidRPr="0030066D">
              <w:rPr>
                <w:sz w:val="20"/>
                <w:szCs w:val="20"/>
              </w:rPr>
              <w:t>A</w:t>
            </w:r>
            <w:bookmarkEnd w:id="229"/>
          </w:p>
        </w:tc>
        <w:tc>
          <w:tcPr>
            <w:tcW w:w="287" w:type="pct"/>
            <w:vAlign w:val="bottom"/>
          </w:tcPr>
          <w:p w:rsidR="00573AD5" w:rsidRPr="0030066D" w:rsidRDefault="00573AD5" w:rsidP="0030066D">
            <w:pPr>
              <w:jc w:val="center"/>
              <w:rPr>
                <w:sz w:val="20"/>
                <w:szCs w:val="20"/>
              </w:rPr>
            </w:pPr>
            <w:bookmarkStart w:id="230" w:name="_Toc413057871"/>
            <w:r w:rsidRPr="0030066D">
              <w:rPr>
                <w:sz w:val="20"/>
                <w:szCs w:val="20"/>
              </w:rPr>
              <w:t>2276</w:t>
            </w:r>
            <w:bookmarkEnd w:id="230"/>
          </w:p>
        </w:tc>
        <w:tc>
          <w:tcPr>
            <w:tcW w:w="287" w:type="pct"/>
            <w:vAlign w:val="bottom"/>
          </w:tcPr>
          <w:p w:rsidR="00573AD5" w:rsidRPr="0030066D" w:rsidRDefault="00573AD5" w:rsidP="0030066D">
            <w:pPr>
              <w:jc w:val="center"/>
              <w:rPr>
                <w:sz w:val="20"/>
                <w:szCs w:val="20"/>
              </w:rPr>
            </w:pPr>
            <w:bookmarkStart w:id="231" w:name="_Toc413057872"/>
            <w:r w:rsidRPr="0030066D">
              <w:rPr>
                <w:sz w:val="20"/>
                <w:szCs w:val="20"/>
              </w:rPr>
              <w:t>2805</w:t>
            </w:r>
            <w:bookmarkEnd w:id="231"/>
          </w:p>
        </w:tc>
        <w:tc>
          <w:tcPr>
            <w:tcW w:w="607" w:type="pct"/>
            <w:vAlign w:val="bottom"/>
          </w:tcPr>
          <w:p w:rsidR="00573AD5" w:rsidRPr="0030066D" w:rsidRDefault="00573AD5" w:rsidP="0030066D">
            <w:pPr>
              <w:jc w:val="center"/>
              <w:rPr>
                <w:sz w:val="20"/>
                <w:szCs w:val="20"/>
              </w:rPr>
            </w:pPr>
            <w:bookmarkStart w:id="232" w:name="_Toc413057873"/>
            <w:r w:rsidRPr="0030066D">
              <w:rPr>
                <w:sz w:val="20"/>
                <w:szCs w:val="20"/>
              </w:rPr>
              <w:t>2213</w:t>
            </w:r>
            <w:bookmarkEnd w:id="232"/>
          </w:p>
        </w:tc>
        <w:tc>
          <w:tcPr>
            <w:tcW w:w="610" w:type="pct"/>
            <w:vAlign w:val="bottom"/>
          </w:tcPr>
          <w:p w:rsidR="00573AD5" w:rsidRPr="0030066D" w:rsidRDefault="00573AD5" w:rsidP="0030066D">
            <w:pPr>
              <w:jc w:val="center"/>
              <w:rPr>
                <w:sz w:val="20"/>
                <w:szCs w:val="20"/>
              </w:rPr>
            </w:pPr>
            <w:bookmarkStart w:id="233" w:name="_Toc413057874"/>
            <w:r w:rsidRPr="0030066D">
              <w:rPr>
                <w:sz w:val="20"/>
                <w:szCs w:val="20"/>
              </w:rPr>
              <w:t>110</w:t>
            </w:r>
            <w:bookmarkEnd w:id="233"/>
          </w:p>
        </w:tc>
        <w:tc>
          <w:tcPr>
            <w:tcW w:w="681" w:type="pct"/>
            <w:vAlign w:val="bottom"/>
          </w:tcPr>
          <w:p w:rsidR="00573AD5" w:rsidRPr="0030066D" w:rsidRDefault="00573AD5" w:rsidP="0030066D">
            <w:pPr>
              <w:jc w:val="center"/>
              <w:rPr>
                <w:sz w:val="20"/>
                <w:szCs w:val="20"/>
              </w:rPr>
            </w:pPr>
            <w:bookmarkStart w:id="234" w:name="_Toc413057875"/>
            <w:r w:rsidRPr="0030066D">
              <w:rPr>
                <w:sz w:val="20"/>
                <w:szCs w:val="20"/>
              </w:rPr>
              <w:t>297</w:t>
            </w:r>
            <w:bookmarkEnd w:id="234"/>
          </w:p>
        </w:tc>
        <w:tc>
          <w:tcPr>
            <w:tcW w:w="438" w:type="pct"/>
            <w:vAlign w:val="bottom"/>
          </w:tcPr>
          <w:p w:rsidR="00573AD5" w:rsidRPr="0030066D" w:rsidRDefault="00573AD5" w:rsidP="0030066D">
            <w:pPr>
              <w:jc w:val="center"/>
              <w:rPr>
                <w:sz w:val="20"/>
                <w:szCs w:val="20"/>
              </w:rPr>
            </w:pPr>
            <w:bookmarkStart w:id="235" w:name="_Toc413057876"/>
            <w:r w:rsidRPr="0030066D">
              <w:rPr>
                <w:sz w:val="20"/>
                <w:szCs w:val="20"/>
              </w:rPr>
              <w:t>2189</w:t>
            </w:r>
            <w:bookmarkEnd w:id="235"/>
          </w:p>
        </w:tc>
        <w:tc>
          <w:tcPr>
            <w:tcW w:w="412" w:type="pct"/>
            <w:vAlign w:val="bottom"/>
          </w:tcPr>
          <w:p w:rsidR="00573AD5" w:rsidRPr="0030066D" w:rsidRDefault="00573AD5" w:rsidP="0030066D">
            <w:pPr>
              <w:jc w:val="center"/>
              <w:rPr>
                <w:sz w:val="20"/>
                <w:szCs w:val="20"/>
              </w:rPr>
            </w:pPr>
            <w:bookmarkStart w:id="236" w:name="_Toc413057877"/>
            <w:r w:rsidRPr="0030066D">
              <w:rPr>
                <w:sz w:val="20"/>
                <w:szCs w:val="20"/>
              </w:rPr>
              <w:t>960</w:t>
            </w:r>
            <w:bookmarkEnd w:id="236"/>
          </w:p>
        </w:tc>
        <w:tc>
          <w:tcPr>
            <w:tcW w:w="282" w:type="pct"/>
          </w:tcPr>
          <w:p w:rsidR="00573AD5" w:rsidRPr="0030066D" w:rsidRDefault="00573AD5" w:rsidP="0030066D">
            <w:pPr>
              <w:jc w:val="center"/>
              <w:rPr>
                <w:sz w:val="20"/>
                <w:szCs w:val="20"/>
              </w:rPr>
            </w:pPr>
            <w:bookmarkStart w:id="237" w:name="_Toc413057878"/>
            <w:r w:rsidRPr="0030066D">
              <w:rPr>
                <w:sz w:val="20"/>
                <w:szCs w:val="20"/>
              </w:rPr>
              <w:t>1,23</w:t>
            </w:r>
            <w:bookmarkEnd w:id="237"/>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238" w:name="_Toc413057879"/>
            <w:r w:rsidRPr="0030066D">
              <w:rPr>
                <w:sz w:val="20"/>
                <w:szCs w:val="20"/>
              </w:rPr>
              <w:t>DS05</w:t>
            </w:r>
            <w:bookmarkEnd w:id="238"/>
          </w:p>
        </w:tc>
        <w:tc>
          <w:tcPr>
            <w:tcW w:w="995" w:type="pct"/>
            <w:vMerge w:val="restart"/>
          </w:tcPr>
          <w:p w:rsidR="00573AD5" w:rsidRPr="0030066D" w:rsidRDefault="00573AD5" w:rsidP="002B7E09">
            <w:pPr>
              <w:rPr>
                <w:sz w:val="20"/>
                <w:szCs w:val="20"/>
              </w:rPr>
            </w:pPr>
            <w:bookmarkStart w:id="239" w:name="_Toc413057880"/>
            <w:r w:rsidRPr="0030066D">
              <w:rPr>
                <w:sz w:val="20"/>
                <w:szCs w:val="20"/>
              </w:rPr>
              <w:t>București - Sibiu via Ramnicu Valcea</w:t>
            </w:r>
            <w:bookmarkEnd w:id="239"/>
          </w:p>
        </w:tc>
        <w:tc>
          <w:tcPr>
            <w:tcW w:w="121" w:type="pct"/>
          </w:tcPr>
          <w:p w:rsidR="00573AD5" w:rsidRPr="0030066D" w:rsidRDefault="00573AD5" w:rsidP="0030066D">
            <w:pPr>
              <w:jc w:val="center"/>
              <w:rPr>
                <w:sz w:val="20"/>
                <w:szCs w:val="20"/>
              </w:rPr>
            </w:pPr>
            <w:bookmarkStart w:id="240" w:name="_Toc413057881"/>
            <w:r w:rsidRPr="0030066D">
              <w:rPr>
                <w:sz w:val="20"/>
                <w:szCs w:val="20"/>
              </w:rPr>
              <w:t>R</w:t>
            </w:r>
            <w:bookmarkEnd w:id="240"/>
          </w:p>
        </w:tc>
        <w:tc>
          <w:tcPr>
            <w:tcW w:w="287" w:type="pct"/>
            <w:vAlign w:val="bottom"/>
          </w:tcPr>
          <w:p w:rsidR="00573AD5" w:rsidRPr="0030066D" w:rsidRDefault="00573AD5" w:rsidP="0030066D">
            <w:pPr>
              <w:jc w:val="center"/>
              <w:rPr>
                <w:sz w:val="20"/>
                <w:szCs w:val="20"/>
              </w:rPr>
            </w:pPr>
            <w:bookmarkStart w:id="241" w:name="_Toc413057882"/>
            <w:r w:rsidRPr="0030066D">
              <w:rPr>
                <w:sz w:val="20"/>
                <w:szCs w:val="20"/>
              </w:rPr>
              <w:t>84</w:t>
            </w:r>
            <w:bookmarkEnd w:id="241"/>
          </w:p>
        </w:tc>
        <w:tc>
          <w:tcPr>
            <w:tcW w:w="287" w:type="pct"/>
            <w:vAlign w:val="bottom"/>
          </w:tcPr>
          <w:p w:rsidR="00573AD5" w:rsidRPr="0030066D" w:rsidRDefault="00573AD5" w:rsidP="0030066D">
            <w:pPr>
              <w:jc w:val="center"/>
              <w:rPr>
                <w:sz w:val="20"/>
                <w:szCs w:val="20"/>
              </w:rPr>
            </w:pPr>
            <w:bookmarkStart w:id="242" w:name="_Toc413057883"/>
            <w:r w:rsidRPr="0030066D">
              <w:rPr>
                <w:sz w:val="20"/>
                <w:szCs w:val="20"/>
              </w:rPr>
              <w:t>-3</w:t>
            </w:r>
            <w:bookmarkEnd w:id="242"/>
          </w:p>
        </w:tc>
        <w:tc>
          <w:tcPr>
            <w:tcW w:w="607" w:type="pct"/>
            <w:vAlign w:val="bottom"/>
          </w:tcPr>
          <w:p w:rsidR="00573AD5" w:rsidRPr="0030066D" w:rsidRDefault="00573AD5" w:rsidP="0030066D">
            <w:pPr>
              <w:jc w:val="center"/>
              <w:rPr>
                <w:sz w:val="20"/>
                <w:szCs w:val="20"/>
              </w:rPr>
            </w:pPr>
            <w:bookmarkStart w:id="243" w:name="_Toc413057884"/>
            <w:r w:rsidRPr="0030066D">
              <w:rPr>
                <w:sz w:val="20"/>
                <w:szCs w:val="20"/>
              </w:rPr>
              <w:t>12</w:t>
            </w:r>
            <w:bookmarkEnd w:id="243"/>
          </w:p>
        </w:tc>
        <w:tc>
          <w:tcPr>
            <w:tcW w:w="610" w:type="pct"/>
            <w:vAlign w:val="bottom"/>
          </w:tcPr>
          <w:p w:rsidR="00573AD5" w:rsidRPr="0030066D" w:rsidRDefault="00573AD5" w:rsidP="0030066D">
            <w:pPr>
              <w:jc w:val="center"/>
              <w:rPr>
                <w:sz w:val="20"/>
                <w:szCs w:val="20"/>
              </w:rPr>
            </w:pPr>
            <w:bookmarkStart w:id="244" w:name="_Toc413057885"/>
            <w:r w:rsidRPr="0030066D">
              <w:rPr>
                <w:sz w:val="20"/>
                <w:szCs w:val="20"/>
              </w:rPr>
              <w:t>67</w:t>
            </w:r>
            <w:bookmarkEnd w:id="244"/>
          </w:p>
        </w:tc>
        <w:tc>
          <w:tcPr>
            <w:tcW w:w="681" w:type="pct"/>
            <w:vAlign w:val="bottom"/>
          </w:tcPr>
          <w:p w:rsidR="00573AD5" w:rsidRPr="0030066D" w:rsidRDefault="00573AD5" w:rsidP="0030066D">
            <w:pPr>
              <w:jc w:val="center"/>
              <w:rPr>
                <w:sz w:val="20"/>
                <w:szCs w:val="20"/>
              </w:rPr>
            </w:pPr>
            <w:bookmarkStart w:id="245" w:name="_Toc413057886"/>
            <w:r w:rsidRPr="0030066D">
              <w:rPr>
                <w:sz w:val="20"/>
                <w:szCs w:val="20"/>
              </w:rPr>
              <w:t>5</w:t>
            </w:r>
            <w:bookmarkEnd w:id="245"/>
          </w:p>
        </w:tc>
        <w:tc>
          <w:tcPr>
            <w:tcW w:w="438" w:type="pct"/>
            <w:vAlign w:val="bottom"/>
          </w:tcPr>
          <w:p w:rsidR="00573AD5" w:rsidRPr="0030066D" w:rsidRDefault="00573AD5" w:rsidP="0030066D">
            <w:pPr>
              <w:jc w:val="center"/>
              <w:rPr>
                <w:sz w:val="20"/>
                <w:szCs w:val="20"/>
              </w:rPr>
            </w:pPr>
            <w:bookmarkStart w:id="246" w:name="_Toc413057887"/>
            <w:r w:rsidRPr="0030066D">
              <w:rPr>
                <w:sz w:val="20"/>
                <w:szCs w:val="20"/>
              </w:rPr>
              <w:t>-12</w:t>
            </w:r>
            <w:bookmarkEnd w:id="246"/>
          </w:p>
        </w:tc>
        <w:tc>
          <w:tcPr>
            <w:tcW w:w="412" w:type="pct"/>
            <w:vAlign w:val="bottom"/>
          </w:tcPr>
          <w:p w:rsidR="00573AD5" w:rsidRPr="0030066D" w:rsidRDefault="00573AD5" w:rsidP="0030066D">
            <w:pPr>
              <w:jc w:val="center"/>
              <w:rPr>
                <w:sz w:val="20"/>
                <w:szCs w:val="20"/>
              </w:rPr>
            </w:pPr>
            <w:bookmarkStart w:id="247" w:name="_Toc413057888"/>
            <w:r w:rsidRPr="0030066D">
              <w:rPr>
                <w:sz w:val="20"/>
                <w:szCs w:val="20"/>
              </w:rPr>
              <w:t>9</w:t>
            </w:r>
            <w:bookmarkEnd w:id="247"/>
          </w:p>
        </w:tc>
        <w:tc>
          <w:tcPr>
            <w:tcW w:w="282" w:type="pct"/>
          </w:tcPr>
          <w:p w:rsidR="00573AD5" w:rsidRPr="0030066D" w:rsidRDefault="00573AD5" w:rsidP="0030066D">
            <w:pPr>
              <w:jc w:val="center"/>
              <w:rPr>
                <w:sz w:val="20"/>
                <w:szCs w:val="20"/>
              </w:rPr>
            </w:pPr>
            <w:bookmarkStart w:id="248" w:name="_Toc413057889"/>
            <w:r w:rsidRPr="0030066D">
              <w:rPr>
                <w:sz w:val="20"/>
                <w:szCs w:val="20"/>
              </w:rPr>
              <w:t>-</w:t>
            </w:r>
            <w:bookmarkEnd w:id="248"/>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49" w:name="_Toc413057890"/>
            <w:r w:rsidRPr="0030066D">
              <w:rPr>
                <w:sz w:val="20"/>
                <w:szCs w:val="20"/>
              </w:rPr>
              <w:t>A</w:t>
            </w:r>
            <w:bookmarkEnd w:id="249"/>
          </w:p>
        </w:tc>
        <w:tc>
          <w:tcPr>
            <w:tcW w:w="287" w:type="pct"/>
            <w:vAlign w:val="bottom"/>
          </w:tcPr>
          <w:p w:rsidR="00573AD5" w:rsidRPr="0030066D" w:rsidRDefault="00573AD5" w:rsidP="0030066D">
            <w:pPr>
              <w:jc w:val="center"/>
              <w:rPr>
                <w:sz w:val="20"/>
                <w:szCs w:val="20"/>
              </w:rPr>
            </w:pPr>
            <w:bookmarkStart w:id="250" w:name="_Toc413057891"/>
            <w:r w:rsidRPr="0030066D">
              <w:rPr>
                <w:sz w:val="20"/>
                <w:szCs w:val="20"/>
              </w:rPr>
              <w:t>613</w:t>
            </w:r>
            <w:bookmarkEnd w:id="250"/>
          </w:p>
        </w:tc>
        <w:tc>
          <w:tcPr>
            <w:tcW w:w="287" w:type="pct"/>
            <w:vAlign w:val="bottom"/>
          </w:tcPr>
          <w:p w:rsidR="00573AD5" w:rsidRPr="0030066D" w:rsidRDefault="00573AD5" w:rsidP="0030066D">
            <w:pPr>
              <w:jc w:val="center"/>
              <w:rPr>
                <w:sz w:val="20"/>
                <w:szCs w:val="20"/>
              </w:rPr>
            </w:pPr>
            <w:bookmarkStart w:id="251" w:name="_Toc413057892"/>
            <w:r w:rsidRPr="0030066D">
              <w:rPr>
                <w:sz w:val="20"/>
                <w:szCs w:val="20"/>
              </w:rPr>
              <w:t>8</w:t>
            </w:r>
            <w:bookmarkEnd w:id="251"/>
          </w:p>
        </w:tc>
        <w:tc>
          <w:tcPr>
            <w:tcW w:w="607" w:type="pct"/>
            <w:vAlign w:val="bottom"/>
          </w:tcPr>
          <w:p w:rsidR="00573AD5" w:rsidRPr="0030066D" w:rsidRDefault="00573AD5" w:rsidP="0030066D">
            <w:pPr>
              <w:jc w:val="center"/>
              <w:rPr>
                <w:sz w:val="20"/>
                <w:szCs w:val="20"/>
              </w:rPr>
            </w:pPr>
            <w:bookmarkStart w:id="252" w:name="_Toc413057893"/>
            <w:r w:rsidRPr="0030066D">
              <w:rPr>
                <w:sz w:val="20"/>
                <w:szCs w:val="20"/>
              </w:rPr>
              <w:t>578</w:t>
            </w:r>
            <w:bookmarkEnd w:id="252"/>
          </w:p>
        </w:tc>
        <w:tc>
          <w:tcPr>
            <w:tcW w:w="610" w:type="pct"/>
            <w:vAlign w:val="bottom"/>
          </w:tcPr>
          <w:p w:rsidR="00573AD5" w:rsidRPr="0030066D" w:rsidRDefault="00573AD5" w:rsidP="0030066D">
            <w:pPr>
              <w:jc w:val="center"/>
              <w:rPr>
                <w:sz w:val="20"/>
                <w:szCs w:val="20"/>
              </w:rPr>
            </w:pPr>
            <w:bookmarkStart w:id="253" w:name="_Toc413057894"/>
            <w:r w:rsidRPr="0030066D">
              <w:rPr>
                <w:sz w:val="20"/>
                <w:szCs w:val="20"/>
              </w:rPr>
              <w:t>161</w:t>
            </w:r>
            <w:bookmarkEnd w:id="253"/>
          </w:p>
        </w:tc>
        <w:tc>
          <w:tcPr>
            <w:tcW w:w="681" w:type="pct"/>
            <w:vAlign w:val="bottom"/>
          </w:tcPr>
          <w:p w:rsidR="00573AD5" w:rsidRPr="0030066D" w:rsidRDefault="00573AD5" w:rsidP="0030066D">
            <w:pPr>
              <w:jc w:val="center"/>
              <w:rPr>
                <w:sz w:val="20"/>
                <w:szCs w:val="20"/>
              </w:rPr>
            </w:pPr>
            <w:bookmarkStart w:id="254" w:name="_Toc413057895"/>
            <w:r w:rsidRPr="0030066D">
              <w:rPr>
                <w:sz w:val="20"/>
                <w:szCs w:val="20"/>
              </w:rPr>
              <w:t>-94</w:t>
            </w:r>
            <w:bookmarkEnd w:id="254"/>
          </w:p>
        </w:tc>
        <w:tc>
          <w:tcPr>
            <w:tcW w:w="438" w:type="pct"/>
            <w:vAlign w:val="bottom"/>
          </w:tcPr>
          <w:p w:rsidR="00573AD5" w:rsidRPr="0030066D" w:rsidRDefault="00573AD5" w:rsidP="0030066D">
            <w:pPr>
              <w:jc w:val="center"/>
              <w:rPr>
                <w:sz w:val="20"/>
                <w:szCs w:val="20"/>
              </w:rPr>
            </w:pPr>
            <w:bookmarkStart w:id="255" w:name="_Toc413057896"/>
            <w:r w:rsidRPr="0030066D">
              <w:rPr>
                <w:sz w:val="20"/>
                <w:szCs w:val="20"/>
              </w:rPr>
              <w:t>586</w:t>
            </w:r>
            <w:bookmarkEnd w:id="255"/>
          </w:p>
        </w:tc>
        <w:tc>
          <w:tcPr>
            <w:tcW w:w="412" w:type="pct"/>
            <w:vAlign w:val="bottom"/>
          </w:tcPr>
          <w:p w:rsidR="00573AD5" w:rsidRPr="0030066D" w:rsidRDefault="00573AD5" w:rsidP="0030066D">
            <w:pPr>
              <w:jc w:val="center"/>
              <w:rPr>
                <w:sz w:val="20"/>
                <w:szCs w:val="20"/>
              </w:rPr>
            </w:pPr>
            <w:bookmarkStart w:id="256" w:name="_Toc413057897"/>
            <w:r w:rsidRPr="0030066D">
              <w:rPr>
                <w:sz w:val="20"/>
                <w:szCs w:val="20"/>
              </w:rPr>
              <w:t>-547</w:t>
            </w:r>
            <w:bookmarkEnd w:id="256"/>
          </w:p>
        </w:tc>
        <w:tc>
          <w:tcPr>
            <w:tcW w:w="282" w:type="pct"/>
          </w:tcPr>
          <w:p w:rsidR="00573AD5" w:rsidRPr="0030066D" w:rsidRDefault="00573AD5" w:rsidP="0030066D">
            <w:pPr>
              <w:jc w:val="center"/>
              <w:rPr>
                <w:sz w:val="20"/>
                <w:szCs w:val="20"/>
              </w:rPr>
            </w:pPr>
            <w:bookmarkStart w:id="257" w:name="_Toc413057898"/>
            <w:r w:rsidRPr="0030066D">
              <w:rPr>
                <w:sz w:val="20"/>
                <w:szCs w:val="20"/>
              </w:rPr>
              <w:t>0,01</w:t>
            </w:r>
            <w:bookmarkEnd w:id="257"/>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58" w:name="_Toc413057899"/>
            <w:r w:rsidRPr="0030066D">
              <w:rPr>
                <w:sz w:val="20"/>
                <w:szCs w:val="20"/>
              </w:rPr>
              <w:t>B</w:t>
            </w:r>
            <w:bookmarkEnd w:id="258"/>
          </w:p>
        </w:tc>
        <w:tc>
          <w:tcPr>
            <w:tcW w:w="287" w:type="pct"/>
            <w:vAlign w:val="bottom"/>
          </w:tcPr>
          <w:p w:rsidR="00573AD5" w:rsidRPr="0030066D" w:rsidRDefault="00573AD5" w:rsidP="0030066D">
            <w:pPr>
              <w:jc w:val="center"/>
              <w:rPr>
                <w:sz w:val="20"/>
                <w:szCs w:val="20"/>
              </w:rPr>
            </w:pPr>
            <w:bookmarkStart w:id="259" w:name="_Toc413057900"/>
            <w:r w:rsidRPr="0030066D">
              <w:rPr>
                <w:sz w:val="20"/>
                <w:szCs w:val="20"/>
              </w:rPr>
              <w:t>1088</w:t>
            </w:r>
            <w:bookmarkEnd w:id="259"/>
          </w:p>
        </w:tc>
        <w:tc>
          <w:tcPr>
            <w:tcW w:w="287" w:type="pct"/>
            <w:vAlign w:val="bottom"/>
          </w:tcPr>
          <w:p w:rsidR="00573AD5" w:rsidRPr="0030066D" w:rsidRDefault="00573AD5" w:rsidP="0030066D">
            <w:pPr>
              <w:jc w:val="center"/>
              <w:rPr>
                <w:sz w:val="20"/>
                <w:szCs w:val="20"/>
              </w:rPr>
            </w:pPr>
            <w:bookmarkStart w:id="260" w:name="_Toc413057901"/>
            <w:r w:rsidRPr="0030066D">
              <w:rPr>
                <w:sz w:val="20"/>
                <w:szCs w:val="20"/>
              </w:rPr>
              <w:t>1746</w:t>
            </w:r>
            <w:bookmarkEnd w:id="260"/>
          </w:p>
        </w:tc>
        <w:tc>
          <w:tcPr>
            <w:tcW w:w="607" w:type="pct"/>
            <w:vAlign w:val="bottom"/>
          </w:tcPr>
          <w:p w:rsidR="00573AD5" w:rsidRPr="0030066D" w:rsidRDefault="00573AD5" w:rsidP="0030066D">
            <w:pPr>
              <w:jc w:val="center"/>
              <w:rPr>
                <w:sz w:val="20"/>
                <w:szCs w:val="20"/>
              </w:rPr>
            </w:pPr>
            <w:bookmarkStart w:id="261" w:name="_Toc413057902"/>
            <w:r w:rsidRPr="0030066D">
              <w:rPr>
                <w:sz w:val="20"/>
                <w:szCs w:val="20"/>
              </w:rPr>
              <w:t>1052</w:t>
            </w:r>
            <w:bookmarkEnd w:id="261"/>
          </w:p>
        </w:tc>
        <w:tc>
          <w:tcPr>
            <w:tcW w:w="610" w:type="pct"/>
            <w:vAlign w:val="bottom"/>
          </w:tcPr>
          <w:p w:rsidR="00573AD5" w:rsidRPr="0030066D" w:rsidRDefault="00573AD5" w:rsidP="0030066D">
            <w:pPr>
              <w:jc w:val="center"/>
              <w:rPr>
                <w:sz w:val="20"/>
                <w:szCs w:val="20"/>
              </w:rPr>
            </w:pPr>
            <w:bookmarkStart w:id="262" w:name="_Toc413057903"/>
            <w:r w:rsidRPr="0030066D">
              <w:rPr>
                <w:sz w:val="20"/>
                <w:szCs w:val="20"/>
              </w:rPr>
              <w:t>144</w:t>
            </w:r>
            <w:bookmarkEnd w:id="262"/>
          </w:p>
        </w:tc>
        <w:tc>
          <w:tcPr>
            <w:tcW w:w="681" w:type="pct"/>
            <w:vAlign w:val="bottom"/>
          </w:tcPr>
          <w:p w:rsidR="00573AD5" w:rsidRPr="0030066D" w:rsidRDefault="00573AD5" w:rsidP="0030066D">
            <w:pPr>
              <w:jc w:val="center"/>
              <w:rPr>
                <w:sz w:val="20"/>
                <w:szCs w:val="20"/>
              </w:rPr>
            </w:pPr>
            <w:bookmarkStart w:id="263" w:name="_Toc413057904"/>
            <w:r w:rsidRPr="0030066D">
              <w:rPr>
                <w:sz w:val="20"/>
                <w:szCs w:val="20"/>
              </w:rPr>
              <w:t>-88</w:t>
            </w:r>
            <w:bookmarkEnd w:id="263"/>
          </w:p>
        </w:tc>
        <w:tc>
          <w:tcPr>
            <w:tcW w:w="438" w:type="pct"/>
            <w:vAlign w:val="bottom"/>
          </w:tcPr>
          <w:p w:rsidR="00573AD5" w:rsidRPr="0030066D" w:rsidRDefault="00573AD5" w:rsidP="0030066D">
            <w:pPr>
              <w:jc w:val="center"/>
              <w:rPr>
                <w:sz w:val="20"/>
                <w:szCs w:val="20"/>
              </w:rPr>
            </w:pPr>
            <w:bookmarkStart w:id="264" w:name="_Toc413057905"/>
            <w:r w:rsidRPr="0030066D">
              <w:rPr>
                <w:sz w:val="20"/>
                <w:szCs w:val="20"/>
              </w:rPr>
              <w:t>646</w:t>
            </w:r>
            <w:bookmarkEnd w:id="264"/>
          </w:p>
        </w:tc>
        <w:tc>
          <w:tcPr>
            <w:tcW w:w="412" w:type="pct"/>
            <w:vAlign w:val="bottom"/>
          </w:tcPr>
          <w:p w:rsidR="00573AD5" w:rsidRPr="0030066D" w:rsidRDefault="00573AD5" w:rsidP="0030066D">
            <w:pPr>
              <w:jc w:val="center"/>
              <w:rPr>
                <w:sz w:val="20"/>
                <w:szCs w:val="20"/>
              </w:rPr>
            </w:pPr>
            <w:bookmarkStart w:id="265" w:name="_Toc413057906"/>
            <w:r w:rsidRPr="0030066D">
              <w:rPr>
                <w:sz w:val="20"/>
                <w:szCs w:val="20"/>
              </w:rPr>
              <w:t>1121</w:t>
            </w:r>
            <w:bookmarkEnd w:id="265"/>
          </w:p>
        </w:tc>
        <w:tc>
          <w:tcPr>
            <w:tcW w:w="282" w:type="pct"/>
          </w:tcPr>
          <w:p w:rsidR="00573AD5" w:rsidRPr="0030066D" w:rsidRDefault="00573AD5" w:rsidP="0030066D">
            <w:pPr>
              <w:jc w:val="center"/>
              <w:rPr>
                <w:sz w:val="20"/>
                <w:szCs w:val="20"/>
              </w:rPr>
            </w:pPr>
            <w:bookmarkStart w:id="266" w:name="_Toc413057907"/>
            <w:r w:rsidRPr="0030066D">
              <w:rPr>
                <w:sz w:val="20"/>
                <w:szCs w:val="20"/>
              </w:rPr>
              <w:t>1,61</w:t>
            </w:r>
            <w:bookmarkEnd w:id="266"/>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67" w:name="_Toc413057908"/>
            <w:r w:rsidRPr="0030066D">
              <w:rPr>
                <w:sz w:val="20"/>
                <w:szCs w:val="20"/>
              </w:rPr>
              <w:t>C</w:t>
            </w:r>
            <w:bookmarkEnd w:id="267"/>
          </w:p>
        </w:tc>
        <w:tc>
          <w:tcPr>
            <w:tcW w:w="287" w:type="pct"/>
            <w:vAlign w:val="bottom"/>
          </w:tcPr>
          <w:p w:rsidR="00573AD5" w:rsidRPr="0030066D" w:rsidRDefault="00573AD5" w:rsidP="0030066D">
            <w:pPr>
              <w:jc w:val="center"/>
              <w:rPr>
                <w:sz w:val="20"/>
                <w:szCs w:val="20"/>
              </w:rPr>
            </w:pPr>
            <w:bookmarkStart w:id="268" w:name="_Toc413057909"/>
            <w:r w:rsidRPr="0030066D">
              <w:rPr>
                <w:sz w:val="20"/>
                <w:szCs w:val="20"/>
              </w:rPr>
              <w:t>1275</w:t>
            </w:r>
            <w:bookmarkEnd w:id="268"/>
          </w:p>
        </w:tc>
        <w:tc>
          <w:tcPr>
            <w:tcW w:w="287" w:type="pct"/>
            <w:vAlign w:val="bottom"/>
          </w:tcPr>
          <w:p w:rsidR="00573AD5" w:rsidRPr="0030066D" w:rsidRDefault="00573AD5" w:rsidP="0030066D">
            <w:pPr>
              <w:jc w:val="center"/>
              <w:rPr>
                <w:sz w:val="20"/>
                <w:szCs w:val="20"/>
              </w:rPr>
            </w:pPr>
            <w:bookmarkStart w:id="269" w:name="_Toc413057910"/>
            <w:r w:rsidRPr="0030066D">
              <w:rPr>
                <w:sz w:val="20"/>
                <w:szCs w:val="20"/>
              </w:rPr>
              <w:t>1566</w:t>
            </w:r>
            <w:bookmarkEnd w:id="269"/>
          </w:p>
        </w:tc>
        <w:tc>
          <w:tcPr>
            <w:tcW w:w="607" w:type="pct"/>
            <w:vAlign w:val="bottom"/>
          </w:tcPr>
          <w:p w:rsidR="00573AD5" w:rsidRPr="0030066D" w:rsidRDefault="00573AD5" w:rsidP="0030066D">
            <w:pPr>
              <w:jc w:val="center"/>
              <w:rPr>
                <w:sz w:val="20"/>
                <w:szCs w:val="20"/>
              </w:rPr>
            </w:pPr>
            <w:bookmarkStart w:id="270" w:name="_Toc413057911"/>
            <w:r w:rsidRPr="0030066D">
              <w:rPr>
                <w:sz w:val="20"/>
                <w:szCs w:val="20"/>
              </w:rPr>
              <w:t>1240</w:t>
            </w:r>
            <w:bookmarkEnd w:id="270"/>
          </w:p>
        </w:tc>
        <w:tc>
          <w:tcPr>
            <w:tcW w:w="610" w:type="pct"/>
            <w:vAlign w:val="bottom"/>
          </w:tcPr>
          <w:p w:rsidR="00573AD5" w:rsidRPr="0030066D" w:rsidRDefault="00573AD5" w:rsidP="0030066D">
            <w:pPr>
              <w:jc w:val="center"/>
              <w:rPr>
                <w:sz w:val="20"/>
                <w:szCs w:val="20"/>
              </w:rPr>
            </w:pPr>
            <w:bookmarkStart w:id="271" w:name="_Toc413057912"/>
            <w:r w:rsidRPr="0030066D">
              <w:rPr>
                <w:sz w:val="20"/>
                <w:szCs w:val="20"/>
              </w:rPr>
              <w:t>169</w:t>
            </w:r>
            <w:bookmarkEnd w:id="271"/>
          </w:p>
        </w:tc>
        <w:tc>
          <w:tcPr>
            <w:tcW w:w="681" w:type="pct"/>
            <w:vAlign w:val="bottom"/>
          </w:tcPr>
          <w:p w:rsidR="00573AD5" w:rsidRPr="0030066D" w:rsidRDefault="00573AD5" w:rsidP="0030066D">
            <w:pPr>
              <w:jc w:val="center"/>
              <w:rPr>
                <w:sz w:val="20"/>
                <w:szCs w:val="20"/>
              </w:rPr>
            </w:pPr>
            <w:bookmarkStart w:id="272" w:name="_Toc413057913"/>
            <w:r w:rsidRPr="0030066D">
              <w:rPr>
                <w:sz w:val="20"/>
                <w:szCs w:val="20"/>
              </w:rPr>
              <w:t>211</w:t>
            </w:r>
            <w:bookmarkEnd w:id="272"/>
          </w:p>
        </w:tc>
        <w:tc>
          <w:tcPr>
            <w:tcW w:w="438" w:type="pct"/>
            <w:vAlign w:val="bottom"/>
          </w:tcPr>
          <w:p w:rsidR="00573AD5" w:rsidRPr="0030066D" w:rsidRDefault="00573AD5" w:rsidP="0030066D">
            <w:pPr>
              <w:jc w:val="center"/>
              <w:rPr>
                <w:sz w:val="20"/>
                <w:szCs w:val="20"/>
              </w:rPr>
            </w:pPr>
            <w:bookmarkStart w:id="273" w:name="_Toc413057914"/>
            <w:r w:rsidRPr="0030066D">
              <w:rPr>
                <w:sz w:val="20"/>
                <w:szCs w:val="20"/>
              </w:rPr>
              <w:t>711</w:t>
            </w:r>
            <w:bookmarkEnd w:id="273"/>
          </w:p>
        </w:tc>
        <w:tc>
          <w:tcPr>
            <w:tcW w:w="412" w:type="pct"/>
            <w:vAlign w:val="bottom"/>
          </w:tcPr>
          <w:p w:rsidR="00573AD5" w:rsidRPr="0030066D" w:rsidRDefault="00573AD5" w:rsidP="0030066D">
            <w:pPr>
              <w:jc w:val="center"/>
              <w:rPr>
                <w:sz w:val="20"/>
                <w:szCs w:val="20"/>
              </w:rPr>
            </w:pPr>
            <w:bookmarkStart w:id="274" w:name="_Toc413057915"/>
            <w:r w:rsidRPr="0030066D">
              <w:rPr>
                <w:sz w:val="20"/>
                <w:szCs w:val="20"/>
              </w:rPr>
              <w:t>1200</w:t>
            </w:r>
            <w:bookmarkEnd w:id="274"/>
          </w:p>
        </w:tc>
        <w:tc>
          <w:tcPr>
            <w:tcW w:w="282" w:type="pct"/>
          </w:tcPr>
          <w:p w:rsidR="00573AD5" w:rsidRPr="0030066D" w:rsidRDefault="00573AD5" w:rsidP="0030066D">
            <w:pPr>
              <w:jc w:val="center"/>
              <w:rPr>
                <w:sz w:val="20"/>
                <w:szCs w:val="20"/>
              </w:rPr>
            </w:pPr>
            <w:bookmarkStart w:id="275" w:name="_Toc413057916"/>
            <w:r w:rsidRPr="0030066D">
              <w:rPr>
                <w:sz w:val="20"/>
                <w:szCs w:val="20"/>
              </w:rPr>
              <w:t>1,23</w:t>
            </w:r>
            <w:bookmarkEnd w:id="275"/>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276" w:name="_Toc413057917"/>
            <w:r w:rsidRPr="0030066D">
              <w:rPr>
                <w:sz w:val="20"/>
                <w:szCs w:val="20"/>
              </w:rPr>
              <w:t>DS06</w:t>
            </w:r>
            <w:bookmarkEnd w:id="276"/>
          </w:p>
        </w:tc>
        <w:tc>
          <w:tcPr>
            <w:tcW w:w="995" w:type="pct"/>
            <w:vMerge w:val="restart"/>
          </w:tcPr>
          <w:p w:rsidR="00573AD5" w:rsidRPr="0030066D" w:rsidRDefault="00573AD5" w:rsidP="002B7E09">
            <w:pPr>
              <w:rPr>
                <w:sz w:val="20"/>
                <w:szCs w:val="20"/>
              </w:rPr>
            </w:pPr>
            <w:bookmarkStart w:id="277" w:name="_Toc413057918"/>
            <w:r w:rsidRPr="0030066D">
              <w:rPr>
                <w:sz w:val="20"/>
                <w:szCs w:val="20"/>
              </w:rPr>
              <w:t>Cluj Napoca - Iasi</w:t>
            </w:r>
            <w:bookmarkEnd w:id="277"/>
          </w:p>
        </w:tc>
        <w:tc>
          <w:tcPr>
            <w:tcW w:w="121" w:type="pct"/>
          </w:tcPr>
          <w:p w:rsidR="00573AD5" w:rsidRPr="0030066D" w:rsidRDefault="00573AD5" w:rsidP="0030066D">
            <w:pPr>
              <w:jc w:val="center"/>
              <w:rPr>
                <w:sz w:val="20"/>
                <w:szCs w:val="20"/>
              </w:rPr>
            </w:pPr>
            <w:bookmarkStart w:id="278" w:name="_Toc413057919"/>
            <w:r w:rsidRPr="0030066D">
              <w:rPr>
                <w:sz w:val="20"/>
                <w:szCs w:val="20"/>
              </w:rPr>
              <w:t>R</w:t>
            </w:r>
            <w:bookmarkEnd w:id="278"/>
          </w:p>
        </w:tc>
        <w:tc>
          <w:tcPr>
            <w:tcW w:w="287" w:type="pct"/>
            <w:vAlign w:val="bottom"/>
          </w:tcPr>
          <w:p w:rsidR="00573AD5" w:rsidRPr="0030066D" w:rsidRDefault="00573AD5" w:rsidP="0030066D">
            <w:pPr>
              <w:jc w:val="center"/>
              <w:rPr>
                <w:sz w:val="20"/>
                <w:szCs w:val="20"/>
              </w:rPr>
            </w:pPr>
            <w:bookmarkStart w:id="279" w:name="_Toc413057920"/>
            <w:r w:rsidRPr="0030066D">
              <w:rPr>
                <w:sz w:val="20"/>
                <w:szCs w:val="20"/>
              </w:rPr>
              <w:t>-30</w:t>
            </w:r>
            <w:bookmarkEnd w:id="279"/>
          </w:p>
        </w:tc>
        <w:tc>
          <w:tcPr>
            <w:tcW w:w="287" w:type="pct"/>
            <w:vAlign w:val="bottom"/>
          </w:tcPr>
          <w:p w:rsidR="00573AD5" w:rsidRPr="0030066D" w:rsidRDefault="00573AD5" w:rsidP="0030066D">
            <w:pPr>
              <w:jc w:val="center"/>
              <w:rPr>
                <w:sz w:val="20"/>
                <w:szCs w:val="20"/>
              </w:rPr>
            </w:pPr>
            <w:bookmarkStart w:id="280" w:name="_Toc413057921"/>
            <w:r w:rsidRPr="0030066D">
              <w:rPr>
                <w:sz w:val="20"/>
                <w:szCs w:val="20"/>
              </w:rPr>
              <w:t>46</w:t>
            </w:r>
            <w:bookmarkEnd w:id="280"/>
          </w:p>
        </w:tc>
        <w:tc>
          <w:tcPr>
            <w:tcW w:w="607" w:type="pct"/>
            <w:vAlign w:val="bottom"/>
          </w:tcPr>
          <w:p w:rsidR="00573AD5" w:rsidRPr="0030066D" w:rsidRDefault="00573AD5" w:rsidP="0030066D">
            <w:pPr>
              <w:jc w:val="center"/>
              <w:rPr>
                <w:sz w:val="20"/>
                <w:szCs w:val="20"/>
              </w:rPr>
            </w:pPr>
            <w:bookmarkStart w:id="281" w:name="_Toc413057922"/>
            <w:r w:rsidRPr="0030066D">
              <w:rPr>
                <w:sz w:val="20"/>
                <w:szCs w:val="20"/>
              </w:rPr>
              <w:t>2</w:t>
            </w:r>
            <w:bookmarkEnd w:id="281"/>
          </w:p>
        </w:tc>
        <w:tc>
          <w:tcPr>
            <w:tcW w:w="610" w:type="pct"/>
            <w:vAlign w:val="bottom"/>
          </w:tcPr>
          <w:p w:rsidR="00573AD5" w:rsidRPr="0030066D" w:rsidRDefault="00573AD5" w:rsidP="0030066D">
            <w:pPr>
              <w:jc w:val="center"/>
              <w:rPr>
                <w:sz w:val="20"/>
                <w:szCs w:val="20"/>
              </w:rPr>
            </w:pPr>
            <w:bookmarkStart w:id="282" w:name="_Toc413057923"/>
            <w:r w:rsidRPr="0030066D">
              <w:rPr>
                <w:sz w:val="20"/>
                <w:szCs w:val="20"/>
              </w:rPr>
              <w:t>-35</w:t>
            </w:r>
            <w:bookmarkEnd w:id="282"/>
          </w:p>
        </w:tc>
        <w:tc>
          <w:tcPr>
            <w:tcW w:w="681" w:type="pct"/>
            <w:vAlign w:val="bottom"/>
          </w:tcPr>
          <w:p w:rsidR="00573AD5" w:rsidRPr="0030066D" w:rsidRDefault="00573AD5" w:rsidP="0030066D">
            <w:pPr>
              <w:jc w:val="center"/>
              <w:rPr>
                <w:sz w:val="20"/>
                <w:szCs w:val="20"/>
              </w:rPr>
            </w:pPr>
            <w:bookmarkStart w:id="283" w:name="_Toc413057924"/>
            <w:r w:rsidRPr="0030066D">
              <w:rPr>
                <w:sz w:val="20"/>
                <w:szCs w:val="20"/>
              </w:rPr>
              <w:t>4</w:t>
            </w:r>
            <w:bookmarkEnd w:id="283"/>
          </w:p>
        </w:tc>
        <w:tc>
          <w:tcPr>
            <w:tcW w:w="438" w:type="pct"/>
            <w:vAlign w:val="bottom"/>
          </w:tcPr>
          <w:p w:rsidR="00573AD5" w:rsidRPr="0030066D" w:rsidRDefault="00573AD5" w:rsidP="0030066D">
            <w:pPr>
              <w:jc w:val="center"/>
              <w:rPr>
                <w:sz w:val="20"/>
                <w:szCs w:val="20"/>
              </w:rPr>
            </w:pPr>
            <w:bookmarkStart w:id="284" w:name="_Toc413057925"/>
            <w:r w:rsidRPr="0030066D">
              <w:rPr>
                <w:sz w:val="20"/>
                <w:szCs w:val="20"/>
              </w:rPr>
              <w:t>37</w:t>
            </w:r>
            <w:bookmarkEnd w:id="284"/>
          </w:p>
        </w:tc>
        <w:tc>
          <w:tcPr>
            <w:tcW w:w="412" w:type="pct"/>
            <w:vAlign w:val="bottom"/>
          </w:tcPr>
          <w:p w:rsidR="00573AD5" w:rsidRPr="0030066D" w:rsidRDefault="00573AD5" w:rsidP="0030066D">
            <w:pPr>
              <w:jc w:val="center"/>
              <w:rPr>
                <w:sz w:val="20"/>
                <w:szCs w:val="20"/>
              </w:rPr>
            </w:pPr>
            <w:bookmarkStart w:id="285" w:name="_Toc413057926"/>
            <w:r w:rsidRPr="0030066D">
              <w:rPr>
                <w:sz w:val="20"/>
                <w:szCs w:val="20"/>
              </w:rPr>
              <w:t>9</w:t>
            </w:r>
            <w:bookmarkEnd w:id="285"/>
          </w:p>
        </w:tc>
        <w:tc>
          <w:tcPr>
            <w:tcW w:w="282" w:type="pct"/>
          </w:tcPr>
          <w:p w:rsidR="00573AD5" w:rsidRPr="0030066D" w:rsidRDefault="00573AD5" w:rsidP="0030066D">
            <w:pPr>
              <w:jc w:val="center"/>
              <w:rPr>
                <w:sz w:val="20"/>
                <w:szCs w:val="20"/>
              </w:rPr>
            </w:pPr>
            <w:bookmarkStart w:id="286" w:name="_Toc413057927"/>
            <w:r w:rsidRPr="0030066D">
              <w:rPr>
                <w:sz w:val="20"/>
                <w:szCs w:val="20"/>
              </w:rPr>
              <w:t>-</w:t>
            </w:r>
            <w:bookmarkEnd w:id="286"/>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87" w:name="_Toc413057928"/>
            <w:r w:rsidRPr="0030066D">
              <w:rPr>
                <w:sz w:val="20"/>
                <w:szCs w:val="20"/>
              </w:rPr>
              <w:t>A</w:t>
            </w:r>
            <w:bookmarkEnd w:id="287"/>
          </w:p>
        </w:tc>
        <w:tc>
          <w:tcPr>
            <w:tcW w:w="287" w:type="pct"/>
            <w:vAlign w:val="bottom"/>
          </w:tcPr>
          <w:p w:rsidR="00573AD5" w:rsidRPr="0030066D" w:rsidRDefault="00573AD5" w:rsidP="0030066D">
            <w:pPr>
              <w:jc w:val="center"/>
              <w:rPr>
                <w:sz w:val="20"/>
                <w:szCs w:val="20"/>
              </w:rPr>
            </w:pPr>
            <w:bookmarkStart w:id="288" w:name="_Toc413057929"/>
            <w:r w:rsidRPr="0030066D">
              <w:rPr>
                <w:sz w:val="20"/>
                <w:szCs w:val="20"/>
              </w:rPr>
              <w:t>1945</w:t>
            </w:r>
            <w:bookmarkEnd w:id="288"/>
          </w:p>
        </w:tc>
        <w:tc>
          <w:tcPr>
            <w:tcW w:w="287" w:type="pct"/>
            <w:vAlign w:val="bottom"/>
          </w:tcPr>
          <w:p w:rsidR="00573AD5" w:rsidRPr="0030066D" w:rsidRDefault="00573AD5" w:rsidP="0030066D">
            <w:pPr>
              <w:jc w:val="center"/>
              <w:rPr>
                <w:sz w:val="20"/>
                <w:szCs w:val="20"/>
              </w:rPr>
            </w:pPr>
            <w:bookmarkStart w:id="289" w:name="_Toc413057930"/>
            <w:r w:rsidRPr="0030066D">
              <w:rPr>
                <w:sz w:val="20"/>
                <w:szCs w:val="20"/>
              </w:rPr>
              <w:t>762</w:t>
            </w:r>
            <w:bookmarkEnd w:id="289"/>
          </w:p>
        </w:tc>
        <w:tc>
          <w:tcPr>
            <w:tcW w:w="607" w:type="pct"/>
            <w:vAlign w:val="bottom"/>
          </w:tcPr>
          <w:p w:rsidR="00573AD5" w:rsidRPr="0030066D" w:rsidRDefault="00573AD5" w:rsidP="0030066D">
            <w:pPr>
              <w:jc w:val="center"/>
              <w:rPr>
                <w:sz w:val="20"/>
                <w:szCs w:val="20"/>
              </w:rPr>
            </w:pPr>
            <w:bookmarkStart w:id="290" w:name="_Toc413057931"/>
            <w:r w:rsidRPr="0030066D">
              <w:rPr>
                <w:sz w:val="20"/>
                <w:szCs w:val="20"/>
              </w:rPr>
              <w:t>1910</w:t>
            </w:r>
            <w:bookmarkEnd w:id="290"/>
          </w:p>
        </w:tc>
        <w:tc>
          <w:tcPr>
            <w:tcW w:w="610" w:type="pct"/>
            <w:vAlign w:val="bottom"/>
          </w:tcPr>
          <w:p w:rsidR="00573AD5" w:rsidRPr="0030066D" w:rsidRDefault="00573AD5" w:rsidP="0030066D">
            <w:pPr>
              <w:jc w:val="center"/>
              <w:rPr>
                <w:sz w:val="20"/>
                <w:szCs w:val="20"/>
              </w:rPr>
            </w:pPr>
            <w:bookmarkStart w:id="291" w:name="_Toc413057932"/>
            <w:r w:rsidRPr="0030066D">
              <w:rPr>
                <w:sz w:val="20"/>
                <w:szCs w:val="20"/>
              </w:rPr>
              <w:t>-35</w:t>
            </w:r>
            <w:bookmarkEnd w:id="291"/>
          </w:p>
        </w:tc>
        <w:tc>
          <w:tcPr>
            <w:tcW w:w="681" w:type="pct"/>
            <w:vAlign w:val="bottom"/>
          </w:tcPr>
          <w:p w:rsidR="00573AD5" w:rsidRPr="0030066D" w:rsidRDefault="00573AD5" w:rsidP="0030066D">
            <w:pPr>
              <w:jc w:val="center"/>
              <w:rPr>
                <w:sz w:val="20"/>
                <w:szCs w:val="20"/>
              </w:rPr>
            </w:pPr>
            <w:bookmarkStart w:id="292" w:name="_Toc413057933"/>
            <w:r w:rsidRPr="0030066D">
              <w:rPr>
                <w:sz w:val="20"/>
                <w:szCs w:val="20"/>
              </w:rPr>
              <w:t>137</w:t>
            </w:r>
            <w:bookmarkEnd w:id="292"/>
          </w:p>
        </w:tc>
        <w:tc>
          <w:tcPr>
            <w:tcW w:w="438" w:type="pct"/>
            <w:vAlign w:val="bottom"/>
          </w:tcPr>
          <w:p w:rsidR="00573AD5" w:rsidRPr="0030066D" w:rsidRDefault="00573AD5" w:rsidP="0030066D">
            <w:pPr>
              <w:jc w:val="center"/>
              <w:rPr>
                <w:sz w:val="20"/>
                <w:szCs w:val="20"/>
              </w:rPr>
            </w:pPr>
            <w:bookmarkStart w:id="293" w:name="_Toc413057934"/>
            <w:r w:rsidRPr="0030066D">
              <w:rPr>
                <w:sz w:val="20"/>
                <w:szCs w:val="20"/>
              </w:rPr>
              <w:t>482</w:t>
            </w:r>
            <w:bookmarkEnd w:id="293"/>
          </w:p>
        </w:tc>
        <w:tc>
          <w:tcPr>
            <w:tcW w:w="412" w:type="pct"/>
            <w:vAlign w:val="bottom"/>
          </w:tcPr>
          <w:p w:rsidR="00573AD5" w:rsidRPr="0030066D" w:rsidRDefault="00573AD5" w:rsidP="0030066D">
            <w:pPr>
              <w:jc w:val="center"/>
              <w:rPr>
                <w:sz w:val="20"/>
                <w:szCs w:val="20"/>
              </w:rPr>
            </w:pPr>
            <w:bookmarkStart w:id="294" w:name="_Toc413057935"/>
            <w:r w:rsidRPr="0030066D">
              <w:rPr>
                <w:sz w:val="20"/>
                <w:szCs w:val="20"/>
              </w:rPr>
              <w:t>346</w:t>
            </w:r>
            <w:bookmarkEnd w:id="294"/>
          </w:p>
        </w:tc>
        <w:tc>
          <w:tcPr>
            <w:tcW w:w="282" w:type="pct"/>
          </w:tcPr>
          <w:p w:rsidR="00573AD5" w:rsidRPr="0030066D" w:rsidRDefault="00573AD5" w:rsidP="0030066D">
            <w:pPr>
              <w:jc w:val="center"/>
              <w:rPr>
                <w:sz w:val="20"/>
                <w:szCs w:val="20"/>
              </w:rPr>
            </w:pPr>
            <w:bookmarkStart w:id="295" w:name="_Toc413057936"/>
            <w:r w:rsidRPr="0030066D">
              <w:rPr>
                <w:sz w:val="20"/>
                <w:szCs w:val="20"/>
              </w:rPr>
              <w:t>0,39</w:t>
            </w:r>
            <w:bookmarkEnd w:id="295"/>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296" w:name="_Toc413057937"/>
            <w:r w:rsidRPr="0030066D">
              <w:rPr>
                <w:sz w:val="20"/>
                <w:szCs w:val="20"/>
              </w:rPr>
              <w:t>B</w:t>
            </w:r>
            <w:bookmarkEnd w:id="296"/>
          </w:p>
        </w:tc>
        <w:tc>
          <w:tcPr>
            <w:tcW w:w="287" w:type="pct"/>
            <w:vAlign w:val="bottom"/>
          </w:tcPr>
          <w:p w:rsidR="00573AD5" w:rsidRPr="0030066D" w:rsidRDefault="00573AD5" w:rsidP="0030066D">
            <w:pPr>
              <w:jc w:val="center"/>
              <w:rPr>
                <w:sz w:val="20"/>
                <w:szCs w:val="20"/>
              </w:rPr>
            </w:pPr>
            <w:bookmarkStart w:id="297" w:name="_Toc413057938"/>
            <w:r w:rsidRPr="0030066D">
              <w:rPr>
                <w:sz w:val="20"/>
                <w:szCs w:val="20"/>
              </w:rPr>
              <w:t>2687</w:t>
            </w:r>
            <w:bookmarkEnd w:id="297"/>
          </w:p>
        </w:tc>
        <w:tc>
          <w:tcPr>
            <w:tcW w:w="287" w:type="pct"/>
            <w:vAlign w:val="bottom"/>
          </w:tcPr>
          <w:p w:rsidR="00573AD5" w:rsidRPr="0030066D" w:rsidRDefault="00573AD5" w:rsidP="0030066D">
            <w:pPr>
              <w:jc w:val="center"/>
              <w:rPr>
                <w:sz w:val="20"/>
                <w:szCs w:val="20"/>
              </w:rPr>
            </w:pPr>
            <w:bookmarkStart w:id="298" w:name="_Toc413057939"/>
            <w:r w:rsidRPr="0030066D">
              <w:rPr>
                <w:sz w:val="20"/>
                <w:szCs w:val="20"/>
              </w:rPr>
              <w:t>947</w:t>
            </w:r>
            <w:bookmarkEnd w:id="298"/>
          </w:p>
        </w:tc>
        <w:tc>
          <w:tcPr>
            <w:tcW w:w="607" w:type="pct"/>
            <w:vAlign w:val="bottom"/>
          </w:tcPr>
          <w:p w:rsidR="00573AD5" w:rsidRPr="0030066D" w:rsidRDefault="00573AD5" w:rsidP="0030066D">
            <w:pPr>
              <w:jc w:val="center"/>
              <w:rPr>
                <w:sz w:val="20"/>
                <w:szCs w:val="20"/>
              </w:rPr>
            </w:pPr>
            <w:bookmarkStart w:id="299" w:name="_Toc413057940"/>
            <w:r w:rsidRPr="0030066D">
              <w:rPr>
                <w:sz w:val="20"/>
                <w:szCs w:val="20"/>
              </w:rPr>
              <w:t>2634</w:t>
            </w:r>
            <w:bookmarkEnd w:id="299"/>
          </w:p>
        </w:tc>
        <w:tc>
          <w:tcPr>
            <w:tcW w:w="610" w:type="pct"/>
            <w:vAlign w:val="bottom"/>
          </w:tcPr>
          <w:p w:rsidR="00573AD5" w:rsidRPr="0030066D" w:rsidRDefault="00573AD5" w:rsidP="0030066D">
            <w:pPr>
              <w:jc w:val="center"/>
              <w:rPr>
                <w:sz w:val="20"/>
                <w:szCs w:val="20"/>
              </w:rPr>
            </w:pPr>
            <w:bookmarkStart w:id="300" w:name="_Toc413057941"/>
            <w:r w:rsidRPr="0030066D">
              <w:rPr>
                <w:sz w:val="20"/>
                <w:szCs w:val="20"/>
              </w:rPr>
              <w:t>-18</w:t>
            </w:r>
            <w:bookmarkEnd w:id="300"/>
          </w:p>
        </w:tc>
        <w:tc>
          <w:tcPr>
            <w:tcW w:w="681" w:type="pct"/>
            <w:vAlign w:val="bottom"/>
          </w:tcPr>
          <w:p w:rsidR="00573AD5" w:rsidRPr="0030066D" w:rsidRDefault="00573AD5" w:rsidP="0030066D">
            <w:pPr>
              <w:jc w:val="center"/>
              <w:rPr>
                <w:sz w:val="20"/>
                <w:szCs w:val="20"/>
              </w:rPr>
            </w:pPr>
            <w:bookmarkStart w:id="301" w:name="_Toc413057942"/>
            <w:r w:rsidRPr="0030066D">
              <w:rPr>
                <w:sz w:val="20"/>
                <w:szCs w:val="20"/>
              </w:rPr>
              <w:t>139</w:t>
            </w:r>
            <w:bookmarkEnd w:id="301"/>
          </w:p>
        </w:tc>
        <w:tc>
          <w:tcPr>
            <w:tcW w:w="438" w:type="pct"/>
            <w:vAlign w:val="bottom"/>
          </w:tcPr>
          <w:p w:rsidR="00573AD5" w:rsidRPr="0030066D" w:rsidRDefault="00573AD5" w:rsidP="0030066D">
            <w:pPr>
              <w:jc w:val="center"/>
              <w:rPr>
                <w:sz w:val="20"/>
                <w:szCs w:val="20"/>
              </w:rPr>
            </w:pPr>
            <w:bookmarkStart w:id="302" w:name="_Toc413057943"/>
            <w:r w:rsidRPr="0030066D">
              <w:rPr>
                <w:sz w:val="20"/>
                <w:szCs w:val="20"/>
              </w:rPr>
              <w:t>668</w:t>
            </w:r>
            <w:bookmarkEnd w:id="302"/>
          </w:p>
        </w:tc>
        <w:tc>
          <w:tcPr>
            <w:tcW w:w="412" w:type="pct"/>
            <w:vAlign w:val="bottom"/>
          </w:tcPr>
          <w:p w:rsidR="00573AD5" w:rsidRPr="0030066D" w:rsidRDefault="00573AD5" w:rsidP="0030066D">
            <w:pPr>
              <w:jc w:val="center"/>
              <w:rPr>
                <w:sz w:val="20"/>
                <w:szCs w:val="20"/>
              </w:rPr>
            </w:pPr>
            <w:bookmarkStart w:id="303" w:name="_Toc413057944"/>
            <w:r w:rsidRPr="0030066D">
              <w:rPr>
                <w:sz w:val="20"/>
                <w:szCs w:val="20"/>
              </w:rPr>
              <w:t>347</w:t>
            </w:r>
            <w:bookmarkEnd w:id="303"/>
          </w:p>
        </w:tc>
        <w:tc>
          <w:tcPr>
            <w:tcW w:w="282" w:type="pct"/>
          </w:tcPr>
          <w:p w:rsidR="00573AD5" w:rsidRPr="0030066D" w:rsidRDefault="00573AD5" w:rsidP="0030066D">
            <w:pPr>
              <w:jc w:val="center"/>
              <w:rPr>
                <w:sz w:val="20"/>
                <w:szCs w:val="20"/>
              </w:rPr>
            </w:pPr>
            <w:bookmarkStart w:id="304" w:name="_Toc413057945"/>
            <w:r w:rsidRPr="0030066D">
              <w:rPr>
                <w:sz w:val="20"/>
                <w:szCs w:val="20"/>
              </w:rPr>
              <w:t>0,35</w:t>
            </w:r>
            <w:bookmarkEnd w:id="304"/>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305" w:name="_Toc413057946"/>
            <w:r w:rsidRPr="0030066D">
              <w:rPr>
                <w:sz w:val="20"/>
                <w:szCs w:val="20"/>
              </w:rPr>
              <w:t>DS07</w:t>
            </w:r>
            <w:bookmarkEnd w:id="305"/>
          </w:p>
        </w:tc>
        <w:tc>
          <w:tcPr>
            <w:tcW w:w="995" w:type="pct"/>
            <w:vMerge w:val="restart"/>
          </w:tcPr>
          <w:p w:rsidR="00573AD5" w:rsidRPr="0030066D" w:rsidRDefault="00573AD5" w:rsidP="002B7E09">
            <w:pPr>
              <w:rPr>
                <w:sz w:val="20"/>
                <w:szCs w:val="20"/>
              </w:rPr>
            </w:pPr>
            <w:bookmarkStart w:id="306" w:name="_Toc413057947"/>
            <w:r w:rsidRPr="0030066D">
              <w:rPr>
                <w:sz w:val="20"/>
                <w:szCs w:val="20"/>
              </w:rPr>
              <w:t>Cluj Napoca - Oradea</w:t>
            </w:r>
            <w:bookmarkEnd w:id="306"/>
          </w:p>
        </w:tc>
        <w:tc>
          <w:tcPr>
            <w:tcW w:w="121" w:type="pct"/>
          </w:tcPr>
          <w:p w:rsidR="00573AD5" w:rsidRPr="0030066D" w:rsidRDefault="00573AD5" w:rsidP="0030066D">
            <w:pPr>
              <w:jc w:val="center"/>
              <w:rPr>
                <w:sz w:val="20"/>
                <w:szCs w:val="20"/>
              </w:rPr>
            </w:pPr>
            <w:bookmarkStart w:id="307" w:name="_Toc413057948"/>
            <w:r w:rsidRPr="0030066D">
              <w:rPr>
                <w:sz w:val="20"/>
                <w:szCs w:val="20"/>
              </w:rPr>
              <w:t>R</w:t>
            </w:r>
            <w:bookmarkEnd w:id="307"/>
          </w:p>
        </w:tc>
        <w:tc>
          <w:tcPr>
            <w:tcW w:w="287" w:type="pct"/>
            <w:vAlign w:val="bottom"/>
          </w:tcPr>
          <w:p w:rsidR="00573AD5" w:rsidRPr="0030066D" w:rsidRDefault="00573AD5" w:rsidP="0030066D">
            <w:pPr>
              <w:jc w:val="center"/>
              <w:rPr>
                <w:sz w:val="20"/>
                <w:szCs w:val="20"/>
              </w:rPr>
            </w:pPr>
            <w:bookmarkStart w:id="308" w:name="_Toc413057949"/>
            <w:r w:rsidRPr="0030066D">
              <w:rPr>
                <w:sz w:val="20"/>
                <w:szCs w:val="20"/>
              </w:rPr>
              <w:t>28</w:t>
            </w:r>
            <w:bookmarkEnd w:id="308"/>
          </w:p>
        </w:tc>
        <w:tc>
          <w:tcPr>
            <w:tcW w:w="287" w:type="pct"/>
            <w:vAlign w:val="bottom"/>
          </w:tcPr>
          <w:p w:rsidR="00573AD5" w:rsidRPr="0030066D" w:rsidRDefault="00573AD5" w:rsidP="0030066D">
            <w:pPr>
              <w:jc w:val="center"/>
              <w:rPr>
                <w:sz w:val="20"/>
                <w:szCs w:val="20"/>
              </w:rPr>
            </w:pPr>
            <w:bookmarkStart w:id="309" w:name="_Toc413057950"/>
            <w:r w:rsidRPr="0030066D">
              <w:rPr>
                <w:sz w:val="20"/>
                <w:szCs w:val="20"/>
              </w:rPr>
              <w:t>21</w:t>
            </w:r>
            <w:bookmarkEnd w:id="309"/>
          </w:p>
        </w:tc>
        <w:tc>
          <w:tcPr>
            <w:tcW w:w="607" w:type="pct"/>
            <w:vAlign w:val="bottom"/>
          </w:tcPr>
          <w:p w:rsidR="00573AD5" w:rsidRPr="0030066D" w:rsidRDefault="00573AD5" w:rsidP="0030066D">
            <w:pPr>
              <w:jc w:val="center"/>
              <w:rPr>
                <w:sz w:val="20"/>
                <w:szCs w:val="20"/>
              </w:rPr>
            </w:pPr>
            <w:bookmarkStart w:id="310" w:name="_Toc413057951"/>
            <w:r w:rsidRPr="0030066D">
              <w:rPr>
                <w:sz w:val="20"/>
                <w:szCs w:val="20"/>
              </w:rPr>
              <w:t>1</w:t>
            </w:r>
            <w:bookmarkEnd w:id="310"/>
          </w:p>
        </w:tc>
        <w:tc>
          <w:tcPr>
            <w:tcW w:w="610" w:type="pct"/>
            <w:vAlign w:val="bottom"/>
          </w:tcPr>
          <w:p w:rsidR="00573AD5" w:rsidRPr="0030066D" w:rsidRDefault="00573AD5" w:rsidP="0030066D">
            <w:pPr>
              <w:jc w:val="center"/>
              <w:rPr>
                <w:sz w:val="20"/>
                <w:szCs w:val="20"/>
              </w:rPr>
            </w:pPr>
            <w:bookmarkStart w:id="311" w:name="_Toc413057952"/>
            <w:r w:rsidRPr="0030066D">
              <w:rPr>
                <w:sz w:val="20"/>
                <w:szCs w:val="20"/>
              </w:rPr>
              <w:t>24</w:t>
            </w:r>
            <w:bookmarkEnd w:id="311"/>
          </w:p>
        </w:tc>
        <w:tc>
          <w:tcPr>
            <w:tcW w:w="681" w:type="pct"/>
            <w:vAlign w:val="bottom"/>
          </w:tcPr>
          <w:p w:rsidR="00573AD5" w:rsidRPr="0030066D" w:rsidRDefault="00573AD5" w:rsidP="0030066D">
            <w:pPr>
              <w:jc w:val="center"/>
              <w:rPr>
                <w:sz w:val="20"/>
                <w:szCs w:val="20"/>
              </w:rPr>
            </w:pPr>
            <w:bookmarkStart w:id="312" w:name="_Toc413057953"/>
            <w:r w:rsidRPr="0030066D">
              <w:rPr>
                <w:sz w:val="20"/>
                <w:szCs w:val="20"/>
              </w:rPr>
              <w:t>4</w:t>
            </w:r>
            <w:bookmarkEnd w:id="312"/>
          </w:p>
        </w:tc>
        <w:tc>
          <w:tcPr>
            <w:tcW w:w="438" w:type="pct"/>
            <w:vAlign w:val="bottom"/>
          </w:tcPr>
          <w:p w:rsidR="00573AD5" w:rsidRPr="0030066D" w:rsidRDefault="00573AD5" w:rsidP="0030066D">
            <w:pPr>
              <w:jc w:val="center"/>
              <w:rPr>
                <w:sz w:val="20"/>
                <w:szCs w:val="20"/>
              </w:rPr>
            </w:pPr>
            <w:bookmarkStart w:id="313" w:name="_Toc413057954"/>
            <w:r w:rsidRPr="0030066D">
              <w:rPr>
                <w:sz w:val="20"/>
                <w:szCs w:val="20"/>
              </w:rPr>
              <w:t>12</w:t>
            </w:r>
            <w:bookmarkEnd w:id="313"/>
          </w:p>
        </w:tc>
        <w:tc>
          <w:tcPr>
            <w:tcW w:w="412" w:type="pct"/>
            <w:vAlign w:val="bottom"/>
          </w:tcPr>
          <w:p w:rsidR="00573AD5" w:rsidRPr="0030066D" w:rsidRDefault="00573AD5" w:rsidP="0030066D">
            <w:pPr>
              <w:jc w:val="center"/>
              <w:rPr>
                <w:sz w:val="20"/>
                <w:szCs w:val="20"/>
              </w:rPr>
            </w:pPr>
            <w:bookmarkStart w:id="314" w:name="_Toc413057955"/>
            <w:r w:rsidRPr="0030066D">
              <w:rPr>
                <w:sz w:val="20"/>
                <w:szCs w:val="20"/>
              </w:rPr>
              <w:t>9</w:t>
            </w:r>
            <w:bookmarkEnd w:id="314"/>
          </w:p>
        </w:tc>
        <w:tc>
          <w:tcPr>
            <w:tcW w:w="282" w:type="pct"/>
          </w:tcPr>
          <w:p w:rsidR="00573AD5" w:rsidRPr="0030066D" w:rsidRDefault="00573AD5" w:rsidP="0030066D">
            <w:pPr>
              <w:jc w:val="center"/>
              <w:rPr>
                <w:sz w:val="20"/>
                <w:szCs w:val="20"/>
              </w:rPr>
            </w:pPr>
            <w:bookmarkStart w:id="315" w:name="_Toc413057956"/>
            <w:r w:rsidRPr="0030066D">
              <w:rPr>
                <w:sz w:val="20"/>
                <w:szCs w:val="20"/>
              </w:rPr>
              <w:t>0,73</w:t>
            </w:r>
            <w:bookmarkEnd w:id="315"/>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316" w:name="_Toc413057957"/>
            <w:r w:rsidRPr="0030066D">
              <w:rPr>
                <w:sz w:val="20"/>
                <w:szCs w:val="20"/>
              </w:rPr>
              <w:t>A</w:t>
            </w:r>
            <w:bookmarkEnd w:id="316"/>
          </w:p>
        </w:tc>
        <w:tc>
          <w:tcPr>
            <w:tcW w:w="287" w:type="pct"/>
            <w:vAlign w:val="bottom"/>
          </w:tcPr>
          <w:p w:rsidR="00573AD5" w:rsidRPr="0030066D" w:rsidRDefault="00573AD5" w:rsidP="0030066D">
            <w:pPr>
              <w:jc w:val="center"/>
              <w:rPr>
                <w:sz w:val="20"/>
                <w:szCs w:val="20"/>
              </w:rPr>
            </w:pPr>
            <w:bookmarkStart w:id="317" w:name="_Toc413057958"/>
            <w:r w:rsidRPr="0030066D">
              <w:rPr>
                <w:sz w:val="20"/>
                <w:szCs w:val="20"/>
              </w:rPr>
              <w:t>454</w:t>
            </w:r>
            <w:bookmarkEnd w:id="317"/>
          </w:p>
        </w:tc>
        <w:tc>
          <w:tcPr>
            <w:tcW w:w="287" w:type="pct"/>
            <w:vAlign w:val="bottom"/>
          </w:tcPr>
          <w:p w:rsidR="00573AD5" w:rsidRPr="0030066D" w:rsidRDefault="00573AD5" w:rsidP="0030066D">
            <w:pPr>
              <w:jc w:val="center"/>
              <w:rPr>
                <w:sz w:val="20"/>
                <w:szCs w:val="20"/>
              </w:rPr>
            </w:pPr>
            <w:bookmarkStart w:id="318" w:name="_Toc413057959"/>
            <w:r w:rsidRPr="0030066D">
              <w:rPr>
                <w:sz w:val="20"/>
                <w:szCs w:val="20"/>
              </w:rPr>
              <w:t>137</w:t>
            </w:r>
            <w:bookmarkEnd w:id="318"/>
          </w:p>
        </w:tc>
        <w:tc>
          <w:tcPr>
            <w:tcW w:w="607" w:type="pct"/>
            <w:vAlign w:val="bottom"/>
          </w:tcPr>
          <w:p w:rsidR="00573AD5" w:rsidRPr="0030066D" w:rsidRDefault="00573AD5" w:rsidP="0030066D">
            <w:pPr>
              <w:jc w:val="center"/>
              <w:rPr>
                <w:sz w:val="20"/>
                <w:szCs w:val="20"/>
              </w:rPr>
            </w:pPr>
            <w:bookmarkStart w:id="319" w:name="_Toc413057960"/>
            <w:r w:rsidRPr="0030066D">
              <w:rPr>
                <w:sz w:val="20"/>
                <w:szCs w:val="20"/>
              </w:rPr>
              <w:t>444</w:t>
            </w:r>
            <w:bookmarkEnd w:id="319"/>
          </w:p>
        </w:tc>
        <w:tc>
          <w:tcPr>
            <w:tcW w:w="610" w:type="pct"/>
            <w:vAlign w:val="bottom"/>
          </w:tcPr>
          <w:p w:rsidR="00573AD5" w:rsidRPr="0030066D" w:rsidRDefault="00573AD5" w:rsidP="0030066D">
            <w:pPr>
              <w:jc w:val="center"/>
              <w:rPr>
                <w:sz w:val="20"/>
                <w:szCs w:val="20"/>
              </w:rPr>
            </w:pPr>
            <w:bookmarkStart w:id="320" w:name="_Toc413057961"/>
            <w:r w:rsidRPr="0030066D">
              <w:rPr>
                <w:sz w:val="20"/>
                <w:szCs w:val="20"/>
              </w:rPr>
              <w:t>24</w:t>
            </w:r>
            <w:bookmarkEnd w:id="320"/>
          </w:p>
        </w:tc>
        <w:tc>
          <w:tcPr>
            <w:tcW w:w="681" w:type="pct"/>
            <w:vAlign w:val="bottom"/>
          </w:tcPr>
          <w:p w:rsidR="00573AD5" w:rsidRPr="0030066D" w:rsidRDefault="00573AD5" w:rsidP="0030066D">
            <w:pPr>
              <w:jc w:val="center"/>
              <w:rPr>
                <w:sz w:val="20"/>
                <w:szCs w:val="20"/>
              </w:rPr>
            </w:pPr>
            <w:bookmarkStart w:id="321" w:name="_Toc413057962"/>
            <w:r w:rsidRPr="0030066D">
              <w:rPr>
                <w:sz w:val="20"/>
                <w:szCs w:val="20"/>
              </w:rPr>
              <w:t>63</w:t>
            </w:r>
            <w:bookmarkEnd w:id="321"/>
          </w:p>
        </w:tc>
        <w:tc>
          <w:tcPr>
            <w:tcW w:w="438" w:type="pct"/>
            <w:vAlign w:val="bottom"/>
          </w:tcPr>
          <w:p w:rsidR="00573AD5" w:rsidRPr="0030066D" w:rsidRDefault="00573AD5" w:rsidP="0030066D">
            <w:pPr>
              <w:jc w:val="center"/>
              <w:rPr>
                <w:sz w:val="20"/>
                <w:szCs w:val="20"/>
              </w:rPr>
            </w:pPr>
            <w:bookmarkStart w:id="322" w:name="_Toc413057963"/>
            <w:r w:rsidRPr="0030066D">
              <w:rPr>
                <w:sz w:val="20"/>
                <w:szCs w:val="20"/>
              </w:rPr>
              <w:t>121</w:t>
            </w:r>
            <w:bookmarkEnd w:id="322"/>
          </w:p>
        </w:tc>
        <w:tc>
          <w:tcPr>
            <w:tcW w:w="412" w:type="pct"/>
            <w:vAlign w:val="bottom"/>
          </w:tcPr>
          <w:p w:rsidR="00573AD5" w:rsidRPr="0030066D" w:rsidRDefault="00573AD5" w:rsidP="0030066D">
            <w:pPr>
              <w:jc w:val="center"/>
              <w:rPr>
                <w:sz w:val="20"/>
                <w:szCs w:val="20"/>
              </w:rPr>
            </w:pPr>
            <w:bookmarkStart w:id="323" w:name="_Toc413057964"/>
            <w:r w:rsidRPr="0030066D">
              <w:rPr>
                <w:sz w:val="20"/>
                <w:szCs w:val="20"/>
              </w:rPr>
              <w:t>93</w:t>
            </w:r>
            <w:bookmarkEnd w:id="323"/>
          </w:p>
        </w:tc>
        <w:tc>
          <w:tcPr>
            <w:tcW w:w="282" w:type="pct"/>
          </w:tcPr>
          <w:p w:rsidR="00573AD5" w:rsidRPr="0030066D" w:rsidRDefault="00573AD5" w:rsidP="0030066D">
            <w:pPr>
              <w:jc w:val="center"/>
              <w:rPr>
                <w:sz w:val="20"/>
                <w:szCs w:val="20"/>
              </w:rPr>
            </w:pPr>
            <w:bookmarkStart w:id="324" w:name="_Toc413057965"/>
            <w:r w:rsidRPr="0030066D">
              <w:rPr>
                <w:sz w:val="20"/>
                <w:szCs w:val="20"/>
              </w:rPr>
              <w:t>0,30</w:t>
            </w:r>
            <w:bookmarkEnd w:id="324"/>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325" w:name="_Toc413057966"/>
            <w:r w:rsidRPr="0030066D">
              <w:rPr>
                <w:sz w:val="20"/>
                <w:szCs w:val="20"/>
              </w:rPr>
              <w:t>B</w:t>
            </w:r>
            <w:bookmarkEnd w:id="325"/>
          </w:p>
        </w:tc>
        <w:tc>
          <w:tcPr>
            <w:tcW w:w="287" w:type="pct"/>
            <w:vAlign w:val="bottom"/>
          </w:tcPr>
          <w:p w:rsidR="00573AD5" w:rsidRPr="0030066D" w:rsidRDefault="00573AD5" w:rsidP="0030066D">
            <w:pPr>
              <w:jc w:val="center"/>
              <w:rPr>
                <w:sz w:val="20"/>
                <w:szCs w:val="20"/>
              </w:rPr>
            </w:pPr>
            <w:bookmarkStart w:id="326" w:name="_Toc413057967"/>
            <w:r w:rsidRPr="0030066D">
              <w:rPr>
                <w:sz w:val="20"/>
                <w:szCs w:val="20"/>
              </w:rPr>
              <w:t>1215</w:t>
            </w:r>
            <w:bookmarkEnd w:id="326"/>
          </w:p>
        </w:tc>
        <w:tc>
          <w:tcPr>
            <w:tcW w:w="287" w:type="pct"/>
            <w:vAlign w:val="bottom"/>
          </w:tcPr>
          <w:p w:rsidR="00573AD5" w:rsidRPr="0030066D" w:rsidRDefault="00573AD5" w:rsidP="0030066D">
            <w:pPr>
              <w:jc w:val="center"/>
              <w:rPr>
                <w:sz w:val="20"/>
                <w:szCs w:val="20"/>
              </w:rPr>
            </w:pPr>
            <w:bookmarkStart w:id="327" w:name="_Toc413057968"/>
            <w:r w:rsidRPr="0030066D">
              <w:rPr>
                <w:sz w:val="20"/>
                <w:szCs w:val="20"/>
              </w:rPr>
              <w:t>475</w:t>
            </w:r>
            <w:bookmarkEnd w:id="327"/>
          </w:p>
        </w:tc>
        <w:tc>
          <w:tcPr>
            <w:tcW w:w="607" w:type="pct"/>
            <w:vAlign w:val="bottom"/>
          </w:tcPr>
          <w:p w:rsidR="00573AD5" w:rsidRPr="0030066D" w:rsidRDefault="00573AD5" w:rsidP="0030066D">
            <w:pPr>
              <w:jc w:val="center"/>
              <w:rPr>
                <w:sz w:val="20"/>
                <w:szCs w:val="20"/>
              </w:rPr>
            </w:pPr>
            <w:bookmarkStart w:id="328" w:name="_Toc413057969"/>
            <w:r w:rsidRPr="0030066D">
              <w:rPr>
                <w:sz w:val="20"/>
                <w:szCs w:val="20"/>
              </w:rPr>
              <w:t>1200</w:t>
            </w:r>
            <w:bookmarkEnd w:id="328"/>
          </w:p>
        </w:tc>
        <w:tc>
          <w:tcPr>
            <w:tcW w:w="610" w:type="pct"/>
            <w:vAlign w:val="bottom"/>
          </w:tcPr>
          <w:p w:rsidR="00573AD5" w:rsidRPr="0030066D" w:rsidRDefault="00573AD5" w:rsidP="0030066D">
            <w:pPr>
              <w:jc w:val="center"/>
              <w:rPr>
                <w:sz w:val="20"/>
                <w:szCs w:val="20"/>
              </w:rPr>
            </w:pPr>
            <w:bookmarkStart w:id="329" w:name="_Toc413057970"/>
            <w:r w:rsidRPr="0030066D">
              <w:rPr>
                <w:sz w:val="20"/>
                <w:szCs w:val="20"/>
              </w:rPr>
              <w:t>9</w:t>
            </w:r>
            <w:bookmarkEnd w:id="329"/>
          </w:p>
        </w:tc>
        <w:tc>
          <w:tcPr>
            <w:tcW w:w="681" w:type="pct"/>
            <w:vAlign w:val="bottom"/>
          </w:tcPr>
          <w:p w:rsidR="00573AD5" w:rsidRPr="0030066D" w:rsidRDefault="00573AD5" w:rsidP="0030066D">
            <w:pPr>
              <w:jc w:val="center"/>
              <w:rPr>
                <w:sz w:val="20"/>
                <w:szCs w:val="20"/>
              </w:rPr>
            </w:pPr>
            <w:bookmarkStart w:id="330" w:name="_Toc413057971"/>
            <w:r w:rsidRPr="0030066D">
              <w:rPr>
                <w:sz w:val="20"/>
                <w:szCs w:val="20"/>
              </w:rPr>
              <w:t>63</w:t>
            </w:r>
            <w:bookmarkEnd w:id="330"/>
          </w:p>
        </w:tc>
        <w:tc>
          <w:tcPr>
            <w:tcW w:w="438" w:type="pct"/>
            <w:vAlign w:val="bottom"/>
          </w:tcPr>
          <w:p w:rsidR="00573AD5" w:rsidRPr="0030066D" w:rsidRDefault="00573AD5" w:rsidP="0030066D">
            <w:pPr>
              <w:jc w:val="center"/>
              <w:rPr>
                <w:sz w:val="20"/>
                <w:szCs w:val="20"/>
              </w:rPr>
            </w:pPr>
            <w:bookmarkStart w:id="331" w:name="_Toc413057972"/>
            <w:r w:rsidRPr="0030066D">
              <w:rPr>
                <w:sz w:val="20"/>
                <w:szCs w:val="20"/>
              </w:rPr>
              <w:t>198</w:t>
            </w:r>
            <w:bookmarkEnd w:id="331"/>
          </w:p>
        </w:tc>
        <w:tc>
          <w:tcPr>
            <w:tcW w:w="412" w:type="pct"/>
            <w:vAlign w:val="bottom"/>
          </w:tcPr>
          <w:p w:rsidR="00573AD5" w:rsidRPr="0030066D" w:rsidRDefault="00573AD5" w:rsidP="0030066D">
            <w:pPr>
              <w:jc w:val="center"/>
              <w:rPr>
                <w:sz w:val="20"/>
                <w:szCs w:val="20"/>
              </w:rPr>
            </w:pPr>
            <w:bookmarkStart w:id="332" w:name="_Toc413057973"/>
            <w:r w:rsidRPr="0030066D">
              <w:rPr>
                <w:sz w:val="20"/>
                <w:szCs w:val="20"/>
              </w:rPr>
              <w:t>334</w:t>
            </w:r>
            <w:bookmarkEnd w:id="332"/>
          </w:p>
        </w:tc>
        <w:tc>
          <w:tcPr>
            <w:tcW w:w="282" w:type="pct"/>
          </w:tcPr>
          <w:p w:rsidR="00573AD5" w:rsidRPr="0030066D" w:rsidRDefault="00573AD5" w:rsidP="0030066D">
            <w:pPr>
              <w:jc w:val="center"/>
              <w:rPr>
                <w:sz w:val="20"/>
                <w:szCs w:val="20"/>
              </w:rPr>
            </w:pPr>
            <w:bookmarkStart w:id="333" w:name="_Toc413057974"/>
            <w:r w:rsidRPr="0030066D">
              <w:rPr>
                <w:sz w:val="20"/>
                <w:szCs w:val="20"/>
              </w:rPr>
              <w:t>0,39</w:t>
            </w:r>
            <w:bookmarkEnd w:id="333"/>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334" w:name="_Toc413057975"/>
            <w:r w:rsidRPr="0030066D">
              <w:rPr>
                <w:sz w:val="20"/>
                <w:szCs w:val="20"/>
              </w:rPr>
              <w:t>C</w:t>
            </w:r>
            <w:bookmarkEnd w:id="334"/>
          </w:p>
        </w:tc>
        <w:tc>
          <w:tcPr>
            <w:tcW w:w="287" w:type="pct"/>
            <w:vAlign w:val="bottom"/>
          </w:tcPr>
          <w:p w:rsidR="00573AD5" w:rsidRPr="0030066D" w:rsidRDefault="00573AD5" w:rsidP="0030066D">
            <w:pPr>
              <w:jc w:val="center"/>
              <w:rPr>
                <w:sz w:val="20"/>
                <w:szCs w:val="20"/>
              </w:rPr>
            </w:pPr>
            <w:bookmarkStart w:id="335" w:name="_Toc413057976"/>
            <w:r w:rsidRPr="0030066D">
              <w:rPr>
                <w:sz w:val="20"/>
                <w:szCs w:val="20"/>
              </w:rPr>
              <w:t>229</w:t>
            </w:r>
            <w:bookmarkEnd w:id="335"/>
          </w:p>
        </w:tc>
        <w:tc>
          <w:tcPr>
            <w:tcW w:w="287" w:type="pct"/>
            <w:vAlign w:val="bottom"/>
          </w:tcPr>
          <w:p w:rsidR="00573AD5" w:rsidRPr="0030066D" w:rsidRDefault="00573AD5" w:rsidP="0030066D">
            <w:pPr>
              <w:jc w:val="center"/>
              <w:rPr>
                <w:sz w:val="20"/>
                <w:szCs w:val="20"/>
              </w:rPr>
            </w:pPr>
            <w:bookmarkStart w:id="336" w:name="_Toc413057977"/>
            <w:r w:rsidRPr="0030066D">
              <w:rPr>
                <w:sz w:val="20"/>
                <w:szCs w:val="20"/>
              </w:rPr>
              <w:t>224</w:t>
            </w:r>
            <w:bookmarkEnd w:id="336"/>
          </w:p>
        </w:tc>
        <w:tc>
          <w:tcPr>
            <w:tcW w:w="607" w:type="pct"/>
            <w:vAlign w:val="bottom"/>
          </w:tcPr>
          <w:p w:rsidR="00573AD5" w:rsidRPr="0030066D" w:rsidRDefault="00573AD5" w:rsidP="0030066D">
            <w:pPr>
              <w:jc w:val="center"/>
              <w:rPr>
                <w:sz w:val="20"/>
                <w:szCs w:val="20"/>
              </w:rPr>
            </w:pPr>
            <w:bookmarkStart w:id="337" w:name="_Toc413057978"/>
            <w:r w:rsidRPr="0030066D">
              <w:rPr>
                <w:sz w:val="20"/>
                <w:szCs w:val="20"/>
              </w:rPr>
              <w:t>229</w:t>
            </w:r>
            <w:bookmarkEnd w:id="337"/>
          </w:p>
        </w:tc>
        <w:tc>
          <w:tcPr>
            <w:tcW w:w="610" w:type="pct"/>
            <w:vAlign w:val="bottom"/>
          </w:tcPr>
          <w:p w:rsidR="00573AD5" w:rsidRPr="0030066D" w:rsidRDefault="00573AD5" w:rsidP="0030066D">
            <w:pPr>
              <w:jc w:val="center"/>
              <w:rPr>
                <w:sz w:val="20"/>
                <w:szCs w:val="20"/>
              </w:rPr>
            </w:pPr>
            <w:bookmarkStart w:id="338" w:name="_Toc413057979"/>
            <w:r w:rsidRPr="0030066D">
              <w:rPr>
                <w:sz w:val="20"/>
                <w:szCs w:val="20"/>
              </w:rPr>
              <w:t>-14</w:t>
            </w:r>
            <w:bookmarkEnd w:id="338"/>
          </w:p>
        </w:tc>
        <w:tc>
          <w:tcPr>
            <w:tcW w:w="681" w:type="pct"/>
            <w:vAlign w:val="bottom"/>
          </w:tcPr>
          <w:p w:rsidR="00573AD5" w:rsidRPr="0030066D" w:rsidRDefault="00573AD5" w:rsidP="0030066D">
            <w:pPr>
              <w:jc w:val="center"/>
              <w:rPr>
                <w:sz w:val="20"/>
                <w:szCs w:val="20"/>
              </w:rPr>
            </w:pPr>
            <w:bookmarkStart w:id="339" w:name="_Toc413057980"/>
            <w:r w:rsidRPr="0030066D">
              <w:rPr>
                <w:sz w:val="20"/>
                <w:szCs w:val="20"/>
              </w:rPr>
              <w:t>0</w:t>
            </w:r>
            <w:bookmarkEnd w:id="339"/>
          </w:p>
        </w:tc>
        <w:tc>
          <w:tcPr>
            <w:tcW w:w="438" w:type="pct"/>
            <w:vAlign w:val="bottom"/>
          </w:tcPr>
          <w:p w:rsidR="00573AD5" w:rsidRPr="0030066D" w:rsidRDefault="00573AD5" w:rsidP="0030066D">
            <w:pPr>
              <w:jc w:val="center"/>
              <w:rPr>
                <w:sz w:val="20"/>
                <w:szCs w:val="20"/>
              </w:rPr>
            </w:pPr>
            <w:bookmarkStart w:id="340" w:name="_Toc413057981"/>
            <w:r w:rsidRPr="0030066D">
              <w:rPr>
                <w:sz w:val="20"/>
                <w:szCs w:val="20"/>
              </w:rPr>
              <w:t>37</w:t>
            </w:r>
            <w:bookmarkEnd w:id="340"/>
          </w:p>
        </w:tc>
        <w:tc>
          <w:tcPr>
            <w:tcW w:w="412" w:type="pct"/>
            <w:vAlign w:val="bottom"/>
          </w:tcPr>
          <w:p w:rsidR="00573AD5" w:rsidRPr="0030066D" w:rsidRDefault="00573AD5" w:rsidP="0030066D">
            <w:pPr>
              <w:jc w:val="center"/>
              <w:rPr>
                <w:sz w:val="20"/>
                <w:szCs w:val="20"/>
              </w:rPr>
            </w:pPr>
            <w:bookmarkStart w:id="341" w:name="_Toc413057982"/>
            <w:r w:rsidRPr="0030066D">
              <w:rPr>
                <w:sz w:val="20"/>
                <w:szCs w:val="20"/>
              </w:rPr>
              <w:t>174</w:t>
            </w:r>
            <w:bookmarkEnd w:id="341"/>
          </w:p>
        </w:tc>
        <w:tc>
          <w:tcPr>
            <w:tcW w:w="282" w:type="pct"/>
          </w:tcPr>
          <w:p w:rsidR="00573AD5" w:rsidRPr="0030066D" w:rsidRDefault="00573AD5" w:rsidP="0030066D">
            <w:pPr>
              <w:jc w:val="center"/>
              <w:rPr>
                <w:sz w:val="20"/>
                <w:szCs w:val="20"/>
              </w:rPr>
            </w:pPr>
            <w:bookmarkStart w:id="342" w:name="_Toc413057983"/>
            <w:r w:rsidRPr="0030066D">
              <w:rPr>
                <w:sz w:val="20"/>
                <w:szCs w:val="20"/>
              </w:rPr>
              <w:t>0,98</w:t>
            </w:r>
            <w:bookmarkEnd w:id="342"/>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343" w:name="_Toc413057984"/>
            <w:r w:rsidRPr="0030066D">
              <w:rPr>
                <w:sz w:val="20"/>
                <w:szCs w:val="20"/>
              </w:rPr>
              <w:t>DS08</w:t>
            </w:r>
            <w:bookmarkEnd w:id="343"/>
          </w:p>
        </w:tc>
        <w:tc>
          <w:tcPr>
            <w:tcW w:w="995" w:type="pct"/>
            <w:vMerge w:val="restart"/>
          </w:tcPr>
          <w:p w:rsidR="00573AD5" w:rsidRPr="0030066D" w:rsidRDefault="00573AD5" w:rsidP="002B7E09">
            <w:pPr>
              <w:rPr>
                <w:sz w:val="20"/>
                <w:szCs w:val="20"/>
              </w:rPr>
            </w:pPr>
            <w:bookmarkStart w:id="344" w:name="_Toc413057985"/>
            <w:r w:rsidRPr="0030066D">
              <w:rPr>
                <w:sz w:val="20"/>
                <w:szCs w:val="20"/>
              </w:rPr>
              <w:t>Stamora Moravita - Oradea via Timisoara</w:t>
            </w:r>
            <w:bookmarkEnd w:id="344"/>
          </w:p>
        </w:tc>
        <w:tc>
          <w:tcPr>
            <w:tcW w:w="121" w:type="pct"/>
          </w:tcPr>
          <w:p w:rsidR="00573AD5" w:rsidRPr="0030066D" w:rsidRDefault="00573AD5" w:rsidP="0030066D">
            <w:pPr>
              <w:jc w:val="center"/>
              <w:rPr>
                <w:sz w:val="20"/>
                <w:szCs w:val="20"/>
              </w:rPr>
            </w:pPr>
            <w:bookmarkStart w:id="345" w:name="_Toc413057986"/>
            <w:r w:rsidRPr="0030066D">
              <w:rPr>
                <w:sz w:val="20"/>
                <w:szCs w:val="20"/>
              </w:rPr>
              <w:t>R</w:t>
            </w:r>
            <w:bookmarkEnd w:id="345"/>
          </w:p>
        </w:tc>
        <w:tc>
          <w:tcPr>
            <w:tcW w:w="287" w:type="pct"/>
            <w:vAlign w:val="bottom"/>
          </w:tcPr>
          <w:p w:rsidR="00573AD5" w:rsidRPr="0030066D" w:rsidRDefault="00573AD5" w:rsidP="0030066D">
            <w:pPr>
              <w:jc w:val="center"/>
              <w:rPr>
                <w:sz w:val="20"/>
                <w:szCs w:val="20"/>
              </w:rPr>
            </w:pPr>
            <w:bookmarkStart w:id="346" w:name="_Toc413057987"/>
            <w:r w:rsidRPr="0030066D">
              <w:rPr>
                <w:sz w:val="20"/>
                <w:szCs w:val="20"/>
              </w:rPr>
              <w:t>166</w:t>
            </w:r>
            <w:bookmarkEnd w:id="346"/>
          </w:p>
        </w:tc>
        <w:tc>
          <w:tcPr>
            <w:tcW w:w="287" w:type="pct"/>
            <w:vAlign w:val="bottom"/>
          </w:tcPr>
          <w:p w:rsidR="00573AD5" w:rsidRPr="0030066D" w:rsidRDefault="00573AD5" w:rsidP="0030066D">
            <w:pPr>
              <w:jc w:val="center"/>
              <w:rPr>
                <w:sz w:val="20"/>
                <w:szCs w:val="20"/>
              </w:rPr>
            </w:pPr>
            <w:bookmarkStart w:id="347" w:name="_Toc413057988"/>
            <w:r w:rsidRPr="0030066D">
              <w:rPr>
                <w:sz w:val="20"/>
                <w:szCs w:val="20"/>
              </w:rPr>
              <w:t>58</w:t>
            </w:r>
            <w:bookmarkEnd w:id="347"/>
          </w:p>
        </w:tc>
        <w:tc>
          <w:tcPr>
            <w:tcW w:w="607" w:type="pct"/>
            <w:vAlign w:val="bottom"/>
          </w:tcPr>
          <w:p w:rsidR="00573AD5" w:rsidRPr="0030066D" w:rsidRDefault="00573AD5" w:rsidP="0030066D">
            <w:pPr>
              <w:jc w:val="center"/>
              <w:rPr>
                <w:sz w:val="20"/>
                <w:szCs w:val="20"/>
              </w:rPr>
            </w:pPr>
            <w:bookmarkStart w:id="348" w:name="_Toc413057989"/>
            <w:r w:rsidRPr="0030066D">
              <w:rPr>
                <w:sz w:val="20"/>
                <w:szCs w:val="20"/>
              </w:rPr>
              <w:t>0</w:t>
            </w:r>
            <w:bookmarkEnd w:id="348"/>
          </w:p>
        </w:tc>
        <w:tc>
          <w:tcPr>
            <w:tcW w:w="610" w:type="pct"/>
            <w:vAlign w:val="bottom"/>
          </w:tcPr>
          <w:p w:rsidR="00573AD5" w:rsidRPr="0030066D" w:rsidRDefault="00573AD5" w:rsidP="0030066D">
            <w:pPr>
              <w:jc w:val="center"/>
              <w:rPr>
                <w:sz w:val="20"/>
                <w:szCs w:val="20"/>
              </w:rPr>
            </w:pPr>
            <w:bookmarkStart w:id="349" w:name="_Toc413057990"/>
            <w:r w:rsidRPr="0030066D">
              <w:rPr>
                <w:sz w:val="20"/>
                <w:szCs w:val="20"/>
              </w:rPr>
              <w:t>149</w:t>
            </w:r>
            <w:bookmarkEnd w:id="349"/>
          </w:p>
        </w:tc>
        <w:tc>
          <w:tcPr>
            <w:tcW w:w="681" w:type="pct"/>
            <w:vAlign w:val="bottom"/>
          </w:tcPr>
          <w:p w:rsidR="00573AD5" w:rsidRPr="0030066D" w:rsidRDefault="00573AD5" w:rsidP="0030066D">
            <w:pPr>
              <w:jc w:val="center"/>
              <w:rPr>
                <w:sz w:val="20"/>
                <w:szCs w:val="20"/>
              </w:rPr>
            </w:pPr>
            <w:bookmarkStart w:id="350" w:name="_Toc413057991"/>
            <w:r w:rsidRPr="0030066D">
              <w:rPr>
                <w:sz w:val="20"/>
                <w:szCs w:val="20"/>
              </w:rPr>
              <w:t>17</w:t>
            </w:r>
            <w:bookmarkEnd w:id="350"/>
          </w:p>
        </w:tc>
        <w:tc>
          <w:tcPr>
            <w:tcW w:w="438" w:type="pct"/>
            <w:vAlign w:val="bottom"/>
          </w:tcPr>
          <w:p w:rsidR="00573AD5" w:rsidRPr="0030066D" w:rsidRDefault="00573AD5" w:rsidP="0030066D">
            <w:pPr>
              <w:jc w:val="center"/>
              <w:rPr>
                <w:sz w:val="20"/>
                <w:szCs w:val="20"/>
              </w:rPr>
            </w:pPr>
            <w:bookmarkStart w:id="351" w:name="_Toc413057992"/>
            <w:r w:rsidRPr="0030066D">
              <w:rPr>
                <w:sz w:val="20"/>
                <w:szCs w:val="20"/>
              </w:rPr>
              <w:t>54</w:t>
            </w:r>
            <w:bookmarkEnd w:id="351"/>
          </w:p>
        </w:tc>
        <w:tc>
          <w:tcPr>
            <w:tcW w:w="412" w:type="pct"/>
            <w:vAlign w:val="bottom"/>
          </w:tcPr>
          <w:p w:rsidR="00573AD5" w:rsidRPr="0030066D" w:rsidRDefault="00573AD5" w:rsidP="0030066D">
            <w:pPr>
              <w:jc w:val="center"/>
              <w:rPr>
                <w:sz w:val="20"/>
                <w:szCs w:val="20"/>
              </w:rPr>
            </w:pPr>
            <w:bookmarkStart w:id="352" w:name="_Toc413057993"/>
            <w:r w:rsidRPr="0030066D">
              <w:rPr>
                <w:sz w:val="20"/>
                <w:szCs w:val="20"/>
              </w:rPr>
              <w:t>4</w:t>
            </w:r>
            <w:bookmarkEnd w:id="352"/>
          </w:p>
        </w:tc>
        <w:tc>
          <w:tcPr>
            <w:tcW w:w="282" w:type="pct"/>
          </w:tcPr>
          <w:p w:rsidR="00573AD5" w:rsidRPr="0030066D" w:rsidRDefault="00573AD5" w:rsidP="0030066D">
            <w:pPr>
              <w:jc w:val="center"/>
              <w:rPr>
                <w:sz w:val="20"/>
                <w:szCs w:val="20"/>
              </w:rPr>
            </w:pPr>
            <w:bookmarkStart w:id="353" w:name="_Toc413057994"/>
            <w:r w:rsidRPr="0030066D">
              <w:rPr>
                <w:sz w:val="20"/>
                <w:szCs w:val="20"/>
              </w:rPr>
              <w:t>0,35</w:t>
            </w:r>
            <w:bookmarkEnd w:id="353"/>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354" w:name="_Toc413057995"/>
            <w:r w:rsidRPr="0030066D">
              <w:rPr>
                <w:sz w:val="20"/>
                <w:szCs w:val="20"/>
              </w:rPr>
              <w:t>A</w:t>
            </w:r>
            <w:bookmarkEnd w:id="354"/>
          </w:p>
        </w:tc>
        <w:tc>
          <w:tcPr>
            <w:tcW w:w="287" w:type="pct"/>
            <w:vAlign w:val="bottom"/>
          </w:tcPr>
          <w:p w:rsidR="00573AD5" w:rsidRPr="0030066D" w:rsidRDefault="00573AD5" w:rsidP="0030066D">
            <w:pPr>
              <w:jc w:val="center"/>
              <w:rPr>
                <w:sz w:val="20"/>
                <w:szCs w:val="20"/>
              </w:rPr>
            </w:pPr>
            <w:bookmarkStart w:id="355" w:name="_Toc413057996"/>
            <w:r w:rsidRPr="0030066D">
              <w:rPr>
                <w:sz w:val="20"/>
                <w:szCs w:val="20"/>
              </w:rPr>
              <w:t>260</w:t>
            </w:r>
            <w:bookmarkEnd w:id="355"/>
          </w:p>
        </w:tc>
        <w:tc>
          <w:tcPr>
            <w:tcW w:w="287" w:type="pct"/>
            <w:vAlign w:val="bottom"/>
          </w:tcPr>
          <w:p w:rsidR="00573AD5" w:rsidRPr="0030066D" w:rsidRDefault="00573AD5" w:rsidP="0030066D">
            <w:pPr>
              <w:jc w:val="center"/>
              <w:rPr>
                <w:sz w:val="20"/>
                <w:szCs w:val="20"/>
              </w:rPr>
            </w:pPr>
            <w:bookmarkStart w:id="356" w:name="_Toc413057997"/>
            <w:r w:rsidRPr="0030066D">
              <w:rPr>
                <w:sz w:val="20"/>
                <w:szCs w:val="20"/>
              </w:rPr>
              <w:t>163</w:t>
            </w:r>
            <w:bookmarkEnd w:id="356"/>
          </w:p>
        </w:tc>
        <w:tc>
          <w:tcPr>
            <w:tcW w:w="607" w:type="pct"/>
            <w:vAlign w:val="bottom"/>
          </w:tcPr>
          <w:p w:rsidR="00573AD5" w:rsidRPr="0030066D" w:rsidRDefault="00573AD5" w:rsidP="0030066D">
            <w:pPr>
              <w:jc w:val="center"/>
              <w:rPr>
                <w:sz w:val="20"/>
                <w:szCs w:val="20"/>
              </w:rPr>
            </w:pPr>
            <w:bookmarkStart w:id="357" w:name="_Toc413057998"/>
            <w:r w:rsidRPr="0030066D">
              <w:rPr>
                <w:sz w:val="20"/>
                <w:szCs w:val="20"/>
              </w:rPr>
              <w:t>235</w:t>
            </w:r>
            <w:bookmarkEnd w:id="357"/>
          </w:p>
        </w:tc>
        <w:tc>
          <w:tcPr>
            <w:tcW w:w="610" w:type="pct"/>
            <w:vAlign w:val="bottom"/>
          </w:tcPr>
          <w:p w:rsidR="00573AD5" w:rsidRPr="0030066D" w:rsidRDefault="00573AD5" w:rsidP="0030066D">
            <w:pPr>
              <w:jc w:val="center"/>
              <w:rPr>
                <w:sz w:val="20"/>
                <w:szCs w:val="20"/>
              </w:rPr>
            </w:pPr>
            <w:bookmarkStart w:id="358" w:name="_Toc413057999"/>
            <w:r w:rsidRPr="0030066D">
              <w:rPr>
                <w:sz w:val="20"/>
                <w:szCs w:val="20"/>
              </w:rPr>
              <w:t>163</w:t>
            </w:r>
            <w:bookmarkEnd w:id="358"/>
          </w:p>
        </w:tc>
        <w:tc>
          <w:tcPr>
            <w:tcW w:w="681" w:type="pct"/>
            <w:vAlign w:val="bottom"/>
          </w:tcPr>
          <w:p w:rsidR="00573AD5" w:rsidRPr="0030066D" w:rsidRDefault="00573AD5" w:rsidP="0030066D">
            <w:pPr>
              <w:jc w:val="center"/>
              <w:rPr>
                <w:sz w:val="20"/>
                <w:szCs w:val="20"/>
              </w:rPr>
            </w:pPr>
            <w:bookmarkStart w:id="359" w:name="_Toc413058000"/>
            <w:r w:rsidRPr="0030066D">
              <w:rPr>
                <w:sz w:val="20"/>
                <w:szCs w:val="20"/>
              </w:rPr>
              <w:t>49</w:t>
            </w:r>
            <w:bookmarkEnd w:id="359"/>
          </w:p>
        </w:tc>
        <w:tc>
          <w:tcPr>
            <w:tcW w:w="438" w:type="pct"/>
            <w:vAlign w:val="bottom"/>
          </w:tcPr>
          <w:p w:rsidR="00573AD5" w:rsidRPr="0030066D" w:rsidRDefault="00573AD5" w:rsidP="0030066D">
            <w:pPr>
              <w:jc w:val="center"/>
              <w:rPr>
                <w:sz w:val="20"/>
                <w:szCs w:val="20"/>
              </w:rPr>
            </w:pPr>
            <w:bookmarkStart w:id="360" w:name="_Toc413058001"/>
            <w:r w:rsidRPr="0030066D">
              <w:rPr>
                <w:sz w:val="20"/>
                <w:szCs w:val="20"/>
              </w:rPr>
              <w:t>313</w:t>
            </w:r>
            <w:bookmarkEnd w:id="360"/>
          </w:p>
        </w:tc>
        <w:tc>
          <w:tcPr>
            <w:tcW w:w="412" w:type="pct"/>
            <w:vAlign w:val="bottom"/>
          </w:tcPr>
          <w:p w:rsidR="00573AD5" w:rsidRPr="0030066D" w:rsidRDefault="00573AD5" w:rsidP="0030066D">
            <w:pPr>
              <w:jc w:val="center"/>
              <w:rPr>
                <w:sz w:val="20"/>
                <w:szCs w:val="20"/>
              </w:rPr>
            </w:pPr>
            <w:bookmarkStart w:id="361" w:name="_Toc413058002"/>
            <w:r w:rsidRPr="0030066D">
              <w:rPr>
                <w:sz w:val="20"/>
                <w:szCs w:val="20"/>
              </w:rPr>
              <w:t>37</w:t>
            </w:r>
            <w:bookmarkEnd w:id="361"/>
          </w:p>
        </w:tc>
        <w:tc>
          <w:tcPr>
            <w:tcW w:w="282" w:type="pct"/>
          </w:tcPr>
          <w:p w:rsidR="00573AD5" w:rsidRPr="0030066D" w:rsidRDefault="00573AD5" w:rsidP="0030066D">
            <w:pPr>
              <w:jc w:val="center"/>
              <w:rPr>
                <w:sz w:val="20"/>
                <w:szCs w:val="20"/>
              </w:rPr>
            </w:pPr>
            <w:bookmarkStart w:id="362" w:name="_Toc413058003"/>
            <w:r w:rsidRPr="0030066D">
              <w:rPr>
                <w:sz w:val="20"/>
                <w:szCs w:val="20"/>
              </w:rPr>
              <w:t>0,63</w:t>
            </w:r>
            <w:bookmarkEnd w:id="362"/>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363" w:name="_Toc413058004"/>
            <w:r w:rsidRPr="0030066D">
              <w:rPr>
                <w:sz w:val="20"/>
                <w:szCs w:val="20"/>
              </w:rPr>
              <w:t>B</w:t>
            </w:r>
            <w:bookmarkEnd w:id="363"/>
          </w:p>
        </w:tc>
        <w:tc>
          <w:tcPr>
            <w:tcW w:w="287" w:type="pct"/>
            <w:vAlign w:val="bottom"/>
          </w:tcPr>
          <w:p w:rsidR="00573AD5" w:rsidRPr="0030066D" w:rsidRDefault="00573AD5" w:rsidP="0030066D">
            <w:pPr>
              <w:jc w:val="center"/>
              <w:rPr>
                <w:sz w:val="20"/>
                <w:szCs w:val="20"/>
              </w:rPr>
            </w:pPr>
            <w:bookmarkStart w:id="364" w:name="_Toc413058005"/>
            <w:r w:rsidRPr="0030066D">
              <w:rPr>
                <w:sz w:val="20"/>
                <w:szCs w:val="20"/>
              </w:rPr>
              <w:t>393</w:t>
            </w:r>
            <w:bookmarkEnd w:id="364"/>
          </w:p>
        </w:tc>
        <w:tc>
          <w:tcPr>
            <w:tcW w:w="287" w:type="pct"/>
            <w:vAlign w:val="bottom"/>
          </w:tcPr>
          <w:p w:rsidR="00573AD5" w:rsidRPr="0030066D" w:rsidRDefault="00573AD5" w:rsidP="0030066D">
            <w:pPr>
              <w:jc w:val="center"/>
              <w:rPr>
                <w:sz w:val="20"/>
                <w:szCs w:val="20"/>
              </w:rPr>
            </w:pPr>
            <w:bookmarkStart w:id="365" w:name="_Toc413058006"/>
            <w:r w:rsidRPr="0030066D">
              <w:rPr>
                <w:sz w:val="20"/>
                <w:szCs w:val="20"/>
              </w:rPr>
              <w:t>180</w:t>
            </w:r>
            <w:bookmarkEnd w:id="365"/>
          </w:p>
        </w:tc>
        <w:tc>
          <w:tcPr>
            <w:tcW w:w="607" w:type="pct"/>
            <w:vAlign w:val="bottom"/>
          </w:tcPr>
          <w:p w:rsidR="00573AD5" w:rsidRPr="0030066D" w:rsidRDefault="00573AD5" w:rsidP="0030066D">
            <w:pPr>
              <w:jc w:val="center"/>
              <w:rPr>
                <w:sz w:val="20"/>
                <w:szCs w:val="20"/>
              </w:rPr>
            </w:pPr>
            <w:bookmarkStart w:id="366" w:name="_Toc413058007"/>
            <w:r w:rsidRPr="0030066D">
              <w:rPr>
                <w:sz w:val="20"/>
                <w:szCs w:val="20"/>
              </w:rPr>
              <w:t>367</w:t>
            </w:r>
            <w:bookmarkEnd w:id="366"/>
          </w:p>
        </w:tc>
        <w:tc>
          <w:tcPr>
            <w:tcW w:w="610" w:type="pct"/>
            <w:vAlign w:val="bottom"/>
          </w:tcPr>
          <w:p w:rsidR="00573AD5" w:rsidRPr="0030066D" w:rsidRDefault="00573AD5" w:rsidP="0030066D">
            <w:pPr>
              <w:jc w:val="center"/>
              <w:rPr>
                <w:sz w:val="20"/>
                <w:szCs w:val="20"/>
              </w:rPr>
            </w:pPr>
            <w:bookmarkStart w:id="367" w:name="_Toc413058008"/>
            <w:r w:rsidRPr="0030066D">
              <w:rPr>
                <w:sz w:val="20"/>
                <w:szCs w:val="20"/>
              </w:rPr>
              <w:t>163</w:t>
            </w:r>
            <w:bookmarkEnd w:id="367"/>
          </w:p>
        </w:tc>
        <w:tc>
          <w:tcPr>
            <w:tcW w:w="681" w:type="pct"/>
            <w:vAlign w:val="bottom"/>
          </w:tcPr>
          <w:p w:rsidR="00573AD5" w:rsidRPr="0030066D" w:rsidRDefault="00573AD5" w:rsidP="0030066D">
            <w:pPr>
              <w:jc w:val="center"/>
              <w:rPr>
                <w:sz w:val="20"/>
                <w:szCs w:val="20"/>
              </w:rPr>
            </w:pPr>
            <w:bookmarkStart w:id="368" w:name="_Toc413058009"/>
            <w:r w:rsidRPr="0030066D">
              <w:rPr>
                <w:sz w:val="20"/>
                <w:szCs w:val="20"/>
              </w:rPr>
              <w:t>62</w:t>
            </w:r>
            <w:bookmarkEnd w:id="368"/>
          </w:p>
        </w:tc>
        <w:tc>
          <w:tcPr>
            <w:tcW w:w="438" w:type="pct"/>
            <w:vAlign w:val="bottom"/>
          </w:tcPr>
          <w:p w:rsidR="00573AD5" w:rsidRPr="0030066D" w:rsidRDefault="00573AD5" w:rsidP="0030066D">
            <w:pPr>
              <w:jc w:val="center"/>
              <w:rPr>
                <w:sz w:val="20"/>
                <w:szCs w:val="20"/>
              </w:rPr>
            </w:pPr>
            <w:bookmarkStart w:id="369" w:name="_Toc413058010"/>
            <w:r w:rsidRPr="0030066D">
              <w:rPr>
                <w:sz w:val="20"/>
                <w:szCs w:val="20"/>
              </w:rPr>
              <w:t>297</w:t>
            </w:r>
            <w:bookmarkEnd w:id="369"/>
          </w:p>
        </w:tc>
        <w:tc>
          <w:tcPr>
            <w:tcW w:w="412" w:type="pct"/>
            <w:vAlign w:val="bottom"/>
          </w:tcPr>
          <w:p w:rsidR="00573AD5" w:rsidRPr="0030066D" w:rsidRDefault="00573AD5" w:rsidP="0030066D">
            <w:pPr>
              <w:jc w:val="center"/>
              <w:rPr>
                <w:sz w:val="20"/>
                <w:szCs w:val="20"/>
              </w:rPr>
            </w:pPr>
            <w:bookmarkStart w:id="370" w:name="_Toc413058011"/>
            <w:r w:rsidRPr="0030066D">
              <w:rPr>
                <w:sz w:val="20"/>
                <w:szCs w:val="20"/>
              </w:rPr>
              <w:t>83</w:t>
            </w:r>
            <w:bookmarkEnd w:id="370"/>
          </w:p>
        </w:tc>
        <w:tc>
          <w:tcPr>
            <w:tcW w:w="282" w:type="pct"/>
          </w:tcPr>
          <w:p w:rsidR="00573AD5" w:rsidRPr="0030066D" w:rsidRDefault="00573AD5" w:rsidP="0030066D">
            <w:pPr>
              <w:jc w:val="center"/>
              <w:rPr>
                <w:sz w:val="20"/>
                <w:szCs w:val="20"/>
              </w:rPr>
            </w:pPr>
            <w:bookmarkStart w:id="371" w:name="_Toc413058012"/>
            <w:r w:rsidRPr="0030066D">
              <w:rPr>
                <w:sz w:val="20"/>
                <w:szCs w:val="20"/>
              </w:rPr>
              <w:t>0,46</w:t>
            </w:r>
            <w:bookmarkEnd w:id="371"/>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372" w:name="_Toc413058013"/>
            <w:r w:rsidRPr="0030066D">
              <w:rPr>
                <w:sz w:val="20"/>
                <w:szCs w:val="20"/>
              </w:rPr>
              <w:t>DS09</w:t>
            </w:r>
            <w:bookmarkEnd w:id="372"/>
          </w:p>
        </w:tc>
        <w:tc>
          <w:tcPr>
            <w:tcW w:w="995" w:type="pct"/>
            <w:vMerge w:val="restart"/>
          </w:tcPr>
          <w:p w:rsidR="00573AD5" w:rsidRPr="0030066D" w:rsidRDefault="00573AD5" w:rsidP="002B7E09">
            <w:pPr>
              <w:rPr>
                <w:sz w:val="20"/>
                <w:szCs w:val="20"/>
              </w:rPr>
            </w:pPr>
            <w:bookmarkStart w:id="373" w:name="_Toc413058014"/>
            <w:r w:rsidRPr="0030066D">
              <w:rPr>
                <w:sz w:val="20"/>
                <w:szCs w:val="20"/>
              </w:rPr>
              <w:t>Oradea - Cluj via Baia Mare - Satu Mare</w:t>
            </w:r>
            <w:bookmarkEnd w:id="373"/>
          </w:p>
        </w:tc>
        <w:tc>
          <w:tcPr>
            <w:tcW w:w="121" w:type="pct"/>
          </w:tcPr>
          <w:p w:rsidR="00573AD5" w:rsidRPr="0030066D" w:rsidRDefault="00573AD5" w:rsidP="0030066D">
            <w:pPr>
              <w:jc w:val="center"/>
              <w:rPr>
                <w:sz w:val="20"/>
                <w:szCs w:val="20"/>
              </w:rPr>
            </w:pPr>
            <w:bookmarkStart w:id="374" w:name="_Toc413058015"/>
            <w:r w:rsidRPr="0030066D">
              <w:rPr>
                <w:sz w:val="20"/>
                <w:szCs w:val="20"/>
              </w:rPr>
              <w:t>R</w:t>
            </w:r>
            <w:bookmarkEnd w:id="374"/>
          </w:p>
        </w:tc>
        <w:tc>
          <w:tcPr>
            <w:tcW w:w="287" w:type="pct"/>
            <w:vAlign w:val="bottom"/>
          </w:tcPr>
          <w:p w:rsidR="00573AD5" w:rsidRPr="0030066D" w:rsidRDefault="00573AD5" w:rsidP="0030066D">
            <w:pPr>
              <w:jc w:val="center"/>
              <w:rPr>
                <w:sz w:val="20"/>
                <w:szCs w:val="20"/>
              </w:rPr>
            </w:pPr>
            <w:bookmarkStart w:id="375" w:name="_Toc413058016"/>
            <w:r w:rsidRPr="0030066D">
              <w:rPr>
                <w:sz w:val="20"/>
                <w:szCs w:val="20"/>
              </w:rPr>
              <w:t>117</w:t>
            </w:r>
            <w:bookmarkEnd w:id="375"/>
          </w:p>
        </w:tc>
        <w:tc>
          <w:tcPr>
            <w:tcW w:w="287" w:type="pct"/>
            <w:vAlign w:val="bottom"/>
          </w:tcPr>
          <w:p w:rsidR="00573AD5" w:rsidRPr="0030066D" w:rsidRDefault="00573AD5" w:rsidP="0030066D">
            <w:pPr>
              <w:jc w:val="center"/>
              <w:rPr>
                <w:sz w:val="20"/>
                <w:szCs w:val="20"/>
              </w:rPr>
            </w:pPr>
            <w:bookmarkStart w:id="376" w:name="_Toc413058017"/>
            <w:r w:rsidRPr="0030066D">
              <w:rPr>
                <w:sz w:val="20"/>
                <w:szCs w:val="20"/>
              </w:rPr>
              <w:t>15</w:t>
            </w:r>
            <w:bookmarkEnd w:id="376"/>
          </w:p>
        </w:tc>
        <w:tc>
          <w:tcPr>
            <w:tcW w:w="607" w:type="pct"/>
            <w:vAlign w:val="bottom"/>
          </w:tcPr>
          <w:p w:rsidR="00573AD5" w:rsidRPr="0030066D" w:rsidRDefault="00573AD5" w:rsidP="0030066D">
            <w:pPr>
              <w:jc w:val="center"/>
              <w:rPr>
                <w:sz w:val="20"/>
                <w:szCs w:val="20"/>
              </w:rPr>
            </w:pPr>
            <w:bookmarkStart w:id="377" w:name="_Toc413058018"/>
            <w:r w:rsidRPr="0030066D">
              <w:rPr>
                <w:sz w:val="20"/>
                <w:szCs w:val="20"/>
              </w:rPr>
              <w:t>4</w:t>
            </w:r>
            <w:bookmarkEnd w:id="377"/>
          </w:p>
        </w:tc>
        <w:tc>
          <w:tcPr>
            <w:tcW w:w="610" w:type="pct"/>
            <w:vAlign w:val="bottom"/>
          </w:tcPr>
          <w:p w:rsidR="00573AD5" w:rsidRPr="0030066D" w:rsidRDefault="00573AD5" w:rsidP="0030066D">
            <w:pPr>
              <w:jc w:val="center"/>
              <w:rPr>
                <w:sz w:val="20"/>
                <w:szCs w:val="20"/>
              </w:rPr>
            </w:pPr>
            <w:bookmarkStart w:id="378" w:name="_Toc413058019"/>
            <w:r w:rsidRPr="0030066D">
              <w:rPr>
                <w:sz w:val="20"/>
                <w:szCs w:val="20"/>
              </w:rPr>
              <w:t>110</w:t>
            </w:r>
            <w:bookmarkEnd w:id="378"/>
          </w:p>
        </w:tc>
        <w:tc>
          <w:tcPr>
            <w:tcW w:w="681" w:type="pct"/>
            <w:vAlign w:val="bottom"/>
          </w:tcPr>
          <w:p w:rsidR="00573AD5" w:rsidRPr="0030066D" w:rsidRDefault="00573AD5" w:rsidP="0030066D">
            <w:pPr>
              <w:jc w:val="center"/>
              <w:rPr>
                <w:sz w:val="20"/>
                <w:szCs w:val="20"/>
              </w:rPr>
            </w:pPr>
            <w:bookmarkStart w:id="379" w:name="_Toc413058020"/>
            <w:r w:rsidRPr="0030066D">
              <w:rPr>
                <w:sz w:val="20"/>
                <w:szCs w:val="20"/>
              </w:rPr>
              <w:t>3</w:t>
            </w:r>
            <w:bookmarkEnd w:id="379"/>
          </w:p>
        </w:tc>
        <w:tc>
          <w:tcPr>
            <w:tcW w:w="438" w:type="pct"/>
            <w:vAlign w:val="bottom"/>
          </w:tcPr>
          <w:p w:rsidR="00573AD5" w:rsidRPr="0030066D" w:rsidRDefault="00573AD5" w:rsidP="0030066D">
            <w:pPr>
              <w:jc w:val="center"/>
              <w:rPr>
                <w:sz w:val="20"/>
                <w:szCs w:val="20"/>
              </w:rPr>
            </w:pPr>
            <w:bookmarkStart w:id="380" w:name="_Toc413058021"/>
            <w:r w:rsidRPr="0030066D">
              <w:rPr>
                <w:sz w:val="20"/>
                <w:szCs w:val="20"/>
              </w:rPr>
              <w:t>13</w:t>
            </w:r>
            <w:bookmarkEnd w:id="380"/>
          </w:p>
        </w:tc>
        <w:tc>
          <w:tcPr>
            <w:tcW w:w="412" w:type="pct"/>
            <w:vAlign w:val="bottom"/>
          </w:tcPr>
          <w:p w:rsidR="00573AD5" w:rsidRPr="0030066D" w:rsidRDefault="00573AD5" w:rsidP="0030066D">
            <w:pPr>
              <w:jc w:val="center"/>
              <w:rPr>
                <w:sz w:val="20"/>
                <w:szCs w:val="20"/>
              </w:rPr>
            </w:pPr>
            <w:bookmarkStart w:id="381" w:name="_Toc413058022"/>
            <w:r w:rsidRPr="0030066D">
              <w:rPr>
                <w:sz w:val="20"/>
                <w:szCs w:val="20"/>
              </w:rPr>
              <w:t>1</w:t>
            </w:r>
            <w:bookmarkEnd w:id="381"/>
          </w:p>
        </w:tc>
        <w:tc>
          <w:tcPr>
            <w:tcW w:w="282" w:type="pct"/>
          </w:tcPr>
          <w:p w:rsidR="00573AD5" w:rsidRPr="0030066D" w:rsidRDefault="00573AD5" w:rsidP="0030066D">
            <w:pPr>
              <w:jc w:val="center"/>
              <w:rPr>
                <w:sz w:val="20"/>
                <w:szCs w:val="20"/>
              </w:rPr>
            </w:pPr>
            <w:bookmarkStart w:id="382" w:name="_Toc413058023"/>
            <w:r w:rsidRPr="0030066D">
              <w:rPr>
                <w:sz w:val="20"/>
                <w:szCs w:val="20"/>
              </w:rPr>
              <w:t>0,12</w:t>
            </w:r>
            <w:bookmarkEnd w:id="382"/>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383" w:name="_Toc413058024"/>
            <w:r w:rsidRPr="0030066D">
              <w:rPr>
                <w:sz w:val="20"/>
                <w:szCs w:val="20"/>
              </w:rPr>
              <w:t>A</w:t>
            </w:r>
            <w:bookmarkEnd w:id="383"/>
          </w:p>
        </w:tc>
        <w:tc>
          <w:tcPr>
            <w:tcW w:w="287" w:type="pct"/>
            <w:vAlign w:val="bottom"/>
          </w:tcPr>
          <w:p w:rsidR="00573AD5" w:rsidRPr="0030066D" w:rsidRDefault="00573AD5" w:rsidP="0030066D">
            <w:pPr>
              <w:jc w:val="center"/>
              <w:rPr>
                <w:sz w:val="20"/>
                <w:szCs w:val="20"/>
              </w:rPr>
            </w:pPr>
            <w:bookmarkStart w:id="384" w:name="_Toc413058025"/>
            <w:r w:rsidRPr="0030066D">
              <w:rPr>
                <w:sz w:val="20"/>
                <w:szCs w:val="20"/>
              </w:rPr>
              <w:t>845</w:t>
            </w:r>
            <w:bookmarkEnd w:id="384"/>
          </w:p>
        </w:tc>
        <w:tc>
          <w:tcPr>
            <w:tcW w:w="287" w:type="pct"/>
            <w:vAlign w:val="bottom"/>
          </w:tcPr>
          <w:p w:rsidR="00573AD5" w:rsidRPr="0030066D" w:rsidRDefault="00573AD5" w:rsidP="0030066D">
            <w:pPr>
              <w:jc w:val="center"/>
              <w:rPr>
                <w:sz w:val="20"/>
                <w:szCs w:val="20"/>
              </w:rPr>
            </w:pPr>
            <w:bookmarkStart w:id="385" w:name="_Toc413058026"/>
            <w:r w:rsidRPr="0030066D">
              <w:rPr>
                <w:sz w:val="20"/>
                <w:szCs w:val="20"/>
              </w:rPr>
              <w:t>212</w:t>
            </w:r>
            <w:bookmarkEnd w:id="385"/>
          </w:p>
        </w:tc>
        <w:tc>
          <w:tcPr>
            <w:tcW w:w="607" w:type="pct"/>
            <w:vAlign w:val="bottom"/>
          </w:tcPr>
          <w:p w:rsidR="00573AD5" w:rsidRPr="0030066D" w:rsidRDefault="00573AD5" w:rsidP="0030066D">
            <w:pPr>
              <w:jc w:val="center"/>
              <w:rPr>
                <w:sz w:val="20"/>
                <w:szCs w:val="20"/>
              </w:rPr>
            </w:pPr>
            <w:bookmarkStart w:id="386" w:name="_Toc413058027"/>
            <w:r w:rsidRPr="0030066D">
              <w:rPr>
                <w:sz w:val="20"/>
                <w:szCs w:val="20"/>
              </w:rPr>
              <w:t>822</w:t>
            </w:r>
            <w:bookmarkEnd w:id="386"/>
          </w:p>
        </w:tc>
        <w:tc>
          <w:tcPr>
            <w:tcW w:w="610" w:type="pct"/>
            <w:vAlign w:val="bottom"/>
          </w:tcPr>
          <w:p w:rsidR="00573AD5" w:rsidRPr="0030066D" w:rsidRDefault="00573AD5" w:rsidP="0030066D">
            <w:pPr>
              <w:jc w:val="center"/>
              <w:rPr>
                <w:sz w:val="20"/>
                <w:szCs w:val="20"/>
              </w:rPr>
            </w:pPr>
            <w:bookmarkStart w:id="387" w:name="_Toc413058028"/>
            <w:r w:rsidRPr="0030066D">
              <w:rPr>
                <w:sz w:val="20"/>
                <w:szCs w:val="20"/>
              </w:rPr>
              <w:t>110</w:t>
            </w:r>
            <w:bookmarkEnd w:id="387"/>
          </w:p>
        </w:tc>
        <w:tc>
          <w:tcPr>
            <w:tcW w:w="681" w:type="pct"/>
            <w:vAlign w:val="bottom"/>
          </w:tcPr>
          <w:p w:rsidR="00573AD5" w:rsidRPr="0030066D" w:rsidRDefault="00573AD5" w:rsidP="0030066D">
            <w:pPr>
              <w:jc w:val="center"/>
              <w:rPr>
                <w:sz w:val="20"/>
                <w:szCs w:val="20"/>
              </w:rPr>
            </w:pPr>
            <w:bookmarkStart w:id="388" w:name="_Toc413058029"/>
            <w:r w:rsidRPr="0030066D">
              <w:rPr>
                <w:sz w:val="20"/>
                <w:szCs w:val="20"/>
              </w:rPr>
              <w:t>83</w:t>
            </w:r>
            <w:bookmarkEnd w:id="388"/>
          </w:p>
        </w:tc>
        <w:tc>
          <w:tcPr>
            <w:tcW w:w="438" w:type="pct"/>
            <w:vAlign w:val="bottom"/>
          </w:tcPr>
          <w:p w:rsidR="00573AD5" w:rsidRPr="0030066D" w:rsidRDefault="00573AD5" w:rsidP="0030066D">
            <w:pPr>
              <w:jc w:val="center"/>
              <w:rPr>
                <w:sz w:val="20"/>
                <w:szCs w:val="20"/>
              </w:rPr>
            </w:pPr>
            <w:bookmarkStart w:id="389" w:name="_Toc413058030"/>
            <w:r w:rsidRPr="0030066D">
              <w:rPr>
                <w:sz w:val="20"/>
                <w:szCs w:val="20"/>
              </w:rPr>
              <w:t>266</w:t>
            </w:r>
            <w:bookmarkEnd w:id="389"/>
          </w:p>
        </w:tc>
        <w:tc>
          <w:tcPr>
            <w:tcW w:w="412" w:type="pct"/>
            <w:vAlign w:val="bottom"/>
          </w:tcPr>
          <w:p w:rsidR="00573AD5" w:rsidRPr="0030066D" w:rsidRDefault="00573AD5" w:rsidP="0030066D">
            <w:pPr>
              <w:jc w:val="center"/>
              <w:rPr>
                <w:sz w:val="20"/>
                <w:szCs w:val="20"/>
              </w:rPr>
            </w:pPr>
            <w:bookmarkStart w:id="390" w:name="_Toc413058031"/>
            <w:r w:rsidRPr="0030066D">
              <w:rPr>
                <w:sz w:val="20"/>
                <w:szCs w:val="20"/>
              </w:rPr>
              <w:t>116</w:t>
            </w:r>
            <w:bookmarkEnd w:id="390"/>
          </w:p>
        </w:tc>
        <w:tc>
          <w:tcPr>
            <w:tcW w:w="282" w:type="pct"/>
          </w:tcPr>
          <w:p w:rsidR="00573AD5" w:rsidRPr="0030066D" w:rsidRDefault="00573AD5" w:rsidP="0030066D">
            <w:pPr>
              <w:jc w:val="center"/>
              <w:rPr>
                <w:sz w:val="20"/>
                <w:szCs w:val="20"/>
              </w:rPr>
            </w:pPr>
            <w:bookmarkStart w:id="391" w:name="_Toc413058032"/>
            <w:r w:rsidRPr="0030066D">
              <w:rPr>
                <w:sz w:val="20"/>
                <w:szCs w:val="20"/>
              </w:rPr>
              <w:t>0,25</w:t>
            </w:r>
            <w:bookmarkEnd w:id="391"/>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392" w:name="_Toc413058033"/>
            <w:r w:rsidRPr="0030066D">
              <w:rPr>
                <w:sz w:val="20"/>
                <w:szCs w:val="20"/>
              </w:rPr>
              <w:t>DS10</w:t>
            </w:r>
            <w:bookmarkEnd w:id="392"/>
          </w:p>
        </w:tc>
        <w:tc>
          <w:tcPr>
            <w:tcW w:w="995" w:type="pct"/>
            <w:vMerge w:val="restart"/>
          </w:tcPr>
          <w:p w:rsidR="00573AD5" w:rsidRPr="0030066D" w:rsidRDefault="00573AD5" w:rsidP="002B7E09">
            <w:pPr>
              <w:rPr>
                <w:sz w:val="20"/>
                <w:szCs w:val="20"/>
              </w:rPr>
            </w:pPr>
            <w:bookmarkStart w:id="393" w:name="_Toc413058034"/>
            <w:r w:rsidRPr="0030066D">
              <w:rPr>
                <w:sz w:val="20"/>
                <w:szCs w:val="20"/>
              </w:rPr>
              <w:t>București - Giurgiu</w:t>
            </w:r>
            <w:bookmarkEnd w:id="393"/>
          </w:p>
        </w:tc>
        <w:tc>
          <w:tcPr>
            <w:tcW w:w="121" w:type="pct"/>
          </w:tcPr>
          <w:p w:rsidR="00573AD5" w:rsidRPr="0030066D" w:rsidRDefault="00573AD5" w:rsidP="0030066D">
            <w:pPr>
              <w:jc w:val="center"/>
              <w:rPr>
                <w:sz w:val="20"/>
                <w:szCs w:val="20"/>
              </w:rPr>
            </w:pPr>
            <w:bookmarkStart w:id="394" w:name="_Toc413058035"/>
            <w:r w:rsidRPr="0030066D">
              <w:rPr>
                <w:sz w:val="20"/>
                <w:szCs w:val="20"/>
              </w:rPr>
              <w:t>R</w:t>
            </w:r>
            <w:bookmarkEnd w:id="394"/>
          </w:p>
        </w:tc>
        <w:tc>
          <w:tcPr>
            <w:tcW w:w="287" w:type="pct"/>
            <w:vAlign w:val="bottom"/>
          </w:tcPr>
          <w:p w:rsidR="00573AD5" w:rsidRPr="0030066D" w:rsidRDefault="00573AD5" w:rsidP="0030066D">
            <w:pPr>
              <w:jc w:val="center"/>
              <w:rPr>
                <w:sz w:val="20"/>
                <w:szCs w:val="20"/>
              </w:rPr>
            </w:pPr>
            <w:bookmarkStart w:id="395" w:name="_Toc413058036"/>
            <w:r w:rsidRPr="0030066D">
              <w:rPr>
                <w:sz w:val="20"/>
                <w:szCs w:val="20"/>
              </w:rPr>
              <w:t>39</w:t>
            </w:r>
            <w:bookmarkEnd w:id="395"/>
          </w:p>
        </w:tc>
        <w:tc>
          <w:tcPr>
            <w:tcW w:w="287" w:type="pct"/>
            <w:vAlign w:val="bottom"/>
          </w:tcPr>
          <w:p w:rsidR="00573AD5" w:rsidRPr="0030066D" w:rsidRDefault="00573AD5" w:rsidP="0030066D">
            <w:pPr>
              <w:jc w:val="center"/>
              <w:rPr>
                <w:sz w:val="20"/>
                <w:szCs w:val="20"/>
              </w:rPr>
            </w:pPr>
            <w:bookmarkStart w:id="396" w:name="_Toc413058037"/>
            <w:r w:rsidRPr="0030066D">
              <w:rPr>
                <w:sz w:val="20"/>
                <w:szCs w:val="20"/>
              </w:rPr>
              <w:t>434</w:t>
            </w:r>
            <w:bookmarkEnd w:id="396"/>
          </w:p>
        </w:tc>
        <w:tc>
          <w:tcPr>
            <w:tcW w:w="607" w:type="pct"/>
            <w:vAlign w:val="bottom"/>
          </w:tcPr>
          <w:p w:rsidR="00573AD5" w:rsidRPr="0030066D" w:rsidRDefault="00573AD5" w:rsidP="0030066D">
            <w:pPr>
              <w:jc w:val="center"/>
              <w:rPr>
                <w:sz w:val="20"/>
                <w:szCs w:val="20"/>
              </w:rPr>
            </w:pPr>
            <w:bookmarkStart w:id="397" w:name="_Toc413058038"/>
            <w:r w:rsidRPr="0030066D">
              <w:rPr>
                <w:sz w:val="20"/>
                <w:szCs w:val="20"/>
              </w:rPr>
              <w:t>0</w:t>
            </w:r>
            <w:bookmarkEnd w:id="397"/>
          </w:p>
        </w:tc>
        <w:tc>
          <w:tcPr>
            <w:tcW w:w="610" w:type="pct"/>
            <w:vAlign w:val="bottom"/>
          </w:tcPr>
          <w:p w:rsidR="00573AD5" w:rsidRPr="0030066D" w:rsidRDefault="00573AD5" w:rsidP="0030066D">
            <w:pPr>
              <w:jc w:val="center"/>
              <w:rPr>
                <w:sz w:val="20"/>
                <w:szCs w:val="20"/>
              </w:rPr>
            </w:pPr>
            <w:bookmarkStart w:id="398" w:name="_Toc413058039"/>
            <w:r w:rsidRPr="0030066D">
              <w:rPr>
                <w:sz w:val="20"/>
                <w:szCs w:val="20"/>
              </w:rPr>
              <w:t>25</w:t>
            </w:r>
            <w:bookmarkEnd w:id="398"/>
          </w:p>
        </w:tc>
        <w:tc>
          <w:tcPr>
            <w:tcW w:w="681" w:type="pct"/>
            <w:vAlign w:val="bottom"/>
          </w:tcPr>
          <w:p w:rsidR="00573AD5" w:rsidRPr="0030066D" w:rsidRDefault="00573AD5" w:rsidP="0030066D">
            <w:pPr>
              <w:jc w:val="center"/>
              <w:rPr>
                <w:sz w:val="20"/>
                <w:szCs w:val="20"/>
              </w:rPr>
            </w:pPr>
            <w:bookmarkStart w:id="399" w:name="_Toc413058040"/>
            <w:r w:rsidRPr="0030066D">
              <w:rPr>
                <w:sz w:val="20"/>
                <w:szCs w:val="20"/>
              </w:rPr>
              <w:t>14</w:t>
            </w:r>
            <w:bookmarkEnd w:id="399"/>
          </w:p>
        </w:tc>
        <w:tc>
          <w:tcPr>
            <w:tcW w:w="438" w:type="pct"/>
            <w:vAlign w:val="bottom"/>
          </w:tcPr>
          <w:p w:rsidR="00573AD5" w:rsidRPr="0030066D" w:rsidRDefault="00573AD5" w:rsidP="0030066D">
            <w:pPr>
              <w:jc w:val="center"/>
              <w:rPr>
                <w:sz w:val="20"/>
                <w:szCs w:val="20"/>
              </w:rPr>
            </w:pPr>
            <w:bookmarkStart w:id="400" w:name="_Toc413058041"/>
            <w:r w:rsidRPr="0030066D">
              <w:rPr>
                <w:sz w:val="20"/>
                <w:szCs w:val="20"/>
              </w:rPr>
              <w:t>399</w:t>
            </w:r>
            <w:bookmarkEnd w:id="400"/>
          </w:p>
        </w:tc>
        <w:tc>
          <w:tcPr>
            <w:tcW w:w="412" w:type="pct"/>
            <w:vAlign w:val="bottom"/>
          </w:tcPr>
          <w:p w:rsidR="00573AD5" w:rsidRPr="0030066D" w:rsidRDefault="00573AD5" w:rsidP="0030066D">
            <w:pPr>
              <w:jc w:val="center"/>
              <w:rPr>
                <w:sz w:val="20"/>
                <w:szCs w:val="20"/>
              </w:rPr>
            </w:pPr>
            <w:bookmarkStart w:id="401" w:name="_Toc413058042"/>
            <w:r w:rsidRPr="0030066D">
              <w:rPr>
                <w:sz w:val="20"/>
                <w:szCs w:val="20"/>
              </w:rPr>
              <w:t>35</w:t>
            </w:r>
            <w:bookmarkEnd w:id="401"/>
          </w:p>
        </w:tc>
        <w:tc>
          <w:tcPr>
            <w:tcW w:w="282" w:type="pct"/>
          </w:tcPr>
          <w:p w:rsidR="00573AD5" w:rsidRPr="0030066D" w:rsidRDefault="00573AD5" w:rsidP="0030066D">
            <w:pPr>
              <w:jc w:val="center"/>
              <w:rPr>
                <w:sz w:val="20"/>
                <w:szCs w:val="20"/>
              </w:rPr>
            </w:pPr>
            <w:bookmarkStart w:id="402" w:name="_Toc413058043"/>
            <w:r w:rsidRPr="0030066D">
              <w:rPr>
                <w:sz w:val="20"/>
                <w:szCs w:val="20"/>
              </w:rPr>
              <w:t>11,18</w:t>
            </w:r>
            <w:bookmarkEnd w:id="402"/>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403" w:name="_Toc413058044"/>
            <w:r w:rsidRPr="0030066D">
              <w:rPr>
                <w:sz w:val="20"/>
                <w:szCs w:val="20"/>
              </w:rPr>
              <w:t>A</w:t>
            </w:r>
            <w:bookmarkEnd w:id="403"/>
          </w:p>
        </w:tc>
        <w:tc>
          <w:tcPr>
            <w:tcW w:w="287" w:type="pct"/>
            <w:vAlign w:val="bottom"/>
          </w:tcPr>
          <w:p w:rsidR="00573AD5" w:rsidRPr="0030066D" w:rsidRDefault="00573AD5" w:rsidP="0030066D">
            <w:pPr>
              <w:jc w:val="center"/>
              <w:rPr>
                <w:sz w:val="20"/>
                <w:szCs w:val="20"/>
              </w:rPr>
            </w:pPr>
            <w:bookmarkStart w:id="404" w:name="_Toc413058045"/>
            <w:r w:rsidRPr="0030066D">
              <w:rPr>
                <w:sz w:val="20"/>
                <w:szCs w:val="20"/>
              </w:rPr>
              <w:t>105</w:t>
            </w:r>
            <w:bookmarkEnd w:id="404"/>
          </w:p>
        </w:tc>
        <w:tc>
          <w:tcPr>
            <w:tcW w:w="287" w:type="pct"/>
            <w:vAlign w:val="bottom"/>
          </w:tcPr>
          <w:p w:rsidR="00573AD5" w:rsidRPr="0030066D" w:rsidRDefault="00573AD5" w:rsidP="0030066D">
            <w:pPr>
              <w:jc w:val="center"/>
              <w:rPr>
                <w:sz w:val="20"/>
                <w:szCs w:val="20"/>
              </w:rPr>
            </w:pPr>
            <w:bookmarkStart w:id="405" w:name="_Toc413058046"/>
            <w:r w:rsidRPr="0030066D">
              <w:rPr>
                <w:sz w:val="20"/>
                <w:szCs w:val="20"/>
              </w:rPr>
              <w:t>440</w:t>
            </w:r>
            <w:bookmarkEnd w:id="405"/>
          </w:p>
        </w:tc>
        <w:tc>
          <w:tcPr>
            <w:tcW w:w="607" w:type="pct"/>
            <w:vAlign w:val="bottom"/>
          </w:tcPr>
          <w:p w:rsidR="00573AD5" w:rsidRPr="0030066D" w:rsidRDefault="00573AD5" w:rsidP="0030066D">
            <w:pPr>
              <w:jc w:val="center"/>
              <w:rPr>
                <w:sz w:val="20"/>
                <w:szCs w:val="20"/>
              </w:rPr>
            </w:pPr>
            <w:bookmarkStart w:id="406" w:name="_Toc413058047"/>
            <w:r w:rsidRPr="0030066D">
              <w:rPr>
                <w:sz w:val="20"/>
                <w:szCs w:val="20"/>
              </w:rPr>
              <w:t>105</w:t>
            </w:r>
            <w:bookmarkEnd w:id="406"/>
          </w:p>
        </w:tc>
        <w:tc>
          <w:tcPr>
            <w:tcW w:w="610" w:type="pct"/>
            <w:vAlign w:val="bottom"/>
          </w:tcPr>
          <w:p w:rsidR="00573AD5" w:rsidRPr="0030066D" w:rsidRDefault="00573AD5" w:rsidP="0030066D">
            <w:pPr>
              <w:jc w:val="center"/>
              <w:rPr>
                <w:sz w:val="20"/>
                <w:szCs w:val="20"/>
              </w:rPr>
            </w:pPr>
            <w:bookmarkStart w:id="407" w:name="_Toc413058048"/>
            <w:r w:rsidRPr="0030066D">
              <w:rPr>
                <w:sz w:val="20"/>
                <w:szCs w:val="20"/>
              </w:rPr>
              <w:t>25</w:t>
            </w:r>
            <w:bookmarkEnd w:id="407"/>
          </w:p>
        </w:tc>
        <w:tc>
          <w:tcPr>
            <w:tcW w:w="681" w:type="pct"/>
            <w:vAlign w:val="bottom"/>
          </w:tcPr>
          <w:p w:rsidR="00573AD5" w:rsidRPr="0030066D" w:rsidRDefault="00573AD5" w:rsidP="0030066D">
            <w:pPr>
              <w:jc w:val="center"/>
              <w:rPr>
                <w:sz w:val="20"/>
                <w:szCs w:val="20"/>
              </w:rPr>
            </w:pPr>
            <w:bookmarkStart w:id="408" w:name="_Toc413058049"/>
            <w:r w:rsidRPr="0030066D">
              <w:rPr>
                <w:sz w:val="20"/>
                <w:szCs w:val="20"/>
              </w:rPr>
              <w:t>25</w:t>
            </w:r>
            <w:bookmarkEnd w:id="408"/>
          </w:p>
        </w:tc>
        <w:tc>
          <w:tcPr>
            <w:tcW w:w="438" w:type="pct"/>
            <w:vAlign w:val="bottom"/>
          </w:tcPr>
          <w:p w:rsidR="00573AD5" w:rsidRPr="0030066D" w:rsidRDefault="00573AD5" w:rsidP="0030066D">
            <w:pPr>
              <w:jc w:val="center"/>
              <w:rPr>
                <w:sz w:val="20"/>
                <w:szCs w:val="20"/>
              </w:rPr>
            </w:pPr>
            <w:bookmarkStart w:id="409" w:name="_Toc413058050"/>
            <w:r w:rsidRPr="0030066D">
              <w:rPr>
                <w:sz w:val="20"/>
                <w:szCs w:val="20"/>
              </w:rPr>
              <w:t>437</w:t>
            </w:r>
            <w:bookmarkEnd w:id="409"/>
          </w:p>
        </w:tc>
        <w:tc>
          <w:tcPr>
            <w:tcW w:w="412" w:type="pct"/>
            <w:vAlign w:val="bottom"/>
          </w:tcPr>
          <w:p w:rsidR="00573AD5" w:rsidRPr="0030066D" w:rsidRDefault="00573AD5" w:rsidP="0030066D">
            <w:pPr>
              <w:jc w:val="center"/>
              <w:rPr>
                <w:sz w:val="20"/>
                <w:szCs w:val="20"/>
              </w:rPr>
            </w:pPr>
            <w:bookmarkStart w:id="410" w:name="_Toc413058051"/>
            <w:r w:rsidRPr="0030066D">
              <w:rPr>
                <w:sz w:val="20"/>
                <w:szCs w:val="20"/>
              </w:rPr>
              <w:t>52</w:t>
            </w:r>
            <w:bookmarkEnd w:id="410"/>
          </w:p>
        </w:tc>
        <w:tc>
          <w:tcPr>
            <w:tcW w:w="282" w:type="pct"/>
          </w:tcPr>
          <w:p w:rsidR="00573AD5" w:rsidRPr="0030066D" w:rsidRDefault="00573AD5" w:rsidP="0030066D">
            <w:pPr>
              <w:jc w:val="center"/>
              <w:rPr>
                <w:sz w:val="20"/>
                <w:szCs w:val="20"/>
              </w:rPr>
            </w:pPr>
            <w:bookmarkStart w:id="411" w:name="_Toc413058052"/>
            <w:r w:rsidRPr="0030066D">
              <w:rPr>
                <w:sz w:val="20"/>
                <w:szCs w:val="20"/>
              </w:rPr>
              <w:t>4,20</w:t>
            </w:r>
            <w:bookmarkEnd w:id="411"/>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412" w:name="_Toc413058053"/>
            <w:r w:rsidRPr="0030066D">
              <w:rPr>
                <w:sz w:val="20"/>
                <w:szCs w:val="20"/>
              </w:rPr>
              <w:t>B</w:t>
            </w:r>
            <w:bookmarkEnd w:id="412"/>
          </w:p>
        </w:tc>
        <w:tc>
          <w:tcPr>
            <w:tcW w:w="287" w:type="pct"/>
            <w:vAlign w:val="bottom"/>
          </w:tcPr>
          <w:p w:rsidR="00573AD5" w:rsidRPr="0030066D" w:rsidRDefault="00573AD5" w:rsidP="0030066D">
            <w:pPr>
              <w:jc w:val="center"/>
              <w:rPr>
                <w:sz w:val="20"/>
                <w:szCs w:val="20"/>
              </w:rPr>
            </w:pPr>
            <w:bookmarkStart w:id="413" w:name="_Toc413058054"/>
            <w:r w:rsidRPr="0030066D">
              <w:rPr>
                <w:sz w:val="20"/>
                <w:szCs w:val="20"/>
              </w:rPr>
              <w:t>207</w:t>
            </w:r>
            <w:bookmarkEnd w:id="413"/>
          </w:p>
        </w:tc>
        <w:tc>
          <w:tcPr>
            <w:tcW w:w="287" w:type="pct"/>
            <w:vAlign w:val="bottom"/>
          </w:tcPr>
          <w:p w:rsidR="00573AD5" w:rsidRPr="0030066D" w:rsidRDefault="00573AD5" w:rsidP="0030066D">
            <w:pPr>
              <w:jc w:val="center"/>
              <w:rPr>
                <w:sz w:val="20"/>
                <w:szCs w:val="20"/>
              </w:rPr>
            </w:pPr>
            <w:bookmarkStart w:id="414" w:name="_Toc413058055"/>
            <w:r w:rsidRPr="0030066D">
              <w:rPr>
                <w:sz w:val="20"/>
                <w:szCs w:val="20"/>
              </w:rPr>
              <w:t>553</w:t>
            </w:r>
            <w:bookmarkEnd w:id="414"/>
          </w:p>
        </w:tc>
        <w:tc>
          <w:tcPr>
            <w:tcW w:w="607" w:type="pct"/>
            <w:vAlign w:val="bottom"/>
          </w:tcPr>
          <w:p w:rsidR="00573AD5" w:rsidRPr="0030066D" w:rsidRDefault="00573AD5" w:rsidP="0030066D">
            <w:pPr>
              <w:jc w:val="center"/>
              <w:rPr>
                <w:sz w:val="20"/>
                <w:szCs w:val="20"/>
              </w:rPr>
            </w:pPr>
            <w:bookmarkStart w:id="415" w:name="_Toc413058056"/>
            <w:r w:rsidRPr="0030066D">
              <w:rPr>
                <w:sz w:val="20"/>
                <w:szCs w:val="20"/>
              </w:rPr>
              <w:t>207</w:t>
            </w:r>
            <w:bookmarkEnd w:id="415"/>
          </w:p>
        </w:tc>
        <w:tc>
          <w:tcPr>
            <w:tcW w:w="610" w:type="pct"/>
            <w:vAlign w:val="bottom"/>
          </w:tcPr>
          <w:p w:rsidR="00573AD5" w:rsidRPr="0030066D" w:rsidRDefault="00573AD5" w:rsidP="0030066D">
            <w:pPr>
              <w:jc w:val="center"/>
              <w:rPr>
                <w:sz w:val="20"/>
                <w:szCs w:val="20"/>
              </w:rPr>
            </w:pPr>
            <w:bookmarkStart w:id="416" w:name="_Toc413058057"/>
            <w:r w:rsidRPr="0030066D">
              <w:rPr>
                <w:sz w:val="20"/>
                <w:szCs w:val="20"/>
              </w:rPr>
              <w:t>26</w:t>
            </w:r>
            <w:bookmarkEnd w:id="416"/>
          </w:p>
        </w:tc>
        <w:tc>
          <w:tcPr>
            <w:tcW w:w="681" w:type="pct"/>
            <w:vAlign w:val="bottom"/>
          </w:tcPr>
          <w:p w:rsidR="00573AD5" w:rsidRPr="0030066D" w:rsidRDefault="00573AD5" w:rsidP="0030066D">
            <w:pPr>
              <w:jc w:val="center"/>
              <w:rPr>
                <w:sz w:val="20"/>
                <w:szCs w:val="20"/>
              </w:rPr>
            </w:pPr>
            <w:bookmarkStart w:id="417" w:name="_Toc413058058"/>
            <w:r w:rsidRPr="0030066D">
              <w:rPr>
                <w:sz w:val="20"/>
                <w:szCs w:val="20"/>
              </w:rPr>
              <w:t>25</w:t>
            </w:r>
            <w:bookmarkEnd w:id="417"/>
          </w:p>
        </w:tc>
        <w:tc>
          <w:tcPr>
            <w:tcW w:w="438" w:type="pct"/>
            <w:vAlign w:val="bottom"/>
          </w:tcPr>
          <w:p w:rsidR="00573AD5" w:rsidRPr="0030066D" w:rsidRDefault="00573AD5" w:rsidP="0030066D">
            <w:pPr>
              <w:jc w:val="center"/>
              <w:rPr>
                <w:sz w:val="20"/>
                <w:szCs w:val="20"/>
              </w:rPr>
            </w:pPr>
            <w:bookmarkStart w:id="418" w:name="_Toc413058059"/>
            <w:r w:rsidRPr="0030066D">
              <w:rPr>
                <w:sz w:val="20"/>
                <w:szCs w:val="20"/>
              </w:rPr>
              <w:t>445</w:t>
            </w:r>
            <w:bookmarkEnd w:id="418"/>
          </w:p>
        </w:tc>
        <w:tc>
          <w:tcPr>
            <w:tcW w:w="412" w:type="pct"/>
            <w:vAlign w:val="bottom"/>
          </w:tcPr>
          <w:p w:rsidR="00573AD5" w:rsidRPr="0030066D" w:rsidRDefault="00573AD5" w:rsidP="0030066D">
            <w:pPr>
              <w:jc w:val="center"/>
              <w:rPr>
                <w:sz w:val="20"/>
                <w:szCs w:val="20"/>
              </w:rPr>
            </w:pPr>
            <w:bookmarkStart w:id="419" w:name="_Toc413058060"/>
            <w:r w:rsidRPr="0030066D">
              <w:rPr>
                <w:sz w:val="20"/>
                <w:szCs w:val="20"/>
              </w:rPr>
              <w:t>160</w:t>
            </w:r>
            <w:bookmarkEnd w:id="419"/>
          </w:p>
        </w:tc>
        <w:tc>
          <w:tcPr>
            <w:tcW w:w="282" w:type="pct"/>
          </w:tcPr>
          <w:p w:rsidR="00573AD5" w:rsidRPr="0030066D" w:rsidRDefault="00573AD5" w:rsidP="0030066D">
            <w:pPr>
              <w:jc w:val="center"/>
              <w:rPr>
                <w:sz w:val="20"/>
                <w:szCs w:val="20"/>
              </w:rPr>
            </w:pPr>
            <w:bookmarkStart w:id="420" w:name="_Toc413058061"/>
            <w:r w:rsidRPr="0030066D">
              <w:rPr>
                <w:sz w:val="20"/>
                <w:szCs w:val="20"/>
              </w:rPr>
              <w:t>2,68</w:t>
            </w:r>
            <w:bookmarkEnd w:id="420"/>
          </w:p>
        </w:tc>
      </w:tr>
      <w:tr w:rsidR="0030066D" w:rsidRPr="0030066D" w:rsidTr="002B7E09">
        <w:trPr>
          <w:trHeight w:val="170"/>
          <w:jc w:val="center"/>
        </w:trPr>
        <w:tc>
          <w:tcPr>
            <w:tcW w:w="279" w:type="pct"/>
            <w:gridSpan w:val="2"/>
            <w:vMerge w:val="restart"/>
            <w:vAlign w:val="center"/>
          </w:tcPr>
          <w:p w:rsidR="00573AD5" w:rsidRPr="0030066D" w:rsidRDefault="00573AD5" w:rsidP="002B7E09">
            <w:pPr>
              <w:rPr>
                <w:sz w:val="20"/>
                <w:szCs w:val="20"/>
              </w:rPr>
            </w:pPr>
            <w:bookmarkStart w:id="421" w:name="_Toc413058062"/>
            <w:r w:rsidRPr="0030066D">
              <w:rPr>
                <w:sz w:val="20"/>
                <w:szCs w:val="20"/>
              </w:rPr>
              <w:t>DS11</w:t>
            </w:r>
            <w:bookmarkEnd w:id="421"/>
          </w:p>
        </w:tc>
        <w:tc>
          <w:tcPr>
            <w:tcW w:w="995" w:type="pct"/>
            <w:vMerge w:val="restart"/>
          </w:tcPr>
          <w:p w:rsidR="00573AD5" w:rsidRPr="0030066D" w:rsidRDefault="00573AD5" w:rsidP="002B7E09">
            <w:pPr>
              <w:rPr>
                <w:sz w:val="20"/>
                <w:szCs w:val="20"/>
              </w:rPr>
            </w:pPr>
            <w:bookmarkStart w:id="422" w:name="_Toc413058063"/>
            <w:r w:rsidRPr="0030066D">
              <w:rPr>
                <w:sz w:val="20"/>
                <w:szCs w:val="20"/>
              </w:rPr>
              <w:t>Craoiva - Calafat</w:t>
            </w:r>
            <w:bookmarkEnd w:id="422"/>
          </w:p>
        </w:tc>
        <w:tc>
          <w:tcPr>
            <w:tcW w:w="121" w:type="pct"/>
          </w:tcPr>
          <w:p w:rsidR="00573AD5" w:rsidRPr="0030066D" w:rsidRDefault="00573AD5" w:rsidP="0030066D">
            <w:pPr>
              <w:jc w:val="center"/>
              <w:rPr>
                <w:sz w:val="20"/>
                <w:szCs w:val="20"/>
              </w:rPr>
            </w:pPr>
            <w:bookmarkStart w:id="423" w:name="_Toc413058064"/>
            <w:r w:rsidRPr="0030066D">
              <w:rPr>
                <w:sz w:val="20"/>
                <w:szCs w:val="20"/>
              </w:rPr>
              <w:t>R</w:t>
            </w:r>
            <w:bookmarkEnd w:id="423"/>
          </w:p>
        </w:tc>
        <w:tc>
          <w:tcPr>
            <w:tcW w:w="287" w:type="pct"/>
            <w:vAlign w:val="bottom"/>
          </w:tcPr>
          <w:p w:rsidR="00573AD5" w:rsidRPr="0030066D" w:rsidRDefault="00573AD5" w:rsidP="0030066D">
            <w:pPr>
              <w:jc w:val="center"/>
              <w:rPr>
                <w:sz w:val="20"/>
                <w:szCs w:val="20"/>
              </w:rPr>
            </w:pPr>
            <w:bookmarkStart w:id="424" w:name="_Toc413058065"/>
            <w:r w:rsidRPr="0030066D">
              <w:rPr>
                <w:sz w:val="20"/>
                <w:szCs w:val="20"/>
              </w:rPr>
              <w:t>13</w:t>
            </w:r>
            <w:bookmarkEnd w:id="424"/>
          </w:p>
        </w:tc>
        <w:tc>
          <w:tcPr>
            <w:tcW w:w="287" w:type="pct"/>
            <w:vAlign w:val="bottom"/>
          </w:tcPr>
          <w:p w:rsidR="00573AD5" w:rsidRPr="0030066D" w:rsidRDefault="00573AD5" w:rsidP="0030066D">
            <w:pPr>
              <w:jc w:val="center"/>
              <w:rPr>
                <w:sz w:val="20"/>
                <w:szCs w:val="20"/>
              </w:rPr>
            </w:pPr>
            <w:bookmarkStart w:id="425" w:name="_Toc413058066"/>
            <w:r w:rsidRPr="0030066D">
              <w:rPr>
                <w:sz w:val="20"/>
                <w:szCs w:val="20"/>
              </w:rPr>
              <w:t>46</w:t>
            </w:r>
            <w:bookmarkEnd w:id="425"/>
          </w:p>
        </w:tc>
        <w:tc>
          <w:tcPr>
            <w:tcW w:w="607" w:type="pct"/>
            <w:vAlign w:val="bottom"/>
          </w:tcPr>
          <w:p w:rsidR="00573AD5" w:rsidRPr="0030066D" w:rsidRDefault="00573AD5" w:rsidP="0030066D">
            <w:pPr>
              <w:jc w:val="center"/>
              <w:rPr>
                <w:sz w:val="20"/>
                <w:szCs w:val="20"/>
              </w:rPr>
            </w:pPr>
            <w:bookmarkStart w:id="426" w:name="_Toc413058067"/>
            <w:r w:rsidRPr="0030066D">
              <w:rPr>
                <w:sz w:val="20"/>
                <w:szCs w:val="20"/>
              </w:rPr>
              <w:t>1</w:t>
            </w:r>
            <w:bookmarkEnd w:id="426"/>
          </w:p>
        </w:tc>
        <w:tc>
          <w:tcPr>
            <w:tcW w:w="610" w:type="pct"/>
            <w:vAlign w:val="bottom"/>
          </w:tcPr>
          <w:p w:rsidR="00573AD5" w:rsidRPr="0030066D" w:rsidRDefault="00573AD5" w:rsidP="0030066D">
            <w:pPr>
              <w:jc w:val="center"/>
              <w:rPr>
                <w:sz w:val="20"/>
                <w:szCs w:val="20"/>
              </w:rPr>
            </w:pPr>
            <w:bookmarkStart w:id="427" w:name="_Toc413058068"/>
            <w:r w:rsidRPr="0030066D">
              <w:rPr>
                <w:sz w:val="20"/>
                <w:szCs w:val="20"/>
              </w:rPr>
              <w:t>11</w:t>
            </w:r>
            <w:bookmarkEnd w:id="427"/>
          </w:p>
        </w:tc>
        <w:tc>
          <w:tcPr>
            <w:tcW w:w="681" w:type="pct"/>
            <w:vAlign w:val="bottom"/>
          </w:tcPr>
          <w:p w:rsidR="00573AD5" w:rsidRPr="0030066D" w:rsidRDefault="00573AD5" w:rsidP="0030066D">
            <w:pPr>
              <w:jc w:val="center"/>
              <w:rPr>
                <w:sz w:val="20"/>
                <w:szCs w:val="20"/>
              </w:rPr>
            </w:pPr>
            <w:bookmarkStart w:id="428" w:name="_Toc413058069"/>
            <w:r w:rsidRPr="0030066D">
              <w:rPr>
                <w:sz w:val="20"/>
                <w:szCs w:val="20"/>
              </w:rPr>
              <w:t>1</w:t>
            </w:r>
            <w:bookmarkEnd w:id="428"/>
          </w:p>
        </w:tc>
        <w:tc>
          <w:tcPr>
            <w:tcW w:w="438" w:type="pct"/>
            <w:vAlign w:val="bottom"/>
          </w:tcPr>
          <w:p w:rsidR="00573AD5" w:rsidRPr="0030066D" w:rsidRDefault="00573AD5" w:rsidP="0030066D">
            <w:pPr>
              <w:jc w:val="center"/>
              <w:rPr>
                <w:sz w:val="20"/>
                <w:szCs w:val="20"/>
              </w:rPr>
            </w:pPr>
            <w:bookmarkStart w:id="429" w:name="_Toc413058070"/>
            <w:r w:rsidRPr="0030066D">
              <w:rPr>
                <w:sz w:val="20"/>
                <w:szCs w:val="20"/>
              </w:rPr>
              <w:t>37</w:t>
            </w:r>
            <w:bookmarkEnd w:id="429"/>
          </w:p>
        </w:tc>
        <w:tc>
          <w:tcPr>
            <w:tcW w:w="412" w:type="pct"/>
            <w:vAlign w:val="bottom"/>
          </w:tcPr>
          <w:p w:rsidR="00573AD5" w:rsidRPr="0030066D" w:rsidRDefault="00573AD5" w:rsidP="0030066D">
            <w:pPr>
              <w:jc w:val="center"/>
              <w:rPr>
                <w:sz w:val="20"/>
                <w:szCs w:val="20"/>
              </w:rPr>
            </w:pPr>
            <w:bookmarkStart w:id="430" w:name="_Toc413058071"/>
            <w:r w:rsidRPr="0030066D">
              <w:rPr>
                <w:sz w:val="20"/>
                <w:szCs w:val="20"/>
              </w:rPr>
              <w:t>9</w:t>
            </w:r>
            <w:bookmarkEnd w:id="430"/>
          </w:p>
        </w:tc>
        <w:tc>
          <w:tcPr>
            <w:tcW w:w="282" w:type="pct"/>
          </w:tcPr>
          <w:p w:rsidR="00573AD5" w:rsidRPr="0030066D" w:rsidRDefault="00573AD5" w:rsidP="0030066D">
            <w:pPr>
              <w:jc w:val="center"/>
              <w:rPr>
                <w:sz w:val="20"/>
                <w:szCs w:val="20"/>
              </w:rPr>
            </w:pPr>
            <w:bookmarkStart w:id="431" w:name="_Toc413058072"/>
            <w:r w:rsidRPr="0030066D">
              <w:rPr>
                <w:sz w:val="20"/>
                <w:szCs w:val="20"/>
              </w:rPr>
              <w:t>3,65</w:t>
            </w:r>
            <w:bookmarkEnd w:id="431"/>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432" w:name="_Toc413058073"/>
            <w:r w:rsidRPr="0030066D">
              <w:rPr>
                <w:sz w:val="20"/>
                <w:szCs w:val="20"/>
              </w:rPr>
              <w:t>A</w:t>
            </w:r>
            <w:bookmarkEnd w:id="432"/>
          </w:p>
        </w:tc>
        <w:tc>
          <w:tcPr>
            <w:tcW w:w="287" w:type="pct"/>
            <w:vAlign w:val="bottom"/>
          </w:tcPr>
          <w:p w:rsidR="00573AD5" w:rsidRPr="0030066D" w:rsidRDefault="00573AD5" w:rsidP="0030066D">
            <w:pPr>
              <w:jc w:val="center"/>
              <w:rPr>
                <w:sz w:val="20"/>
                <w:szCs w:val="20"/>
              </w:rPr>
            </w:pPr>
            <w:bookmarkStart w:id="433" w:name="_Toc413058074"/>
            <w:r w:rsidRPr="0030066D">
              <w:rPr>
                <w:sz w:val="20"/>
                <w:szCs w:val="20"/>
              </w:rPr>
              <w:t>123</w:t>
            </w:r>
            <w:bookmarkEnd w:id="433"/>
          </w:p>
        </w:tc>
        <w:tc>
          <w:tcPr>
            <w:tcW w:w="287" w:type="pct"/>
            <w:vAlign w:val="bottom"/>
          </w:tcPr>
          <w:p w:rsidR="00573AD5" w:rsidRPr="0030066D" w:rsidRDefault="00573AD5" w:rsidP="0030066D">
            <w:pPr>
              <w:jc w:val="center"/>
              <w:rPr>
                <w:sz w:val="20"/>
                <w:szCs w:val="20"/>
              </w:rPr>
            </w:pPr>
            <w:bookmarkStart w:id="434" w:name="_Toc413058075"/>
            <w:r w:rsidRPr="0030066D">
              <w:rPr>
                <w:sz w:val="20"/>
                <w:szCs w:val="20"/>
              </w:rPr>
              <w:t>111</w:t>
            </w:r>
            <w:bookmarkEnd w:id="434"/>
          </w:p>
        </w:tc>
        <w:tc>
          <w:tcPr>
            <w:tcW w:w="607" w:type="pct"/>
            <w:vAlign w:val="bottom"/>
          </w:tcPr>
          <w:p w:rsidR="00573AD5" w:rsidRPr="0030066D" w:rsidRDefault="00573AD5" w:rsidP="0030066D">
            <w:pPr>
              <w:jc w:val="center"/>
              <w:rPr>
                <w:sz w:val="20"/>
                <w:szCs w:val="20"/>
              </w:rPr>
            </w:pPr>
            <w:bookmarkStart w:id="435" w:name="_Toc413058076"/>
            <w:r w:rsidRPr="0030066D">
              <w:rPr>
                <w:sz w:val="20"/>
                <w:szCs w:val="20"/>
              </w:rPr>
              <w:t>123</w:t>
            </w:r>
            <w:bookmarkEnd w:id="435"/>
          </w:p>
        </w:tc>
        <w:tc>
          <w:tcPr>
            <w:tcW w:w="610" w:type="pct"/>
            <w:vAlign w:val="bottom"/>
          </w:tcPr>
          <w:p w:rsidR="00573AD5" w:rsidRPr="0030066D" w:rsidRDefault="00573AD5" w:rsidP="0030066D">
            <w:pPr>
              <w:jc w:val="center"/>
              <w:rPr>
                <w:sz w:val="20"/>
                <w:szCs w:val="20"/>
              </w:rPr>
            </w:pPr>
            <w:bookmarkStart w:id="436" w:name="_Toc413058077"/>
            <w:r w:rsidRPr="0030066D">
              <w:rPr>
                <w:sz w:val="20"/>
                <w:szCs w:val="20"/>
              </w:rPr>
              <w:t>11</w:t>
            </w:r>
            <w:bookmarkEnd w:id="436"/>
          </w:p>
        </w:tc>
        <w:tc>
          <w:tcPr>
            <w:tcW w:w="681" w:type="pct"/>
            <w:vAlign w:val="bottom"/>
          </w:tcPr>
          <w:p w:rsidR="00573AD5" w:rsidRPr="0030066D" w:rsidRDefault="00573AD5" w:rsidP="0030066D">
            <w:pPr>
              <w:jc w:val="center"/>
              <w:rPr>
                <w:sz w:val="20"/>
                <w:szCs w:val="20"/>
              </w:rPr>
            </w:pPr>
            <w:bookmarkStart w:id="437" w:name="_Toc413058078"/>
            <w:r w:rsidRPr="0030066D">
              <w:rPr>
                <w:sz w:val="20"/>
                <w:szCs w:val="20"/>
              </w:rPr>
              <w:t>14</w:t>
            </w:r>
            <w:bookmarkEnd w:id="437"/>
          </w:p>
        </w:tc>
        <w:tc>
          <w:tcPr>
            <w:tcW w:w="438" w:type="pct"/>
            <w:vAlign w:val="bottom"/>
          </w:tcPr>
          <w:p w:rsidR="00573AD5" w:rsidRPr="0030066D" w:rsidRDefault="00573AD5" w:rsidP="0030066D">
            <w:pPr>
              <w:jc w:val="center"/>
              <w:rPr>
                <w:sz w:val="20"/>
                <w:szCs w:val="20"/>
              </w:rPr>
            </w:pPr>
            <w:bookmarkStart w:id="438" w:name="_Toc413058079"/>
            <w:r w:rsidRPr="0030066D">
              <w:rPr>
                <w:sz w:val="20"/>
                <w:szCs w:val="20"/>
              </w:rPr>
              <w:t>115</w:t>
            </w:r>
            <w:bookmarkEnd w:id="438"/>
          </w:p>
        </w:tc>
        <w:tc>
          <w:tcPr>
            <w:tcW w:w="412" w:type="pct"/>
            <w:vAlign w:val="bottom"/>
          </w:tcPr>
          <w:p w:rsidR="00573AD5" w:rsidRPr="0030066D" w:rsidRDefault="00573AD5" w:rsidP="0030066D">
            <w:pPr>
              <w:jc w:val="center"/>
              <w:rPr>
                <w:sz w:val="20"/>
                <w:szCs w:val="20"/>
              </w:rPr>
            </w:pPr>
            <w:bookmarkStart w:id="439" w:name="_Toc413058080"/>
            <w:r w:rsidRPr="0030066D">
              <w:rPr>
                <w:sz w:val="20"/>
                <w:szCs w:val="20"/>
              </w:rPr>
              <w:t>22</w:t>
            </w:r>
            <w:bookmarkEnd w:id="439"/>
          </w:p>
        </w:tc>
        <w:tc>
          <w:tcPr>
            <w:tcW w:w="282" w:type="pct"/>
          </w:tcPr>
          <w:p w:rsidR="00573AD5" w:rsidRPr="0030066D" w:rsidRDefault="00573AD5" w:rsidP="0030066D">
            <w:pPr>
              <w:jc w:val="center"/>
              <w:rPr>
                <w:sz w:val="20"/>
                <w:szCs w:val="20"/>
              </w:rPr>
            </w:pPr>
            <w:bookmarkStart w:id="440" w:name="_Toc413058081"/>
            <w:r w:rsidRPr="0030066D">
              <w:rPr>
                <w:sz w:val="20"/>
                <w:szCs w:val="20"/>
              </w:rPr>
              <w:t>0,91</w:t>
            </w:r>
            <w:bookmarkEnd w:id="440"/>
          </w:p>
        </w:tc>
      </w:tr>
      <w:tr w:rsidR="0030066D" w:rsidRPr="0030066D" w:rsidTr="002B7E09">
        <w:trPr>
          <w:trHeight w:val="170"/>
          <w:jc w:val="center"/>
        </w:trPr>
        <w:tc>
          <w:tcPr>
            <w:tcW w:w="279" w:type="pct"/>
            <w:gridSpan w:val="2"/>
            <w:vMerge/>
            <w:vAlign w:val="center"/>
          </w:tcPr>
          <w:p w:rsidR="00573AD5" w:rsidRPr="0030066D" w:rsidRDefault="00573AD5" w:rsidP="002B7E09">
            <w:pPr>
              <w:rPr>
                <w:sz w:val="20"/>
                <w:szCs w:val="20"/>
              </w:rPr>
            </w:pPr>
          </w:p>
        </w:tc>
        <w:tc>
          <w:tcPr>
            <w:tcW w:w="995" w:type="pct"/>
            <w:vMerge/>
          </w:tcPr>
          <w:p w:rsidR="00573AD5" w:rsidRPr="0030066D" w:rsidRDefault="00573AD5" w:rsidP="002B7E09">
            <w:pPr>
              <w:rPr>
                <w:sz w:val="20"/>
                <w:szCs w:val="20"/>
              </w:rPr>
            </w:pPr>
          </w:p>
        </w:tc>
        <w:tc>
          <w:tcPr>
            <w:tcW w:w="121" w:type="pct"/>
          </w:tcPr>
          <w:p w:rsidR="00573AD5" w:rsidRPr="0030066D" w:rsidRDefault="00573AD5" w:rsidP="0030066D">
            <w:pPr>
              <w:jc w:val="center"/>
              <w:rPr>
                <w:sz w:val="20"/>
                <w:szCs w:val="20"/>
              </w:rPr>
            </w:pPr>
            <w:bookmarkStart w:id="441" w:name="_Toc413058082"/>
            <w:r w:rsidRPr="0030066D">
              <w:rPr>
                <w:sz w:val="20"/>
                <w:szCs w:val="20"/>
              </w:rPr>
              <w:t>B</w:t>
            </w:r>
            <w:bookmarkEnd w:id="441"/>
          </w:p>
        </w:tc>
        <w:tc>
          <w:tcPr>
            <w:tcW w:w="287" w:type="pct"/>
            <w:vAlign w:val="bottom"/>
          </w:tcPr>
          <w:p w:rsidR="00573AD5" w:rsidRPr="0030066D" w:rsidRDefault="00573AD5" w:rsidP="0030066D">
            <w:pPr>
              <w:jc w:val="center"/>
              <w:rPr>
                <w:sz w:val="20"/>
                <w:szCs w:val="20"/>
              </w:rPr>
            </w:pPr>
            <w:bookmarkStart w:id="442" w:name="_Toc413058083"/>
            <w:r w:rsidRPr="0030066D">
              <w:rPr>
                <w:sz w:val="20"/>
                <w:szCs w:val="20"/>
              </w:rPr>
              <w:t>252</w:t>
            </w:r>
            <w:bookmarkEnd w:id="442"/>
          </w:p>
        </w:tc>
        <w:tc>
          <w:tcPr>
            <w:tcW w:w="287" w:type="pct"/>
            <w:vAlign w:val="bottom"/>
          </w:tcPr>
          <w:p w:rsidR="00573AD5" w:rsidRPr="0030066D" w:rsidRDefault="00573AD5" w:rsidP="0030066D">
            <w:pPr>
              <w:jc w:val="center"/>
              <w:rPr>
                <w:sz w:val="20"/>
                <w:szCs w:val="20"/>
              </w:rPr>
            </w:pPr>
            <w:bookmarkStart w:id="443" w:name="_Toc413058084"/>
            <w:r w:rsidRPr="0030066D">
              <w:rPr>
                <w:sz w:val="20"/>
                <w:szCs w:val="20"/>
              </w:rPr>
              <w:t>161</w:t>
            </w:r>
            <w:bookmarkEnd w:id="443"/>
          </w:p>
        </w:tc>
        <w:tc>
          <w:tcPr>
            <w:tcW w:w="607" w:type="pct"/>
            <w:vAlign w:val="bottom"/>
          </w:tcPr>
          <w:p w:rsidR="00573AD5" w:rsidRPr="0030066D" w:rsidRDefault="00573AD5" w:rsidP="0030066D">
            <w:pPr>
              <w:jc w:val="center"/>
              <w:rPr>
                <w:sz w:val="20"/>
                <w:szCs w:val="20"/>
              </w:rPr>
            </w:pPr>
            <w:bookmarkStart w:id="444" w:name="_Toc413058085"/>
            <w:r w:rsidRPr="0030066D">
              <w:rPr>
                <w:sz w:val="20"/>
                <w:szCs w:val="20"/>
              </w:rPr>
              <w:t>252</w:t>
            </w:r>
            <w:bookmarkEnd w:id="444"/>
          </w:p>
        </w:tc>
        <w:tc>
          <w:tcPr>
            <w:tcW w:w="610" w:type="pct"/>
            <w:vAlign w:val="bottom"/>
          </w:tcPr>
          <w:p w:rsidR="00573AD5" w:rsidRPr="0030066D" w:rsidRDefault="00573AD5" w:rsidP="0030066D">
            <w:pPr>
              <w:jc w:val="center"/>
              <w:rPr>
                <w:sz w:val="20"/>
                <w:szCs w:val="20"/>
              </w:rPr>
            </w:pPr>
            <w:bookmarkStart w:id="445" w:name="_Toc413058086"/>
            <w:r w:rsidRPr="0030066D">
              <w:rPr>
                <w:sz w:val="20"/>
                <w:szCs w:val="20"/>
              </w:rPr>
              <w:t>11</w:t>
            </w:r>
            <w:bookmarkEnd w:id="445"/>
          </w:p>
        </w:tc>
        <w:tc>
          <w:tcPr>
            <w:tcW w:w="681" w:type="pct"/>
            <w:vAlign w:val="bottom"/>
          </w:tcPr>
          <w:p w:rsidR="00573AD5" w:rsidRPr="0030066D" w:rsidRDefault="00573AD5" w:rsidP="0030066D">
            <w:pPr>
              <w:jc w:val="center"/>
              <w:rPr>
                <w:sz w:val="20"/>
                <w:szCs w:val="20"/>
              </w:rPr>
            </w:pPr>
            <w:bookmarkStart w:id="446" w:name="_Toc413058087"/>
            <w:r w:rsidRPr="0030066D">
              <w:rPr>
                <w:sz w:val="20"/>
                <w:szCs w:val="20"/>
              </w:rPr>
              <w:t>14</w:t>
            </w:r>
            <w:bookmarkEnd w:id="446"/>
          </w:p>
        </w:tc>
        <w:tc>
          <w:tcPr>
            <w:tcW w:w="438" w:type="pct"/>
            <w:vAlign w:val="bottom"/>
          </w:tcPr>
          <w:p w:rsidR="00573AD5" w:rsidRPr="0030066D" w:rsidRDefault="00573AD5" w:rsidP="0030066D">
            <w:pPr>
              <w:jc w:val="center"/>
              <w:rPr>
                <w:sz w:val="20"/>
                <w:szCs w:val="20"/>
              </w:rPr>
            </w:pPr>
            <w:bookmarkStart w:id="447" w:name="_Toc413058088"/>
            <w:r w:rsidRPr="0030066D">
              <w:rPr>
                <w:sz w:val="20"/>
                <w:szCs w:val="20"/>
              </w:rPr>
              <w:t>124</w:t>
            </w:r>
            <w:bookmarkEnd w:id="447"/>
          </w:p>
        </w:tc>
        <w:tc>
          <w:tcPr>
            <w:tcW w:w="412" w:type="pct"/>
            <w:vAlign w:val="bottom"/>
          </w:tcPr>
          <w:p w:rsidR="00573AD5" w:rsidRPr="0030066D" w:rsidRDefault="00573AD5" w:rsidP="0030066D">
            <w:pPr>
              <w:jc w:val="center"/>
              <w:rPr>
                <w:sz w:val="20"/>
                <w:szCs w:val="20"/>
              </w:rPr>
            </w:pPr>
            <w:bookmarkStart w:id="448" w:name="_Toc413058089"/>
            <w:r w:rsidRPr="0030066D">
              <w:rPr>
                <w:sz w:val="20"/>
                <w:szCs w:val="20"/>
              </w:rPr>
              <w:t>63</w:t>
            </w:r>
            <w:bookmarkEnd w:id="448"/>
          </w:p>
        </w:tc>
        <w:tc>
          <w:tcPr>
            <w:tcW w:w="282" w:type="pct"/>
          </w:tcPr>
          <w:p w:rsidR="00573AD5" w:rsidRPr="0030066D" w:rsidRDefault="00573AD5" w:rsidP="0030066D">
            <w:pPr>
              <w:jc w:val="center"/>
              <w:rPr>
                <w:sz w:val="20"/>
                <w:szCs w:val="20"/>
              </w:rPr>
            </w:pPr>
            <w:bookmarkStart w:id="449" w:name="_Toc413058090"/>
            <w:r w:rsidRPr="0030066D">
              <w:rPr>
                <w:sz w:val="20"/>
                <w:szCs w:val="20"/>
              </w:rPr>
              <w:t>0,64</w:t>
            </w:r>
            <w:bookmarkEnd w:id="449"/>
          </w:p>
        </w:tc>
      </w:tr>
      <w:tr w:rsidR="0030066D" w:rsidRPr="0030066D" w:rsidTr="002B7E09">
        <w:trPr>
          <w:trHeight w:val="170"/>
          <w:jc w:val="center"/>
        </w:trPr>
        <w:tc>
          <w:tcPr>
            <w:tcW w:w="279" w:type="pct"/>
            <w:gridSpan w:val="2"/>
            <w:vAlign w:val="center"/>
          </w:tcPr>
          <w:p w:rsidR="00573AD5" w:rsidRPr="0030066D" w:rsidRDefault="00573AD5" w:rsidP="002B7E09">
            <w:pPr>
              <w:rPr>
                <w:sz w:val="20"/>
                <w:szCs w:val="20"/>
              </w:rPr>
            </w:pPr>
            <w:bookmarkStart w:id="450" w:name="_Toc413058091"/>
            <w:r w:rsidRPr="0030066D">
              <w:rPr>
                <w:sz w:val="20"/>
                <w:szCs w:val="20"/>
              </w:rPr>
              <w:t>DS12</w:t>
            </w:r>
            <w:bookmarkEnd w:id="450"/>
          </w:p>
        </w:tc>
        <w:tc>
          <w:tcPr>
            <w:tcW w:w="995" w:type="pct"/>
          </w:tcPr>
          <w:p w:rsidR="00573AD5" w:rsidRPr="0030066D" w:rsidRDefault="00573AD5" w:rsidP="002B7E09">
            <w:pPr>
              <w:rPr>
                <w:sz w:val="20"/>
                <w:szCs w:val="20"/>
              </w:rPr>
            </w:pPr>
            <w:bookmarkStart w:id="451" w:name="_Toc413058092"/>
            <w:r w:rsidRPr="0030066D">
              <w:rPr>
                <w:sz w:val="20"/>
                <w:szCs w:val="20"/>
              </w:rPr>
              <w:t>Test marfă</w:t>
            </w:r>
            <w:bookmarkEnd w:id="451"/>
          </w:p>
        </w:tc>
        <w:tc>
          <w:tcPr>
            <w:tcW w:w="121" w:type="pct"/>
          </w:tcPr>
          <w:p w:rsidR="00573AD5" w:rsidRPr="0030066D" w:rsidRDefault="00573AD5" w:rsidP="0030066D">
            <w:pPr>
              <w:jc w:val="center"/>
              <w:rPr>
                <w:sz w:val="20"/>
                <w:szCs w:val="20"/>
              </w:rPr>
            </w:pPr>
            <w:bookmarkStart w:id="452" w:name="_Toc413058093"/>
            <w:r w:rsidRPr="0030066D">
              <w:rPr>
                <w:sz w:val="20"/>
                <w:szCs w:val="20"/>
              </w:rPr>
              <w:t>R</w:t>
            </w:r>
            <w:bookmarkEnd w:id="452"/>
          </w:p>
        </w:tc>
        <w:tc>
          <w:tcPr>
            <w:tcW w:w="287" w:type="pct"/>
            <w:vAlign w:val="bottom"/>
          </w:tcPr>
          <w:p w:rsidR="00573AD5" w:rsidRPr="0030066D" w:rsidRDefault="00573AD5" w:rsidP="0030066D">
            <w:pPr>
              <w:jc w:val="center"/>
              <w:rPr>
                <w:sz w:val="20"/>
                <w:szCs w:val="20"/>
              </w:rPr>
            </w:pPr>
            <w:bookmarkStart w:id="453" w:name="_Toc413058094"/>
            <w:r w:rsidRPr="0030066D">
              <w:rPr>
                <w:sz w:val="20"/>
                <w:szCs w:val="20"/>
              </w:rPr>
              <w:t>2</w:t>
            </w:r>
            <w:bookmarkEnd w:id="453"/>
          </w:p>
        </w:tc>
        <w:tc>
          <w:tcPr>
            <w:tcW w:w="287" w:type="pct"/>
            <w:vAlign w:val="bottom"/>
          </w:tcPr>
          <w:p w:rsidR="00573AD5" w:rsidRPr="0030066D" w:rsidRDefault="00573AD5" w:rsidP="0030066D">
            <w:pPr>
              <w:jc w:val="center"/>
              <w:rPr>
                <w:sz w:val="20"/>
                <w:szCs w:val="20"/>
              </w:rPr>
            </w:pPr>
            <w:bookmarkStart w:id="454" w:name="_Toc413058095"/>
            <w:r w:rsidRPr="0030066D">
              <w:rPr>
                <w:sz w:val="20"/>
                <w:szCs w:val="20"/>
              </w:rPr>
              <w:t>-12</w:t>
            </w:r>
            <w:bookmarkEnd w:id="454"/>
          </w:p>
        </w:tc>
        <w:tc>
          <w:tcPr>
            <w:tcW w:w="607" w:type="pct"/>
            <w:vAlign w:val="bottom"/>
          </w:tcPr>
          <w:p w:rsidR="00573AD5" w:rsidRPr="0030066D" w:rsidRDefault="00573AD5" w:rsidP="0030066D">
            <w:pPr>
              <w:jc w:val="center"/>
              <w:rPr>
                <w:sz w:val="20"/>
                <w:szCs w:val="20"/>
              </w:rPr>
            </w:pPr>
            <w:bookmarkStart w:id="455" w:name="_Toc413058096"/>
            <w:r w:rsidRPr="0030066D">
              <w:rPr>
                <w:sz w:val="20"/>
                <w:szCs w:val="20"/>
              </w:rPr>
              <w:t>0</w:t>
            </w:r>
            <w:bookmarkEnd w:id="455"/>
          </w:p>
        </w:tc>
        <w:tc>
          <w:tcPr>
            <w:tcW w:w="610" w:type="pct"/>
            <w:vAlign w:val="bottom"/>
          </w:tcPr>
          <w:p w:rsidR="00573AD5" w:rsidRPr="0030066D" w:rsidRDefault="00573AD5" w:rsidP="0030066D">
            <w:pPr>
              <w:jc w:val="center"/>
              <w:rPr>
                <w:sz w:val="20"/>
                <w:szCs w:val="20"/>
              </w:rPr>
            </w:pPr>
            <w:bookmarkStart w:id="456" w:name="_Toc413058097"/>
            <w:r w:rsidRPr="0030066D">
              <w:rPr>
                <w:sz w:val="20"/>
                <w:szCs w:val="20"/>
              </w:rPr>
              <w:t>0</w:t>
            </w:r>
            <w:bookmarkEnd w:id="456"/>
          </w:p>
        </w:tc>
        <w:tc>
          <w:tcPr>
            <w:tcW w:w="681" w:type="pct"/>
            <w:vAlign w:val="bottom"/>
          </w:tcPr>
          <w:p w:rsidR="00573AD5" w:rsidRPr="0030066D" w:rsidRDefault="00573AD5" w:rsidP="0030066D">
            <w:pPr>
              <w:jc w:val="center"/>
              <w:rPr>
                <w:sz w:val="20"/>
                <w:szCs w:val="20"/>
              </w:rPr>
            </w:pPr>
            <w:bookmarkStart w:id="457" w:name="_Toc413058098"/>
            <w:r w:rsidRPr="0030066D">
              <w:rPr>
                <w:sz w:val="20"/>
                <w:szCs w:val="20"/>
              </w:rPr>
              <w:t>2</w:t>
            </w:r>
            <w:bookmarkEnd w:id="457"/>
          </w:p>
        </w:tc>
        <w:tc>
          <w:tcPr>
            <w:tcW w:w="438" w:type="pct"/>
            <w:vAlign w:val="bottom"/>
          </w:tcPr>
          <w:p w:rsidR="00573AD5" w:rsidRPr="0030066D" w:rsidRDefault="00573AD5" w:rsidP="0030066D">
            <w:pPr>
              <w:jc w:val="center"/>
              <w:rPr>
                <w:sz w:val="20"/>
                <w:szCs w:val="20"/>
              </w:rPr>
            </w:pPr>
            <w:bookmarkStart w:id="458" w:name="_Toc413058099"/>
            <w:r w:rsidRPr="0030066D">
              <w:rPr>
                <w:sz w:val="20"/>
                <w:szCs w:val="20"/>
              </w:rPr>
              <w:t>-17</w:t>
            </w:r>
            <w:bookmarkEnd w:id="458"/>
          </w:p>
        </w:tc>
        <w:tc>
          <w:tcPr>
            <w:tcW w:w="412" w:type="pct"/>
            <w:vAlign w:val="bottom"/>
          </w:tcPr>
          <w:p w:rsidR="00573AD5" w:rsidRPr="0030066D" w:rsidRDefault="00573AD5" w:rsidP="0030066D">
            <w:pPr>
              <w:jc w:val="center"/>
              <w:rPr>
                <w:sz w:val="20"/>
                <w:szCs w:val="20"/>
              </w:rPr>
            </w:pPr>
            <w:bookmarkStart w:id="459" w:name="_Toc413058100"/>
            <w:r w:rsidRPr="0030066D">
              <w:rPr>
                <w:sz w:val="20"/>
                <w:szCs w:val="20"/>
              </w:rPr>
              <w:t>5</w:t>
            </w:r>
            <w:bookmarkEnd w:id="459"/>
          </w:p>
        </w:tc>
        <w:tc>
          <w:tcPr>
            <w:tcW w:w="282" w:type="pct"/>
          </w:tcPr>
          <w:p w:rsidR="00573AD5" w:rsidRPr="0030066D" w:rsidRDefault="00573AD5" w:rsidP="0030066D">
            <w:pPr>
              <w:jc w:val="center"/>
              <w:rPr>
                <w:sz w:val="20"/>
                <w:szCs w:val="20"/>
              </w:rPr>
            </w:pPr>
            <w:bookmarkStart w:id="460" w:name="_Toc413058101"/>
            <w:r w:rsidRPr="0030066D">
              <w:rPr>
                <w:sz w:val="20"/>
                <w:szCs w:val="20"/>
              </w:rPr>
              <w:t>-</w:t>
            </w:r>
            <w:bookmarkEnd w:id="460"/>
          </w:p>
        </w:tc>
      </w:tr>
      <w:tr w:rsidR="0030066D" w:rsidRPr="0030066D" w:rsidTr="002B7E09">
        <w:trPr>
          <w:trHeight w:val="170"/>
          <w:jc w:val="center"/>
        </w:trPr>
        <w:tc>
          <w:tcPr>
            <w:tcW w:w="279" w:type="pct"/>
            <w:gridSpan w:val="2"/>
            <w:vAlign w:val="center"/>
          </w:tcPr>
          <w:p w:rsidR="00573AD5" w:rsidRPr="0030066D" w:rsidRDefault="00573AD5" w:rsidP="002B7E09">
            <w:pPr>
              <w:rPr>
                <w:sz w:val="20"/>
                <w:szCs w:val="20"/>
              </w:rPr>
            </w:pPr>
            <w:bookmarkStart w:id="461" w:name="_Toc413058102"/>
            <w:r w:rsidRPr="0030066D">
              <w:rPr>
                <w:sz w:val="20"/>
                <w:szCs w:val="20"/>
              </w:rPr>
              <w:t>DS99</w:t>
            </w:r>
            <w:bookmarkEnd w:id="461"/>
          </w:p>
        </w:tc>
        <w:tc>
          <w:tcPr>
            <w:tcW w:w="995" w:type="pct"/>
          </w:tcPr>
          <w:p w:rsidR="00573AD5" w:rsidRPr="0030066D" w:rsidRDefault="00573AD5" w:rsidP="002B7E09">
            <w:pPr>
              <w:rPr>
                <w:sz w:val="20"/>
                <w:szCs w:val="20"/>
              </w:rPr>
            </w:pPr>
            <w:bookmarkStart w:id="462" w:name="_Toc413058103"/>
            <w:r w:rsidRPr="0030066D">
              <w:rPr>
                <w:sz w:val="20"/>
                <w:szCs w:val="20"/>
              </w:rPr>
              <w:t>Test combinat</w:t>
            </w:r>
            <w:bookmarkEnd w:id="462"/>
          </w:p>
        </w:tc>
        <w:tc>
          <w:tcPr>
            <w:tcW w:w="121" w:type="pct"/>
          </w:tcPr>
          <w:p w:rsidR="00573AD5" w:rsidRPr="0030066D" w:rsidRDefault="00573AD5" w:rsidP="0030066D">
            <w:pPr>
              <w:jc w:val="center"/>
              <w:rPr>
                <w:sz w:val="20"/>
                <w:szCs w:val="20"/>
              </w:rPr>
            </w:pPr>
            <w:bookmarkStart w:id="463" w:name="_Toc413058104"/>
            <w:r w:rsidRPr="0030066D">
              <w:rPr>
                <w:sz w:val="20"/>
                <w:szCs w:val="20"/>
              </w:rPr>
              <w:t>A</w:t>
            </w:r>
            <w:bookmarkEnd w:id="463"/>
          </w:p>
        </w:tc>
        <w:tc>
          <w:tcPr>
            <w:tcW w:w="287" w:type="pct"/>
            <w:vAlign w:val="bottom"/>
          </w:tcPr>
          <w:p w:rsidR="00573AD5" w:rsidRPr="0030066D" w:rsidRDefault="00573AD5" w:rsidP="0030066D">
            <w:pPr>
              <w:jc w:val="center"/>
              <w:rPr>
                <w:sz w:val="20"/>
                <w:szCs w:val="20"/>
              </w:rPr>
            </w:pPr>
            <w:bookmarkStart w:id="464" w:name="_Toc413058105"/>
            <w:r w:rsidRPr="0030066D">
              <w:rPr>
                <w:sz w:val="20"/>
                <w:szCs w:val="20"/>
              </w:rPr>
              <w:t>9594</w:t>
            </w:r>
            <w:bookmarkEnd w:id="464"/>
          </w:p>
        </w:tc>
        <w:tc>
          <w:tcPr>
            <w:tcW w:w="287" w:type="pct"/>
            <w:vAlign w:val="bottom"/>
          </w:tcPr>
          <w:p w:rsidR="00573AD5" w:rsidRPr="0030066D" w:rsidRDefault="00573AD5" w:rsidP="0030066D">
            <w:pPr>
              <w:jc w:val="center"/>
              <w:rPr>
                <w:sz w:val="20"/>
                <w:szCs w:val="20"/>
              </w:rPr>
            </w:pPr>
            <w:bookmarkStart w:id="465" w:name="_Toc413058106"/>
            <w:r w:rsidRPr="0030066D">
              <w:rPr>
                <w:sz w:val="20"/>
                <w:szCs w:val="20"/>
              </w:rPr>
              <w:t>9842</w:t>
            </w:r>
            <w:bookmarkEnd w:id="465"/>
          </w:p>
        </w:tc>
        <w:tc>
          <w:tcPr>
            <w:tcW w:w="607" w:type="pct"/>
            <w:vAlign w:val="bottom"/>
          </w:tcPr>
          <w:p w:rsidR="00573AD5" w:rsidRPr="0030066D" w:rsidRDefault="00573AD5" w:rsidP="0030066D">
            <w:pPr>
              <w:jc w:val="center"/>
              <w:rPr>
                <w:sz w:val="20"/>
                <w:szCs w:val="20"/>
              </w:rPr>
            </w:pPr>
            <w:bookmarkStart w:id="466" w:name="_Toc413058107"/>
            <w:r w:rsidRPr="0030066D">
              <w:rPr>
                <w:sz w:val="20"/>
                <w:szCs w:val="20"/>
              </w:rPr>
              <w:t>9303</w:t>
            </w:r>
            <w:bookmarkEnd w:id="466"/>
          </w:p>
        </w:tc>
        <w:tc>
          <w:tcPr>
            <w:tcW w:w="610" w:type="pct"/>
            <w:vAlign w:val="bottom"/>
          </w:tcPr>
          <w:p w:rsidR="00573AD5" w:rsidRPr="0030066D" w:rsidRDefault="00573AD5" w:rsidP="0030066D">
            <w:pPr>
              <w:jc w:val="center"/>
              <w:rPr>
                <w:sz w:val="20"/>
                <w:szCs w:val="20"/>
              </w:rPr>
            </w:pPr>
            <w:bookmarkStart w:id="467" w:name="_Toc413058108"/>
            <w:r w:rsidRPr="0030066D">
              <w:rPr>
                <w:sz w:val="20"/>
                <w:szCs w:val="20"/>
              </w:rPr>
              <w:t>1271</w:t>
            </w:r>
            <w:bookmarkEnd w:id="467"/>
          </w:p>
        </w:tc>
        <w:tc>
          <w:tcPr>
            <w:tcW w:w="681" w:type="pct"/>
            <w:vAlign w:val="bottom"/>
          </w:tcPr>
          <w:p w:rsidR="00573AD5" w:rsidRPr="0030066D" w:rsidRDefault="00573AD5" w:rsidP="0030066D">
            <w:pPr>
              <w:jc w:val="center"/>
              <w:rPr>
                <w:sz w:val="20"/>
                <w:szCs w:val="20"/>
              </w:rPr>
            </w:pPr>
            <w:bookmarkStart w:id="468" w:name="_Toc413058109"/>
            <w:r w:rsidRPr="0030066D">
              <w:rPr>
                <w:sz w:val="20"/>
                <w:szCs w:val="20"/>
              </w:rPr>
              <w:t>881</w:t>
            </w:r>
            <w:bookmarkEnd w:id="468"/>
          </w:p>
        </w:tc>
        <w:tc>
          <w:tcPr>
            <w:tcW w:w="438" w:type="pct"/>
            <w:vAlign w:val="bottom"/>
          </w:tcPr>
          <w:p w:rsidR="00573AD5" w:rsidRPr="0030066D" w:rsidRDefault="00573AD5" w:rsidP="0030066D">
            <w:pPr>
              <w:jc w:val="center"/>
              <w:rPr>
                <w:sz w:val="20"/>
                <w:szCs w:val="20"/>
              </w:rPr>
            </w:pPr>
            <w:bookmarkStart w:id="469" w:name="_Toc413058110"/>
            <w:r w:rsidRPr="0030066D">
              <w:rPr>
                <w:sz w:val="20"/>
                <w:szCs w:val="20"/>
              </w:rPr>
              <w:t>7959</w:t>
            </w:r>
            <w:bookmarkEnd w:id="469"/>
          </w:p>
        </w:tc>
        <w:tc>
          <w:tcPr>
            <w:tcW w:w="412" w:type="pct"/>
            <w:vAlign w:val="bottom"/>
          </w:tcPr>
          <w:p w:rsidR="00573AD5" w:rsidRPr="0030066D" w:rsidRDefault="00573AD5" w:rsidP="0030066D">
            <w:pPr>
              <w:jc w:val="center"/>
              <w:rPr>
                <w:sz w:val="20"/>
                <w:szCs w:val="20"/>
              </w:rPr>
            </w:pPr>
            <w:bookmarkStart w:id="470" w:name="_Toc413058111"/>
            <w:r w:rsidRPr="0030066D">
              <w:rPr>
                <w:sz w:val="20"/>
                <w:szCs w:val="20"/>
              </w:rPr>
              <w:t>3744</w:t>
            </w:r>
            <w:bookmarkEnd w:id="470"/>
          </w:p>
        </w:tc>
        <w:tc>
          <w:tcPr>
            <w:tcW w:w="282" w:type="pct"/>
          </w:tcPr>
          <w:p w:rsidR="00573AD5" w:rsidRPr="0030066D" w:rsidRDefault="00573AD5" w:rsidP="0030066D">
            <w:pPr>
              <w:jc w:val="center"/>
              <w:rPr>
                <w:sz w:val="20"/>
                <w:szCs w:val="20"/>
              </w:rPr>
            </w:pPr>
            <w:bookmarkStart w:id="471" w:name="_Toc413058112"/>
            <w:r w:rsidRPr="0030066D">
              <w:rPr>
                <w:sz w:val="20"/>
                <w:szCs w:val="20"/>
              </w:rPr>
              <w:t>1,03</w:t>
            </w:r>
            <w:bookmarkEnd w:id="471"/>
          </w:p>
        </w:tc>
      </w:tr>
      <w:tr w:rsidR="00573AD5" w:rsidRPr="0030066D" w:rsidTr="002B7E09">
        <w:trPr>
          <w:trHeight w:val="170"/>
          <w:jc w:val="center"/>
        </w:trPr>
        <w:tc>
          <w:tcPr>
            <w:tcW w:w="121" w:type="pct"/>
          </w:tcPr>
          <w:p w:rsidR="00573AD5" w:rsidRPr="0030066D" w:rsidRDefault="00573AD5" w:rsidP="002B7E09">
            <w:pPr>
              <w:rPr>
                <w:sz w:val="20"/>
                <w:szCs w:val="20"/>
                <w:vertAlign w:val="superscript"/>
              </w:rPr>
            </w:pPr>
          </w:p>
        </w:tc>
        <w:tc>
          <w:tcPr>
            <w:tcW w:w="4879" w:type="pct"/>
            <w:gridSpan w:val="11"/>
            <w:vAlign w:val="center"/>
          </w:tcPr>
          <w:p w:rsidR="00573AD5" w:rsidRPr="0030066D" w:rsidRDefault="00573AD5" w:rsidP="002B7E09">
            <w:pPr>
              <w:rPr>
                <w:sz w:val="20"/>
                <w:szCs w:val="20"/>
              </w:rPr>
            </w:pPr>
            <w:bookmarkStart w:id="472" w:name="_Toc413058113"/>
            <w:r w:rsidRPr="0030066D">
              <w:rPr>
                <w:sz w:val="20"/>
                <w:szCs w:val="20"/>
                <w:vertAlign w:val="superscript"/>
              </w:rPr>
              <w:t>1</w:t>
            </w:r>
            <w:r w:rsidRPr="0030066D">
              <w:rPr>
                <w:sz w:val="20"/>
                <w:szCs w:val="20"/>
              </w:rPr>
              <w:t xml:space="preserve"> Note that for the PVC, PVB - BCR calculations some costs are computed as negative benefits</w:t>
            </w:r>
            <w:bookmarkEnd w:id="472"/>
          </w:p>
        </w:tc>
      </w:tr>
    </w:tbl>
    <w:p w:rsidR="00573AD5" w:rsidRDefault="00573AD5" w:rsidP="0030066D">
      <w:pPr>
        <w:ind w:left="851"/>
        <w:rPr>
          <w:b/>
        </w:rPr>
        <w:sectPr w:rsidR="00573AD5" w:rsidSect="0030066D">
          <w:pgSz w:w="16840" w:h="11907" w:orient="landscape" w:code="9"/>
          <w:pgMar w:top="907" w:right="1418" w:bottom="709" w:left="1418" w:header="357" w:footer="567" w:gutter="0"/>
          <w:cols w:space="187"/>
          <w:docGrid w:linePitch="360"/>
        </w:sectPr>
      </w:pPr>
      <w:r w:rsidRPr="00AE1AD4">
        <w:rPr>
          <w:i/>
          <w:lang w:val="ro-RO"/>
        </w:rPr>
        <w:t>Model de prognoză AECOM</w:t>
      </w:r>
      <w:r w:rsidRPr="00D62754">
        <w:rPr>
          <w:b/>
        </w:rPr>
        <w:t xml:space="preserve"> </w:t>
      </w:r>
    </w:p>
    <w:p w:rsidR="00573AD5" w:rsidRDefault="00573AD5" w:rsidP="002B7E09">
      <w:pPr>
        <w:pStyle w:val="NumberedParas"/>
      </w:pPr>
      <w:r>
        <w:lastRenderedPageBreak/>
        <w:t xml:space="preserve">Tabelul de mai sus împarte costurile și beneficiile fiecărui test în trei categorii : infrastructură, călători și marfă costurile de infrastructură țin de starea liniilor  și astfel includ orice  modernizări și înnlocuiri pentru linia respectivă. În mod similar, costurile și beneficiile aferete trenurilor de marfă și de călători reprezintă costurile de operare a serviciilor, achiziționare de material rulant nou, costuri </w:t>
      </w:r>
      <w:r w:rsidRPr="002B7E09">
        <w:t>externalizate</w:t>
      </w:r>
      <w:r>
        <w:t xml:space="preserve"> și beneficii ale utilizatorilor de servicii de transport feroviar de călători și marfă. Varianta R generează costuri și beneficiii mai mici decât variantele A și B care implică lucrări de reabilitare extinse, acestea având și un raport beneficiu-cost mai mare. </w:t>
      </w:r>
    </w:p>
    <w:p w:rsidR="00573AD5" w:rsidRDefault="00573AD5" w:rsidP="002B7E09">
      <w:pPr>
        <w:pStyle w:val="NumberedParas"/>
      </w:pPr>
      <w:r>
        <w:t xml:space="preserve">Testele DS06  arată o scădere a costurilor de operatorilor de servicii de transport călători. Reducerea estimată a costurilor de operare poate fi atribuită ipotezei că trenurile mai noi tip EMU  au fost estimate să depășească costurile achiziției de unități noi. În mod similar, o reducere a costului de operare a fost prognozată și în testul DS07C, unde unele trenuri Diesel sunt înlocuite de unități electrice. În testele DS05A și DS05B trenurile de marfă beneficiază de o rută mai scrută între București și partea de nord-vest a țării prin intermediul noii legături între Vâlcele și Râmnicu Vâlcea. Modelul prognozeazaă de asemenea, și un dezavantaj pentru serviciile de transport feroviar de călători, în testul DS05R. Acesta se datorează importanței coordonării sosirilor și plecărilor la stațiile de legătură. Traficul de marfă în testul DS05A generează dis-beneficii semnificative de mediu prin utilizarea trneurilor diesel într-o zonă dens populată, acest impact negativ fiind abordat în testele DS05B și DS05C, care include electrificarea liniei.  </w:t>
      </w:r>
    </w:p>
    <w:p w:rsidR="00573AD5" w:rsidRPr="0076579A" w:rsidRDefault="00573AD5" w:rsidP="002B7E09">
      <w:pPr>
        <w:pStyle w:val="NumberedParas"/>
      </w:pPr>
      <w:r>
        <w:t xml:space="preserve">Exemplul prezentat în Figura 5.29 ilustrează </w:t>
      </w:r>
      <w:r w:rsidRPr="0076579A">
        <w:t>schimbările</w:t>
      </w:r>
      <w:r>
        <w:t xml:space="preserve"> de trafic</w:t>
      </w:r>
      <w:r w:rsidRPr="0076579A">
        <w:t xml:space="preserve"> prognozate </w:t>
      </w:r>
      <w:r>
        <w:t>în scenariul combinat</w:t>
      </w:r>
      <w:r w:rsidRPr="0076579A">
        <w:t xml:space="preserve">, care conțin impactul includerii tuturor opțiunilor cu cel mai ridicat nivel de performanță pentru fiecare coridor. Se previzionează că transportul feroviar de călători va crește pe </w:t>
      </w:r>
      <w:r>
        <w:t>cea mai mare parte a</w:t>
      </w:r>
      <w:r w:rsidRPr="0076579A">
        <w:t xml:space="preserve"> rețelei, nivelul de </w:t>
      </w:r>
      <w:r>
        <w:t>trafic</w:t>
      </w:r>
      <w:r w:rsidRPr="0076579A">
        <w:t xml:space="preserve"> estimat fiind mai mare decât dublu comparativ cu scenariul de referință. Numărul zilnic de călători între București și Ploiești </w:t>
      </w:r>
      <w:r w:rsidRPr="0036322C">
        <w:t>va</w:t>
      </w:r>
      <w:r w:rsidRPr="0076579A">
        <w:t xml:space="preserve"> crește până la cel puțin 25.000 în ambele direcții de mers, iar între Timișoara și Arad, Bacău și Ploiești, Brașov și Ploiești și Craiova – București numărul zilnic de călători va crește până la cel puțin 10.000. Singurele segmente ale rețelei care înregistrează o reducere a numărului de călători sunt Iași - Tecuci și Bistrița - Miercurea Ciuc, dar aceste schimbări sunt cauzate de îmbunătățirile serviciilor pe coridoare paralele. </w:t>
      </w:r>
    </w:p>
    <w:p w:rsidR="00573AD5" w:rsidRPr="0076579A" w:rsidRDefault="00573AD5" w:rsidP="0030066D">
      <w:pPr>
        <w:rPr>
          <w:sz w:val="22"/>
          <w:szCs w:val="22"/>
          <w:lang w:val="ro-RO"/>
        </w:rPr>
      </w:pPr>
      <w:bookmarkStart w:id="473" w:name="_Ref395088546"/>
    </w:p>
    <w:bookmarkEnd w:id="473"/>
    <w:p w:rsidR="00573AD5" w:rsidRPr="0036322C" w:rsidRDefault="00573AD5" w:rsidP="0030066D">
      <w:pPr>
        <w:spacing w:after="60"/>
        <w:rPr>
          <w:rFonts w:cs="Arial"/>
          <w:b/>
          <w:sz w:val="22"/>
          <w:szCs w:val="22"/>
          <w:lang w:val="ro-RO"/>
        </w:rPr>
      </w:pPr>
    </w:p>
    <w:p w:rsidR="00573AD5" w:rsidRDefault="00573AD5" w:rsidP="002B7E09">
      <w:pPr>
        <w:pStyle w:val="NumberedParas"/>
        <w:numPr>
          <w:ilvl w:val="0"/>
          <w:numId w:val="0"/>
        </w:numPr>
        <w:ind w:left="851"/>
        <w:rPr>
          <w:highlight w:val="yellow"/>
        </w:rPr>
      </w:pPr>
      <w:r w:rsidRPr="0076579A">
        <w:rPr>
          <w:noProof/>
          <w:lang w:eastAsia="ro-RO"/>
        </w:rPr>
        <w:lastRenderedPageBreak/>
        <w:drawing>
          <wp:inline distT="0" distB="0" distL="0" distR="0">
            <wp:extent cx="5192395" cy="3665855"/>
            <wp:effectExtent l="19050" t="0" r="8255" b="0"/>
            <wp:docPr id="56" name="Picture 1" descr="F:\Projects\Transport Planning - Romania UK GTMP\PUBLIC TRANSPORT\Rail\04_Plots\Rail_results\output\DS99A_2030_change_pas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jects\Transport Planning - Romania UK GTMP\PUBLIC TRANSPORT\Rail\04_Plots\Rail_results\output\DS99A_2030_change_pass_v2.jp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192395" cy="3665855"/>
                    </a:xfrm>
                    <a:prstGeom prst="rect">
                      <a:avLst/>
                    </a:prstGeom>
                    <a:noFill/>
                    <a:ln w="9525">
                      <a:noFill/>
                      <a:miter lim="800000"/>
                      <a:headEnd/>
                      <a:tailEnd/>
                    </a:ln>
                  </pic:spPr>
                </pic:pic>
              </a:graphicData>
            </a:graphic>
          </wp:inline>
        </w:drawing>
      </w:r>
    </w:p>
    <w:p w:rsidR="00573AD5" w:rsidRPr="008E0E74" w:rsidRDefault="00573AD5" w:rsidP="002B7E09">
      <w:pPr>
        <w:pStyle w:val="NumberedParas"/>
        <w:numPr>
          <w:ilvl w:val="0"/>
          <w:numId w:val="0"/>
        </w:numPr>
        <w:ind w:left="851"/>
        <w:rPr>
          <w:b/>
          <w:highlight w:val="yellow"/>
        </w:rPr>
      </w:pPr>
      <w:r w:rsidRPr="008E0E74">
        <w:rPr>
          <w:b/>
        </w:rPr>
        <w:t>Figura 5.29: Schimbări la nivelul cererii de transport călători față de scenariul de referință– Scenariul combinat</w:t>
      </w:r>
    </w:p>
    <w:p w:rsidR="00573AD5" w:rsidRPr="00AE1AD4" w:rsidRDefault="00573AD5" w:rsidP="00AE1AD4">
      <w:pPr>
        <w:ind w:left="851"/>
        <w:rPr>
          <w:i/>
          <w:lang w:val="ro-RO"/>
        </w:rPr>
      </w:pPr>
      <w:r w:rsidRPr="00AE1AD4">
        <w:rPr>
          <w:i/>
          <w:lang w:val="ro-RO"/>
        </w:rPr>
        <w:t xml:space="preserve">Sursa: Model de prognoză AECOM </w:t>
      </w:r>
    </w:p>
    <w:p w:rsidR="00573AD5" w:rsidRDefault="00573AD5" w:rsidP="002B7E09">
      <w:pPr>
        <w:pStyle w:val="NumberedParas"/>
      </w:pPr>
      <w:r>
        <w:t xml:space="preserve">Creșterea traficului de pasageri este și mai evidentă atunci când fluxul prognozat pentru 2030 înscenariul combinat este comparat cu fluxurile observate în 211, așa cum se demonstrează în Figura 5.29. Coridoarele Core înregistrează creșteri semnificative ale traficului, fluxurile spre și dinspre București înregistrând cele mai mari creșteri în termeni absoluți. </w:t>
      </w:r>
    </w:p>
    <w:p w:rsidR="00573AD5" w:rsidRDefault="00573AD5" w:rsidP="002B7E09">
      <w:pPr>
        <w:pStyle w:val="NumberedParas"/>
        <w:numPr>
          <w:ilvl w:val="0"/>
          <w:numId w:val="0"/>
        </w:numPr>
        <w:ind w:left="851"/>
      </w:pPr>
      <w:r>
        <w:lastRenderedPageBreak/>
        <w:t xml:space="preserve"> </w:t>
      </w:r>
      <w:bookmarkStart w:id="474" w:name="_Toc398885070"/>
      <w:r w:rsidRPr="00944029">
        <w:rPr>
          <w:noProof/>
          <w:lang w:eastAsia="ro-RO"/>
        </w:rPr>
        <w:drawing>
          <wp:inline distT="0" distB="0" distL="0" distR="0">
            <wp:extent cx="6243689" cy="4455041"/>
            <wp:effectExtent l="19050" t="0" r="4711" b="0"/>
            <wp:docPr id="57" name="Picture 209" descr="DS99_2030_change_pass_vs_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99_2030_change_pass_vs_Base.jpg"/>
                    <pic:cNvPicPr/>
                  </pic:nvPicPr>
                  <pic:blipFill>
                    <a:blip r:embed="rId203" cstate="print"/>
                    <a:srcRect l="2312" t="2499" r="2117" b="2321"/>
                    <a:stretch>
                      <a:fillRect/>
                    </a:stretch>
                  </pic:blipFill>
                  <pic:spPr>
                    <a:xfrm>
                      <a:off x="0" y="0"/>
                      <a:ext cx="6243689" cy="4455041"/>
                    </a:xfrm>
                    <a:prstGeom prst="rect">
                      <a:avLst/>
                    </a:prstGeom>
                  </pic:spPr>
                </pic:pic>
              </a:graphicData>
            </a:graphic>
          </wp:inline>
        </w:drawing>
      </w:r>
      <w:bookmarkEnd w:id="474"/>
    </w:p>
    <w:p w:rsidR="00573AD5" w:rsidRPr="00333E11" w:rsidRDefault="00573AD5" w:rsidP="0030066D">
      <w:pPr>
        <w:spacing w:after="60"/>
        <w:ind w:left="851"/>
        <w:rPr>
          <w:rFonts w:cs="Arial"/>
          <w:b/>
          <w:sz w:val="22"/>
          <w:szCs w:val="22"/>
          <w:lang w:val="ro-RO"/>
        </w:rPr>
      </w:pPr>
      <w:r>
        <w:rPr>
          <w:rFonts w:cs="Arial"/>
          <w:b/>
          <w:sz w:val="22"/>
          <w:szCs w:val="22"/>
          <w:lang w:val="ro-RO"/>
        </w:rPr>
        <w:t>Figura 5.30</w:t>
      </w:r>
      <w:r w:rsidRPr="00333E11">
        <w:rPr>
          <w:rFonts w:cs="Arial"/>
          <w:b/>
          <w:sz w:val="22"/>
          <w:szCs w:val="22"/>
          <w:lang w:val="ro-RO"/>
        </w:rPr>
        <w:t xml:space="preserve">: Modificări la nivelul cererii de transport feroviar </w:t>
      </w:r>
      <w:r>
        <w:rPr>
          <w:rFonts w:cs="Arial"/>
          <w:b/>
          <w:sz w:val="22"/>
          <w:szCs w:val="22"/>
          <w:lang w:val="ro-RO"/>
        </w:rPr>
        <w:t xml:space="preserve">de călători față de anul de bază 2011 </w:t>
      </w:r>
      <w:r w:rsidRPr="00333E11">
        <w:rPr>
          <w:rFonts w:cs="Arial"/>
          <w:b/>
          <w:sz w:val="22"/>
          <w:szCs w:val="22"/>
          <w:lang w:val="ro-RO"/>
        </w:rPr>
        <w:t xml:space="preserve"> – Scenariul </w:t>
      </w:r>
      <w:r>
        <w:rPr>
          <w:rFonts w:cs="Arial"/>
          <w:b/>
          <w:sz w:val="22"/>
          <w:szCs w:val="22"/>
          <w:lang w:val="ro-RO"/>
        </w:rPr>
        <w:t>combinat 2030</w:t>
      </w:r>
    </w:p>
    <w:p w:rsidR="00573AD5" w:rsidRPr="00AE1AD4" w:rsidRDefault="00573AD5" w:rsidP="00AE1AD4">
      <w:pPr>
        <w:ind w:left="851"/>
        <w:rPr>
          <w:i/>
          <w:lang w:val="ro-RO"/>
        </w:rPr>
      </w:pPr>
      <w:r w:rsidRPr="00AE1AD4">
        <w:rPr>
          <w:i/>
          <w:lang w:val="ro-RO"/>
        </w:rPr>
        <w:t>Sursa: Model de prognoză AECOM</w:t>
      </w:r>
    </w:p>
    <w:p w:rsidR="00573AD5" w:rsidRDefault="00573AD5" w:rsidP="0030066D">
      <w:pPr>
        <w:rPr>
          <w:i/>
          <w:sz w:val="22"/>
          <w:szCs w:val="22"/>
          <w:lang w:val="ro-RO"/>
        </w:rPr>
      </w:pPr>
      <w:r>
        <w:rPr>
          <w:i/>
        </w:rPr>
        <w:br w:type="page"/>
      </w:r>
    </w:p>
    <w:p w:rsidR="00573AD5" w:rsidRPr="00997113" w:rsidRDefault="00573AD5" w:rsidP="002B7E09">
      <w:pPr>
        <w:pStyle w:val="NumberedParas"/>
        <w:numPr>
          <w:ilvl w:val="0"/>
          <w:numId w:val="0"/>
        </w:numPr>
        <w:ind w:left="851"/>
      </w:pPr>
    </w:p>
    <w:p w:rsidR="00573AD5" w:rsidRPr="00F97A4A" w:rsidRDefault="00573AD5" w:rsidP="002B7E09">
      <w:pPr>
        <w:pStyle w:val="NumberedParas"/>
      </w:pPr>
      <w:r w:rsidRPr="00F97A4A">
        <w:t xml:space="preserve">S-a prognozat, de asemena, o creștere de aproximativ 20% a transportului feroviar de mărfuri în termeni relativi după cum este prezentat în </w:t>
      </w:r>
      <w:r>
        <w:t>Figura 5.30</w:t>
      </w:r>
      <w:r w:rsidRPr="00F97A4A">
        <w:t>. Această creștere va putea fi înregistrată prin îmbunătățirea rețelei feroviare și aducerea acesteia la condițiile proiectate, reducând astfel considerabil timpii de parcurs. Cererea de transport feroviar de mărfuri ar putea fi îmbunătățită și dacă se construiesc noi terminale intermodale, aspect care este analizat în capitolul 10. Coridoarele care atrag cea mai mare parte a traficului suplimentar sunt reprezentate de linia București - Arad via Craiova, coridorul de bază Ten-T IX și linia București - Sibiu via legăturile noi propuse între Vâlcele și Râmnicu Vâlcea.</w:t>
      </w:r>
    </w:p>
    <w:p w:rsidR="00573AD5" w:rsidRDefault="00573AD5" w:rsidP="002B7E09">
      <w:pPr>
        <w:pStyle w:val="NumberedParas"/>
        <w:numPr>
          <w:ilvl w:val="0"/>
          <w:numId w:val="0"/>
        </w:numPr>
        <w:ind w:left="851"/>
      </w:pPr>
      <w:r w:rsidRPr="00944029">
        <w:rPr>
          <w:noProof/>
          <w:lang w:eastAsia="ro-RO"/>
        </w:rPr>
        <w:drawing>
          <wp:inline distT="0" distB="0" distL="0" distR="0">
            <wp:extent cx="6032668" cy="4210508"/>
            <wp:effectExtent l="19050" t="0" r="6182" b="0"/>
            <wp:docPr id="58" name="Picture 2" descr="F:\Projects\Transport Planning - Romania UK GTMP\PUBLIC TRANSPORT\Rail\04_Plots\Rail_results\output\DS99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Rail_results\output\DS99A_2030_change_freight.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6035793" cy="4210493"/>
                    </a:xfrm>
                    <a:prstGeom prst="rect">
                      <a:avLst/>
                    </a:prstGeom>
                    <a:noFill/>
                    <a:ln w="9525">
                      <a:noFill/>
                      <a:miter lim="800000"/>
                      <a:headEnd/>
                      <a:tailEnd/>
                    </a:ln>
                  </pic:spPr>
                </pic:pic>
              </a:graphicData>
            </a:graphic>
          </wp:inline>
        </w:drawing>
      </w:r>
    </w:p>
    <w:p w:rsidR="00573AD5" w:rsidRPr="00944029" w:rsidRDefault="00573AD5" w:rsidP="0030066D">
      <w:pPr>
        <w:spacing w:after="60"/>
        <w:ind w:left="851"/>
        <w:rPr>
          <w:rFonts w:cs="Arial"/>
          <w:b/>
          <w:sz w:val="22"/>
          <w:szCs w:val="22"/>
        </w:rPr>
      </w:pPr>
      <w:bookmarkStart w:id="475" w:name="_Toc398885072"/>
      <w:r>
        <w:rPr>
          <w:rFonts w:cs="Arial"/>
          <w:b/>
          <w:sz w:val="22"/>
          <w:szCs w:val="22"/>
          <w:lang w:val="ro-RO"/>
        </w:rPr>
        <w:t>Figura 5.</w:t>
      </w:r>
      <w:r w:rsidRPr="00944029">
        <w:rPr>
          <w:rFonts w:cs="Arial"/>
          <w:b/>
          <w:sz w:val="22"/>
          <w:szCs w:val="22"/>
          <w:lang w:val="ro-RO"/>
        </w:rPr>
        <w:t>3</w:t>
      </w:r>
      <w:r>
        <w:rPr>
          <w:rFonts w:cs="Arial"/>
          <w:b/>
          <w:sz w:val="22"/>
          <w:szCs w:val="22"/>
          <w:lang w:val="ro-RO"/>
        </w:rPr>
        <w:t>1</w:t>
      </w:r>
      <w:r w:rsidRPr="00944029">
        <w:rPr>
          <w:rFonts w:cs="Arial"/>
          <w:b/>
          <w:sz w:val="22"/>
          <w:szCs w:val="22"/>
          <w:lang w:val="ro-RO"/>
        </w:rPr>
        <w:t xml:space="preserve">:  Schimbări intervenite în cererea de transport mărfuri – </w:t>
      </w:r>
      <w:bookmarkEnd w:id="475"/>
      <w:r w:rsidRPr="00944029">
        <w:rPr>
          <w:rFonts w:cs="Arial"/>
          <w:b/>
          <w:sz w:val="22"/>
          <w:szCs w:val="22"/>
          <w:lang w:val="ro-RO"/>
        </w:rPr>
        <w:t>Scenariul combinat</w:t>
      </w:r>
    </w:p>
    <w:p w:rsidR="00573AD5" w:rsidRPr="00AE1AD4" w:rsidRDefault="00573AD5" w:rsidP="00AE1AD4">
      <w:pPr>
        <w:ind w:left="851"/>
        <w:rPr>
          <w:i/>
          <w:lang w:val="ro-RO"/>
        </w:rPr>
      </w:pPr>
      <w:bookmarkStart w:id="476" w:name="_Toc398885073"/>
      <w:r w:rsidRPr="00AE1AD4">
        <w:rPr>
          <w:i/>
          <w:lang w:val="ro-RO"/>
        </w:rPr>
        <w:t xml:space="preserve">Sursa: Modelul de prognoză AECOM </w:t>
      </w:r>
      <w:bookmarkEnd w:id="476"/>
    </w:p>
    <w:p w:rsidR="008E0E74" w:rsidRDefault="008E0E74">
      <w:pPr>
        <w:rPr>
          <w:sz w:val="22"/>
          <w:szCs w:val="22"/>
          <w:lang w:val="ro-RO"/>
        </w:rPr>
      </w:pPr>
      <w:r>
        <w:br w:type="page"/>
      </w:r>
    </w:p>
    <w:p w:rsidR="00573AD5" w:rsidRPr="0076579A" w:rsidRDefault="00573AD5" w:rsidP="002B7E09">
      <w:pPr>
        <w:pStyle w:val="NumberedParas"/>
        <w:numPr>
          <w:ilvl w:val="0"/>
          <w:numId w:val="0"/>
        </w:numPr>
        <w:ind w:left="851"/>
      </w:pPr>
    </w:p>
    <w:p w:rsidR="00573AD5" w:rsidRDefault="00573AD5" w:rsidP="008E0E74">
      <w:pPr>
        <w:pStyle w:val="Hdg2"/>
        <w:numPr>
          <w:ilvl w:val="0"/>
          <w:numId w:val="0"/>
        </w:numPr>
        <w:ind w:left="2240" w:hanging="680"/>
      </w:pPr>
      <w:bookmarkStart w:id="477" w:name="_Toc413058114"/>
      <w:bookmarkStart w:id="478" w:name="_Toc413060326"/>
      <w:r w:rsidRPr="0076579A">
        <w:t>Rezultatele detaliate ale testării proiectelor de infrastructură feroviară</w:t>
      </w:r>
      <w:bookmarkEnd w:id="477"/>
      <w:bookmarkEnd w:id="478"/>
    </w:p>
    <w:p w:rsidR="00573AD5" w:rsidRDefault="00573AD5" w:rsidP="0030066D">
      <w:pPr>
        <w:pStyle w:val="Body"/>
        <w:ind w:left="0"/>
        <w:rPr>
          <w:b/>
          <w:i w:val="0"/>
          <w:lang w:val="ro-RO"/>
        </w:rPr>
      </w:pPr>
      <w:r w:rsidRPr="0076579A">
        <w:rPr>
          <w:b/>
          <w:i w:val="0"/>
          <w:lang w:val="ro-RO"/>
        </w:rPr>
        <w:t>Reabilitare la viteza de proiectare a Coridorului IV-N TEN-T centrală și a legăturii cu Cluj-Napoca (Test DS01A)</w:t>
      </w:r>
    </w:p>
    <w:p w:rsidR="00573AD5" w:rsidRDefault="00573AD5" w:rsidP="0030066D">
      <w:pPr>
        <w:pStyle w:val="Heading3"/>
        <w:pBdr>
          <w:top w:val="single" w:sz="4" w:space="1" w:color="auto"/>
          <w:left w:val="single" w:sz="4" w:space="4" w:color="auto"/>
          <w:bottom w:val="single" w:sz="4" w:space="1" w:color="auto"/>
          <w:right w:val="single" w:sz="4" w:space="4" w:color="auto"/>
        </w:pBdr>
        <w:shd w:val="clear" w:color="auto" w:fill="DBE5F1" w:themeFill="accent1" w:themeFillTint="33"/>
        <w:spacing w:line="276" w:lineRule="auto"/>
        <w:rPr>
          <w:rFonts w:cs="Arial"/>
          <w:b/>
          <w:sz w:val="22"/>
          <w:szCs w:val="22"/>
          <w:lang w:val="ro-RO"/>
        </w:rPr>
      </w:pPr>
      <w:r w:rsidRPr="0076579A">
        <w:rPr>
          <w:rFonts w:cs="Arial"/>
          <w:b/>
          <w:sz w:val="22"/>
          <w:szCs w:val="22"/>
          <w:lang w:val="ro-RO"/>
        </w:rPr>
        <w:t>Descrierea propunerii</w:t>
      </w:r>
    </w:p>
    <w:p w:rsidR="00573AD5" w:rsidRDefault="00573AD5" w:rsidP="0030066D">
      <w:pPr>
        <w:pBdr>
          <w:top w:val="single" w:sz="4" w:space="1" w:color="auto"/>
          <w:left w:val="single" w:sz="4" w:space="4" w:color="auto"/>
          <w:bottom w:val="single" w:sz="4" w:space="1" w:color="auto"/>
          <w:right w:val="single" w:sz="4" w:space="4" w:color="auto"/>
        </w:pBdr>
        <w:shd w:val="clear" w:color="auto" w:fill="DBE5F1" w:themeFill="accent1" w:themeFillTint="33"/>
        <w:spacing w:line="276" w:lineRule="auto"/>
        <w:jc w:val="both"/>
        <w:rPr>
          <w:rFonts w:cs="Arial"/>
          <w:sz w:val="22"/>
          <w:szCs w:val="22"/>
          <w:lang w:val="ro-RO"/>
        </w:rPr>
      </w:pPr>
      <w:r w:rsidRPr="0076579A">
        <w:rPr>
          <w:rFonts w:cs="Arial"/>
          <w:sz w:val="22"/>
          <w:szCs w:val="22"/>
          <w:lang w:val="ro-RO"/>
        </w:rPr>
        <w:t>Program de modernizare a coridorului IV-N TEN-T centrală între București Nord și Arad/granița cu Ungaria și a liniei 300 între Cluj-Napoca și Coridorul TEN-T IV-N. Secțiunile București-Predeal și Sighișoara-frontieră sunt fie deja reabilitate sau în curs de reabilitare.</w:t>
      </w:r>
    </w:p>
    <w:p w:rsidR="00573AD5" w:rsidRDefault="00573AD5" w:rsidP="0030066D">
      <w:pPr>
        <w:pBdr>
          <w:top w:val="single" w:sz="4" w:space="1" w:color="auto"/>
          <w:left w:val="single" w:sz="4" w:space="4" w:color="auto"/>
          <w:bottom w:val="single" w:sz="4" w:space="1" w:color="auto"/>
          <w:right w:val="single" w:sz="4" w:space="4" w:color="auto"/>
        </w:pBdr>
        <w:shd w:val="clear" w:color="auto" w:fill="DBE5F1" w:themeFill="accent1" w:themeFillTint="33"/>
        <w:spacing w:line="276" w:lineRule="auto"/>
        <w:rPr>
          <w:rFonts w:cs="Arial"/>
          <w:sz w:val="22"/>
          <w:szCs w:val="22"/>
          <w:lang w:val="ro-RO"/>
        </w:rPr>
      </w:pPr>
      <w:r w:rsidRPr="0076579A">
        <w:rPr>
          <w:rFonts w:cs="Arial"/>
          <w:sz w:val="22"/>
          <w:szCs w:val="22"/>
          <w:lang w:val="ro-RO"/>
        </w:rPr>
        <w:t>Proiectul include:</w:t>
      </w:r>
    </w:p>
    <w:p w:rsidR="00573AD5" w:rsidRDefault="00573AD5" w:rsidP="00573AD5">
      <w:pPr>
        <w:pStyle w:val="ListParagraph"/>
        <w:numPr>
          <w:ilvl w:val="0"/>
          <w:numId w:val="68"/>
        </w:numPr>
        <w:pBdr>
          <w:top w:val="single" w:sz="4" w:space="1" w:color="auto"/>
          <w:left w:val="single" w:sz="4" w:space="22"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Reabilitarea la viteza de proiectare a coridoarelor: 300 București Nord – Cluj-Napoca, 200A, 200 (anumite secțiuni sunt deja reabilitate)</w:t>
      </w:r>
    </w:p>
    <w:p w:rsidR="00573AD5" w:rsidRDefault="00573AD5" w:rsidP="00573AD5">
      <w:pPr>
        <w:pStyle w:val="ListParagraph"/>
        <w:numPr>
          <w:ilvl w:val="0"/>
          <w:numId w:val="68"/>
        </w:numPr>
        <w:pBdr>
          <w:top w:val="single" w:sz="4" w:space="1" w:color="auto"/>
          <w:left w:val="single" w:sz="4" w:space="22"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Default="00573AD5" w:rsidP="00573AD5">
      <w:pPr>
        <w:pStyle w:val="ListParagraph"/>
        <w:numPr>
          <w:ilvl w:val="0"/>
          <w:numId w:val="68"/>
        </w:numPr>
        <w:pBdr>
          <w:top w:val="single" w:sz="4" w:space="1" w:color="auto"/>
          <w:left w:val="single" w:sz="4" w:space="22"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 xml:space="preserve">Îmbunătățirea sistemelor de semnalizare și comunicații – ERTMS va fi implementat pe Coridorul IV-N al rețelei TEN-T centrală </w:t>
      </w:r>
    </w:p>
    <w:p w:rsidR="00573AD5" w:rsidRDefault="00573AD5" w:rsidP="00573AD5">
      <w:pPr>
        <w:pStyle w:val="ListParagraph"/>
        <w:numPr>
          <w:ilvl w:val="0"/>
          <w:numId w:val="68"/>
        </w:numPr>
        <w:pBdr>
          <w:top w:val="single" w:sz="4" w:space="1" w:color="auto"/>
          <w:left w:val="single" w:sz="4" w:space="22"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Modernizarea facilităților oferite în stații: București, Ploiești, Câmpina, Predeal, Brașov, Sighișoara, Mediaș, Blaj, Aiud, Câmpia Turzii, Cluj-Napoca, Alba Iulia, Simeria, Deva, Ilia, Radna și Arad</w:t>
      </w:r>
    </w:p>
    <w:p w:rsidR="00573AD5" w:rsidRDefault="00573AD5" w:rsidP="00573AD5">
      <w:pPr>
        <w:pStyle w:val="ListParagraph"/>
        <w:numPr>
          <w:ilvl w:val="0"/>
          <w:numId w:val="68"/>
        </w:numPr>
        <w:pBdr>
          <w:top w:val="single" w:sz="4" w:space="1" w:color="auto"/>
          <w:left w:val="single" w:sz="4" w:space="22"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București – Cluj-Napoca (0,5 trenuri pe oră), București – Arad (0,5 trenuri pe oră), București – Brașov (1 tren pe oră), Deva – Cluj-Napoca (0,5 trenuri pe oră)</w:t>
      </w: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686425" cy="3991530"/>
            <wp:effectExtent l="19050" t="0" r="9525" b="0"/>
            <wp:docPr id="59" name="Picture 4" descr="F:\Projects\Transport Planning - Romania UK GTMP\PUBLIC TRANSPORT\Rail\04_Plots\Do_Somthing_schemes\outputs\DoSomethingSchemes_DS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jects\Transport Planning - Romania UK GTMP\PUBLIC TRANSPORT\Rail\04_Plots\Do_Somthing_schemes\outputs\DoSomethingSchemes_DS01A.jpg"/>
                    <pic:cNvPicPr>
                      <a:picLocks noChangeAspect="1" noChangeArrowheads="1"/>
                    </pic:cNvPicPr>
                  </pic:nvPicPr>
                  <pic:blipFill>
                    <a:blip r:embed="rId205" cstate="print"/>
                    <a:srcRect l="2361" t="2468" r="2146" b="2606"/>
                    <a:stretch>
                      <a:fillRect/>
                    </a:stretch>
                  </pic:blipFill>
                  <pic:spPr bwMode="auto">
                    <a:xfrm>
                      <a:off x="0" y="0"/>
                      <a:ext cx="5692867" cy="3996052"/>
                    </a:xfrm>
                    <a:prstGeom prst="rect">
                      <a:avLst/>
                    </a:prstGeom>
                    <a:noFill/>
                    <a:ln w="9525">
                      <a:noFill/>
                      <a:miter lim="800000"/>
                      <a:headEnd/>
                      <a:tailEnd/>
                    </a:ln>
                  </pic:spPr>
                </pic:pic>
              </a:graphicData>
            </a:graphic>
          </wp:inline>
        </w:drawing>
      </w:r>
    </w:p>
    <w:p w:rsidR="00573AD5" w:rsidRDefault="00573AD5" w:rsidP="0030066D">
      <w:pPr>
        <w:pStyle w:val="Caption"/>
        <w:rPr>
          <w:b/>
          <w:sz w:val="22"/>
          <w:szCs w:val="22"/>
        </w:rPr>
      </w:pPr>
      <w:r>
        <w:rPr>
          <w:b/>
          <w:sz w:val="22"/>
          <w:szCs w:val="22"/>
        </w:rPr>
        <w:t>Figura</w:t>
      </w:r>
      <w:r w:rsidRPr="0075501B">
        <w:rPr>
          <w:b/>
          <w:sz w:val="22"/>
          <w:szCs w:val="22"/>
        </w:rPr>
        <w:t xml:space="preserve"> 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32</w:t>
      </w:r>
      <w:r w:rsidR="003259E9" w:rsidRPr="0075501B">
        <w:rPr>
          <w:b/>
          <w:sz w:val="22"/>
          <w:szCs w:val="22"/>
        </w:rPr>
        <w:fldChar w:fldCharType="end"/>
      </w:r>
      <w:r>
        <w:rPr>
          <w:b/>
          <w:sz w:val="22"/>
          <w:szCs w:val="22"/>
        </w:rPr>
        <w:t>:</w:t>
      </w:r>
      <w:r w:rsidRPr="0075501B">
        <w:rPr>
          <w:b/>
          <w:sz w:val="22"/>
          <w:szCs w:val="22"/>
        </w:rPr>
        <w:t xml:space="preserve"> </w:t>
      </w:r>
      <w:r>
        <w:rPr>
          <w:b/>
          <w:sz w:val="22"/>
          <w:szCs w:val="22"/>
        </w:rPr>
        <w:t>Descrierea propunerii de servicii – DS01A</w:t>
      </w:r>
    </w:p>
    <w:p w:rsidR="00573AD5" w:rsidRPr="00AE1AD4" w:rsidRDefault="00573AD5" w:rsidP="00AE1AD4">
      <w:pPr>
        <w:ind w:left="851"/>
        <w:rPr>
          <w:i/>
          <w:lang w:val="ro-RO"/>
        </w:rPr>
      </w:pPr>
      <w:r w:rsidRPr="00AE1AD4">
        <w:rPr>
          <w:i/>
          <w:lang w:val="ro-RO"/>
        </w:rPr>
        <w:t xml:space="preserve">Sursa:Prognoza AECOM </w:t>
      </w:r>
    </w:p>
    <w:p w:rsidR="00573AD5" w:rsidRDefault="00573AD5" w:rsidP="0030066D">
      <w:pPr>
        <w:pStyle w:val="Heading3"/>
        <w:spacing w:line="276" w:lineRule="auto"/>
        <w:rPr>
          <w:rFonts w:cs="Arial"/>
          <w:b/>
          <w:sz w:val="22"/>
          <w:szCs w:val="22"/>
          <w:lang w:val="ro-RO"/>
        </w:rPr>
      </w:pPr>
    </w:p>
    <w:p w:rsidR="00573AD5" w:rsidRDefault="00573AD5" w:rsidP="0030066D">
      <w:pPr>
        <w:pStyle w:val="Heading3"/>
        <w:pBdr>
          <w:top w:val="single" w:sz="4" w:space="1" w:color="auto"/>
          <w:left w:val="single" w:sz="4" w:space="4" w:color="auto"/>
          <w:bottom w:val="single" w:sz="4" w:space="1" w:color="auto"/>
          <w:right w:val="single" w:sz="4" w:space="4" w:color="auto"/>
        </w:pBdr>
        <w:shd w:val="clear" w:color="auto" w:fill="DBE5F1" w:themeFill="accent1" w:themeFillTint="33"/>
        <w:spacing w:line="276" w:lineRule="auto"/>
        <w:rPr>
          <w:rFonts w:cs="Arial"/>
          <w:b/>
          <w:sz w:val="22"/>
          <w:szCs w:val="22"/>
          <w:lang w:val="ro-RO"/>
        </w:rPr>
      </w:pPr>
      <w:r w:rsidRPr="0076579A">
        <w:rPr>
          <w:rFonts w:cs="Arial"/>
          <w:b/>
          <w:sz w:val="22"/>
          <w:szCs w:val="22"/>
          <w:lang w:val="ro-RO"/>
        </w:rPr>
        <w:t xml:space="preserve">Probleme </w:t>
      </w:r>
      <w:r>
        <w:rPr>
          <w:rFonts w:cs="Arial"/>
          <w:b/>
          <w:sz w:val="22"/>
          <w:szCs w:val="22"/>
          <w:lang w:val="ro-RO"/>
        </w:rPr>
        <w:t>abordate</w:t>
      </w:r>
    </w:p>
    <w:p w:rsidR="00573AD5" w:rsidRDefault="00573AD5" w:rsidP="0030066D">
      <w:pPr>
        <w:pBdr>
          <w:top w:val="single" w:sz="4" w:space="1" w:color="auto"/>
          <w:left w:val="single" w:sz="4" w:space="4" w:color="auto"/>
          <w:bottom w:val="single" w:sz="4" w:space="1" w:color="auto"/>
          <w:right w:val="single" w:sz="4" w:space="4" w:color="auto"/>
        </w:pBdr>
        <w:shd w:val="clear" w:color="auto" w:fill="DBE5F1" w:themeFill="accent1" w:themeFillTint="33"/>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pentru trenurile de pasageri și marfă pe rutele București - Cluj-Napoca și București-Arad-frontieră.</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sectoarele Predeal-Arad și Teiuș-Cluj-Napoca. Vitezele maxime situate la 45% din parametrii de proiectare (secțiunea Augustin-Racoș).</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Cotă de piață scăzută pentru calea ferată pe sectorul București – Ploiești – Brașov; pe acest coridor, calea ferată nu este competitivă în comparație cu modul de transport rutier.</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Default="00573AD5" w:rsidP="00573AD5">
      <w:pPr>
        <w:pStyle w:val="ListParagraph"/>
        <w:numPr>
          <w:ilvl w:val="0"/>
          <w:numId w:val="69"/>
        </w:numPr>
        <w:pBdr>
          <w:top w:val="single" w:sz="4" w:space="1" w:color="auto"/>
          <w:left w:val="single" w:sz="4" w:space="23" w:color="auto"/>
          <w:bottom w:val="single" w:sz="4" w:space="1" w:color="auto"/>
          <w:right w:val="single" w:sz="4" w:space="4" w:color="auto"/>
        </w:pBdr>
        <w:shd w:val="clear" w:color="auto" w:fill="DBE5F1" w:themeFill="accent1" w:themeFillTint="33"/>
        <w:spacing w:after="120" w:line="276" w:lineRule="auto"/>
        <w:contextualSpacing/>
        <w:rPr>
          <w:sz w:val="22"/>
          <w:szCs w:val="22"/>
          <w:lang w:val="ro-RO"/>
        </w:rPr>
      </w:pPr>
      <w:r w:rsidRPr="0076579A">
        <w:rPr>
          <w:sz w:val="22"/>
          <w:szCs w:val="22"/>
          <w:lang w:val="ro-RO"/>
        </w:rPr>
        <w:t>Capacitate limitată și sisteme de semnalizare redundante. Infrastructura pentru secțiunea București-Brașov ar putea să nu facă față în viitor la creșterea de trafic după reabilitare; un proiect pilot de implementare a ERTMS este în implementare pentru acest sector, ceea ce ar crește semnificativ capacitate și gradul de siguranță.</w:t>
      </w: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implementarea proiectului, care exclud costurile cu întreținerea rețelei principale la nivelul la care degradările ulterioare sunt oprite precum și costurile cu modernizarea infrastructurii deja reabilitate sau aflate în curs de reabilitare.</w:t>
      </w:r>
    </w:p>
    <w:p w:rsidR="00573AD5" w:rsidRPr="0076579A" w:rsidRDefault="00573AD5" w:rsidP="0030066D">
      <w:pPr>
        <w:spacing w:line="276" w:lineRule="auto"/>
        <w:jc w:val="both"/>
        <w:rPr>
          <w:rFonts w:cs="Arial"/>
          <w:sz w:val="22"/>
          <w:szCs w:val="22"/>
          <w:lang w:val="ro-RO"/>
        </w:rPr>
      </w:pP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jc w:val="center"/>
              <w:rPr>
                <w:rFonts w:cs="Arial"/>
                <w:sz w:val="22"/>
                <w:szCs w:val="22"/>
                <w:lang w:val="ro-RO"/>
              </w:rPr>
            </w:pPr>
            <w:r w:rsidRPr="00804F1B">
              <w:rPr>
                <w:rFonts w:cs="Arial"/>
                <w:sz w:val="22"/>
                <w:szCs w:val="22"/>
              </w:rPr>
              <w:t>3</w:t>
            </w:r>
            <w:r>
              <w:rPr>
                <w:rFonts w:cs="Arial"/>
                <w:sz w:val="22"/>
                <w:szCs w:val="22"/>
              </w:rPr>
              <w:t>.</w:t>
            </w:r>
            <w:r w:rsidRPr="00804F1B">
              <w:rPr>
                <w:rFonts w:cs="Arial"/>
                <w:sz w:val="22"/>
                <w:szCs w:val="22"/>
              </w:rPr>
              <w:t>0</w:t>
            </w:r>
            <w:r>
              <w:rPr>
                <w:rFonts w:cs="Arial"/>
                <w:sz w:val="22"/>
                <w:szCs w:val="22"/>
              </w:rPr>
              <w:t>30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jc w:val="center"/>
              <w:rPr>
                <w:rFonts w:cs="Arial"/>
                <w:sz w:val="22"/>
                <w:szCs w:val="22"/>
                <w:lang w:val="ro-RO"/>
              </w:rPr>
            </w:pPr>
            <w:r w:rsidRPr="00804F1B">
              <w:rPr>
                <w:rFonts w:cs="Arial"/>
                <w:sz w:val="22"/>
                <w:szCs w:val="22"/>
              </w:rPr>
              <w:t>1</w:t>
            </w:r>
            <w:r>
              <w:rPr>
                <w:rFonts w:cs="Arial"/>
                <w:sz w:val="22"/>
                <w:szCs w:val="22"/>
              </w:rPr>
              <w:t>.935</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jc w:val="center"/>
              <w:rPr>
                <w:rFonts w:cs="Arial"/>
                <w:sz w:val="22"/>
                <w:szCs w:val="22"/>
                <w:lang w:val="ro-RO"/>
              </w:rPr>
            </w:pPr>
            <w:r w:rsidRPr="00804F1B">
              <w:rPr>
                <w:rFonts w:cs="Arial"/>
                <w:sz w:val="22"/>
                <w:szCs w:val="22"/>
              </w:rPr>
              <w:t>4</w:t>
            </w:r>
            <w:r>
              <w:rPr>
                <w:rFonts w:cs="Arial"/>
                <w:sz w:val="22"/>
                <w:szCs w:val="22"/>
              </w:rPr>
              <w:t>.965</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76579A" w:rsidRDefault="00573AD5" w:rsidP="0030066D">
      <w:pPr>
        <w:spacing w:line="276" w:lineRule="auto"/>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bune (B/C = 1,11) dar și o creștere semnificativă a traficului de pasageri și marfă, de 27%, respectiv 9% pentru întreaga rețea (a se vedea tabelul următor):</w:t>
      </w:r>
    </w:p>
    <w:p w:rsidR="00573AD5" w:rsidRDefault="00573AD5" w:rsidP="0030066D">
      <w:pPr>
        <w:pStyle w:val="Caption"/>
        <w:rPr>
          <w:b/>
          <w:sz w:val="22"/>
          <w:szCs w:val="22"/>
        </w:rPr>
      </w:pPr>
      <w:r>
        <w:rPr>
          <w:b/>
          <w:sz w:val="22"/>
          <w:szCs w:val="22"/>
        </w:rPr>
        <w:t xml:space="preserve">Tabelul </w:t>
      </w:r>
      <w:r w:rsidRPr="001F5936">
        <w:rPr>
          <w:b/>
          <w:sz w:val="22"/>
          <w:szCs w:val="22"/>
        </w:rPr>
        <w:t xml:space="preserve"> 5.</w:t>
      </w:r>
      <w:r w:rsidR="003259E9" w:rsidRPr="001F5936">
        <w:rPr>
          <w:b/>
          <w:sz w:val="22"/>
          <w:szCs w:val="22"/>
        </w:rPr>
        <w:fldChar w:fldCharType="begin"/>
      </w:r>
      <w:r w:rsidRPr="001F5936">
        <w:rPr>
          <w:b/>
          <w:sz w:val="22"/>
          <w:szCs w:val="22"/>
        </w:rPr>
        <w:instrText xml:space="preserve"> SEQ Table \* ARABIC </w:instrText>
      </w:r>
      <w:r w:rsidR="003259E9" w:rsidRPr="001F5936">
        <w:rPr>
          <w:b/>
          <w:sz w:val="22"/>
          <w:szCs w:val="22"/>
        </w:rPr>
        <w:fldChar w:fldCharType="separate"/>
      </w:r>
      <w:r>
        <w:rPr>
          <w:b/>
          <w:sz w:val="22"/>
          <w:szCs w:val="22"/>
        </w:rPr>
        <w:t>17</w:t>
      </w:r>
      <w:r w:rsidR="003259E9" w:rsidRPr="001F5936">
        <w:rPr>
          <w:b/>
          <w:sz w:val="22"/>
          <w:szCs w:val="22"/>
        </w:rPr>
        <w:fldChar w:fldCharType="end"/>
      </w:r>
      <w:r w:rsidRPr="001F5936">
        <w:rPr>
          <w:b/>
          <w:sz w:val="22"/>
          <w:szCs w:val="22"/>
        </w:rPr>
        <w:t>:</w:t>
      </w:r>
      <w:r>
        <w:rPr>
          <w:b/>
          <w:sz w:val="22"/>
          <w:szCs w:val="22"/>
        </w:rPr>
        <w:t xml:space="preserve"> Sinteza rezultatelor </w:t>
      </w:r>
    </w:p>
    <w:tbl>
      <w:tblPr>
        <w:tblStyle w:val="TableGrid"/>
        <w:tblW w:w="0" w:type="auto"/>
        <w:tblLook w:val="04A0" w:firstRow="1" w:lastRow="0" w:firstColumn="1" w:lastColumn="0" w:noHBand="0" w:noVBand="1"/>
      </w:tblPr>
      <w:tblGrid>
        <w:gridCol w:w="5866"/>
        <w:gridCol w:w="1672"/>
      </w:tblGrid>
      <w:tr w:rsidR="00573AD5" w:rsidRPr="0076579A" w:rsidTr="0030066D">
        <w:trPr>
          <w:cantSplit/>
          <w:tblHeader/>
        </w:trPr>
        <w:tc>
          <w:tcPr>
            <w:tcW w:w="0" w:type="auto"/>
            <w:shd w:val="clear" w:color="auto" w:fill="DBE5F1" w:themeFill="accent1"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DS01A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center"/>
          </w:tcPr>
          <w:p w:rsidR="00573AD5" w:rsidRPr="0076579A" w:rsidRDefault="00573AD5" w:rsidP="00573AD5">
            <w:pPr>
              <w:spacing w:before="120" w:line="276" w:lineRule="auto"/>
              <w:jc w:val="center"/>
              <w:rPr>
                <w:rFonts w:cs="Arial"/>
                <w:sz w:val="22"/>
                <w:szCs w:val="22"/>
                <w:lang w:val="ro-RO"/>
              </w:rPr>
            </w:pPr>
            <w:r w:rsidRPr="0076579A">
              <w:rPr>
                <w:rFonts w:cs="Arial"/>
                <w:sz w:val="22"/>
                <w:szCs w:val="22"/>
                <w:lang w:val="ro-RO"/>
              </w:rPr>
              <w:t>+5.814 (+27%)</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center"/>
          </w:tcPr>
          <w:p w:rsidR="00573AD5" w:rsidRPr="0076579A" w:rsidRDefault="00573AD5" w:rsidP="00573AD5">
            <w:pPr>
              <w:spacing w:before="120" w:line="276" w:lineRule="auto"/>
              <w:jc w:val="center"/>
              <w:rPr>
                <w:rFonts w:cs="Arial"/>
                <w:sz w:val="22"/>
                <w:szCs w:val="22"/>
                <w:lang w:val="ro-RO"/>
              </w:rPr>
            </w:pPr>
            <w:r w:rsidRPr="0076579A">
              <w:rPr>
                <w:rFonts w:cs="Arial"/>
                <w:sz w:val="22"/>
                <w:szCs w:val="22"/>
                <w:lang w:val="ro-RO"/>
              </w:rPr>
              <w:t>+1,7%</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center"/>
          </w:tcPr>
          <w:p w:rsidR="00573AD5" w:rsidRPr="0076579A" w:rsidRDefault="00573AD5" w:rsidP="00573AD5">
            <w:pPr>
              <w:spacing w:before="120" w:line="276" w:lineRule="auto"/>
              <w:jc w:val="center"/>
              <w:rPr>
                <w:rFonts w:cs="Arial"/>
                <w:sz w:val="22"/>
                <w:szCs w:val="22"/>
                <w:lang w:val="ro-RO"/>
              </w:rPr>
            </w:pPr>
            <w:r w:rsidRPr="0076579A">
              <w:rPr>
                <w:rFonts w:cs="Arial"/>
                <w:sz w:val="22"/>
                <w:szCs w:val="22"/>
                <w:lang w:val="ro-RO"/>
              </w:rPr>
              <w:t>+4.175 (+9%)</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center"/>
          </w:tcPr>
          <w:p w:rsidR="00573AD5" w:rsidRPr="0076579A" w:rsidRDefault="00573AD5" w:rsidP="00573AD5">
            <w:pPr>
              <w:spacing w:before="120" w:line="276" w:lineRule="auto"/>
              <w:jc w:val="center"/>
              <w:rPr>
                <w:rFonts w:cs="Arial"/>
                <w:sz w:val="22"/>
                <w:szCs w:val="22"/>
                <w:lang w:val="ro-RO"/>
              </w:rPr>
            </w:pPr>
            <w:r w:rsidRPr="0076579A">
              <w:rPr>
                <w:rFonts w:cs="Arial"/>
                <w:sz w:val="22"/>
                <w:szCs w:val="22"/>
                <w:lang w:val="ro-RO"/>
              </w:rPr>
              <w:t>+1,2%</w:t>
            </w:r>
          </w:p>
        </w:tc>
      </w:tr>
      <w:tr w:rsidR="00573AD5" w:rsidRPr="0076579A" w:rsidTr="0030066D">
        <w:trPr>
          <w:cantSplit/>
        </w:trPr>
        <w:tc>
          <w:tcPr>
            <w:tcW w:w="0" w:type="auto"/>
            <w:vAlign w:val="center"/>
          </w:tcPr>
          <w:p w:rsidR="00573AD5" w:rsidRPr="0076579A" w:rsidRDefault="00573AD5" w:rsidP="008E0E74">
            <w:pPr>
              <w:spacing w:before="120" w:line="276" w:lineRule="auto"/>
              <w:rPr>
                <w:rFonts w:cs="Arial"/>
                <w:b/>
                <w:sz w:val="22"/>
                <w:szCs w:val="22"/>
                <w:lang w:val="ro-RO"/>
              </w:rPr>
            </w:pPr>
            <w:r w:rsidRPr="0076579A">
              <w:rPr>
                <w:rFonts w:cs="Arial"/>
                <w:b/>
                <w:sz w:val="22"/>
                <w:szCs w:val="22"/>
                <w:lang w:val="ro-RO"/>
              </w:rPr>
              <w:t>VN</w:t>
            </w:r>
            <w:r w:rsidR="008E0E74">
              <w:rPr>
                <w:rFonts w:cs="Arial"/>
                <w:b/>
                <w:sz w:val="22"/>
                <w:szCs w:val="22"/>
                <w:lang w:val="ro-RO"/>
              </w:rPr>
              <w:t>A</w:t>
            </w:r>
            <w:r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jc w:val="center"/>
              <w:rPr>
                <w:rFonts w:cs="Arial"/>
                <w:b/>
                <w:sz w:val="22"/>
                <w:szCs w:val="22"/>
                <w:lang w:val="ro-RO"/>
              </w:rPr>
            </w:pPr>
            <w:r>
              <w:rPr>
                <w:rFonts w:cs="Arial"/>
                <w:b/>
                <w:sz w:val="22"/>
                <w:szCs w:val="22"/>
              </w:rPr>
              <w:t>183</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B/C</w:t>
            </w:r>
          </w:p>
        </w:tc>
        <w:tc>
          <w:tcPr>
            <w:tcW w:w="0" w:type="auto"/>
            <w:vAlign w:val="center"/>
          </w:tcPr>
          <w:p w:rsidR="00573AD5" w:rsidRPr="0076579A" w:rsidRDefault="00573AD5" w:rsidP="00573AD5">
            <w:pPr>
              <w:spacing w:before="120" w:line="276" w:lineRule="auto"/>
              <w:jc w:val="center"/>
              <w:rPr>
                <w:rFonts w:cs="Arial"/>
                <w:b/>
                <w:sz w:val="22"/>
                <w:szCs w:val="22"/>
                <w:lang w:val="ro-RO"/>
              </w:rPr>
            </w:pPr>
            <w:r>
              <w:rPr>
                <w:rFonts w:cs="Arial"/>
                <w:b/>
                <w:sz w:val="22"/>
                <w:szCs w:val="22"/>
              </w:rPr>
              <w:t>1,09</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RIRE</w:t>
            </w:r>
          </w:p>
        </w:tc>
        <w:tc>
          <w:tcPr>
            <w:tcW w:w="0" w:type="auto"/>
            <w:vAlign w:val="center"/>
          </w:tcPr>
          <w:p w:rsidR="00573AD5" w:rsidRPr="0076579A" w:rsidRDefault="00573AD5" w:rsidP="00573AD5">
            <w:pPr>
              <w:spacing w:before="120" w:line="276" w:lineRule="auto"/>
              <w:jc w:val="center"/>
              <w:rPr>
                <w:rFonts w:cs="Arial"/>
                <w:b/>
                <w:sz w:val="22"/>
                <w:szCs w:val="22"/>
                <w:lang w:val="ro-RO"/>
              </w:rPr>
            </w:pPr>
            <w:r>
              <w:rPr>
                <w:rFonts w:cs="Arial"/>
                <w:b/>
                <w:sz w:val="22"/>
                <w:szCs w:val="22"/>
              </w:rPr>
              <w:t>5,47%</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jc w:val="center"/>
              <w:rPr>
                <w:rFonts w:cs="Arial"/>
                <w:sz w:val="22"/>
                <w:szCs w:val="22"/>
                <w:lang w:val="ro-RO"/>
              </w:rPr>
            </w:pPr>
            <w:r w:rsidRPr="00804F1B">
              <w:rPr>
                <w:rFonts w:cs="Arial"/>
                <w:sz w:val="22"/>
                <w:szCs w:val="22"/>
              </w:rPr>
              <w:t>795</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jc w:val="center"/>
              <w:rPr>
                <w:rFonts w:cs="Arial"/>
                <w:sz w:val="22"/>
                <w:szCs w:val="22"/>
                <w:lang w:val="ro-RO"/>
              </w:rPr>
            </w:pPr>
            <w:r w:rsidRPr="00804F1B">
              <w:rPr>
                <w:rFonts w:cs="Arial"/>
                <w:sz w:val="22"/>
                <w:szCs w:val="22"/>
              </w:rPr>
              <w:t>25</w:t>
            </w:r>
          </w:p>
        </w:tc>
      </w:tr>
    </w:tbl>
    <w:p w:rsidR="00573AD5" w:rsidRPr="00AE1AD4" w:rsidRDefault="00573AD5" w:rsidP="00AE1AD4">
      <w:pPr>
        <w:ind w:left="851"/>
        <w:rPr>
          <w:i/>
          <w:lang w:val="ro-RO"/>
        </w:rPr>
      </w:pPr>
      <w:r w:rsidRPr="00AE1AD4">
        <w:rPr>
          <w:i/>
          <w:lang w:val="ro-RO"/>
        </w:rPr>
        <w:t xml:space="preserve">Sursa: Analiza rezultatelor din Modelul Național de Transport AECOM </w:t>
      </w: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 xml:space="preserve">Figurile 5.32 și 5.33 </w:t>
      </w:r>
      <w:r w:rsidRPr="0076579A">
        <w:rPr>
          <w:rFonts w:cs="Arial"/>
          <w:sz w:val="22"/>
          <w:szCs w:val="22"/>
          <w:lang w:val="ro-RO"/>
        </w:rPr>
        <w:t>de mai jos ilustrează cum se modifică fluxurile de pasageri și marfă prognozate pentru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39870"/>
            <wp:effectExtent l="0" t="0" r="0" b="0"/>
            <wp:docPr id="61" name="Picture 542" descr="F:\Projects\Transport Planning - Romania UK GTMP\PUBLIC TRANSPORT\Rail\04_Plots\Rail_results\output\DS01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Rail_results\output\DS01A_2030_change_pass.jp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33</w:t>
      </w:r>
      <w:r w:rsidR="003259E9" w:rsidRPr="0075501B">
        <w:rPr>
          <w:b/>
          <w:sz w:val="22"/>
          <w:szCs w:val="22"/>
        </w:rPr>
        <w:fldChar w:fldCharType="end"/>
      </w:r>
      <w:r>
        <w:rPr>
          <w:b/>
          <w:sz w:val="22"/>
          <w:szCs w:val="22"/>
        </w:rPr>
        <w:t>:</w:t>
      </w:r>
      <w:r w:rsidRPr="0075501B">
        <w:rPr>
          <w:b/>
          <w:sz w:val="22"/>
          <w:szCs w:val="22"/>
        </w:rPr>
        <w:t xml:space="preserve"> </w:t>
      </w:r>
      <w:r>
        <w:rPr>
          <w:b/>
          <w:sz w:val="22"/>
          <w:szCs w:val="22"/>
        </w:rPr>
        <w:t>Modificări ale cererii de transport călători  – DS01A</w:t>
      </w:r>
    </w:p>
    <w:p w:rsidR="00573AD5" w:rsidRPr="00AE1AD4" w:rsidRDefault="00573AD5" w:rsidP="00AE1AD4">
      <w:pPr>
        <w:ind w:left="851"/>
        <w:rPr>
          <w:i/>
          <w:lang w:val="ro-RO"/>
        </w:rPr>
      </w:pPr>
      <w:bookmarkStart w:id="479" w:name="_Toc413058115"/>
      <w:r w:rsidRPr="00AE1AD4">
        <w:rPr>
          <w:i/>
          <w:lang w:val="ro-RO"/>
        </w:rPr>
        <w:t>Sursa: Prognoza AECOM</w:t>
      </w:r>
      <w:bookmarkEnd w:id="479"/>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 xml:space="preserve">Așa cum arată </w:t>
      </w:r>
      <w:r>
        <w:rPr>
          <w:rFonts w:cs="Arial"/>
          <w:sz w:val="22"/>
          <w:szCs w:val="22"/>
          <w:lang w:val="ro-RO"/>
        </w:rPr>
        <w:t>Figura 5.33</w:t>
      </w:r>
      <w:r w:rsidRPr="0076579A">
        <w:rPr>
          <w:rFonts w:cs="Arial"/>
          <w:sz w:val="22"/>
          <w:szCs w:val="22"/>
          <w:lang w:val="ro-RO"/>
        </w:rPr>
        <w:t>, proiectul conduce la creșterea cererii de transport de pasageri pe coridorul București – Ploiești – Brașov – Arad. Traficul între Ploiești și Brașov crește cu 115% și cu 155% între Deva și Arad. Există și o creștere semnificativă datorată traficului deviat de pe secțiunea București – Craiova – Timișoara – Arad, ca rezultat al îmbunătățirii serviciilor pentru pasageri. Se estimează că cererea pe ruta Craiova - Drobeta Turnu-Severin va scădea cu 40%.</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25900"/>
            <wp:effectExtent l="0" t="0" r="0" b="0"/>
            <wp:docPr id="62" name="Picture 541" descr="F:\Projects\Transport Planning - Romania UK GTMP\PUBLIC TRANSPORT\Rail\04_Plots\Rail_results\output\DS01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jects\Transport Planning - Romania UK GTMP\PUBLIC TRANSPORT\Rail\04_Plots\Rail_results\output\DS01A_2030_change_freight.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759450" cy="40259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34</w:t>
      </w:r>
      <w:r w:rsidR="003259E9" w:rsidRPr="0075501B">
        <w:rPr>
          <w:b/>
          <w:sz w:val="22"/>
          <w:szCs w:val="22"/>
        </w:rPr>
        <w:fldChar w:fldCharType="end"/>
      </w:r>
      <w:r>
        <w:rPr>
          <w:b/>
          <w:sz w:val="22"/>
          <w:szCs w:val="22"/>
        </w:rPr>
        <w:t>:</w:t>
      </w:r>
      <w:r w:rsidRPr="0075501B">
        <w:rPr>
          <w:b/>
          <w:sz w:val="22"/>
          <w:szCs w:val="22"/>
        </w:rPr>
        <w:t xml:space="preserve"> </w:t>
      </w:r>
      <w:r>
        <w:rPr>
          <w:b/>
          <w:sz w:val="22"/>
          <w:szCs w:val="22"/>
        </w:rPr>
        <w:t>Modificări ale cererii de transport marfă – DS01A</w:t>
      </w:r>
    </w:p>
    <w:p w:rsidR="00573AD5" w:rsidRPr="00AE1AD4" w:rsidRDefault="00573AD5" w:rsidP="00AE1AD4">
      <w:pPr>
        <w:ind w:left="851"/>
        <w:rPr>
          <w:i/>
          <w:lang w:val="ro-RO"/>
        </w:rPr>
      </w:pPr>
      <w:bookmarkStart w:id="480" w:name="_Toc413058116"/>
      <w:r w:rsidRPr="00AE1AD4">
        <w:rPr>
          <w:i/>
          <w:lang w:val="ro-RO"/>
        </w:rPr>
        <w:t>Sursa: Prognoza AECOM</w:t>
      </w:r>
      <w:bookmarkEnd w:id="480"/>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Și traficul de mărfuri este așteptat să crească cu 60% pe sectorul Brașov – Sighișoara. Ca o tendință similară cu cea a pieței de pasageri, o parte din traficul de marfă de pe coridorul București – Craiova – Timișoara – Arad este de așteptat să fie deviat pe coridorul modernizat. Numărul de tone transportate este estimat să scadă cu 50% pe acest coridor.</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Secțiunile București-Predeal și Sighișoara-frontieră sunt deja finalizate sau aflate în implementare în perioada 2014-2020.</w:t>
      </w:r>
    </w:p>
    <w:p w:rsidR="00573AD5" w:rsidRPr="0076579A" w:rsidRDefault="00573AD5" w:rsidP="00573AD5">
      <w:pPr>
        <w:pStyle w:val="BulletLevel1"/>
        <w:spacing w:after="60"/>
      </w:pPr>
      <w:r w:rsidRPr="0076579A">
        <w:t>Celelalte secțiuni vor fi implementate până în anul 2020.</w:t>
      </w:r>
    </w:p>
    <w:p w:rsidR="00573AD5" w:rsidRPr="0076579A" w:rsidRDefault="00573AD5" w:rsidP="0030066D">
      <w:pPr>
        <w:rPr>
          <w:lang w:val="ro-RO"/>
        </w:rPr>
      </w:pPr>
      <w:r w:rsidRPr="0076579A">
        <w:rPr>
          <w:lang w:val="ro-RO"/>
        </w:rPr>
        <w:br w:type="page"/>
      </w:r>
    </w:p>
    <w:p w:rsidR="00573AD5" w:rsidRDefault="00573AD5" w:rsidP="008E0E74">
      <w:pPr>
        <w:pStyle w:val="Hdg3"/>
        <w:ind w:left="851"/>
        <w:rPr>
          <w:b w:val="0"/>
          <w:i w:val="0"/>
        </w:rPr>
      </w:pPr>
      <w:r w:rsidRPr="008E0E74">
        <w:lastRenderedPageBreak/>
        <w:t>Reabilitare la viteze sporite a Coridorului IV-N al rețelei de bazăTEN-T și a legăturii cu Cluj-Napoca (Test DS01B</w:t>
      </w:r>
      <w:r w:rsidRPr="0076579A">
        <w:rPr>
          <w:i w:val="0"/>
        </w:rPr>
        <w:t>)</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IV-N al rețelei de bază TEN-T între București Nord și Arad/granița cu Ungaria și a liniei 300 între Cluj-Napoca și Coridorul IV-N TEN-T. Secțiunile cu o viteză de proiectare de mai puțin de 100 km/h vor fi reabilitate la viteze superioare. Secțiunile București-Predeal și Sighișoara-frontieră sunt fie deja reabilitate sau în curs de reabilitare.</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coridoarelor: 300 București Nord – Cluj-Napoca, 200A, 200 (anumite secțiuni sunt deja reabilitate)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viteze superioare, pentru secțiunile cu o viteză de proiectare mai mică de            100 km/h, a coridoarelor: 300 București Nord – Cluj-Napoca, 200A, 200 (anumite secțiuni sunt deja reabilitate)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 xml:space="preserve">Îmbunătățirea sistemelor de semnalizare și comunicații – ERTMS va fi implementat pe Coridorul IV-N al rețelei de bază TEN-T </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Ploiești, Câmpina, Predeal, Brașov, Sighișoara, Mediaș, Blaj, Aiud, Câmpia Turzii, Cluj-Napoca, Alba Iulia, Simeria, Deva, Ilia, Radna și Arad</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București – Cluj-Napoca (0,5 trenuri pe oră), București – Arad (0,5 trenuri pe oră), București – Brașov (1 tren pe oră), Deva – Cluj-Napoca (0,5 trenuri pe oră)</w:t>
            </w:r>
          </w:p>
          <w:p w:rsidR="00573AD5" w:rsidRDefault="00573AD5" w:rsidP="00573AD5">
            <w:pPr>
              <w:pStyle w:val="Body"/>
              <w:ind w:left="0"/>
              <w:rPr>
                <w:b/>
                <w:i w:val="0"/>
                <w:lang w:val="ro-RO"/>
              </w:rPr>
            </w:pPr>
          </w:p>
        </w:tc>
      </w:tr>
    </w:tbl>
    <w:p w:rsidR="00573AD5" w:rsidRPr="0076579A" w:rsidRDefault="00573AD5" w:rsidP="0030066D">
      <w:pPr>
        <w:pStyle w:val="Body"/>
        <w:ind w:left="0"/>
        <w:rPr>
          <w:b/>
          <w:i w:val="0"/>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lastRenderedPageBreak/>
        <w:drawing>
          <wp:inline distT="0" distB="0" distL="0" distR="0">
            <wp:extent cx="5586619" cy="3931576"/>
            <wp:effectExtent l="19050" t="0" r="0" b="0"/>
            <wp:docPr id="63" name="Picture 540" descr="DoSomethingSchemes_DS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SomethingSchemes_DS01B.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597711" cy="3939382"/>
                    </a:xfrm>
                    <a:prstGeom prst="rect">
                      <a:avLst/>
                    </a:prstGeom>
                    <a:noFill/>
                    <a:ln>
                      <a:noFill/>
                    </a:ln>
                  </pic:spPr>
                </pic:pic>
              </a:graphicData>
            </a:graphic>
          </wp:inline>
        </w:drawing>
      </w:r>
    </w:p>
    <w:p w:rsidR="00573AD5" w:rsidRPr="008C7A83" w:rsidRDefault="00573AD5" w:rsidP="0030066D">
      <w:pPr>
        <w:pStyle w:val="Caption"/>
        <w:rPr>
          <w:b/>
          <w:szCs w:val="22"/>
        </w:rPr>
      </w:pPr>
      <w:r>
        <w:rPr>
          <w:b/>
          <w:sz w:val="22"/>
          <w:szCs w:val="22"/>
        </w:rPr>
        <w:t xml:space="preserve">Figura </w:t>
      </w:r>
      <w:r w:rsidRPr="008C7A83">
        <w:rPr>
          <w:b/>
          <w:sz w:val="22"/>
          <w:szCs w:val="22"/>
        </w:rPr>
        <w:t>5.</w:t>
      </w:r>
      <w:r w:rsidR="003259E9" w:rsidRPr="008C7A83">
        <w:rPr>
          <w:b/>
          <w:sz w:val="22"/>
          <w:szCs w:val="22"/>
        </w:rPr>
        <w:fldChar w:fldCharType="begin"/>
      </w:r>
      <w:r w:rsidRPr="008C7A83">
        <w:rPr>
          <w:b/>
          <w:sz w:val="22"/>
          <w:szCs w:val="22"/>
        </w:rPr>
        <w:instrText xml:space="preserve"> SEQ Figure \* ARABIC </w:instrText>
      </w:r>
      <w:r w:rsidR="003259E9" w:rsidRPr="008C7A83">
        <w:rPr>
          <w:b/>
          <w:sz w:val="22"/>
          <w:szCs w:val="22"/>
        </w:rPr>
        <w:fldChar w:fldCharType="separate"/>
      </w:r>
      <w:r w:rsidRPr="008C7A83">
        <w:rPr>
          <w:b/>
          <w:sz w:val="22"/>
          <w:szCs w:val="22"/>
        </w:rPr>
        <w:t>35</w:t>
      </w:r>
      <w:r w:rsidR="003259E9" w:rsidRPr="008C7A83">
        <w:rPr>
          <w:b/>
          <w:sz w:val="22"/>
          <w:szCs w:val="22"/>
        </w:rPr>
        <w:fldChar w:fldCharType="end"/>
      </w:r>
      <w:r w:rsidRPr="008C7A83">
        <w:rPr>
          <w:b/>
          <w:sz w:val="22"/>
          <w:szCs w:val="22"/>
        </w:rPr>
        <w:t>:</w:t>
      </w:r>
      <w:r>
        <w:rPr>
          <w:b/>
          <w:sz w:val="22"/>
          <w:szCs w:val="22"/>
        </w:rPr>
        <w:t xml:space="preserve"> Descrierea propunerilor de servicii – DS01B</w:t>
      </w:r>
    </w:p>
    <w:p w:rsidR="00573AD5" w:rsidRPr="00AE1AD4" w:rsidRDefault="00573AD5" w:rsidP="00AE1AD4">
      <w:pPr>
        <w:ind w:left="851"/>
        <w:rPr>
          <w:i/>
          <w:lang w:val="ro-RO"/>
        </w:rPr>
      </w:pPr>
      <w:bookmarkStart w:id="481" w:name="_Toc413058117"/>
      <w:r w:rsidRPr="00AE1AD4">
        <w:rPr>
          <w:i/>
          <w:lang w:val="ro-RO"/>
        </w:rPr>
        <w:t>Sursa: Analiza AECOM a rezultatelor Modelului Național de Transport</w:t>
      </w:r>
      <w:bookmarkEnd w:id="481"/>
      <w:r w:rsidRPr="00AE1AD4">
        <w:rPr>
          <w:i/>
          <w:lang w:val="ro-RO"/>
        </w:rPr>
        <w:t xml:space="preserve"> </w:t>
      </w:r>
    </w:p>
    <w:p w:rsidR="00573AD5" w:rsidRPr="0076579A" w:rsidRDefault="00573AD5" w:rsidP="0030066D">
      <w:pPr>
        <w:rPr>
          <w:rFonts w:cs="Arial"/>
          <w:b/>
          <w:sz w:val="22"/>
          <w:szCs w:val="22"/>
          <w:lang w:val="ro-RO"/>
        </w:rPr>
      </w:pPr>
    </w:p>
    <w:tbl>
      <w:tblPr>
        <w:tblStyle w:val="TableGrid"/>
        <w:tblW w:w="0" w:type="auto"/>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pentru trenurile de pasageri și marfă pe rutele București - Cluj-Napoca și București-Arad-frontieră.</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sectoarele Predeal-Arad și Teiuș-Cluj-Napoca. Vitezele maxime situate la 45% din parametrii de proiectare (secțiunea Augustin-Racoș).</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pentru calea ferată pe sectorul București – Ploiești – Brașov; pe acest coridor, calea ferată nu este competitivă în comparație cu modul de transport rutier.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de proiectare scăzute pentru secțiunile Predeal-Brașov și Războieni-Apahida.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Default="00573AD5" w:rsidP="00573AD5">
            <w:pPr>
              <w:pStyle w:val="Heading3"/>
              <w:spacing w:line="276" w:lineRule="auto"/>
              <w:rPr>
                <w:rFonts w:cs="Arial"/>
                <w:b/>
                <w:sz w:val="22"/>
                <w:szCs w:val="22"/>
                <w:lang w:val="ro-RO"/>
              </w:rPr>
            </w:pPr>
            <w:r w:rsidRPr="0076579A">
              <w:rPr>
                <w:sz w:val="22"/>
                <w:szCs w:val="22"/>
                <w:lang w:val="ro-RO"/>
              </w:rPr>
              <w:t>Capacitate limitată și sisteme de semnalizare redundante. Infrastructura pentru secțiunea București-Brașov ar putea să nu facă față viitorului volum mai mare de trafic, după reabilitare; un proiect pilot de implementare a ERTMS este în implementare pentru acest sector, ceea ce ar crește semnificativ capacitate și gradul de siguranță</w:t>
            </w: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 precum și costurile cu modernizarea infrastructurii deja reabilitate sau aflate în curs de reabilitare.</w:t>
      </w: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18</w:t>
      </w:r>
      <w:r w:rsidR="003259E9">
        <w:rPr>
          <w:b/>
          <w:sz w:val="22"/>
          <w:szCs w:val="22"/>
        </w:rPr>
        <w:fldChar w:fldCharType="end"/>
      </w:r>
      <w:r>
        <w:rPr>
          <w:b/>
          <w:sz w:val="22"/>
          <w:szCs w:val="22"/>
        </w:rPr>
        <w:t>: Sinteza costurilor de operare și de infrastructură (DS01B)</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3.578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.962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AE1AD4" w:rsidTr="0030066D">
        <w:trPr>
          <w:cantSplit/>
        </w:trPr>
        <w:tc>
          <w:tcPr>
            <w:tcW w:w="722" w:type="pct"/>
            <w:vAlign w:val="center"/>
          </w:tcPr>
          <w:p w:rsidR="00573AD5" w:rsidRPr="00AE1AD4" w:rsidRDefault="00573AD5" w:rsidP="00AE1AD4">
            <w:pPr>
              <w:spacing w:before="120" w:line="276" w:lineRule="auto"/>
              <w:rPr>
                <w:rFonts w:cs="Arial"/>
                <w:sz w:val="22"/>
                <w:szCs w:val="22"/>
                <w:lang w:val="ro-RO"/>
              </w:rPr>
            </w:pPr>
            <w:r w:rsidRPr="00AE1AD4">
              <w:rPr>
                <w:rFonts w:cs="Arial"/>
                <w:sz w:val="22"/>
                <w:szCs w:val="22"/>
                <w:lang w:val="ro-RO"/>
              </w:rPr>
              <w:t xml:space="preserve">Total </w:t>
            </w:r>
          </w:p>
        </w:tc>
        <w:tc>
          <w:tcPr>
            <w:tcW w:w="1330" w:type="pct"/>
            <w:vAlign w:val="center"/>
          </w:tcPr>
          <w:p w:rsidR="00573AD5" w:rsidRPr="00AE1AD4" w:rsidRDefault="00573AD5" w:rsidP="00AE1AD4">
            <w:pPr>
              <w:spacing w:before="120" w:line="276" w:lineRule="auto"/>
              <w:rPr>
                <w:rFonts w:cs="Arial"/>
                <w:sz w:val="22"/>
                <w:szCs w:val="22"/>
                <w:lang w:val="ro-RO"/>
              </w:rPr>
            </w:pPr>
            <w:r w:rsidRPr="00AE1AD4">
              <w:rPr>
                <w:rFonts w:cs="Arial"/>
                <w:sz w:val="22"/>
                <w:szCs w:val="22"/>
                <w:lang w:val="ro-RO"/>
              </w:rPr>
              <w:t>5.540</w:t>
            </w:r>
          </w:p>
        </w:tc>
        <w:tc>
          <w:tcPr>
            <w:tcW w:w="2948" w:type="pct"/>
          </w:tcPr>
          <w:p w:rsidR="00573AD5" w:rsidRPr="00AE1AD4" w:rsidRDefault="00573AD5" w:rsidP="00AE1AD4">
            <w:pPr>
              <w:spacing w:before="120" w:line="276" w:lineRule="auto"/>
              <w:rPr>
                <w:rFonts w:cs="Arial"/>
                <w:sz w:val="22"/>
                <w:szCs w:val="22"/>
                <w:lang w:val="ro-RO"/>
              </w:rPr>
            </w:pPr>
            <w:r w:rsidRPr="00AE1AD4">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AE1AD4" w:rsidRDefault="00573AD5" w:rsidP="00AE1AD4">
      <w:pPr>
        <w:ind w:left="851"/>
        <w:rPr>
          <w:i/>
          <w:lang w:val="ro-RO"/>
        </w:rPr>
      </w:pPr>
      <w:r w:rsidRPr="00AE1AD4">
        <w:rPr>
          <w:i/>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 xml:space="preserve">Această intervenție oferă rezultate economice medii (B/C = </w:t>
      </w:r>
      <w:r>
        <w:rPr>
          <w:rFonts w:cs="Arial"/>
          <w:sz w:val="22"/>
          <w:szCs w:val="22"/>
          <w:lang w:val="ro-RO"/>
        </w:rPr>
        <w:t>0,99</w:t>
      </w:r>
      <w:r w:rsidRPr="0076579A">
        <w:rPr>
          <w:rFonts w:cs="Arial"/>
          <w:sz w:val="22"/>
          <w:szCs w:val="22"/>
          <w:lang w:val="ro-RO"/>
        </w:rPr>
        <w:t xml:space="preserve">) dar și o creștere semnificativă a traficului de pasageri și marfă, de 30%, respectiv 9% pentru întreaga rețea (a se vedea tabelul </w:t>
      </w:r>
      <w:r>
        <w:rPr>
          <w:rFonts w:cs="Arial"/>
          <w:sz w:val="22"/>
          <w:szCs w:val="22"/>
          <w:lang w:val="ro-RO"/>
        </w:rPr>
        <w:t>5.19</w:t>
      </w:r>
      <w:r w:rsidRPr="0076579A">
        <w:rPr>
          <w:rFonts w:cs="Arial"/>
          <w:sz w:val="22"/>
          <w:szCs w:val="22"/>
          <w:lang w:val="ro-RO"/>
        </w:rPr>
        <w:t>r):</w:t>
      </w: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19</w:t>
      </w:r>
      <w:r w:rsidR="003259E9">
        <w:rPr>
          <w:b/>
          <w:sz w:val="22"/>
          <w:szCs w:val="22"/>
        </w:rPr>
        <w:fldChar w:fldCharType="end"/>
      </w:r>
      <w:r>
        <w:rPr>
          <w:b/>
          <w:sz w:val="22"/>
          <w:szCs w:val="22"/>
        </w:rPr>
        <w:t>: Sinteza rezultatelor  (DS01B)</w:t>
      </w:r>
    </w:p>
    <w:tbl>
      <w:tblPr>
        <w:tblStyle w:val="TableGrid"/>
        <w:tblW w:w="0" w:type="auto"/>
        <w:tblLook w:val="04A0" w:firstRow="1" w:lastRow="0" w:firstColumn="1" w:lastColumn="0" w:noHBand="0" w:noVBand="1"/>
      </w:tblPr>
      <w:tblGrid>
        <w:gridCol w:w="5866"/>
        <w:gridCol w:w="1672"/>
      </w:tblGrid>
      <w:tr w:rsidR="00573AD5" w:rsidRPr="0076579A" w:rsidTr="0030066D">
        <w:trPr>
          <w:cantSplit/>
          <w:tblHeader/>
        </w:trPr>
        <w:tc>
          <w:tcPr>
            <w:tcW w:w="0" w:type="auto"/>
            <w:shd w:val="clear" w:color="auto" w:fill="DBE5F1" w:themeFill="accent1"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DS01B</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+6</w:t>
            </w:r>
            <w:r>
              <w:rPr>
                <w:rFonts w:cs="Arial"/>
                <w:sz w:val="22"/>
                <w:szCs w:val="22"/>
              </w:rPr>
              <w:t>.</w:t>
            </w:r>
            <w:r w:rsidRPr="00804F1B">
              <w:rPr>
                <w:rFonts w:cs="Arial"/>
                <w:sz w:val="22"/>
                <w:szCs w:val="22"/>
              </w:rPr>
              <w:t>374 (+30%)</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1.9%</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w:t>
            </w:r>
            <w:r>
              <w:rPr>
                <w:rFonts w:cs="Arial"/>
                <w:sz w:val="22"/>
                <w:szCs w:val="22"/>
              </w:rPr>
              <w:t>.</w:t>
            </w:r>
            <w:r w:rsidRPr="00804F1B">
              <w:rPr>
                <w:rFonts w:cs="Arial"/>
                <w:sz w:val="22"/>
                <w:szCs w:val="22"/>
              </w:rPr>
              <w:t>189 (+9%)</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1</w:t>
            </w:r>
            <w:r w:rsidRPr="00804F1B">
              <w:rPr>
                <w:rFonts w:cs="Arial"/>
                <w:sz w:val="22"/>
                <w:szCs w:val="22"/>
              </w:rPr>
              <w:t>%</w:t>
            </w:r>
          </w:p>
        </w:tc>
      </w:tr>
      <w:tr w:rsidR="00573AD5" w:rsidRPr="0076579A" w:rsidTr="0030066D">
        <w:trPr>
          <w:cantSplit/>
        </w:trPr>
        <w:tc>
          <w:tcPr>
            <w:tcW w:w="0" w:type="auto"/>
            <w:vAlign w:val="center"/>
          </w:tcPr>
          <w:p w:rsidR="00573AD5" w:rsidRPr="0076579A" w:rsidRDefault="00573AD5" w:rsidP="00E766B3">
            <w:pPr>
              <w:spacing w:before="120" w:line="276" w:lineRule="auto"/>
              <w:rPr>
                <w:rFonts w:cs="Arial"/>
                <w:b/>
                <w:sz w:val="22"/>
                <w:szCs w:val="22"/>
                <w:lang w:val="ro-RO"/>
              </w:rPr>
            </w:pPr>
            <w:r w:rsidRPr="0076579A">
              <w:rPr>
                <w:rFonts w:cs="Arial"/>
                <w:b/>
                <w:sz w:val="22"/>
                <w:szCs w:val="22"/>
                <w:lang w:val="ro-RO"/>
              </w:rPr>
              <w:t>VN</w:t>
            </w:r>
            <w:r w:rsidR="00E766B3">
              <w:rPr>
                <w:rFonts w:cs="Arial"/>
                <w:b/>
                <w:sz w:val="22"/>
                <w:szCs w:val="22"/>
                <w:lang w:val="ro-RO"/>
              </w:rPr>
              <w:t>A</w:t>
            </w:r>
            <w:r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-36</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0.99</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4.92</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795</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25</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Figurile 5.36 și 5.37</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61" name="Picture 539" descr="F:\Projects\Transport Planning - Romania UK GTMP\PUBLIC TRANSPORT\Rail\04_Plots\Rail_results\output\DS01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jects\Transport Planning - Romania UK GTMP\PUBLIC TRANSPORT\Rail\04_Plots\Rail_results\output\DS01B_2030_change_pass.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Pr="008C7A83"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36</w:t>
      </w:r>
      <w:r w:rsidR="003259E9" w:rsidRPr="0075501B">
        <w:rPr>
          <w:b/>
          <w:sz w:val="22"/>
          <w:szCs w:val="22"/>
        </w:rPr>
        <w:fldChar w:fldCharType="end"/>
      </w:r>
      <w:r>
        <w:rPr>
          <w:b/>
          <w:sz w:val="22"/>
          <w:szCs w:val="22"/>
        </w:rPr>
        <w:t>: Modificări ale cererii de transport călători    (DS01B)</w:t>
      </w:r>
    </w:p>
    <w:p w:rsidR="00573AD5" w:rsidRPr="00AE1AD4" w:rsidRDefault="00573AD5" w:rsidP="00AE1AD4">
      <w:pPr>
        <w:ind w:left="851"/>
        <w:rPr>
          <w:i/>
          <w:lang w:val="ro-RO"/>
        </w:rPr>
      </w:pPr>
      <w:bookmarkStart w:id="482" w:name="_Toc413058118"/>
      <w:r w:rsidRPr="00AE1AD4">
        <w:rPr>
          <w:i/>
          <w:lang w:val="ro-RO"/>
        </w:rPr>
        <w:t>Sursa: Prognoza AECOM</w:t>
      </w:r>
      <w:bookmarkEnd w:id="482"/>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lastRenderedPageBreak/>
        <w:t xml:space="preserve">Așa cum arată </w:t>
      </w:r>
      <w:r>
        <w:rPr>
          <w:rFonts w:cs="Arial"/>
          <w:sz w:val="22"/>
          <w:szCs w:val="22"/>
          <w:lang w:val="ro-RO"/>
        </w:rPr>
        <w:t>Figura 5.36</w:t>
      </w:r>
      <w:r w:rsidRPr="0076579A">
        <w:rPr>
          <w:rFonts w:cs="Arial"/>
          <w:sz w:val="22"/>
          <w:szCs w:val="22"/>
          <w:lang w:val="ro-RO"/>
        </w:rPr>
        <w:t>, proiectul conduce la creșterea cererii de transport de pasageri pe coridorul București – Ploiești – Brașov – Arad. Traficul între Ploiești și Brașov crește cu 130% și cu 155% între Deva și Arad. Există și o creștere semnificativă datorată traficului deviata de pe secțiunea București – Craiova – Timișoara – Arad, ca rezultat al îmbunătățirii serviciilor pentru pasageri. Se estimează că cererea pe ruta Craiova - Drobeta Turnu-Severin va scădea cu 45%.</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12565"/>
            <wp:effectExtent l="0" t="0" r="0" b="6985"/>
            <wp:docPr id="962" name="Picture 538" descr="F:\Projects\Transport Planning - Romania UK GTMP\PUBLIC TRANSPORT\Rail\04_Plots\Rail_results\output\DS01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jects\Transport Planning - Romania UK GTMP\PUBLIC TRANSPORT\Rail\04_Plots\Rail_results\output\DS01B_2030_change_freight.jpg"/>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759450" cy="401256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37</w:t>
      </w:r>
      <w:r w:rsidR="003259E9" w:rsidRPr="0075501B">
        <w:rPr>
          <w:b/>
          <w:sz w:val="22"/>
          <w:szCs w:val="22"/>
        </w:rPr>
        <w:fldChar w:fldCharType="end"/>
      </w:r>
      <w:r>
        <w:rPr>
          <w:b/>
          <w:sz w:val="22"/>
          <w:szCs w:val="22"/>
        </w:rPr>
        <w:t>: Modificări ale cererii de transport marfă (DS01B)</w:t>
      </w:r>
    </w:p>
    <w:p w:rsidR="00573AD5" w:rsidRPr="00AE1AD4" w:rsidRDefault="00573AD5" w:rsidP="00AE1AD4">
      <w:pPr>
        <w:ind w:left="851"/>
        <w:rPr>
          <w:i/>
          <w:lang w:val="ro-RO"/>
        </w:rPr>
      </w:pPr>
      <w:bookmarkStart w:id="483" w:name="_Toc413058119"/>
      <w:r w:rsidRPr="00AE1AD4">
        <w:rPr>
          <w:i/>
          <w:lang w:val="ro-RO"/>
        </w:rPr>
        <w:t>Sursa: Prognoza AECOM</w:t>
      </w:r>
      <w:bookmarkEnd w:id="483"/>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Și traficul de mărfuri este așteptat să crească cu 60% pe sectorul Brașov – Sighișoara. Ca o tendință similară cu cea a pieței de pasageri, o parte din traficul de marfă de pe coridorul București – Craiova – Timișoara – Arad este de așteptat să fie deviat pe coridorul modernizat. Numărul de tone transportate este estimat să scadă cu 50% pe acest coridor.</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Secțiunile București-Predeal și Sighișoara-frontieră sunt deja finalizate sau aflate în implementare în perioada 2014-2020.</w:t>
      </w:r>
    </w:p>
    <w:p w:rsidR="00573AD5" w:rsidRPr="0076579A" w:rsidRDefault="00573AD5" w:rsidP="00573AD5">
      <w:pPr>
        <w:pStyle w:val="BulletLevel1"/>
        <w:spacing w:after="60"/>
      </w:pPr>
      <w:r w:rsidRPr="0076579A">
        <w:t>Celelalte secțiuni vor fi implementate până în anul 2020.</w:t>
      </w:r>
    </w:p>
    <w:p w:rsidR="00573AD5" w:rsidRPr="0076579A" w:rsidRDefault="00573AD5" w:rsidP="0030066D">
      <w:pPr>
        <w:rPr>
          <w:lang w:val="ro-RO"/>
        </w:rPr>
      </w:pPr>
    </w:p>
    <w:p w:rsidR="00573AD5" w:rsidRPr="0076579A" w:rsidRDefault="00573AD5" w:rsidP="0030066D">
      <w:pPr>
        <w:rPr>
          <w:lang w:val="ro-RO"/>
        </w:rPr>
      </w:pPr>
    </w:p>
    <w:p w:rsidR="00573AD5" w:rsidRPr="0076579A" w:rsidRDefault="00573AD5" w:rsidP="0030066D">
      <w:pPr>
        <w:rPr>
          <w:rFonts w:cs="Arial"/>
          <w:i/>
          <w:sz w:val="22"/>
          <w:szCs w:val="22"/>
          <w:lang w:val="ro-RO"/>
        </w:rPr>
      </w:pPr>
      <w:r w:rsidRPr="0076579A">
        <w:rPr>
          <w:rFonts w:cs="Arial"/>
          <w:lang w:val="ro-RO"/>
        </w:rPr>
        <w:br w:type="page"/>
      </w:r>
    </w:p>
    <w:p w:rsidR="00573AD5" w:rsidRPr="00E766B3" w:rsidRDefault="00573AD5" w:rsidP="00E766B3">
      <w:pPr>
        <w:pStyle w:val="Hdg3"/>
        <w:ind w:left="851"/>
      </w:pPr>
      <w:r w:rsidRPr="00E766B3">
        <w:lastRenderedPageBreak/>
        <w:t>Reabilitare la viteza de proiectare a secțiunii București - Constanța (Test DS02A)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București - Constanța. Deși linia a fost modernizată recent, restricțiile de viteză existente limitează vitezele de circulație sub nivelul vitezei de proiectare.</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și eliminarea restricțiilor de viteză</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Lehliu, Ciulnița, Fetești, Cernavodă, Medgidia și Constanța; anumite stații au fost deja reabilitate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operat prin material rulant nou. Intervalele de succesiune propuse sunt: București – Constanța (1 tren pe oră), cu un serviciu rapid și cu opriri dese la fiecare două ore.</w:t>
            </w:r>
          </w:p>
          <w:p w:rsidR="00573AD5" w:rsidRDefault="00573AD5" w:rsidP="00573AD5">
            <w:pPr>
              <w:pStyle w:val="Heading3"/>
              <w:spacing w:line="276" w:lineRule="auto"/>
              <w:rPr>
                <w:rFonts w:cs="Arial"/>
                <w:b/>
                <w:sz w:val="22"/>
                <w:szCs w:val="22"/>
                <w:lang w:val="ro-RO"/>
              </w:rPr>
            </w:pPr>
          </w:p>
        </w:tc>
      </w:tr>
    </w:tbl>
    <w:p w:rsidR="00E766B3" w:rsidRDefault="00E766B3" w:rsidP="0030066D">
      <w:pPr>
        <w:pStyle w:val="Caption"/>
        <w:rPr>
          <w:b/>
          <w:sz w:val="22"/>
          <w:szCs w:val="22"/>
        </w:rPr>
      </w:pPr>
    </w:p>
    <w:p w:rsidR="00E766B3" w:rsidRDefault="00E766B3" w:rsidP="0030066D">
      <w:pPr>
        <w:pStyle w:val="Caption"/>
        <w:rPr>
          <w:b/>
          <w:sz w:val="22"/>
          <w:szCs w:val="22"/>
        </w:rPr>
      </w:pPr>
      <w:r w:rsidRPr="00E766B3">
        <w:rPr>
          <w:b/>
          <w:noProof/>
          <w:sz w:val="22"/>
          <w:szCs w:val="22"/>
          <w:lang w:val="ro-RO" w:eastAsia="ro-RO"/>
        </w:rPr>
        <w:drawing>
          <wp:inline distT="0" distB="0" distL="0" distR="0">
            <wp:extent cx="5538487" cy="3960000"/>
            <wp:effectExtent l="0" t="0" r="5080" b="2540"/>
            <wp:docPr id="432" name="Picture 10" descr="F:\Projects\Transport Planning - Romania UK GTMP\PUBLIC TRANSPORT\Rail\04_Plots\Do_Somthing_schemes\outputs\DoSomethingSchemes_DS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s\Transport Planning - Romania UK GTMP\PUBLIC TRANSPORT\Rail\04_Plots\Do_Somthing_schemes\outputs\DoSomethingSchemes_DS02A.jpg"/>
                    <pic:cNvPicPr>
                      <a:picLocks noChangeAspect="1" noChangeArrowheads="1"/>
                    </pic:cNvPicPr>
                  </pic:nvPicPr>
                  <pic:blipFill>
                    <a:blip r:embed="rId211" cstate="print"/>
                    <a:srcRect l="2644" t="2504" r="2446" b="2785"/>
                    <a:stretch>
                      <a:fillRect/>
                    </a:stretch>
                  </pic:blipFill>
                  <pic:spPr bwMode="auto">
                    <a:xfrm>
                      <a:off x="0" y="0"/>
                      <a:ext cx="5538487" cy="3960000"/>
                    </a:xfrm>
                    <a:prstGeom prst="rect">
                      <a:avLst/>
                    </a:prstGeom>
                    <a:noFill/>
                    <a:ln w="9525">
                      <a:noFill/>
                      <a:miter lim="800000"/>
                      <a:headEnd/>
                      <a:tailEnd/>
                    </a:ln>
                  </pic:spPr>
                </pic:pic>
              </a:graphicData>
            </a:graphic>
          </wp:inline>
        </w:drawing>
      </w:r>
    </w:p>
    <w:p w:rsidR="00573AD5" w:rsidRDefault="00573AD5" w:rsidP="0030066D">
      <w:pPr>
        <w:pStyle w:val="Caption"/>
        <w:rPr>
          <w:b/>
          <w:sz w:val="22"/>
          <w:szCs w:val="22"/>
        </w:rPr>
      </w:pPr>
      <w:r>
        <w:rPr>
          <w:b/>
          <w:sz w:val="22"/>
          <w:szCs w:val="22"/>
        </w:rPr>
        <w:t xml:space="preserve">Figura </w:t>
      </w:r>
      <w:r w:rsidRPr="008C7A83">
        <w:rPr>
          <w:b/>
          <w:sz w:val="22"/>
          <w:szCs w:val="22"/>
        </w:rPr>
        <w:t>5.</w:t>
      </w:r>
      <w:r w:rsidR="003259E9" w:rsidRPr="008C7A83">
        <w:rPr>
          <w:b/>
          <w:sz w:val="22"/>
          <w:szCs w:val="22"/>
        </w:rPr>
        <w:fldChar w:fldCharType="begin"/>
      </w:r>
      <w:r w:rsidRPr="008C7A83">
        <w:rPr>
          <w:b/>
          <w:sz w:val="22"/>
          <w:szCs w:val="22"/>
        </w:rPr>
        <w:instrText xml:space="preserve"> SEQ Figure \* ARABIC </w:instrText>
      </w:r>
      <w:r w:rsidR="003259E9" w:rsidRPr="008C7A83">
        <w:rPr>
          <w:b/>
          <w:sz w:val="22"/>
          <w:szCs w:val="22"/>
        </w:rPr>
        <w:fldChar w:fldCharType="separate"/>
      </w:r>
      <w:r w:rsidRPr="008C7A83">
        <w:rPr>
          <w:b/>
          <w:sz w:val="22"/>
          <w:szCs w:val="22"/>
        </w:rPr>
        <w:t>38</w:t>
      </w:r>
      <w:r w:rsidR="003259E9" w:rsidRPr="008C7A83">
        <w:rPr>
          <w:b/>
          <w:sz w:val="22"/>
          <w:szCs w:val="22"/>
        </w:rPr>
        <w:fldChar w:fldCharType="end"/>
      </w:r>
      <w:r w:rsidRPr="008C7A83">
        <w:rPr>
          <w:b/>
          <w:sz w:val="22"/>
          <w:szCs w:val="22"/>
        </w:rPr>
        <w:t>:</w:t>
      </w:r>
      <w:r>
        <w:rPr>
          <w:b/>
          <w:sz w:val="22"/>
          <w:szCs w:val="22"/>
        </w:rPr>
        <w:t xml:space="preserve"> Descrierea propunerilor de servicii (DS02A)</w:t>
      </w:r>
    </w:p>
    <w:p w:rsidR="00573AD5" w:rsidRDefault="00573AD5" w:rsidP="0030066D">
      <w:pPr>
        <w:rPr>
          <w:rFonts w:cs="Arial"/>
          <w:b/>
          <w:sz w:val="22"/>
          <w:szCs w:val="22"/>
          <w:lang w:val="ro-RO"/>
        </w:rPr>
      </w:pPr>
      <w:r>
        <w:rPr>
          <w:i/>
        </w:rPr>
        <w:t>Sursa: Analiza AECOM a rezultatelor Modelului Național de Transport</w:t>
      </w:r>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E766B3">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Limitările de viteză existente conduc la viteze de circulație reduse, inferioare vitezelor de proiectare la care s-au realizat lucrările de modernizare. Deși anumite secțiuni ale coridorului au fost proiectate la o viteză de 200 km/h, în prezent trenurile de pasageri sunt limitate la o viteză de 140 km/h.</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pentru acest coridor. În principiu, infrastructura feroviară existentă ar permite viteze superioare rețelei rutiere.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aflat într-o stare precară și facilități de slabă calitate oferite în stațiile CF,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Pauze în operare, datorită lucrărilor de întreținere, ce ar trebui să se desfășoare doar în timpul nopții.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Default="00573AD5" w:rsidP="00573AD5">
            <w:pPr>
              <w:pStyle w:val="ListParagraph"/>
              <w:numPr>
                <w:ilvl w:val="0"/>
                <w:numId w:val="69"/>
              </w:numPr>
              <w:spacing w:after="120" w:line="276" w:lineRule="auto"/>
              <w:contextualSpacing/>
              <w:rPr>
                <w:b/>
                <w:bCs/>
                <w:kern w:val="28"/>
                <w:sz w:val="22"/>
                <w:szCs w:val="22"/>
                <w:lang w:val="ro-RO"/>
              </w:rPr>
            </w:pPr>
            <w:r w:rsidRPr="0076579A">
              <w:rPr>
                <w:sz w:val="22"/>
                <w:szCs w:val="22"/>
                <w:lang w:val="ro-RO"/>
              </w:rPr>
              <w:t>Frecvență redusă a serviciilor pe ruta București - Constanța.</w:t>
            </w: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rFonts w:cs="Arial"/>
          <w:b/>
          <w:sz w:val="22"/>
          <w:szCs w:val="22"/>
          <w:lang w:val="ro-RO"/>
        </w:rPr>
      </w:pPr>
      <w:r w:rsidRPr="00D62754">
        <w:rPr>
          <w:rFonts w:cs="Arial"/>
          <w:b/>
          <w:sz w:val="22"/>
          <w:szCs w:val="22"/>
          <w:lang w:val="ro-RO"/>
        </w:rPr>
        <w:t>Tabelul 5.20. Sinteză a costurilor de infrastructură și costurilor de operare (DS02A)</w:t>
      </w:r>
    </w:p>
    <w:tbl>
      <w:tblPr>
        <w:tblStyle w:val="TableGrid"/>
        <w:tblW w:w="5000" w:type="pct"/>
        <w:tblLook w:val="04A0" w:firstRow="1" w:lastRow="0" w:firstColumn="1" w:lastColumn="0" w:noHBand="0" w:noVBand="1"/>
      </w:tblPr>
      <w:tblGrid>
        <w:gridCol w:w="1517"/>
        <w:gridCol w:w="2795"/>
        <w:gridCol w:w="6195"/>
      </w:tblGrid>
      <w:tr w:rsidR="00573AD5" w:rsidRPr="0076579A" w:rsidTr="00E766B3">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Pr>
                <w:rFonts w:cs="Arial"/>
                <w:b/>
                <w:bCs/>
                <w:sz w:val="22"/>
                <w:szCs w:val="22"/>
                <w:lang w:val="ro-RO"/>
              </w:rPr>
              <w:t xml:space="preserve"> </w:t>
            </w: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255</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286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6B241D" w:rsidRDefault="00573AD5" w:rsidP="0030066D">
      <w:pPr>
        <w:pStyle w:val="Heading3"/>
        <w:spacing w:line="276" w:lineRule="auto"/>
        <w:rPr>
          <w:rFonts w:cs="Arial"/>
          <w:b/>
          <w:sz w:val="22"/>
          <w:szCs w:val="22"/>
          <w:lang w:val="ro-RO"/>
        </w:rPr>
      </w:pPr>
      <w:r w:rsidRPr="00D62754">
        <w:rPr>
          <w:rFonts w:cs="Arial"/>
          <w:b/>
          <w:sz w:val="22"/>
          <w:szCs w:val="22"/>
          <w:lang w:val="ro-RO"/>
        </w:rPr>
        <w:t>Rez</w:t>
      </w:r>
      <w:r w:rsidRPr="006B241D">
        <w:rPr>
          <w:rFonts w:cs="Arial"/>
          <w:b/>
          <w:sz w:val="22"/>
          <w:szCs w:val="22"/>
          <w:lang w:val="ro-RO"/>
        </w:rPr>
        <w:t>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bune (B/C = 1,85) dar și o creștere a traficului de pasageri de 7% pentru întreaga rețea (a se vedea tabelul următor):</w:t>
      </w:r>
    </w:p>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rFonts w:cs="Arial"/>
          <w:sz w:val="22"/>
          <w:szCs w:val="22"/>
          <w:lang w:val="ro-RO"/>
        </w:rPr>
      </w:pPr>
      <w:r>
        <w:rPr>
          <w:rFonts w:cs="Arial"/>
          <w:sz w:val="22"/>
          <w:szCs w:val="22"/>
          <w:lang w:val="ro-RO"/>
        </w:rPr>
        <w:t>Tabelul 5.21: Sinteza rezultatelor (DS02A)</w:t>
      </w:r>
    </w:p>
    <w:tbl>
      <w:tblPr>
        <w:tblStyle w:val="TableGrid"/>
        <w:tblW w:w="0" w:type="auto"/>
        <w:tblLook w:val="04A0" w:firstRow="1" w:lastRow="0" w:firstColumn="1" w:lastColumn="0" w:noHBand="0" w:noVBand="1"/>
      </w:tblPr>
      <w:tblGrid>
        <w:gridCol w:w="5866"/>
        <w:gridCol w:w="1550"/>
      </w:tblGrid>
      <w:tr w:rsidR="00573AD5" w:rsidRPr="0076579A" w:rsidTr="00E766B3">
        <w:trPr>
          <w:cantSplit/>
          <w:tblHeader/>
        </w:trPr>
        <w:tc>
          <w:tcPr>
            <w:tcW w:w="0" w:type="auto"/>
            <w:shd w:val="clear" w:color="auto" w:fill="DBE5F1" w:themeFill="accent1"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DS02A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422 (+7%)</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lastRenderedPageBreak/>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0,</w:t>
            </w:r>
            <w:r w:rsidRPr="00804F1B">
              <w:rPr>
                <w:rFonts w:cs="Arial"/>
                <w:sz w:val="22"/>
                <w:szCs w:val="22"/>
              </w:rPr>
              <w:t>4%</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-14 (+0%)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0.0%</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255</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13.62</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48,92</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5</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 xml:space="preserve">Figura 5.39 </w:t>
      </w:r>
      <w:r w:rsidRPr="0076579A">
        <w:rPr>
          <w:rFonts w:cs="Arial"/>
          <w:sz w:val="22"/>
          <w:szCs w:val="22"/>
          <w:lang w:val="ro-RO"/>
        </w:rPr>
        <w:t xml:space="preserve"> ilustrează cum se modifică fluxurile prognozate de pasageri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63" name="Picture 536" descr="F:\Projects\Transport Planning - Romania UK GTMP\PUBLIC TRANSPORT\Rail\04_Plots\Rail_results\output\DS02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jects\Transport Planning - Romania UK GTMP\PUBLIC TRANSPORT\Rail\04_Plots\Rail_results\output\DS02A_2030_change_pass.jpg"/>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Pr="008C7A83"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39</w:t>
      </w:r>
      <w:r w:rsidR="003259E9" w:rsidRPr="0075501B">
        <w:rPr>
          <w:b/>
          <w:sz w:val="22"/>
          <w:szCs w:val="22"/>
        </w:rPr>
        <w:fldChar w:fldCharType="end"/>
      </w:r>
      <w:r>
        <w:rPr>
          <w:b/>
          <w:sz w:val="22"/>
          <w:szCs w:val="22"/>
        </w:rPr>
        <w:t>: Modificări ale cererii de transport călători    (DS02A)</w:t>
      </w:r>
    </w:p>
    <w:p w:rsidR="00573AD5" w:rsidRPr="00AE1AD4" w:rsidRDefault="00573AD5" w:rsidP="00AE1AD4">
      <w:pPr>
        <w:ind w:left="851"/>
        <w:rPr>
          <w:i/>
          <w:lang w:val="ro-RO"/>
        </w:rPr>
      </w:pPr>
      <w:bookmarkStart w:id="484" w:name="_Toc413058120"/>
      <w:r w:rsidRPr="00AE1AD4">
        <w:rPr>
          <w:i/>
          <w:lang w:val="ro-RO"/>
        </w:rPr>
        <w:t>Sursa: Analiza AECOM a rezultatelor Modelului Național de Transport</w:t>
      </w:r>
      <w:bookmarkEnd w:id="484"/>
    </w:p>
    <w:p w:rsidR="00573AD5" w:rsidRPr="00AE1AD4" w:rsidRDefault="00573AD5" w:rsidP="00AE1AD4">
      <w:pPr>
        <w:ind w:left="851"/>
        <w:rPr>
          <w:i/>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Așa cum arată figura anterioară, cererea de transport de pasageri pentru coridorul reabilitat crește semnificativ în comparație cu cazul de referință; traficul de pasageri crește cu 115% pe sectorul Lehliu-Ciulnița și cu 80% pentru secțiunea Fetești – Cernavodă.</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S-a considerat că starea tehnică a infrastructurii existente nu limitează vitezele de operare a trenurilor de marfă, prin urmare se poate concluziona că nu se pot atinge economii semnificative ale timpilor de parcurs pentru trenurile de marfă.</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lastRenderedPageBreak/>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 xml:space="preserve">Proiectul va fi implementat până în anul 2020, dacă finanțarea va fi </w:t>
      </w:r>
      <w:r>
        <w:t>asigurată</w:t>
      </w:r>
      <w:r w:rsidRPr="0076579A">
        <w:t>.</w:t>
      </w:r>
    </w:p>
    <w:p w:rsidR="00573AD5" w:rsidRPr="0076579A" w:rsidRDefault="00573AD5" w:rsidP="0030066D">
      <w:pPr>
        <w:rPr>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E766B3" w:rsidRDefault="00573AD5" w:rsidP="00E766B3">
      <w:pPr>
        <w:pStyle w:val="Hdg3"/>
        <w:ind w:left="851"/>
      </w:pPr>
      <w:r w:rsidRPr="00E766B3">
        <w:lastRenderedPageBreak/>
        <w:t>Reabilitare la viteza de proiectare a Coridorului București – Arad via Craiova (Test DS03A)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TEN-T Core IV-S între Arad și Craiova și a liniei 900 între Craiova și București. Acest test include și implementarea unui grafic de mers cadențat pentru conexiunea cu Coridorul TEN-T IV-N via linia 202.</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900 între București și Timișoara precum și pentru secțiunea Timișoara – Arad.</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a permite operarea la viteze de circulație superioare și pentru creșterea capacității de circulație a coridorului.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Videle, Roșiori de Vede, Caracal, Craiova, Filiași, Drobeta – Turnu Severin, Caransebeș, Lugoj, Timișoara și Arad</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București – Arad via Timișoara (0,5 trenuri pe oră), București – Craiova (1 tren pe oră), București – Deva via Craiova (0,5 trenuri pe oră). Serviciile către Deva pot fi extinse până la Cluj-Napoca dacă numărul de pasageri va crește în viitor.</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39870"/>
            <wp:effectExtent l="0" t="0" r="0" b="0"/>
            <wp:docPr id="964" name="Picture 535" descr="F:\Projects\Transport Planning - Romania UK GTMP\PUBLIC TRANSPORT\Rail\04_Plots\Do_Somthing_schemes\outputs\DoSomethingSchemes_DS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Do_Somthing_schemes\outputs\DoSomethingSchemes_DS03A.jp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40</w:t>
      </w:r>
      <w:r w:rsidR="003259E9">
        <w:rPr>
          <w:b/>
          <w:sz w:val="22"/>
          <w:szCs w:val="22"/>
        </w:rPr>
        <w:fldChar w:fldCharType="end"/>
      </w:r>
      <w:r>
        <w:rPr>
          <w:b/>
          <w:sz w:val="22"/>
          <w:szCs w:val="22"/>
        </w:rPr>
        <w:t>: Descrierea propunerilor de servicii (DS03A)</w:t>
      </w:r>
    </w:p>
    <w:p w:rsidR="00573AD5" w:rsidRPr="00AE1AD4" w:rsidRDefault="00573AD5" w:rsidP="00AE1AD4">
      <w:pPr>
        <w:ind w:left="851"/>
        <w:rPr>
          <w:i/>
          <w:lang w:val="ro-RO"/>
        </w:rPr>
      </w:pPr>
      <w:bookmarkStart w:id="485" w:name="_Toc413058121"/>
      <w:r w:rsidRPr="00AE1AD4">
        <w:rPr>
          <w:i/>
          <w:lang w:val="ro-RO"/>
        </w:rPr>
        <w:t>Sursa: Analiza AECOM a rezultatelor Modelului Național de Transport</w:t>
      </w:r>
      <w:bookmarkEnd w:id="485"/>
    </w:p>
    <w:p w:rsidR="00573AD5" w:rsidRDefault="00573AD5" w:rsidP="0030066D">
      <w:pPr>
        <w:rPr>
          <w:rFonts w:cs="Arial"/>
          <w:b/>
          <w:sz w:val="22"/>
          <w:szCs w:val="22"/>
          <w:lang w:val="ro-RO"/>
        </w:rPr>
      </w:pPr>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pentru trenurile de pasageri și marfă pentru Coridorul TEN-T IV-S.</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sectoarele București – Videle, Olteni – Roșiorii de Vede Nord, etc.)</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pentru secțiunea București – Craiova; pe acest coridor; există o cotă importantă de cerere de trafic limitată în prezent de starea tehnică precară a infrastructurii.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 în multe din stațiile CF situate pe acest coridor.</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Pr="00E766B3" w:rsidRDefault="00573AD5" w:rsidP="0030066D">
      <w:pPr>
        <w:spacing w:line="276" w:lineRule="auto"/>
        <w:jc w:val="both"/>
        <w:rPr>
          <w:rFonts w:cs="Arial"/>
          <w:b/>
          <w:sz w:val="22"/>
          <w:szCs w:val="22"/>
          <w:lang w:val="ro-RO"/>
        </w:rPr>
      </w:pPr>
      <w:r w:rsidRPr="00E766B3">
        <w:rPr>
          <w:rFonts w:cs="Arial"/>
          <w:b/>
          <w:sz w:val="22"/>
          <w:szCs w:val="22"/>
          <w:lang w:val="ro-RO"/>
        </w:rPr>
        <w:t>Tabelul 5.22: Sinteză a costurilor de infrastructură și a costurilor de operare (DS03A)</w:t>
      </w:r>
    </w:p>
    <w:tbl>
      <w:tblPr>
        <w:tblStyle w:val="TableGrid"/>
        <w:tblW w:w="5000" w:type="pct"/>
        <w:tblLook w:val="04A0" w:firstRow="1" w:lastRow="0" w:firstColumn="1" w:lastColumn="0" w:noHBand="0" w:noVBand="1"/>
      </w:tblPr>
      <w:tblGrid>
        <w:gridCol w:w="1517"/>
        <w:gridCol w:w="2795"/>
        <w:gridCol w:w="6195"/>
      </w:tblGrid>
      <w:tr w:rsidR="00573AD5" w:rsidRPr="0076579A" w:rsidTr="00E766B3">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2.440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2.416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4.856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AE1AD4" w:rsidRDefault="00573AD5" w:rsidP="00AE1AD4">
      <w:pPr>
        <w:ind w:left="851"/>
        <w:rPr>
          <w:i/>
          <w:lang w:val="ro-RO"/>
        </w:rPr>
      </w:pPr>
      <w:r w:rsidRPr="00AE1AD4">
        <w:rPr>
          <w:i/>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bune (BCR = 1,11) dar și o creștere semnificativă a traficului de pasageri și marfă, de 23%, respectiv 9% pentru întreaga rețea (a se vedea tabelul următor):</w:t>
      </w:r>
    </w:p>
    <w:p w:rsidR="00573AD5" w:rsidRDefault="00573AD5" w:rsidP="0030066D">
      <w:pPr>
        <w:spacing w:line="276" w:lineRule="auto"/>
        <w:jc w:val="both"/>
        <w:rPr>
          <w:rFonts w:cs="Arial"/>
          <w:sz w:val="22"/>
          <w:szCs w:val="22"/>
          <w:lang w:val="ro-RO"/>
        </w:rPr>
      </w:pPr>
    </w:p>
    <w:p w:rsidR="00573AD5" w:rsidRPr="008A2DDE" w:rsidRDefault="00573AD5" w:rsidP="0030066D">
      <w:pPr>
        <w:spacing w:line="276" w:lineRule="auto"/>
        <w:jc w:val="both"/>
        <w:rPr>
          <w:rFonts w:cs="Arial"/>
          <w:b/>
          <w:sz w:val="22"/>
          <w:szCs w:val="22"/>
          <w:lang w:val="ro-RO"/>
        </w:rPr>
      </w:pPr>
      <w:r w:rsidRPr="00D62754">
        <w:rPr>
          <w:rFonts w:cs="Arial"/>
          <w:b/>
          <w:sz w:val="22"/>
          <w:szCs w:val="22"/>
          <w:lang w:val="ro-RO"/>
        </w:rPr>
        <w:t>Tabelul 5.2</w:t>
      </w:r>
      <w:r>
        <w:rPr>
          <w:rFonts w:cs="Arial"/>
          <w:b/>
          <w:sz w:val="22"/>
          <w:szCs w:val="22"/>
          <w:lang w:val="ro-RO"/>
        </w:rPr>
        <w:t>3</w:t>
      </w:r>
      <w:r w:rsidRPr="00D62754">
        <w:rPr>
          <w:rFonts w:cs="Arial"/>
          <w:b/>
          <w:sz w:val="22"/>
          <w:szCs w:val="22"/>
          <w:lang w:val="ro-RO"/>
        </w:rPr>
        <w:t xml:space="preserve">: Sinteză a </w:t>
      </w:r>
      <w:r>
        <w:rPr>
          <w:rFonts w:cs="Arial"/>
          <w:b/>
          <w:sz w:val="22"/>
          <w:szCs w:val="22"/>
          <w:lang w:val="ro-RO"/>
        </w:rPr>
        <w:t>rezultaelor</w:t>
      </w:r>
      <w:r w:rsidRPr="00D62754">
        <w:rPr>
          <w:rFonts w:cs="Arial"/>
          <w:b/>
          <w:sz w:val="22"/>
          <w:szCs w:val="22"/>
          <w:lang w:val="ro-RO"/>
        </w:rPr>
        <w:t xml:space="preserve"> </w:t>
      </w:r>
    </w:p>
    <w:p w:rsidR="00573AD5" w:rsidRPr="0076579A" w:rsidRDefault="00573AD5" w:rsidP="0030066D">
      <w:pPr>
        <w:spacing w:line="276" w:lineRule="auto"/>
        <w:jc w:val="both"/>
        <w:rPr>
          <w:rFonts w:cs="Arial"/>
          <w:sz w:val="22"/>
          <w:szCs w:val="22"/>
          <w:lang w:val="ro-RO"/>
        </w:rPr>
      </w:pPr>
    </w:p>
    <w:tbl>
      <w:tblPr>
        <w:tblStyle w:val="TableGrid"/>
        <w:tblW w:w="0" w:type="auto"/>
        <w:tblLook w:val="04A0" w:firstRow="1" w:lastRow="0" w:firstColumn="1" w:lastColumn="0" w:noHBand="0" w:noVBand="1"/>
      </w:tblPr>
      <w:tblGrid>
        <w:gridCol w:w="5866"/>
        <w:gridCol w:w="1672"/>
      </w:tblGrid>
      <w:tr w:rsidR="00573AD5" w:rsidRPr="0076579A" w:rsidTr="00E766B3">
        <w:trPr>
          <w:cantSplit/>
          <w:tblHeader/>
        </w:trPr>
        <w:tc>
          <w:tcPr>
            <w:tcW w:w="0" w:type="auto"/>
            <w:shd w:val="clear" w:color="auto" w:fill="DBE5F1" w:themeFill="accent1"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DS03A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w:t>
            </w:r>
            <w:r>
              <w:rPr>
                <w:rFonts w:cs="Arial"/>
                <w:sz w:val="22"/>
                <w:szCs w:val="22"/>
              </w:rPr>
              <w:t>.</w:t>
            </w:r>
            <w:r w:rsidRPr="00804F1B">
              <w:rPr>
                <w:rFonts w:cs="Arial"/>
                <w:sz w:val="22"/>
                <w:szCs w:val="22"/>
              </w:rPr>
              <w:t>946 (+23%)</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5%</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+4,101 (+</w:t>
            </w:r>
            <w:r>
              <w:rPr>
                <w:rFonts w:cs="Arial"/>
                <w:sz w:val="22"/>
                <w:szCs w:val="22"/>
              </w:rPr>
              <w:t>6</w:t>
            </w:r>
            <w:r w:rsidRPr="00804F1B">
              <w:rPr>
                <w:rFonts w:cs="Arial"/>
                <w:sz w:val="22"/>
                <w:szCs w:val="22"/>
              </w:rPr>
              <w:t>%)</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106</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w:t>
            </w:r>
            <w:r>
              <w:rPr>
                <w:rFonts w:cs="Arial"/>
                <w:b/>
                <w:sz w:val="22"/>
                <w:szCs w:val="22"/>
              </w:rPr>
              <w:t>,</w:t>
            </w:r>
            <w:r w:rsidRPr="00804F1B">
              <w:rPr>
                <w:rFonts w:cs="Arial"/>
                <w:b/>
                <w:sz w:val="22"/>
                <w:szCs w:val="22"/>
              </w:rPr>
              <w:t>0</w:t>
            </w:r>
            <w:r>
              <w:rPr>
                <w:rFonts w:cs="Arial"/>
                <w:b/>
                <w:sz w:val="22"/>
                <w:szCs w:val="22"/>
              </w:rPr>
              <w:t>6</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5</w:t>
            </w:r>
            <w:r>
              <w:rPr>
                <w:rFonts w:cs="Arial"/>
                <w:b/>
                <w:sz w:val="22"/>
                <w:szCs w:val="22"/>
              </w:rPr>
              <w:t>,32</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875</w:t>
            </w:r>
          </w:p>
        </w:tc>
      </w:tr>
      <w:tr w:rsidR="00573AD5" w:rsidRPr="00AE1AD4" w:rsidTr="0030066D">
        <w:tc>
          <w:tcPr>
            <w:tcW w:w="0" w:type="auto"/>
          </w:tcPr>
          <w:p w:rsidR="00573AD5" w:rsidRPr="00AE1AD4" w:rsidRDefault="00573AD5" w:rsidP="00AE1AD4">
            <w:pPr>
              <w:spacing w:before="120" w:line="276" w:lineRule="auto"/>
              <w:rPr>
                <w:rFonts w:cs="Arial"/>
                <w:sz w:val="22"/>
                <w:szCs w:val="22"/>
                <w:lang w:val="ro-RO"/>
              </w:rPr>
            </w:pPr>
            <w:r w:rsidRPr="00AE1AD4">
              <w:rPr>
                <w:rFonts w:cs="Arial"/>
                <w:sz w:val="22"/>
                <w:szCs w:val="22"/>
                <w:lang w:val="ro-RO"/>
              </w:rPr>
              <w:t>Garnituri de tren necesare</w:t>
            </w:r>
          </w:p>
        </w:tc>
        <w:tc>
          <w:tcPr>
            <w:tcW w:w="0" w:type="auto"/>
          </w:tcPr>
          <w:p w:rsidR="00573AD5" w:rsidRPr="00AE1AD4" w:rsidRDefault="00573AD5" w:rsidP="00AE1AD4">
            <w:pPr>
              <w:spacing w:before="120" w:line="276" w:lineRule="auto"/>
              <w:rPr>
                <w:rFonts w:cs="Arial"/>
                <w:sz w:val="22"/>
                <w:szCs w:val="22"/>
                <w:lang w:val="ro-RO"/>
              </w:rPr>
            </w:pPr>
            <w:r w:rsidRPr="00AE1AD4">
              <w:rPr>
                <w:rFonts w:cs="Arial"/>
                <w:sz w:val="22"/>
                <w:szCs w:val="22"/>
                <w:lang w:val="ro-RO"/>
              </w:rPr>
              <w:t>21</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 xml:space="preserve">Figurile 5.41 și 5.42 </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39870"/>
            <wp:effectExtent l="0" t="0" r="0" b="0"/>
            <wp:docPr id="965" name="Picture 534" descr="F:\Projects\Transport Planning - Romania UK GTMP\PUBLIC TRANSPORT\Rail\04_Plots\Rail_results\output\DS03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jects\Transport Planning - Romania UK GTMP\PUBLIC TRANSPORT\Rail\04_Plots\Rail_results\output\DS03A_2030_change_pass.jpg"/>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lastRenderedPageBreak/>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41</w:t>
      </w:r>
      <w:r w:rsidR="003259E9" w:rsidRPr="0075501B">
        <w:rPr>
          <w:b/>
          <w:sz w:val="22"/>
          <w:szCs w:val="22"/>
        </w:rPr>
        <w:fldChar w:fldCharType="end"/>
      </w:r>
      <w:r>
        <w:rPr>
          <w:b/>
          <w:sz w:val="22"/>
          <w:szCs w:val="22"/>
        </w:rPr>
        <w:t>: Modificări ale cererii de transport călători    (DS03A)</w:t>
      </w:r>
    </w:p>
    <w:p w:rsidR="00573AD5" w:rsidRPr="00AE1AD4" w:rsidRDefault="00573AD5" w:rsidP="00AE1AD4">
      <w:pPr>
        <w:ind w:left="851"/>
        <w:rPr>
          <w:i/>
          <w:lang w:val="ro-RO"/>
        </w:rPr>
      </w:pPr>
      <w:bookmarkStart w:id="486" w:name="_Toc413058122"/>
      <w:r w:rsidRPr="00AE1AD4">
        <w:rPr>
          <w:i/>
          <w:lang w:val="ro-RO"/>
        </w:rPr>
        <w:t>Sursa: Analiza AECOM a rezultatelor Modelului Național de Transport</w:t>
      </w:r>
      <w:bookmarkEnd w:id="486"/>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Așa cum arată figura anterioară, proiectul conduce la creșterea cererii de pasageri pe coridorul București – Craiova – Timișoara – Arad. Traficul de pasageri între Roșiorii de Vede și Caracal crește cu 125% și cu 180% între Craiova și Drobeta – Turnu Severin. Există și o creștere semnificativă datorată traficului atras din secțiunea București – Brașov – Arad, ca rezultat al îmbunătățirii serviciilor de pasageri. Cererea între Brașov și Sighișoara este prognozată să scadă cu 30%.</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39870"/>
            <wp:effectExtent l="0" t="0" r="0" b="0"/>
            <wp:docPr id="224" name="Picture 533" descr="F:\Projects\Transport Planning - Romania UK GTMP\PUBLIC TRANSPORT\Rail\04_Plots\Rail_results\output\DS03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rojects\Transport Planning - Romania UK GTMP\PUBLIC TRANSPORT\Rail\04_Plots\Rail_results\output\DS03A_2030_change_freight.jp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42</w:t>
      </w:r>
      <w:r w:rsidR="003259E9" w:rsidRPr="0075501B">
        <w:rPr>
          <w:b/>
          <w:sz w:val="22"/>
          <w:szCs w:val="22"/>
        </w:rPr>
        <w:fldChar w:fldCharType="end"/>
      </w:r>
      <w:r>
        <w:rPr>
          <w:b/>
          <w:sz w:val="22"/>
          <w:szCs w:val="22"/>
        </w:rPr>
        <w:t>: Modificări ale cererii de transport călători    (DS03A)</w:t>
      </w:r>
    </w:p>
    <w:p w:rsidR="00573AD5" w:rsidRPr="00AE1AD4" w:rsidRDefault="00573AD5" w:rsidP="00AE1AD4">
      <w:pPr>
        <w:ind w:left="851"/>
        <w:rPr>
          <w:i/>
          <w:lang w:val="ro-RO"/>
        </w:rPr>
      </w:pPr>
      <w:bookmarkStart w:id="487" w:name="_Toc413058123"/>
      <w:r w:rsidRPr="00AE1AD4">
        <w:rPr>
          <w:i/>
          <w:lang w:val="ro-RO"/>
        </w:rPr>
        <w:t>Sursa: Analiza AECOM a rezultatelor Modelului Național de Transport</w:t>
      </w:r>
      <w:bookmarkEnd w:id="487"/>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Și traficul de mărfuri este așteptat să crească cu 80% pe sectorul Craiova - Filiași. Ca o tendință similară cu cea a pieței de pasageri, o parte din traficul de marfă de pe coridorul București – Brașov – Arad este de așteptat să fie deviat pe coridorul modernizat. Numărul de tone transportate este estimat să scadă cu 40% pe acest coridor.</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 estimează că acest proiect va fi implementat în perioada 2020-2030, dacă finanțarea necesară va fi disponibilă.</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E766B3" w:rsidRDefault="00573AD5" w:rsidP="00E766B3">
      <w:pPr>
        <w:pStyle w:val="Hdg3"/>
        <w:ind w:left="851"/>
      </w:pPr>
      <w:r w:rsidRPr="00E766B3">
        <w:lastRenderedPageBreak/>
        <w:t>Reabilitare la viteze sporite a Coridorului București – Arad via Craiova (Test DS03B)</w:t>
      </w: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30066D">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TEN-T Core IV-S între Arad și Craiova și a liniei 900 între Craiova și București. Acest test include și implementarea unui grafic de mers cadențat pentru conexiunea cu Coridorul TEN-T IV-N via linia 202.</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900 între București și Timișoara precum și pentru secțiunea Timișoara – Arad.</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viteze sporite pentru secțiunile cu o viteză de proiectare mai mică de 100 km/h situate pe coridorul București – Arad via Craiova.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a permite operarea la viteze de circulație superioare și pentru creșterea capacității de circulație a coridorului.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Videle, Roșiori de Vede, Caracal, Craiova, Filiași, Drobeta – Turnu Severin, Caransebeș, Lugoj, Timișoara și Arad</w:t>
            </w:r>
          </w:p>
          <w:p w:rsidR="00573AD5" w:rsidRDefault="00573AD5" w:rsidP="00573AD5">
            <w:pPr>
              <w:pStyle w:val="Heading3"/>
              <w:spacing w:line="276" w:lineRule="auto"/>
              <w:rPr>
                <w:rFonts w:cs="Arial"/>
                <w:b/>
                <w:sz w:val="22"/>
                <w:szCs w:val="22"/>
                <w:lang w:val="ro-RO"/>
              </w:rPr>
            </w:pPr>
            <w:r w:rsidRPr="0076579A">
              <w:rPr>
                <w:sz w:val="22"/>
                <w:szCs w:val="22"/>
                <w:lang w:val="ro-RO"/>
              </w:rPr>
              <w:t>Grafic de mers cadențat pentru serviciile InterRegio, operat prin material rulant nou. Intervalele de succesiune propuse sunt: București – Arad via Timișoara (0,5 trenuri pe oră), București – Craiova (1 tren pe oră), București – Deva via Craiova (0,5 trenuri pe oră). Serviciile către Deva pot fi extinse până la Cluj-Napoca dacă numărul de pasageri va crește în viitor</w:t>
            </w:r>
          </w:p>
        </w:tc>
      </w:tr>
    </w:tbl>
    <w:p w:rsidR="00573AD5" w:rsidRDefault="00573AD5" w:rsidP="0030066D">
      <w:pPr>
        <w:pStyle w:val="Heading3"/>
        <w:spacing w:line="276" w:lineRule="auto"/>
        <w:rPr>
          <w:rFonts w:cs="Arial"/>
          <w:b/>
          <w:sz w:val="22"/>
          <w:szCs w:val="22"/>
          <w:lang w:val="ro-RO"/>
        </w:rPr>
      </w:pPr>
    </w:p>
    <w:p w:rsidR="00573AD5" w:rsidRDefault="00573AD5" w:rsidP="0030066D">
      <w:pPr>
        <w:pStyle w:val="ListParagraph"/>
        <w:spacing w:after="120" w:line="276" w:lineRule="auto"/>
        <w:contextualSpacing/>
        <w:rPr>
          <w:sz w:val="22"/>
          <w:szCs w:val="22"/>
          <w:lang w:val="ro-RO"/>
        </w:rPr>
      </w:pPr>
      <w:r>
        <w:rPr>
          <w:noProof/>
          <w:sz w:val="22"/>
          <w:szCs w:val="22"/>
          <w:lang w:val="ro-RO" w:eastAsia="ro-RO"/>
        </w:rPr>
        <w:drawing>
          <wp:inline distT="0" distB="0" distL="0" distR="0">
            <wp:extent cx="5759450" cy="4053205"/>
            <wp:effectExtent l="0" t="0" r="0" b="4445"/>
            <wp:docPr id="966" name="Picture 532" descr="F:\Projects\Transport Planning - Romania UK GTMP\PUBLIC TRANSPORT\Rail\04_Plots\Do_Somthing_schemes\outputs\DoSomethingSchemes_DS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s\Transport Planning - Romania UK GTMP\PUBLIC TRANSPORT\Rail\04_Plots\Do_Somthing_schemes\outputs\DoSomethingSchemes_DS03B.jp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43</w:t>
      </w:r>
      <w:r w:rsidR="003259E9">
        <w:rPr>
          <w:b/>
          <w:sz w:val="22"/>
          <w:szCs w:val="22"/>
        </w:rPr>
        <w:fldChar w:fldCharType="end"/>
      </w:r>
      <w:r>
        <w:rPr>
          <w:b/>
          <w:sz w:val="22"/>
          <w:szCs w:val="22"/>
        </w:rPr>
        <w:t>: Descrierea propunerilor de servicii (DS03B)</w:t>
      </w:r>
    </w:p>
    <w:p w:rsidR="00573AD5" w:rsidRPr="00AE1AD4" w:rsidRDefault="00573AD5" w:rsidP="00AE1AD4">
      <w:pPr>
        <w:ind w:left="851"/>
        <w:rPr>
          <w:i/>
          <w:lang w:val="ro-RO"/>
        </w:rPr>
      </w:pPr>
      <w:r w:rsidRPr="00AE1AD4">
        <w:rPr>
          <w:i/>
          <w:lang w:val="ro-RO"/>
        </w:rPr>
        <w:t>Sursa: Analiza AECOM a rezultatelor Modelului Național de Transport</w:t>
      </w:r>
    </w:p>
    <w:p w:rsidR="00573AD5" w:rsidRDefault="00573AD5" w:rsidP="0030066D">
      <w:pPr>
        <w:pStyle w:val="Caption"/>
        <w:rPr>
          <w:rFonts w:cs="Arial"/>
          <w:b/>
          <w:sz w:val="22"/>
          <w:szCs w:val="22"/>
          <w:lang w:val="ro-RO"/>
        </w:rPr>
      </w:pPr>
    </w:p>
    <w:p w:rsidR="00573AD5" w:rsidRDefault="00573AD5" w:rsidP="0030066D">
      <w:pPr>
        <w:pStyle w:val="Caption"/>
        <w:rPr>
          <w:rFonts w:cs="Arial"/>
          <w:b/>
          <w:sz w:val="22"/>
          <w:szCs w:val="22"/>
          <w:lang w:val="ro-RO"/>
        </w:rPr>
      </w:pPr>
      <w:r w:rsidRPr="003F7539">
        <w:rPr>
          <w:b/>
          <w:sz w:val="22"/>
          <w:szCs w:val="22"/>
        </w:rPr>
        <w:t xml:space="preserve"> </w:t>
      </w: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30066D">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pentru trenurile de pasageri și marfă pentru Coridorul TEN-T IV-S.</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de proiectare reduse pentru anumite porțiuni ale secțiunii Drobeta – Turnu Severin – Caransebeș.</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sectoarele București – Videle, Olteni – Roșiorii de Vede Nord, etc.)</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pentru secțiunea București – Craiova; pe acest coridor; există o cotă importantă de cerere de trafic limitată în prezent de starea tehnică precară a infrastructurii.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 în multe din stațiile CF situate pe acest coridor.</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24</w:t>
      </w:r>
      <w:r w:rsidR="003259E9">
        <w:rPr>
          <w:b/>
          <w:sz w:val="22"/>
          <w:szCs w:val="22"/>
        </w:rPr>
        <w:fldChar w:fldCharType="end"/>
      </w:r>
      <w:r>
        <w:rPr>
          <w:b/>
          <w:sz w:val="22"/>
          <w:szCs w:val="22"/>
        </w:rPr>
        <w:t>: Sinteza costurilor de operare și de infrastructură (DS03B)</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2.931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2.409</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5.340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bune (BCR = 1,0</w:t>
      </w:r>
      <w:r>
        <w:rPr>
          <w:rFonts w:cs="Arial"/>
          <w:sz w:val="22"/>
          <w:szCs w:val="22"/>
          <w:lang w:val="ro-RO"/>
        </w:rPr>
        <w:t>0</w:t>
      </w:r>
      <w:r w:rsidRPr="0076579A">
        <w:rPr>
          <w:rFonts w:cs="Arial"/>
          <w:sz w:val="22"/>
          <w:szCs w:val="22"/>
          <w:lang w:val="ro-RO"/>
        </w:rPr>
        <w:t>) dar și o creștere semnificativă a traficului de pasageri și marfă, superioară rezultatelor testului DS03A, de 27%, respectiv 9% pentru întreaga rețea (a se vedea tabelul următor):</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25</w:t>
      </w:r>
      <w:r w:rsidR="003259E9">
        <w:rPr>
          <w:b/>
          <w:sz w:val="22"/>
          <w:szCs w:val="22"/>
        </w:rPr>
        <w:fldChar w:fldCharType="end"/>
      </w:r>
      <w:r>
        <w:rPr>
          <w:b/>
          <w:sz w:val="22"/>
          <w:szCs w:val="22"/>
        </w:rPr>
        <w:t xml:space="preserve">: Modificări ale cererii de transport călători   </w:t>
      </w:r>
    </w:p>
    <w:tbl>
      <w:tblPr>
        <w:tblStyle w:val="TableGrid"/>
        <w:tblW w:w="0" w:type="auto"/>
        <w:tblLook w:val="04A0" w:firstRow="1" w:lastRow="0" w:firstColumn="1" w:lastColumn="0" w:noHBand="0" w:noVBand="1"/>
      </w:tblPr>
      <w:tblGrid>
        <w:gridCol w:w="5866"/>
        <w:gridCol w:w="1672"/>
      </w:tblGrid>
      <w:tr w:rsidR="00573AD5" w:rsidRPr="0076579A" w:rsidTr="0030066D">
        <w:trPr>
          <w:cantSplit/>
          <w:tblHeader/>
        </w:trPr>
        <w:tc>
          <w:tcPr>
            <w:tcW w:w="0" w:type="auto"/>
            <w:shd w:val="clear" w:color="auto" w:fill="DBE5F1" w:themeFill="accent1"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DS03B</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+5</w:t>
            </w:r>
            <w:r>
              <w:rPr>
                <w:rFonts w:cs="Arial"/>
                <w:sz w:val="22"/>
                <w:szCs w:val="22"/>
              </w:rPr>
              <w:t>.</w:t>
            </w:r>
            <w:r w:rsidRPr="00804F1B">
              <w:rPr>
                <w:rFonts w:cs="Arial"/>
                <w:sz w:val="22"/>
                <w:szCs w:val="22"/>
              </w:rPr>
              <w:t>721 (+27%)</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7%</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w:t>
            </w:r>
            <w:r>
              <w:rPr>
                <w:rFonts w:cs="Arial"/>
                <w:sz w:val="22"/>
                <w:szCs w:val="22"/>
              </w:rPr>
              <w:t>.</w:t>
            </w:r>
            <w:r w:rsidRPr="00804F1B">
              <w:rPr>
                <w:rFonts w:cs="Arial"/>
                <w:sz w:val="22"/>
                <w:szCs w:val="22"/>
              </w:rPr>
              <w:t>083 (+</w:t>
            </w:r>
            <w:r>
              <w:rPr>
                <w:rFonts w:cs="Arial"/>
                <w:sz w:val="22"/>
                <w:szCs w:val="22"/>
              </w:rPr>
              <w:t>6</w:t>
            </w:r>
            <w:r w:rsidRPr="00804F1B">
              <w:rPr>
                <w:rFonts w:cs="Arial"/>
                <w:sz w:val="22"/>
                <w:szCs w:val="22"/>
              </w:rPr>
              <w:t>%)</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5</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1.0</w:t>
            </w:r>
            <w:r>
              <w:rPr>
                <w:rFonts w:cs="Arial"/>
                <w:b/>
                <w:sz w:val="22"/>
                <w:szCs w:val="22"/>
              </w:rPr>
              <w:t>0</w:t>
            </w:r>
          </w:p>
        </w:tc>
      </w:tr>
      <w:tr w:rsidR="00573AD5" w:rsidRPr="0076579A" w:rsidTr="0030066D">
        <w:trPr>
          <w:cantSplit/>
        </w:trPr>
        <w:tc>
          <w:tcPr>
            <w:tcW w:w="0" w:type="auto"/>
            <w:vAlign w:val="center"/>
          </w:tcPr>
          <w:p w:rsidR="00573AD5" w:rsidRPr="0076579A" w:rsidRDefault="00E766B3"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5</w:t>
            </w:r>
            <w:r>
              <w:rPr>
                <w:rFonts w:cs="Arial"/>
                <w:b/>
                <w:sz w:val="22"/>
                <w:szCs w:val="22"/>
              </w:rPr>
              <w:t>,0</w:t>
            </w:r>
            <w:r w:rsidRPr="00804F1B">
              <w:rPr>
                <w:rFonts w:cs="Arial"/>
                <w:b/>
                <w:sz w:val="22"/>
                <w:szCs w:val="22"/>
              </w:rPr>
              <w:t>1%</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875</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21</w:t>
            </w:r>
          </w:p>
        </w:tc>
      </w:tr>
    </w:tbl>
    <w:p w:rsidR="00573AD5" w:rsidRPr="00AE1AD4" w:rsidRDefault="00573AD5" w:rsidP="00AE1AD4">
      <w:pPr>
        <w:ind w:left="851"/>
        <w:rPr>
          <w:i/>
          <w:lang w:val="ro-RO"/>
        </w:rPr>
      </w:pPr>
      <w:bookmarkStart w:id="488" w:name="_Toc413058124"/>
      <w:r w:rsidRPr="00AE1AD4">
        <w:rPr>
          <w:i/>
          <w:lang w:val="ro-RO"/>
        </w:rPr>
        <w:t>Sursa: Analiza AECOM a rezultatelor Modelului Național de Transport</w:t>
      </w:r>
      <w:bookmarkEnd w:id="488"/>
    </w:p>
    <w:p w:rsidR="00573AD5" w:rsidRPr="00AE1AD4" w:rsidRDefault="00573AD5" w:rsidP="00AE1AD4">
      <w:pPr>
        <w:ind w:left="851"/>
        <w:rPr>
          <w:i/>
          <w:lang w:val="ro-RO"/>
        </w:rPr>
      </w:pP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Planșele de mai jos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191125" cy="3653247"/>
            <wp:effectExtent l="19050" t="0" r="0" b="0"/>
            <wp:docPr id="967" name="Picture 531" descr="F:\Projects\Transport Planning - Romania UK GTMP\PUBLIC TRANSPORT\Rail\04_Plots\Rail_results\output\DS03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s\Transport Planning - Romania UK GTMP\PUBLIC TRANSPORT\Rail\04_Plots\Rail_results\output\DS03B_2030_change_pass.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200193" cy="3659629"/>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 xml:space="preserve">Figura </w:t>
      </w:r>
      <w:r w:rsidRPr="0075501B">
        <w:rPr>
          <w:b/>
          <w:sz w:val="22"/>
          <w:szCs w:val="22"/>
        </w:rPr>
        <w:t>5.</w:t>
      </w:r>
      <w:r w:rsidR="003259E9" w:rsidRPr="0075501B">
        <w:rPr>
          <w:b/>
          <w:sz w:val="22"/>
          <w:szCs w:val="22"/>
        </w:rPr>
        <w:fldChar w:fldCharType="begin"/>
      </w:r>
      <w:r w:rsidRPr="0075501B">
        <w:rPr>
          <w:b/>
          <w:sz w:val="22"/>
          <w:szCs w:val="22"/>
        </w:rPr>
        <w:instrText xml:space="preserve"> SEQ Figure \* ARABIC </w:instrText>
      </w:r>
      <w:r w:rsidR="003259E9" w:rsidRPr="0075501B">
        <w:rPr>
          <w:b/>
          <w:sz w:val="22"/>
          <w:szCs w:val="22"/>
        </w:rPr>
        <w:fldChar w:fldCharType="separate"/>
      </w:r>
      <w:r>
        <w:rPr>
          <w:b/>
          <w:sz w:val="22"/>
          <w:szCs w:val="22"/>
        </w:rPr>
        <w:t>44</w:t>
      </w:r>
      <w:r w:rsidR="003259E9" w:rsidRPr="0075501B">
        <w:rPr>
          <w:b/>
          <w:sz w:val="22"/>
          <w:szCs w:val="22"/>
        </w:rPr>
        <w:fldChar w:fldCharType="end"/>
      </w:r>
      <w:r>
        <w:rPr>
          <w:b/>
          <w:sz w:val="22"/>
          <w:szCs w:val="22"/>
        </w:rPr>
        <w:t>: Modificări ale cererii de transport călători    (DS03B)</w:t>
      </w:r>
    </w:p>
    <w:p w:rsidR="00573AD5" w:rsidRPr="00AE1AD4" w:rsidRDefault="00573AD5" w:rsidP="00AE1AD4">
      <w:pPr>
        <w:ind w:left="851"/>
        <w:rPr>
          <w:i/>
          <w:lang w:val="ro-RO"/>
        </w:rPr>
      </w:pPr>
      <w:bookmarkStart w:id="489" w:name="_Toc413058125"/>
      <w:r w:rsidRPr="00AE1AD4">
        <w:rPr>
          <w:i/>
          <w:lang w:val="ro-RO"/>
        </w:rPr>
        <w:t>Sursa: Analiza AECOM a rezultatelor Modelului Național de Transport</w:t>
      </w:r>
      <w:bookmarkEnd w:id="489"/>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lastRenderedPageBreak/>
        <w:t xml:space="preserve">Așa cum arată </w:t>
      </w:r>
      <w:r>
        <w:rPr>
          <w:rFonts w:cs="Arial"/>
          <w:sz w:val="22"/>
          <w:szCs w:val="22"/>
          <w:lang w:val="ro-RO"/>
        </w:rPr>
        <w:t>F</w:t>
      </w:r>
      <w:r w:rsidRPr="0076579A">
        <w:rPr>
          <w:rFonts w:cs="Arial"/>
          <w:sz w:val="22"/>
          <w:szCs w:val="22"/>
          <w:lang w:val="ro-RO"/>
        </w:rPr>
        <w:t>igura</w:t>
      </w:r>
      <w:r>
        <w:rPr>
          <w:rFonts w:cs="Arial"/>
          <w:sz w:val="22"/>
          <w:szCs w:val="22"/>
          <w:lang w:val="ro-RO"/>
        </w:rPr>
        <w:t>5.44</w:t>
      </w:r>
      <w:r w:rsidRPr="0076579A">
        <w:rPr>
          <w:rFonts w:cs="Arial"/>
          <w:sz w:val="22"/>
          <w:szCs w:val="22"/>
          <w:lang w:val="ro-RO"/>
        </w:rPr>
        <w:t>, proiectul conduce la creșterea cererii de pasageri pe coridorul București – Craiova – Timișoara – Arad. Traficul de pasageri între Roșiorii de Vede și Caracal crește cu 125% și cu 180% între Craiova și Drobeta – Turnu Severin. Există și o creștere semnificativă datorată traficului atras din secțiunea București – Brașov – Arad, ca rezultat al îmbunătățirii serviciilor de pasageri. Cererea între Brașov și Sighișoara este prognozată să scadă cu 35%.</w:t>
      </w:r>
    </w:p>
    <w:p w:rsidR="00573AD5" w:rsidRDefault="00573AD5" w:rsidP="0030066D">
      <w:pPr>
        <w:pStyle w:val="Heading3"/>
        <w:spacing w:line="276" w:lineRule="auto"/>
        <w:rPr>
          <w:rFonts w:cs="Arial"/>
          <w:b/>
          <w:sz w:val="22"/>
          <w:szCs w:val="22"/>
        </w:rPr>
      </w:pPr>
      <w:r>
        <w:rPr>
          <w:rFonts w:cs="Arial"/>
          <w:b/>
          <w:sz w:val="22"/>
          <w:szCs w:val="22"/>
        </w:rPr>
        <w:t>Unitatea de implementare</w:t>
      </w:r>
    </w:p>
    <w:p w:rsidR="00573AD5" w:rsidRDefault="00573AD5" w:rsidP="00AE1AD4">
      <w:pPr>
        <w:spacing w:line="276" w:lineRule="auto"/>
        <w:jc w:val="both"/>
        <w:rPr>
          <w:rFonts w:cs="Arial"/>
          <w:sz w:val="22"/>
          <w:szCs w:val="22"/>
        </w:rPr>
      </w:pPr>
      <w:bookmarkStart w:id="490" w:name="_Toc413058126"/>
      <w:r>
        <w:rPr>
          <w:rFonts w:cs="Arial"/>
          <w:sz w:val="22"/>
          <w:szCs w:val="22"/>
        </w:rPr>
        <w:t>Acest proiect va fi implementat de CFR SA și de operatorii feroviari</w:t>
      </w:r>
      <w:bookmarkEnd w:id="490"/>
      <w:r>
        <w:rPr>
          <w:rFonts w:cs="Arial"/>
          <w:sz w:val="22"/>
          <w:szCs w:val="22"/>
        </w:rPr>
        <w:t xml:space="preserve"> </w:t>
      </w:r>
    </w:p>
    <w:p w:rsidR="00573AD5" w:rsidRDefault="00573AD5" w:rsidP="0030066D">
      <w:pPr>
        <w:pStyle w:val="Heading3"/>
        <w:spacing w:line="276" w:lineRule="auto"/>
        <w:rPr>
          <w:rFonts w:cs="Arial"/>
          <w:b/>
          <w:sz w:val="22"/>
          <w:szCs w:val="22"/>
        </w:rPr>
      </w:pPr>
      <w:r>
        <w:rPr>
          <w:rFonts w:cs="Arial"/>
          <w:b/>
          <w:sz w:val="22"/>
          <w:szCs w:val="22"/>
        </w:rPr>
        <w:t xml:space="preserve">Anii de implementare </w:t>
      </w:r>
    </w:p>
    <w:p w:rsidR="00573AD5" w:rsidRDefault="00573AD5" w:rsidP="0030066D">
      <w:pPr>
        <w:spacing w:line="276" w:lineRule="auto"/>
        <w:jc w:val="both"/>
        <w:rPr>
          <w:rFonts w:cs="Arial"/>
          <w:sz w:val="22"/>
          <w:szCs w:val="22"/>
        </w:rPr>
      </w:pPr>
      <w:r>
        <w:rPr>
          <w:rFonts w:cs="Arial"/>
          <w:sz w:val="22"/>
          <w:szCs w:val="22"/>
        </w:rPr>
        <w:t xml:space="preserve">S-a estimat că proiectul ar putea fi implementat în perioada 2020 - 2030 dacă fodurile sunt asigurate </w:t>
      </w:r>
    </w:p>
    <w:p w:rsidR="00573AD5" w:rsidRDefault="00573AD5" w:rsidP="0030066D">
      <w:pPr>
        <w:rPr>
          <w:rFonts w:cs="Arial"/>
          <w:sz w:val="22"/>
          <w:szCs w:val="22"/>
        </w:rPr>
      </w:pPr>
      <w:r>
        <w:rPr>
          <w:rFonts w:cs="Arial"/>
          <w:sz w:val="22"/>
          <w:szCs w:val="22"/>
        </w:rPr>
        <w:br w:type="page"/>
      </w:r>
    </w:p>
    <w:p w:rsidR="00573AD5" w:rsidRPr="00E766B3" w:rsidRDefault="00573AD5" w:rsidP="00E766B3">
      <w:pPr>
        <w:pStyle w:val="Hdg3"/>
        <w:ind w:left="851"/>
      </w:pPr>
      <w:r w:rsidRPr="00E766B3">
        <w:lastRenderedPageBreak/>
        <w:t>Reabilitare la viteza de proiectare a Coridorului București – Arad via Craiova și Filiași-Simeria(Test DS03C)</w:t>
      </w: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30066D">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TEN-T Core IV-S între Arad și Craiova și a liniei 900 între Craiova și București</w:t>
            </w:r>
            <w:r>
              <w:rPr>
                <w:rFonts w:cs="Arial"/>
                <w:sz w:val="22"/>
                <w:szCs w:val="22"/>
                <w:lang w:val="ro-RO"/>
              </w:rPr>
              <w:t xml:space="preserve"> și Filiași - Simeria</w:t>
            </w:r>
            <w:r w:rsidRPr="0076579A">
              <w:rPr>
                <w:rFonts w:cs="Arial"/>
                <w:sz w:val="22"/>
                <w:szCs w:val="22"/>
                <w:lang w:val="ro-RO"/>
              </w:rPr>
              <w:t>. Acest test include și implementarea unui grafic de mers cadențat pentru conexiunea cu Coridorul TEN-T IV-N via linia 202.</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900 între București și Timișoara precum și pe</w:t>
            </w:r>
            <w:r>
              <w:rPr>
                <w:sz w:val="22"/>
                <w:szCs w:val="22"/>
                <w:lang w:val="ro-RO"/>
              </w:rPr>
              <w:t>ntru secțiunea Timișoara – Arad și a liniei Filiași – Simeria.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viteze sporite pentru secțiunile cu o viteză de proiectare mai mică de 100 km/h situate pe coridorul București – Arad via Craiova.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a permite operarea la viteze de circulație superioare și pentru creșterea capacității de circulație a coridorului.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Videle, Roșiori de Vede, Caracal, Craiova, Filiași, Drobeta – Turnu Severin, Caransebeș, Lugoj, Timișoara și Arad</w:t>
            </w:r>
            <w:r>
              <w:rPr>
                <w:sz w:val="22"/>
                <w:szCs w:val="22"/>
                <w:lang w:val="ro-RO"/>
              </w:rPr>
              <w:t>, Târgu Jiu, Petroșani și Simeria.</w:t>
            </w:r>
          </w:p>
          <w:p w:rsidR="00573AD5" w:rsidRDefault="00573AD5" w:rsidP="00573AD5">
            <w:pPr>
              <w:pStyle w:val="Heading3"/>
              <w:spacing w:line="276" w:lineRule="auto"/>
              <w:rPr>
                <w:rFonts w:cs="Arial"/>
                <w:b/>
                <w:sz w:val="22"/>
                <w:szCs w:val="22"/>
                <w:lang w:val="ro-RO"/>
              </w:rPr>
            </w:pPr>
            <w:r w:rsidRPr="0076579A">
              <w:rPr>
                <w:sz w:val="22"/>
                <w:szCs w:val="22"/>
                <w:lang w:val="ro-RO"/>
              </w:rPr>
              <w:t>Grafic de mers cadențat pentru serviciile InterRegio, operat prin material rulant nou. Intervalele de succesiune propuse sunt: București – Arad via Timișoara (0,5 trenuri pe oră), București – Craiova (1 tren pe oră), București – Deva via Craiova (0,5 trenuri pe oră). Serviciile către Deva pot fi extinse până la Cluj-Napoca dacă numărul de pasageri va crește în viitor</w:t>
            </w:r>
          </w:p>
        </w:tc>
      </w:tr>
    </w:tbl>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495925" cy="3724275"/>
            <wp:effectExtent l="19050" t="0" r="0" b="0"/>
            <wp:docPr id="968" name="Picture 1" descr="F:\Projects\Transport Planning - Romania UK GTMP\PUBLIC TRANSPORT\Rail\04_Plots\Do_Somthing_schemes\outputs\DoSomethingSchemes_DS03C.jpg"/>
            <wp:cNvGraphicFramePr/>
            <a:graphic xmlns:a="http://schemas.openxmlformats.org/drawingml/2006/main">
              <a:graphicData uri="http://schemas.openxmlformats.org/drawingml/2006/picture">
                <pic:pic xmlns:pic="http://schemas.openxmlformats.org/drawingml/2006/picture">
                  <pic:nvPicPr>
                    <pic:cNvPr id="0" name="Picture 1" descr="F:\Projects\Transport Planning - Romania UK GTMP\PUBLIC TRANSPORT\Rail\04_Plots\Do_Somthing_schemes\outputs\DoSomethingSchemes_DS03C.jpg"/>
                    <pic:cNvPicPr>
                      <a:picLocks noChangeAspect="1" noChangeArrowheads="1"/>
                    </pic:cNvPicPr>
                  </pic:nvPicPr>
                  <pic:blipFill>
                    <a:blip r:embed="rId218" cstate="print"/>
                    <a:srcRect l="2532" t="2538" r="2170" b="2770"/>
                    <a:stretch>
                      <a:fillRect/>
                    </a:stretch>
                  </pic:blipFill>
                  <pic:spPr bwMode="auto">
                    <a:xfrm>
                      <a:off x="0" y="0"/>
                      <a:ext cx="5493197" cy="3722427"/>
                    </a:xfrm>
                    <a:prstGeom prst="rect">
                      <a:avLst/>
                    </a:prstGeom>
                    <a:noFill/>
                    <a:ln w="9525">
                      <a:noFill/>
                      <a:miter lim="800000"/>
                      <a:headEnd/>
                      <a:tailEnd/>
                    </a:ln>
                  </pic:spPr>
                </pic:pic>
              </a:graphicData>
            </a:graphic>
          </wp:inline>
        </w:drawing>
      </w:r>
    </w:p>
    <w:p w:rsidR="00573AD5" w:rsidRDefault="00573AD5" w:rsidP="0030066D">
      <w:pPr>
        <w:pStyle w:val="Caption"/>
        <w:rPr>
          <w:b/>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45</w:t>
      </w:r>
      <w:r w:rsidR="003259E9">
        <w:rPr>
          <w:b/>
          <w:sz w:val="22"/>
          <w:szCs w:val="22"/>
        </w:rPr>
        <w:fldChar w:fldCharType="end"/>
      </w:r>
      <w:r>
        <w:rPr>
          <w:b/>
          <w:sz w:val="22"/>
          <w:szCs w:val="22"/>
        </w:rPr>
        <w:t>: Descrierea propunerilor de servicii (DS03C)</w:t>
      </w:r>
    </w:p>
    <w:p w:rsidR="00573AD5" w:rsidRPr="00AE1AD4" w:rsidRDefault="00573AD5" w:rsidP="00AE1AD4">
      <w:pPr>
        <w:ind w:left="851"/>
        <w:rPr>
          <w:i/>
          <w:lang w:val="ro-RO"/>
        </w:rPr>
      </w:pPr>
      <w:bookmarkStart w:id="491" w:name="_Toc413058127"/>
      <w:r w:rsidRPr="00AE1AD4">
        <w:rPr>
          <w:i/>
          <w:lang w:val="ro-RO"/>
        </w:rPr>
        <w:t>Sursa: Analiza AECOM a rezultatelor Modelului Național de Transport</w:t>
      </w:r>
      <w:bookmarkEnd w:id="491"/>
    </w:p>
    <w:p w:rsidR="00573AD5" w:rsidRDefault="00573AD5" w:rsidP="0030066D">
      <w:pPr>
        <w:spacing w:line="276" w:lineRule="auto"/>
        <w:jc w:val="both"/>
        <w:rPr>
          <w:rFonts w:cs="Arial"/>
          <w:sz w:val="22"/>
          <w:szCs w:val="22"/>
          <w:lang w:val="ro-RO"/>
        </w:rPr>
      </w:pPr>
    </w:p>
    <w:p w:rsidR="00573AD5" w:rsidRDefault="00573AD5" w:rsidP="0030066D">
      <w:pPr>
        <w:pStyle w:val="Caption"/>
        <w:rPr>
          <w:rFonts w:cs="Arial"/>
          <w:b/>
          <w:sz w:val="22"/>
          <w:szCs w:val="22"/>
          <w:lang w:val="ro-RO"/>
        </w:rPr>
      </w:pP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30066D">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pentru trenurile de pasageri și marfă pentru Coridorul TEN-T IV-S.</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de proiectare reduse pentru anumite porțiuni ale secțiunii Drobeta – Turnu Severin – Caransebeș.</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sectoarele București – Videle, Olteni – Roșiorii de Vede Nord, etc.)</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pentru secțiunea București – Craiova; pe acest coridor; există o cotă importantă de cerere de trafic limitată în prezent de starea tehnică precară a infrastructurii.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 în multe din stațiile CF situate pe acest coridor.</w:t>
            </w:r>
          </w:p>
          <w:p w:rsidR="00573AD5" w:rsidRDefault="00573AD5" w:rsidP="00573AD5">
            <w:pPr>
              <w:pStyle w:val="Heading3"/>
              <w:spacing w:line="276" w:lineRule="auto"/>
              <w:rPr>
                <w:rFonts w:cs="Arial"/>
                <w:b/>
                <w:sz w:val="22"/>
                <w:szCs w:val="22"/>
                <w:lang w:val="ro-RO"/>
              </w:rPr>
            </w:pP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26</w:t>
      </w:r>
      <w:r w:rsidR="003259E9">
        <w:rPr>
          <w:b/>
          <w:sz w:val="22"/>
          <w:szCs w:val="22"/>
        </w:rPr>
        <w:fldChar w:fldCharType="end"/>
      </w:r>
      <w:r>
        <w:rPr>
          <w:b/>
          <w:sz w:val="22"/>
          <w:szCs w:val="22"/>
        </w:rPr>
        <w:t>: Sinteza costurilor de operare și de infrastructură (DS03C)</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3.217</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2.662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5.879</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 xml:space="preserve">Această intervenție oferă </w:t>
      </w:r>
      <w:r>
        <w:rPr>
          <w:rFonts w:cs="Arial"/>
          <w:sz w:val="22"/>
          <w:szCs w:val="22"/>
          <w:lang w:val="ro-RO"/>
        </w:rPr>
        <w:t>un raport beneficiu cost mai slab (DS03A și DS03B)</w:t>
      </w:r>
      <w:r w:rsidRPr="0076579A">
        <w:rPr>
          <w:rFonts w:cs="Arial"/>
          <w:sz w:val="22"/>
          <w:szCs w:val="22"/>
          <w:lang w:val="ro-RO"/>
        </w:rPr>
        <w:t xml:space="preserve"> </w:t>
      </w:r>
      <w:r>
        <w:rPr>
          <w:rFonts w:cs="Arial"/>
          <w:sz w:val="22"/>
          <w:szCs w:val="22"/>
          <w:lang w:val="ro-RO"/>
        </w:rPr>
        <w:t>cu un RBC de 0,89%. Rezultatele sunt prezentate în Tabelul 5.27</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27</w:t>
      </w:r>
      <w:r w:rsidR="003259E9">
        <w:rPr>
          <w:b/>
          <w:sz w:val="22"/>
          <w:szCs w:val="22"/>
        </w:rPr>
        <w:fldChar w:fldCharType="end"/>
      </w:r>
      <w:r>
        <w:rPr>
          <w:b/>
          <w:sz w:val="22"/>
          <w:szCs w:val="22"/>
        </w:rPr>
        <w:t xml:space="preserve">: Modificări ale cererii de transport călători   </w:t>
      </w:r>
    </w:p>
    <w:tbl>
      <w:tblPr>
        <w:tblStyle w:val="TableGrid"/>
        <w:tblW w:w="0" w:type="auto"/>
        <w:tblLook w:val="04A0" w:firstRow="1" w:lastRow="0" w:firstColumn="1" w:lastColumn="0" w:noHBand="0" w:noVBand="1"/>
      </w:tblPr>
      <w:tblGrid>
        <w:gridCol w:w="5866"/>
        <w:gridCol w:w="1672"/>
      </w:tblGrid>
      <w:tr w:rsidR="00573AD5" w:rsidRPr="0076579A" w:rsidTr="0030066D">
        <w:trPr>
          <w:cantSplit/>
          <w:tblHeader/>
        </w:trPr>
        <w:tc>
          <w:tcPr>
            <w:tcW w:w="0" w:type="auto"/>
            <w:shd w:val="clear" w:color="auto" w:fill="DBE5F1" w:themeFill="accent1"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DS03B</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+5</w:t>
            </w:r>
            <w:r>
              <w:rPr>
                <w:rFonts w:cs="Arial"/>
                <w:sz w:val="22"/>
                <w:szCs w:val="22"/>
              </w:rPr>
              <w:t>.526</w:t>
            </w:r>
            <w:r w:rsidRPr="00804F1B">
              <w:rPr>
                <w:rFonts w:cs="Arial"/>
                <w:sz w:val="22"/>
                <w:szCs w:val="22"/>
              </w:rPr>
              <w:t xml:space="preserve"> (+2</w:t>
            </w:r>
            <w:r>
              <w:rPr>
                <w:rFonts w:cs="Arial"/>
                <w:sz w:val="22"/>
                <w:szCs w:val="22"/>
              </w:rPr>
              <w:t>5</w:t>
            </w:r>
            <w:r w:rsidRPr="00804F1B">
              <w:rPr>
                <w:rFonts w:cs="Arial"/>
                <w:sz w:val="22"/>
                <w:szCs w:val="22"/>
              </w:rPr>
              <w:t>%)</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,5</w:t>
            </w:r>
            <w:r w:rsidRPr="00804F1B">
              <w:rPr>
                <w:rFonts w:cs="Arial"/>
                <w:sz w:val="22"/>
                <w:szCs w:val="22"/>
              </w:rPr>
              <w:t>%</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w:t>
            </w:r>
            <w:r>
              <w:rPr>
                <w:rFonts w:cs="Arial"/>
                <w:sz w:val="22"/>
                <w:szCs w:val="22"/>
              </w:rPr>
              <w:t>.625</w:t>
            </w:r>
            <w:r w:rsidRPr="00804F1B">
              <w:rPr>
                <w:rFonts w:cs="Arial"/>
                <w:sz w:val="22"/>
                <w:szCs w:val="22"/>
              </w:rPr>
              <w:t xml:space="preserve"> (+</w:t>
            </w:r>
            <w:r>
              <w:rPr>
                <w:rFonts w:cs="Arial"/>
                <w:sz w:val="22"/>
                <w:szCs w:val="22"/>
              </w:rPr>
              <w:t>7</w:t>
            </w:r>
            <w:r w:rsidRPr="00804F1B">
              <w:rPr>
                <w:rFonts w:cs="Arial"/>
                <w:sz w:val="22"/>
                <w:szCs w:val="22"/>
              </w:rPr>
              <w:t>%)</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-334</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0,89</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4,16</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875</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21</w:t>
            </w:r>
          </w:p>
        </w:tc>
      </w:tr>
    </w:tbl>
    <w:p w:rsidR="00573AD5" w:rsidRPr="00AE1AD4" w:rsidRDefault="00573AD5" w:rsidP="00AE1AD4">
      <w:pPr>
        <w:ind w:left="851"/>
        <w:rPr>
          <w:i/>
          <w:lang w:val="ro-RO"/>
        </w:rPr>
      </w:pPr>
      <w:bookmarkStart w:id="492" w:name="_Toc413058128"/>
      <w:r w:rsidRPr="00AE1AD4">
        <w:rPr>
          <w:i/>
          <w:lang w:val="ro-RO"/>
        </w:rPr>
        <w:t>Sursa: Analiza AECOM a rezultatelor Modelului Național de Transport</w:t>
      </w:r>
      <w:bookmarkEnd w:id="492"/>
    </w:p>
    <w:p w:rsidR="00573AD5" w:rsidRDefault="00573AD5" w:rsidP="0030066D">
      <w:pPr>
        <w:spacing w:line="276" w:lineRule="auto"/>
        <w:rPr>
          <w:rFonts w:cs="Arial"/>
          <w:sz w:val="22"/>
          <w:szCs w:val="22"/>
          <w:lang w:val="ro-RO"/>
        </w:rPr>
      </w:pPr>
    </w:p>
    <w:p w:rsidR="00573AD5" w:rsidRDefault="00573AD5" w:rsidP="0030066D">
      <w:pPr>
        <w:spacing w:line="276" w:lineRule="auto"/>
        <w:rPr>
          <w:rFonts w:cs="Arial"/>
          <w:sz w:val="22"/>
          <w:szCs w:val="22"/>
          <w:lang w:val="ro-RO"/>
        </w:rPr>
      </w:pPr>
      <w:r>
        <w:rPr>
          <w:rFonts w:cs="Arial"/>
          <w:sz w:val="22"/>
          <w:szCs w:val="22"/>
          <w:lang w:val="ro-RO"/>
        </w:rPr>
        <w:t>Schimbările interventie în fluxurile de pasageri și marfă rezultate în urma acestui test sunt similare cu cele ale testului DS03A.</w:t>
      </w:r>
    </w:p>
    <w:p w:rsidR="00573AD5" w:rsidRDefault="00573AD5" w:rsidP="0030066D">
      <w:pPr>
        <w:pStyle w:val="Heading3"/>
        <w:spacing w:line="276" w:lineRule="auto"/>
        <w:rPr>
          <w:rFonts w:cs="Arial"/>
          <w:b/>
          <w:sz w:val="22"/>
          <w:szCs w:val="22"/>
        </w:rPr>
      </w:pPr>
      <w:r>
        <w:rPr>
          <w:rFonts w:cs="Arial"/>
          <w:b/>
          <w:sz w:val="22"/>
          <w:szCs w:val="22"/>
        </w:rPr>
        <w:t>Unitatea de implementare</w:t>
      </w:r>
    </w:p>
    <w:p w:rsidR="00573AD5" w:rsidRDefault="00573AD5" w:rsidP="00AE1AD4">
      <w:pPr>
        <w:spacing w:line="276" w:lineRule="auto"/>
        <w:jc w:val="both"/>
        <w:rPr>
          <w:rFonts w:cs="Arial"/>
          <w:sz w:val="22"/>
          <w:szCs w:val="22"/>
        </w:rPr>
      </w:pPr>
      <w:bookmarkStart w:id="493" w:name="_Toc413058129"/>
      <w:r>
        <w:rPr>
          <w:rFonts w:cs="Arial"/>
          <w:sz w:val="22"/>
          <w:szCs w:val="22"/>
        </w:rPr>
        <w:t>Acest proiect va fi implementat de CFR SA și de operatorii feroviari</w:t>
      </w:r>
      <w:bookmarkEnd w:id="493"/>
      <w:r>
        <w:rPr>
          <w:rFonts w:cs="Arial"/>
          <w:sz w:val="22"/>
          <w:szCs w:val="22"/>
        </w:rPr>
        <w:t xml:space="preserve"> </w:t>
      </w:r>
    </w:p>
    <w:p w:rsidR="00573AD5" w:rsidRDefault="00573AD5" w:rsidP="0030066D">
      <w:pPr>
        <w:pStyle w:val="Heading3"/>
        <w:spacing w:line="276" w:lineRule="auto"/>
        <w:rPr>
          <w:rFonts w:cs="Arial"/>
          <w:b/>
          <w:sz w:val="22"/>
          <w:szCs w:val="22"/>
        </w:rPr>
      </w:pPr>
      <w:r>
        <w:rPr>
          <w:rFonts w:cs="Arial"/>
          <w:b/>
          <w:sz w:val="22"/>
          <w:szCs w:val="22"/>
        </w:rPr>
        <w:t xml:space="preserve">Anii de implementare </w:t>
      </w:r>
    </w:p>
    <w:p w:rsidR="00573AD5" w:rsidRDefault="00573AD5" w:rsidP="0030066D">
      <w:pPr>
        <w:spacing w:line="276" w:lineRule="auto"/>
        <w:jc w:val="both"/>
        <w:rPr>
          <w:rFonts w:cs="Arial"/>
          <w:sz w:val="22"/>
          <w:szCs w:val="22"/>
        </w:rPr>
      </w:pPr>
      <w:r>
        <w:rPr>
          <w:rFonts w:cs="Arial"/>
          <w:sz w:val="22"/>
          <w:szCs w:val="22"/>
        </w:rPr>
        <w:t xml:space="preserve">S-a estimat că proiectul ar putea fi implementat în perioada 2020 - 2030 dacă fodurile sunt asigurate </w:t>
      </w:r>
    </w:p>
    <w:p w:rsidR="00573AD5" w:rsidRDefault="00573AD5" w:rsidP="0030066D">
      <w:pPr>
        <w:spacing w:line="276" w:lineRule="auto"/>
        <w:jc w:val="both"/>
        <w:rPr>
          <w:rFonts w:cs="Arial"/>
          <w:sz w:val="22"/>
          <w:szCs w:val="22"/>
        </w:rPr>
      </w:pPr>
      <w:r>
        <w:rPr>
          <w:rFonts w:cs="Arial"/>
          <w:sz w:val="22"/>
          <w:szCs w:val="22"/>
        </w:rPr>
        <w:t>.</w:t>
      </w:r>
    </w:p>
    <w:p w:rsidR="00573AD5" w:rsidRDefault="00573AD5" w:rsidP="0030066D">
      <w:pPr>
        <w:spacing w:line="276" w:lineRule="auto"/>
        <w:jc w:val="both"/>
        <w:rPr>
          <w:rFonts w:cs="Arial"/>
          <w:sz w:val="22"/>
          <w:szCs w:val="22"/>
        </w:rPr>
      </w:pPr>
    </w:p>
    <w:p w:rsidR="00573AD5" w:rsidRPr="0076579A" w:rsidRDefault="00573AD5" w:rsidP="0030066D">
      <w:pPr>
        <w:rPr>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417B66" w:rsidRDefault="00573AD5" w:rsidP="00417B66">
      <w:pPr>
        <w:pStyle w:val="Hdg3"/>
        <w:ind w:left="851"/>
      </w:pPr>
      <w:r w:rsidRPr="00417B66">
        <w:lastRenderedPageBreak/>
        <w:t>Reabilitare la viteza de proiectare a Coridorului TEN-T Core IX și a legăturilor Buzău – Galați și Pașcani - Suceava (Test DS04A)</w:t>
      </w: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417B66">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TEN-T Core IX între Ploiești și Iași, a liniei 500 între Pașcani și Suceava și a liniilor 702 și 700 între Buzău și Galați.</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TEN-T Core IX între Ploiești și Iași precum și pentru liniile 500 Pașcani – Iași și 700 Buzău - Galați.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Ploiești, Buzău, Râmnicu Sarat, Focșani, Mărășești, Adjud, Bacău, Roman, Pașcani, Dolhasca, Verești, Suceava, Făurei, Brăila, Galați, Târgu Frumos și Iași</w:t>
            </w:r>
          </w:p>
          <w:p w:rsidR="00573AD5" w:rsidRDefault="00573AD5" w:rsidP="00573AD5">
            <w:pPr>
              <w:pStyle w:val="Heading3"/>
              <w:spacing w:line="276" w:lineRule="auto"/>
              <w:rPr>
                <w:rFonts w:cs="Arial"/>
                <w:b/>
                <w:sz w:val="22"/>
                <w:szCs w:val="22"/>
                <w:lang w:val="ro-RO"/>
              </w:rPr>
            </w:pPr>
            <w:r w:rsidRPr="0076579A">
              <w:rPr>
                <w:sz w:val="22"/>
                <w:szCs w:val="22"/>
                <w:lang w:val="ro-RO"/>
              </w:rPr>
              <w:t>Grafic de mers cadențat pentru serviciile InterRegio, operat prin material rulant nou. Intervalele de succesiune propuse sunt: București – Galați (0,5 trenuri pe oră), București – Iași via Bacău (0,5 trenuri pe oră), București – Suceava (0,5 trenuri pe oră), București – Focșani (0,5 trenuri pe oră) și Suceava – Iași (0,5 trenuri pe oră).</w:t>
            </w:r>
          </w:p>
        </w:tc>
      </w:tr>
    </w:tbl>
    <w:p w:rsidR="00573AD5" w:rsidRDefault="00573AD5" w:rsidP="0030066D">
      <w:pPr>
        <w:pStyle w:val="Heading3"/>
        <w:spacing w:line="276" w:lineRule="auto"/>
        <w:rPr>
          <w:rFonts w:cs="Arial"/>
          <w:b/>
          <w:sz w:val="22"/>
          <w:szCs w:val="22"/>
          <w:lang w:val="ro-RO"/>
        </w:rPr>
      </w:pPr>
    </w:p>
    <w:p w:rsidR="00573AD5" w:rsidRPr="0076579A" w:rsidRDefault="00573AD5" w:rsidP="00573AD5">
      <w:pPr>
        <w:pStyle w:val="ListParagraph"/>
        <w:numPr>
          <w:ilvl w:val="0"/>
          <w:numId w:val="68"/>
        </w:numPr>
        <w:spacing w:after="120" w:line="276" w:lineRule="auto"/>
        <w:contextualSpacing/>
        <w:rPr>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69" name="Picture 530" descr="F:\Projects\Transport Planning - Romania UK GTMP\PUBLIC TRANSPORT\Rail\04_Plots\Do_Somthing_schemes\outputs\DoSomethingSchemes_DS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jects\Transport Planning - Romania UK GTMP\PUBLIC TRANSPORT\Rail\04_Plots\Do_Somthing_schemes\outputs\DoSomethingSchemes_DS04A.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46</w:t>
      </w:r>
      <w:r w:rsidR="003259E9">
        <w:rPr>
          <w:b/>
          <w:sz w:val="22"/>
          <w:szCs w:val="22"/>
        </w:rPr>
        <w:fldChar w:fldCharType="end"/>
      </w:r>
      <w:r>
        <w:rPr>
          <w:b/>
          <w:sz w:val="22"/>
          <w:szCs w:val="22"/>
        </w:rPr>
        <w:t>: Descrierea propunerilor de servicii (DS04A)</w:t>
      </w:r>
    </w:p>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rPr>
          <w:rFonts w:cs="Arial"/>
          <w:b/>
          <w:sz w:val="22"/>
          <w:szCs w:val="22"/>
          <w:lang w:val="ro-RO"/>
        </w:rPr>
      </w:pPr>
    </w:p>
    <w:tbl>
      <w:tblPr>
        <w:tblStyle w:val="TableGrid"/>
        <w:tblW w:w="0" w:type="auto"/>
        <w:shd w:val="clear" w:color="auto" w:fill="DBE5F1" w:themeFill="accent1" w:themeFillTint="33"/>
        <w:tblLook w:val="04A0" w:firstRow="1" w:lastRow="0" w:firstColumn="1" w:lastColumn="0" w:noHBand="0" w:noVBand="1"/>
      </w:tblPr>
      <w:tblGrid>
        <w:gridCol w:w="10507"/>
      </w:tblGrid>
      <w:tr w:rsidR="00573AD5" w:rsidTr="00417B66">
        <w:tc>
          <w:tcPr>
            <w:tcW w:w="10507" w:type="dxa"/>
            <w:shd w:val="clear" w:color="auto" w:fill="DBE5F1" w:themeFill="accent1"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pentru trenurile de pasageri și marfă pe relația București – estul/nord-estul României.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secțiunile considerate. De exemplu, viteza maximă de circulație pentru secțiunea Ploiești – Adjud este de 80 km/h, cu 40 km/h mai mică decât viteza de proiectare.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între București și principalele localități situate pe linia 500; pe acest coridor calea ferată nu este competitivă în concurența cu rețeaua rutieră.</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28</w:t>
      </w:r>
      <w:r w:rsidR="003259E9">
        <w:rPr>
          <w:b/>
          <w:sz w:val="22"/>
          <w:szCs w:val="22"/>
        </w:rPr>
        <w:fldChar w:fldCharType="end"/>
      </w:r>
      <w:r>
        <w:rPr>
          <w:b/>
          <w:sz w:val="22"/>
          <w:szCs w:val="22"/>
        </w:rPr>
        <w:t>: Sinteza costurilor de operare și de infrastructură (DS04A)</w:t>
      </w:r>
    </w:p>
    <w:p w:rsidR="00573AD5" w:rsidRPr="0076579A" w:rsidRDefault="00573AD5" w:rsidP="0030066D">
      <w:pPr>
        <w:spacing w:line="276" w:lineRule="auto"/>
        <w:jc w:val="both"/>
        <w:rPr>
          <w:rFonts w:cs="Arial"/>
          <w:sz w:val="22"/>
          <w:szCs w:val="22"/>
          <w:lang w:val="ro-RO"/>
        </w:rPr>
      </w:pP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3.366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839</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4.204</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lastRenderedPageBreak/>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bune (BCR = 1,2</w:t>
      </w:r>
      <w:r>
        <w:rPr>
          <w:rFonts w:cs="Arial"/>
          <w:sz w:val="22"/>
          <w:szCs w:val="22"/>
          <w:lang w:val="ro-RO"/>
        </w:rPr>
        <w:t>3</w:t>
      </w:r>
      <w:r w:rsidRPr="0076579A">
        <w:rPr>
          <w:rFonts w:cs="Arial"/>
          <w:sz w:val="22"/>
          <w:szCs w:val="22"/>
          <w:lang w:val="ro-RO"/>
        </w:rPr>
        <w:t xml:space="preserve">) dar și o creștere semnificativă a traficului de pasageri și marfă, de 32%, respectiv 5% pentru întreaga rețea (a se vedea </w:t>
      </w:r>
      <w:r>
        <w:rPr>
          <w:rFonts w:cs="Arial"/>
          <w:sz w:val="22"/>
          <w:szCs w:val="22"/>
          <w:lang w:val="ro-RO"/>
        </w:rPr>
        <w:t>Tabelul 5.29</w:t>
      </w:r>
      <w:r w:rsidRPr="0076579A">
        <w:rPr>
          <w:rFonts w:cs="Arial"/>
          <w:sz w:val="22"/>
          <w:szCs w:val="22"/>
          <w:lang w:val="ro-RO"/>
        </w:rPr>
        <w:t>):</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29</w:t>
      </w:r>
      <w:r w:rsidR="003259E9">
        <w:rPr>
          <w:b/>
          <w:sz w:val="22"/>
          <w:szCs w:val="22"/>
        </w:rPr>
        <w:fldChar w:fldCharType="end"/>
      </w:r>
      <w:r>
        <w:rPr>
          <w:b/>
          <w:sz w:val="22"/>
          <w:szCs w:val="22"/>
        </w:rPr>
        <w:t>: Sinteza rezultatelor  (DS04A)</w:t>
      </w:r>
    </w:p>
    <w:tbl>
      <w:tblPr>
        <w:tblStyle w:val="TableGrid"/>
        <w:tblW w:w="0" w:type="auto"/>
        <w:tblLook w:val="04A0" w:firstRow="1" w:lastRow="0" w:firstColumn="1" w:lastColumn="0" w:noHBand="0" w:noVBand="1"/>
      </w:tblPr>
      <w:tblGrid>
        <w:gridCol w:w="5866"/>
        <w:gridCol w:w="1672"/>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DS04A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+6</w:t>
            </w:r>
            <w:r>
              <w:rPr>
                <w:rFonts w:cs="Arial"/>
                <w:sz w:val="22"/>
                <w:szCs w:val="22"/>
              </w:rPr>
              <w:t>.</w:t>
            </w:r>
            <w:r w:rsidRPr="00804F1B">
              <w:rPr>
                <w:rFonts w:cs="Arial"/>
                <w:sz w:val="22"/>
                <w:szCs w:val="22"/>
              </w:rPr>
              <w:t>783 (+32%)</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w:t>
            </w:r>
            <w:r>
              <w:rPr>
                <w:rFonts w:cs="Arial"/>
                <w:sz w:val="22"/>
                <w:szCs w:val="22"/>
              </w:rPr>
              <w:t>,</w:t>
            </w:r>
            <w:r w:rsidRPr="00804F1B">
              <w:rPr>
                <w:rFonts w:cs="Arial"/>
                <w:sz w:val="22"/>
                <w:szCs w:val="22"/>
              </w:rPr>
              <w:t>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w:t>
            </w:r>
            <w:r>
              <w:rPr>
                <w:rFonts w:cs="Arial"/>
                <w:sz w:val="22"/>
                <w:szCs w:val="22"/>
              </w:rPr>
              <w:t>.</w:t>
            </w:r>
            <w:r w:rsidRPr="00804F1B">
              <w:rPr>
                <w:rFonts w:cs="Arial"/>
                <w:sz w:val="22"/>
                <w:szCs w:val="22"/>
              </w:rPr>
              <w:t>159 (+5%)</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w:t>
            </w:r>
            <w:r>
              <w:rPr>
                <w:rFonts w:cs="Arial"/>
                <w:sz w:val="22"/>
                <w:szCs w:val="22"/>
              </w:rPr>
              <w:t>,</w:t>
            </w:r>
            <w:r w:rsidRPr="00804F1B">
              <w:rPr>
                <w:rFonts w:cs="Arial"/>
                <w:sz w:val="22"/>
                <w:szCs w:val="22"/>
              </w:rPr>
              <w:t>6%</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529</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w:t>
            </w:r>
            <w:r>
              <w:rPr>
                <w:rFonts w:cs="Arial"/>
                <w:b/>
                <w:sz w:val="22"/>
                <w:szCs w:val="22"/>
              </w:rPr>
              <w:t>,</w:t>
            </w:r>
            <w:r w:rsidRPr="00804F1B">
              <w:rPr>
                <w:rFonts w:cs="Arial"/>
                <w:b/>
                <w:sz w:val="22"/>
                <w:szCs w:val="22"/>
              </w:rPr>
              <w:t>2</w:t>
            </w:r>
            <w:r>
              <w:rPr>
                <w:rFonts w:cs="Arial"/>
                <w:b/>
                <w:sz w:val="22"/>
                <w:szCs w:val="22"/>
              </w:rPr>
              <w:t>3</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6</w:t>
            </w:r>
            <w:r>
              <w:rPr>
                <w:rFonts w:cs="Arial"/>
                <w:b/>
                <w:sz w:val="22"/>
                <w:szCs w:val="22"/>
              </w:rPr>
              <w:t>,15</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260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28</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Figurile 5.47 și 5.48</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25900"/>
            <wp:effectExtent l="0" t="0" r="0" b="0"/>
            <wp:docPr id="970" name="Picture 529" descr="F:\Projects\Transport Planning - Romania UK GTMP\PUBLIC TRANSPORT\Rail\04_Plots\Rail_results\output\DS04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jects\Transport Planning - Romania UK GTMP\PUBLIC TRANSPORT\Rail\04_Plots\Rail_results\output\DS04A_2030_change_pass.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759450" cy="40259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47</w:t>
      </w:r>
      <w:r w:rsidR="003259E9">
        <w:rPr>
          <w:b/>
          <w:sz w:val="22"/>
          <w:szCs w:val="22"/>
        </w:rPr>
        <w:fldChar w:fldCharType="end"/>
      </w:r>
      <w:r>
        <w:rPr>
          <w:b/>
          <w:sz w:val="22"/>
          <w:szCs w:val="22"/>
        </w:rPr>
        <w:t>: Modificări ale cererii de transport călători    (DS04A)</w:t>
      </w:r>
    </w:p>
    <w:p w:rsidR="00573AD5" w:rsidRPr="00AE1AD4" w:rsidRDefault="00573AD5" w:rsidP="00AE1AD4">
      <w:pPr>
        <w:ind w:left="851"/>
        <w:rPr>
          <w:i/>
          <w:lang w:val="ro-RO"/>
        </w:rPr>
      </w:pPr>
      <w:bookmarkStart w:id="494" w:name="_Toc413058130"/>
      <w:r w:rsidRPr="00AE1AD4">
        <w:rPr>
          <w:i/>
          <w:lang w:val="ro-RO"/>
        </w:rPr>
        <w:t>Sursa: Analiza AECOM a rezultatelor Modelului Național de Transport</w:t>
      </w:r>
      <w:bookmarkEnd w:id="494"/>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lastRenderedPageBreak/>
        <w:t>Consecința principală a acestei intervenții este creșterea generală a cererii de transport pasageri, în condițiile în care coridorul modernizat va avea o creștere semnificativă a traficului: 115% pentru secțiunea Buzău – Focșani, 180% pentru Făurei – Galați, 130% între Pașcani și Iași și de 85% pentru secțiunea Pașcani – Suceava. De vreme ce acest coridor devine cea mai rapidă rută către zona de nord-est a țării, linia 600 pierde aproximativ 45% din traficul de pasageri din scenariul de referință.</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67175"/>
            <wp:effectExtent l="0" t="0" r="0" b="9525"/>
            <wp:docPr id="138" name="Picture 528" descr="F:\Projects\Transport Planning - Romania UK GTMP\PUBLIC TRANSPORT\Rail\04_Plots\Rail_results\output\DS04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s\Transport Planning - Romania UK GTMP\PUBLIC TRANSPORT\Rail\04_Plots\Rail_results\output\DS04A_2030_change_freight.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48</w:t>
      </w:r>
      <w:r w:rsidR="003259E9">
        <w:rPr>
          <w:b/>
          <w:sz w:val="22"/>
          <w:szCs w:val="22"/>
        </w:rPr>
        <w:fldChar w:fldCharType="end"/>
      </w:r>
      <w:r>
        <w:rPr>
          <w:b/>
          <w:sz w:val="22"/>
          <w:szCs w:val="22"/>
        </w:rPr>
        <w:t>: Modificări ale cererii de transport marfă (DS04A)</w:t>
      </w:r>
    </w:p>
    <w:p w:rsidR="00573AD5" w:rsidRPr="00AE1AD4" w:rsidRDefault="00573AD5" w:rsidP="00AE1AD4">
      <w:pPr>
        <w:ind w:left="851"/>
        <w:rPr>
          <w:i/>
          <w:lang w:val="ro-RO"/>
        </w:rPr>
      </w:pPr>
      <w:bookmarkStart w:id="495" w:name="_Toc413058131"/>
      <w:r w:rsidRPr="00AE1AD4">
        <w:rPr>
          <w:i/>
          <w:lang w:val="ro-RO"/>
        </w:rPr>
        <w:t>Sursa: Analiza AECOM a rezultatelor Modelului Național de Transport</w:t>
      </w:r>
      <w:bookmarkEnd w:id="495"/>
    </w:p>
    <w:p w:rsidR="00573AD5" w:rsidRPr="00AE1AD4" w:rsidRDefault="00573AD5" w:rsidP="00AE1AD4">
      <w:pPr>
        <w:ind w:left="851"/>
        <w:rPr>
          <w:i/>
          <w:lang w:val="ro-RO"/>
        </w:rPr>
      </w:pPr>
    </w:p>
    <w:p w:rsidR="00573AD5" w:rsidRDefault="00573AD5" w:rsidP="0030066D">
      <w:pPr>
        <w:spacing w:line="276" w:lineRule="auto"/>
        <w:jc w:val="both"/>
        <w:rPr>
          <w:rFonts w:cs="Arial"/>
          <w:sz w:val="22"/>
          <w:szCs w:val="22"/>
          <w:lang w:val="ro-RO"/>
        </w:rPr>
      </w:pPr>
      <w:r>
        <w:rPr>
          <w:rFonts w:cs="Arial"/>
          <w:sz w:val="22"/>
          <w:szCs w:val="22"/>
          <w:lang w:val="ro-RO"/>
        </w:rPr>
        <w:t>Coridorul Core Ten-T IX atrage de asemenea o creștere semnificativă a cererii, cu o creștere de 175% între Buzău și Focșani și 165%de la Bacău la Pașcani. Similar cu schimbările fluxurilor de pasageri, numărul de tone transportate între Bârlad și Baslui este prognozat să scadă cu 50%.</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Default="00573AD5" w:rsidP="00573AD5">
      <w:pPr>
        <w:pStyle w:val="BulletLevel1"/>
        <w:spacing w:after="60"/>
      </w:pPr>
      <w:r w:rsidRPr="0076579A">
        <w:t xml:space="preserve">Se estimează că acest proiect va fi implementat în perioada 2020-2030, dacă finanțarea necesară va fi </w:t>
      </w:r>
      <w:r>
        <w:t>asigurată</w:t>
      </w:r>
      <w:r w:rsidRPr="0076579A">
        <w:t>.</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Default="00573AD5" w:rsidP="0030066D">
      <w:pPr>
        <w:pStyle w:val="Hdg3"/>
      </w:pPr>
      <w:r w:rsidRPr="0076579A">
        <w:lastRenderedPageBreak/>
        <w:t>Reabilitare la viteza de proiectare a secțiunii București – Pitești și construcția legăturii Vâlcele – Râmnicu Vâlcea (Test DS05A)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la viteza de proiectare a secțiunii București – Pitești și legătură feroviară nouă între Vâlcele și Râmnicu Vâlcea; proiectul include 4 stații locale pentru secțiunea nouă. Serviciile de pasageri vor fi extinse între Râmnicu Sărat și Sibiu.</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901 între București și Pitești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Legătură feroviară nouă între Vâlcele și Râmnicu Vâlcea, anumite elemente de infrastructură există deja pe acest traseu.</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Nord, Titu, Găești, Pitești, Vâlcele, Râmnicu Vâlcea Nord, Tălmaciu și Sibiu</w:t>
            </w:r>
          </w:p>
          <w:p w:rsidR="00573AD5" w:rsidRDefault="00573AD5" w:rsidP="00573AD5">
            <w:pPr>
              <w:pStyle w:val="Body"/>
              <w:ind w:left="0"/>
              <w:rPr>
                <w:b/>
                <w:i w:val="0"/>
                <w:lang w:val="ro-RO"/>
              </w:rPr>
            </w:pPr>
            <w:r w:rsidRPr="0076579A">
              <w:rPr>
                <w:lang w:val="ro-RO"/>
              </w:rPr>
              <w:t>Grafic de mers cadențat pentru serviciile InterRegio, operat prin material rulant nou. Intervalele de succesiune propuse sunt: București – Râmnicu Vâlcea (0,5 trenuri pe oră), București – Sibiu via Pitești (0,5 trenuri pe oră)</w:t>
            </w:r>
          </w:p>
        </w:tc>
      </w:tr>
    </w:tbl>
    <w:p w:rsidR="00573AD5" w:rsidRPr="0076579A" w:rsidRDefault="00573AD5" w:rsidP="0030066D">
      <w:pPr>
        <w:pStyle w:val="Body"/>
        <w:ind w:left="0"/>
        <w:rPr>
          <w:b/>
          <w:i w:val="0"/>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626376" cy="3946527"/>
            <wp:effectExtent l="19050" t="0" r="0" b="0"/>
            <wp:docPr id="139" name="Picture 527" descr="F:\Projects\Transport Planning - Romania UK GTMP\PUBLIC TRANSPORT\Rail\04_Plots\Do_Somthing_schemes\outputs\DoSomethingSchemes_DS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jects\Transport Planning - Romania UK GTMP\PUBLIC TRANSPORT\Rail\04_Plots\Do_Somthing_schemes\outputs\DoSomethingSchemes_DS05A.jp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5632143" cy="3950572"/>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49</w:t>
      </w:r>
      <w:r w:rsidR="003259E9">
        <w:rPr>
          <w:b/>
          <w:sz w:val="22"/>
          <w:szCs w:val="22"/>
        </w:rPr>
        <w:fldChar w:fldCharType="end"/>
      </w:r>
      <w:r>
        <w:rPr>
          <w:b/>
          <w:sz w:val="22"/>
          <w:szCs w:val="22"/>
        </w:rPr>
        <w:t>: Descrierea propunerilor de servicii (DS05A)</w:t>
      </w:r>
    </w:p>
    <w:p w:rsidR="00573AD5" w:rsidRPr="00AE1AD4" w:rsidRDefault="00573AD5" w:rsidP="00AE1AD4">
      <w:pPr>
        <w:ind w:left="851"/>
        <w:rPr>
          <w:i/>
          <w:lang w:val="ro-RO"/>
        </w:rPr>
      </w:pPr>
      <w:bookmarkStart w:id="496" w:name="_Toc413058132"/>
      <w:r w:rsidRPr="00AE1AD4">
        <w:rPr>
          <w:i/>
          <w:lang w:val="ro-RO"/>
        </w:rPr>
        <w:t>Sursa: Analiza AECOM a rezultatelor Modelului Național de Transport</w:t>
      </w:r>
      <w:bookmarkEnd w:id="496"/>
    </w:p>
    <w:p w:rsidR="00573AD5" w:rsidRDefault="00573AD5" w:rsidP="0030066D">
      <w:pPr>
        <w:rPr>
          <w:rFonts w:cs="Arial"/>
          <w:b/>
          <w:sz w:val="22"/>
          <w:szCs w:val="22"/>
          <w:lang w:val="ro-RO"/>
        </w:rPr>
      </w:pPr>
    </w:p>
    <w:p w:rsidR="00573AD5" w:rsidRPr="0076579A" w:rsidRDefault="00573AD5" w:rsidP="0030066D">
      <w:pPr>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 xml:space="preserve">Probleme </w:t>
            </w:r>
            <w:r>
              <w:rPr>
                <w:rFonts w:cs="Arial"/>
                <w:b/>
                <w:sz w:val="22"/>
                <w:szCs w:val="22"/>
                <w:lang w:val="ro-RO"/>
              </w:rPr>
              <w:t>abordate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 secțiunea București - Pitești.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Conectivitate redusă a trenurilor de pasageri între București și Râmnicu Vâlcea / Sibiu</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Nu există o rută directă pentru trenurile de marfă pe direcția Constanța – nord-vestul și centrul Europei.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secțiunea Chitila - Ghergani.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între București și Pitești; pe acest coridor calea ferată nu este competitivă în concurența cu rețeaua rutieră, în condițiile în care există o autostradă paralelă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Default="00573AD5" w:rsidP="00573AD5">
            <w:pPr>
              <w:pStyle w:val="Heading3"/>
              <w:spacing w:line="276" w:lineRule="auto"/>
              <w:rPr>
                <w:rFonts w:cs="Arial"/>
                <w:b/>
                <w:sz w:val="22"/>
                <w:szCs w:val="22"/>
                <w:lang w:val="ro-RO"/>
              </w:rPr>
            </w:pP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30</w:t>
      </w:r>
      <w:r w:rsidR="003259E9">
        <w:rPr>
          <w:b/>
          <w:sz w:val="22"/>
          <w:szCs w:val="22"/>
        </w:rPr>
        <w:fldChar w:fldCharType="end"/>
      </w:r>
      <w:r>
        <w:rPr>
          <w:b/>
          <w:sz w:val="22"/>
          <w:szCs w:val="22"/>
        </w:rPr>
        <w:t>: Sinteza costurilor de operare și de infrastructură (DS05A)</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854</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116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970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bookmarkStart w:id="497" w:name="_Toc413058133"/>
      <w:r w:rsidRPr="00AE1AD4">
        <w:rPr>
          <w:i/>
          <w:lang w:val="ro-RO"/>
        </w:rPr>
        <w:t>Sursa: Analiza AECOM a datelor provenite de la CFR Marfă și CFR Călători</w:t>
      </w:r>
      <w:bookmarkEnd w:id="497"/>
      <w:r w:rsidRPr="00AE1AD4">
        <w:rPr>
          <w:i/>
          <w:lang w:val="ro-RO"/>
        </w:rPr>
        <w:t xml:space="preserve">   </w:t>
      </w:r>
    </w:p>
    <w:p w:rsidR="00573AD5" w:rsidRPr="0076579A" w:rsidRDefault="00573AD5" w:rsidP="0030066D">
      <w:pPr>
        <w:spacing w:line="276" w:lineRule="auto"/>
        <w:rPr>
          <w:rFonts w:cs="Arial"/>
          <w:sz w:val="22"/>
          <w:szCs w:val="22"/>
          <w:lang w:val="ro-RO"/>
        </w:rPr>
      </w:pPr>
    </w:p>
    <w:p w:rsidR="00573AD5" w:rsidRDefault="00573AD5" w:rsidP="0030066D">
      <w:pPr>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lastRenderedPageBreak/>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foarte scăzute (BCR = -0,01), în condițiile unor creșteri de trafic reduse, de 6% pentru traficul de pasageri și 3% pentru traficul de mărfuri (a se vedea tabelul de mai jos). Este important de notat efectele adverse semnificative asupra mediului generate de trenurile diesel, ceea ce constituie un factor de influență pentru rezultatele defavorabile ale analizei cost-beneficiu.</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31</w:t>
      </w:r>
      <w:r w:rsidR="003259E9">
        <w:rPr>
          <w:b/>
          <w:sz w:val="22"/>
          <w:szCs w:val="22"/>
        </w:rPr>
        <w:fldChar w:fldCharType="end"/>
      </w:r>
      <w:r>
        <w:rPr>
          <w:b/>
          <w:sz w:val="22"/>
          <w:szCs w:val="22"/>
        </w:rPr>
        <w:t>: Sinteza rezultatelor  (DS05A)</w:t>
      </w:r>
    </w:p>
    <w:tbl>
      <w:tblPr>
        <w:tblStyle w:val="TableGrid"/>
        <w:tblW w:w="0" w:type="auto"/>
        <w:tblLook w:val="04A0" w:firstRow="1" w:lastRow="0" w:firstColumn="1" w:lastColumn="0" w:noHBand="0" w:noVBand="1"/>
      </w:tblPr>
      <w:tblGrid>
        <w:gridCol w:w="5866"/>
        <w:gridCol w:w="1550"/>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DS05A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253 (+6%)</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0.4%</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435 (+3%)</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Default="00573AD5" w:rsidP="00573AD5">
            <w:pPr>
              <w:spacing w:before="120" w:line="276" w:lineRule="auto"/>
              <w:ind w:left="720" w:hanging="720"/>
              <w:jc w:val="center"/>
              <w:rPr>
                <w:rFonts w:cs="Arial"/>
                <w:sz w:val="22"/>
                <w:szCs w:val="22"/>
                <w:lang w:val="ro-RO"/>
              </w:rPr>
            </w:pPr>
            <w:r w:rsidRPr="00804F1B">
              <w:rPr>
                <w:rFonts w:cs="Arial"/>
                <w:sz w:val="22"/>
                <w:szCs w:val="22"/>
              </w:rPr>
              <w:t>0</w:t>
            </w:r>
            <w:r>
              <w:rPr>
                <w:rFonts w:cs="Arial"/>
                <w:sz w:val="22"/>
                <w:szCs w:val="22"/>
              </w:rPr>
              <w:t>,</w:t>
            </w:r>
            <w:r w:rsidRPr="00804F1B">
              <w:rPr>
                <w:rFonts w:cs="Arial"/>
                <w:sz w:val="22"/>
                <w:szCs w:val="22"/>
              </w:rPr>
              <w:t>5%</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 xml:space="preserve">- </w:t>
            </w:r>
            <w:r>
              <w:rPr>
                <w:rFonts w:cs="Arial"/>
                <w:b/>
                <w:sz w:val="22"/>
                <w:szCs w:val="22"/>
              </w:rPr>
              <w:t>605</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w:t>
            </w:r>
            <w:r w:rsidRPr="00804F1B">
              <w:rPr>
                <w:rFonts w:cs="Arial"/>
                <w:b/>
                <w:sz w:val="22"/>
                <w:szCs w:val="22"/>
              </w:rPr>
              <w:t>01</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Default="00573AD5" w:rsidP="00573AD5">
            <w:pPr>
              <w:spacing w:before="120" w:line="276" w:lineRule="auto"/>
              <w:ind w:left="720" w:hanging="720"/>
              <w:jc w:val="center"/>
              <w:rPr>
                <w:rFonts w:cs="Arial"/>
                <w:b/>
                <w:sz w:val="22"/>
                <w:szCs w:val="22"/>
                <w:lang w:val="ro-RO"/>
              </w:rPr>
            </w:pPr>
            <w:r w:rsidRPr="00804F1B">
              <w:rPr>
                <w:rFonts w:cs="Arial"/>
                <w:b/>
                <w:sz w:val="22"/>
                <w:szCs w:val="22"/>
              </w:rPr>
              <w:t>- 11</w:t>
            </w:r>
            <w:r>
              <w:rPr>
                <w:rFonts w:cs="Arial"/>
                <w:b/>
                <w:sz w:val="22"/>
                <w:szCs w:val="22"/>
              </w:rPr>
              <w:t>,32</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320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w:t>
            </w:r>
          </w:p>
        </w:tc>
      </w:tr>
    </w:tbl>
    <w:p w:rsidR="00573AD5" w:rsidRPr="00AE1AD4" w:rsidRDefault="00573AD5" w:rsidP="00AE1AD4">
      <w:pPr>
        <w:ind w:left="851"/>
        <w:rPr>
          <w:i/>
          <w:lang w:val="ro-RO"/>
        </w:rPr>
      </w:pPr>
      <w:bookmarkStart w:id="498" w:name="_Toc413058134"/>
      <w:r w:rsidRPr="00AE1AD4">
        <w:rPr>
          <w:i/>
          <w:lang w:val="ro-RO"/>
        </w:rPr>
        <w:t>Sursa: Analiza AECOM a rezultatelor Modelului Național de Transport</w:t>
      </w:r>
      <w:bookmarkEnd w:id="498"/>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Figurile 5.50 și 5.51</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39870"/>
            <wp:effectExtent l="0" t="0" r="0" b="0"/>
            <wp:docPr id="140" name="Picture 526" descr="F:\Projects\Transport Planning - Romania UK GTMP\PUBLIC TRANSPORT\Rail\04_Plots\Rail_results\output\DS05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jects\Transport Planning - Romania UK GTMP\PUBLIC TRANSPORT\Rail\04_Plots\Rail_results\output\DS05A_2030_change_pass.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50</w:t>
      </w:r>
      <w:r w:rsidR="003259E9">
        <w:rPr>
          <w:b/>
          <w:sz w:val="22"/>
          <w:szCs w:val="22"/>
        </w:rPr>
        <w:fldChar w:fldCharType="end"/>
      </w:r>
      <w:r>
        <w:rPr>
          <w:b/>
          <w:sz w:val="22"/>
          <w:szCs w:val="22"/>
        </w:rPr>
        <w:t>: Modificări ale cererii de transport călători    (DS05A)</w:t>
      </w:r>
    </w:p>
    <w:p w:rsidR="00573AD5" w:rsidRPr="00AE1AD4" w:rsidRDefault="00573AD5" w:rsidP="00AE1AD4">
      <w:pPr>
        <w:ind w:left="851"/>
        <w:rPr>
          <w:i/>
          <w:lang w:val="ro-RO"/>
        </w:rPr>
      </w:pPr>
      <w:bookmarkStart w:id="499" w:name="_Toc413058135"/>
      <w:r w:rsidRPr="00AE1AD4">
        <w:rPr>
          <w:i/>
          <w:lang w:val="ro-RO"/>
        </w:rPr>
        <w:lastRenderedPageBreak/>
        <w:t>Sursa: Analiza AECOM a rezultatelor Modelului Național de Transport</w:t>
      </w:r>
      <w:bookmarkEnd w:id="499"/>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Proiectul condu</w:t>
      </w:r>
      <w:r>
        <w:rPr>
          <w:rFonts w:cs="Arial"/>
          <w:sz w:val="22"/>
          <w:szCs w:val="22"/>
          <w:lang w:val="ro-RO"/>
        </w:rPr>
        <w:t>c</w:t>
      </w:r>
      <w:r w:rsidRPr="0076579A">
        <w:rPr>
          <w:rFonts w:cs="Arial"/>
          <w:sz w:val="22"/>
          <w:szCs w:val="22"/>
          <w:lang w:val="ro-RO"/>
        </w:rPr>
        <w:t>e la creșterea semnificativă a traficului de pasageri între București și Pitești / Râmnicu Vâlcea / Sibiu. Traficul de pasageri crește cu 130% pentru secțiunea București – Pitești, în timp ce traficul la vest de Pitești crește de 10-15 ori față de cazul de referință. Traficul de pe rutele paralele scade ușor, așa cum se poate vedea din planșa anterioară.</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141" name="Picture 351" descr="F:\Projects\Transport Planning - Romania UK GTMP\PUBLIC TRANSPORT\Rail\04_Plots\Rail_results\output\DS05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jects\Transport Planning - Romania UK GTMP\PUBLIC TRANSPORT\Rail\04_Plots\Rail_results\output\DS05A_2030_change_freight.jpg"/>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51</w:t>
      </w:r>
      <w:r w:rsidR="003259E9">
        <w:rPr>
          <w:b/>
          <w:sz w:val="22"/>
          <w:szCs w:val="22"/>
        </w:rPr>
        <w:fldChar w:fldCharType="end"/>
      </w:r>
      <w:r>
        <w:rPr>
          <w:b/>
          <w:sz w:val="22"/>
          <w:szCs w:val="22"/>
        </w:rPr>
        <w:t>: Modificări ale cererii de transport marfă (DS05A)</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Construcția legăturii feroviare noi atrage un volum semnificativ de trafic de mărfuri, în condițiile în care ruta studiată devine o legătură directă între București și zona de nord-vest. Traficul de mărfuri pe relația București – Pitești crește cu 320%; traficul la vest de Pitești crește cu rate mult mai mari.</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417B66">
      <w:pPr>
        <w:pStyle w:val="BulletLevel1"/>
        <w:numPr>
          <w:ilvl w:val="0"/>
          <w:numId w:val="0"/>
        </w:numPr>
        <w:spacing w:after="60"/>
        <w:ind w:left="1208" w:hanging="357"/>
      </w:pPr>
      <w:r w:rsidRPr="0076579A">
        <w:t xml:space="preserve">Se estimează că acest proiect va fi implementat până în perioada 2020, dacă finanțarea necesară va fi </w:t>
      </w:r>
      <w:r>
        <w:t>asigurată</w:t>
      </w:r>
      <w:r w:rsidRPr="0076579A">
        <w:t>.</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secțiunii București – Pitești, construcția legăturii Vâlcele – Râmnicu Vâlcea și electrificarea liniei (Test DS05B)</w:t>
      </w:r>
    </w:p>
    <w:tbl>
      <w:tblPr>
        <w:tblStyle w:val="TableGrid"/>
        <w:tblW w:w="0" w:type="auto"/>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la viteza de proiectare a secțiunii București – Pitești și legătură feroviară nouă între Vâlcele și Râmnicu Vâlcea; proiectul include 4 stații locale pentru secțiunea nouă. Serviciile de pasageri vor fi extinse între Râmnicu Sărat și Sibiu.</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901 între București și Pitești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Legătură feroviară nouă între Vâlcele și Râmnicu Vâlcea, anumite elemente de infrastructură există deja pe acest traseu.</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Electrificarea de linii: București – Pitești, Pitești – Râmnicu Vâlcea (utilizând segmentul nou), Râmnicu Vâlcea – Sibiu, Sibiu – Coridorul TEN-T Core IV-N (la sud-vest de Alba Iulia) și linia 208.</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Nord, Titu, Găești, Pitești, Vâlcele, Râmnicu Vâlcea Nord, Tălmaciu și Sibiu</w:t>
            </w:r>
          </w:p>
          <w:p w:rsidR="00573AD5" w:rsidRDefault="00573AD5" w:rsidP="00573AD5">
            <w:pPr>
              <w:pStyle w:val="ListParagraph"/>
              <w:numPr>
                <w:ilvl w:val="0"/>
                <w:numId w:val="68"/>
              </w:numPr>
              <w:spacing w:after="120" w:line="276" w:lineRule="auto"/>
              <w:contextualSpacing/>
              <w:rPr>
                <w:b/>
                <w:bCs/>
                <w:kern w:val="28"/>
                <w:sz w:val="22"/>
                <w:szCs w:val="22"/>
                <w:lang w:val="ro-RO"/>
              </w:rPr>
            </w:pPr>
            <w:r w:rsidRPr="0076579A">
              <w:rPr>
                <w:sz w:val="22"/>
                <w:szCs w:val="22"/>
                <w:lang w:val="ro-RO"/>
              </w:rPr>
              <w:t>Grafic de mers cadențat pentru serviciile InterRegio, operat prin material rulant nou. Intervalele de succesiune propuse sunt: București – Râmnicu Vâlcea (0,5 trenuri pe oră), București – Sibiu via Pitești (0,5 trenuri pe oră).</w:t>
            </w: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67175"/>
            <wp:effectExtent l="0" t="0" r="0" b="9525"/>
            <wp:docPr id="971" name="Picture 350" descr="F:\Projects\Transport Planning - Romania UK GTMP\PUBLIC TRANSPORT\Rail\04_Plots\Do_Somthing_schemes\outputs\DoSomethingSchemes_DS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jects\Transport Planning - Romania UK GTMP\PUBLIC TRANSPORT\Rail\04_Plots\Do_Somthing_schemes\outputs\DoSomethingSchemes_DS05B.jpg"/>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52</w:t>
      </w:r>
      <w:r w:rsidR="003259E9">
        <w:rPr>
          <w:b/>
          <w:sz w:val="22"/>
          <w:szCs w:val="22"/>
        </w:rPr>
        <w:fldChar w:fldCharType="end"/>
      </w:r>
      <w:r>
        <w:rPr>
          <w:b/>
          <w:sz w:val="22"/>
          <w:szCs w:val="22"/>
        </w:rPr>
        <w:t>: Descrierea propunerilor de servicii (DS05B)</w:t>
      </w:r>
    </w:p>
    <w:p w:rsidR="00573AD5" w:rsidRPr="00AE1AD4" w:rsidRDefault="00573AD5" w:rsidP="00AE1AD4">
      <w:pPr>
        <w:ind w:left="851"/>
        <w:rPr>
          <w:i/>
          <w:lang w:val="ro-RO"/>
        </w:rPr>
      </w:pPr>
      <w:bookmarkStart w:id="500" w:name="_Toc413058136"/>
      <w:r w:rsidRPr="00AE1AD4">
        <w:rPr>
          <w:i/>
          <w:lang w:val="ro-RO"/>
        </w:rPr>
        <w:lastRenderedPageBreak/>
        <w:t>Sursa: Analiza AECOM a rezultatelor Modelului Național de Transport</w:t>
      </w:r>
      <w:bookmarkEnd w:id="500"/>
    </w:p>
    <w:p w:rsidR="00573AD5" w:rsidRDefault="00573AD5" w:rsidP="0030066D">
      <w:pPr>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 secțiunea București - Pitești.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Conectivitate redusă a trenurilor de pasageri între București și Râmnicu Vâlcea / Sibiu</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Nu există o rută directă pentru trenurile de marfă pe direcția Constanța – nord-vestul și centrul Europei.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secțiunea Chitila - Ghergani.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între București și Pitești; pe acest coridor calea ferată nu este competitivă în concurența cu rețeaua rutieră, în condițiile în care există o autostradă paralelă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Emisiile locale semnificative prognozate în testul DS05A.</w:t>
            </w:r>
          </w:p>
          <w:p w:rsidR="00573AD5" w:rsidRDefault="00573AD5" w:rsidP="00573AD5">
            <w:pPr>
              <w:pStyle w:val="Heading3"/>
              <w:spacing w:line="276" w:lineRule="auto"/>
              <w:rPr>
                <w:rFonts w:cs="Arial"/>
                <w:b/>
                <w:sz w:val="22"/>
                <w:szCs w:val="22"/>
                <w:lang w:val="ro-RO"/>
              </w:rPr>
            </w:pP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32</w:t>
      </w:r>
      <w:r w:rsidR="003259E9">
        <w:rPr>
          <w:b/>
          <w:sz w:val="22"/>
          <w:szCs w:val="22"/>
        </w:rPr>
        <w:fldChar w:fldCharType="end"/>
      </w:r>
      <w:r>
        <w:rPr>
          <w:b/>
          <w:sz w:val="22"/>
          <w:szCs w:val="22"/>
        </w:rPr>
        <w:t>: Sinteza costurilor de operare și de infrastructură (DS05B)</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1.262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622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.884</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bookmarkStart w:id="501" w:name="_Toc413058137"/>
      <w:r w:rsidRPr="00AE1AD4">
        <w:rPr>
          <w:i/>
          <w:lang w:val="ro-RO"/>
        </w:rPr>
        <w:t>Sursa: Analiza AECOM a datelor provenite de la CFR Marfă și CFR Călători</w:t>
      </w:r>
      <w:bookmarkEnd w:id="501"/>
      <w:r w:rsidRPr="00AE1AD4">
        <w:rPr>
          <w:i/>
          <w:lang w:val="ro-RO"/>
        </w:rPr>
        <w:t xml:space="preserve">   </w:t>
      </w:r>
    </w:p>
    <w:p w:rsidR="00573AD5" w:rsidRPr="0076579A" w:rsidRDefault="00573AD5" w:rsidP="0030066D">
      <w:pPr>
        <w:spacing w:line="276" w:lineRule="auto"/>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foarte bune (BCR = 1,66), în condițiile unor creșteri de trafic reduse, de 6% pentru traficul de pasageri și 2% pentru traficul de mărfuri (a se vedea tabelul de mai jos).</w:t>
      </w:r>
      <w:r>
        <w:rPr>
          <w:rFonts w:cs="Arial"/>
          <w:sz w:val="22"/>
          <w:szCs w:val="22"/>
          <w:lang w:val="ro-RO"/>
        </w:rPr>
        <w:t xml:space="preserve"> Modificările numărului de pasageri-km sunt comparabile cu rezultatele prezentate în testul DS05A.</w:t>
      </w:r>
    </w:p>
    <w:p w:rsidR="00573AD5" w:rsidRDefault="00573AD5" w:rsidP="0030066D">
      <w:pPr>
        <w:spacing w:line="276" w:lineRule="auto"/>
        <w:jc w:val="both"/>
        <w:rPr>
          <w:rFonts w:cs="Arial"/>
          <w:sz w:val="22"/>
          <w:szCs w:val="22"/>
          <w:lang w:val="ro-RO"/>
        </w:rPr>
      </w:pPr>
    </w:p>
    <w:p w:rsidR="00573AD5" w:rsidRDefault="00573AD5" w:rsidP="0030066D">
      <w:pPr>
        <w:pStyle w:val="Caption"/>
        <w:shd w:val="clear" w:color="auto" w:fill="C6D9F1" w:themeFill="text2" w:themeFillTint="33"/>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33</w:t>
      </w:r>
      <w:r w:rsidR="003259E9">
        <w:rPr>
          <w:b/>
          <w:sz w:val="22"/>
          <w:szCs w:val="22"/>
        </w:rPr>
        <w:fldChar w:fldCharType="end"/>
      </w:r>
      <w:r>
        <w:rPr>
          <w:b/>
          <w:sz w:val="22"/>
          <w:szCs w:val="22"/>
        </w:rPr>
        <w:t xml:space="preserve">: Sinteza rezultatelor </w:t>
      </w:r>
    </w:p>
    <w:tbl>
      <w:tblPr>
        <w:tblStyle w:val="TableGrid"/>
        <w:tblW w:w="0" w:type="auto"/>
        <w:tblLook w:val="04A0" w:firstRow="1" w:lastRow="0" w:firstColumn="1" w:lastColumn="0" w:noHBand="0" w:noVBand="1"/>
      </w:tblPr>
      <w:tblGrid>
        <w:gridCol w:w="5866"/>
        <w:gridCol w:w="2075"/>
      </w:tblGrid>
      <w:tr w:rsidR="00573AD5" w:rsidRPr="0076579A" w:rsidTr="0030066D">
        <w:trPr>
          <w:cantSplit/>
          <w:tblHeader/>
        </w:trPr>
        <w:tc>
          <w:tcPr>
            <w:tcW w:w="0" w:type="auto"/>
            <w:vAlign w:val="center"/>
          </w:tcPr>
          <w:p w:rsidR="00573AD5" w:rsidRPr="0076579A" w:rsidRDefault="00573AD5" w:rsidP="00573AD5">
            <w:pPr>
              <w:shd w:val="clear" w:color="auto" w:fill="C6D9F1" w:themeFill="text2" w:themeFillTint="33"/>
              <w:spacing w:line="276" w:lineRule="auto"/>
              <w:rPr>
                <w:rFonts w:cs="Arial"/>
                <w:b/>
                <w:bCs/>
                <w:sz w:val="22"/>
                <w:szCs w:val="22"/>
                <w:lang w:val="ro-RO"/>
              </w:rPr>
            </w:pPr>
            <w:r w:rsidRPr="0076579A">
              <w:rPr>
                <w:rFonts w:cs="Arial"/>
                <w:b/>
                <w:bCs/>
                <w:sz w:val="22"/>
                <w:szCs w:val="22"/>
                <w:lang w:val="ro-RO"/>
              </w:rPr>
              <w:t>Cod test</w:t>
            </w:r>
          </w:p>
        </w:tc>
        <w:tc>
          <w:tcPr>
            <w:tcW w:w="0" w:type="auto"/>
            <w:vAlign w:val="center"/>
          </w:tcPr>
          <w:p w:rsidR="00573AD5" w:rsidRPr="0076579A" w:rsidRDefault="00573AD5" w:rsidP="00573AD5">
            <w:pPr>
              <w:shd w:val="clear" w:color="auto" w:fill="C6D9F1" w:themeFill="text2" w:themeFillTint="33"/>
              <w:spacing w:line="276" w:lineRule="auto"/>
              <w:jc w:val="center"/>
              <w:rPr>
                <w:rFonts w:cs="Arial"/>
                <w:b/>
                <w:bCs/>
                <w:sz w:val="22"/>
                <w:szCs w:val="22"/>
                <w:lang w:val="ro-RO"/>
              </w:rPr>
            </w:pPr>
            <w:r w:rsidRPr="0076579A">
              <w:rPr>
                <w:rFonts w:cs="Arial"/>
                <w:b/>
                <w:bCs/>
                <w:sz w:val="22"/>
                <w:szCs w:val="22"/>
                <w:lang w:val="ro-RO"/>
              </w:rPr>
              <w:t>DS05B</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+1,238 (+6%)</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0.4%</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+1,358 (+2%)</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0.4%</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659</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1.6</w:t>
            </w:r>
            <w:r>
              <w:rPr>
                <w:rFonts w:cs="Arial"/>
                <w:b/>
                <w:sz w:val="22"/>
                <w:szCs w:val="22"/>
              </w:rPr>
              <w:t>1</w:t>
            </w:r>
          </w:p>
        </w:tc>
      </w:tr>
      <w:tr w:rsidR="00573AD5" w:rsidRPr="0076579A" w:rsidTr="0030066D">
        <w:trPr>
          <w:cantSplit/>
        </w:trPr>
        <w:tc>
          <w:tcPr>
            <w:tcW w:w="0" w:type="auto"/>
            <w:vAlign w:val="center"/>
          </w:tcPr>
          <w:p w:rsidR="00573AD5" w:rsidRPr="0076579A" w:rsidRDefault="00417B66"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8.</w:t>
            </w:r>
            <w:r>
              <w:rPr>
                <w:rFonts w:cs="Arial"/>
                <w:b/>
                <w:sz w:val="22"/>
                <w:szCs w:val="22"/>
              </w:rPr>
              <w:t>13</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0A76BD" w:rsidRDefault="00573AD5" w:rsidP="00573AD5">
            <w:pPr>
              <w:spacing w:before="120" w:line="276" w:lineRule="auto"/>
              <w:ind w:left="720" w:hanging="720"/>
              <w:jc w:val="both"/>
              <w:rPr>
                <w:rFonts w:cs="Arial"/>
                <w:sz w:val="22"/>
                <w:szCs w:val="22"/>
              </w:rPr>
            </w:pPr>
            <w:r w:rsidRPr="00804F1B">
              <w:rPr>
                <w:rFonts w:cs="Arial"/>
                <w:sz w:val="22"/>
                <w:szCs w:val="22"/>
              </w:rPr>
              <w:t>320 (line upgrade)</w:t>
            </w:r>
          </w:p>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520 (electrification)</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Pr="00AE1AD4" w:rsidRDefault="00573AD5" w:rsidP="00AE1AD4">
      <w:pPr>
        <w:spacing w:line="276" w:lineRule="auto"/>
        <w:jc w:val="both"/>
        <w:rPr>
          <w:rFonts w:cs="Arial"/>
          <w:sz w:val="22"/>
          <w:szCs w:val="22"/>
          <w:lang w:val="ro-RO"/>
        </w:rPr>
      </w:pPr>
      <w:r w:rsidRPr="00AE1AD4">
        <w:rPr>
          <w:rFonts w:cs="Arial"/>
          <w:sz w:val="22"/>
          <w:szCs w:val="22"/>
          <w:lang w:val="ro-RO"/>
        </w:rPr>
        <w:t>Figurile 5.53 și 5.54  ilustrează cum se modifică fluxurile prognozate de pasageri și marfă în anul 2030, în</w:t>
      </w:r>
      <w:r w:rsidRPr="0076579A">
        <w:rPr>
          <w:rFonts w:cs="Arial"/>
          <w:sz w:val="22"/>
          <w:szCs w:val="22"/>
          <w:lang w:val="ro-RO"/>
        </w:rPr>
        <w:t xml:space="preserve">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sidRPr="00AE1AD4">
        <w:rPr>
          <w:rFonts w:cs="Arial"/>
          <w:noProof/>
          <w:sz w:val="22"/>
          <w:szCs w:val="22"/>
          <w:lang w:val="ro-RO" w:eastAsia="ro-RO"/>
        </w:rPr>
        <w:drawing>
          <wp:inline distT="0" distB="0" distL="0" distR="0">
            <wp:extent cx="5759450" cy="4053205"/>
            <wp:effectExtent l="0" t="0" r="0" b="4445"/>
            <wp:docPr id="143" name="Picture 349" descr="F:\Projects\Transport Planning - Romania UK GTMP\PUBLIC TRANSPORT\Rail\04_Plots\Rail_results\output\DS05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rojects\Transport Planning - Romania UK GTMP\PUBLIC TRANSPORT\Rail\04_Plots\Rail_results\output\DS05B_2030_change_pass.jpg"/>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lastRenderedPageBreak/>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53</w:t>
      </w:r>
      <w:r w:rsidR="003259E9">
        <w:rPr>
          <w:b/>
          <w:sz w:val="22"/>
          <w:szCs w:val="22"/>
        </w:rPr>
        <w:fldChar w:fldCharType="end"/>
      </w:r>
      <w:r>
        <w:rPr>
          <w:b/>
          <w:sz w:val="22"/>
          <w:szCs w:val="22"/>
        </w:rPr>
        <w:t>: Modificări ale cererii de transport călători    (DS05B)</w:t>
      </w:r>
    </w:p>
    <w:p w:rsidR="00573AD5" w:rsidRPr="00AE1AD4" w:rsidRDefault="00573AD5" w:rsidP="00AE1AD4">
      <w:pPr>
        <w:ind w:left="851"/>
        <w:rPr>
          <w:i/>
          <w:lang w:val="ro-RO"/>
        </w:rPr>
      </w:pPr>
      <w:bookmarkStart w:id="502" w:name="_Toc413058138"/>
      <w:r w:rsidRPr="00AE1AD4">
        <w:rPr>
          <w:i/>
          <w:lang w:val="ro-RO"/>
        </w:rPr>
        <w:t>Sursa: Analiza AECOM a rezultatelor Modelului Național de Transport</w:t>
      </w:r>
      <w:bookmarkEnd w:id="502"/>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Proiectul condu</w:t>
      </w:r>
      <w:r>
        <w:rPr>
          <w:rFonts w:cs="Arial"/>
          <w:sz w:val="22"/>
          <w:szCs w:val="22"/>
          <w:lang w:val="ro-RO"/>
        </w:rPr>
        <w:t>c</w:t>
      </w:r>
      <w:r w:rsidRPr="0076579A">
        <w:rPr>
          <w:rFonts w:cs="Arial"/>
          <w:sz w:val="22"/>
          <w:szCs w:val="22"/>
          <w:lang w:val="ro-RO"/>
        </w:rPr>
        <w:t xml:space="preserve">e la creșterea semnificativă a traficului de pasageri între București și Pitești / Râmnicu Vâlcea / Sibiu. Traficul de pasageri crește cu 130% pentru secțiunea București – Pitești, în timp ce traficul la vest de Pitești </w:t>
      </w:r>
      <w:r>
        <w:rPr>
          <w:rFonts w:cs="Arial"/>
          <w:sz w:val="22"/>
          <w:szCs w:val="22"/>
          <w:lang w:val="ro-RO"/>
        </w:rPr>
        <w:t>este comparabil cu rezultatele testului DS05A</w:t>
      </w:r>
      <w:r w:rsidRPr="0076579A">
        <w:rPr>
          <w:rFonts w:cs="Arial"/>
          <w:sz w:val="22"/>
          <w:szCs w:val="22"/>
          <w:lang w:val="ro-RO"/>
        </w:rPr>
        <w:t xml:space="preserve">. Traficul </w:t>
      </w:r>
      <w:r>
        <w:rPr>
          <w:rFonts w:cs="Arial"/>
          <w:sz w:val="22"/>
          <w:szCs w:val="22"/>
          <w:lang w:val="ro-RO"/>
        </w:rPr>
        <w:t xml:space="preserve">via Brașov se așteaptă să scadă ca o consecință a apariției oportunităților de călătorie via Pitești. </w:t>
      </w:r>
      <w:r w:rsidRPr="0076579A">
        <w:rPr>
          <w:rFonts w:cs="Arial"/>
          <w:sz w:val="22"/>
          <w:szCs w:val="22"/>
          <w:lang w:val="ro-RO"/>
        </w:rPr>
        <w:t xml:space="preserve"> </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72" name="Picture 348" descr="F:\Projects\Transport Planning - Romania UK GTMP\PUBLIC TRANSPORT\Rail\04_Plots\Rail_results\output\DS05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jects\Transport Planning - Romania UK GTMP\PUBLIC TRANSPORT\Rail\04_Plots\Rail_results\output\DS05B_2030_change_freight.jp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spacing w:line="276" w:lineRule="auto"/>
        <w:jc w:val="both"/>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54</w:t>
      </w:r>
      <w:r w:rsidR="003259E9">
        <w:rPr>
          <w:b/>
          <w:sz w:val="22"/>
          <w:szCs w:val="22"/>
        </w:rPr>
        <w:fldChar w:fldCharType="end"/>
      </w:r>
      <w:r>
        <w:rPr>
          <w:b/>
          <w:sz w:val="22"/>
          <w:szCs w:val="22"/>
        </w:rPr>
        <w:t>: Modificări ale cererii de transport marfă (DS05B</w:t>
      </w:r>
    </w:p>
    <w:p w:rsidR="00573AD5" w:rsidRPr="00AE1AD4" w:rsidRDefault="00573AD5" w:rsidP="00AE1AD4">
      <w:pPr>
        <w:ind w:left="851"/>
        <w:rPr>
          <w:i/>
          <w:lang w:val="ro-RO"/>
        </w:rPr>
      </w:pPr>
      <w:bookmarkStart w:id="503" w:name="_Toc413058139"/>
      <w:r w:rsidRPr="00AE1AD4">
        <w:rPr>
          <w:i/>
          <w:lang w:val="ro-RO"/>
        </w:rPr>
        <w:t>Sursa: Analiza AECOM a rezultatelor Modelului Național de Transport</w:t>
      </w:r>
      <w:bookmarkEnd w:id="503"/>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Construcția legăturii feroviare noi atrage un volum semnificativ de trafic de mărfuri, în condițiile în care ruta studiată devine o legătură directă între București și zona de nord-vest. Traficul de mărfuri pe relația București – Pitești crește cu 320%; traficul la vest de Pitești crește cu rate mult mai mari.</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 xml:space="preserve">Se estimează că acest proiect va fi implementat până în perioada 2020, dacă finanțarea necesară va fi </w:t>
      </w:r>
      <w:r>
        <w:t>asigurată</w:t>
      </w:r>
      <w:r w:rsidRPr="0076579A">
        <w:t>.</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secțiunii București – Pitești, construcția legăturii Vâlcele – Râmnicu Vâlcea și electrificarea liniei (Test DS05</w:t>
      </w:r>
      <w:r>
        <w:t>C</w:t>
      </w:r>
      <w:r w:rsidRPr="0076579A">
        <w:t>)</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la viteza de proiectare a secțiunii București – Pitești și legătură feroviară nouă între Vâlcele și Râmnicu Vâlcea; proiectul include 4 stații locale pentru secțiunea nouă. Serviciile de pasageri vor fi extinse între Râmnicu Sărat și Sibiu.</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coridorului 901 între București și Pitești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Legătură feroviară nouă între Vâlcele și Râmnicu Vâlcea, anumite elemente de infrastructură există deja pe acest traseu.</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Electrificarea de linii: București – Pitești, Pitești – Râmnicu Vâlcea (utilizând segmentul nou), Râmnicu Vâlcea – Sibiu, Sibiu – Coridorul TEN-T Core IV-N (la sud-vest de Alba Iulia) și linia 208.</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București Nord, Titu, Găești, Pitești, Vâlcele, Râmnicu Vâlcea Nord, Tălmaciu și Sibiu</w:t>
            </w:r>
          </w:p>
          <w:p w:rsidR="00573AD5" w:rsidRDefault="00573AD5" w:rsidP="00573AD5">
            <w:pPr>
              <w:pStyle w:val="ListParagraph"/>
              <w:numPr>
                <w:ilvl w:val="0"/>
                <w:numId w:val="68"/>
              </w:numPr>
              <w:spacing w:after="120" w:line="276" w:lineRule="auto"/>
              <w:contextualSpacing/>
              <w:rPr>
                <w:b/>
                <w:sz w:val="22"/>
                <w:szCs w:val="22"/>
                <w:lang w:val="ro-RO"/>
              </w:rPr>
            </w:pPr>
            <w:r w:rsidRPr="0076579A">
              <w:rPr>
                <w:sz w:val="22"/>
                <w:szCs w:val="22"/>
                <w:lang w:val="ro-RO"/>
              </w:rPr>
              <w:t>Grafic de mers cadențat pentru serviciile InterRegio, operat prin material rulant nou. Intervalele de succesiune propuse sunt: București – Râmnicu Vâlcea (0,5 trenuri pe oră), București – Sibiu via Pitești (0,5 trenuri pe oră).</w:t>
            </w:r>
          </w:p>
        </w:tc>
      </w:tr>
    </w:tbl>
    <w:p w:rsidR="00573AD5" w:rsidRDefault="00573AD5" w:rsidP="0030066D">
      <w:pPr>
        <w:pStyle w:val="Heading3"/>
        <w:spacing w:line="276" w:lineRule="auto"/>
        <w:rPr>
          <w:rFonts w:cs="Arial"/>
          <w:b/>
          <w:sz w:val="22"/>
          <w:szCs w:val="22"/>
          <w:lang w:val="ro-RO"/>
        </w:rPr>
      </w:pPr>
      <w:r>
        <w:rPr>
          <w:rFonts w:cs="Arial"/>
          <w:b/>
          <w:noProof/>
          <w:sz w:val="22"/>
          <w:szCs w:val="22"/>
          <w:lang w:val="ro-RO" w:eastAsia="ro-RO"/>
        </w:rPr>
        <w:drawing>
          <wp:inline distT="0" distB="0" distL="0" distR="0">
            <wp:extent cx="5607681" cy="3960000"/>
            <wp:effectExtent l="19050" t="0" r="0" b="0"/>
            <wp:docPr id="973" name="Picture 2" descr="F:\Projects\Transport Planning - Romania UK GTMP\PUBLIC TRANSPORT\Rail\04_Plots\Do_Somthing_schemes\outputs\DoSomethingSchemes_DS05B.jpg"/>
            <wp:cNvGraphicFramePr/>
            <a:graphic xmlns:a="http://schemas.openxmlformats.org/drawingml/2006/main">
              <a:graphicData uri="http://schemas.openxmlformats.org/drawingml/2006/picture">
                <pic:pic xmlns:pic="http://schemas.openxmlformats.org/drawingml/2006/picture">
                  <pic:nvPicPr>
                    <pic:cNvPr id="0" name="Picture 6" descr="F:\Projects\Transport Planning - Romania UK GTMP\PUBLIC TRANSPORT\Rail\04_Plots\Do_Somthing_schemes\outputs\DoSomethingSchemes_DS05B.jpg"/>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5607681" cy="39600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55</w:t>
      </w:r>
      <w:r w:rsidR="003259E9">
        <w:rPr>
          <w:b/>
          <w:sz w:val="22"/>
          <w:szCs w:val="22"/>
        </w:rPr>
        <w:fldChar w:fldCharType="end"/>
      </w:r>
      <w:r>
        <w:rPr>
          <w:b/>
          <w:sz w:val="22"/>
          <w:szCs w:val="22"/>
        </w:rPr>
        <w:t>: Descrierea propunerilor de servicii (DS05C)</w:t>
      </w:r>
    </w:p>
    <w:p w:rsidR="00573AD5" w:rsidRPr="00AE1AD4" w:rsidRDefault="00573AD5" w:rsidP="00AE1AD4">
      <w:pPr>
        <w:ind w:left="851"/>
        <w:rPr>
          <w:i/>
          <w:lang w:val="ro-RO"/>
        </w:rPr>
      </w:pPr>
      <w:bookmarkStart w:id="504" w:name="_Toc413058140"/>
      <w:r w:rsidRPr="00AE1AD4">
        <w:rPr>
          <w:i/>
          <w:lang w:val="ro-RO"/>
        </w:rPr>
        <w:t>Sursa: Analiza AECOM a rezultatelor Modelului Național de Transport</w:t>
      </w:r>
      <w:bookmarkEnd w:id="504"/>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jc w:val="both"/>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pe secțiunea București - Pitești.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Conectivitate redusă a trenurilor de pasageri între București și Râmnicu Vâlcea / Sibiu</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Nu există o rută directă pentru trenurile de marfă pe direcția Constanța – nord-vestul și centrul Europei.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secțiunea Chitila - Ghergani.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între București și Pitești; pe acest coridor calea ferată nu este competitivă în concurența cu rețeaua rutieră, în condițiile în care există o autostradă paralelă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Emisiile locale semnificative prognozate în testul DS05A.</w:t>
            </w:r>
          </w:p>
          <w:p w:rsidR="00573AD5" w:rsidRDefault="00573AD5" w:rsidP="00573AD5">
            <w:pPr>
              <w:pStyle w:val="Heading3"/>
              <w:spacing w:line="276" w:lineRule="auto"/>
              <w:jc w:val="both"/>
              <w:rPr>
                <w:rFonts w:cs="Arial"/>
                <w:b/>
                <w:sz w:val="22"/>
                <w:szCs w:val="22"/>
                <w:lang w:val="ro-RO"/>
              </w:rPr>
            </w:pP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34</w:t>
      </w:r>
      <w:r w:rsidR="003259E9">
        <w:rPr>
          <w:b/>
          <w:sz w:val="22"/>
          <w:szCs w:val="22"/>
        </w:rPr>
        <w:fldChar w:fldCharType="end"/>
      </w:r>
      <w:r>
        <w:rPr>
          <w:b/>
          <w:sz w:val="22"/>
          <w:szCs w:val="22"/>
        </w:rPr>
        <w:t xml:space="preserve"> Sinteza costurilor de operare și de infrastructură (DS05C)</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lang w:val="ro-RO"/>
              </w:rPr>
              <w:t>1.542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lang w:val="ro-RO"/>
              </w:rPr>
              <w:t>1.710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lang w:val="ro-RO"/>
              </w:rPr>
              <w:t>3.252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bookmarkStart w:id="505" w:name="_Toc413058141"/>
      <w:r w:rsidRPr="00AE1AD4">
        <w:rPr>
          <w:i/>
          <w:lang w:val="ro-RO"/>
        </w:rPr>
        <w:t>Sursa: Analiza AECOM a datelor provenite de la CFR Marfă și CFR Călători</w:t>
      </w:r>
      <w:bookmarkEnd w:id="505"/>
      <w:r w:rsidRPr="00AE1AD4">
        <w:rPr>
          <w:i/>
          <w:lang w:val="ro-RO"/>
        </w:rPr>
        <w:t xml:space="preserve">   </w:t>
      </w:r>
    </w:p>
    <w:p w:rsidR="00573AD5" w:rsidRDefault="00573AD5" w:rsidP="0030066D">
      <w:pPr>
        <w:pStyle w:val="Heading3"/>
        <w:spacing w:line="276" w:lineRule="auto"/>
        <w:jc w:val="both"/>
        <w:rPr>
          <w:rFonts w:cs="Arial"/>
          <w:b/>
          <w:sz w:val="22"/>
          <w:szCs w:val="22"/>
          <w:lang w:val="ro-RO"/>
        </w:rPr>
      </w:pPr>
      <w:r>
        <w:rPr>
          <w:rFonts w:cs="Arial"/>
          <w:b/>
          <w:sz w:val="22"/>
          <w:szCs w:val="22"/>
          <w:lang w:val="ro-RO"/>
        </w:rPr>
        <w:t>Rezultate</w:t>
      </w:r>
    </w:p>
    <w:p w:rsidR="00573AD5" w:rsidRDefault="00573AD5" w:rsidP="0030066D">
      <w:pPr>
        <w:pStyle w:val="Body"/>
        <w:rPr>
          <w:i w:val="0"/>
          <w:lang w:val="ro-RO"/>
        </w:rPr>
      </w:pPr>
      <w:r>
        <w:rPr>
          <w:i w:val="0"/>
          <w:lang w:val="ro-RO"/>
        </w:rPr>
        <w:t>Intervenția are un raport beneficiu – cost de 1,23 cu o creștere de 7% a traficului de pasageri și 4% a traficului de marfă, respectiv conform  Tabelului 5.35.</w:t>
      </w:r>
    </w:p>
    <w:p w:rsidR="00573AD5" w:rsidRPr="008C5B1B" w:rsidRDefault="00573AD5" w:rsidP="0030066D">
      <w:pPr>
        <w:pStyle w:val="Caption"/>
        <w:rPr>
          <w:b/>
          <w:sz w:val="22"/>
          <w:szCs w:val="22"/>
        </w:rPr>
      </w:pPr>
      <w:r w:rsidRPr="001F5936">
        <w:rPr>
          <w:b/>
          <w:sz w:val="22"/>
          <w:szCs w:val="22"/>
        </w:rPr>
        <w:lastRenderedPageBreak/>
        <w:t>Tab</w:t>
      </w:r>
      <w:r>
        <w:rPr>
          <w:b/>
          <w:sz w:val="22"/>
          <w:szCs w:val="22"/>
        </w:rPr>
        <w:t xml:space="preserve">elul </w:t>
      </w:r>
      <w:r w:rsidRPr="001F5936">
        <w:rPr>
          <w:b/>
          <w:sz w:val="22"/>
          <w:szCs w:val="22"/>
        </w:rPr>
        <w:t xml:space="preserve"> 5.</w:t>
      </w:r>
      <w:r w:rsidR="003259E9" w:rsidRPr="001F5936">
        <w:rPr>
          <w:b/>
          <w:sz w:val="22"/>
          <w:szCs w:val="22"/>
        </w:rPr>
        <w:fldChar w:fldCharType="begin"/>
      </w:r>
      <w:r w:rsidRPr="001F5936">
        <w:rPr>
          <w:b/>
          <w:sz w:val="22"/>
          <w:szCs w:val="22"/>
        </w:rPr>
        <w:instrText xml:space="preserve"> SEQ Table \* ARABIC </w:instrText>
      </w:r>
      <w:r w:rsidR="003259E9" w:rsidRPr="001F5936">
        <w:rPr>
          <w:b/>
          <w:sz w:val="22"/>
          <w:szCs w:val="22"/>
        </w:rPr>
        <w:fldChar w:fldCharType="separate"/>
      </w:r>
      <w:r>
        <w:rPr>
          <w:b/>
          <w:noProof/>
          <w:sz w:val="22"/>
          <w:szCs w:val="22"/>
        </w:rPr>
        <w:t>35</w:t>
      </w:r>
      <w:r w:rsidR="003259E9" w:rsidRPr="001F5936">
        <w:rPr>
          <w:b/>
          <w:sz w:val="22"/>
          <w:szCs w:val="22"/>
        </w:rPr>
        <w:fldChar w:fldCharType="end"/>
      </w:r>
      <w:r w:rsidRPr="001F5936">
        <w:rPr>
          <w:b/>
          <w:sz w:val="22"/>
          <w:szCs w:val="22"/>
        </w:rPr>
        <w:t>:</w:t>
      </w:r>
      <w:r>
        <w:rPr>
          <w:b/>
          <w:sz w:val="22"/>
          <w:szCs w:val="22"/>
        </w:rPr>
        <w:t xml:space="preserve"> Sinteza rezultatelor (DS05C)</w:t>
      </w:r>
    </w:p>
    <w:tbl>
      <w:tblPr>
        <w:tblW w:w="3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4"/>
        <w:gridCol w:w="2923"/>
      </w:tblGrid>
      <w:tr w:rsidR="00573AD5" w:rsidRPr="000A76BD" w:rsidTr="0030066D">
        <w:trPr>
          <w:cantSplit/>
          <w:tblHeader/>
        </w:trPr>
        <w:tc>
          <w:tcPr>
            <w:tcW w:w="3101" w:type="pct"/>
            <w:shd w:val="clear" w:color="auto" w:fill="C6D9F1"/>
            <w:vAlign w:val="center"/>
          </w:tcPr>
          <w:p w:rsidR="00573AD5" w:rsidRPr="006E166C" w:rsidRDefault="00573AD5" w:rsidP="00573AD5">
            <w:pPr>
              <w:spacing w:line="276" w:lineRule="auto"/>
              <w:ind w:left="720" w:hanging="720"/>
              <w:jc w:val="both"/>
              <w:rPr>
                <w:rFonts w:cs="Arial"/>
                <w:b/>
                <w:bCs/>
                <w:sz w:val="22"/>
                <w:szCs w:val="22"/>
              </w:rPr>
            </w:pPr>
            <w:r w:rsidRPr="0076579A">
              <w:rPr>
                <w:rFonts w:cs="Arial"/>
                <w:b/>
                <w:bCs/>
                <w:sz w:val="22"/>
                <w:szCs w:val="22"/>
                <w:lang w:val="ro-RO"/>
              </w:rPr>
              <w:t>Cod test</w:t>
            </w:r>
          </w:p>
        </w:tc>
        <w:tc>
          <w:tcPr>
            <w:tcW w:w="1899" w:type="pct"/>
            <w:shd w:val="clear" w:color="auto" w:fill="C6D9F1"/>
            <w:vAlign w:val="center"/>
          </w:tcPr>
          <w:p w:rsidR="00573AD5" w:rsidRPr="000A76BD" w:rsidRDefault="00573AD5" w:rsidP="00573AD5">
            <w:pPr>
              <w:spacing w:line="276" w:lineRule="auto"/>
              <w:ind w:left="720" w:hanging="720"/>
              <w:jc w:val="both"/>
              <w:rPr>
                <w:rFonts w:cs="Arial"/>
                <w:b/>
                <w:bCs/>
                <w:sz w:val="22"/>
                <w:szCs w:val="22"/>
              </w:rPr>
            </w:pPr>
            <w:r w:rsidRPr="006E166C">
              <w:rPr>
                <w:rFonts w:cs="Arial"/>
                <w:b/>
                <w:bCs/>
                <w:sz w:val="22"/>
                <w:szCs w:val="22"/>
              </w:rPr>
              <w:t>DS05</w:t>
            </w:r>
            <w:r>
              <w:rPr>
                <w:rFonts w:cs="Arial"/>
                <w:b/>
                <w:bCs/>
                <w:sz w:val="22"/>
                <w:szCs w:val="22"/>
              </w:rPr>
              <w:t>C</w:t>
            </w:r>
          </w:p>
        </w:tc>
      </w:tr>
      <w:tr w:rsidR="00573AD5" w:rsidRPr="000A76BD" w:rsidTr="0030066D">
        <w:trPr>
          <w:cantSplit/>
        </w:trPr>
        <w:tc>
          <w:tcPr>
            <w:tcW w:w="3101" w:type="pct"/>
            <w:vAlign w:val="bottom"/>
          </w:tcPr>
          <w:p w:rsidR="00573AD5" w:rsidRPr="006E166C" w:rsidRDefault="00573AD5" w:rsidP="00573AD5">
            <w:pPr>
              <w:spacing w:before="120" w:line="276" w:lineRule="auto"/>
              <w:ind w:left="720" w:hanging="720"/>
              <w:jc w:val="both"/>
              <w:rPr>
                <w:rFonts w:cs="Arial"/>
                <w:sz w:val="22"/>
                <w:szCs w:val="22"/>
              </w:rPr>
            </w:pPr>
            <w:r w:rsidRPr="0076579A">
              <w:rPr>
                <w:rFonts w:cs="Arial"/>
                <w:sz w:val="22"/>
                <w:szCs w:val="22"/>
                <w:lang w:val="ro-RO"/>
              </w:rPr>
              <w:t xml:space="preserve">Creștere totală pasageri-km (mii, anul 2030) </w:t>
            </w:r>
          </w:p>
        </w:tc>
        <w:tc>
          <w:tcPr>
            <w:tcW w:w="1899" w:type="pct"/>
            <w:shd w:val="clear" w:color="auto" w:fill="auto"/>
            <w:vAlign w:val="bottom"/>
          </w:tcPr>
          <w:p w:rsidR="00573AD5" w:rsidRPr="000A76BD" w:rsidRDefault="00573AD5" w:rsidP="00573AD5">
            <w:pPr>
              <w:spacing w:before="120" w:line="276" w:lineRule="auto"/>
              <w:ind w:left="720" w:hanging="720"/>
              <w:jc w:val="both"/>
              <w:rPr>
                <w:rFonts w:cs="Arial"/>
                <w:sz w:val="22"/>
                <w:szCs w:val="22"/>
              </w:rPr>
            </w:pPr>
            <w:r w:rsidRPr="006E166C">
              <w:rPr>
                <w:rFonts w:cs="Arial"/>
                <w:sz w:val="22"/>
                <w:szCs w:val="22"/>
              </w:rPr>
              <w:t>+1</w:t>
            </w:r>
            <w:r>
              <w:rPr>
                <w:rFonts w:cs="Arial"/>
                <w:sz w:val="22"/>
                <w:szCs w:val="22"/>
              </w:rPr>
              <w:t>.580</w:t>
            </w:r>
            <w:r w:rsidRPr="006E166C">
              <w:rPr>
                <w:rFonts w:cs="Arial"/>
                <w:sz w:val="22"/>
                <w:szCs w:val="22"/>
              </w:rPr>
              <w:t xml:space="preserve"> (+</w:t>
            </w:r>
            <w:r>
              <w:rPr>
                <w:rFonts w:cs="Arial"/>
                <w:sz w:val="22"/>
                <w:szCs w:val="22"/>
              </w:rPr>
              <w:t>7</w:t>
            </w:r>
            <w:r w:rsidRPr="006E166C">
              <w:rPr>
                <w:rFonts w:cs="Arial"/>
                <w:sz w:val="22"/>
                <w:szCs w:val="22"/>
              </w:rPr>
              <w:t>%)</w:t>
            </w:r>
          </w:p>
        </w:tc>
      </w:tr>
      <w:tr w:rsidR="00573AD5" w:rsidRPr="000A76BD" w:rsidTr="0030066D">
        <w:trPr>
          <w:cantSplit/>
        </w:trPr>
        <w:tc>
          <w:tcPr>
            <w:tcW w:w="3101" w:type="pct"/>
            <w:vAlign w:val="bottom"/>
          </w:tcPr>
          <w:p w:rsidR="00573AD5" w:rsidRPr="006E166C" w:rsidRDefault="00573AD5" w:rsidP="00573AD5">
            <w:pPr>
              <w:spacing w:before="120" w:line="276" w:lineRule="auto"/>
              <w:ind w:left="720" w:hanging="720"/>
              <w:jc w:val="both"/>
              <w:rPr>
                <w:rFonts w:cs="Arial"/>
                <w:sz w:val="22"/>
                <w:szCs w:val="22"/>
              </w:rPr>
            </w:pPr>
            <w:r w:rsidRPr="0076579A">
              <w:rPr>
                <w:rFonts w:cs="Arial"/>
                <w:sz w:val="22"/>
                <w:szCs w:val="22"/>
                <w:lang w:val="ro-RO"/>
              </w:rPr>
              <w:t>Creștere totală a cotei de piață pentru pasageri-km (2030)</w:t>
            </w:r>
          </w:p>
        </w:tc>
        <w:tc>
          <w:tcPr>
            <w:tcW w:w="1899" w:type="pct"/>
            <w:shd w:val="clear" w:color="auto" w:fill="auto"/>
            <w:vAlign w:val="bottom"/>
          </w:tcPr>
          <w:p w:rsidR="00573AD5" w:rsidRPr="000A76BD" w:rsidRDefault="00573AD5" w:rsidP="00573AD5">
            <w:pPr>
              <w:spacing w:before="120" w:line="276" w:lineRule="auto"/>
              <w:ind w:left="720" w:hanging="720"/>
              <w:jc w:val="both"/>
              <w:rPr>
                <w:rFonts w:cs="Arial"/>
                <w:sz w:val="22"/>
                <w:szCs w:val="22"/>
              </w:rPr>
            </w:pPr>
            <w:r>
              <w:rPr>
                <w:rFonts w:cs="Arial"/>
                <w:sz w:val="22"/>
                <w:szCs w:val="22"/>
              </w:rPr>
              <w:t>+</w:t>
            </w:r>
            <w:r w:rsidRPr="006E166C">
              <w:rPr>
                <w:rFonts w:cs="Arial"/>
                <w:sz w:val="22"/>
                <w:szCs w:val="22"/>
              </w:rPr>
              <w:t>0.4%</w:t>
            </w:r>
          </w:p>
        </w:tc>
      </w:tr>
      <w:tr w:rsidR="00573AD5" w:rsidRPr="000A76BD" w:rsidTr="0030066D">
        <w:trPr>
          <w:cantSplit/>
        </w:trPr>
        <w:tc>
          <w:tcPr>
            <w:tcW w:w="3101" w:type="pct"/>
            <w:vAlign w:val="center"/>
          </w:tcPr>
          <w:p w:rsidR="00573AD5" w:rsidRPr="006E166C" w:rsidRDefault="00573AD5" w:rsidP="00573AD5">
            <w:pPr>
              <w:spacing w:before="120" w:line="276" w:lineRule="auto"/>
              <w:ind w:left="720" w:hanging="720"/>
              <w:jc w:val="both"/>
              <w:rPr>
                <w:rFonts w:cs="Arial"/>
                <w:sz w:val="22"/>
                <w:szCs w:val="22"/>
              </w:rPr>
            </w:pPr>
            <w:r w:rsidRPr="0076579A">
              <w:rPr>
                <w:rFonts w:cs="Arial"/>
                <w:sz w:val="22"/>
                <w:szCs w:val="22"/>
                <w:lang w:val="ro-RO"/>
              </w:rPr>
              <w:t>Creștere totală tone-km (mii, anul 2030)</w:t>
            </w:r>
          </w:p>
        </w:tc>
        <w:tc>
          <w:tcPr>
            <w:tcW w:w="1899" w:type="pct"/>
            <w:shd w:val="clear" w:color="auto" w:fill="auto"/>
            <w:vAlign w:val="bottom"/>
          </w:tcPr>
          <w:p w:rsidR="00573AD5" w:rsidRPr="000A76BD" w:rsidRDefault="00573AD5" w:rsidP="00573AD5">
            <w:pPr>
              <w:spacing w:before="120" w:line="276" w:lineRule="auto"/>
              <w:ind w:left="720" w:hanging="720"/>
              <w:jc w:val="both"/>
              <w:rPr>
                <w:rFonts w:cs="Arial"/>
                <w:sz w:val="22"/>
                <w:szCs w:val="22"/>
              </w:rPr>
            </w:pPr>
            <w:r w:rsidRPr="006E166C">
              <w:rPr>
                <w:rFonts w:cs="Arial"/>
                <w:sz w:val="22"/>
                <w:szCs w:val="22"/>
              </w:rPr>
              <w:t>+1</w:t>
            </w:r>
            <w:r>
              <w:rPr>
                <w:rFonts w:cs="Arial"/>
                <w:sz w:val="22"/>
                <w:szCs w:val="22"/>
              </w:rPr>
              <w:t>.</w:t>
            </w:r>
            <w:r w:rsidRPr="006E166C">
              <w:rPr>
                <w:rFonts w:cs="Arial"/>
                <w:sz w:val="22"/>
                <w:szCs w:val="22"/>
              </w:rPr>
              <w:t>358 (+</w:t>
            </w:r>
            <w:r>
              <w:rPr>
                <w:rFonts w:cs="Arial"/>
                <w:sz w:val="22"/>
                <w:szCs w:val="22"/>
              </w:rPr>
              <w:t>4</w:t>
            </w:r>
            <w:r w:rsidRPr="006E166C">
              <w:rPr>
                <w:rFonts w:cs="Arial"/>
                <w:sz w:val="22"/>
                <w:szCs w:val="22"/>
              </w:rPr>
              <w:t>%)</w:t>
            </w:r>
          </w:p>
        </w:tc>
      </w:tr>
      <w:tr w:rsidR="00573AD5" w:rsidRPr="000A76BD" w:rsidTr="0030066D">
        <w:trPr>
          <w:cantSplit/>
        </w:trPr>
        <w:tc>
          <w:tcPr>
            <w:tcW w:w="3101" w:type="pct"/>
            <w:vAlign w:val="center"/>
          </w:tcPr>
          <w:p w:rsidR="00573AD5" w:rsidRPr="006E166C" w:rsidRDefault="00573AD5" w:rsidP="00573AD5">
            <w:pPr>
              <w:spacing w:before="120" w:line="276" w:lineRule="auto"/>
              <w:ind w:left="720" w:hanging="720"/>
              <w:jc w:val="both"/>
              <w:rPr>
                <w:rFonts w:cs="Arial"/>
                <w:sz w:val="22"/>
                <w:szCs w:val="22"/>
              </w:rPr>
            </w:pPr>
            <w:r w:rsidRPr="0076579A">
              <w:rPr>
                <w:rFonts w:cs="Arial"/>
                <w:sz w:val="22"/>
                <w:szCs w:val="22"/>
                <w:lang w:val="ro-RO"/>
              </w:rPr>
              <w:t>Creștere totală a cotei de piață pentru tone-km (2030)</w:t>
            </w:r>
          </w:p>
        </w:tc>
        <w:tc>
          <w:tcPr>
            <w:tcW w:w="1899" w:type="pct"/>
            <w:shd w:val="clear" w:color="auto" w:fill="auto"/>
            <w:vAlign w:val="bottom"/>
          </w:tcPr>
          <w:p w:rsidR="00573AD5" w:rsidRPr="000A76BD" w:rsidRDefault="00573AD5" w:rsidP="00573AD5">
            <w:pPr>
              <w:spacing w:before="120" w:line="276" w:lineRule="auto"/>
              <w:ind w:left="720" w:hanging="720"/>
              <w:jc w:val="both"/>
              <w:rPr>
                <w:rFonts w:cs="Arial"/>
                <w:sz w:val="22"/>
                <w:szCs w:val="22"/>
              </w:rPr>
            </w:pPr>
            <w:r>
              <w:rPr>
                <w:rFonts w:cs="Arial"/>
                <w:sz w:val="22"/>
                <w:szCs w:val="22"/>
              </w:rPr>
              <w:t>+</w:t>
            </w:r>
            <w:r w:rsidRPr="006E166C">
              <w:rPr>
                <w:rFonts w:cs="Arial"/>
                <w:sz w:val="22"/>
                <w:szCs w:val="22"/>
              </w:rPr>
              <w:t>0</w:t>
            </w:r>
            <w:r>
              <w:rPr>
                <w:rFonts w:cs="Arial"/>
                <w:sz w:val="22"/>
                <w:szCs w:val="22"/>
              </w:rPr>
              <w:t>,</w:t>
            </w:r>
            <w:r w:rsidRPr="006E166C">
              <w:rPr>
                <w:rFonts w:cs="Arial"/>
                <w:sz w:val="22"/>
                <w:szCs w:val="22"/>
              </w:rPr>
              <w:t>4%</w:t>
            </w:r>
          </w:p>
        </w:tc>
      </w:tr>
      <w:tr w:rsidR="00573AD5" w:rsidRPr="000A76BD" w:rsidTr="0030066D">
        <w:trPr>
          <w:cantSplit/>
        </w:trPr>
        <w:tc>
          <w:tcPr>
            <w:tcW w:w="3101" w:type="pct"/>
            <w:vAlign w:val="center"/>
          </w:tcPr>
          <w:p w:rsidR="00573AD5" w:rsidRPr="006E166C" w:rsidRDefault="00417B66" w:rsidP="00573AD5">
            <w:pPr>
              <w:spacing w:before="120" w:line="276" w:lineRule="auto"/>
              <w:ind w:left="720" w:hanging="720"/>
              <w:jc w:val="both"/>
              <w:rPr>
                <w:rFonts w:cs="Arial"/>
                <w:b/>
                <w:sz w:val="22"/>
                <w:szCs w:val="22"/>
              </w:rPr>
            </w:pPr>
            <w:r>
              <w:rPr>
                <w:rFonts w:cs="Arial"/>
                <w:b/>
                <w:sz w:val="22"/>
                <w:szCs w:val="22"/>
                <w:lang w:val="ro-RO"/>
              </w:rPr>
              <w:t>VNA</w:t>
            </w:r>
            <w:r w:rsidR="00573AD5" w:rsidRPr="0076579A">
              <w:rPr>
                <w:rFonts w:cs="Arial"/>
                <w:b/>
                <w:sz w:val="22"/>
                <w:szCs w:val="22"/>
                <w:lang w:val="ro-RO"/>
              </w:rPr>
              <w:t xml:space="preserve"> milioane euro (prețuri 2014)</w:t>
            </w:r>
          </w:p>
        </w:tc>
        <w:tc>
          <w:tcPr>
            <w:tcW w:w="1899" w:type="pct"/>
            <w:shd w:val="clear" w:color="auto" w:fill="auto"/>
            <w:vAlign w:val="center"/>
          </w:tcPr>
          <w:p w:rsidR="00573AD5" w:rsidRPr="000A76BD" w:rsidRDefault="00573AD5" w:rsidP="00573AD5">
            <w:pPr>
              <w:spacing w:before="120" w:line="276" w:lineRule="auto"/>
              <w:ind w:left="720" w:hanging="720"/>
              <w:jc w:val="both"/>
              <w:rPr>
                <w:rFonts w:cs="Arial"/>
                <w:b/>
                <w:sz w:val="22"/>
                <w:szCs w:val="22"/>
              </w:rPr>
            </w:pPr>
            <w:r>
              <w:rPr>
                <w:rFonts w:cs="Arial"/>
                <w:b/>
                <w:sz w:val="22"/>
                <w:szCs w:val="22"/>
              </w:rPr>
              <w:t>291</w:t>
            </w:r>
          </w:p>
        </w:tc>
      </w:tr>
      <w:tr w:rsidR="00573AD5" w:rsidRPr="000A76BD" w:rsidTr="0030066D">
        <w:trPr>
          <w:cantSplit/>
        </w:trPr>
        <w:tc>
          <w:tcPr>
            <w:tcW w:w="3101" w:type="pct"/>
            <w:vAlign w:val="center"/>
          </w:tcPr>
          <w:p w:rsidR="00573AD5" w:rsidRPr="006E166C" w:rsidRDefault="00417B66" w:rsidP="00573AD5">
            <w:pPr>
              <w:spacing w:before="120" w:line="276" w:lineRule="auto"/>
              <w:ind w:left="720" w:hanging="720"/>
              <w:jc w:val="both"/>
              <w:rPr>
                <w:rFonts w:cs="Arial"/>
                <w:b/>
                <w:sz w:val="22"/>
                <w:szCs w:val="22"/>
              </w:rPr>
            </w:pPr>
            <w:r>
              <w:rPr>
                <w:rFonts w:cs="Arial"/>
                <w:b/>
                <w:sz w:val="22"/>
                <w:szCs w:val="22"/>
                <w:lang w:val="ro-RO"/>
              </w:rPr>
              <w:t>RBC</w:t>
            </w:r>
          </w:p>
        </w:tc>
        <w:tc>
          <w:tcPr>
            <w:tcW w:w="1899" w:type="pct"/>
            <w:shd w:val="clear" w:color="auto" w:fill="auto"/>
            <w:vAlign w:val="center"/>
          </w:tcPr>
          <w:p w:rsidR="00573AD5" w:rsidRPr="000A76BD" w:rsidRDefault="00573AD5" w:rsidP="00573AD5">
            <w:pPr>
              <w:spacing w:before="120" w:line="276" w:lineRule="auto"/>
              <w:ind w:left="720" w:hanging="720"/>
              <w:jc w:val="both"/>
              <w:rPr>
                <w:rFonts w:cs="Arial"/>
                <w:b/>
                <w:sz w:val="22"/>
                <w:szCs w:val="22"/>
              </w:rPr>
            </w:pPr>
            <w:r w:rsidRPr="006E166C">
              <w:rPr>
                <w:rFonts w:cs="Arial"/>
                <w:b/>
                <w:sz w:val="22"/>
                <w:szCs w:val="22"/>
              </w:rPr>
              <w:t>1</w:t>
            </w:r>
            <w:r>
              <w:rPr>
                <w:rFonts w:cs="Arial"/>
                <w:b/>
                <w:sz w:val="22"/>
                <w:szCs w:val="22"/>
              </w:rPr>
              <w:t>,23</w:t>
            </w:r>
          </w:p>
        </w:tc>
      </w:tr>
      <w:tr w:rsidR="00573AD5" w:rsidRPr="000A76BD" w:rsidTr="0030066D">
        <w:trPr>
          <w:cantSplit/>
        </w:trPr>
        <w:tc>
          <w:tcPr>
            <w:tcW w:w="3101" w:type="pct"/>
            <w:vAlign w:val="center"/>
          </w:tcPr>
          <w:p w:rsidR="00573AD5" w:rsidRPr="006E166C" w:rsidRDefault="00417B66" w:rsidP="00573AD5">
            <w:pPr>
              <w:spacing w:before="120" w:line="276" w:lineRule="auto"/>
              <w:ind w:left="720" w:hanging="720"/>
              <w:jc w:val="both"/>
              <w:rPr>
                <w:rFonts w:cs="Arial"/>
                <w:b/>
                <w:sz w:val="22"/>
                <w:szCs w:val="22"/>
              </w:rPr>
            </w:pPr>
            <w:r>
              <w:rPr>
                <w:rFonts w:cs="Arial"/>
                <w:b/>
                <w:sz w:val="22"/>
                <w:szCs w:val="22"/>
                <w:lang w:val="ro-RO"/>
              </w:rPr>
              <w:t>RIRE</w:t>
            </w:r>
          </w:p>
        </w:tc>
        <w:tc>
          <w:tcPr>
            <w:tcW w:w="1899" w:type="pct"/>
            <w:shd w:val="clear" w:color="auto" w:fill="auto"/>
            <w:vAlign w:val="center"/>
          </w:tcPr>
          <w:p w:rsidR="00573AD5" w:rsidRPr="000A76BD" w:rsidRDefault="00573AD5" w:rsidP="00573AD5">
            <w:pPr>
              <w:spacing w:before="120" w:line="276" w:lineRule="auto"/>
              <w:ind w:left="720" w:hanging="720"/>
              <w:jc w:val="both"/>
              <w:rPr>
                <w:rFonts w:cs="Arial"/>
                <w:b/>
                <w:sz w:val="22"/>
                <w:szCs w:val="22"/>
              </w:rPr>
            </w:pPr>
            <w:r>
              <w:rPr>
                <w:rFonts w:cs="Arial"/>
                <w:b/>
                <w:sz w:val="22"/>
                <w:szCs w:val="22"/>
              </w:rPr>
              <w:t>6,29</w:t>
            </w:r>
            <w:r w:rsidRPr="006E166C">
              <w:rPr>
                <w:rFonts w:cs="Arial"/>
                <w:b/>
                <w:sz w:val="22"/>
                <w:szCs w:val="22"/>
              </w:rPr>
              <w:t>%</w:t>
            </w:r>
          </w:p>
        </w:tc>
      </w:tr>
      <w:tr w:rsidR="00573AD5" w:rsidRPr="000A76BD" w:rsidTr="0030066D">
        <w:tc>
          <w:tcPr>
            <w:tcW w:w="3101" w:type="pct"/>
          </w:tcPr>
          <w:p w:rsidR="00573AD5" w:rsidRPr="006E166C" w:rsidRDefault="00573AD5" w:rsidP="00573AD5">
            <w:pPr>
              <w:spacing w:before="120" w:line="276" w:lineRule="auto"/>
              <w:ind w:left="720" w:hanging="720"/>
              <w:jc w:val="both"/>
              <w:rPr>
                <w:rFonts w:cs="Arial"/>
                <w:sz w:val="22"/>
                <w:szCs w:val="22"/>
              </w:rPr>
            </w:pPr>
            <w:r w:rsidRPr="0076579A">
              <w:rPr>
                <w:rFonts w:cs="Arial"/>
                <w:sz w:val="22"/>
                <w:szCs w:val="22"/>
                <w:lang w:val="ro-RO"/>
              </w:rPr>
              <w:t>Lungime linie modernizată (km-linie)</w:t>
            </w:r>
          </w:p>
        </w:tc>
        <w:tc>
          <w:tcPr>
            <w:tcW w:w="1899" w:type="pct"/>
            <w:shd w:val="clear" w:color="auto" w:fill="auto"/>
          </w:tcPr>
          <w:p w:rsidR="00573AD5" w:rsidRPr="000A76BD" w:rsidRDefault="00573AD5" w:rsidP="00573AD5">
            <w:pPr>
              <w:spacing w:before="120" w:line="276" w:lineRule="auto"/>
              <w:ind w:left="720" w:hanging="720"/>
              <w:jc w:val="both"/>
              <w:rPr>
                <w:rFonts w:cs="Arial"/>
                <w:sz w:val="22"/>
                <w:szCs w:val="22"/>
              </w:rPr>
            </w:pPr>
            <w:r>
              <w:rPr>
                <w:rFonts w:cs="Arial"/>
                <w:sz w:val="22"/>
                <w:szCs w:val="22"/>
              </w:rPr>
              <w:t>469</w:t>
            </w:r>
            <w:r w:rsidRPr="006E166C">
              <w:rPr>
                <w:rFonts w:cs="Arial"/>
                <w:sz w:val="22"/>
                <w:szCs w:val="22"/>
              </w:rPr>
              <w:t xml:space="preserve"> (</w:t>
            </w:r>
            <w:r>
              <w:rPr>
                <w:rFonts w:cs="Arial"/>
                <w:sz w:val="22"/>
                <w:szCs w:val="22"/>
              </w:rPr>
              <w:t>modernizare linie</w:t>
            </w:r>
            <w:r w:rsidRPr="006E166C">
              <w:rPr>
                <w:rFonts w:cs="Arial"/>
                <w:sz w:val="22"/>
                <w:szCs w:val="22"/>
              </w:rPr>
              <w:t>)</w:t>
            </w:r>
          </w:p>
          <w:p w:rsidR="00573AD5" w:rsidRPr="000A76BD" w:rsidRDefault="00573AD5" w:rsidP="00573AD5">
            <w:pPr>
              <w:spacing w:before="120" w:line="276" w:lineRule="auto"/>
              <w:ind w:left="720" w:hanging="720"/>
              <w:jc w:val="both"/>
              <w:rPr>
                <w:rFonts w:cs="Arial"/>
                <w:sz w:val="22"/>
                <w:szCs w:val="22"/>
              </w:rPr>
            </w:pPr>
            <w:r w:rsidRPr="006E166C">
              <w:rPr>
                <w:rFonts w:cs="Arial"/>
                <w:sz w:val="22"/>
                <w:szCs w:val="22"/>
              </w:rPr>
              <w:t>520 (electrifica</w:t>
            </w:r>
            <w:r>
              <w:rPr>
                <w:rFonts w:cs="Arial"/>
                <w:sz w:val="22"/>
                <w:szCs w:val="22"/>
              </w:rPr>
              <w:t>re</w:t>
            </w:r>
            <w:r w:rsidRPr="006E166C">
              <w:rPr>
                <w:rFonts w:cs="Arial"/>
                <w:sz w:val="22"/>
                <w:szCs w:val="22"/>
              </w:rPr>
              <w:t>)</w:t>
            </w:r>
          </w:p>
        </w:tc>
      </w:tr>
      <w:tr w:rsidR="00573AD5" w:rsidRPr="000A76BD" w:rsidTr="0030066D">
        <w:tc>
          <w:tcPr>
            <w:tcW w:w="3101" w:type="pct"/>
          </w:tcPr>
          <w:p w:rsidR="00573AD5" w:rsidRPr="006E166C" w:rsidRDefault="00573AD5" w:rsidP="00573AD5">
            <w:pPr>
              <w:spacing w:before="120" w:line="276" w:lineRule="auto"/>
              <w:ind w:left="720" w:hanging="720"/>
              <w:jc w:val="both"/>
              <w:rPr>
                <w:rFonts w:cs="Arial"/>
                <w:sz w:val="22"/>
                <w:szCs w:val="22"/>
              </w:rPr>
            </w:pPr>
            <w:r w:rsidRPr="0076579A">
              <w:rPr>
                <w:rFonts w:cs="Arial"/>
                <w:sz w:val="22"/>
                <w:szCs w:val="22"/>
                <w:lang w:val="ro-RO"/>
              </w:rPr>
              <w:t>Garnituri de tren necesare</w:t>
            </w:r>
          </w:p>
        </w:tc>
        <w:tc>
          <w:tcPr>
            <w:tcW w:w="1899" w:type="pct"/>
            <w:shd w:val="clear" w:color="auto" w:fill="auto"/>
          </w:tcPr>
          <w:p w:rsidR="00573AD5" w:rsidRPr="000A76BD" w:rsidRDefault="00573AD5" w:rsidP="00573AD5">
            <w:pPr>
              <w:spacing w:before="120" w:line="276" w:lineRule="auto"/>
              <w:ind w:left="720" w:hanging="720"/>
              <w:jc w:val="both"/>
              <w:rPr>
                <w:rFonts w:cs="Arial"/>
                <w:sz w:val="22"/>
                <w:szCs w:val="22"/>
              </w:rPr>
            </w:pPr>
            <w:r w:rsidRPr="006E166C">
              <w:rPr>
                <w:rFonts w:cs="Arial"/>
                <w:sz w:val="22"/>
                <w:szCs w:val="22"/>
              </w:rPr>
              <w:t>8</w:t>
            </w:r>
          </w:p>
        </w:tc>
      </w:tr>
    </w:tbl>
    <w:p w:rsidR="00573AD5" w:rsidRPr="00AE1AD4" w:rsidRDefault="00573AD5" w:rsidP="00AE1AD4">
      <w:pPr>
        <w:ind w:left="851"/>
        <w:rPr>
          <w:i/>
          <w:lang w:val="ro-RO"/>
        </w:rPr>
      </w:pPr>
      <w:r w:rsidRPr="00AE1AD4">
        <w:rPr>
          <w:i/>
          <w:lang w:val="ro-RO"/>
        </w:rPr>
        <w:t xml:space="preserve">Sursa: Analiza AECOM a rezultatelor Modelului Național de Transport </w:t>
      </w:r>
    </w:p>
    <w:p w:rsidR="00573AD5" w:rsidRDefault="00573AD5" w:rsidP="0030066D">
      <w:pPr>
        <w:pStyle w:val="Body"/>
        <w:ind w:left="0"/>
        <w:rPr>
          <w:i w:val="0"/>
          <w:lang w:val="ro-RO"/>
        </w:rPr>
      </w:pPr>
      <w:r>
        <w:rPr>
          <w:i w:val="0"/>
          <w:lang w:val="ro-RO"/>
        </w:rPr>
        <w:t>Modificările fluxurilor de pasageri din acest test sunt similare celor din testul DS05B</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 xml:space="preserve">Se estimează că acest proiect va fi implementat până în perioada 2020, dacă finanțarea necesară va fi </w:t>
      </w:r>
      <w:r>
        <w:t>asigurată</w:t>
      </w:r>
      <w:r w:rsidRPr="0076579A">
        <w:t>.</w:t>
      </w:r>
    </w:p>
    <w:p w:rsidR="00573AD5" w:rsidRDefault="00573AD5" w:rsidP="0030066D">
      <w:pPr>
        <w:rPr>
          <w:sz w:val="22"/>
          <w:szCs w:val="22"/>
          <w:lang w:val="ro-RO"/>
        </w:rPr>
      </w:pPr>
      <w:r>
        <w:rPr>
          <w:i/>
          <w:lang w:val="ro-RO"/>
        </w:rPr>
        <w:br w:type="page"/>
      </w:r>
    </w:p>
    <w:p w:rsidR="00573AD5" w:rsidRPr="00E51CC1" w:rsidRDefault="00573AD5" w:rsidP="0030066D">
      <w:pPr>
        <w:pStyle w:val="Body"/>
        <w:rPr>
          <w:i w:val="0"/>
          <w:lang w:val="ro-RO"/>
        </w:rPr>
      </w:pPr>
    </w:p>
    <w:p w:rsidR="00573AD5" w:rsidRPr="00D514F9" w:rsidRDefault="00573AD5" w:rsidP="00D514F9">
      <w:pPr>
        <w:pStyle w:val="Hdg3"/>
        <w:ind w:left="851"/>
      </w:pPr>
      <w:r w:rsidRPr="00D514F9">
        <w:t>Reabilitare la viteza de proiectare a liniei Cluj-Napoca - Iași (Test DS06A)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secțiunii Cluj-Napoca – Iași, via Beclean și Suceava.</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liniilor 300 Cluj-Napoca – Apahida, 401 Apahida – Dej, 400 Dej-Beclean, 401 Beclean – Ilva Mică, 502 Ilva Mică – Suceava, 500 Suceava – Pașcani și 606 Pașcani – Iași.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Cluj-Napoca, Gherla, Dej Călători, Beclean pe Someș, Salva, Ilva Mică, Vatra Dornei, Câmpulung Moldovenesc, Suceava, Verești, Dolhasca, Pașcani, Târgu Frumos și Iași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Cluj-Napoca – Iași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39870"/>
            <wp:effectExtent l="0" t="0" r="0" b="0"/>
            <wp:docPr id="974" name="Picture 347" descr="F:\Projects\Transport Planning - Romania UK GTMP\PUBLIC TRANSPORT\Rail\04_Plots\Do_Somthing_schemes\outputs\DoSomethingSchemes_DS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jects\Transport Planning - Romania UK GTMP\PUBLIC TRANSPORT\Rail\04_Plots\Do_Somthing_schemes\outputs\DoSomethingSchemes_DS06A.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56</w:t>
      </w:r>
      <w:r w:rsidR="003259E9">
        <w:rPr>
          <w:b/>
          <w:sz w:val="22"/>
          <w:szCs w:val="22"/>
        </w:rPr>
        <w:fldChar w:fldCharType="end"/>
      </w:r>
      <w:r>
        <w:rPr>
          <w:b/>
          <w:sz w:val="22"/>
          <w:szCs w:val="22"/>
        </w:rPr>
        <w:t>: Sinteza of Service Proposals (DS06A)</w:t>
      </w:r>
    </w:p>
    <w:p w:rsidR="00573AD5" w:rsidRPr="00AE1AD4" w:rsidRDefault="00573AD5" w:rsidP="00AE1AD4">
      <w:pPr>
        <w:ind w:left="851"/>
        <w:rPr>
          <w:i/>
          <w:lang w:val="ro-RO"/>
        </w:rPr>
      </w:pPr>
      <w:bookmarkStart w:id="506" w:name="_Toc413058142"/>
      <w:r w:rsidRPr="00AE1AD4">
        <w:rPr>
          <w:i/>
          <w:lang w:val="ro-RO"/>
        </w:rPr>
        <w:t>Sursa: Analiza AECOM a rezultatelor Modelului Național de Transport</w:t>
      </w:r>
      <w:bookmarkEnd w:id="506"/>
    </w:p>
    <w:p w:rsidR="00573AD5" w:rsidRDefault="00573AD5" w:rsidP="0030066D">
      <w:pPr>
        <w:pStyle w:val="Body"/>
      </w:pPr>
    </w:p>
    <w:p w:rsidR="00573AD5" w:rsidRPr="0076579A" w:rsidRDefault="00573AD5" w:rsidP="0030066D">
      <w:pPr>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între Cluj-Napoca și Iași.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anumite secțiuni, cum ar fi Dej Călători-Beclean.</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tabs>
          <w:tab w:val="left" w:pos="4184"/>
        </w:tabs>
        <w:spacing w:line="276" w:lineRule="auto"/>
        <w:rPr>
          <w:rFonts w:cs="Arial"/>
          <w:b/>
          <w:sz w:val="22"/>
          <w:szCs w:val="22"/>
          <w:lang w:val="ro-RO"/>
        </w:rPr>
      </w:pPr>
      <w:r w:rsidRPr="0076579A">
        <w:rPr>
          <w:rFonts w:cs="Arial"/>
          <w:b/>
          <w:sz w:val="22"/>
          <w:szCs w:val="22"/>
          <w:lang w:val="ro-RO"/>
        </w:rPr>
        <w:t>Costuri neactualizate</w:t>
      </w:r>
      <w:r>
        <w:rPr>
          <w:rFonts w:cs="Arial"/>
          <w:b/>
          <w:sz w:val="22"/>
          <w:szCs w:val="22"/>
          <w:lang w:val="ro-RO"/>
        </w:rPr>
        <w:tab/>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36</w:t>
      </w:r>
      <w:r w:rsidR="003259E9">
        <w:rPr>
          <w:b/>
          <w:sz w:val="22"/>
          <w:szCs w:val="22"/>
        </w:rPr>
        <w:fldChar w:fldCharType="end"/>
      </w:r>
      <w:r>
        <w:rPr>
          <w:b/>
          <w:sz w:val="22"/>
          <w:szCs w:val="22"/>
        </w:rPr>
        <w:t>: Sinteza costurilor de operare și de infrastructură (DS06A)</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w:t>
            </w:r>
            <w:r>
              <w:rPr>
                <w:rFonts w:cs="Arial"/>
                <w:sz w:val="22"/>
                <w:szCs w:val="22"/>
              </w:rPr>
              <w:t>.808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70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w:t>
            </w:r>
            <w:r>
              <w:rPr>
                <w:rFonts w:cs="Arial"/>
                <w:sz w:val="22"/>
                <w:szCs w:val="22"/>
              </w:rPr>
              <w:t>.878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bookmarkStart w:id="507" w:name="_Toc413058143"/>
      <w:r w:rsidRPr="00AE1AD4">
        <w:rPr>
          <w:i/>
          <w:lang w:val="ro-RO"/>
        </w:rPr>
        <w:t>Sursa: Analiza AECOM a datelor provenite de la CFR Marfă și CFR Călători</w:t>
      </w:r>
      <w:bookmarkEnd w:id="507"/>
      <w:r w:rsidRPr="00AE1AD4">
        <w:rPr>
          <w:i/>
          <w:lang w:val="ro-RO"/>
        </w:rPr>
        <w:t xml:space="preserve">   </w:t>
      </w:r>
    </w:p>
    <w:p w:rsidR="00573AD5" w:rsidRPr="0076579A" w:rsidRDefault="00573AD5" w:rsidP="0030066D">
      <w:pPr>
        <w:spacing w:line="276" w:lineRule="auto"/>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 xml:space="preserve">Această intervenție oferă rezultate economice defavorabile (BCR = 0,40) dar și o creștere minoră a traficului de pasageri și marfă, de 7%, respectiv 3% pentru întreaga rețea (a se vedea tabelul </w:t>
      </w:r>
      <w:r>
        <w:rPr>
          <w:rFonts w:cs="Arial"/>
          <w:sz w:val="22"/>
          <w:szCs w:val="22"/>
          <w:lang w:val="ro-RO"/>
        </w:rPr>
        <w:t>5.37)</w:t>
      </w:r>
      <w:r w:rsidRPr="0076579A">
        <w:rPr>
          <w:rFonts w:cs="Arial"/>
          <w:sz w:val="22"/>
          <w:szCs w:val="22"/>
          <w:lang w:val="ro-RO"/>
        </w:rPr>
        <w:t>:</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37</w:t>
      </w:r>
      <w:r w:rsidR="003259E9">
        <w:rPr>
          <w:b/>
          <w:sz w:val="22"/>
          <w:szCs w:val="22"/>
        </w:rPr>
        <w:fldChar w:fldCharType="end"/>
      </w:r>
      <w:r>
        <w:rPr>
          <w:b/>
          <w:sz w:val="22"/>
          <w:szCs w:val="22"/>
        </w:rPr>
        <w:t>: Sinteza rezultatelor  (DS06A)</w:t>
      </w:r>
    </w:p>
    <w:tbl>
      <w:tblPr>
        <w:tblStyle w:val="TableGrid"/>
        <w:tblW w:w="0" w:type="auto"/>
        <w:tblLook w:val="04A0" w:firstRow="1" w:lastRow="0" w:firstColumn="1" w:lastColumn="0" w:noHBand="0" w:noVBand="1"/>
      </w:tblPr>
      <w:tblGrid>
        <w:gridCol w:w="5866"/>
        <w:gridCol w:w="1550"/>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DS06A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390 (+7%)</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0.4%</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220 (+3%)</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0.3%</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w:t>
            </w:r>
            <w:r>
              <w:rPr>
                <w:rFonts w:cs="Arial"/>
                <w:b/>
                <w:sz w:val="22"/>
                <w:szCs w:val="22"/>
              </w:rPr>
              <w:t>1.183</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,39</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,2</w:t>
            </w:r>
            <w:r w:rsidRPr="00804F1B">
              <w:rPr>
                <w:rFonts w:cs="Arial"/>
                <w:b/>
                <w:sz w:val="22"/>
                <w:szCs w:val="22"/>
              </w:rPr>
              <w:t>9%</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740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w:t>
            </w:r>
          </w:p>
        </w:tc>
      </w:tr>
    </w:tbl>
    <w:p w:rsidR="00573AD5" w:rsidRPr="00AE1AD4" w:rsidRDefault="00573AD5" w:rsidP="00AE1AD4">
      <w:pPr>
        <w:ind w:left="851"/>
        <w:rPr>
          <w:i/>
          <w:lang w:val="ro-RO"/>
        </w:rPr>
      </w:pPr>
      <w:bookmarkStart w:id="508" w:name="_Toc413058144"/>
      <w:r w:rsidRPr="00AE1AD4">
        <w:rPr>
          <w:i/>
          <w:lang w:val="ro-RO"/>
        </w:rPr>
        <w:t>Sursa: Analiza AECOM a rezultatelor Modelului Național de Transport</w:t>
      </w:r>
      <w:bookmarkEnd w:id="508"/>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Planșele de mai jos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25900"/>
            <wp:effectExtent l="0" t="0" r="0" b="0"/>
            <wp:docPr id="975" name="Picture 346" descr="F:\Projects\Transport Planning - Romania UK GTMP\PUBLIC TRANSPORT\Rail\04_Plots\Rail_results\output\DS06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rojects\Transport Planning - Romania UK GTMP\PUBLIC TRANSPORT\Rail\04_Plots\Rail_results\output\DS06A_2030_change_pass.jpg"/>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5759450" cy="4025900"/>
                    </a:xfrm>
                    <a:prstGeom prst="rect">
                      <a:avLst/>
                    </a:prstGeom>
                    <a:noFill/>
                    <a:ln>
                      <a:noFill/>
                    </a:ln>
                  </pic:spPr>
                </pic:pic>
              </a:graphicData>
            </a:graphic>
          </wp:inline>
        </w:drawing>
      </w:r>
    </w:p>
    <w:p w:rsidR="00573AD5" w:rsidRPr="0076579A" w:rsidRDefault="00573AD5" w:rsidP="0030066D">
      <w:pPr>
        <w:spacing w:line="276" w:lineRule="auto"/>
        <w:jc w:val="both"/>
        <w:rPr>
          <w:rFonts w:cs="Arial"/>
          <w:sz w:val="22"/>
          <w:szCs w:val="22"/>
          <w:lang w:val="ro-RO"/>
        </w:rPr>
      </w:pPr>
      <w:r>
        <w:rPr>
          <w:b/>
          <w:sz w:val="22"/>
          <w:szCs w:val="22"/>
        </w:rPr>
        <w:t>Figura5.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57</w:t>
      </w:r>
      <w:r w:rsidR="003259E9">
        <w:rPr>
          <w:b/>
          <w:sz w:val="22"/>
          <w:szCs w:val="22"/>
        </w:rPr>
        <w:fldChar w:fldCharType="end"/>
      </w:r>
      <w:r>
        <w:rPr>
          <w:b/>
          <w:sz w:val="22"/>
          <w:szCs w:val="22"/>
        </w:rPr>
        <w:t>: Fluxuri prognozate de pasageri și marfă 2030</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lastRenderedPageBreak/>
        <w:t xml:space="preserve">Este prognozată o creștere semnificativă a traficului de pasageri urmare a modernizării coridorului analizat: 60% pentru secțiunea Apahida-Dej și de 70% între Ilva Mică și Suceava. Creșterea se reduce la +50% pe secțiunea Suceava – Pașcani. Traficul pe liniile 400 și 501 se va reduce ușor, </w:t>
      </w:r>
      <w:r>
        <w:rPr>
          <w:rFonts w:cs="Arial"/>
          <w:sz w:val="22"/>
          <w:szCs w:val="22"/>
          <w:lang w:val="ro-RO"/>
        </w:rPr>
        <w:t>un număr de pasageri pe distanță lungă fiind atrași către alte rute</w:t>
      </w:r>
      <w:r w:rsidRPr="0076579A">
        <w:rPr>
          <w:rFonts w:cs="Arial"/>
          <w:sz w:val="22"/>
          <w:szCs w:val="22"/>
          <w:lang w:val="ro-RO"/>
        </w:rPr>
        <w:t>.</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76" name="Picture 345" descr="F:\Projects\Transport Planning - Romania UK GTMP\PUBLIC TRANSPORT\Rail\04_Plots\Rail_results\output\DS06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rojects\Transport Planning - Romania UK GTMP\PUBLIC TRANSPORT\Rail\04_Plots\Rail_results\output\DS06A_2030_change_freight.jp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58</w:t>
      </w:r>
      <w:r w:rsidR="003259E9">
        <w:rPr>
          <w:b/>
          <w:sz w:val="22"/>
          <w:szCs w:val="22"/>
        </w:rPr>
        <w:fldChar w:fldCharType="end"/>
      </w:r>
      <w:r>
        <w:rPr>
          <w:b/>
          <w:sz w:val="22"/>
          <w:szCs w:val="22"/>
        </w:rPr>
        <w:t>: Modificări ale cererii de transport călători    (DS06A)</w:t>
      </w:r>
    </w:p>
    <w:p w:rsidR="00573AD5" w:rsidRPr="00AE1AD4" w:rsidRDefault="00573AD5" w:rsidP="00AE1AD4">
      <w:pPr>
        <w:ind w:left="851"/>
        <w:rPr>
          <w:i/>
          <w:lang w:val="ro-RO"/>
        </w:rPr>
      </w:pPr>
      <w:bookmarkStart w:id="509" w:name="_Toc413058145"/>
      <w:r w:rsidRPr="00AE1AD4">
        <w:rPr>
          <w:i/>
          <w:lang w:val="ro-RO"/>
        </w:rPr>
        <w:t>Sursa: Analiza AECOM a rezultatelor Modelului Național de Transport</w:t>
      </w:r>
      <w:bookmarkEnd w:id="509"/>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Cea mai importantă creștere a traficului de marfă în acest test corespunde sectorului Apahida – Beclean, traficul de marfă care se derulează prin Gherla crescând cu aproape 5.000 tone pe zi (+115%). Traficul de mărfuri crește semnificativ și pentru restul coridorului modernizat: cu 45% între Floreni și Vatra Dornei, respectiv cu 15% între Verești și Dolhasca.</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 xml:space="preserve">Se estimează că acest proiect va fi implementat  până în anul 2030, dacă finanțarea necesară va fi </w:t>
      </w:r>
      <w:r>
        <w:t>asigurată</w:t>
      </w:r>
      <w:r w:rsidRPr="0076579A">
        <w:t>.</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viteze sporite a liniei Cluj-Napoca - Iași (Test DS06B)</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secțiunii Cluj-Napoca – Iași, via Beclean și Suceava.</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liniilor 300 Cluj-Napoca – Apahida, 401 Apahida – Dej, 400 Dej-Beclean, 401 Beclean – Ilva Mică, 502 Ilva Mică – Suceava, 500 Suceava – Pașcani și 606 Pașcani – Iași.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viteze sporite pentru secțiunile având o viteză de proiectare mai mică de 100 km/h, situate pe coridorul Cluj-Napoca – Iași.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Cluj-Napoca, Gherla, Dej Călători, Beclean pe Someș, Salva, Ilva Mică, Vatra Dornei, Câmpulung Moldovenesc, Suceava, Verești, Dolhasca, Pașcani, Târgu Frumos și Iași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Cluj-Napoca – Iași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53205"/>
            <wp:effectExtent l="0" t="0" r="0" b="4445"/>
            <wp:docPr id="149" name="Picture 344" descr="F:\Projects\Transport Planning - Romania UK GTMP\PUBLIC TRANSPORT\Rail\04_Plots\Do_Somthing_schemes\outputs\DoSomethingSchemes_DS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jects\Transport Planning - Romania UK GTMP\PUBLIC TRANSPORT\Rail\04_Plots\Do_Somthing_schemes\outputs\DoSomethingSchemes_DS06B.jpg"/>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tabs>
          <w:tab w:val="center" w:pos="5145"/>
        </w:tabs>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59</w:t>
      </w:r>
      <w:r w:rsidR="003259E9">
        <w:rPr>
          <w:b/>
          <w:sz w:val="22"/>
          <w:szCs w:val="22"/>
        </w:rPr>
        <w:fldChar w:fldCharType="end"/>
      </w:r>
      <w:r>
        <w:rPr>
          <w:b/>
          <w:sz w:val="22"/>
          <w:szCs w:val="22"/>
        </w:rPr>
        <w:t>: Sinteza of Service Proposals (DS06B)</w:t>
      </w:r>
      <w:r>
        <w:rPr>
          <w:b/>
          <w:sz w:val="22"/>
          <w:szCs w:val="22"/>
        </w:rPr>
        <w:tab/>
      </w:r>
    </w:p>
    <w:p w:rsidR="00573AD5" w:rsidRPr="00AE1AD4" w:rsidRDefault="00573AD5" w:rsidP="00AE1AD4">
      <w:pPr>
        <w:ind w:left="851"/>
        <w:rPr>
          <w:i/>
          <w:lang w:val="ro-RO"/>
        </w:rPr>
      </w:pPr>
      <w:bookmarkStart w:id="510" w:name="_Toc413058146"/>
      <w:r w:rsidRPr="00AE1AD4">
        <w:rPr>
          <w:i/>
          <w:lang w:val="ro-RO"/>
        </w:rPr>
        <w:t>Sursa: Analiza AECOM a rezultatelor Modelului Național de Transport</w:t>
      </w:r>
      <w:bookmarkEnd w:id="510"/>
    </w:p>
    <w:p w:rsidR="00573AD5" w:rsidRDefault="00573AD5" w:rsidP="0030066D">
      <w:pPr>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între Cluj-Napoca și Iași.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anumite secțiuni, cum ar fi Dej Călători-Beclean.</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de proiectare reduse pentru anumite secțiuni ale coridorului Cluj-Napoca – Iași.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38</w:t>
      </w:r>
      <w:r w:rsidR="003259E9">
        <w:rPr>
          <w:b/>
          <w:sz w:val="22"/>
          <w:szCs w:val="22"/>
        </w:rPr>
        <w:fldChar w:fldCharType="end"/>
      </w:r>
      <w:r>
        <w:rPr>
          <w:b/>
          <w:sz w:val="22"/>
          <w:szCs w:val="22"/>
        </w:rPr>
        <w:t>: Sinteza costurilor de operare și de infrastructură (DS06B)</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3.832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78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3.910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 xml:space="preserve">Această intervenție oferă rezultate economice defavorabile (BCR = 0,36) dar și o creștere minoră a traficului de pasageri și marfă, de 10%, respectiv 3% pentru întreaga rețea (a se vedea tabelul </w:t>
      </w:r>
      <w:r>
        <w:rPr>
          <w:rFonts w:cs="Arial"/>
          <w:sz w:val="22"/>
          <w:szCs w:val="22"/>
          <w:lang w:val="ro-RO"/>
        </w:rPr>
        <w:t>5.39</w:t>
      </w:r>
      <w:r w:rsidRPr="0076579A">
        <w:rPr>
          <w:rFonts w:cs="Arial"/>
          <w:sz w:val="22"/>
          <w:szCs w:val="22"/>
          <w:lang w:val="ro-RO"/>
        </w:rPr>
        <w:t>r)</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39</w:t>
      </w:r>
      <w:r w:rsidR="003259E9">
        <w:rPr>
          <w:b/>
          <w:sz w:val="22"/>
          <w:szCs w:val="22"/>
        </w:rPr>
        <w:fldChar w:fldCharType="end"/>
      </w:r>
      <w:r>
        <w:rPr>
          <w:b/>
          <w:sz w:val="22"/>
          <w:szCs w:val="22"/>
        </w:rPr>
        <w:t>: Sinteza rezultatelor  (DS06B)</w:t>
      </w:r>
    </w:p>
    <w:tbl>
      <w:tblPr>
        <w:tblStyle w:val="TableGrid"/>
        <w:tblW w:w="0" w:type="auto"/>
        <w:tblLook w:val="04A0" w:firstRow="1" w:lastRow="0" w:firstColumn="1" w:lastColumn="0" w:noHBand="0" w:noVBand="1"/>
      </w:tblPr>
      <w:tblGrid>
        <w:gridCol w:w="5866"/>
        <w:gridCol w:w="1672"/>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DS06A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w:t>
            </w:r>
            <w:r>
              <w:rPr>
                <w:rFonts w:cs="Arial"/>
                <w:sz w:val="22"/>
                <w:szCs w:val="22"/>
              </w:rPr>
              <w:t>.</w:t>
            </w:r>
            <w:r w:rsidRPr="00804F1B">
              <w:rPr>
                <w:rFonts w:cs="Arial"/>
                <w:sz w:val="22"/>
                <w:szCs w:val="22"/>
              </w:rPr>
              <w:t>156 (+10%)</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0.6%</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22</w:t>
            </w:r>
            <w:r>
              <w:rPr>
                <w:rFonts w:cs="Arial"/>
                <w:sz w:val="22"/>
                <w:szCs w:val="22"/>
              </w:rPr>
              <w:t>0</w:t>
            </w:r>
            <w:r w:rsidRPr="00804F1B">
              <w:rPr>
                <w:rFonts w:cs="Arial"/>
                <w:sz w:val="22"/>
                <w:szCs w:val="22"/>
              </w:rPr>
              <w:t xml:space="preserve"> (+3%)</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0.3%</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w:t>
            </w:r>
            <w:r>
              <w:rPr>
                <w:rFonts w:cs="Arial"/>
                <w:b/>
                <w:sz w:val="22"/>
                <w:szCs w:val="22"/>
              </w:rPr>
              <w:t>.740</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w:t>
            </w:r>
            <w:r w:rsidRPr="00804F1B">
              <w:rPr>
                <w:rFonts w:cs="Arial"/>
                <w:b/>
                <w:sz w:val="22"/>
                <w:szCs w:val="22"/>
              </w:rPr>
              <w:t>3</w:t>
            </w:r>
            <w:r>
              <w:rPr>
                <w:rFonts w:cs="Arial"/>
                <w:b/>
                <w:sz w:val="22"/>
                <w:szCs w:val="22"/>
              </w:rPr>
              <w:t>5</w:t>
            </w:r>
          </w:p>
        </w:tc>
      </w:tr>
      <w:tr w:rsidR="00573AD5" w:rsidRPr="0076579A" w:rsidTr="0030066D">
        <w:trPr>
          <w:cantSplit/>
        </w:trPr>
        <w:tc>
          <w:tcPr>
            <w:tcW w:w="0" w:type="auto"/>
            <w:vAlign w:val="center"/>
          </w:tcPr>
          <w:p w:rsidR="00573AD5" w:rsidRPr="0076579A" w:rsidRDefault="00D514F9" w:rsidP="00D514F9">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,32</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740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w:t>
            </w:r>
          </w:p>
        </w:tc>
      </w:tr>
    </w:tbl>
    <w:p w:rsidR="00573AD5" w:rsidRPr="00AE1AD4" w:rsidRDefault="00573AD5" w:rsidP="00AE1AD4">
      <w:pPr>
        <w:ind w:left="851"/>
        <w:rPr>
          <w:i/>
          <w:lang w:val="ro-RO"/>
        </w:rPr>
      </w:pPr>
      <w:bookmarkStart w:id="511" w:name="_Toc413058147"/>
      <w:r w:rsidRPr="00AE1AD4">
        <w:rPr>
          <w:i/>
          <w:lang w:val="ro-RO"/>
        </w:rPr>
        <w:t>Sursa: Analiza AECOM a rezultatelor Modelului Național de Transport</w:t>
      </w:r>
      <w:bookmarkEnd w:id="511"/>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 xml:space="preserve">Figurile 5.61 și 5.62 </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667154" cy="3988252"/>
            <wp:effectExtent l="19050" t="0" r="0" b="0"/>
            <wp:docPr id="150" name="Picture 343" descr="F:\Projects\Transport Planning - Romania UK GTMP\PUBLIC TRANSPORT\Rail\04_Plots\Rail_results\output\DS06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rojects\Transport Planning - Romania UK GTMP\PUBLIC TRANSPORT\Rail\04_Plots\Rail_results\output\DS06B_2030_change_pass.jpg"/>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5663813" cy="3985901"/>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60</w:t>
      </w:r>
      <w:r w:rsidR="003259E9">
        <w:rPr>
          <w:b/>
          <w:sz w:val="22"/>
          <w:szCs w:val="22"/>
        </w:rPr>
        <w:fldChar w:fldCharType="end"/>
      </w:r>
      <w:r>
        <w:rPr>
          <w:b/>
          <w:sz w:val="22"/>
          <w:szCs w:val="22"/>
        </w:rPr>
        <w:t xml:space="preserve">: Modificări ale cererii de transport călători    (DS06B) </w:t>
      </w:r>
    </w:p>
    <w:p w:rsidR="00573AD5" w:rsidRDefault="00573AD5" w:rsidP="0030066D">
      <w:pPr>
        <w:spacing w:line="276" w:lineRule="auto"/>
        <w:jc w:val="both"/>
        <w:rPr>
          <w:i/>
        </w:rPr>
      </w:pPr>
      <w:r>
        <w:rPr>
          <w:i/>
        </w:rPr>
        <w:t>Sursa: Analiza AECOM a rezultatelor Modelului Național de Transport</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 xml:space="preserve">Este prognozată o creștere semnificativă a traficului de pasageri urmare a modernizării coridorului analizat: 85% pentru secțiunea Apahida-Dej și de 135% între Ilva Mică și Suceava. Creșterea se reduce la +70% pe secțiunea Suceava – Pașcani. Traficul pe liniile 400 și 501 se va reduce ușor, </w:t>
      </w:r>
      <w:r>
        <w:rPr>
          <w:rFonts w:cs="Arial"/>
          <w:sz w:val="22"/>
          <w:szCs w:val="22"/>
          <w:lang w:val="ro-RO"/>
        </w:rPr>
        <w:t>un număr de redirecționându-se către alte rute</w:t>
      </w:r>
      <w:r w:rsidRPr="0076579A">
        <w:rPr>
          <w:rFonts w:cs="Arial"/>
          <w:sz w:val="22"/>
          <w:szCs w:val="22"/>
          <w:lang w:val="ro-RO"/>
        </w:rPr>
        <w:t>.</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i/>
          <w:noProof/>
          <w:sz w:val="22"/>
          <w:szCs w:val="22"/>
          <w:lang w:val="ro-RO" w:eastAsia="ro-RO"/>
        </w:rPr>
        <w:drawing>
          <wp:inline distT="0" distB="0" distL="0" distR="0">
            <wp:extent cx="5759450" cy="4107815"/>
            <wp:effectExtent l="0" t="0" r="0" b="6985"/>
            <wp:docPr id="151" name="Picture 342" descr="F:\Projects\Transport Planning - Romania UK GTMP\PUBLIC TRANSPORT\Rail\04_Plots\Rail_results\output\DS06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rojects\Transport Planning - Romania UK GTMP\PUBLIC TRANSPORT\Rail\04_Plots\Rail_results\output\DS06B_2030_change_freight.jpg"/>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5759450" cy="410781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61</w:t>
      </w:r>
      <w:r w:rsidR="003259E9">
        <w:rPr>
          <w:b/>
          <w:sz w:val="22"/>
          <w:szCs w:val="22"/>
        </w:rPr>
        <w:fldChar w:fldCharType="end"/>
      </w:r>
      <w:r>
        <w:rPr>
          <w:b/>
          <w:sz w:val="22"/>
          <w:szCs w:val="22"/>
        </w:rPr>
        <w:t>: Modificări ale cererii de transport marfă (DS06B)</w:t>
      </w:r>
    </w:p>
    <w:p w:rsidR="00573AD5" w:rsidRPr="00AE1AD4" w:rsidRDefault="00573AD5" w:rsidP="00AE1AD4">
      <w:pPr>
        <w:ind w:left="851"/>
        <w:rPr>
          <w:i/>
          <w:lang w:val="ro-RO"/>
        </w:rPr>
      </w:pPr>
      <w:bookmarkStart w:id="512" w:name="_Toc413058148"/>
      <w:r w:rsidRPr="00AE1AD4">
        <w:rPr>
          <w:i/>
          <w:lang w:val="ro-RO"/>
        </w:rPr>
        <w:t>Sursa: Analiza AECOM a rezultatelor Modelului Național de Transport</w:t>
      </w:r>
      <w:bookmarkEnd w:id="512"/>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Cea mai importantă creștere a traficului de marfă în acest test corespunde sectorului Apahida – Beclean, traficul de marfă care se derulează prin Gherla crescând cu aproape 5.000 tone pe zi. Traficul de mărfuri crește semnificativ și pentru restul coridorului modernizat: cu 45% între Floreni și Vatra Dornei, respectiv cu 15% între Verești și Dolhasca.</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D514F9">
      <w:pPr>
        <w:pStyle w:val="BulletLevel1"/>
        <w:numPr>
          <w:ilvl w:val="0"/>
          <w:numId w:val="0"/>
        </w:numPr>
        <w:spacing w:after="60"/>
        <w:ind w:left="1208" w:hanging="357"/>
      </w:pPr>
      <w:r w:rsidRPr="0076579A">
        <w:t xml:space="preserve">Se estimează că acest proiect va fi implementat  până în anul 2030, dacă finanțarea necesară va fi </w:t>
      </w:r>
      <w:r>
        <w:t>asigurată.</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liniei Cluj-Napoca - Oradea (Test DS07A)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liniei 300 între Cluj-Napoca și Oradea.</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300 Cluj-Napoca – Oradea.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Oradea, Aleșd, Huedin și Cluj-Napoca.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Cluj-Napoca – Oradea (1 tren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39870"/>
            <wp:effectExtent l="0" t="0" r="0" b="0"/>
            <wp:docPr id="977" name="Picture 341" descr="F:\Projects\Transport Planning - Romania UK GTMP\PUBLIC TRANSPORT\Rail\04_Plots\Do_Somthing_schemes\outputs\DoSomethingSchemes_DS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rojects\Transport Planning - Romania UK GTMP\PUBLIC TRANSPORT\Rail\04_Plots\Do_Somthing_schemes\outputs\DoSomethingSchemes_DS07A.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62</w:t>
      </w:r>
      <w:r w:rsidR="003259E9">
        <w:rPr>
          <w:b/>
          <w:sz w:val="22"/>
          <w:szCs w:val="22"/>
        </w:rPr>
        <w:fldChar w:fldCharType="end"/>
      </w:r>
      <w:r>
        <w:rPr>
          <w:b/>
          <w:sz w:val="22"/>
          <w:szCs w:val="22"/>
        </w:rPr>
        <w:t>: Descrierea propunerilor de servicii (DS07A)</w:t>
      </w:r>
    </w:p>
    <w:p w:rsidR="00573AD5" w:rsidRPr="00AE1AD4" w:rsidRDefault="00573AD5" w:rsidP="00AE1AD4">
      <w:pPr>
        <w:ind w:left="851"/>
        <w:rPr>
          <w:i/>
          <w:lang w:val="ro-RO"/>
        </w:rPr>
      </w:pPr>
      <w:bookmarkStart w:id="513" w:name="_Toc413058149"/>
      <w:r w:rsidRPr="00AE1AD4">
        <w:rPr>
          <w:i/>
          <w:lang w:val="ro-RO"/>
        </w:rPr>
        <w:t>Sursa: Analiza AECOM a rezultatelor Modelului Național de Transport</w:t>
      </w:r>
      <w:bookmarkEnd w:id="513"/>
    </w:p>
    <w:p w:rsidR="00573AD5" w:rsidRDefault="00573AD5" w:rsidP="0030066D">
      <w:pPr>
        <w:rPr>
          <w:rFonts w:cs="Arial"/>
          <w:b/>
          <w:sz w:val="22"/>
          <w:szCs w:val="22"/>
          <w:lang w:val="ro-RO"/>
        </w:rPr>
      </w:pPr>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a trenurilor de pasageri și marfă între Cluj-Napoca și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secțiunea Vadu Crișului –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Cluj-Napoca – Oradea;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 secțiunile cu linie simplă între Cluj-Napoca și Oradea limitează capacitatea rețelei.</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pStyle w:val="Caption"/>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40</w:t>
      </w:r>
      <w:r w:rsidR="003259E9">
        <w:rPr>
          <w:b/>
          <w:sz w:val="22"/>
          <w:szCs w:val="22"/>
        </w:rPr>
        <w:fldChar w:fldCharType="end"/>
      </w:r>
      <w:r>
        <w:rPr>
          <w:b/>
          <w:sz w:val="22"/>
          <w:szCs w:val="22"/>
        </w:rPr>
        <w:t>: Sinteza costurilor de operare și de infrastructură (DS07A)</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658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220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878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defavorabile (BCR = 0,3</w:t>
      </w:r>
      <w:r>
        <w:rPr>
          <w:rFonts w:cs="Arial"/>
          <w:sz w:val="22"/>
          <w:szCs w:val="22"/>
          <w:lang w:val="ro-RO"/>
        </w:rPr>
        <w:t>0</w:t>
      </w:r>
      <w:r w:rsidRPr="0076579A">
        <w:rPr>
          <w:rFonts w:cs="Arial"/>
          <w:sz w:val="22"/>
          <w:szCs w:val="22"/>
          <w:lang w:val="ro-RO"/>
        </w:rPr>
        <w:t>) dar și o creștere minimală a traficului de pasageri și marfă, de 1%, respectiv 1% pentru întreaga rețea (a se vedea tabelul următor):</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41</w:t>
      </w:r>
      <w:r w:rsidR="003259E9">
        <w:rPr>
          <w:b/>
          <w:sz w:val="22"/>
          <w:szCs w:val="22"/>
        </w:rPr>
        <w:fldChar w:fldCharType="end"/>
      </w:r>
      <w:r>
        <w:rPr>
          <w:b/>
          <w:sz w:val="22"/>
          <w:szCs w:val="22"/>
        </w:rPr>
        <w:t>: Sinteza rezultatelor  (DS07A)</w:t>
      </w:r>
    </w:p>
    <w:tbl>
      <w:tblPr>
        <w:tblStyle w:val="TableGrid"/>
        <w:tblW w:w="0" w:type="auto"/>
        <w:tblLook w:val="04A0" w:firstRow="1" w:lastRow="0" w:firstColumn="1" w:lastColumn="0" w:noHBand="0" w:noVBand="1"/>
      </w:tblPr>
      <w:tblGrid>
        <w:gridCol w:w="5866"/>
        <w:gridCol w:w="1366"/>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DS07A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+180 (+1%)</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+456 (+1%)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0.1%</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w:t>
            </w:r>
            <w:r>
              <w:rPr>
                <w:rFonts w:cs="Arial"/>
                <w:b/>
                <w:sz w:val="22"/>
                <w:szCs w:val="22"/>
              </w:rPr>
              <w:t>316</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0.3</w:t>
            </w:r>
            <w:r>
              <w:rPr>
                <w:rFonts w:cs="Arial"/>
                <w:b/>
                <w:sz w:val="22"/>
                <w:szCs w:val="22"/>
              </w:rPr>
              <w:t>0</w:t>
            </w:r>
          </w:p>
        </w:tc>
      </w:tr>
      <w:tr w:rsidR="00573AD5" w:rsidRPr="0076579A" w:rsidTr="0030066D">
        <w:trPr>
          <w:cantSplit/>
        </w:trPr>
        <w:tc>
          <w:tcPr>
            <w:tcW w:w="0" w:type="auto"/>
            <w:vAlign w:val="center"/>
          </w:tcPr>
          <w:p w:rsidR="00573AD5" w:rsidRPr="0076579A" w:rsidRDefault="00D514F9"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2</w:t>
            </w:r>
            <w:r w:rsidRPr="00804F1B">
              <w:rPr>
                <w:rFonts w:cs="Arial"/>
                <w:b/>
                <w:sz w:val="22"/>
                <w:szCs w:val="22"/>
              </w:rPr>
              <w:t>1%</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270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5</w:t>
            </w:r>
          </w:p>
        </w:tc>
      </w:tr>
    </w:tbl>
    <w:p w:rsidR="00573AD5" w:rsidRPr="00AE1AD4" w:rsidRDefault="00573AD5" w:rsidP="00AE1AD4">
      <w:pPr>
        <w:ind w:left="851"/>
        <w:rPr>
          <w:i/>
          <w:lang w:val="ro-RO"/>
        </w:rPr>
      </w:pPr>
      <w:bookmarkStart w:id="514" w:name="_Toc413058150"/>
      <w:r w:rsidRPr="00AE1AD4">
        <w:rPr>
          <w:i/>
          <w:lang w:val="ro-RO"/>
        </w:rPr>
        <w:t>Sursa: Analiza AECOM a rezultatelor Modelului Național de Transport</w:t>
      </w:r>
      <w:bookmarkEnd w:id="514"/>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Planșele de mai jos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78" name="Picture 340" descr="F:\Projects\Transport Planning - Romania UK GTMP\PUBLIC TRANSPORT\Rail\04_Plots\Rail_results\output\DS07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jects\Transport Planning - Romania UK GTMP\PUBLIC TRANSPORT\Rail\04_Plots\Rail_results\output\DS07A_2030_change_pass.jpg"/>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63</w:t>
      </w:r>
      <w:r w:rsidR="003259E9">
        <w:rPr>
          <w:b/>
          <w:sz w:val="22"/>
          <w:szCs w:val="22"/>
        </w:rPr>
        <w:fldChar w:fldCharType="end"/>
      </w:r>
      <w:r>
        <w:rPr>
          <w:b/>
          <w:sz w:val="22"/>
          <w:szCs w:val="22"/>
        </w:rPr>
        <w:t>: Modificări ale cererii de transport călători    (DS07A)</w:t>
      </w:r>
    </w:p>
    <w:p w:rsidR="00573AD5" w:rsidRPr="00AE1AD4" w:rsidRDefault="00573AD5" w:rsidP="00AE1AD4">
      <w:pPr>
        <w:ind w:left="851"/>
        <w:rPr>
          <w:i/>
          <w:lang w:val="ro-RO"/>
        </w:rPr>
      </w:pPr>
      <w:bookmarkStart w:id="515" w:name="_Toc413058151"/>
      <w:r w:rsidRPr="00AE1AD4">
        <w:rPr>
          <w:i/>
          <w:lang w:val="ro-RO"/>
        </w:rPr>
        <w:t>Sursa: Analiza AECOM a rezultatelor Modelului Național de Transport</w:t>
      </w:r>
      <w:bookmarkEnd w:id="515"/>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Traficul de pasageri pentru coridorul Oradea – Cluj-Napoca crește în acest scenariu cu aproximativ 60%, pasagerii din zonele Arad/Timișoara</w:t>
      </w:r>
      <w:r>
        <w:rPr>
          <w:rFonts w:cs="Arial"/>
          <w:sz w:val="22"/>
          <w:szCs w:val="22"/>
          <w:lang w:val="ro-RO"/>
        </w:rPr>
        <w:t xml:space="preserve"> către Cluj</w:t>
      </w:r>
      <w:r w:rsidRPr="0076579A">
        <w:rPr>
          <w:rFonts w:cs="Arial"/>
          <w:sz w:val="22"/>
          <w:szCs w:val="22"/>
          <w:lang w:val="ro-RO"/>
        </w:rPr>
        <w:t xml:space="preserve"> fiind deviați în parte pe coridorul modernizat, </w:t>
      </w:r>
      <w:r>
        <w:rPr>
          <w:rFonts w:cs="Arial"/>
          <w:sz w:val="22"/>
          <w:szCs w:val="22"/>
          <w:lang w:val="ro-RO"/>
        </w:rPr>
        <w:t>față de ruta via Deva</w:t>
      </w:r>
      <w:r w:rsidRPr="0076579A">
        <w:rPr>
          <w:rFonts w:cs="Arial"/>
          <w:sz w:val="22"/>
          <w:szCs w:val="22"/>
          <w:lang w:val="ro-RO"/>
        </w:rPr>
        <w:t>.</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39870"/>
            <wp:effectExtent l="0" t="0" r="0" b="0"/>
            <wp:docPr id="155" name="Picture 339" descr="F:\Projects\Transport Planning - Romania UK GTMP\PUBLIC TRANSPORT\Rail\04_Plots\Rail_results\output\DS07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jects\Transport Planning - Romania UK GTMP\PUBLIC TRANSPORT\Rail\04_Plots\Rail_results\output\DS07A_2030_change_freight.jpg"/>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64</w:t>
      </w:r>
      <w:r w:rsidR="003259E9">
        <w:rPr>
          <w:b/>
          <w:sz w:val="22"/>
          <w:szCs w:val="22"/>
        </w:rPr>
        <w:fldChar w:fldCharType="end"/>
      </w:r>
      <w:r>
        <w:rPr>
          <w:b/>
          <w:sz w:val="22"/>
          <w:szCs w:val="22"/>
        </w:rPr>
        <w:t>: Modificări ale cererii de transport marfă (DS07A)</w:t>
      </w:r>
    </w:p>
    <w:p w:rsidR="00573AD5" w:rsidRPr="00AE1AD4" w:rsidRDefault="00573AD5" w:rsidP="00AE1AD4">
      <w:pPr>
        <w:ind w:left="851"/>
        <w:rPr>
          <w:i/>
          <w:lang w:val="ro-RO"/>
        </w:rPr>
      </w:pPr>
      <w:bookmarkStart w:id="516" w:name="_Toc413058152"/>
      <w:r w:rsidRPr="00AE1AD4">
        <w:rPr>
          <w:i/>
          <w:lang w:val="ro-RO"/>
        </w:rPr>
        <w:t>Sursa: Analiza AECOM a rezultatelor Modelului Național de Transport</w:t>
      </w:r>
      <w:bookmarkEnd w:id="516"/>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Traficul de mărfuri între Cluj-Napoca și Oradea este prognozat să crească cu aproximativ 50%, ceea ce reprezintă în parte cerere deviată de pe liniile 200 și 413. Numărul de tone transportate prin Orăștie scade cu 10%, în timp ce traficul pe linia 413 scade cu 5%.</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 estimează că acest proiect va fi implementat  până în anul 2030, dacă finanțarea necesară va fi disponibilă.</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liniei Cluj-Napoca – Oradea, plus electrificare și dublarea liniei (Test DS07B)</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liniei 300 între Cluj-Napoca și Oradea.</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300 Cluj-Napoca – Oradea.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viteze superioare pentru secțiunile linie 300 Cluj-Napoca – Oradea având o viteză de proiectare mai mică de 100 km/h.</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Dublarea liniei pentru secțiunile de linie simplă.</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Electrificarea liniei.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Oradea, Aleșd, Huedin și Cluj-Napoca.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Cluj-Napoca – Oradea (1 tren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79" name="Picture 338" descr="F:\Projects\Transport Planning - Romania UK GTMP\PUBLIC TRANSPORT\Rail\04_Plots\Do_Somthing_schemes\outputs\DoSomethingSchemes_DS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s\Transport Planning - Romania UK GTMP\PUBLIC TRANSPORT\Rail\04_Plots\Do_Somthing_schemes\outputs\DoSomethingSchemes_DS07B.jpg"/>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65</w:t>
      </w:r>
      <w:r w:rsidR="003259E9">
        <w:rPr>
          <w:b/>
          <w:sz w:val="22"/>
          <w:szCs w:val="22"/>
        </w:rPr>
        <w:fldChar w:fldCharType="end"/>
      </w:r>
      <w:r>
        <w:rPr>
          <w:b/>
          <w:sz w:val="22"/>
          <w:szCs w:val="22"/>
        </w:rPr>
        <w:t>: Descrierea propunerilor de servicii (DS07B)</w:t>
      </w:r>
    </w:p>
    <w:p w:rsidR="00573AD5" w:rsidRPr="00AE1AD4" w:rsidRDefault="00573AD5" w:rsidP="00AE1AD4">
      <w:pPr>
        <w:ind w:left="851"/>
        <w:rPr>
          <w:i/>
          <w:lang w:val="ro-RO"/>
        </w:rPr>
      </w:pPr>
      <w:bookmarkStart w:id="517" w:name="_Toc413058153"/>
      <w:r w:rsidRPr="00AE1AD4">
        <w:rPr>
          <w:i/>
          <w:lang w:val="ro-RO"/>
        </w:rPr>
        <w:t>Sursa: Analiza AECOM a rezultatelor Modelului Național de Transport</w:t>
      </w:r>
      <w:bookmarkEnd w:id="517"/>
    </w:p>
    <w:p w:rsidR="00573AD5" w:rsidRDefault="00573AD5" w:rsidP="0030066D">
      <w:pPr>
        <w:rPr>
          <w:rFonts w:cs="Arial"/>
          <w:b/>
          <w:sz w:val="22"/>
          <w:szCs w:val="22"/>
          <w:lang w:val="ro-RO"/>
        </w:rPr>
      </w:pPr>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a trenurilor de pasageri și marfă între Cluj-Napoca și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pentru secțiunea Vadu Crișului –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de proiectare reduse pentru anumite secțiuni ale liniei Cluj-Napoca –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Cluj-Napoca – Oradea;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 secțiunile cu linie simplă între Cluj-Napoca și Oradea limitează capacitatea rețelei și sunt propuse pentru dublare.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Este propusă electrificarea liniei pentru creșterea interoperabilității și limitarea întârzierilor datorate schimbărilor de tracțiune.</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42</w:t>
      </w:r>
      <w:r w:rsidR="003259E9">
        <w:rPr>
          <w:b/>
          <w:sz w:val="22"/>
          <w:szCs w:val="22"/>
        </w:rPr>
        <w:fldChar w:fldCharType="end"/>
      </w:r>
      <w:r>
        <w:rPr>
          <w:b/>
          <w:sz w:val="22"/>
          <w:szCs w:val="22"/>
        </w:rPr>
        <w:t>: Sinteza costurilor de operare și de infrastructură (DS07B)</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603</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3</w:t>
            </w:r>
            <w:r>
              <w:rPr>
                <w:rFonts w:cs="Arial"/>
                <w:sz w:val="22"/>
                <w:szCs w:val="22"/>
              </w:rPr>
              <w:t>94</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997</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defavorabile (BCR = 0,</w:t>
      </w:r>
      <w:r w:rsidRPr="00C8537C">
        <w:rPr>
          <w:rFonts w:cs="Arial"/>
          <w:sz w:val="22"/>
          <w:szCs w:val="22"/>
        </w:rPr>
        <w:t xml:space="preserve"> </w:t>
      </w:r>
      <w:r>
        <w:rPr>
          <w:rFonts w:cs="Arial"/>
          <w:sz w:val="22"/>
          <w:szCs w:val="22"/>
        </w:rPr>
        <w:t>39</w:t>
      </w:r>
      <w:r w:rsidRPr="0076579A">
        <w:rPr>
          <w:rFonts w:cs="Arial"/>
          <w:sz w:val="22"/>
          <w:szCs w:val="22"/>
          <w:lang w:val="ro-RO"/>
        </w:rPr>
        <w:t xml:space="preserve">) dar și o creștere minimală a traficului de pasageri și marfă, de 2%, respectiv 1% pentru întreaga rețea (a se vedea tabelul </w:t>
      </w:r>
      <w:r>
        <w:rPr>
          <w:rFonts w:cs="Arial"/>
          <w:sz w:val="22"/>
          <w:szCs w:val="22"/>
          <w:lang w:val="ro-RO"/>
        </w:rPr>
        <w:t>5.43</w:t>
      </w:r>
      <w:r w:rsidRPr="0076579A">
        <w:rPr>
          <w:rFonts w:cs="Arial"/>
          <w:sz w:val="22"/>
          <w:szCs w:val="22"/>
          <w:lang w:val="ro-RO"/>
        </w:rPr>
        <w:t>):</w:t>
      </w:r>
    </w:p>
    <w:p w:rsidR="00573AD5" w:rsidRPr="0076579A" w:rsidRDefault="00573AD5" w:rsidP="0030066D">
      <w:pPr>
        <w:pStyle w:val="Caption"/>
        <w:tabs>
          <w:tab w:val="right" w:pos="10291"/>
        </w:tabs>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43</w:t>
      </w:r>
      <w:r w:rsidR="003259E9">
        <w:rPr>
          <w:b/>
          <w:sz w:val="22"/>
          <w:szCs w:val="22"/>
        </w:rPr>
        <w:fldChar w:fldCharType="end"/>
      </w:r>
      <w:r>
        <w:rPr>
          <w:b/>
          <w:sz w:val="22"/>
          <w:szCs w:val="22"/>
        </w:rPr>
        <w:t>: Sinteza rezultatelor  (DS07B)</w:t>
      </w:r>
      <w:r>
        <w:rPr>
          <w:b/>
          <w:sz w:val="22"/>
          <w:szCs w:val="22"/>
        </w:rPr>
        <w:tab/>
      </w:r>
    </w:p>
    <w:tbl>
      <w:tblPr>
        <w:tblStyle w:val="TableGrid"/>
        <w:tblW w:w="0" w:type="auto"/>
        <w:tblLook w:val="04A0" w:firstRow="1" w:lastRow="0" w:firstColumn="1" w:lastColumn="0" w:noHBand="0" w:noVBand="1"/>
      </w:tblPr>
      <w:tblGrid>
        <w:gridCol w:w="5866"/>
        <w:gridCol w:w="1366"/>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DS07B</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+389 (+2%)</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+456 (+1%)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0.1%</w:t>
            </w:r>
          </w:p>
        </w:tc>
      </w:tr>
      <w:tr w:rsidR="00573AD5" w:rsidRPr="0076579A" w:rsidTr="0030066D">
        <w:trPr>
          <w:cantSplit/>
        </w:trPr>
        <w:tc>
          <w:tcPr>
            <w:tcW w:w="0" w:type="auto"/>
            <w:vAlign w:val="center"/>
          </w:tcPr>
          <w:p w:rsidR="00573AD5" w:rsidRPr="0076579A" w:rsidRDefault="002B7CE7"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w:t>
            </w:r>
            <w:r>
              <w:rPr>
                <w:rFonts w:cs="Arial"/>
                <w:b/>
                <w:sz w:val="22"/>
                <w:szCs w:val="22"/>
              </w:rPr>
              <w:t>740</w:t>
            </w:r>
          </w:p>
        </w:tc>
      </w:tr>
      <w:tr w:rsidR="00573AD5" w:rsidRPr="0076579A" w:rsidTr="0030066D">
        <w:trPr>
          <w:cantSplit/>
        </w:trPr>
        <w:tc>
          <w:tcPr>
            <w:tcW w:w="0" w:type="auto"/>
            <w:vAlign w:val="center"/>
          </w:tcPr>
          <w:p w:rsidR="00573AD5" w:rsidRPr="0076579A" w:rsidRDefault="002B7CE7"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39</w:t>
            </w:r>
          </w:p>
        </w:tc>
      </w:tr>
      <w:tr w:rsidR="00573AD5" w:rsidRPr="0076579A" w:rsidTr="0030066D">
        <w:trPr>
          <w:cantSplit/>
        </w:trPr>
        <w:tc>
          <w:tcPr>
            <w:tcW w:w="0" w:type="auto"/>
            <w:vAlign w:val="center"/>
          </w:tcPr>
          <w:p w:rsidR="00573AD5" w:rsidRPr="0076579A" w:rsidRDefault="002B7CE7"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12</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330</w:t>
            </w:r>
            <w:r>
              <w:rPr>
                <w:rFonts w:cs="Arial"/>
                <w:sz w:val="22"/>
                <w:szCs w:val="22"/>
                <w:vertAlign w:val="superscript"/>
              </w:rPr>
              <w:t>1</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5</w:t>
            </w:r>
          </w:p>
        </w:tc>
      </w:tr>
      <w:tr w:rsidR="00573AD5" w:rsidRPr="0076579A" w:rsidTr="0030066D">
        <w:tc>
          <w:tcPr>
            <w:tcW w:w="0" w:type="auto"/>
            <w:gridSpan w:val="2"/>
          </w:tcPr>
          <w:p w:rsidR="00573AD5" w:rsidRPr="00804F1B" w:rsidRDefault="00573AD5" w:rsidP="00573AD5">
            <w:pPr>
              <w:tabs>
                <w:tab w:val="left" w:pos="351"/>
              </w:tabs>
              <w:spacing w:before="120" w:line="276" w:lineRule="auto"/>
              <w:ind w:left="720" w:hanging="720"/>
              <w:rPr>
                <w:rFonts w:cs="Arial"/>
                <w:sz w:val="22"/>
                <w:szCs w:val="22"/>
              </w:rPr>
            </w:pPr>
            <w:r>
              <w:rPr>
                <w:rFonts w:cs="Arial"/>
                <w:sz w:val="22"/>
                <w:szCs w:val="22"/>
                <w:vertAlign w:val="superscript"/>
              </w:rPr>
              <w:t>1</w:t>
            </w:r>
            <w:r w:rsidRPr="00804F1B">
              <w:rPr>
                <w:rFonts w:cs="Arial"/>
                <w:sz w:val="22"/>
                <w:szCs w:val="22"/>
              </w:rPr>
              <w:t xml:space="preserve"> </w:t>
            </w:r>
            <w:r>
              <w:rPr>
                <w:rFonts w:cs="Arial"/>
                <w:sz w:val="22"/>
                <w:szCs w:val="22"/>
              </w:rPr>
              <w:t>Include dublarea liniei și electrificare</w:t>
            </w:r>
          </w:p>
        </w:tc>
      </w:tr>
    </w:tbl>
    <w:p w:rsidR="00573AD5" w:rsidRPr="00AE1AD4" w:rsidRDefault="00573AD5" w:rsidP="00AE1AD4">
      <w:pPr>
        <w:ind w:left="851"/>
        <w:rPr>
          <w:i/>
          <w:lang w:val="ro-RO"/>
        </w:rPr>
      </w:pPr>
      <w:bookmarkStart w:id="518" w:name="_Toc413058154"/>
      <w:r w:rsidRPr="00AE1AD4">
        <w:rPr>
          <w:i/>
          <w:lang w:val="ro-RO"/>
        </w:rPr>
        <w:t>Sursa: Analiza AECOM a rezultatelor Modelului Național de Transport</w:t>
      </w:r>
      <w:bookmarkEnd w:id="518"/>
    </w:p>
    <w:p w:rsidR="00573AD5" w:rsidRDefault="00573AD5" w:rsidP="0030066D">
      <w:pPr>
        <w:spacing w:line="276" w:lineRule="auto"/>
        <w:rPr>
          <w:rFonts w:cs="Arial"/>
          <w:sz w:val="22"/>
          <w:szCs w:val="22"/>
          <w:vertAlign w:val="superscript"/>
          <w:lang w:val="ro-RO"/>
        </w:rPr>
      </w:pPr>
    </w:p>
    <w:p w:rsidR="00573AD5" w:rsidRPr="0076579A" w:rsidRDefault="00573AD5" w:rsidP="0030066D">
      <w:pPr>
        <w:spacing w:line="276" w:lineRule="auto"/>
        <w:rPr>
          <w:rFonts w:cs="Arial"/>
          <w:sz w:val="22"/>
          <w:szCs w:val="22"/>
          <w:lang w:val="ro-RO"/>
        </w:rPr>
      </w:pPr>
      <w:r w:rsidRPr="0076579A">
        <w:rPr>
          <w:rFonts w:cs="Arial"/>
          <w:sz w:val="22"/>
          <w:szCs w:val="22"/>
          <w:vertAlign w:val="superscript"/>
          <w:lang w:val="ro-RO"/>
        </w:rPr>
        <w:t xml:space="preserve">1 </w:t>
      </w:r>
      <w:r w:rsidRPr="0076579A">
        <w:rPr>
          <w:rFonts w:cs="Arial"/>
          <w:sz w:val="22"/>
          <w:szCs w:val="22"/>
          <w:lang w:val="ro-RO"/>
        </w:rPr>
        <w:t>incluzând dublarea și electrificarea liniei</w:t>
      </w: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 xml:space="preserve">Figurile 5.66 și 5.67 </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980" name="Picture 337" descr="F:\Projects\Transport Planning - Romania UK GTMP\PUBLIC TRANSPORT\Rail\04_Plots\Rail_results\output\DS07B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rojects\Transport Planning - Romania UK GTMP\PUBLIC TRANSPORT\Rail\04_Plots\Rail_results\output\DS07B_2030_change_pass.jpg"/>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Pr="00753A89" w:rsidRDefault="00573AD5" w:rsidP="0030066D">
      <w:pPr>
        <w:pStyle w:val="Caption"/>
        <w:rPr>
          <w:b/>
          <w:sz w:val="22"/>
          <w:szCs w:val="22"/>
        </w:rPr>
      </w:pPr>
      <w:r w:rsidRPr="00753A89">
        <w:rPr>
          <w:b/>
          <w:sz w:val="22"/>
          <w:szCs w:val="22"/>
        </w:rPr>
        <w:lastRenderedPageBreak/>
        <w:t>Figura 5.</w:t>
      </w:r>
      <w:r w:rsidR="003259E9" w:rsidRPr="00753A89">
        <w:rPr>
          <w:b/>
          <w:sz w:val="22"/>
          <w:szCs w:val="22"/>
        </w:rPr>
        <w:fldChar w:fldCharType="begin"/>
      </w:r>
      <w:r w:rsidRPr="00753A89">
        <w:rPr>
          <w:b/>
          <w:sz w:val="22"/>
          <w:szCs w:val="22"/>
        </w:rPr>
        <w:instrText xml:space="preserve"> SEQ Figure \* ARABIC </w:instrText>
      </w:r>
      <w:r w:rsidR="003259E9" w:rsidRPr="00753A89">
        <w:rPr>
          <w:b/>
          <w:sz w:val="22"/>
          <w:szCs w:val="22"/>
        </w:rPr>
        <w:fldChar w:fldCharType="separate"/>
      </w:r>
      <w:r w:rsidRPr="00753A89">
        <w:rPr>
          <w:b/>
          <w:sz w:val="22"/>
          <w:szCs w:val="22"/>
        </w:rPr>
        <w:t>66</w:t>
      </w:r>
      <w:r w:rsidR="003259E9" w:rsidRPr="00753A89">
        <w:rPr>
          <w:b/>
          <w:sz w:val="22"/>
          <w:szCs w:val="22"/>
        </w:rPr>
        <w:fldChar w:fldCharType="end"/>
      </w:r>
      <w:r w:rsidRPr="00753A89">
        <w:rPr>
          <w:b/>
          <w:sz w:val="22"/>
          <w:szCs w:val="22"/>
        </w:rPr>
        <w:t>: Modificări ale cererii de transport călători    (DS07B)</w:t>
      </w:r>
    </w:p>
    <w:p w:rsidR="00573AD5" w:rsidRPr="00AE1AD4" w:rsidRDefault="00573AD5" w:rsidP="00AE1AD4">
      <w:pPr>
        <w:ind w:left="851"/>
        <w:rPr>
          <w:i/>
          <w:lang w:val="ro-RO"/>
        </w:rPr>
      </w:pPr>
      <w:bookmarkStart w:id="519" w:name="_Toc413058155"/>
      <w:r w:rsidRPr="00AE1AD4">
        <w:rPr>
          <w:i/>
          <w:lang w:val="ro-RO"/>
        </w:rPr>
        <w:t>Sursa: Analiza AECOM a rezultatelor Modelului Național de Transport</w:t>
      </w:r>
      <w:bookmarkEnd w:id="519"/>
    </w:p>
    <w:p w:rsidR="00573AD5" w:rsidRPr="00753A89"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Traficul de pasageri pentru coridorul Oradea – Cluj-Napoca crește în acest scenariu cu aproximativ 90%, pasagerii din zonele Arad/Timișoara fiind deviați în parte pe coridorul modernizat, pentru a călători către Cluj-Napoca și zona de nord-est a țării.</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67175"/>
            <wp:effectExtent l="0" t="0" r="0" b="9525"/>
            <wp:docPr id="158" name="Picture 336" descr="F:\Projects\Transport Planning - Romania UK GTMP\PUBLIC TRANSPORT\Rail\04_Plots\Rail_results\output\DS07B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rojects\Transport Planning - Romania UK GTMP\PUBLIC TRANSPORT\Rail\04_Plots\Rail_results\output\DS07B_2030_change_freight.jpg"/>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67</w:t>
      </w:r>
      <w:r w:rsidR="003259E9">
        <w:rPr>
          <w:b/>
          <w:sz w:val="22"/>
          <w:szCs w:val="22"/>
        </w:rPr>
        <w:fldChar w:fldCharType="end"/>
      </w:r>
      <w:r>
        <w:rPr>
          <w:b/>
          <w:sz w:val="22"/>
          <w:szCs w:val="22"/>
        </w:rPr>
        <w:t>: Modificări ale cererii de transport marfă (DS07B)</w:t>
      </w:r>
    </w:p>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Traficul de mărfuri între Cluj-Napoca și Oradea este prognozat să crească cu aproximativ 50%, ceea ce reprezintă în parte cerere deviată de pe liniile 200 și 413. Numărul de tone transportate prin Orăștie scade cu 10%, în timp ce traficul pe linia 413 scade cu 5%.</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 estimează că acest proiect va fi implementat  până în anul 2030, dacă finanțarea necesară va fi disponibilă.</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liniei Timișoara - Oradea (Test DS08A)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IV-S între Timișoara și Arad și a liniei 310 Arad – Timișoara.</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310 Arad – Oradea și a secțiunii Arad – Timișoara, parte a Coridorului TEN-T Core IV-S.</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Timișoara, Arad, Chișineu-Criș, Salonta și Oradea.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Timișoara – Oradea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39870"/>
            <wp:effectExtent l="0" t="0" r="0" b="0"/>
            <wp:docPr id="981" name="Picture 335" descr="F:\Projects\Transport Planning - Romania UK GTMP\PUBLIC TRANSPORT\Rail\04_Plots\Do_Somthing_schemes\outputs\DoSomethingSchemes_DS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jects\Transport Planning - Romania UK GTMP\PUBLIC TRANSPORT\Rail\04_Plots\Do_Somthing_schemes\outputs\DoSomethingSchemes_DS08A.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68</w:t>
      </w:r>
      <w:r w:rsidR="003259E9">
        <w:rPr>
          <w:b/>
          <w:sz w:val="22"/>
          <w:szCs w:val="22"/>
        </w:rPr>
        <w:fldChar w:fldCharType="end"/>
      </w:r>
      <w:r>
        <w:rPr>
          <w:b/>
          <w:sz w:val="22"/>
          <w:szCs w:val="22"/>
        </w:rPr>
        <w:t>: Descrierea propunerilor de servicii (DS08A)</w:t>
      </w:r>
    </w:p>
    <w:p w:rsidR="00573AD5" w:rsidRPr="00AE1AD4" w:rsidRDefault="00573AD5" w:rsidP="00AE1AD4">
      <w:pPr>
        <w:ind w:left="851"/>
        <w:rPr>
          <w:i/>
          <w:lang w:val="ro-RO"/>
        </w:rPr>
      </w:pPr>
      <w:bookmarkStart w:id="520" w:name="_Toc413058156"/>
      <w:r w:rsidRPr="00AE1AD4">
        <w:rPr>
          <w:i/>
          <w:lang w:val="ro-RO"/>
        </w:rPr>
        <w:t>Sursa: Analiza AECOM a rezultatelor Modelului Național de Transport</w:t>
      </w:r>
      <w:bookmarkEnd w:id="520"/>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a trenurilor de pasageri și marfă între Timișoara și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 întreaga lungime a coridorului Timișoara – Arad - Oradea. Pot fi realizate economii de timp semnificative.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Arad – Timișoara;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Default="00573AD5" w:rsidP="00573AD5">
            <w:pPr>
              <w:pStyle w:val="Heading3"/>
              <w:spacing w:line="276" w:lineRule="auto"/>
              <w:rPr>
                <w:rFonts w:cs="Arial"/>
                <w:b/>
                <w:sz w:val="22"/>
                <w:szCs w:val="22"/>
                <w:lang w:val="ro-RO"/>
              </w:rPr>
            </w:pPr>
            <w:r w:rsidRPr="0076579A">
              <w:rPr>
                <w:sz w:val="22"/>
                <w:szCs w:val="22"/>
                <w:lang w:val="ro-RO"/>
              </w:rPr>
              <w:t>Capacitate limitată și sisteme de semnalizare redundante</w:t>
            </w: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44</w:t>
      </w:r>
      <w:r w:rsidR="003259E9">
        <w:rPr>
          <w:b/>
          <w:sz w:val="22"/>
          <w:szCs w:val="22"/>
        </w:rPr>
        <w:fldChar w:fldCharType="end"/>
      </w:r>
      <w:r>
        <w:rPr>
          <w:b/>
          <w:sz w:val="22"/>
          <w:szCs w:val="22"/>
        </w:rPr>
        <w:t>: Sinteza costurilor de operare și de infrastructură (DS08A)</w:t>
      </w:r>
    </w:p>
    <w:tbl>
      <w:tblPr>
        <w:tblStyle w:val="TableGrid"/>
        <w:tblW w:w="5000" w:type="pct"/>
        <w:tblLook w:val="04A0" w:firstRow="1" w:lastRow="0" w:firstColumn="1" w:lastColumn="0" w:noHBand="0" w:noVBand="1"/>
      </w:tblPr>
      <w:tblGrid>
        <w:gridCol w:w="1517"/>
        <w:gridCol w:w="2795"/>
        <w:gridCol w:w="6195"/>
      </w:tblGrid>
      <w:tr w:rsidR="00573AD5" w:rsidRPr="0076579A" w:rsidTr="002B7CE7">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390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543</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933</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76579A" w:rsidRDefault="00573AD5" w:rsidP="0030066D">
      <w:pPr>
        <w:spacing w:line="276" w:lineRule="auto"/>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defavorabile (BCR = 0,70) dar și o creștere minimală a traficului de pasageri și marfă, de 6%, respectiv 1% pentru întreaga rețea (a se vedea tabelul următor):</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45</w:t>
      </w:r>
      <w:r w:rsidR="003259E9">
        <w:rPr>
          <w:b/>
          <w:sz w:val="22"/>
          <w:szCs w:val="22"/>
        </w:rPr>
        <w:fldChar w:fldCharType="end"/>
      </w:r>
      <w:r>
        <w:rPr>
          <w:b/>
          <w:sz w:val="22"/>
          <w:szCs w:val="22"/>
        </w:rPr>
        <w:t xml:space="preserve">: Sinteza rezultatelor </w:t>
      </w:r>
    </w:p>
    <w:tbl>
      <w:tblPr>
        <w:tblStyle w:val="TableGrid"/>
        <w:tblW w:w="0" w:type="auto"/>
        <w:tblLook w:val="04A0" w:firstRow="1" w:lastRow="0" w:firstColumn="1" w:lastColumn="0" w:noHBand="0" w:noVBand="1"/>
      </w:tblPr>
      <w:tblGrid>
        <w:gridCol w:w="5866"/>
        <w:gridCol w:w="1550"/>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DS08A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212 (+6%)</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+0,4%</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+281 (+1%)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0.1%</w:t>
            </w:r>
          </w:p>
        </w:tc>
      </w:tr>
      <w:tr w:rsidR="00573AD5" w:rsidRPr="0076579A" w:rsidTr="0030066D">
        <w:trPr>
          <w:cantSplit/>
        </w:trPr>
        <w:tc>
          <w:tcPr>
            <w:tcW w:w="0" w:type="auto"/>
            <w:vAlign w:val="center"/>
          </w:tcPr>
          <w:p w:rsidR="00573AD5" w:rsidRPr="0076579A" w:rsidRDefault="002B7CE7"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w:t>
            </w:r>
            <w:r>
              <w:rPr>
                <w:rFonts w:cs="Arial"/>
                <w:b/>
                <w:sz w:val="22"/>
                <w:szCs w:val="22"/>
              </w:rPr>
              <w:t>98</w:t>
            </w:r>
          </w:p>
        </w:tc>
      </w:tr>
      <w:tr w:rsidR="00573AD5" w:rsidRPr="0076579A" w:rsidTr="0030066D">
        <w:trPr>
          <w:cantSplit/>
        </w:trPr>
        <w:tc>
          <w:tcPr>
            <w:tcW w:w="0" w:type="auto"/>
            <w:vAlign w:val="center"/>
          </w:tcPr>
          <w:p w:rsidR="00573AD5" w:rsidRPr="0076579A" w:rsidRDefault="002B7CE7"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,63</w:t>
            </w:r>
          </w:p>
        </w:tc>
      </w:tr>
      <w:tr w:rsidR="00573AD5" w:rsidRPr="0076579A" w:rsidTr="0030066D">
        <w:trPr>
          <w:cantSplit/>
        </w:trPr>
        <w:tc>
          <w:tcPr>
            <w:tcW w:w="0" w:type="auto"/>
            <w:vAlign w:val="center"/>
          </w:tcPr>
          <w:p w:rsidR="00573AD5" w:rsidRPr="0076579A" w:rsidRDefault="002B7CE7"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2</w:t>
            </w:r>
            <w:r w:rsidRPr="00804F1B">
              <w:rPr>
                <w:rFonts w:cs="Arial"/>
                <w:b/>
                <w:sz w:val="22"/>
                <w:szCs w:val="22"/>
              </w:rPr>
              <w:t>.</w:t>
            </w:r>
            <w:r>
              <w:rPr>
                <w:rFonts w:cs="Arial"/>
                <w:b/>
                <w:sz w:val="22"/>
                <w:szCs w:val="22"/>
              </w:rPr>
              <w:t>8</w:t>
            </w:r>
            <w:r w:rsidRPr="00804F1B">
              <w:rPr>
                <w:rFonts w:cs="Arial"/>
                <w:b/>
                <w:sz w:val="22"/>
                <w:szCs w:val="22"/>
              </w:rPr>
              <w:t>2%</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200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6</w:t>
            </w:r>
          </w:p>
        </w:tc>
      </w:tr>
    </w:tbl>
    <w:p w:rsidR="00573AD5" w:rsidRPr="00AE1AD4" w:rsidRDefault="00573AD5" w:rsidP="00AE1AD4">
      <w:pPr>
        <w:ind w:left="851"/>
        <w:rPr>
          <w:i/>
          <w:lang w:val="ro-RO"/>
        </w:rPr>
      </w:pPr>
      <w:bookmarkStart w:id="521" w:name="_Toc413058157"/>
      <w:r w:rsidRPr="00AE1AD4">
        <w:rPr>
          <w:i/>
          <w:lang w:val="ro-RO"/>
        </w:rPr>
        <w:t>Sursa: Analiza AECOM a rezultatelor Modelului Național de Transport</w:t>
      </w:r>
      <w:bookmarkEnd w:id="521"/>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Planșele de mai jos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332" name="Picture 334" descr="F:\Projects\Transport Planning - Romania UK GTMP\PUBLIC TRANSPORT\Rail\04_Plots\Rail_results\output\DS08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rojects\Transport Planning - Romania UK GTMP\PUBLIC TRANSPORT\Rail\04_Plots\Rail_results\output\DS08A_2030_change_pass.jpg"/>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69</w:t>
      </w:r>
      <w:r w:rsidR="003259E9">
        <w:rPr>
          <w:b/>
          <w:sz w:val="22"/>
          <w:szCs w:val="22"/>
        </w:rPr>
        <w:fldChar w:fldCharType="end"/>
      </w:r>
      <w:r>
        <w:rPr>
          <w:b/>
          <w:sz w:val="22"/>
          <w:szCs w:val="22"/>
        </w:rPr>
        <w:t>: Modificări ale cererii de transport călători    (DS08A)</w:t>
      </w:r>
    </w:p>
    <w:p w:rsidR="00573AD5" w:rsidRPr="00AE1AD4" w:rsidRDefault="00573AD5" w:rsidP="00AE1AD4">
      <w:pPr>
        <w:ind w:left="851"/>
        <w:rPr>
          <w:i/>
          <w:lang w:val="ro-RO"/>
        </w:rPr>
      </w:pPr>
      <w:bookmarkStart w:id="522" w:name="_Toc413058158"/>
      <w:r w:rsidRPr="00AE1AD4">
        <w:rPr>
          <w:i/>
          <w:lang w:val="ro-RO"/>
        </w:rPr>
        <w:t>Sursa: Analiza AECOM a rezultatelor Modelului Național de Transport</w:t>
      </w:r>
      <w:bookmarkEnd w:id="522"/>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Este de așteptat ca proiectul să determine o creștere semnificativă a traficului de pasageri pentru infrastructura modernizată, cererea fiind mai mult decât dublă după implementarea investiției. Au fost prognozate următoarele creșteri de trafic: 350% pentru Timișoara – Arad, 195% pentru Arad – Salonta și 110% pentru Salonta – Oradea. Este de așteptat ca și alte rute să beneficieze de o creștere importantă a traficului de pasageri; de exemplu pe sectorul Caransebeș – Lugoj traficul va crește cu 30%. Coridorul Arad – Deva – Cluj-Napoca va pierde o parte din cerere urmare a implementării proiectului de față.</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452" name="Picture 333" descr="F:\Projects\Transport Planning - Romania UK GTMP\PUBLIC TRANSPORT\Rail\04_Plots\Rail_results\output\DS08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rojects\Transport Planning - Romania UK GTMP\PUBLIC TRANSPORT\Rail\04_Plots\Rail_results\output\DS08A_2030_change_freight.jpg"/>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70</w:t>
      </w:r>
      <w:r w:rsidR="003259E9">
        <w:rPr>
          <w:b/>
          <w:sz w:val="22"/>
          <w:szCs w:val="22"/>
        </w:rPr>
        <w:fldChar w:fldCharType="end"/>
      </w:r>
      <w:r>
        <w:rPr>
          <w:b/>
          <w:sz w:val="22"/>
          <w:szCs w:val="22"/>
        </w:rPr>
        <w:t>: Change in Freight Demand</w:t>
      </w:r>
    </w:p>
    <w:p w:rsidR="00573AD5" w:rsidRPr="00AE1AD4" w:rsidRDefault="00573AD5" w:rsidP="00AE1AD4">
      <w:pPr>
        <w:ind w:left="851"/>
        <w:rPr>
          <w:i/>
          <w:lang w:val="ro-RO"/>
        </w:rPr>
      </w:pPr>
      <w:bookmarkStart w:id="523" w:name="_Toc413058159"/>
      <w:r w:rsidRPr="00AE1AD4">
        <w:rPr>
          <w:i/>
          <w:lang w:val="ro-RO"/>
        </w:rPr>
        <w:t>Sursa: Analiza AECOM a rezultatelor Modelului Național de Transport</w:t>
      </w:r>
      <w:bookmarkEnd w:id="523"/>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Traficul de mărfuri este prognozat să crească semnificativ, cu 40</w:t>
      </w:r>
      <w:r>
        <w:rPr>
          <w:rFonts w:cs="Arial"/>
          <w:sz w:val="22"/>
          <w:szCs w:val="22"/>
          <w:lang w:val="ro-RO"/>
        </w:rPr>
        <w:t>%</w:t>
      </w:r>
      <w:r w:rsidRPr="0076579A">
        <w:rPr>
          <w:rFonts w:cs="Arial"/>
          <w:sz w:val="22"/>
          <w:szCs w:val="22"/>
          <w:lang w:val="ro-RO"/>
        </w:rPr>
        <w:t xml:space="preserve"> pentru secțiunea Arad – Timișoara și cu 100% între Arad și Cluj-Napoca.</w:t>
      </w: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 estimează că acest proiect va fi implementat  până în anul 2030, dacă finanțarea necesară va fi disponibilă.</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liniei Timișoara - Oradea (Test DS08</w:t>
      </w:r>
      <w:r>
        <w:t>B</w:t>
      </w:r>
      <w:r w:rsidRPr="0076579A">
        <w:t>)</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Coridorului IV-S între Timișoara și Arad și a liniei 310 Arad – Timișoara.</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310 Arad – Oradea și a secțiunii Arad – Timișoara, parte a Coridorului TEN-T Core IV-S.</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Timișoara, Arad, Chișineu-Criș, Salonta și Oradea.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Timișoara – Oradea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Body"/>
        <w:ind w:left="0"/>
        <w:rPr>
          <w:b/>
          <w:i w:val="0"/>
          <w:lang w:val="ro-RO"/>
        </w:rPr>
      </w:pPr>
      <w:r>
        <w:rPr>
          <w:b/>
          <w:i w:val="0"/>
          <w:noProof/>
          <w:lang w:val="ro-RO" w:eastAsia="ro-RO"/>
        </w:rPr>
        <w:drawing>
          <wp:inline distT="0" distB="0" distL="0" distR="0">
            <wp:extent cx="5759450" cy="4039870"/>
            <wp:effectExtent l="0" t="0" r="0" b="0"/>
            <wp:docPr id="982" name="Picture 335" descr="F:\Projects\Transport Planning - Romania UK GTMP\PUBLIC TRANSPORT\Rail\04_Plots\Do_Somthing_schemes\outputs\DoSomethingSchemes_DS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jects\Transport Planning - Romania UK GTMP\PUBLIC TRANSPORT\Rail\04_Plots\Do_Somthing_schemes\outputs\DoSomethingSchemes_DS08A.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759450" cy="403987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71</w:t>
      </w:r>
      <w:r w:rsidR="003259E9">
        <w:rPr>
          <w:b/>
          <w:sz w:val="22"/>
          <w:szCs w:val="22"/>
        </w:rPr>
        <w:fldChar w:fldCharType="end"/>
      </w:r>
      <w:r>
        <w:rPr>
          <w:b/>
          <w:sz w:val="22"/>
          <w:szCs w:val="22"/>
        </w:rPr>
        <w:t>: Descrierea propunerilor de servicii (DS08B)</w:t>
      </w:r>
    </w:p>
    <w:p w:rsidR="00573AD5" w:rsidRPr="00AE1AD4" w:rsidRDefault="00573AD5" w:rsidP="00AE1AD4">
      <w:pPr>
        <w:ind w:left="851"/>
        <w:rPr>
          <w:i/>
          <w:lang w:val="ro-RO"/>
        </w:rPr>
      </w:pPr>
      <w:bookmarkStart w:id="524" w:name="_Toc413058160"/>
      <w:r w:rsidRPr="00AE1AD4">
        <w:rPr>
          <w:i/>
          <w:lang w:val="ro-RO"/>
        </w:rPr>
        <w:t>Sursa: Analiza AECOM a rezultatelor Modelului Național de Transport</w:t>
      </w:r>
      <w:bookmarkEnd w:id="524"/>
    </w:p>
    <w:p w:rsidR="00573AD5" w:rsidRDefault="00573AD5" w:rsidP="0030066D">
      <w:pPr>
        <w:outlineLvl w:val="0"/>
        <w:rPr>
          <w:i/>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jc w:val="both"/>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a trenurilor de pasageri și marfă între Timișoara și Oradea.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 întreaga lungime a coridorului Timișoara – Arad - Oradea. Pot fi realizate economii de timp semnificative.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Arad – Timișoara;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Default="00573AD5" w:rsidP="00573AD5">
            <w:pPr>
              <w:pStyle w:val="Heading3"/>
              <w:spacing w:line="276" w:lineRule="auto"/>
              <w:jc w:val="both"/>
              <w:rPr>
                <w:rFonts w:cs="Arial"/>
                <w:b/>
                <w:sz w:val="22"/>
                <w:szCs w:val="22"/>
                <w:lang w:val="ro-RO"/>
              </w:rPr>
            </w:pPr>
            <w:r w:rsidRPr="0076579A">
              <w:rPr>
                <w:sz w:val="22"/>
                <w:szCs w:val="22"/>
                <w:lang w:val="ro-RO"/>
              </w:rPr>
              <w:t>Fiabilitate scăzută și sisteme de semnalizare ineficiente, ceea ce reprezintă o problemă generalizată la nivel național</w:t>
            </w: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46</w:t>
      </w:r>
      <w:r w:rsidR="003259E9">
        <w:rPr>
          <w:b/>
          <w:sz w:val="22"/>
          <w:szCs w:val="22"/>
        </w:rPr>
        <w:fldChar w:fldCharType="end"/>
      </w:r>
      <w:r>
        <w:rPr>
          <w:b/>
          <w:sz w:val="22"/>
          <w:szCs w:val="22"/>
        </w:rPr>
        <w:t>: Sinteza costurilor de operare și de infrastructură</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531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687</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1.217</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defavorabile (BCR = 0,</w:t>
      </w:r>
      <w:r>
        <w:rPr>
          <w:rFonts w:cs="Arial"/>
          <w:sz w:val="22"/>
          <w:szCs w:val="22"/>
          <w:lang w:val="ro-RO"/>
        </w:rPr>
        <w:t>46</w:t>
      </w:r>
      <w:r w:rsidRPr="0076579A">
        <w:rPr>
          <w:rFonts w:cs="Arial"/>
          <w:sz w:val="22"/>
          <w:szCs w:val="22"/>
          <w:lang w:val="ro-RO"/>
        </w:rPr>
        <w:t xml:space="preserve">) dar și o creștere minimală a traficului de pasageri și marfă, de 6%, (a se vedea tabelul </w:t>
      </w:r>
      <w:r>
        <w:rPr>
          <w:rFonts w:cs="Arial"/>
          <w:sz w:val="22"/>
          <w:szCs w:val="22"/>
          <w:lang w:val="ro-RO"/>
        </w:rPr>
        <w:t>5.47</w:t>
      </w:r>
      <w:r w:rsidRPr="0076579A">
        <w:rPr>
          <w:rFonts w:cs="Arial"/>
          <w:sz w:val="22"/>
          <w:szCs w:val="22"/>
          <w:lang w:val="ro-RO"/>
        </w:rPr>
        <w:t>):</w:t>
      </w:r>
    </w:p>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47</w:t>
      </w:r>
      <w:r w:rsidR="003259E9">
        <w:rPr>
          <w:b/>
          <w:sz w:val="22"/>
          <w:szCs w:val="22"/>
        </w:rPr>
        <w:fldChar w:fldCharType="end"/>
      </w:r>
      <w:r>
        <w:rPr>
          <w:b/>
          <w:sz w:val="22"/>
          <w:szCs w:val="22"/>
        </w:rPr>
        <w:t>: Sinteza rezultatelor  (DS08B)</w:t>
      </w:r>
    </w:p>
    <w:tbl>
      <w:tblPr>
        <w:tblStyle w:val="TableGrid"/>
        <w:tblW w:w="0" w:type="auto"/>
        <w:tblLook w:val="04A0" w:firstRow="1" w:lastRow="0" w:firstColumn="1" w:lastColumn="0" w:noHBand="0" w:noVBand="1"/>
      </w:tblPr>
      <w:tblGrid>
        <w:gridCol w:w="5866"/>
        <w:gridCol w:w="1550"/>
      </w:tblGrid>
      <w:tr w:rsidR="00573AD5" w:rsidRPr="0076579A" w:rsidTr="0030066D">
        <w:trPr>
          <w:cantSplit/>
          <w:tblHeader/>
        </w:trPr>
        <w:tc>
          <w:tcPr>
            <w:tcW w:w="0" w:type="auto"/>
            <w:shd w:val="clear" w:color="auto" w:fill="C6D9F1" w:themeFill="text2" w:themeFillTint="33"/>
            <w:vAlign w:val="center"/>
          </w:tcPr>
          <w:p w:rsidR="00573AD5" w:rsidRDefault="00573AD5" w:rsidP="00573AD5">
            <w:pPr>
              <w:spacing w:line="276" w:lineRule="auto"/>
              <w:rPr>
                <w:rFonts w:cs="Arial"/>
                <w:b/>
                <w:bCs/>
                <w:sz w:val="22"/>
                <w:szCs w:val="22"/>
                <w:lang w:val="ro-RO"/>
              </w:rPr>
            </w:pPr>
          </w:p>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DS08A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+1,212 (+6%)</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+0,4%</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+281 (+1%)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0.1%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NPV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76579A">
              <w:rPr>
                <w:rFonts w:cs="Arial"/>
                <w:b/>
                <w:sz w:val="22"/>
                <w:szCs w:val="22"/>
                <w:lang w:val="ro-RO"/>
              </w:rPr>
              <w:t>-56</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BCR</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76579A">
              <w:rPr>
                <w:rFonts w:cs="Arial"/>
                <w:b/>
                <w:sz w:val="22"/>
                <w:szCs w:val="22"/>
                <w:lang w:val="ro-RO"/>
              </w:rPr>
              <w:t>0.70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EIRR</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76579A">
              <w:rPr>
                <w:rFonts w:cs="Arial"/>
                <w:b/>
                <w:sz w:val="22"/>
                <w:szCs w:val="22"/>
                <w:lang w:val="ro-RO"/>
              </w:rPr>
              <w:t>3.32%</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200</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76579A">
              <w:rPr>
                <w:rFonts w:cs="Arial"/>
                <w:sz w:val="22"/>
                <w:szCs w:val="22"/>
                <w:lang w:val="ro-RO"/>
              </w:rPr>
              <w:t>6</w:t>
            </w:r>
          </w:p>
        </w:tc>
      </w:tr>
    </w:tbl>
    <w:p w:rsidR="00573AD5" w:rsidRPr="00AE1AD4" w:rsidRDefault="00573AD5" w:rsidP="00AE1AD4">
      <w:pPr>
        <w:ind w:left="851"/>
        <w:rPr>
          <w:i/>
          <w:lang w:val="ro-RO"/>
        </w:rPr>
      </w:pPr>
      <w:bookmarkStart w:id="525" w:name="_Toc413058161"/>
      <w:r w:rsidRPr="00AE1AD4">
        <w:rPr>
          <w:i/>
          <w:lang w:val="ro-RO"/>
        </w:rPr>
        <w:t>Sursa: Analiza AECOM a rezultatelor Modelului Național de Transport</w:t>
      </w:r>
      <w:bookmarkEnd w:id="525"/>
    </w:p>
    <w:p w:rsidR="00573AD5" w:rsidRPr="0076579A" w:rsidRDefault="00573AD5" w:rsidP="0030066D">
      <w:pPr>
        <w:spacing w:line="276" w:lineRule="auto"/>
        <w:rPr>
          <w:rFonts w:cs="Arial"/>
          <w:sz w:val="22"/>
          <w:szCs w:val="22"/>
          <w:lang w:val="ro-RO"/>
        </w:rPr>
      </w:pPr>
    </w:p>
    <w:p w:rsidR="00573AD5" w:rsidRDefault="002B7CE7" w:rsidP="0030066D">
      <w:pPr>
        <w:pStyle w:val="Heading3"/>
        <w:spacing w:line="276" w:lineRule="auto"/>
        <w:jc w:val="both"/>
        <w:rPr>
          <w:rFonts w:cs="Arial"/>
          <w:sz w:val="22"/>
          <w:szCs w:val="22"/>
        </w:rPr>
      </w:pPr>
      <w:r>
        <w:rPr>
          <w:rFonts w:cs="Arial"/>
          <w:sz w:val="22"/>
          <w:szCs w:val="22"/>
        </w:rPr>
        <w:t xml:space="preserve">Modificările fluxurilor de pasageri și marfă sunt similar </w:t>
      </w:r>
      <w:r>
        <w:rPr>
          <w:rFonts w:cs="Arial"/>
          <w:sz w:val="22"/>
          <w:szCs w:val="22"/>
          <w:lang w:val="ro-RO"/>
        </w:rPr>
        <w:t>intervenției DS</w:t>
      </w:r>
      <w:r w:rsidR="00573AD5">
        <w:rPr>
          <w:rFonts w:cs="Arial"/>
          <w:sz w:val="22"/>
          <w:szCs w:val="22"/>
        </w:rPr>
        <w:t>08A.</w:t>
      </w:r>
    </w:p>
    <w:p w:rsidR="00573AD5" w:rsidRDefault="00573AD5" w:rsidP="0030066D">
      <w:pPr>
        <w:pStyle w:val="Heading3"/>
        <w:spacing w:line="276" w:lineRule="auto"/>
        <w:rPr>
          <w:rFonts w:cs="Arial"/>
          <w:b/>
          <w:sz w:val="22"/>
          <w:szCs w:val="22"/>
        </w:rPr>
      </w:pPr>
      <w:r>
        <w:rPr>
          <w:rFonts w:cs="Arial"/>
          <w:b/>
          <w:sz w:val="22"/>
          <w:szCs w:val="22"/>
        </w:rPr>
        <w:t>Unitatea de implementare</w:t>
      </w:r>
    </w:p>
    <w:p w:rsidR="00573AD5" w:rsidRDefault="00573AD5" w:rsidP="00AE1AD4">
      <w:pPr>
        <w:pStyle w:val="Heading3"/>
        <w:spacing w:line="276" w:lineRule="auto"/>
        <w:jc w:val="both"/>
        <w:rPr>
          <w:rFonts w:cs="Arial"/>
          <w:sz w:val="22"/>
          <w:szCs w:val="22"/>
        </w:rPr>
      </w:pPr>
      <w:bookmarkStart w:id="526" w:name="_Toc413058162"/>
      <w:r>
        <w:rPr>
          <w:rFonts w:cs="Arial"/>
          <w:sz w:val="22"/>
          <w:szCs w:val="22"/>
        </w:rPr>
        <w:t>Acest proiect va fi implementat de CFR SA și de operatorii feroviari</w:t>
      </w:r>
      <w:bookmarkEnd w:id="526"/>
      <w:r>
        <w:rPr>
          <w:rFonts w:cs="Arial"/>
          <w:sz w:val="22"/>
          <w:szCs w:val="22"/>
        </w:rPr>
        <w:t xml:space="preserve"> </w:t>
      </w:r>
    </w:p>
    <w:p w:rsidR="00573AD5" w:rsidRDefault="00573AD5" w:rsidP="0030066D">
      <w:pPr>
        <w:pStyle w:val="Heading3"/>
        <w:spacing w:line="276" w:lineRule="auto"/>
        <w:rPr>
          <w:rFonts w:cs="Arial"/>
          <w:b/>
          <w:sz w:val="22"/>
          <w:szCs w:val="22"/>
        </w:rPr>
      </w:pPr>
      <w:r>
        <w:rPr>
          <w:rFonts w:cs="Arial"/>
          <w:b/>
          <w:sz w:val="22"/>
          <w:szCs w:val="22"/>
        </w:rPr>
        <w:t xml:space="preserve">Anii de implementare </w:t>
      </w:r>
    </w:p>
    <w:p w:rsidR="00573AD5" w:rsidRDefault="002B7CE7" w:rsidP="0030066D">
      <w:pPr>
        <w:pStyle w:val="Heading3"/>
        <w:spacing w:line="276" w:lineRule="auto"/>
        <w:jc w:val="both"/>
        <w:rPr>
          <w:rFonts w:cs="Arial"/>
          <w:b/>
          <w:sz w:val="22"/>
          <w:szCs w:val="22"/>
          <w:lang w:val="ro-RO"/>
        </w:rPr>
      </w:pPr>
      <w:r>
        <w:rPr>
          <w:rFonts w:cs="Arial"/>
          <w:sz w:val="22"/>
          <w:szCs w:val="22"/>
        </w:rPr>
        <w:t>S-a esitmat că proiectul poate fi implementat până în</w:t>
      </w:r>
      <w:r w:rsidR="00573AD5">
        <w:rPr>
          <w:rFonts w:cs="Arial"/>
          <w:sz w:val="22"/>
          <w:szCs w:val="22"/>
        </w:rPr>
        <w:t xml:space="preserve"> 2030 dacă fodurile sunt asigurate .</w:t>
      </w:r>
    </w:p>
    <w:p w:rsidR="00573AD5" w:rsidRDefault="00573AD5" w:rsidP="0030066D">
      <w:pPr>
        <w:rPr>
          <w:b/>
          <w:sz w:val="22"/>
          <w:szCs w:val="22"/>
          <w:lang w:val="ro-RO"/>
        </w:rPr>
      </w:pPr>
      <w:r>
        <w:rPr>
          <w:b/>
          <w:i/>
          <w:lang w:val="ro-RO"/>
        </w:rPr>
        <w:br w:type="page"/>
      </w:r>
    </w:p>
    <w:p w:rsidR="00573AD5" w:rsidRDefault="00573AD5" w:rsidP="0030066D">
      <w:pPr>
        <w:pStyle w:val="Body"/>
        <w:ind w:left="0"/>
        <w:rPr>
          <w:b/>
          <w:i w:val="0"/>
          <w:lang w:val="ro-RO"/>
        </w:rPr>
      </w:pPr>
    </w:p>
    <w:p w:rsidR="00573AD5" w:rsidRDefault="00573AD5" w:rsidP="003148A3">
      <w:pPr>
        <w:pStyle w:val="Hdg3"/>
      </w:pPr>
      <w:r w:rsidRPr="0076579A">
        <w:t>Reabilitare la viteza de proiectare a secțiunilor Oradea – Satu Mare și Satu Mare – Cluj-Napoca (Test DS09A)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secțiunilor Oradea – Baia Mare via Satu Mare și B</w:t>
            </w:r>
            <w:r>
              <w:rPr>
                <w:rFonts w:cs="Arial"/>
                <w:sz w:val="22"/>
                <w:szCs w:val="22"/>
                <w:lang w:val="ro-RO"/>
              </w:rPr>
              <w:t>aia Mare – Cluj-Napoca via Dej.</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liniilor 300 Oradea – Episcopia Bihor, 402 Episcopia Bihor  - Satu Mare, 400 Satu Mare – Dej, 401 Dej – Apahida și 300 Apahida – Cluj-Napoca.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Modernizarea facilităților oferite în stații: Oradea, Săcuieni, Valea lui Mihai, Carei, Satu Mare, Baia Mare, Jibou, Dej și Cluj-Napoca.</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Baia Mare – Oradea via Satu Mare (0,5 trenuri pe oră) și Satu Mare – Cluj-Napoca via Baia Mare (0,5 trenuri pe oră).</w:t>
            </w:r>
          </w:p>
          <w:p w:rsidR="00573AD5" w:rsidRDefault="00573AD5" w:rsidP="00573AD5">
            <w:pPr>
              <w:pStyle w:val="Body"/>
              <w:ind w:left="0"/>
              <w:rPr>
                <w:b/>
                <w:i w:val="0"/>
                <w:lang w:val="ro-RO"/>
              </w:rPr>
            </w:pPr>
          </w:p>
        </w:tc>
      </w:tr>
    </w:tbl>
    <w:p w:rsidR="00573AD5" w:rsidRPr="0076579A" w:rsidRDefault="00573AD5" w:rsidP="0030066D">
      <w:pPr>
        <w:pStyle w:val="Body"/>
        <w:ind w:left="0"/>
        <w:rPr>
          <w:b/>
          <w:i w:val="0"/>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212169" cy="3631280"/>
            <wp:effectExtent l="19050" t="0" r="7531" b="0"/>
            <wp:docPr id="453" name="Picture 331" descr="F:\Projects\Transport Planning - Romania UK GTMP\PUBLIC TRANSPORT\Rail\04_Plots\Do_Somthing_schemes\outputs\DoSomethingSchemes_DS0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jects\Transport Planning - Romania UK GTMP\PUBLIC TRANSPORT\Rail\04_Plots\Do_Somthing_schemes\outputs\DoSomethingSchemes_DS09A.jpg"/>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208322" cy="36286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72</w:t>
      </w:r>
      <w:r w:rsidR="003259E9">
        <w:rPr>
          <w:b/>
          <w:sz w:val="22"/>
          <w:szCs w:val="22"/>
        </w:rPr>
        <w:fldChar w:fldCharType="end"/>
      </w:r>
      <w:r>
        <w:rPr>
          <w:b/>
          <w:sz w:val="22"/>
          <w:szCs w:val="22"/>
        </w:rPr>
        <w:t>: Descrierea propunerilor de servicii (DS09A)</w:t>
      </w:r>
    </w:p>
    <w:p w:rsidR="00573AD5" w:rsidRPr="00AE1AD4" w:rsidRDefault="00573AD5" w:rsidP="00AE1AD4">
      <w:pPr>
        <w:ind w:left="851"/>
        <w:rPr>
          <w:i/>
          <w:lang w:val="ro-RO"/>
        </w:rPr>
      </w:pPr>
      <w:bookmarkStart w:id="527" w:name="_Toc413058163"/>
      <w:r w:rsidRPr="00AE1AD4">
        <w:rPr>
          <w:i/>
          <w:lang w:val="ro-RO"/>
        </w:rPr>
        <w:t>Sursa: Analiza AECOM a rezultatelor Modelului Național de Transport</w:t>
      </w:r>
      <w:bookmarkEnd w:id="527"/>
    </w:p>
    <w:p w:rsidR="00573AD5" w:rsidRPr="0076579A" w:rsidRDefault="00573AD5" w:rsidP="0030066D">
      <w:pPr>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 reduse de circulație a trenurilor de pasageri și marfă între Satu Mare și Cluj-Napoca.</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Întârzieri în graficul de mers datorită infrastructurii aflate într-o stare de degradare, vitezele comerciale inferioare vitezelor de proiectare pe secțiunea Apa – Baia Mare și Apahida – Dej Călători.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Satu Mare – Baia Mare;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Fiabilitate scăzută și sisteme de semnalizare ineficiente, ceea ce reprezintă o problemă generalizată la nivel național.</w:t>
            </w:r>
          </w:p>
          <w:p w:rsidR="00573AD5" w:rsidRDefault="00573AD5" w:rsidP="00573AD5">
            <w:pPr>
              <w:pStyle w:val="Heading3"/>
              <w:spacing w:line="276" w:lineRule="auto"/>
              <w:rPr>
                <w:rFonts w:cs="Arial"/>
                <w:b/>
                <w:sz w:val="22"/>
                <w:szCs w:val="22"/>
                <w:lang w:val="ro-RO"/>
              </w:rPr>
            </w:pPr>
            <w:r w:rsidRPr="0076579A">
              <w:rPr>
                <w:sz w:val="22"/>
                <w:szCs w:val="22"/>
                <w:lang w:val="ro-RO"/>
              </w:rPr>
              <w:t>Capacitate limitată și sisteme de semnalizare redundante</w:t>
            </w:r>
          </w:p>
        </w:tc>
      </w:tr>
    </w:tbl>
    <w:p w:rsidR="00573AD5" w:rsidRPr="0076579A" w:rsidRDefault="00573AD5" w:rsidP="00573AD5">
      <w:pPr>
        <w:pStyle w:val="ListParagraph"/>
        <w:numPr>
          <w:ilvl w:val="0"/>
          <w:numId w:val="69"/>
        </w:numPr>
        <w:spacing w:after="120" w:line="276" w:lineRule="auto"/>
        <w:contextualSpacing/>
        <w:rPr>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46</w:t>
      </w:r>
      <w:r w:rsidR="003259E9">
        <w:rPr>
          <w:b/>
          <w:sz w:val="22"/>
          <w:szCs w:val="22"/>
        </w:rPr>
        <w:fldChar w:fldCharType="end"/>
      </w:r>
      <w:r>
        <w:rPr>
          <w:b/>
          <w:sz w:val="22"/>
          <w:szCs w:val="22"/>
        </w:rPr>
        <w:t>: Sinteza costurilor operaționale și de infrastructură (DS09A)</w:t>
      </w:r>
    </w:p>
    <w:p w:rsidR="00573AD5" w:rsidRPr="0076579A" w:rsidRDefault="00573AD5" w:rsidP="0030066D">
      <w:pPr>
        <w:spacing w:line="276" w:lineRule="auto"/>
        <w:jc w:val="both"/>
        <w:rPr>
          <w:rFonts w:cs="Arial"/>
          <w:sz w:val="22"/>
          <w:szCs w:val="22"/>
          <w:lang w:val="ro-RO"/>
        </w:rPr>
      </w:pP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1.208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501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.710</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defavorabile (BCR = 0,2</w:t>
      </w:r>
      <w:r>
        <w:rPr>
          <w:rFonts w:cs="Arial"/>
          <w:sz w:val="22"/>
          <w:szCs w:val="22"/>
          <w:lang w:val="ro-RO"/>
        </w:rPr>
        <w:t>5</w:t>
      </w:r>
      <w:r w:rsidRPr="0076579A">
        <w:rPr>
          <w:rFonts w:cs="Arial"/>
          <w:sz w:val="22"/>
          <w:szCs w:val="22"/>
          <w:lang w:val="ro-RO"/>
        </w:rPr>
        <w:t xml:space="preserve">) dar și o creștere minimală a traficului de pasageri și marfă, de </w:t>
      </w:r>
      <w:r>
        <w:rPr>
          <w:rFonts w:cs="Arial"/>
          <w:sz w:val="22"/>
          <w:szCs w:val="22"/>
          <w:lang w:val="ro-RO"/>
        </w:rPr>
        <w:t>6</w:t>
      </w:r>
      <w:r w:rsidRPr="0076579A">
        <w:rPr>
          <w:rFonts w:cs="Arial"/>
          <w:sz w:val="22"/>
          <w:szCs w:val="22"/>
          <w:lang w:val="ro-RO"/>
        </w:rPr>
        <w:t>%, respectiv 1% pentru întreaga rețea (a se vedea tabelul următor):</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47</w:t>
      </w:r>
      <w:r w:rsidR="003259E9">
        <w:rPr>
          <w:b/>
          <w:sz w:val="22"/>
          <w:szCs w:val="22"/>
        </w:rPr>
        <w:fldChar w:fldCharType="end"/>
      </w:r>
      <w:r>
        <w:rPr>
          <w:b/>
          <w:sz w:val="22"/>
          <w:szCs w:val="22"/>
        </w:rPr>
        <w:t>: Sinteza rezultatelor  (DS08B)</w:t>
      </w:r>
    </w:p>
    <w:tbl>
      <w:tblPr>
        <w:tblStyle w:val="TableGrid"/>
        <w:tblW w:w="0" w:type="auto"/>
        <w:tblLook w:val="04A0" w:firstRow="1" w:lastRow="0" w:firstColumn="1" w:lastColumn="0" w:noHBand="0" w:noVBand="1"/>
      </w:tblPr>
      <w:tblGrid>
        <w:gridCol w:w="5866"/>
        <w:gridCol w:w="1550"/>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DS09A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w:t>
            </w:r>
            <w:r w:rsidRPr="00804F1B">
              <w:rPr>
                <w:rFonts w:cs="Arial"/>
                <w:sz w:val="22"/>
                <w:szCs w:val="22"/>
              </w:rPr>
              <w:t>085 (+5%)</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0.3%</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+414 (+1%)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w:t>
            </w:r>
            <w:r>
              <w:rPr>
                <w:rFonts w:cs="Arial"/>
                <w:sz w:val="22"/>
                <w:szCs w:val="22"/>
              </w:rPr>
              <w:t>,</w:t>
            </w:r>
            <w:r w:rsidRPr="00804F1B">
              <w:rPr>
                <w:rFonts w:cs="Arial"/>
                <w:sz w:val="22"/>
                <w:szCs w:val="22"/>
              </w:rPr>
              <w:t>1%</w:t>
            </w:r>
          </w:p>
        </w:tc>
      </w:tr>
      <w:tr w:rsidR="00573AD5" w:rsidRPr="0076579A" w:rsidTr="0030066D">
        <w:trPr>
          <w:cantSplit/>
        </w:trPr>
        <w:tc>
          <w:tcPr>
            <w:tcW w:w="0" w:type="auto"/>
            <w:vAlign w:val="center"/>
          </w:tcPr>
          <w:p w:rsidR="00573AD5" w:rsidRPr="0076579A" w:rsidRDefault="003148A3"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w:t>
            </w:r>
            <w:r>
              <w:rPr>
                <w:rFonts w:cs="Arial"/>
                <w:b/>
                <w:sz w:val="22"/>
                <w:szCs w:val="22"/>
              </w:rPr>
              <w:t>633</w:t>
            </w:r>
          </w:p>
        </w:tc>
      </w:tr>
      <w:tr w:rsidR="00573AD5" w:rsidRPr="0076579A" w:rsidTr="0030066D">
        <w:trPr>
          <w:cantSplit/>
        </w:trPr>
        <w:tc>
          <w:tcPr>
            <w:tcW w:w="0" w:type="auto"/>
            <w:vAlign w:val="center"/>
          </w:tcPr>
          <w:p w:rsidR="00573AD5" w:rsidRPr="0076579A" w:rsidRDefault="003148A3"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w:t>
            </w:r>
            <w:r w:rsidRPr="00804F1B">
              <w:rPr>
                <w:rFonts w:cs="Arial"/>
                <w:b/>
                <w:sz w:val="22"/>
                <w:szCs w:val="22"/>
              </w:rPr>
              <w:t>2</w:t>
            </w:r>
            <w:r>
              <w:rPr>
                <w:rFonts w:cs="Arial"/>
                <w:b/>
                <w:sz w:val="22"/>
                <w:szCs w:val="22"/>
              </w:rPr>
              <w:t>5</w:t>
            </w:r>
          </w:p>
        </w:tc>
      </w:tr>
      <w:tr w:rsidR="00573AD5" w:rsidRPr="0076579A" w:rsidTr="0030066D">
        <w:trPr>
          <w:cantSplit/>
        </w:trPr>
        <w:tc>
          <w:tcPr>
            <w:tcW w:w="0" w:type="auto"/>
            <w:vAlign w:val="center"/>
          </w:tcPr>
          <w:p w:rsidR="00573AD5" w:rsidRPr="0076579A" w:rsidRDefault="003148A3"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w:t>
            </w:r>
            <w:r>
              <w:rPr>
                <w:rFonts w:cs="Arial"/>
                <w:b/>
                <w:sz w:val="22"/>
                <w:szCs w:val="22"/>
              </w:rPr>
              <w:t>,37</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475</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Garnituri de tren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7</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Default="00573AD5" w:rsidP="0030066D">
      <w:pPr>
        <w:pStyle w:val="Heading3"/>
        <w:spacing w:line="276" w:lineRule="auto"/>
        <w:rPr>
          <w:rFonts w:cs="Arial"/>
          <w:b/>
          <w:sz w:val="22"/>
          <w:szCs w:val="22"/>
        </w:rPr>
      </w:pPr>
      <w:r>
        <w:rPr>
          <w:rFonts w:cs="Arial"/>
          <w:sz w:val="22"/>
          <w:szCs w:val="22"/>
          <w:lang w:val="ro-RO"/>
        </w:rPr>
        <w:t xml:space="preserve">Figurile 5.73 și 5.74 </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Default="00573AD5" w:rsidP="0030066D">
      <w:pPr>
        <w:pStyle w:val="Heading3"/>
        <w:spacing w:line="276" w:lineRule="auto"/>
        <w:rPr>
          <w:rFonts w:cs="Arial"/>
          <w:b/>
          <w:sz w:val="22"/>
          <w:szCs w:val="22"/>
        </w:rPr>
      </w:pPr>
    </w:p>
    <w:p w:rsidR="00573AD5" w:rsidRDefault="00573AD5" w:rsidP="0030066D">
      <w:pPr>
        <w:pStyle w:val="Heading3"/>
        <w:spacing w:line="276" w:lineRule="auto"/>
        <w:rPr>
          <w:rFonts w:cs="Arial"/>
          <w:b/>
          <w:sz w:val="22"/>
          <w:szCs w:val="22"/>
        </w:rPr>
      </w:pPr>
      <w:r>
        <w:rPr>
          <w:rFonts w:cs="Arial"/>
          <w:b/>
          <w:sz w:val="22"/>
          <w:szCs w:val="22"/>
        </w:rPr>
        <w:t>Unitatea de implementare</w:t>
      </w:r>
    </w:p>
    <w:p w:rsidR="00573AD5" w:rsidRDefault="00573AD5" w:rsidP="00AE1AD4">
      <w:pPr>
        <w:pStyle w:val="Heading3"/>
        <w:spacing w:line="276" w:lineRule="auto"/>
        <w:jc w:val="both"/>
        <w:rPr>
          <w:rFonts w:cs="Arial"/>
          <w:sz w:val="22"/>
          <w:szCs w:val="22"/>
        </w:rPr>
      </w:pPr>
      <w:bookmarkStart w:id="528" w:name="_Toc413058164"/>
      <w:r>
        <w:rPr>
          <w:rFonts w:cs="Arial"/>
          <w:sz w:val="22"/>
          <w:szCs w:val="22"/>
        </w:rPr>
        <w:t>Acest proiect va fi implementat de CFR SA și de operatorii feroviari</w:t>
      </w:r>
      <w:bookmarkEnd w:id="528"/>
      <w:r>
        <w:rPr>
          <w:rFonts w:cs="Arial"/>
          <w:sz w:val="22"/>
          <w:szCs w:val="22"/>
        </w:rPr>
        <w:t xml:space="preserve"> </w:t>
      </w:r>
    </w:p>
    <w:p w:rsidR="00573AD5" w:rsidRDefault="00573AD5" w:rsidP="0030066D">
      <w:pPr>
        <w:pStyle w:val="Heading3"/>
        <w:spacing w:line="276" w:lineRule="auto"/>
        <w:rPr>
          <w:rFonts w:cs="Arial"/>
          <w:b/>
          <w:sz w:val="22"/>
          <w:szCs w:val="22"/>
        </w:rPr>
      </w:pPr>
      <w:r>
        <w:rPr>
          <w:rFonts w:cs="Arial"/>
          <w:b/>
          <w:sz w:val="22"/>
          <w:szCs w:val="22"/>
        </w:rPr>
        <w:t xml:space="preserve">Anii de implementare </w:t>
      </w:r>
    </w:p>
    <w:p w:rsidR="00573AD5" w:rsidRDefault="003148A3" w:rsidP="0030066D">
      <w:pPr>
        <w:spacing w:line="276" w:lineRule="auto"/>
        <w:rPr>
          <w:rFonts w:cs="Arial"/>
          <w:sz w:val="22"/>
          <w:szCs w:val="22"/>
        </w:rPr>
      </w:pPr>
      <w:r>
        <w:rPr>
          <w:rFonts w:cs="Arial"/>
          <w:sz w:val="22"/>
          <w:szCs w:val="22"/>
        </w:rPr>
        <w:t xml:space="preserve">S-a estimat că acest proiect se poate implementa până în </w:t>
      </w:r>
      <w:r w:rsidR="00573AD5">
        <w:rPr>
          <w:rFonts w:cs="Arial"/>
          <w:sz w:val="22"/>
          <w:szCs w:val="22"/>
        </w:rPr>
        <w:t>2030 dacă fodurile sunt asigurate .</w:t>
      </w:r>
    </w:p>
    <w:p w:rsidR="00573AD5" w:rsidRDefault="00573AD5" w:rsidP="0030066D">
      <w:pPr>
        <w:spacing w:line="276" w:lineRule="auto"/>
        <w:rPr>
          <w:rFonts w:cs="Arial"/>
          <w:sz w:val="22"/>
          <w:szCs w:val="22"/>
        </w:rPr>
      </w:pP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lastRenderedPageBreak/>
        <w:drawing>
          <wp:inline distT="0" distB="0" distL="0" distR="0">
            <wp:extent cx="5759450" cy="4053205"/>
            <wp:effectExtent l="0" t="0" r="0" b="4445"/>
            <wp:docPr id="454" name="Picture 330" descr="F:\Projects\Transport Planning - Romania UK GTMP\PUBLIC TRANSPORT\Rail\04_Plots\Rail_results\output\DS09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Projects\Transport Planning - Romania UK GTMP\PUBLIC TRANSPORT\Rail\04_Plots\Rail_results\output\DS09A_2030_change_pass.jpg"/>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73</w:t>
      </w:r>
      <w:r w:rsidR="003259E9">
        <w:rPr>
          <w:b/>
          <w:sz w:val="22"/>
          <w:szCs w:val="22"/>
        </w:rPr>
        <w:fldChar w:fldCharType="end"/>
      </w:r>
      <w:r>
        <w:rPr>
          <w:b/>
          <w:sz w:val="22"/>
          <w:szCs w:val="22"/>
        </w:rPr>
        <w:t>: Modificări ale cererii de transport călători    (DS09A)</w:t>
      </w:r>
    </w:p>
    <w:p w:rsidR="00573AD5" w:rsidRPr="00AE1AD4" w:rsidRDefault="00573AD5" w:rsidP="00AE1AD4">
      <w:pPr>
        <w:ind w:left="851"/>
        <w:rPr>
          <w:i/>
          <w:lang w:val="ro-RO"/>
        </w:rPr>
      </w:pPr>
      <w:bookmarkStart w:id="529" w:name="_Toc413058165"/>
      <w:r w:rsidRPr="00AE1AD4">
        <w:rPr>
          <w:i/>
          <w:lang w:val="ro-RO"/>
        </w:rPr>
        <w:t>Sursa: Analiza AECOM a rezultatelor Modelului Național de Transport</w:t>
      </w:r>
      <w:bookmarkEnd w:id="529"/>
    </w:p>
    <w:p w:rsidR="00573AD5" w:rsidRPr="00AE1AD4" w:rsidRDefault="00573AD5" w:rsidP="00AE1AD4">
      <w:pPr>
        <w:ind w:left="851"/>
        <w:rPr>
          <w:i/>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Este de așteptat ca proiectul să determine o creștere semnificativă a traficului de pasageri pentru secțiunea modernizată Baia Mare – Satu Mare, cererea fiind mai mult decât triplă după implementarea investiției. Au fost prognozate următoarele creșteri de trafic: 150% pentru Satu Mare - Oradea, 130% pentru Baia Mare - Dej și 45% pentru Dej – Cluj - Napoca.</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lastRenderedPageBreak/>
        <w:drawing>
          <wp:inline distT="0" distB="0" distL="0" distR="0">
            <wp:extent cx="5759450" cy="4053205"/>
            <wp:effectExtent l="0" t="0" r="0" b="4445"/>
            <wp:docPr id="455" name="Picture 329" descr="F:\Projects\Transport Planning - Romania UK GTMP\PUBLIC TRANSPORT\Rail\04_Plots\Rail_results\output\DS09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Projects\Transport Planning - Romania UK GTMP\PUBLIC TRANSPORT\Rail\04_Plots\Rail_results\output\DS09A_2030_change_freight.jpg"/>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74</w:t>
      </w:r>
      <w:r w:rsidR="003259E9">
        <w:rPr>
          <w:b/>
          <w:sz w:val="22"/>
          <w:szCs w:val="22"/>
        </w:rPr>
        <w:fldChar w:fldCharType="end"/>
      </w:r>
      <w:r>
        <w:rPr>
          <w:b/>
          <w:sz w:val="22"/>
          <w:szCs w:val="22"/>
        </w:rPr>
        <w:t>: Modificări ale cererii de transport marfă (DS09A)</w:t>
      </w:r>
    </w:p>
    <w:p w:rsidR="00573AD5" w:rsidRPr="00AE1AD4" w:rsidRDefault="00573AD5" w:rsidP="00AE1AD4">
      <w:pPr>
        <w:ind w:left="851"/>
        <w:rPr>
          <w:i/>
          <w:lang w:val="ro-RO"/>
        </w:rPr>
      </w:pPr>
      <w:bookmarkStart w:id="530" w:name="_Toc413058166"/>
      <w:r w:rsidRPr="00AE1AD4">
        <w:rPr>
          <w:i/>
          <w:lang w:val="ro-RO"/>
        </w:rPr>
        <w:t>Sursa: Analiza AECOM a rezultatelor Modelului Național de Transport</w:t>
      </w:r>
      <w:bookmarkEnd w:id="530"/>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Traficul de mărfuri în această alternativă crește în principal pe secțiunea Alba Iulia – Dej; în particular, cererea de transport de marfă va crește cu 130% pe sectorul Apahida – Dej. Este prognozată o creștere globală a traficului de marfă ca rezultat al implementării proiectului, impacturile fiind extinse până spre partea de est a țării.</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 xml:space="preserve">Se estimează că acest proiect va fi implementat  până în anul 2030, dacă finanțarea necesară va fi </w:t>
      </w:r>
      <w:r>
        <w:t>asigurată</w:t>
      </w:r>
      <w:r w:rsidRPr="0076579A">
        <w:t>.</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 a secțiunii București – Giurgiu via Grădiștea (Test DS10A)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 xml:space="preserve">Program de modernizare a secțiunii București – Giurgiu via Grădiștea. </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902 între București și Giurgiu.</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S-a considerat ca parte a Scenariului de Referință reconstrucția podului de pe râul Argeș, o intervenție din cadrul scenariului Do Minimum.</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București - Giurgiu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25900"/>
            <wp:effectExtent l="0" t="0" r="0" b="0"/>
            <wp:docPr id="456" name="Picture 328" descr="F:\Projects\Transport Planning - Romania UK GTMP\PUBLIC TRANSPORT\Rail\04_Plots\Do_Somthing_schemes\outputs\DoSomethingSchemes_DS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s\Transport Planning - Romania UK GTMP\PUBLIC TRANSPORT\Rail\04_Plots\Do_Somthing_schemes\outputs\DoSomethingSchemes_DS10A.jpg"/>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759450" cy="40259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75</w:t>
      </w:r>
      <w:r w:rsidR="003259E9">
        <w:rPr>
          <w:b/>
          <w:sz w:val="22"/>
          <w:szCs w:val="22"/>
        </w:rPr>
        <w:fldChar w:fldCharType="end"/>
      </w:r>
      <w:r>
        <w:rPr>
          <w:b/>
          <w:sz w:val="22"/>
          <w:szCs w:val="22"/>
        </w:rPr>
        <w:t>: Descrierea propunerilor de servicii (DS10A)</w:t>
      </w:r>
    </w:p>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rPr>
          <w:rFonts w:cs="Arial"/>
          <w:b/>
          <w:sz w:val="22"/>
          <w:szCs w:val="22"/>
          <w:lang w:val="ro-RO"/>
        </w:rPr>
      </w:pPr>
      <w:r w:rsidRPr="0076579A">
        <w:rPr>
          <w:rFonts w:cs="Arial"/>
          <w:b/>
          <w:sz w:val="22"/>
          <w:szCs w:val="22"/>
          <w:lang w:val="ro-RO"/>
        </w:rPr>
        <w:br w:type="page"/>
      </w:r>
    </w:p>
    <w:p w:rsidR="00573AD5" w:rsidRDefault="00573AD5" w:rsidP="0030066D">
      <w:pPr>
        <w:pStyle w:val="Heading3"/>
        <w:spacing w:line="276" w:lineRule="auto"/>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Pr>
                <w:rFonts w:cs="Arial"/>
                <w:b/>
                <w:sz w:val="22"/>
                <w:szCs w:val="22"/>
                <w:lang w:val="ro-RO"/>
              </w:rPr>
              <w:t>Pr</w:t>
            </w:r>
            <w:r w:rsidRPr="0076579A">
              <w:rPr>
                <w:rFonts w:cs="Arial"/>
                <w:b/>
                <w:sz w:val="22"/>
                <w:szCs w:val="22"/>
                <w:lang w:val="ro-RO"/>
              </w:rPr>
              <w:t>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Trenurile de pasageri sunt deviate în prezent prin Videle.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Localitățile de pe linia 902 nu au în prezent o conexiune feroviară directă către București. Timpii de parcurs pe ruta Giurgiu – București sunt în prezenți mult crescuți datorită ocolului prin Videle.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Giurgiu - București;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 Frecvențe insuficiente ale serviciilor între Grădiștea și Giurgiu.</w:t>
            </w:r>
          </w:p>
          <w:p w:rsidR="00573AD5" w:rsidRDefault="00573AD5" w:rsidP="00573AD5">
            <w:pPr>
              <w:pStyle w:val="Heading3"/>
              <w:spacing w:line="276" w:lineRule="auto"/>
              <w:rPr>
                <w:rFonts w:cs="Arial"/>
                <w:b/>
                <w:sz w:val="22"/>
                <w:szCs w:val="22"/>
                <w:lang w:val="ro-RO"/>
              </w:rPr>
            </w:pPr>
            <w:r w:rsidRPr="0076579A">
              <w:rPr>
                <w:sz w:val="22"/>
                <w:szCs w:val="22"/>
                <w:lang w:val="ro-RO"/>
              </w:rPr>
              <w:t>Capacitate limitată și sisteme de semnalizare redundante</w:t>
            </w: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50</w:t>
      </w:r>
      <w:r w:rsidR="003259E9">
        <w:rPr>
          <w:b/>
          <w:sz w:val="22"/>
          <w:szCs w:val="22"/>
        </w:rPr>
        <w:fldChar w:fldCharType="end"/>
      </w:r>
      <w:r>
        <w:rPr>
          <w:b/>
          <w:sz w:val="22"/>
          <w:szCs w:val="22"/>
        </w:rPr>
        <w:t>: Sinteza costurilor de operare și de infrastructură (DS10A)</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w:t>
            </w:r>
            <w:r>
              <w:rPr>
                <w:rFonts w:cs="Arial"/>
                <w:sz w:val="22"/>
                <w:szCs w:val="22"/>
              </w:rPr>
              <w:t>44</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168</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311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foarte bune (BCR = 4,20) dar și o creștere minimală a traficului de pasageri și marfă, de 3%, respectiv 1% pentru întreaga rețea (a se vedea tabelul următor):</w:t>
      </w:r>
    </w:p>
    <w:p w:rsidR="00573AD5" w:rsidRDefault="00573AD5" w:rsidP="0030066D">
      <w:pPr>
        <w:spacing w:line="276" w:lineRule="auto"/>
        <w:jc w:val="both"/>
        <w:rPr>
          <w:rFonts w:cs="Arial"/>
          <w:sz w:val="22"/>
          <w:szCs w:val="22"/>
          <w:lang w:val="ro-RO"/>
        </w:rPr>
      </w:pP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51</w:t>
      </w:r>
      <w:r w:rsidR="003259E9">
        <w:rPr>
          <w:b/>
          <w:sz w:val="22"/>
          <w:szCs w:val="22"/>
        </w:rPr>
        <w:fldChar w:fldCharType="end"/>
      </w:r>
      <w:r>
        <w:rPr>
          <w:b/>
          <w:sz w:val="22"/>
          <w:szCs w:val="22"/>
        </w:rPr>
        <w:t>: Modificări ale cererii de transport călători    (DS10A)</w:t>
      </w:r>
    </w:p>
    <w:tbl>
      <w:tblPr>
        <w:tblStyle w:val="TableGrid"/>
        <w:tblW w:w="0" w:type="auto"/>
        <w:tblLook w:val="04A0" w:firstRow="1" w:lastRow="0" w:firstColumn="1" w:lastColumn="0" w:noHBand="0" w:noVBand="1"/>
      </w:tblPr>
      <w:tblGrid>
        <w:gridCol w:w="5866"/>
        <w:gridCol w:w="1366"/>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ind w:left="720" w:hanging="720"/>
              <w:jc w:val="center"/>
              <w:rPr>
                <w:rFonts w:cs="Arial"/>
                <w:b/>
                <w:bCs/>
                <w:sz w:val="22"/>
                <w:szCs w:val="22"/>
                <w:lang w:val="ro-RO"/>
              </w:rPr>
            </w:pPr>
            <w:r w:rsidRPr="0076579A">
              <w:rPr>
                <w:rFonts w:cs="Arial"/>
                <w:b/>
                <w:bCs/>
                <w:sz w:val="22"/>
                <w:szCs w:val="22"/>
                <w:lang w:val="ro-RO"/>
              </w:rPr>
              <w:t>DS10A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+545 (+3%)</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0.2%</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+123 (+0%)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0.0%</w:t>
            </w:r>
          </w:p>
        </w:tc>
      </w:tr>
      <w:tr w:rsidR="00573AD5" w:rsidRPr="0076579A" w:rsidTr="0030066D">
        <w:trPr>
          <w:cantSplit/>
        </w:trPr>
        <w:tc>
          <w:tcPr>
            <w:tcW w:w="0" w:type="auto"/>
            <w:vAlign w:val="center"/>
          </w:tcPr>
          <w:p w:rsidR="00573AD5" w:rsidRPr="0076579A" w:rsidRDefault="003148A3"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335</w:t>
            </w:r>
          </w:p>
        </w:tc>
      </w:tr>
      <w:tr w:rsidR="00573AD5" w:rsidRPr="0076579A" w:rsidTr="0030066D">
        <w:trPr>
          <w:cantSplit/>
        </w:trPr>
        <w:tc>
          <w:tcPr>
            <w:tcW w:w="0" w:type="auto"/>
            <w:vAlign w:val="center"/>
          </w:tcPr>
          <w:p w:rsidR="00573AD5" w:rsidRPr="0076579A" w:rsidRDefault="003148A3"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4</w:t>
            </w:r>
            <w:r>
              <w:rPr>
                <w:rFonts w:cs="Arial"/>
                <w:b/>
                <w:sz w:val="22"/>
                <w:szCs w:val="22"/>
              </w:rPr>
              <w:t>,</w:t>
            </w:r>
            <w:r w:rsidRPr="00804F1B">
              <w:rPr>
                <w:rFonts w:cs="Arial"/>
                <w:b/>
                <w:sz w:val="22"/>
                <w:szCs w:val="22"/>
              </w:rPr>
              <w:t>20</w:t>
            </w:r>
          </w:p>
        </w:tc>
      </w:tr>
      <w:tr w:rsidR="00573AD5" w:rsidRPr="0076579A" w:rsidTr="0030066D">
        <w:trPr>
          <w:cantSplit/>
        </w:trPr>
        <w:tc>
          <w:tcPr>
            <w:tcW w:w="0" w:type="auto"/>
            <w:vAlign w:val="center"/>
          </w:tcPr>
          <w:p w:rsidR="00573AD5" w:rsidRPr="0076579A" w:rsidRDefault="003148A3"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14</w:t>
            </w:r>
            <w:r>
              <w:rPr>
                <w:rFonts w:cs="Arial"/>
                <w:b/>
                <w:sz w:val="22"/>
                <w:szCs w:val="22"/>
              </w:rPr>
              <w:t>,</w:t>
            </w:r>
            <w:r w:rsidRPr="00804F1B">
              <w:rPr>
                <w:rFonts w:cs="Arial"/>
                <w:b/>
                <w:sz w:val="22"/>
                <w:szCs w:val="22"/>
              </w:rPr>
              <w:t>67%</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vAlign w:val="center"/>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95</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Planșele de mai jos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53205"/>
            <wp:effectExtent l="0" t="0" r="0" b="4445"/>
            <wp:docPr id="457" name="Picture 327" descr="F:\Projects\Transport Planning - Romania UK GTMP\PUBLIC TRANSPORT\Rail\04_Plots\Rail_results\output\DS10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rojects\Transport Planning - Romania UK GTMP\PUBLIC TRANSPORT\Rail\04_Plots\Rail_results\output\DS10A_2030_change_pass.jpg"/>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76</w:t>
      </w:r>
      <w:r w:rsidR="003259E9">
        <w:rPr>
          <w:b/>
          <w:sz w:val="22"/>
          <w:szCs w:val="22"/>
        </w:rPr>
        <w:fldChar w:fldCharType="end"/>
      </w:r>
      <w:r>
        <w:rPr>
          <w:b/>
          <w:sz w:val="22"/>
          <w:szCs w:val="22"/>
        </w:rPr>
        <w:t>: Modificări ale cererii de transport călători    (DS10A)</w:t>
      </w:r>
    </w:p>
    <w:p w:rsidR="00573AD5" w:rsidRPr="00AE1AD4" w:rsidRDefault="00573AD5" w:rsidP="00AE1AD4">
      <w:pPr>
        <w:ind w:left="851"/>
        <w:rPr>
          <w:i/>
          <w:lang w:val="ro-RO"/>
        </w:rPr>
      </w:pPr>
      <w:bookmarkStart w:id="531" w:name="_Toc413058167"/>
      <w:r w:rsidRPr="00AE1AD4">
        <w:rPr>
          <w:i/>
          <w:lang w:val="ro-RO"/>
        </w:rPr>
        <w:t>Sursa: Analiza AECOM a rezultatelor Modelului Național de Transport</w:t>
      </w:r>
      <w:bookmarkEnd w:id="531"/>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lastRenderedPageBreak/>
        <w:t>Rezultatele acestui test evidențiază nivelul ridicat al cererii restricționate pe linia București – Giurgiu. Un grafic de mers la intervale regulate ar genera o creștere semnificativă a traficului de pasageri (185%) pe acest coridor, în comparație cu scenariul de referință.</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Reabilitarea liniei 902 va conduce la o creștere minoră a numărului de tone transportate, prognozele arătând o creștere între 5% și 10% a traficul pe secțiunea analizată.</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80510"/>
            <wp:effectExtent l="0" t="0" r="0" b="0"/>
            <wp:docPr id="458" name="Picture 326" descr="F:\Projects\Transport Planning - Romania UK GTMP\PUBLIC TRANSPORT\Rail\04_Plots\Rail_results\output\DS10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Projects\Transport Planning - Romania UK GTMP\PUBLIC TRANSPORT\Rail\04_Plots\Rail_results\output\DS10A_2030_change_freight.jpg"/>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5759450" cy="408051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77</w:t>
      </w:r>
      <w:r w:rsidR="003259E9">
        <w:rPr>
          <w:b/>
          <w:sz w:val="22"/>
          <w:szCs w:val="22"/>
        </w:rPr>
        <w:fldChar w:fldCharType="end"/>
      </w:r>
      <w:r>
        <w:rPr>
          <w:b/>
          <w:sz w:val="22"/>
          <w:szCs w:val="22"/>
        </w:rPr>
        <w:t>: Modificări ale cererii de transport marfă (DS10A)</w:t>
      </w:r>
    </w:p>
    <w:p w:rsidR="00573AD5" w:rsidRPr="00AE1AD4" w:rsidRDefault="00573AD5" w:rsidP="00AE1AD4">
      <w:pPr>
        <w:ind w:left="851"/>
        <w:rPr>
          <w:i/>
          <w:lang w:val="ro-RO"/>
        </w:rPr>
      </w:pPr>
      <w:bookmarkStart w:id="532" w:name="_Toc413058168"/>
      <w:r w:rsidRPr="00AE1AD4">
        <w:rPr>
          <w:i/>
          <w:lang w:val="ro-RO"/>
        </w:rPr>
        <w:t>Sursa: Analiza AECOM a rezultatelor Modelului Național de Transport</w:t>
      </w:r>
      <w:bookmarkEnd w:id="532"/>
    </w:p>
    <w:p w:rsidR="00573AD5" w:rsidRPr="0076579A" w:rsidRDefault="00573AD5" w:rsidP="0030066D">
      <w:pPr>
        <w:spacing w:line="276" w:lineRule="auto"/>
        <w:jc w:val="both"/>
        <w:rPr>
          <w:rFonts w:cs="Arial"/>
          <w:sz w:val="22"/>
          <w:szCs w:val="22"/>
          <w:lang w:val="ro-RO"/>
        </w:rPr>
      </w:pPr>
    </w:p>
    <w:p w:rsidR="00D37365"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pStyle w:val="Heading3"/>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Se estimează că acest proiect va fi implementat  până în anul 2020, dacă finanțarea necesară va fi disponibilă.</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 xml:space="preserve">Reabilitare la viteza de proiectare a secțiunii București – Giurgiu via Grădiștea </w:t>
      </w:r>
      <w:r w:rsidR="00D37365">
        <w:t>și electrificare</w:t>
      </w:r>
      <w:r w:rsidRPr="0076579A">
        <w:t>(Test DS10</w:t>
      </w:r>
      <w:r w:rsidR="00D37365">
        <w:t>B</w:t>
      </w:r>
      <w:r w:rsidRPr="0076579A">
        <w:t>)</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 xml:space="preserve">Program de modernizare a secțiunii București – Giurgiu via Grădiștea. </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902 între București și Giurgiu.</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S-a considerat ca parte a Scenariului de Referință reconstrucția podului de pe râul Argeș, o intervenție din cadrul scenariului Do Minimum.</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București - Giurgiu (0,5 trenuri pe oră).</w:t>
            </w:r>
          </w:p>
          <w:p w:rsidR="00573AD5" w:rsidRDefault="00573AD5" w:rsidP="00573AD5">
            <w:pPr>
              <w:pStyle w:val="Heading3"/>
              <w:spacing w:line="276" w:lineRule="auto"/>
              <w:rPr>
                <w:rFonts w:cs="Arial"/>
                <w:b/>
                <w:sz w:val="22"/>
                <w:szCs w:val="22"/>
                <w:lang w:val="ro-RO"/>
              </w:rPr>
            </w:pPr>
          </w:p>
        </w:tc>
      </w:tr>
    </w:tbl>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25900"/>
            <wp:effectExtent l="0" t="0" r="0" b="0"/>
            <wp:docPr id="983" name="Picture 328" descr="F:\Projects\Transport Planning - Romania UK GTMP\PUBLIC TRANSPORT\Rail\04_Plots\Do_Somthing_schemes\outputs\DoSomethingSchemes_DS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s\Transport Planning - Romania UK GTMP\PUBLIC TRANSPORT\Rail\04_Plots\Do_Somthing_schemes\outputs\DoSomethingSchemes_DS10A.jpg"/>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759450" cy="40259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78</w:t>
      </w:r>
      <w:r w:rsidR="003259E9">
        <w:rPr>
          <w:b/>
          <w:sz w:val="22"/>
          <w:szCs w:val="22"/>
        </w:rPr>
        <w:fldChar w:fldCharType="end"/>
      </w:r>
      <w:r>
        <w:rPr>
          <w:b/>
          <w:sz w:val="22"/>
          <w:szCs w:val="22"/>
        </w:rPr>
        <w:t>: Descrierea propunerilor de servicii (DS10B)</w:t>
      </w:r>
    </w:p>
    <w:p w:rsidR="00573AD5" w:rsidRPr="00AE1AD4" w:rsidRDefault="00573AD5" w:rsidP="00AE1AD4">
      <w:pPr>
        <w:ind w:left="851"/>
        <w:rPr>
          <w:i/>
          <w:lang w:val="ro-RO"/>
        </w:rPr>
      </w:pPr>
      <w:bookmarkStart w:id="533" w:name="_Toc413058169"/>
      <w:r w:rsidRPr="00AE1AD4">
        <w:rPr>
          <w:i/>
          <w:lang w:val="ro-RO"/>
        </w:rPr>
        <w:t>Sursa: Analiza AECOM a rezultatelor Modelului Național de Transport</w:t>
      </w:r>
      <w:bookmarkEnd w:id="533"/>
    </w:p>
    <w:p w:rsidR="00573AD5" w:rsidRPr="0076579A" w:rsidRDefault="00573AD5" w:rsidP="0030066D">
      <w:pPr>
        <w:rPr>
          <w:rFonts w:cs="Arial"/>
          <w:b/>
          <w:sz w:val="22"/>
          <w:szCs w:val="22"/>
          <w:lang w:val="ro-RO"/>
        </w:rPr>
      </w:pPr>
      <w:r w:rsidRPr="0076579A">
        <w:rPr>
          <w:rFonts w:cs="Arial"/>
          <w:b/>
          <w:sz w:val="22"/>
          <w:szCs w:val="22"/>
          <w:lang w:val="ro-RO"/>
        </w:rPr>
        <w:br w:type="page"/>
      </w:r>
    </w:p>
    <w:p w:rsidR="00573AD5" w:rsidRDefault="00573AD5" w:rsidP="0030066D">
      <w:pPr>
        <w:pStyle w:val="Heading3"/>
        <w:spacing w:line="276" w:lineRule="auto"/>
        <w:rPr>
          <w:rFonts w:cs="Arial"/>
          <w:b/>
          <w:sz w:val="22"/>
          <w:szCs w:val="22"/>
          <w:lang w:val="ro-RO"/>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Pr>
                <w:rFonts w:cs="Arial"/>
                <w:b/>
                <w:sz w:val="22"/>
                <w:szCs w:val="22"/>
                <w:lang w:val="ro-RO"/>
              </w:rPr>
              <w:t>Pr</w:t>
            </w:r>
            <w:r w:rsidRPr="0076579A">
              <w:rPr>
                <w:rFonts w:cs="Arial"/>
                <w:b/>
                <w:sz w:val="22"/>
                <w:szCs w:val="22"/>
                <w:lang w:val="ro-RO"/>
              </w:rPr>
              <w:t>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Trenurile de pasageri sunt deviate în prezent prin Videle.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Localitățile de pe linia 902 nu au în prezent o conexiune feroviară directă către București. Timpii de parcurs pe ruta Giurgiu – București sunt în prezenți mult crescuți datorită ocolului prin Videle.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scăzută a căii ferate pe conexiunea Giurgiu - București;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 Frecvențe insuficiente ale serviciilor între Grădiștea și Giurgiu.</w:t>
            </w:r>
          </w:p>
          <w:p w:rsidR="00573AD5" w:rsidRDefault="00573AD5" w:rsidP="00573AD5">
            <w:pPr>
              <w:pStyle w:val="Heading3"/>
              <w:spacing w:line="276" w:lineRule="auto"/>
              <w:rPr>
                <w:rFonts w:cs="Arial"/>
                <w:b/>
                <w:sz w:val="22"/>
                <w:szCs w:val="22"/>
                <w:lang w:val="ro-RO"/>
              </w:rPr>
            </w:pPr>
            <w:r w:rsidRPr="0076579A">
              <w:rPr>
                <w:sz w:val="22"/>
                <w:szCs w:val="22"/>
                <w:lang w:val="ro-RO"/>
              </w:rPr>
              <w:t>Capacitate limitată și sisteme de semnalizare redundante</w:t>
            </w: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52</w:t>
      </w:r>
      <w:r w:rsidR="003259E9">
        <w:rPr>
          <w:b/>
          <w:sz w:val="22"/>
          <w:szCs w:val="22"/>
        </w:rPr>
        <w:fldChar w:fldCharType="end"/>
      </w:r>
      <w:r>
        <w:rPr>
          <w:b/>
          <w:sz w:val="22"/>
          <w:szCs w:val="22"/>
        </w:rPr>
        <w:t>: Sinteza costurilor de operare și de infrastructură (DS10B)</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226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301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526</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 xml:space="preserve">Această intervenție oferă rezultate economice foarte bune (BCR = </w:t>
      </w:r>
      <w:r>
        <w:rPr>
          <w:rFonts w:cs="Arial"/>
          <w:sz w:val="22"/>
          <w:szCs w:val="22"/>
        </w:rPr>
        <w:t>2,68</w:t>
      </w:r>
      <w:r w:rsidRPr="0076579A">
        <w:rPr>
          <w:rFonts w:cs="Arial"/>
          <w:sz w:val="22"/>
          <w:szCs w:val="22"/>
          <w:lang w:val="ro-RO"/>
        </w:rPr>
        <w:t xml:space="preserve">) dar și o creștere minimală a traficului de pasageri și marfă, de 3%, respectiv 1% pentru întreaga rețea (a se vedea tabelul </w:t>
      </w:r>
      <w:r>
        <w:rPr>
          <w:rFonts w:cs="Arial"/>
          <w:sz w:val="22"/>
          <w:szCs w:val="22"/>
          <w:lang w:val="ro-RO"/>
        </w:rPr>
        <w:t>5.35</w:t>
      </w:r>
      <w:r w:rsidRPr="0076579A">
        <w:rPr>
          <w:rFonts w:cs="Arial"/>
          <w:sz w:val="22"/>
          <w:szCs w:val="22"/>
          <w:lang w:val="ro-RO"/>
        </w:rPr>
        <w:t>):</w:t>
      </w:r>
    </w:p>
    <w:p w:rsidR="00573AD5" w:rsidRDefault="00573AD5" w:rsidP="0030066D">
      <w:pPr>
        <w:spacing w:line="276" w:lineRule="auto"/>
        <w:jc w:val="both"/>
        <w:rPr>
          <w:rFonts w:cs="Arial"/>
          <w:sz w:val="22"/>
          <w:szCs w:val="22"/>
          <w:lang w:val="ro-RO"/>
        </w:rPr>
      </w:pP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53</w:t>
      </w:r>
      <w:r w:rsidR="003259E9">
        <w:rPr>
          <w:b/>
          <w:sz w:val="22"/>
          <w:szCs w:val="22"/>
        </w:rPr>
        <w:fldChar w:fldCharType="end"/>
      </w:r>
      <w:r>
        <w:rPr>
          <w:b/>
          <w:sz w:val="22"/>
          <w:szCs w:val="22"/>
        </w:rPr>
        <w:t>: Sinteza rezultatelor  (DS10B)</w:t>
      </w:r>
    </w:p>
    <w:tbl>
      <w:tblPr>
        <w:tblStyle w:val="TableGrid"/>
        <w:tblW w:w="0" w:type="auto"/>
        <w:tblLook w:val="04A0" w:firstRow="1" w:lastRow="0" w:firstColumn="1" w:lastColumn="0" w:noHBand="0" w:noVBand="1"/>
      </w:tblPr>
      <w:tblGrid>
        <w:gridCol w:w="5866"/>
        <w:gridCol w:w="1366"/>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ind w:left="720" w:hanging="720"/>
              <w:jc w:val="center"/>
              <w:rPr>
                <w:rFonts w:cs="Arial"/>
                <w:b/>
                <w:bCs/>
                <w:sz w:val="22"/>
                <w:szCs w:val="22"/>
                <w:lang w:val="ro-RO"/>
              </w:rPr>
            </w:pPr>
            <w:r w:rsidRPr="0076579A">
              <w:rPr>
                <w:rFonts w:cs="Arial"/>
                <w:b/>
                <w:bCs/>
                <w:sz w:val="22"/>
                <w:szCs w:val="22"/>
                <w:lang w:val="ro-RO"/>
              </w:rPr>
              <w:t>DS10A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+545 (+3%)</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0.2%</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+123 (+0%)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0.0%</w:t>
            </w:r>
          </w:p>
        </w:tc>
      </w:tr>
      <w:tr w:rsidR="00573AD5" w:rsidRPr="0076579A" w:rsidTr="0030066D">
        <w:trPr>
          <w:cantSplit/>
        </w:trPr>
        <w:tc>
          <w:tcPr>
            <w:tcW w:w="0" w:type="auto"/>
            <w:vAlign w:val="center"/>
          </w:tcPr>
          <w:p w:rsidR="00573AD5" w:rsidRPr="0076579A" w:rsidRDefault="00D37365"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347</w:t>
            </w:r>
          </w:p>
        </w:tc>
      </w:tr>
      <w:tr w:rsidR="00573AD5" w:rsidRPr="0076579A" w:rsidTr="0030066D">
        <w:trPr>
          <w:cantSplit/>
        </w:trPr>
        <w:tc>
          <w:tcPr>
            <w:tcW w:w="0" w:type="auto"/>
            <w:vAlign w:val="center"/>
          </w:tcPr>
          <w:p w:rsidR="00573AD5" w:rsidRPr="0076579A" w:rsidRDefault="00D37365"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2.68</w:t>
            </w:r>
          </w:p>
        </w:tc>
      </w:tr>
      <w:tr w:rsidR="00573AD5" w:rsidRPr="0076579A" w:rsidTr="0030066D">
        <w:trPr>
          <w:cantSplit/>
        </w:trPr>
        <w:tc>
          <w:tcPr>
            <w:tcW w:w="0" w:type="auto"/>
            <w:vAlign w:val="center"/>
          </w:tcPr>
          <w:p w:rsidR="00573AD5" w:rsidRPr="0076579A" w:rsidRDefault="00D37365"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6E166C">
              <w:rPr>
                <w:rFonts w:cs="Arial"/>
                <w:b/>
                <w:sz w:val="22"/>
                <w:szCs w:val="22"/>
              </w:rPr>
              <w:t>1</w:t>
            </w:r>
            <w:r>
              <w:rPr>
                <w:rFonts w:cs="Arial"/>
                <w:b/>
                <w:sz w:val="22"/>
                <w:szCs w:val="22"/>
              </w:rPr>
              <w:t>1,96</w:t>
            </w:r>
            <w:r w:rsidRPr="006E166C">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vAlign w:val="center"/>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95</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Default="00573AD5" w:rsidP="0030066D">
      <w:pPr>
        <w:spacing w:line="276" w:lineRule="auto"/>
        <w:rPr>
          <w:i/>
        </w:rPr>
      </w:pPr>
    </w:p>
    <w:p w:rsidR="00573AD5" w:rsidRDefault="00573AD5" w:rsidP="0030066D">
      <w:pPr>
        <w:spacing w:line="276" w:lineRule="auto"/>
        <w:jc w:val="both"/>
        <w:rPr>
          <w:rFonts w:cs="Arial"/>
          <w:sz w:val="22"/>
          <w:szCs w:val="22"/>
        </w:rPr>
      </w:pPr>
      <w:r>
        <w:rPr>
          <w:rFonts w:cs="Arial"/>
          <w:sz w:val="22"/>
          <w:szCs w:val="22"/>
        </w:rPr>
        <w:t>Modificările fluxurilor de pasageri și de marfă din acest test sunt similar cu cele din testul DS 10A.</w:t>
      </w:r>
    </w:p>
    <w:p w:rsidR="00573AD5" w:rsidRDefault="00573AD5" w:rsidP="0030066D">
      <w:pPr>
        <w:pStyle w:val="Heading3"/>
        <w:spacing w:line="276" w:lineRule="auto"/>
        <w:rPr>
          <w:rFonts w:cs="Arial"/>
          <w:b/>
          <w:sz w:val="22"/>
          <w:szCs w:val="22"/>
        </w:rPr>
      </w:pPr>
      <w:r>
        <w:rPr>
          <w:rFonts w:cs="Arial"/>
          <w:b/>
          <w:sz w:val="22"/>
          <w:szCs w:val="22"/>
        </w:rPr>
        <w:t>Unitatea de implementare</w:t>
      </w:r>
    </w:p>
    <w:p w:rsidR="00573AD5" w:rsidRPr="00AE1AD4" w:rsidRDefault="00573AD5" w:rsidP="00AE1AD4">
      <w:pPr>
        <w:pStyle w:val="Body"/>
        <w:ind w:left="0"/>
        <w:rPr>
          <w:rFonts w:cs="Arial"/>
          <w:i w:val="0"/>
        </w:rPr>
      </w:pPr>
      <w:bookmarkStart w:id="534" w:name="_Toc413058170"/>
      <w:r w:rsidRPr="00AE1AD4">
        <w:rPr>
          <w:rFonts w:cs="Arial"/>
          <w:i w:val="0"/>
        </w:rPr>
        <w:t>Acest proiect va fi implementat de CFR SA și de operatorii feroviari</w:t>
      </w:r>
      <w:bookmarkEnd w:id="534"/>
      <w:r w:rsidRPr="00AE1AD4">
        <w:rPr>
          <w:rFonts w:cs="Arial"/>
          <w:i w:val="0"/>
        </w:rPr>
        <w:t xml:space="preserve"> </w:t>
      </w:r>
    </w:p>
    <w:p w:rsidR="00573AD5" w:rsidRDefault="00573AD5" w:rsidP="0030066D">
      <w:pPr>
        <w:pStyle w:val="Heading3"/>
        <w:spacing w:line="276" w:lineRule="auto"/>
        <w:rPr>
          <w:rFonts w:cs="Arial"/>
          <w:b/>
          <w:sz w:val="22"/>
          <w:szCs w:val="22"/>
        </w:rPr>
      </w:pPr>
      <w:r>
        <w:rPr>
          <w:rFonts w:cs="Arial"/>
          <w:b/>
          <w:sz w:val="22"/>
          <w:szCs w:val="22"/>
        </w:rPr>
        <w:t xml:space="preserve">Anii de implementare </w:t>
      </w:r>
    </w:p>
    <w:p w:rsidR="00573AD5" w:rsidRPr="00AE1AD4" w:rsidRDefault="00573AD5" w:rsidP="0030066D">
      <w:pPr>
        <w:pStyle w:val="Body"/>
        <w:ind w:left="0"/>
        <w:rPr>
          <w:b/>
          <w:i w:val="0"/>
          <w:lang w:val="ro-RO"/>
        </w:rPr>
      </w:pPr>
      <w:r w:rsidRPr="00AE1AD4">
        <w:rPr>
          <w:rFonts w:cs="Arial"/>
          <w:i w:val="0"/>
        </w:rPr>
        <w:t xml:space="preserve">S-a estimat că proiectul ar putea fi implmementat până în 2020 dacă fodurile sunt asigurate </w:t>
      </w:r>
    </w:p>
    <w:p w:rsidR="00573AD5" w:rsidRDefault="00573AD5" w:rsidP="0030066D">
      <w:pPr>
        <w:rPr>
          <w:b/>
          <w:sz w:val="22"/>
          <w:szCs w:val="22"/>
          <w:lang w:val="ro-RO"/>
        </w:rPr>
      </w:pPr>
      <w:r>
        <w:rPr>
          <w:b/>
          <w:i/>
          <w:lang w:val="ro-RO"/>
        </w:rPr>
        <w:br w:type="page"/>
      </w:r>
    </w:p>
    <w:p w:rsidR="00573AD5" w:rsidRDefault="00573AD5" w:rsidP="0030066D">
      <w:pPr>
        <w:pStyle w:val="Body"/>
        <w:ind w:left="0"/>
        <w:rPr>
          <w:b/>
          <w:i w:val="0"/>
          <w:lang w:val="ro-RO"/>
        </w:rPr>
      </w:pPr>
    </w:p>
    <w:p w:rsidR="00573AD5" w:rsidRPr="0076579A" w:rsidRDefault="00573AD5" w:rsidP="0030066D">
      <w:pPr>
        <w:pStyle w:val="Hdg3"/>
      </w:pPr>
      <w:r w:rsidRPr="0076579A">
        <w:t>Reabilitare la viteza de proiectare a secțiunii TEN-T Core IV-N Craiova - Calafat (Test DS11A)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secțiunii Craiova – Calafat.Proiectul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912 între Craiova și Calafat.</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Craiova - Calafat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67175"/>
            <wp:effectExtent l="0" t="0" r="0" b="9525"/>
            <wp:docPr id="459" name="Picture 325" descr="F:\Projects\Transport Planning - Romania UK GTMP\PUBLIC TRANSPORT\Rail\04_Plots\Do_Somthing_schemes\outputs\DoSomethingSchemes_DS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jects\Transport Planning - Romania UK GTMP\PUBLIC TRANSPORT\Rail\04_Plots\Do_Somthing_schemes\outputs\DoSomethingSchemes_DS11A.jpg"/>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79</w:t>
      </w:r>
      <w:r w:rsidR="003259E9">
        <w:rPr>
          <w:b/>
          <w:sz w:val="22"/>
          <w:szCs w:val="22"/>
        </w:rPr>
        <w:fldChar w:fldCharType="end"/>
      </w:r>
      <w:r>
        <w:rPr>
          <w:b/>
          <w:sz w:val="22"/>
          <w:szCs w:val="22"/>
        </w:rPr>
        <w:t>: Descrierea propunerilor de servicii (DS11)</w:t>
      </w:r>
    </w:p>
    <w:p w:rsidR="00573AD5" w:rsidRPr="00AE1AD4" w:rsidRDefault="00573AD5" w:rsidP="00AE1AD4">
      <w:pPr>
        <w:ind w:left="851"/>
        <w:rPr>
          <w:i/>
          <w:lang w:val="ro-RO"/>
        </w:rPr>
      </w:pPr>
      <w:bookmarkStart w:id="535" w:name="_Toc413058171"/>
      <w:r w:rsidRPr="00AE1AD4">
        <w:rPr>
          <w:i/>
          <w:lang w:val="ro-RO"/>
        </w:rPr>
        <w:t>Sursa: Analiza AECOM a rezultatelor Modelului Național de Transport</w:t>
      </w:r>
      <w:bookmarkEnd w:id="535"/>
    </w:p>
    <w:p w:rsidR="00573AD5" w:rsidRDefault="00573AD5" w:rsidP="0030066D">
      <w:pPr>
        <w:pStyle w:val="Body"/>
      </w:pPr>
    </w:p>
    <w:p w:rsidR="00573AD5" w:rsidRDefault="00573AD5" w:rsidP="0030066D">
      <w:pPr>
        <w:rPr>
          <w:rFonts w:cs="Arial"/>
          <w:b/>
          <w:sz w:val="22"/>
          <w:szCs w:val="22"/>
          <w:lang w:val="ro-RO"/>
        </w:rPr>
      </w:pPr>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Timpii de parcurs pentru calea ferată sunt semnificativ mai mari decât pentru rețeaua rutieră.</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 xml:space="preserve">Întârzieri datorate stării tehnice precare a infrastructurii. Vitezele comerciale sunt mai mici decât cele de proiectare pe secțiunea Segarcea – Calafat. Deși viteza de proiectare a acestei secțiuni este de 80 km/h, serviciile de pasageri între Segarcea și Calafat sunt limitate la o viteză de 40 km/h. </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foarte scăzută a căii ferate pe conexiunea Craiova - Calafat;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reduse pe accesele către noul pod peste Dunăre la Calafat.</w:t>
            </w:r>
          </w:p>
          <w:p w:rsidR="00573AD5" w:rsidRDefault="00573AD5" w:rsidP="00573AD5">
            <w:pPr>
              <w:pStyle w:val="Heading3"/>
              <w:spacing w:line="276" w:lineRule="auto"/>
              <w:rPr>
                <w:rFonts w:cs="Arial"/>
                <w:b/>
                <w:sz w:val="22"/>
                <w:szCs w:val="22"/>
                <w:lang w:val="ro-RO"/>
              </w:rPr>
            </w:pP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54</w:t>
      </w:r>
      <w:r w:rsidR="003259E9">
        <w:rPr>
          <w:b/>
          <w:sz w:val="22"/>
          <w:szCs w:val="22"/>
        </w:rPr>
        <w:fldChar w:fldCharType="end"/>
      </w:r>
      <w:r>
        <w:rPr>
          <w:b/>
          <w:sz w:val="22"/>
          <w:szCs w:val="22"/>
        </w:rPr>
        <w:t>: Sinteza costurilor de operare și de infrastructură (DS11A)</w:t>
      </w:r>
    </w:p>
    <w:tbl>
      <w:tblPr>
        <w:tblStyle w:val="TableGrid"/>
        <w:tblW w:w="5000" w:type="pct"/>
        <w:tblLook w:val="04A0" w:firstRow="1" w:lastRow="0" w:firstColumn="1" w:lastColumn="0" w:noHBand="0" w:noVBand="1"/>
      </w:tblPr>
      <w:tblGrid>
        <w:gridCol w:w="1517"/>
        <w:gridCol w:w="2795"/>
        <w:gridCol w:w="6195"/>
      </w:tblGrid>
      <w:tr w:rsidR="00573AD5" w:rsidRPr="0076579A" w:rsidTr="00D37365">
        <w:trPr>
          <w:cantSplit/>
          <w:tblHeader/>
        </w:trPr>
        <w:tc>
          <w:tcPr>
            <w:tcW w:w="722"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DBE5F1" w:themeFill="accent1"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FE3980" w:rsidRDefault="00573AD5" w:rsidP="00573AD5">
            <w:pPr>
              <w:jc w:val="center"/>
              <w:rPr>
                <w:rFonts w:cs="Arial"/>
                <w:sz w:val="22"/>
                <w:szCs w:val="22"/>
                <w:lang w:val="ro-RO"/>
              </w:rPr>
            </w:pPr>
            <w:r>
              <w:rPr>
                <w:rFonts w:cs="Arial"/>
                <w:sz w:val="22"/>
                <w:szCs w:val="22"/>
              </w:rPr>
              <w:t>183</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55</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239</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r w:rsidRPr="00AE1AD4">
        <w:rPr>
          <w:i/>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medii (BCR = 0,91) dar și o creștere minimală a traficului de pasageri de 2% pentru întreaga rețea (a se vedea tabelul următor):</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55</w:t>
      </w:r>
      <w:r w:rsidR="003259E9">
        <w:rPr>
          <w:b/>
          <w:sz w:val="22"/>
          <w:szCs w:val="22"/>
        </w:rPr>
        <w:fldChar w:fldCharType="end"/>
      </w:r>
      <w:r>
        <w:rPr>
          <w:b/>
          <w:sz w:val="22"/>
          <w:szCs w:val="22"/>
        </w:rPr>
        <w:t>: Sinteza rezultatelor  (DS11A)</w:t>
      </w:r>
    </w:p>
    <w:tbl>
      <w:tblPr>
        <w:tblStyle w:val="TableGrid"/>
        <w:tblW w:w="0" w:type="auto"/>
        <w:tblLook w:val="04A0" w:firstRow="1" w:lastRow="0" w:firstColumn="1" w:lastColumn="0" w:noHBand="0" w:noVBand="1"/>
      </w:tblPr>
      <w:tblGrid>
        <w:gridCol w:w="5866"/>
        <w:gridCol w:w="1366"/>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ind w:left="720" w:hanging="720"/>
              <w:jc w:val="center"/>
              <w:rPr>
                <w:rFonts w:cs="Arial"/>
                <w:b/>
                <w:bCs/>
                <w:sz w:val="22"/>
                <w:szCs w:val="22"/>
                <w:lang w:val="ro-RO"/>
              </w:rPr>
            </w:pPr>
            <w:r w:rsidRPr="0076579A">
              <w:rPr>
                <w:rFonts w:cs="Arial"/>
                <w:b/>
                <w:bCs/>
                <w:sz w:val="22"/>
                <w:szCs w:val="22"/>
                <w:lang w:val="ro-RO"/>
              </w:rPr>
              <w:t>DS11A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+363 (+2%)</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+92 (+0%)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0.0%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NPV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w:t>
            </w:r>
            <w:r>
              <w:rPr>
                <w:rFonts w:cs="Arial"/>
                <w:b/>
                <w:sz w:val="22"/>
                <w:szCs w:val="22"/>
              </w:rPr>
              <w:t>12</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BCR</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0</w:t>
            </w:r>
            <w:r>
              <w:rPr>
                <w:rFonts w:cs="Arial"/>
                <w:b/>
                <w:sz w:val="22"/>
                <w:szCs w:val="22"/>
              </w:rPr>
              <w:t>,</w:t>
            </w:r>
            <w:r w:rsidRPr="00804F1B">
              <w:rPr>
                <w:rFonts w:cs="Arial"/>
                <w:b/>
                <w:sz w:val="22"/>
                <w:szCs w:val="22"/>
              </w:rPr>
              <w:t>91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b/>
                <w:sz w:val="22"/>
                <w:szCs w:val="22"/>
                <w:lang w:val="ro-RO"/>
              </w:rPr>
            </w:pPr>
            <w:r w:rsidRPr="0076579A">
              <w:rPr>
                <w:rFonts w:cs="Arial"/>
                <w:b/>
                <w:sz w:val="22"/>
                <w:szCs w:val="22"/>
                <w:lang w:val="ro-RO"/>
              </w:rPr>
              <w:t>EIRR</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4</w:t>
            </w:r>
            <w:r>
              <w:rPr>
                <w:rFonts w:cs="Arial"/>
                <w:b/>
                <w:sz w:val="22"/>
                <w:szCs w:val="22"/>
              </w:rPr>
              <w:t>,</w:t>
            </w:r>
            <w:r w:rsidRPr="00804F1B">
              <w:rPr>
                <w:rFonts w:cs="Arial"/>
                <w:b/>
                <w:sz w:val="22"/>
                <w:szCs w:val="22"/>
              </w:rPr>
              <w:t>47%</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115</w:t>
            </w:r>
          </w:p>
        </w:tc>
      </w:tr>
    </w:tbl>
    <w:p w:rsidR="00573AD5" w:rsidRPr="00AE1AD4" w:rsidRDefault="00573AD5" w:rsidP="00AE1AD4">
      <w:pPr>
        <w:ind w:left="851"/>
        <w:rPr>
          <w:i/>
          <w:lang w:val="ro-RO"/>
        </w:rPr>
      </w:pPr>
      <w:r w:rsidRPr="00AE1AD4">
        <w:rPr>
          <w:i/>
          <w:lang w:val="ro-RO"/>
        </w:rPr>
        <w:t>Sursa: Analiza AECOM a rezultatelor Modelului Național de Transport</w:t>
      </w: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sidRPr="0076579A">
        <w:rPr>
          <w:rFonts w:cs="Arial"/>
          <w:sz w:val="22"/>
          <w:szCs w:val="22"/>
          <w:lang w:val="ro-RO"/>
        </w:rPr>
        <w:t>Planșele de mai jos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759450" cy="4067175"/>
            <wp:effectExtent l="0" t="0" r="0" b="9525"/>
            <wp:docPr id="460" name="Picture 324" descr="F:\Projects\Transport Planning - Romania UK GTMP\PUBLIC TRANSPORT\Rail\04_Plots\Rail_results\output\DS11A_2030_change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Projects\Transport Planning - Romania UK GTMP\PUBLIC TRANSPORT\Rail\04_Plots\Rail_results\output\DS11A_2030_change_pass.jpg"/>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80</w:t>
      </w:r>
      <w:r w:rsidR="003259E9">
        <w:rPr>
          <w:b/>
          <w:sz w:val="22"/>
          <w:szCs w:val="22"/>
        </w:rPr>
        <w:fldChar w:fldCharType="end"/>
      </w:r>
      <w:r>
        <w:rPr>
          <w:b/>
          <w:sz w:val="22"/>
          <w:szCs w:val="22"/>
        </w:rPr>
        <w:t>: Modificări ale cererii de transport călători    (DS11A)</w:t>
      </w:r>
    </w:p>
    <w:p w:rsidR="00573AD5" w:rsidRPr="00AE1AD4" w:rsidRDefault="00573AD5" w:rsidP="00AE1AD4">
      <w:pPr>
        <w:ind w:left="851"/>
        <w:rPr>
          <w:i/>
          <w:lang w:val="ro-RO"/>
        </w:rPr>
      </w:pPr>
      <w:r w:rsidRPr="00AE1AD4">
        <w:rPr>
          <w:i/>
          <w:lang w:val="ro-RO"/>
        </w:rPr>
        <w:t>Sursa: Analiza AECOM a rezultatelor Modelului Național de Transport</w:t>
      </w:r>
    </w:p>
    <w:p w:rsidR="00573AD5" w:rsidRDefault="00573AD5" w:rsidP="0030066D">
      <w:pPr>
        <w:spacing w:line="276" w:lineRule="auto"/>
        <w:jc w:val="both"/>
        <w:rPr>
          <w:rFonts w:cs="Arial"/>
          <w:sz w:val="22"/>
          <w:szCs w:val="22"/>
          <w:lang w:val="ro-RO"/>
        </w:rPr>
      </w:pP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Intervențiile propuse vor conduce la o creștere semnificativă a traficului de pasageri, în termeni relativi, cererea din scenariul de referință este foarte scăzută ca rezultat al numeroaselor restricții de viteză existente pe această linie. Traficul de marfă va crește de 10-1</w:t>
      </w:r>
      <w:r>
        <w:rPr>
          <w:rFonts w:cs="Arial"/>
          <w:sz w:val="22"/>
          <w:szCs w:val="22"/>
          <w:lang w:val="ro-RO"/>
        </w:rPr>
        <w:t xml:space="preserve">2 </w:t>
      </w:r>
      <w:r w:rsidRPr="0076579A">
        <w:rPr>
          <w:rFonts w:cs="Arial"/>
          <w:sz w:val="22"/>
          <w:szCs w:val="22"/>
          <w:lang w:val="ro-RO"/>
        </w:rPr>
        <w:t>ori pe linia 912.</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drawing>
          <wp:inline distT="0" distB="0" distL="0" distR="0">
            <wp:extent cx="5814060" cy="4067175"/>
            <wp:effectExtent l="0" t="0" r="0" b="9525"/>
            <wp:docPr id="461" name="Picture 323" descr="F:\Projects\Transport Planning - Romania UK GTMP\PUBLIC TRANSPORT\Rail\04_Plots\Rail_results\output\DS11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Projects\Transport Planning - Romania UK GTMP\PUBLIC TRANSPORT\Rail\04_Plots\Rail_results\output\DS11A_2030_change_freight.jpg"/>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581406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81</w:t>
      </w:r>
      <w:r w:rsidR="003259E9">
        <w:rPr>
          <w:b/>
          <w:sz w:val="22"/>
          <w:szCs w:val="22"/>
        </w:rPr>
        <w:fldChar w:fldCharType="end"/>
      </w:r>
      <w:r>
        <w:rPr>
          <w:b/>
          <w:sz w:val="22"/>
          <w:szCs w:val="22"/>
        </w:rPr>
        <w:t>: Modificări ale cererii de transport marfă (DS11A)</w:t>
      </w:r>
    </w:p>
    <w:p w:rsidR="00573AD5" w:rsidRPr="00AE1AD4" w:rsidRDefault="00573AD5" w:rsidP="00AE1AD4">
      <w:pPr>
        <w:ind w:left="851"/>
        <w:rPr>
          <w:i/>
          <w:lang w:val="ro-RO"/>
        </w:rPr>
      </w:pPr>
      <w:bookmarkStart w:id="536" w:name="_Toc413058172"/>
      <w:r w:rsidRPr="00AE1AD4">
        <w:rPr>
          <w:i/>
          <w:lang w:val="ro-RO"/>
        </w:rPr>
        <w:t>Sursa: Analiza AECOM a rezultatelor Modelului Național de Transport</w:t>
      </w:r>
      <w:bookmarkEnd w:id="536"/>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Reabilitarea liniei va conduce la o creștere minoră a numărului de tone transportate. Conform celor observate din practică, traficul de mărfuri poate crește mai mult decât ratele prognozate dacă sunt implementate și alte măsuri de îmbunătățire.</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AE1AD4" w:rsidRDefault="00573AD5" w:rsidP="00AE1AD4">
      <w:pPr>
        <w:pStyle w:val="Body"/>
        <w:ind w:left="0"/>
        <w:rPr>
          <w:rFonts w:cs="Arial"/>
          <w:i w:val="0"/>
        </w:rPr>
      </w:pPr>
      <w:r w:rsidRPr="00AE1AD4">
        <w:rPr>
          <w:rFonts w:cs="Arial"/>
          <w:i w:val="0"/>
        </w:rPr>
        <w:t>Se estimează că acest proiect va fi implementat  până în anul 2020, dacă finanțarea necesară va fi asigurată</w:t>
      </w:r>
    </w:p>
    <w:p w:rsidR="00573AD5" w:rsidRPr="0076579A" w:rsidRDefault="00573AD5" w:rsidP="0030066D">
      <w:pPr>
        <w:rPr>
          <w:rFonts w:cs="Arial"/>
          <w:sz w:val="22"/>
          <w:szCs w:val="22"/>
          <w:lang w:val="ro-RO"/>
        </w:rPr>
      </w:pP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pStyle w:val="Hdg3"/>
      </w:pPr>
      <w:r w:rsidRPr="0076579A">
        <w:lastRenderedPageBreak/>
        <w:t>Reabilitare la viteza de proiectare</w:t>
      </w:r>
      <w:r>
        <w:t xml:space="preserve"> și electrificare</w:t>
      </w:r>
      <w:r w:rsidRPr="0076579A">
        <w:t xml:space="preserve"> a secțiunii TEN-T Core IV-N Craiova - Calafat (Test DS11</w:t>
      </w:r>
      <w:r>
        <w:t>B</w:t>
      </w:r>
      <w:r w:rsidRPr="0076579A">
        <w:t>)</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line="276" w:lineRule="auto"/>
              <w:jc w:val="both"/>
              <w:rPr>
                <w:rFonts w:cs="Arial"/>
                <w:sz w:val="22"/>
                <w:szCs w:val="22"/>
                <w:lang w:val="ro-RO"/>
              </w:rPr>
            </w:pPr>
            <w:r w:rsidRPr="0076579A">
              <w:rPr>
                <w:rFonts w:cs="Arial"/>
                <w:sz w:val="22"/>
                <w:szCs w:val="22"/>
                <w:lang w:val="ro-RO"/>
              </w:rPr>
              <w:t>Program de modernizare a secțiunii Craiova – Calafat.</w:t>
            </w:r>
          </w:p>
          <w:p w:rsidR="00573AD5" w:rsidRPr="0076579A" w:rsidRDefault="00573AD5" w:rsidP="00573AD5">
            <w:pPr>
              <w:spacing w:line="276" w:lineRule="auto"/>
              <w:rPr>
                <w:rFonts w:cs="Arial"/>
                <w:sz w:val="22"/>
                <w:szCs w:val="22"/>
                <w:lang w:val="ro-RO"/>
              </w:rPr>
            </w:pPr>
            <w:r w:rsidRPr="0076579A">
              <w:rPr>
                <w:rFonts w:cs="Arial"/>
                <w:sz w:val="22"/>
                <w:szCs w:val="22"/>
                <w:lang w:val="ro-RO"/>
              </w:rPr>
              <w:t>Proiectul include:</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Reabilitarea la viteza de proiectare a liniei 912 între Craiova și Calafat.</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Regim superior de întreținere, care să stopeze alte degradări ulterioare (ceea ce constituie o ipoteză de bază pentru toate testele efectuate în cadrul Scenariului Do Something)</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Îmbunătățirea sistemelor de semnalizare și comunicații pentru îmbunătățirea siguranței și eficienței.</w:t>
            </w:r>
          </w:p>
          <w:p w:rsidR="00573AD5" w:rsidRPr="0076579A" w:rsidRDefault="00573AD5" w:rsidP="00573AD5">
            <w:pPr>
              <w:pStyle w:val="ListParagraph"/>
              <w:numPr>
                <w:ilvl w:val="0"/>
                <w:numId w:val="68"/>
              </w:numPr>
              <w:spacing w:after="120" w:line="276" w:lineRule="auto"/>
              <w:contextualSpacing/>
              <w:rPr>
                <w:sz w:val="22"/>
                <w:szCs w:val="22"/>
                <w:lang w:val="ro-RO"/>
              </w:rPr>
            </w:pPr>
            <w:r w:rsidRPr="0076579A">
              <w:rPr>
                <w:sz w:val="22"/>
                <w:szCs w:val="22"/>
                <w:lang w:val="ro-RO"/>
              </w:rPr>
              <w:t>Grafic de mers cadențat pentru serviciile InterRegio, operat prin material rulant nou. Intervalele de succesiune propuse sunt: Craiova - Calafat (0,5 trenuri pe oră).</w:t>
            </w: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67175"/>
            <wp:effectExtent l="0" t="0" r="0" b="9525"/>
            <wp:docPr id="984" name="Picture 325" descr="F:\Projects\Transport Planning - Romania UK GTMP\PUBLIC TRANSPORT\Rail\04_Plots\Do_Somthing_schemes\outputs\DoSomethingSchemes_DS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jects\Transport Planning - Romania UK GTMP\PUBLIC TRANSPORT\Rail\04_Plots\Do_Somthing_schemes\outputs\DoSomethingSchemes_DS11A.jpg"/>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82</w:t>
      </w:r>
      <w:r w:rsidR="003259E9">
        <w:rPr>
          <w:b/>
          <w:sz w:val="22"/>
          <w:szCs w:val="22"/>
        </w:rPr>
        <w:fldChar w:fldCharType="end"/>
      </w:r>
      <w:r>
        <w:rPr>
          <w:b/>
          <w:sz w:val="22"/>
          <w:szCs w:val="22"/>
        </w:rPr>
        <w:t>: Description of the Service Proposals (DS11B)</w:t>
      </w:r>
    </w:p>
    <w:p w:rsidR="00573AD5" w:rsidRPr="00AE1AD4" w:rsidRDefault="00573AD5" w:rsidP="00AE1AD4">
      <w:pPr>
        <w:ind w:left="851"/>
        <w:rPr>
          <w:i/>
          <w:lang w:val="ro-RO"/>
        </w:rPr>
      </w:pPr>
      <w:bookmarkStart w:id="537" w:name="_Toc413058173"/>
      <w:r w:rsidRPr="00AE1AD4">
        <w:rPr>
          <w:i/>
          <w:lang w:val="ro-RO"/>
        </w:rPr>
        <w:t>Sursa: Analiza AECOM a rezultatelor Modelului Național de Transport</w:t>
      </w:r>
      <w:bookmarkEnd w:id="537"/>
    </w:p>
    <w:p w:rsidR="00573AD5" w:rsidRDefault="00573AD5" w:rsidP="0030066D">
      <w:pPr>
        <w:rPr>
          <w:rFonts w:cs="Arial"/>
          <w:b/>
          <w:sz w:val="22"/>
          <w:szCs w:val="22"/>
          <w:lang w:val="ro-RO"/>
        </w:rPr>
      </w:pPr>
    </w:p>
    <w:p w:rsidR="00573AD5" w:rsidRPr="0076579A" w:rsidRDefault="00573AD5" w:rsidP="0030066D">
      <w:pPr>
        <w:rPr>
          <w:rFonts w:cs="Arial"/>
          <w:b/>
          <w:sz w:val="22"/>
          <w:szCs w:val="22"/>
          <w:lang w:val="ro-RO"/>
        </w:rPr>
      </w:pPr>
      <w:r w:rsidRPr="0076579A">
        <w:rPr>
          <w:rFonts w:cs="Arial"/>
          <w:b/>
          <w:sz w:val="22"/>
          <w:szCs w:val="22"/>
          <w:lang w:val="ro-RO"/>
        </w:rPr>
        <w:br w:type="page"/>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lastRenderedPageBreak/>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Timpii de parcurs pentru calea ferată sunt semnificativ mai mari decât pentru rețeaua rutieră.</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 xml:space="preserve">Întârzieri datorate stării tehnice precare a infrastructurii. Vitezele comerciale sunt mai mici decât cele de proiectare pe secțiunea Segarcea – Calafat. Deși viteza de proiectare a acestei secțiuni este de 80 km/h, serviciile de pasageri între Segarcea și Calafat sunt limitate la o viteză de 40 km/h. </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foarte scăzută a căii ferate pe conexiunea Craiova - Calafat; există un potențial important de creștere a traficului de pasageri pe acest coridor.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și facilități oferite în stațiile CF aflate într-o stare precară, ceea ce reprezintă o deficiență la nivelul întregii rețele feroviare naționale.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reduse pe accesele către noul pod peste Dunăre la Calafat.</w:t>
            </w:r>
          </w:p>
          <w:p w:rsidR="00573AD5" w:rsidRDefault="00573AD5" w:rsidP="00573AD5">
            <w:pPr>
              <w:pStyle w:val="Heading3"/>
              <w:spacing w:line="276" w:lineRule="auto"/>
              <w:rPr>
                <w:rFonts w:cs="Arial"/>
                <w:b/>
                <w:sz w:val="22"/>
                <w:szCs w:val="22"/>
                <w:lang w:val="ro-RO"/>
              </w:rPr>
            </w:pPr>
          </w:p>
        </w:tc>
      </w:tr>
    </w:tbl>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56</w:t>
      </w:r>
      <w:r w:rsidR="003259E9">
        <w:rPr>
          <w:b/>
          <w:sz w:val="22"/>
          <w:szCs w:val="22"/>
        </w:rPr>
        <w:fldChar w:fldCharType="end"/>
      </w:r>
      <w:r>
        <w:rPr>
          <w:b/>
          <w:sz w:val="22"/>
          <w:szCs w:val="22"/>
        </w:rPr>
        <w:t xml:space="preserve">: Sinteza costurilor de operare și de infrastructură </w:t>
      </w: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271</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252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524</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r w:rsidRPr="00AE1AD4">
        <w:rPr>
          <w:i/>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medii (BCR = 0,</w:t>
      </w:r>
      <w:r>
        <w:rPr>
          <w:rFonts w:cs="Arial"/>
          <w:sz w:val="22"/>
          <w:szCs w:val="22"/>
          <w:lang w:val="ro-RO"/>
        </w:rPr>
        <w:t>64</w:t>
      </w:r>
      <w:r w:rsidRPr="0076579A">
        <w:rPr>
          <w:rFonts w:cs="Arial"/>
          <w:sz w:val="22"/>
          <w:szCs w:val="22"/>
          <w:lang w:val="ro-RO"/>
        </w:rPr>
        <w:t xml:space="preserve">) dar și o creștere minimală a traficului de pasageri de 2% pentru întreaga rețea (a se vedea tabelul </w:t>
      </w:r>
      <w:r>
        <w:rPr>
          <w:rFonts w:cs="Arial"/>
          <w:sz w:val="22"/>
          <w:szCs w:val="22"/>
          <w:lang w:val="ro-RO"/>
        </w:rPr>
        <w:t>5.57</w:t>
      </w:r>
      <w:r w:rsidRPr="0076579A">
        <w:rPr>
          <w:rFonts w:cs="Arial"/>
          <w:sz w:val="22"/>
          <w:szCs w:val="22"/>
          <w:lang w:val="ro-RO"/>
        </w:rPr>
        <w:t>):</w:t>
      </w: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57</w:t>
      </w:r>
      <w:r w:rsidR="003259E9">
        <w:rPr>
          <w:b/>
          <w:sz w:val="22"/>
          <w:szCs w:val="22"/>
        </w:rPr>
        <w:fldChar w:fldCharType="end"/>
      </w:r>
      <w:r>
        <w:rPr>
          <w:b/>
          <w:sz w:val="22"/>
          <w:szCs w:val="22"/>
        </w:rPr>
        <w:t>: Sinteza costurilor operaționale și de infrastructură</w:t>
      </w:r>
    </w:p>
    <w:tbl>
      <w:tblPr>
        <w:tblStyle w:val="TableGrid"/>
        <w:tblW w:w="0" w:type="auto"/>
        <w:tblLook w:val="04A0" w:firstRow="1" w:lastRow="0" w:firstColumn="1" w:lastColumn="0" w:noHBand="0" w:noVBand="1"/>
      </w:tblPr>
      <w:tblGrid>
        <w:gridCol w:w="5866"/>
        <w:gridCol w:w="1366"/>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ind w:left="720" w:hanging="720"/>
              <w:jc w:val="center"/>
              <w:rPr>
                <w:rFonts w:cs="Arial"/>
                <w:b/>
                <w:bCs/>
                <w:sz w:val="22"/>
                <w:szCs w:val="22"/>
                <w:lang w:val="ro-RO"/>
              </w:rPr>
            </w:pPr>
            <w:r w:rsidRPr="0076579A">
              <w:rPr>
                <w:rFonts w:cs="Arial"/>
                <w:b/>
                <w:bCs/>
                <w:sz w:val="22"/>
                <w:szCs w:val="22"/>
                <w:lang w:val="ro-RO"/>
              </w:rPr>
              <w:t>DS11A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+36</w:t>
            </w:r>
            <w:r>
              <w:rPr>
                <w:rFonts w:cs="Arial"/>
                <w:sz w:val="22"/>
                <w:szCs w:val="22"/>
              </w:rPr>
              <w:t>4</w:t>
            </w:r>
            <w:r w:rsidRPr="006E166C">
              <w:rPr>
                <w:rFonts w:cs="Arial"/>
                <w:sz w:val="22"/>
                <w:szCs w:val="22"/>
              </w:rPr>
              <w:t xml:space="preserve"> (+2%)</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0.1%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+92 (+0%)</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0.0%</w:t>
            </w:r>
          </w:p>
        </w:tc>
      </w:tr>
      <w:tr w:rsidR="00573AD5" w:rsidRPr="0076579A" w:rsidTr="0030066D">
        <w:trPr>
          <w:cantSplit/>
        </w:trPr>
        <w:tc>
          <w:tcPr>
            <w:tcW w:w="0" w:type="auto"/>
            <w:vAlign w:val="center"/>
          </w:tcPr>
          <w:p w:rsidR="00573AD5" w:rsidRPr="0076579A" w:rsidRDefault="00D37365"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6E166C">
              <w:rPr>
                <w:rFonts w:cs="Arial"/>
                <w:b/>
                <w:sz w:val="22"/>
                <w:szCs w:val="22"/>
              </w:rPr>
              <w:t>-</w:t>
            </w:r>
            <w:r>
              <w:rPr>
                <w:rFonts w:cs="Arial"/>
                <w:b/>
                <w:sz w:val="22"/>
                <w:szCs w:val="22"/>
              </w:rPr>
              <w:t>90</w:t>
            </w:r>
          </w:p>
        </w:tc>
      </w:tr>
      <w:tr w:rsidR="00573AD5" w:rsidRPr="0076579A" w:rsidTr="0030066D">
        <w:trPr>
          <w:cantSplit/>
        </w:trPr>
        <w:tc>
          <w:tcPr>
            <w:tcW w:w="0" w:type="auto"/>
            <w:vAlign w:val="center"/>
          </w:tcPr>
          <w:p w:rsidR="00573AD5" w:rsidRPr="0076579A" w:rsidRDefault="00D37365"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6E166C">
              <w:rPr>
                <w:rFonts w:cs="Arial"/>
                <w:b/>
                <w:sz w:val="22"/>
                <w:szCs w:val="22"/>
              </w:rPr>
              <w:t>0</w:t>
            </w:r>
            <w:r>
              <w:rPr>
                <w:rFonts w:cs="Arial"/>
                <w:b/>
                <w:sz w:val="22"/>
                <w:szCs w:val="22"/>
              </w:rPr>
              <w:t>,64</w:t>
            </w:r>
          </w:p>
        </w:tc>
      </w:tr>
      <w:tr w:rsidR="00573AD5" w:rsidRPr="0076579A" w:rsidTr="0030066D">
        <w:trPr>
          <w:cantSplit/>
        </w:trPr>
        <w:tc>
          <w:tcPr>
            <w:tcW w:w="0" w:type="auto"/>
            <w:vAlign w:val="center"/>
          </w:tcPr>
          <w:p w:rsidR="00573AD5" w:rsidRPr="0076579A" w:rsidRDefault="00D37365"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2,01</w:t>
            </w:r>
            <w:r w:rsidRPr="006E166C">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6E166C">
              <w:rPr>
                <w:rFonts w:cs="Arial"/>
                <w:sz w:val="22"/>
                <w:szCs w:val="22"/>
              </w:rPr>
              <w:t>115</w:t>
            </w:r>
          </w:p>
        </w:tc>
      </w:tr>
    </w:tbl>
    <w:p w:rsidR="00573AD5" w:rsidRPr="00AE1AD4" w:rsidRDefault="00573AD5" w:rsidP="00AE1AD4">
      <w:pPr>
        <w:ind w:left="851"/>
        <w:rPr>
          <w:i/>
          <w:lang w:val="ro-RO"/>
        </w:rPr>
      </w:pPr>
      <w:bookmarkStart w:id="538" w:name="_Toc413058174"/>
      <w:r w:rsidRPr="00AE1AD4">
        <w:rPr>
          <w:i/>
          <w:lang w:val="ro-RO"/>
        </w:rPr>
        <w:t>Sursa: Analiza AECOM a rezultatelor Modelului Național de Transport</w:t>
      </w:r>
      <w:bookmarkEnd w:id="538"/>
    </w:p>
    <w:p w:rsidR="00573AD5" w:rsidRPr="0076579A" w:rsidRDefault="00573AD5" w:rsidP="0030066D">
      <w:pPr>
        <w:spacing w:line="276" w:lineRule="auto"/>
        <w:rPr>
          <w:rFonts w:cs="Arial"/>
          <w:sz w:val="22"/>
          <w:szCs w:val="22"/>
          <w:lang w:val="ro-RO"/>
        </w:rPr>
      </w:pPr>
    </w:p>
    <w:p w:rsidR="00573AD5" w:rsidRDefault="00573AD5" w:rsidP="0030066D">
      <w:pPr>
        <w:pStyle w:val="Heading3"/>
        <w:spacing w:line="276" w:lineRule="auto"/>
        <w:jc w:val="both"/>
        <w:rPr>
          <w:rFonts w:cs="Arial"/>
          <w:sz w:val="22"/>
          <w:szCs w:val="22"/>
        </w:rPr>
      </w:pPr>
      <w:r>
        <w:rPr>
          <w:rFonts w:cs="Arial"/>
          <w:sz w:val="22"/>
          <w:szCs w:val="22"/>
        </w:rPr>
        <w:t xml:space="preserve">Modificările fluxurilor de pasageri și marfă din acest test sunt similar celor din testul DS11A. </w:t>
      </w:r>
    </w:p>
    <w:p w:rsidR="00573AD5" w:rsidRDefault="00573AD5" w:rsidP="0030066D">
      <w:pPr>
        <w:pStyle w:val="Heading3"/>
        <w:spacing w:line="276" w:lineRule="auto"/>
        <w:rPr>
          <w:rFonts w:cs="Arial"/>
          <w:b/>
          <w:sz w:val="22"/>
          <w:szCs w:val="22"/>
        </w:rPr>
      </w:pPr>
      <w:r>
        <w:rPr>
          <w:rFonts w:cs="Arial"/>
          <w:b/>
          <w:sz w:val="22"/>
          <w:szCs w:val="22"/>
        </w:rPr>
        <w:t>Unitatea de implementare</w:t>
      </w:r>
    </w:p>
    <w:p w:rsidR="00573AD5" w:rsidRPr="00AE1AD4" w:rsidRDefault="00573AD5" w:rsidP="00AE1AD4">
      <w:pPr>
        <w:pStyle w:val="Body"/>
        <w:ind w:left="0"/>
        <w:rPr>
          <w:rFonts w:cs="Arial"/>
          <w:i w:val="0"/>
        </w:rPr>
      </w:pPr>
      <w:bookmarkStart w:id="539" w:name="_Toc413058175"/>
      <w:r w:rsidRPr="00AE1AD4">
        <w:rPr>
          <w:rFonts w:cs="Arial"/>
          <w:i w:val="0"/>
        </w:rPr>
        <w:t>Acest proiect va fi implementat de CFR SA și de operatorii feroviari</w:t>
      </w:r>
      <w:bookmarkEnd w:id="539"/>
      <w:r w:rsidRPr="00AE1AD4">
        <w:rPr>
          <w:rFonts w:cs="Arial"/>
          <w:i w:val="0"/>
        </w:rPr>
        <w:t xml:space="preserve"> </w:t>
      </w:r>
    </w:p>
    <w:p w:rsidR="00573AD5" w:rsidRDefault="00573AD5" w:rsidP="0030066D">
      <w:pPr>
        <w:pStyle w:val="Heading3"/>
        <w:spacing w:line="276" w:lineRule="auto"/>
        <w:rPr>
          <w:rFonts w:cs="Arial"/>
          <w:b/>
          <w:sz w:val="22"/>
          <w:szCs w:val="22"/>
        </w:rPr>
      </w:pPr>
      <w:r>
        <w:rPr>
          <w:rFonts w:cs="Arial"/>
          <w:b/>
          <w:sz w:val="22"/>
          <w:szCs w:val="22"/>
        </w:rPr>
        <w:t xml:space="preserve">Anii de implementare </w:t>
      </w:r>
    </w:p>
    <w:p w:rsidR="00AE1AD4" w:rsidRPr="00AE1AD4" w:rsidRDefault="00AE1AD4" w:rsidP="00AE1AD4">
      <w:pPr>
        <w:pStyle w:val="Body"/>
        <w:ind w:left="0"/>
        <w:rPr>
          <w:rFonts w:cs="Arial"/>
          <w:i w:val="0"/>
        </w:rPr>
      </w:pPr>
      <w:r w:rsidRPr="00AE1AD4">
        <w:rPr>
          <w:rFonts w:cs="Arial"/>
          <w:i w:val="0"/>
        </w:rPr>
        <w:t>Se estimează că acest proiect va fi implementat  până în anul 2020, dacă finanțarea necesară va fi asigurată</w:t>
      </w:r>
    </w:p>
    <w:p w:rsidR="00573AD5" w:rsidRDefault="00573AD5" w:rsidP="0030066D">
      <w:pPr>
        <w:rPr>
          <w:b/>
          <w:sz w:val="22"/>
          <w:szCs w:val="22"/>
        </w:rPr>
      </w:pPr>
      <w:r>
        <w:rPr>
          <w:b/>
          <w:i/>
        </w:rPr>
        <w:br w:type="page"/>
      </w:r>
    </w:p>
    <w:p w:rsidR="00573AD5" w:rsidRDefault="00573AD5" w:rsidP="0030066D">
      <w:pPr>
        <w:pStyle w:val="Body"/>
        <w:ind w:left="0"/>
        <w:rPr>
          <w:b/>
          <w:i w:val="0"/>
          <w:lang w:val="ro-RO"/>
        </w:rPr>
      </w:pPr>
    </w:p>
    <w:p w:rsidR="00573AD5" w:rsidRPr="0076579A" w:rsidRDefault="00573AD5" w:rsidP="0030066D">
      <w:pPr>
        <w:pStyle w:val="Hdg3"/>
      </w:pPr>
      <w:r w:rsidRPr="0076579A">
        <w:t>Scenariul combinat (Test DS99A)</w:t>
      </w: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pStyle w:val="Heading3"/>
              <w:spacing w:line="276" w:lineRule="auto"/>
              <w:rPr>
                <w:rFonts w:cs="Arial"/>
                <w:b/>
                <w:sz w:val="22"/>
                <w:szCs w:val="22"/>
                <w:lang w:val="ro-RO"/>
              </w:rPr>
            </w:pPr>
            <w:r w:rsidRPr="0076579A">
              <w:rPr>
                <w:rFonts w:cs="Arial"/>
                <w:b/>
                <w:sz w:val="22"/>
                <w:szCs w:val="22"/>
                <w:lang w:val="ro-RO"/>
              </w:rPr>
              <w:t>Descrierea propunerii</w:t>
            </w:r>
          </w:p>
          <w:p w:rsidR="00573AD5" w:rsidRPr="0076579A" w:rsidRDefault="00573AD5" w:rsidP="00573AD5">
            <w:pPr>
              <w:spacing w:after="120" w:line="276" w:lineRule="auto"/>
              <w:contextualSpacing/>
              <w:jc w:val="both"/>
              <w:rPr>
                <w:sz w:val="22"/>
                <w:szCs w:val="22"/>
                <w:lang w:val="ro-RO"/>
              </w:rPr>
            </w:pPr>
            <w:r w:rsidRPr="0076579A">
              <w:rPr>
                <w:sz w:val="22"/>
                <w:szCs w:val="22"/>
                <w:lang w:val="ro-RO"/>
              </w:rPr>
              <w:t xml:space="preserve">Acest sens include cele mai bune alternative pentru fiecare coridor analizat, cu scopul evaluării sinergiilor și incompatibilităților. Un scenariu combinat care include un grafic de mers la intervale regulate, cu frecvențe crescute pe mai multe coridoare ar permite dezvoltarea rolului nodurilor feroviare, oferind pasagerilor o alternativă mai fiabilă de transport. Acest test include proiectele incluse în testele </w:t>
            </w:r>
            <w:r w:rsidRPr="0076579A">
              <w:rPr>
                <w:rFonts w:cs="Arial"/>
                <w:sz w:val="22"/>
                <w:szCs w:val="22"/>
                <w:lang w:val="ro-RO"/>
              </w:rPr>
              <w:t>DS01A, DS02A, DS03A, DS04A, DS05B, DS06A, DS07A, DS08A, DS09A, DS10A și DS11A. DS07A a fost selectat ca și alternative recomandată, în detrimentul opțiunii DS07B, datorită valorii superioare a NPV; creșterea redusă a traficului în acest scenario nu justifică costul de construcție mai mare pentru DS07B.</w:t>
            </w:r>
          </w:p>
          <w:p w:rsidR="00573AD5" w:rsidRPr="0076579A" w:rsidRDefault="00573AD5" w:rsidP="00573AD5">
            <w:pPr>
              <w:spacing w:after="120" w:line="276" w:lineRule="auto"/>
              <w:contextualSpacing/>
              <w:rPr>
                <w:sz w:val="22"/>
                <w:szCs w:val="22"/>
                <w:lang w:val="ro-RO"/>
              </w:rPr>
            </w:pPr>
          </w:p>
          <w:p w:rsidR="00573AD5" w:rsidRDefault="00573AD5" w:rsidP="00573AD5">
            <w:pPr>
              <w:pStyle w:val="Heading3"/>
              <w:spacing w:line="276" w:lineRule="auto"/>
              <w:rPr>
                <w:rFonts w:cs="Arial"/>
                <w:b/>
                <w:sz w:val="22"/>
                <w:szCs w:val="22"/>
                <w:lang w:val="ro-RO"/>
              </w:rPr>
            </w:pPr>
          </w:p>
        </w:tc>
      </w:tr>
    </w:tbl>
    <w:p w:rsidR="00573AD5" w:rsidRDefault="00573AD5" w:rsidP="0030066D">
      <w:pPr>
        <w:pStyle w:val="Heading3"/>
        <w:spacing w:line="276" w:lineRule="auto"/>
        <w:rPr>
          <w:rFonts w:cs="Arial"/>
          <w:b/>
          <w:sz w:val="22"/>
          <w:szCs w:val="22"/>
          <w:lang w:val="ro-RO"/>
        </w:rPr>
      </w:pPr>
    </w:p>
    <w:p w:rsidR="00573AD5" w:rsidRPr="0076579A" w:rsidRDefault="00573AD5" w:rsidP="0030066D">
      <w:pPr>
        <w:spacing w:after="120" w:line="276" w:lineRule="auto"/>
        <w:contextualSpacing/>
        <w:rPr>
          <w:sz w:val="22"/>
          <w:szCs w:val="22"/>
          <w:lang w:val="ro-RO"/>
        </w:rPr>
      </w:pPr>
    </w:p>
    <w:p w:rsidR="00573AD5" w:rsidRPr="0076579A" w:rsidRDefault="00573AD5" w:rsidP="0030066D">
      <w:pPr>
        <w:spacing w:line="276" w:lineRule="auto"/>
        <w:rPr>
          <w:rFonts w:cs="Arial"/>
          <w:sz w:val="22"/>
          <w:szCs w:val="22"/>
          <w:lang w:val="ro-RO"/>
        </w:rPr>
      </w:pPr>
      <w:r>
        <w:rPr>
          <w:rFonts w:cs="Arial"/>
          <w:noProof/>
          <w:sz w:val="22"/>
          <w:szCs w:val="22"/>
          <w:lang w:val="ro-RO" w:eastAsia="ro-RO"/>
        </w:rPr>
        <w:drawing>
          <wp:inline distT="0" distB="0" distL="0" distR="0">
            <wp:extent cx="5759450" cy="4053205"/>
            <wp:effectExtent l="0" t="0" r="0" b="4445"/>
            <wp:docPr id="462" name="Picture 322" descr="F:\Projects\Transport Planning - Romania UK GTMP\PUBLIC TRANSPORT\Rail\04_Plots\Do_Somthing_schemes\outputs\DoSomethingSchemes_DS9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jects\Transport Planning - Romania UK GTMP\PUBLIC TRANSPORT\Rail\04_Plots\Do_Somthing_schemes\outputs\DoSomethingSchemes_DS99A.jpg"/>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5759450" cy="4053205"/>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bCs w:val="0"/>
          <w:sz w:val="22"/>
          <w:szCs w:val="22"/>
        </w:rPr>
        <w:fldChar w:fldCharType="begin"/>
      </w:r>
      <w:r>
        <w:rPr>
          <w:b/>
          <w:sz w:val="22"/>
          <w:szCs w:val="22"/>
        </w:rPr>
        <w:instrText xml:space="preserve"> SEQ Figure \* ARABIC </w:instrText>
      </w:r>
      <w:r w:rsidR="003259E9">
        <w:rPr>
          <w:b/>
          <w:bCs w:val="0"/>
          <w:sz w:val="22"/>
          <w:szCs w:val="22"/>
        </w:rPr>
        <w:fldChar w:fldCharType="separate"/>
      </w:r>
      <w:r>
        <w:rPr>
          <w:b/>
          <w:sz w:val="22"/>
          <w:szCs w:val="22"/>
        </w:rPr>
        <w:t>83</w:t>
      </w:r>
      <w:r w:rsidR="003259E9">
        <w:rPr>
          <w:b/>
          <w:bCs w:val="0"/>
          <w:sz w:val="22"/>
          <w:szCs w:val="22"/>
        </w:rPr>
        <w:fldChar w:fldCharType="end"/>
      </w:r>
      <w:r>
        <w:rPr>
          <w:b/>
          <w:sz w:val="22"/>
          <w:szCs w:val="22"/>
        </w:rPr>
        <w:t>: Sinteza Propunerilor de servicii (DS99A)</w:t>
      </w:r>
    </w:p>
    <w:p w:rsidR="00573AD5" w:rsidRPr="00AE1AD4" w:rsidRDefault="00573AD5" w:rsidP="00AE1AD4">
      <w:pPr>
        <w:ind w:left="851"/>
        <w:rPr>
          <w:i/>
          <w:lang w:val="ro-RO"/>
        </w:rPr>
      </w:pPr>
      <w:bookmarkStart w:id="540" w:name="_Toc413058177"/>
      <w:r w:rsidRPr="00AE1AD4">
        <w:rPr>
          <w:i/>
          <w:lang w:val="ro-RO"/>
        </w:rPr>
        <w:t>Sursa: Analiza AECOM a rezultatelor Modelului Național de Transport</w:t>
      </w:r>
      <w:bookmarkEnd w:id="540"/>
    </w:p>
    <w:p w:rsidR="00573AD5" w:rsidRDefault="00573AD5" w:rsidP="0030066D">
      <w:pPr>
        <w:outlineLvl w:val="0"/>
        <w:rPr>
          <w:i/>
        </w:rPr>
      </w:pPr>
    </w:p>
    <w:tbl>
      <w:tblPr>
        <w:tblStyle w:val="TableGrid"/>
        <w:tblW w:w="0" w:type="auto"/>
        <w:shd w:val="clear" w:color="auto" w:fill="C6D9F1" w:themeFill="text2" w:themeFillTint="33"/>
        <w:tblLook w:val="04A0" w:firstRow="1" w:lastRow="0" w:firstColumn="1" w:lastColumn="0" w:noHBand="0" w:noVBand="1"/>
      </w:tblPr>
      <w:tblGrid>
        <w:gridCol w:w="10507"/>
      </w:tblGrid>
      <w:tr w:rsidR="00573AD5" w:rsidTr="0030066D">
        <w:tc>
          <w:tcPr>
            <w:tcW w:w="10507" w:type="dxa"/>
            <w:shd w:val="clear" w:color="auto" w:fill="C6D9F1" w:themeFill="text2" w:themeFillTint="33"/>
          </w:tcPr>
          <w:p w:rsidR="00573AD5" w:rsidRPr="0076579A" w:rsidRDefault="00573AD5" w:rsidP="00573AD5">
            <w:pPr>
              <w:rPr>
                <w:rFonts w:cs="Arial"/>
                <w:b/>
                <w:sz w:val="22"/>
                <w:szCs w:val="22"/>
                <w:lang w:val="ro-RO"/>
              </w:rPr>
            </w:pPr>
            <w:r w:rsidRPr="0076579A">
              <w:rPr>
                <w:rFonts w:cs="Arial"/>
                <w:b/>
                <w:sz w:val="22"/>
                <w:szCs w:val="22"/>
                <w:lang w:val="ro-RO"/>
              </w:rPr>
              <w:t>Probleme atinse</w:t>
            </w:r>
          </w:p>
          <w:p w:rsidR="00573AD5" w:rsidRPr="0076579A" w:rsidRDefault="00573AD5" w:rsidP="00573AD5">
            <w:pPr>
              <w:spacing w:line="276" w:lineRule="auto"/>
              <w:rPr>
                <w:rFonts w:cs="Arial"/>
                <w:sz w:val="22"/>
                <w:szCs w:val="22"/>
                <w:lang w:val="ro-RO"/>
              </w:rPr>
            </w:pPr>
            <w:r w:rsidRPr="0076579A">
              <w:rPr>
                <w:rFonts w:cs="Arial"/>
                <w:sz w:val="22"/>
                <w:szCs w:val="22"/>
                <w:lang w:val="ro-RO"/>
              </w:rPr>
              <w:t>Această intervenție se adresează următoarelor probleme/disfuncționalități:</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Starea tehnică precară a liniei, datorită subfinanțării lucrărilor de întreținere și reparații. Vitezele de circulație pentru trenurile de pasageri și marfă sunt reduse pentru mare parte din coridoarele analizate.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 xml:space="preserve">Întârzieri datorate stării tehnice precare a infrastructurii și a restricțiilor de viteză. În cele mai multe </w:t>
            </w:r>
            <w:r w:rsidRPr="0076579A">
              <w:rPr>
                <w:sz w:val="22"/>
                <w:szCs w:val="22"/>
                <w:lang w:val="ro-RO"/>
              </w:rPr>
              <w:lastRenderedPageBreak/>
              <w:t>cazuri vitezele comerciale sunt mai mici decât cele de proiectare.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Cotă de piață foarte scăzută a căii ferate și concurența din partea modului rutier.</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Material rulant într-o stare tehnică precară.</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Grafic de mers ineficient, ceea ce conduce la o productivitate scăzută a personalului și a materialului rulant. Timpi mari de întoarcere și tipare de oprire neregulate, ceea ce reprezintă o problemă generalizată la nivel național.</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Capacitate limitată și sisteme de semnalizare redundante.</w:t>
            </w:r>
          </w:p>
          <w:p w:rsidR="00573AD5" w:rsidRPr="0076579A" w:rsidRDefault="00573AD5" w:rsidP="00573AD5">
            <w:pPr>
              <w:pStyle w:val="ListParagraph"/>
              <w:numPr>
                <w:ilvl w:val="0"/>
                <w:numId w:val="69"/>
              </w:numPr>
              <w:spacing w:after="120" w:line="276" w:lineRule="auto"/>
              <w:contextualSpacing/>
              <w:rPr>
                <w:sz w:val="22"/>
                <w:szCs w:val="22"/>
                <w:lang w:val="ro-RO"/>
              </w:rPr>
            </w:pPr>
            <w:r w:rsidRPr="0076579A">
              <w:rPr>
                <w:sz w:val="22"/>
                <w:szCs w:val="22"/>
                <w:lang w:val="ro-RO"/>
              </w:rPr>
              <w:t>Viteze reduse pe accesele către noul pod peste Dunăre la Calafat.</w:t>
            </w:r>
          </w:p>
          <w:p w:rsidR="00573AD5" w:rsidRDefault="00573AD5" w:rsidP="00573AD5">
            <w:pPr>
              <w:rPr>
                <w:rFonts w:cs="Arial"/>
                <w:b/>
                <w:sz w:val="22"/>
                <w:szCs w:val="22"/>
                <w:lang w:val="ro-RO"/>
              </w:rPr>
            </w:pPr>
          </w:p>
        </w:tc>
      </w:tr>
    </w:tbl>
    <w:p w:rsidR="00573AD5" w:rsidRDefault="00573AD5" w:rsidP="0030066D">
      <w:pPr>
        <w:rPr>
          <w:rFonts w:cs="Arial"/>
          <w:b/>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Costuri neactualizate</w:t>
      </w:r>
    </w:p>
    <w:p w:rsidR="00573AD5" w:rsidRDefault="00573AD5" w:rsidP="0030066D">
      <w:pPr>
        <w:spacing w:line="276" w:lineRule="auto"/>
        <w:jc w:val="both"/>
        <w:rPr>
          <w:rFonts w:cs="Arial"/>
          <w:sz w:val="22"/>
          <w:szCs w:val="22"/>
          <w:lang w:val="ro-RO"/>
        </w:rPr>
      </w:pPr>
      <w:r w:rsidRPr="0076579A">
        <w:rPr>
          <w:rFonts w:cs="Arial"/>
          <w:sz w:val="22"/>
          <w:szCs w:val="22"/>
          <w:lang w:val="ro-RO"/>
        </w:rPr>
        <w:t>S-au estimat următoarele costuri implicate de realizarea proiectului, care exclud costurile cu întreținerea rețelei principale la nivelul la care degradările ulterioare sunt oprite.</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58</w:t>
      </w:r>
      <w:r w:rsidR="003259E9">
        <w:rPr>
          <w:b/>
          <w:sz w:val="22"/>
          <w:szCs w:val="22"/>
        </w:rPr>
        <w:fldChar w:fldCharType="end"/>
      </w:r>
      <w:r>
        <w:rPr>
          <w:b/>
          <w:sz w:val="22"/>
          <w:szCs w:val="22"/>
        </w:rPr>
        <w:t>: Sinteza costurilor de operare și de infrastructură (DS99A)</w:t>
      </w:r>
    </w:p>
    <w:p w:rsidR="00573AD5" w:rsidRPr="0076579A" w:rsidRDefault="00573AD5" w:rsidP="0030066D">
      <w:pPr>
        <w:spacing w:line="276" w:lineRule="auto"/>
        <w:jc w:val="both"/>
        <w:rPr>
          <w:rFonts w:cs="Arial"/>
          <w:sz w:val="22"/>
          <w:szCs w:val="22"/>
          <w:lang w:val="ro-RO"/>
        </w:rPr>
      </w:pPr>
    </w:p>
    <w:tbl>
      <w:tblPr>
        <w:tblStyle w:val="TableGrid"/>
        <w:tblW w:w="5000" w:type="pct"/>
        <w:tblLook w:val="04A0" w:firstRow="1" w:lastRow="0" w:firstColumn="1" w:lastColumn="0" w:noHBand="0" w:noVBand="1"/>
      </w:tblPr>
      <w:tblGrid>
        <w:gridCol w:w="1517"/>
        <w:gridCol w:w="2795"/>
        <w:gridCol w:w="6195"/>
      </w:tblGrid>
      <w:tr w:rsidR="00573AD5" w:rsidRPr="0076579A" w:rsidTr="0030066D">
        <w:trPr>
          <w:cantSplit/>
          <w:tblHeader/>
        </w:trPr>
        <w:tc>
          <w:tcPr>
            <w:tcW w:w="722"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Element</w:t>
            </w:r>
          </w:p>
        </w:tc>
        <w:tc>
          <w:tcPr>
            <w:tcW w:w="1330"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Costuri neactualizate (Milioane euro,</w:t>
            </w:r>
            <w:r w:rsidRPr="0076579A">
              <w:rPr>
                <w:rFonts w:cs="Arial"/>
                <w:b/>
                <w:bCs/>
                <w:sz w:val="22"/>
                <w:szCs w:val="22"/>
                <w:lang w:val="ro-RO"/>
              </w:rPr>
              <w:br/>
              <w:t>prețuri 2014)</w:t>
            </w:r>
          </w:p>
        </w:tc>
        <w:tc>
          <w:tcPr>
            <w:tcW w:w="2948" w:type="pct"/>
            <w:shd w:val="clear" w:color="auto" w:fill="C6D9F1" w:themeFill="text2" w:themeFillTint="33"/>
            <w:vAlign w:val="center"/>
          </w:tcPr>
          <w:p w:rsidR="00573AD5" w:rsidRPr="0076579A" w:rsidRDefault="00573AD5" w:rsidP="00573AD5">
            <w:pPr>
              <w:spacing w:line="276" w:lineRule="auto"/>
              <w:jc w:val="center"/>
              <w:rPr>
                <w:rFonts w:cs="Arial"/>
                <w:b/>
                <w:bCs/>
                <w:sz w:val="22"/>
                <w:szCs w:val="22"/>
                <w:lang w:val="ro-RO"/>
              </w:rPr>
            </w:pPr>
            <w:r w:rsidRPr="0076579A">
              <w:rPr>
                <w:rFonts w:cs="Arial"/>
                <w:b/>
                <w:bCs/>
                <w:sz w:val="22"/>
                <w:szCs w:val="22"/>
                <w:lang w:val="ro-RO"/>
              </w:rPr>
              <w:t>Descrierea intervențiilor incluse</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CAPEX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13.679</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liniei la vitezele de proiectare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rețelelor de alimentare cu energie, inclusiv introducerea sistemelor de recuperare a forței de frânare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Reabilitarea echipamentelor de semnalizare</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Material rulant nou</w:t>
            </w:r>
          </w:p>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Modernizarea stațiilor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OPEX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5.633</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Costuri suplimentare de operare a trenurilor</w:t>
            </w:r>
          </w:p>
        </w:tc>
      </w:tr>
      <w:tr w:rsidR="00573AD5" w:rsidRPr="0076579A" w:rsidTr="0030066D">
        <w:trPr>
          <w:cantSplit/>
        </w:trPr>
        <w:tc>
          <w:tcPr>
            <w:tcW w:w="722" w:type="pct"/>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Total </w:t>
            </w:r>
          </w:p>
        </w:tc>
        <w:tc>
          <w:tcPr>
            <w:tcW w:w="1330" w:type="pct"/>
            <w:vAlign w:val="center"/>
          </w:tcPr>
          <w:p w:rsidR="00573AD5" w:rsidRPr="0076579A" w:rsidRDefault="00573AD5" w:rsidP="00573AD5">
            <w:pPr>
              <w:spacing w:before="120" w:line="276" w:lineRule="auto"/>
              <w:ind w:left="720" w:hanging="720"/>
              <w:jc w:val="center"/>
              <w:rPr>
                <w:rFonts w:cs="Arial"/>
                <w:sz w:val="22"/>
                <w:szCs w:val="22"/>
                <w:lang w:val="ro-RO"/>
              </w:rPr>
            </w:pPr>
            <w:r>
              <w:rPr>
                <w:rFonts w:cs="Arial"/>
                <w:sz w:val="22"/>
                <w:szCs w:val="22"/>
              </w:rPr>
              <w:t>19.312</w:t>
            </w:r>
          </w:p>
        </w:tc>
        <w:tc>
          <w:tcPr>
            <w:tcW w:w="2948" w:type="pct"/>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CAPEX + OPEX</w:t>
            </w:r>
          </w:p>
        </w:tc>
      </w:tr>
    </w:tbl>
    <w:p w:rsidR="00573AD5" w:rsidRPr="00AE1AD4" w:rsidRDefault="00573AD5" w:rsidP="00AE1AD4">
      <w:pPr>
        <w:ind w:left="851"/>
        <w:rPr>
          <w:i/>
          <w:lang w:val="ro-RO"/>
        </w:rPr>
      </w:pPr>
      <w:r w:rsidRPr="00AE1AD4">
        <w:rPr>
          <w:i/>
          <w:lang w:val="ro-RO"/>
        </w:rPr>
        <w:t xml:space="preserve">Sursa: Analiza AECOM a datelor provenite de la CFR Marfă și CFR Călători  </w:t>
      </w:r>
    </w:p>
    <w:p w:rsidR="00573AD5" w:rsidRPr="0076579A" w:rsidRDefault="00573AD5" w:rsidP="0030066D">
      <w:pPr>
        <w:rPr>
          <w:rFonts w:cs="Arial"/>
          <w:sz w:val="22"/>
          <w:szCs w:val="22"/>
          <w:lang w:val="ro-RO"/>
        </w:rPr>
      </w:pPr>
      <w:r w:rsidRPr="0076579A">
        <w:rPr>
          <w:rFonts w:cs="Arial"/>
          <w:sz w:val="22"/>
          <w:szCs w:val="22"/>
          <w:lang w:val="ro-RO"/>
        </w:rPr>
        <w:br w:type="page"/>
      </w:r>
    </w:p>
    <w:p w:rsidR="00573AD5" w:rsidRPr="0076579A" w:rsidRDefault="00573AD5" w:rsidP="0030066D">
      <w:pPr>
        <w:spacing w:line="276" w:lineRule="auto"/>
        <w:rPr>
          <w:rFonts w:cs="Arial"/>
          <w:sz w:val="22"/>
          <w:szCs w:val="22"/>
          <w:lang w:val="ro-RO"/>
        </w:rPr>
      </w:pPr>
    </w:p>
    <w:p w:rsidR="00573AD5" w:rsidRPr="0076579A" w:rsidRDefault="00573AD5" w:rsidP="0030066D">
      <w:pPr>
        <w:pStyle w:val="Heading3"/>
        <w:spacing w:line="276" w:lineRule="auto"/>
        <w:rPr>
          <w:rFonts w:cs="Arial"/>
          <w:b/>
          <w:sz w:val="22"/>
          <w:szCs w:val="22"/>
          <w:lang w:val="ro-RO"/>
        </w:rPr>
      </w:pPr>
      <w:r w:rsidRPr="0076579A">
        <w:rPr>
          <w:rFonts w:cs="Arial"/>
          <w:b/>
          <w:sz w:val="22"/>
          <w:szCs w:val="22"/>
          <w:lang w:val="ro-RO"/>
        </w:rPr>
        <w:t>Rezultate</w:t>
      </w:r>
    </w:p>
    <w:p w:rsidR="00573AD5" w:rsidRDefault="00573AD5" w:rsidP="0030066D">
      <w:pPr>
        <w:spacing w:line="276" w:lineRule="auto"/>
        <w:jc w:val="both"/>
        <w:rPr>
          <w:rFonts w:cs="Arial"/>
          <w:sz w:val="22"/>
          <w:szCs w:val="22"/>
          <w:lang w:val="ro-RO"/>
        </w:rPr>
      </w:pPr>
      <w:r w:rsidRPr="0076579A">
        <w:rPr>
          <w:rFonts w:cs="Arial"/>
          <w:sz w:val="22"/>
          <w:szCs w:val="22"/>
          <w:lang w:val="ro-RO"/>
        </w:rPr>
        <w:t>Această intervenție oferă rezultate economice bune (BCR = 1,0</w:t>
      </w:r>
      <w:r>
        <w:rPr>
          <w:rFonts w:cs="Arial"/>
          <w:sz w:val="22"/>
          <w:szCs w:val="22"/>
          <w:lang w:val="ro-RO"/>
        </w:rPr>
        <w:t>3</w:t>
      </w:r>
      <w:r w:rsidRPr="0076579A">
        <w:rPr>
          <w:rFonts w:cs="Arial"/>
          <w:sz w:val="22"/>
          <w:szCs w:val="22"/>
          <w:lang w:val="ro-RO"/>
        </w:rPr>
        <w:t>) dar și o creștere importantă a traficului de pasageri (115%) și marfă (19%), pentru întreaga rețea (a se vedea tabelul</w:t>
      </w:r>
      <w:r>
        <w:rPr>
          <w:rFonts w:cs="Arial"/>
          <w:sz w:val="22"/>
          <w:szCs w:val="22"/>
          <w:lang w:val="ro-RO"/>
        </w:rPr>
        <w:t xml:space="preserve"> 5.59</w:t>
      </w:r>
      <w:r w:rsidRPr="0076579A">
        <w:rPr>
          <w:rFonts w:cs="Arial"/>
          <w:sz w:val="22"/>
          <w:szCs w:val="22"/>
          <w:lang w:val="ro-RO"/>
        </w:rPr>
        <w:t>):</w:t>
      </w:r>
    </w:p>
    <w:p w:rsidR="00573AD5" w:rsidRDefault="00573AD5" w:rsidP="0030066D">
      <w:pPr>
        <w:pStyle w:val="Caption"/>
        <w:rPr>
          <w:b/>
          <w:sz w:val="22"/>
          <w:szCs w:val="22"/>
        </w:rPr>
      </w:pPr>
      <w:r>
        <w:rPr>
          <w:b/>
          <w:sz w:val="22"/>
          <w:szCs w:val="22"/>
        </w:rPr>
        <w:t>Tabelul 5.</w:t>
      </w:r>
      <w:r w:rsidR="003259E9">
        <w:rPr>
          <w:b/>
          <w:sz w:val="22"/>
          <w:szCs w:val="22"/>
        </w:rPr>
        <w:fldChar w:fldCharType="begin"/>
      </w:r>
      <w:r>
        <w:rPr>
          <w:b/>
          <w:sz w:val="22"/>
          <w:szCs w:val="22"/>
        </w:rPr>
        <w:instrText xml:space="preserve"> SEQ Table \* ARABIC </w:instrText>
      </w:r>
      <w:r w:rsidR="003259E9">
        <w:rPr>
          <w:b/>
          <w:sz w:val="22"/>
          <w:szCs w:val="22"/>
        </w:rPr>
        <w:fldChar w:fldCharType="separate"/>
      </w:r>
      <w:r>
        <w:rPr>
          <w:b/>
          <w:sz w:val="22"/>
          <w:szCs w:val="22"/>
        </w:rPr>
        <w:t>59</w:t>
      </w:r>
      <w:r w:rsidR="003259E9">
        <w:rPr>
          <w:b/>
          <w:sz w:val="22"/>
          <w:szCs w:val="22"/>
        </w:rPr>
        <w:fldChar w:fldCharType="end"/>
      </w:r>
      <w:r>
        <w:rPr>
          <w:b/>
          <w:sz w:val="22"/>
          <w:szCs w:val="22"/>
        </w:rPr>
        <w:t>: Sinteza rezultatelor  (DS99A)</w:t>
      </w:r>
    </w:p>
    <w:tbl>
      <w:tblPr>
        <w:tblStyle w:val="TableGrid"/>
        <w:tblW w:w="0" w:type="auto"/>
        <w:tblLook w:val="04A0" w:firstRow="1" w:lastRow="0" w:firstColumn="1" w:lastColumn="0" w:noHBand="0" w:noVBand="1"/>
      </w:tblPr>
      <w:tblGrid>
        <w:gridCol w:w="5866"/>
        <w:gridCol w:w="1917"/>
      </w:tblGrid>
      <w:tr w:rsidR="00573AD5" w:rsidRPr="0076579A" w:rsidTr="0030066D">
        <w:trPr>
          <w:cantSplit/>
          <w:tblHeader/>
        </w:trPr>
        <w:tc>
          <w:tcPr>
            <w:tcW w:w="0" w:type="auto"/>
            <w:shd w:val="clear" w:color="auto" w:fill="C6D9F1" w:themeFill="text2" w:themeFillTint="33"/>
            <w:vAlign w:val="center"/>
          </w:tcPr>
          <w:p w:rsidR="00573AD5" w:rsidRPr="0076579A" w:rsidRDefault="00573AD5" w:rsidP="00573AD5">
            <w:pPr>
              <w:spacing w:line="276" w:lineRule="auto"/>
              <w:rPr>
                <w:rFonts w:cs="Arial"/>
                <w:b/>
                <w:bCs/>
                <w:sz w:val="22"/>
                <w:szCs w:val="22"/>
                <w:lang w:val="ro-RO"/>
              </w:rPr>
            </w:pPr>
            <w:r w:rsidRPr="0076579A">
              <w:rPr>
                <w:rFonts w:cs="Arial"/>
                <w:b/>
                <w:bCs/>
                <w:sz w:val="22"/>
                <w:szCs w:val="22"/>
                <w:lang w:val="ro-RO"/>
              </w:rPr>
              <w:t>Cod test</w:t>
            </w:r>
          </w:p>
        </w:tc>
        <w:tc>
          <w:tcPr>
            <w:tcW w:w="0" w:type="auto"/>
            <w:shd w:val="clear" w:color="auto" w:fill="C6D9F1" w:themeFill="text2" w:themeFillTint="33"/>
            <w:vAlign w:val="center"/>
          </w:tcPr>
          <w:p w:rsidR="00573AD5" w:rsidRPr="0076579A" w:rsidRDefault="00573AD5" w:rsidP="00573AD5">
            <w:pPr>
              <w:spacing w:line="276" w:lineRule="auto"/>
              <w:ind w:left="720" w:hanging="720"/>
              <w:jc w:val="center"/>
              <w:rPr>
                <w:rFonts w:cs="Arial"/>
                <w:b/>
                <w:bCs/>
                <w:sz w:val="22"/>
                <w:szCs w:val="22"/>
                <w:lang w:val="ro-RO"/>
              </w:rPr>
            </w:pPr>
            <w:r w:rsidRPr="0076579A">
              <w:rPr>
                <w:rFonts w:cs="Arial"/>
                <w:b/>
                <w:bCs/>
                <w:sz w:val="22"/>
                <w:szCs w:val="22"/>
                <w:lang w:val="ro-RO"/>
              </w:rPr>
              <w:t>DS99A</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 xml:space="preserve">Creștere totală pasageri-km (mii, anul 2030) </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+24</w:t>
            </w:r>
            <w:r>
              <w:rPr>
                <w:rFonts w:cs="Arial"/>
                <w:sz w:val="22"/>
                <w:szCs w:val="22"/>
              </w:rPr>
              <w:t>.</w:t>
            </w:r>
            <w:r w:rsidRPr="00804F1B">
              <w:rPr>
                <w:rFonts w:cs="Arial"/>
                <w:sz w:val="22"/>
                <w:szCs w:val="22"/>
              </w:rPr>
              <w:t>289 (+115%)</w:t>
            </w:r>
          </w:p>
        </w:tc>
      </w:tr>
      <w:tr w:rsidR="00573AD5" w:rsidRPr="0076579A" w:rsidTr="0030066D">
        <w:trPr>
          <w:cantSplit/>
        </w:trPr>
        <w:tc>
          <w:tcPr>
            <w:tcW w:w="0" w:type="auto"/>
            <w:vAlign w:val="bottom"/>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pasageri-km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7</w:t>
            </w:r>
            <w:r>
              <w:rPr>
                <w:rFonts w:cs="Arial"/>
                <w:sz w:val="22"/>
                <w:szCs w:val="22"/>
              </w:rPr>
              <w:t>,</w:t>
            </w:r>
            <w:r w:rsidRPr="00804F1B">
              <w:rPr>
                <w:rFonts w:cs="Arial"/>
                <w:sz w:val="22"/>
                <w:szCs w:val="22"/>
              </w:rPr>
              <w:t>1%</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tone-km (mii, anul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+8</w:t>
            </w:r>
            <w:r>
              <w:rPr>
                <w:rFonts w:cs="Arial"/>
                <w:sz w:val="22"/>
                <w:szCs w:val="22"/>
              </w:rPr>
              <w:t>.</w:t>
            </w:r>
            <w:r w:rsidRPr="00804F1B">
              <w:rPr>
                <w:rFonts w:cs="Arial"/>
                <w:sz w:val="22"/>
                <w:szCs w:val="22"/>
              </w:rPr>
              <w:t>525 (+19%)</w:t>
            </w:r>
          </w:p>
        </w:tc>
      </w:tr>
      <w:tr w:rsidR="00573AD5" w:rsidRPr="0076579A" w:rsidTr="0030066D">
        <w:trPr>
          <w:cantSplit/>
        </w:trPr>
        <w:tc>
          <w:tcPr>
            <w:tcW w:w="0" w:type="auto"/>
            <w:vAlign w:val="center"/>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Creștere totală a cotei de piață pentru tone-km (2030)</w:t>
            </w:r>
          </w:p>
        </w:tc>
        <w:tc>
          <w:tcPr>
            <w:tcW w:w="0" w:type="auto"/>
            <w:vAlign w:val="bottom"/>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2</w:t>
            </w:r>
            <w:r>
              <w:rPr>
                <w:rFonts w:cs="Arial"/>
                <w:sz w:val="22"/>
                <w:szCs w:val="22"/>
              </w:rPr>
              <w:t>,</w:t>
            </w:r>
            <w:r w:rsidRPr="00804F1B">
              <w:rPr>
                <w:rFonts w:cs="Arial"/>
                <w:sz w:val="22"/>
                <w:szCs w:val="22"/>
              </w:rPr>
              <w:t>5%</w:t>
            </w:r>
          </w:p>
        </w:tc>
      </w:tr>
      <w:tr w:rsidR="00573AD5" w:rsidRPr="0076579A" w:rsidTr="0030066D">
        <w:trPr>
          <w:cantSplit/>
        </w:trPr>
        <w:tc>
          <w:tcPr>
            <w:tcW w:w="0" w:type="auto"/>
            <w:vAlign w:val="center"/>
          </w:tcPr>
          <w:p w:rsidR="00573AD5" w:rsidRPr="0076579A" w:rsidRDefault="005647A2" w:rsidP="00573AD5">
            <w:pPr>
              <w:spacing w:before="120" w:line="276" w:lineRule="auto"/>
              <w:rPr>
                <w:rFonts w:cs="Arial"/>
                <w:b/>
                <w:sz w:val="22"/>
                <w:szCs w:val="22"/>
                <w:lang w:val="ro-RO"/>
              </w:rPr>
            </w:pPr>
            <w:r>
              <w:rPr>
                <w:rFonts w:cs="Arial"/>
                <w:b/>
                <w:sz w:val="22"/>
                <w:szCs w:val="22"/>
                <w:lang w:val="ro-RO"/>
              </w:rPr>
              <w:t>VNA</w:t>
            </w:r>
            <w:r w:rsidR="00573AD5" w:rsidRPr="0076579A">
              <w:rPr>
                <w:rFonts w:cs="Arial"/>
                <w:b/>
                <w:sz w:val="22"/>
                <w:szCs w:val="22"/>
                <w:lang w:val="ro-RO"/>
              </w:rPr>
              <w:t xml:space="preserve"> milioane euro (prețuri 2014)</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Pr>
                <w:rFonts w:cs="Arial"/>
                <w:b/>
                <w:sz w:val="22"/>
                <w:szCs w:val="22"/>
              </w:rPr>
              <w:t>284</w:t>
            </w:r>
          </w:p>
        </w:tc>
      </w:tr>
      <w:tr w:rsidR="00573AD5" w:rsidRPr="0076579A" w:rsidTr="0030066D">
        <w:trPr>
          <w:cantSplit/>
        </w:trPr>
        <w:tc>
          <w:tcPr>
            <w:tcW w:w="0" w:type="auto"/>
            <w:vAlign w:val="center"/>
          </w:tcPr>
          <w:p w:rsidR="00573AD5" w:rsidRPr="0076579A" w:rsidRDefault="005647A2" w:rsidP="00573AD5">
            <w:pPr>
              <w:spacing w:before="120" w:line="276" w:lineRule="auto"/>
              <w:rPr>
                <w:rFonts w:cs="Arial"/>
                <w:b/>
                <w:sz w:val="22"/>
                <w:szCs w:val="22"/>
                <w:lang w:val="ro-RO"/>
              </w:rPr>
            </w:pPr>
            <w:r>
              <w:rPr>
                <w:rFonts w:cs="Arial"/>
                <w:b/>
                <w:sz w:val="22"/>
                <w:szCs w:val="22"/>
                <w:lang w:val="ro-RO"/>
              </w:rPr>
              <w:t>RBC</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1</w:t>
            </w:r>
            <w:r>
              <w:rPr>
                <w:rFonts w:cs="Arial"/>
                <w:b/>
                <w:sz w:val="22"/>
                <w:szCs w:val="22"/>
              </w:rPr>
              <w:t>,</w:t>
            </w:r>
            <w:r w:rsidRPr="00804F1B">
              <w:rPr>
                <w:rFonts w:cs="Arial"/>
                <w:b/>
                <w:sz w:val="22"/>
                <w:szCs w:val="22"/>
              </w:rPr>
              <w:t>0</w:t>
            </w:r>
            <w:r>
              <w:rPr>
                <w:rFonts w:cs="Arial"/>
                <w:b/>
                <w:sz w:val="22"/>
                <w:szCs w:val="22"/>
              </w:rPr>
              <w:t>3</w:t>
            </w:r>
          </w:p>
        </w:tc>
      </w:tr>
      <w:tr w:rsidR="00573AD5" w:rsidRPr="0076579A" w:rsidTr="0030066D">
        <w:trPr>
          <w:cantSplit/>
        </w:trPr>
        <w:tc>
          <w:tcPr>
            <w:tcW w:w="0" w:type="auto"/>
            <w:vAlign w:val="center"/>
          </w:tcPr>
          <w:p w:rsidR="00573AD5" w:rsidRPr="0076579A" w:rsidRDefault="005647A2" w:rsidP="00573AD5">
            <w:pPr>
              <w:spacing w:before="120" w:line="276" w:lineRule="auto"/>
              <w:rPr>
                <w:rFonts w:cs="Arial"/>
                <w:b/>
                <w:sz w:val="22"/>
                <w:szCs w:val="22"/>
                <w:lang w:val="ro-RO"/>
              </w:rPr>
            </w:pPr>
            <w:r>
              <w:rPr>
                <w:rFonts w:cs="Arial"/>
                <w:b/>
                <w:sz w:val="22"/>
                <w:szCs w:val="22"/>
                <w:lang w:val="ro-RO"/>
              </w:rPr>
              <w:t>RIRE</w:t>
            </w:r>
          </w:p>
        </w:tc>
        <w:tc>
          <w:tcPr>
            <w:tcW w:w="0" w:type="auto"/>
            <w:vAlign w:val="center"/>
          </w:tcPr>
          <w:p w:rsidR="00573AD5" w:rsidRPr="0076579A" w:rsidRDefault="00573AD5" w:rsidP="00573AD5">
            <w:pPr>
              <w:spacing w:before="120" w:line="276" w:lineRule="auto"/>
              <w:ind w:left="720" w:hanging="720"/>
              <w:jc w:val="center"/>
              <w:rPr>
                <w:rFonts w:cs="Arial"/>
                <w:b/>
                <w:sz w:val="22"/>
                <w:szCs w:val="22"/>
                <w:lang w:val="ro-RO"/>
              </w:rPr>
            </w:pPr>
            <w:r w:rsidRPr="00804F1B">
              <w:rPr>
                <w:rFonts w:cs="Arial"/>
                <w:b/>
                <w:sz w:val="22"/>
                <w:szCs w:val="22"/>
              </w:rPr>
              <w:t>5</w:t>
            </w:r>
            <w:r>
              <w:rPr>
                <w:rFonts w:cs="Arial"/>
                <w:b/>
                <w:sz w:val="22"/>
                <w:szCs w:val="22"/>
              </w:rPr>
              <w:t>,14</w:t>
            </w:r>
            <w:r w:rsidRPr="00804F1B">
              <w:rPr>
                <w:rFonts w:cs="Arial"/>
                <w:b/>
                <w:sz w:val="22"/>
                <w:szCs w:val="22"/>
              </w:rPr>
              <w:t>%</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sidRPr="0076579A">
              <w:rPr>
                <w:rFonts w:cs="Arial"/>
                <w:sz w:val="22"/>
                <w:szCs w:val="22"/>
                <w:lang w:val="ro-RO"/>
              </w:rPr>
              <w:t>Lungime linie modernizată (km-linie)</w:t>
            </w:r>
          </w:p>
        </w:tc>
        <w:tc>
          <w:tcPr>
            <w:tcW w:w="0" w:type="auto"/>
          </w:tcPr>
          <w:p w:rsidR="00573AD5" w:rsidRPr="0076579A" w:rsidRDefault="00573AD5" w:rsidP="00573AD5">
            <w:pPr>
              <w:spacing w:before="120" w:line="276" w:lineRule="auto"/>
              <w:ind w:left="720" w:hanging="720"/>
              <w:jc w:val="center"/>
              <w:rPr>
                <w:rFonts w:cs="Arial"/>
                <w:sz w:val="22"/>
                <w:szCs w:val="22"/>
                <w:vertAlign w:val="superscript"/>
                <w:lang w:val="ro-RO"/>
              </w:rPr>
            </w:pPr>
            <w:r w:rsidRPr="00804F1B">
              <w:rPr>
                <w:rFonts w:cs="Arial"/>
                <w:sz w:val="22"/>
                <w:szCs w:val="22"/>
              </w:rPr>
              <w:t>4620</w:t>
            </w:r>
            <w:r>
              <w:rPr>
                <w:rFonts w:cs="Arial"/>
                <w:sz w:val="22"/>
                <w:szCs w:val="22"/>
                <w:vertAlign w:val="superscript"/>
              </w:rPr>
              <w:t>1</w:t>
            </w:r>
            <w:r w:rsidRPr="00804F1B">
              <w:rPr>
                <w:rFonts w:cs="Arial"/>
                <w:sz w:val="22"/>
                <w:szCs w:val="22"/>
              </w:rPr>
              <w:t xml:space="preserve"> + 520</w:t>
            </w:r>
            <w:r>
              <w:rPr>
                <w:rFonts w:cs="Arial"/>
                <w:sz w:val="22"/>
                <w:szCs w:val="22"/>
                <w:vertAlign w:val="superscript"/>
              </w:rPr>
              <w:t>2</w:t>
            </w:r>
          </w:p>
        </w:tc>
      </w:tr>
      <w:tr w:rsidR="00573AD5" w:rsidRPr="0076579A" w:rsidTr="0030066D">
        <w:tc>
          <w:tcPr>
            <w:tcW w:w="0" w:type="auto"/>
          </w:tcPr>
          <w:p w:rsidR="00573AD5" w:rsidRPr="0076579A" w:rsidRDefault="00573AD5" w:rsidP="00573AD5">
            <w:pPr>
              <w:spacing w:before="120" w:line="276" w:lineRule="auto"/>
              <w:rPr>
                <w:rFonts w:cs="Arial"/>
                <w:sz w:val="22"/>
                <w:szCs w:val="22"/>
                <w:lang w:val="ro-RO"/>
              </w:rPr>
            </w:pPr>
            <w:r>
              <w:rPr>
                <w:rFonts w:cs="Arial"/>
                <w:sz w:val="22"/>
                <w:szCs w:val="22"/>
                <w:lang w:val="ro-RO"/>
              </w:rPr>
              <w:t>Unități material rulant necesare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r w:rsidRPr="00804F1B">
              <w:rPr>
                <w:rFonts w:cs="Arial"/>
                <w:sz w:val="22"/>
                <w:szCs w:val="22"/>
              </w:rPr>
              <w:t>109</w:t>
            </w:r>
          </w:p>
        </w:tc>
      </w:tr>
      <w:tr w:rsidR="00573AD5" w:rsidRPr="0076579A" w:rsidTr="0030066D">
        <w:tc>
          <w:tcPr>
            <w:tcW w:w="0" w:type="auto"/>
          </w:tcPr>
          <w:p w:rsidR="00573AD5" w:rsidRPr="0076579A" w:rsidRDefault="00573AD5" w:rsidP="00573AD5">
            <w:pPr>
              <w:spacing w:before="120" w:line="276" w:lineRule="auto"/>
              <w:ind w:left="720" w:hanging="720"/>
              <w:jc w:val="both"/>
              <w:rPr>
                <w:rFonts w:cs="Arial"/>
                <w:sz w:val="22"/>
                <w:szCs w:val="22"/>
                <w:lang w:val="ro-RO"/>
              </w:rPr>
            </w:pPr>
            <w:r w:rsidRPr="0076579A">
              <w:rPr>
                <w:rFonts w:cs="Arial"/>
                <w:sz w:val="22"/>
                <w:szCs w:val="22"/>
                <w:vertAlign w:val="superscript"/>
                <w:lang w:val="ro-RO"/>
              </w:rPr>
              <w:t>1</w:t>
            </w:r>
            <w:r>
              <w:rPr>
                <w:rFonts w:cs="Arial"/>
                <w:sz w:val="22"/>
                <w:szCs w:val="22"/>
                <w:lang w:val="ro-RO"/>
              </w:rPr>
              <w:t>Modernizare li</w:t>
            </w:r>
            <w:r w:rsidRPr="0076579A">
              <w:rPr>
                <w:rFonts w:cs="Arial"/>
                <w:sz w:val="22"/>
                <w:szCs w:val="22"/>
                <w:lang w:val="ro-RO"/>
              </w:rPr>
              <w:t>nie</w:t>
            </w:r>
          </w:p>
          <w:p w:rsidR="00573AD5" w:rsidRPr="0076579A" w:rsidRDefault="00573AD5" w:rsidP="00573AD5">
            <w:pPr>
              <w:spacing w:before="120" w:line="276" w:lineRule="auto"/>
              <w:rPr>
                <w:rFonts w:cs="Arial"/>
                <w:sz w:val="22"/>
                <w:szCs w:val="22"/>
                <w:lang w:val="ro-RO"/>
              </w:rPr>
            </w:pPr>
            <w:r>
              <w:rPr>
                <w:rFonts w:cs="Arial"/>
                <w:sz w:val="22"/>
                <w:szCs w:val="22"/>
                <w:vertAlign w:val="superscript"/>
                <w:lang w:val="ro-RO"/>
              </w:rPr>
              <w:t>2</w:t>
            </w:r>
            <w:r w:rsidRPr="0076579A">
              <w:rPr>
                <w:rFonts w:cs="Arial"/>
                <w:sz w:val="22"/>
                <w:szCs w:val="22"/>
                <w:lang w:val="ro-RO"/>
              </w:rPr>
              <w:t>Electrificare linie</w:t>
            </w:r>
          </w:p>
        </w:tc>
        <w:tc>
          <w:tcPr>
            <w:tcW w:w="0" w:type="auto"/>
          </w:tcPr>
          <w:p w:rsidR="00573AD5" w:rsidRPr="0076579A" w:rsidRDefault="00573AD5" w:rsidP="00573AD5">
            <w:pPr>
              <w:spacing w:before="120" w:line="276" w:lineRule="auto"/>
              <w:ind w:left="720" w:hanging="720"/>
              <w:jc w:val="center"/>
              <w:rPr>
                <w:rFonts w:cs="Arial"/>
                <w:sz w:val="22"/>
                <w:szCs w:val="22"/>
                <w:lang w:val="ro-RO"/>
              </w:rPr>
            </w:pPr>
          </w:p>
        </w:tc>
      </w:tr>
    </w:tbl>
    <w:p w:rsidR="00573AD5" w:rsidRPr="00AE1AD4" w:rsidRDefault="00573AD5" w:rsidP="00AE1AD4">
      <w:pPr>
        <w:ind w:left="851"/>
        <w:rPr>
          <w:i/>
          <w:lang w:val="ro-RO"/>
        </w:rPr>
      </w:pPr>
      <w:bookmarkStart w:id="541" w:name="_Toc413058178"/>
      <w:r w:rsidRPr="00AE1AD4">
        <w:rPr>
          <w:i/>
          <w:lang w:val="ro-RO"/>
        </w:rPr>
        <w:t>Sursa: Analiza AECOM a rezultatelor Modelului Național de Transport</w:t>
      </w:r>
      <w:bookmarkEnd w:id="541"/>
    </w:p>
    <w:p w:rsidR="00573AD5" w:rsidRDefault="00573AD5" w:rsidP="0030066D">
      <w:pPr>
        <w:spacing w:before="120" w:line="276" w:lineRule="auto"/>
        <w:ind w:left="720" w:hanging="720"/>
        <w:jc w:val="both"/>
        <w:rPr>
          <w:rFonts w:cs="Arial"/>
          <w:sz w:val="22"/>
          <w:szCs w:val="22"/>
          <w:vertAlign w:val="superscript"/>
          <w:lang w:val="ro-RO"/>
        </w:rPr>
      </w:pPr>
    </w:p>
    <w:p w:rsidR="00573AD5" w:rsidRPr="0076579A" w:rsidRDefault="00573AD5" w:rsidP="0030066D">
      <w:pPr>
        <w:spacing w:line="276" w:lineRule="auto"/>
        <w:rPr>
          <w:rFonts w:cs="Arial"/>
          <w:sz w:val="22"/>
          <w:szCs w:val="22"/>
          <w:lang w:val="ro-RO"/>
        </w:rPr>
      </w:pPr>
    </w:p>
    <w:p w:rsidR="00573AD5" w:rsidRPr="0076579A" w:rsidRDefault="00573AD5" w:rsidP="0030066D">
      <w:pPr>
        <w:spacing w:line="276" w:lineRule="auto"/>
        <w:jc w:val="both"/>
        <w:rPr>
          <w:rFonts w:cs="Arial"/>
          <w:i/>
          <w:sz w:val="22"/>
          <w:szCs w:val="22"/>
          <w:u w:val="single"/>
          <w:lang w:val="ro-RO"/>
        </w:rPr>
      </w:pPr>
      <w:r>
        <w:rPr>
          <w:rFonts w:cs="Arial"/>
          <w:sz w:val="22"/>
          <w:szCs w:val="22"/>
          <w:lang w:val="ro-RO"/>
        </w:rPr>
        <w:t xml:space="preserve">Figurile 5.84 și 5.85 </w:t>
      </w:r>
      <w:r w:rsidRPr="0076579A">
        <w:rPr>
          <w:rFonts w:cs="Arial"/>
          <w:sz w:val="22"/>
          <w:szCs w:val="22"/>
          <w:lang w:val="ro-RO"/>
        </w:rPr>
        <w:t xml:space="preserve"> ilustrează cum se modifică fluxurile prognozate de pasageri și marfă în anul 2030, în condițiile în care proiectul se află în operare începând cu anul 2020.</w:t>
      </w: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lastRenderedPageBreak/>
        <w:drawing>
          <wp:inline distT="0" distB="0" distL="0" distR="0">
            <wp:extent cx="5759450" cy="4067175"/>
            <wp:effectExtent l="0" t="0" r="0" b="9525"/>
            <wp:docPr id="463" name="Picture 321" descr="F:\Projects\Transport Planning - Romania UK GTMP\PUBLIC TRANSPORT\Rail\04_Plots\Rail_results\output\DS99A_2030_change_pas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jects\Transport Planning - Romania UK GTMP\PUBLIC TRANSPORT\Rail\04_Plots\Rail_results\output\DS99A_2030_change_pass_v2.jpg"/>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5759450" cy="4067175"/>
                    </a:xfrm>
                    <a:prstGeom prst="rect">
                      <a:avLst/>
                    </a:prstGeom>
                    <a:noFill/>
                    <a:ln>
                      <a:noFill/>
                    </a:ln>
                  </pic:spPr>
                </pic:pic>
              </a:graphicData>
            </a:graphic>
          </wp:inline>
        </w:drawing>
      </w:r>
    </w:p>
    <w:p w:rsidR="00573AD5" w:rsidRPr="00B239EF" w:rsidRDefault="00573AD5" w:rsidP="0030066D">
      <w:pPr>
        <w:spacing w:line="276" w:lineRule="auto"/>
        <w:jc w:val="both"/>
        <w:rPr>
          <w:rFonts w:cs="Arial"/>
          <w:b/>
          <w:sz w:val="22"/>
          <w:szCs w:val="22"/>
          <w:lang w:val="ro-RO"/>
        </w:rPr>
      </w:pPr>
      <w:r w:rsidRPr="00B239EF">
        <w:rPr>
          <w:rFonts w:cs="Arial"/>
          <w:b/>
          <w:sz w:val="22"/>
          <w:szCs w:val="22"/>
          <w:lang w:val="ro-RO"/>
        </w:rPr>
        <w:t>Figura 5.84: Modificarea prognozată a fluxurilor după 2030</w:t>
      </w:r>
    </w:p>
    <w:p w:rsidR="00573AD5" w:rsidRPr="00AE1AD4" w:rsidRDefault="00573AD5" w:rsidP="00AE1AD4">
      <w:pPr>
        <w:ind w:left="851"/>
        <w:rPr>
          <w:i/>
          <w:lang w:val="ro-RO"/>
        </w:rPr>
      </w:pPr>
      <w:r w:rsidRPr="00AE1AD4">
        <w:rPr>
          <w:i/>
          <w:lang w:val="ro-RO"/>
        </w:rPr>
        <w:t>Sursa: Analiza AECOM a rezultatelor Modelului Național de Transport</w:t>
      </w:r>
    </w:p>
    <w:p w:rsidR="00573AD5" w:rsidRDefault="00573AD5" w:rsidP="0030066D">
      <w:pPr>
        <w:spacing w:line="276" w:lineRule="auto"/>
        <w:jc w:val="both"/>
        <w:rPr>
          <w:i/>
        </w:rPr>
      </w:pPr>
    </w:p>
    <w:p w:rsidR="00573AD5"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sz w:val="22"/>
          <w:szCs w:val="22"/>
          <w:lang w:val="ro-RO"/>
        </w:rPr>
        <w:t>Figura 5.84</w:t>
      </w:r>
      <w:r w:rsidRPr="0076579A">
        <w:rPr>
          <w:rFonts w:cs="Arial"/>
          <w:sz w:val="22"/>
          <w:szCs w:val="22"/>
          <w:lang w:val="ro-RO"/>
        </w:rPr>
        <w:t xml:space="preserve"> ilustrează impactul semnificativ al modernizărilor coridoarele din scenariul combinat. Traficul de pasageri crește într-o proporție mare pentru întreaga rețea, creșterile fiind mai importante pentru secțiunile aflate la o distanța de 2-3 ore față de Municipiul București. Cererea între Arad și Timișoara este de așteptat să crească cu un volum zilnic de peste 11.000 pasager</w:t>
      </w:r>
      <w:r>
        <w:rPr>
          <w:rFonts w:cs="Arial"/>
          <w:sz w:val="22"/>
          <w:szCs w:val="22"/>
          <w:lang w:val="ro-RO"/>
        </w:rPr>
        <w:t>i.</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Pr>
          <w:rFonts w:cs="Arial"/>
          <w:noProof/>
          <w:sz w:val="22"/>
          <w:szCs w:val="22"/>
          <w:lang w:val="ro-RO" w:eastAsia="ro-RO"/>
        </w:rPr>
        <w:lastRenderedPageBreak/>
        <w:drawing>
          <wp:inline distT="0" distB="0" distL="0" distR="0">
            <wp:extent cx="5759450" cy="4025900"/>
            <wp:effectExtent l="0" t="0" r="0" b="0"/>
            <wp:docPr id="464" name="Picture 320" descr="F:\Projects\Transport Planning - Romania UK GTMP\PUBLIC TRANSPORT\Rail\04_Plots\Rail_results\output\DS99A_2030_change_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s\Transport Planning - Romania UK GTMP\PUBLIC TRANSPORT\Rail\04_Plots\Rail_results\output\DS99A_2030_change_freight.jpg"/>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5759450" cy="4025900"/>
                    </a:xfrm>
                    <a:prstGeom prst="rect">
                      <a:avLst/>
                    </a:prstGeom>
                    <a:noFill/>
                    <a:ln>
                      <a:noFill/>
                    </a:ln>
                  </pic:spPr>
                </pic:pic>
              </a:graphicData>
            </a:graphic>
          </wp:inline>
        </w:drawing>
      </w:r>
    </w:p>
    <w:p w:rsidR="00573AD5" w:rsidRDefault="00573AD5" w:rsidP="0030066D">
      <w:pPr>
        <w:pStyle w:val="Caption"/>
        <w:rPr>
          <w:b/>
          <w:sz w:val="22"/>
          <w:szCs w:val="22"/>
        </w:rPr>
      </w:pPr>
      <w:r>
        <w:rPr>
          <w:b/>
          <w:sz w:val="22"/>
          <w:szCs w:val="22"/>
        </w:rPr>
        <w:t>Figura 5.</w:t>
      </w:r>
      <w:r w:rsidR="003259E9">
        <w:rPr>
          <w:b/>
          <w:sz w:val="22"/>
          <w:szCs w:val="22"/>
        </w:rPr>
        <w:fldChar w:fldCharType="begin"/>
      </w:r>
      <w:r>
        <w:rPr>
          <w:b/>
          <w:sz w:val="22"/>
          <w:szCs w:val="22"/>
        </w:rPr>
        <w:instrText xml:space="preserve"> SEQ Figure \* ARABIC </w:instrText>
      </w:r>
      <w:r w:rsidR="003259E9">
        <w:rPr>
          <w:b/>
          <w:sz w:val="22"/>
          <w:szCs w:val="22"/>
        </w:rPr>
        <w:fldChar w:fldCharType="separate"/>
      </w:r>
      <w:r>
        <w:rPr>
          <w:b/>
          <w:sz w:val="22"/>
          <w:szCs w:val="22"/>
        </w:rPr>
        <w:t>85</w:t>
      </w:r>
      <w:r w:rsidR="003259E9">
        <w:rPr>
          <w:b/>
          <w:sz w:val="22"/>
          <w:szCs w:val="22"/>
        </w:rPr>
        <w:fldChar w:fldCharType="end"/>
      </w:r>
      <w:r>
        <w:rPr>
          <w:b/>
          <w:sz w:val="22"/>
          <w:szCs w:val="22"/>
        </w:rPr>
        <w:t>: Modificări ale cererii de transport marfă (DS99A)</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Implementarea scenariului combinat va conduce de asemenea și la o creștere importantă a traficului de marfă la nivelul întregii rețele, în comparație cu scenariul de referință. Legătura feroviară nouă între Vâlcele și Râmnicu Vâlcea oferă o conexiune mai scurtă pentru traficul de mărfuri cu origine în zona Constanța și Galați și destinația vestul și centrul Europei, ceea ce va atrage un număr important de trenuri de marfă.</w:t>
      </w:r>
    </w:p>
    <w:p w:rsidR="00573AD5" w:rsidRPr="0076579A" w:rsidRDefault="00573AD5" w:rsidP="0030066D">
      <w:pPr>
        <w:spacing w:line="276" w:lineRule="auto"/>
        <w:jc w:val="both"/>
        <w:rPr>
          <w:rFonts w:cs="Arial"/>
          <w:sz w:val="22"/>
          <w:szCs w:val="22"/>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Unitatea de implementare</w:t>
      </w:r>
    </w:p>
    <w:p w:rsidR="00573AD5" w:rsidRPr="0076579A" w:rsidRDefault="00573AD5" w:rsidP="0030066D">
      <w:pPr>
        <w:spacing w:line="276" w:lineRule="auto"/>
        <w:jc w:val="both"/>
        <w:rPr>
          <w:rFonts w:cs="Arial"/>
          <w:sz w:val="22"/>
          <w:szCs w:val="22"/>
          <w:lang w:val="ro-RO"/>
        </w:rPr>
      </w:pPr>
      <w:r w:rsidRPr="0076579A">
        <w:rPr>
          <w:rFonts w:cs="Arial"/>
          <w:sz w:val="22"/>
          <w:szCs w:val="22"/>
          <w:lang w:val="ro-RO"/>
        </w:rPr>
        <w:t>Acest proiect va fi implementat de către CFR SA precum și de operatorii de transport feroviar.</w:t>
      </w:r>
    </w:p>
    <w:p w:rsidR="00573AD5" w:rsidRPr="0076579A" w:rsidRDefault="00573AD5" w:rsidP="0030066D">
      <w:pPr>
        <w:rPr>
          <w:lang w:val="ro-RO"/>
        </w:rPr>
      </w:pPr>
    </w:p>
    <w:p w:rsidR="00573AD5" w:rsidRPr="0076579A" w:rsidRDefault="00573AD5" w:rsidP="0030066D">
      <w:pPr>
        <w:pStyle w:val="Heading3"/>
        <w:spacing w:line="276" w:lineRule="auto"/>
        <w:jc w:val="both"/>
        <w:rPr>
          <w:rFonts w:cs="Arial"/>
          <w:b/>
          <w:sz w:val="22"/>
          <w:szCs w:val="22"/>
          <w:lang w:val="ro-RO"/>
        </w:rPr>
      </w:pPr>
      <w:r w:rsidRPr="0076579A">
        <w:rPr>
          <w:rFonts w:cs="Arial"/>
          <w:b/>
          <w:sz w:val="22"/>
          <w:szCs w:val="22"/>
          <w:lang w:val="ro-RO"/>
        </w:rPr>
        <w:t>Perioada de implementare</w:t>
      </w:r>
    </w:p>
    <w:p w:rsidR="00573AD5" w:rsidRPr="0076579A" w:rsidRDefault="00573AD5" w:rsidP="00573AD5">
      <w:pPr>
        <w:pStyle w:val="BulletLevel1"/>
        <w:spacing w:after="60"/>
      </w:pPr>
      <w:r w:rsidRPr="0076579A">
        <w:t>Implementarea acestui proiect va fi constrânsă de bugetele disponibile.</w:t>
      </w:r>
    </w:p>
    <w:p w:rsidR="00573AD5" w:rsidRPr="0076579A" w:rsidRDefault="00573AD5" w:rsidP="0030066D">
      <w:pPr>
        <w:rPr>
          <w:rFonts w:cs="Arial"/>
          <w:sz w:val="22"/>
          <w:szCs w:val="22"/>
          <w:lang w:val="ro-RO"/>
        </w:rPr>
      </w:pPr>
    </w:p>
    <w:p w:rsidR="00573AD5" w:rsidRDefault="00573AD5" w:rsidP="0030066D"/>
    <w:p w:rsidR="00573AD5" w:rsidRDefault="00573AD5" w:rsidP="0030066D">
      <w:pPr>
        <w:rPr>
          <w:sz w:val="22"/>
          <w:szCs w:val="22"/>
          <w:lang w:val="ro-RO"/>
        </w:rPr>
      </w:pPr>
      <w:r>
        <w:br w:type="page"/>
      </w:r>
    </w:p>
    <w:p w:rsidR="00573AD5" w:rsidRPr="0076579A" w:rsidRDefault="00573AD5" w:rsidP="0030066D">
      <w:pPr>
        <w:rPr>
          <w:color w:val="9E0880"/>
          <w:sz w:val="22"/>
          <w:szCs w:val="22"/>
          <w:lang w:val="ro-RO"/>
        </w:rPr>
      </w:pPr>
    </w:p>
    <w:p w:rsidR="00573AD5" w:rsidRPr="0076579A" w:rsidRDefault="00573AD5" w:rsidP="00E0390B">
      <w:pPr>
        <w:pStyle w:val="Hdg2"/>
        <w:numPr>
          <w:ilvl w:val="0"/>
          <w:numId w:val="0"/>
        </w:numPr>
        <w:ind w:left="1106"/>
      </w:pPr>
      <w:bookmarkStart w:id="542" w:name="_Toc398303864"/>
      <w:bookmarkStart w:id="543" w:name="_Toc413058179"/>
      <w:bookmarkStart w:id="544" w:name="_Toc413060327"/>
      <w:r w:rsidRPr="0076579A">
        <w:t>Analiza multi-criterială</w:t>
      </w:r>
      <w:bookmarkEnd w:id="542"/>
      <w:bookmarkEnd w:id="543"/>
      <w:bookmarkEnd w:id="544"/>
    </w:p>
    <w:p w:rsidR="00573AD5" w:rsidRDefault="00573AD5" w:rsidP="002B7E09">
      <w:pPr>
        <w:pStyle w:val="NumberedParas"/>
      </w:pPr>
      <w:r w:rsidRPr="0076579A">
        <w:t xml:space="preserve">După cum a fost menționat în sub-capitolul 2.8, este foarte importantă stabilirea unei liste de priorități în ceea ce privește proiectele în momentul implementării Masterplan-ului, dat fiind faptul că programul de investiții necesar rezultat este considerabil mai mare decât fondurile alocate disponibile. Acest lucru implică faptul că este necesară stabilirea ordinei importanței proiectelor  urmărind un set predefinit de criterii de evaluare, asigurând astfel corectitudinea și imparțialitatea în momentul stabilirii priorităților. Prin adăugarea restricțiilor de finanțare la lista proiectelor dispuse în ordinea importanței se poate obține un calendar de implementare a acestora. În urma evaluării multi-criteriale s-a stabilit o lista de priorități în ceea ce privește proiectele, prezentată în </w:t>
      </w:r>
      <w:r>
        <w:t>Tabelul 5.</w:t>
      </w:r>
      <w:r w:rsidRPr="0076579A">
        <w:t xml:space="preserve">14. </w:t>
      </w:r>
    </w:p>
    <w:p w:rsidR="00573AD5" w:rsidRPr="00BC604A" w:rsidRDefault="00573AD5" w:rsidP="0030066D">
      <w:pPr>
        <w:pStyle w:val="ListParagraph"/>
        <w:spacing w:before="120" w:after="120" w:line="276" w:lineRule="auto"/>
        <w:ind w:left="680"/>
        <w:rPr>
          <w:b/>
          <w:sz w:val="22"/>
          <w:szCs w:val="22"/>
          <w:lang w:val="ro-RO"/>
        </w:rPr>
      </w:pPr>
      <w:r w:rsidRPr="00BC604A">
        <w:rPr>
          <w:b/>
          <w:sz w:val="22"/>
          <w:szCs w:val="22"/>
          <w:lang w:val="ro-RO"/>
        </w:rPr>
        <w:t>Tabelul 5.14 Alocarea de fonduri pentru investițiile în rețeaua feroviară (milioane euro)</w:t>
      </w:r>
    </w:p>
    <w:tbl>
      <w:tblPr>
        <w:tblW w:w="960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3618"/>
        <w:gridCol w:w="4394"/>
      </w:tblGrid>
      <w:tr w:rsidR="00573AD5" w:rsidRPr="0076579A" w:rsidTr="0030066D">
        <w:tc>
          <w:tcPr>
            <w:tcW w:w="1593" w:type="dxa"/>
            <w:shd w:val="clear" w:color="auto" w:fill="C6D9F1" w:themeFill="text2" w:themeFillTint="33"/>
            <w:vAlign w:val="center"/>
            <w:hideMark/>
          </w:tcPr>
          <w:p w:rsidR="00573AD5" w:rsidRPr="0076579A" w:rsidRDefault="00573AD5" w:rsidP="00573AD5">
            <w:pPr>
              <w:spacing w:before="60" w:after="60"/>
              <w:jc w:val="center"/>
              <w:rPr>
                <w:bCs/>
                <w:sz w:val="22"/>
                <w:szCs w:val="22"/>
                <w:lang w:val="ro-RO"/>
              </w:rPr>
            </w:pPr>
            <w:r w:rsidRPr="0076579A">
              <w:rPr>
                <w:bCs/>
                <w:sz w:val="22"/>
                <w:szCs w:val="22"/>
                <w:lang w:val="ro-RO"/>
              </w:rPr>
              <w:t>2014-2020</w:t>
            </w:r>
          </w:p>
        </w:tc>
        <w:tc>
          <w:tcPr>
            <w:tcW w:w="3618" w:type="dxa"/>
            <w:shd w:val="clear" w:color="auto" w:fill="C6D9F1" w:themeFill="text2" w:themeFillTint="33"/>
            <w:vAlign w:val="center"/>
            <w:hideMark/>
          </w:tcPr>
          <w:p w:rsidR="00573AD5" w:rsidRPr="0076579A" w:rsidRDefault="00573AD5" w:rsidP="00573AD5">
            <w:pPr>
              <w:spacing w:before="60" w:after="60"/>
              <w:jc w:val="center"/>
              <w:rPr>
                <w:bCs/>
                <w:sz w:val="22"/>
                <w:szCs w:val="22"/>
                <w:lang w:val="ro-RO"/>
              </w:rPr>
            </w:pPr>
            <w:r w:rsidRPr="0076579A">
              <w:rPr>
                <w:bCs/>
                <w:sz w:val="22"/>
                <w:szCs w:val="22"/>
                <w:lang w:val="ro-RO"/>
              </w:rPr>
              <w:t>2021-2030</w:t>
            </w:r>
          </w:p>
        </w:tc>
        <w:tc>
          <w:tcPr>
            <w:tcW w:w="4394" w:type="dxa"/>
            <w:shd w:val="clear" w:color="auto" w:fill="C6D9F1" w:themeFill="text2" w:themeFillTint="33"/>
            <w:vAlign w:val="center"/>
            <w:hideMark/>
          </w:tcPr>
          <w:p w:rsidR="00573AD5" w:rsidRPr="0076579A" w:rsidRDefault="00573AD5" w:rsidP="00573AD5">
            <w:pPr>
              <w:spacing w:before="60" w:after="60"/>
              <w:jc w:val="center"/>
              <w:rPr>
                <w:bCs/>
                <w:sz w:val="22"/>
                <w:szCs w:val="22"/>
                <w:lang w:val="ro-RO"/>
              </w:rPr>
            </w:pPr>
            <w:r w:rsidRPr="0076579A">
              <w:rPr>
                <w:bCs/>
                <w:sz w:val="22"/>
                <w:szCs w:val="22"/>
                <w:lang w:val="ro-RO"/>
              </w:rPr>
              <w:t>2014-2030</w:t>
            </w:r>
          </w:p>
        </w:tc>
      </w:tr>
      <w:tr w:rsidR="00573AD5" w:rsidRPr="0076579A" w:rsidTr="0030066D">
        <w:tc>
          <w:tcPr>
            <w:tcW w:w="1593" w:type="dxa"/>
            <w:shd w:val="clear" w:color="auto" w:fill="auto"/>
            <w:vAlign w:val="center"/>
            <w:hideMark/>
          </w:tcPr>
          <w:p w:rsidR="00573AD5" w:rsidRPr="0076579A" w:rsidRDefault="00573AD5" w:rsidP="00573AD5">
            <w:pPr>
              <w:jc w:val="center"/>
              <w:rPr>
                <w:rFonts w:cs="Arial"/>
                <w:color w:val="000000"/>
                <w:sz w:val="22"/>
                <w:szCs w:val="22"/>
                <w:lang w:val="ro-RO"/>
              </w:rPr>
            </w:pPr>
            <w:r w:rsidRPr="0076579A">
              <w:rPr>
                <w:rFonts w:cs="Arial"/>
                <w:color w:val="000000"/>
                <w:sz w:val="22"/>
                <w:szCs w:val="22"/>
                <w:lang w:val="ro-RO"/>
              </w:rPr>
              <w:t>4.316</w:t>
            </w:r>
          </w:p>
        </w:tc>
        <w:tc>
          <w:tcPr>
            <w:tcW w:w="3618" w:type="dxa"/>
            <w:shd w:val="clear" w:color="auto" w:fill="auto"/>
            <w:vAlign w:val="center"/>
            <w:hideMark/>
          </w:tcPr>
          <w:p w:rsidR="00573AD5" w:rsidRPr="0076579A" w:rsidRDefault="00573AD5" w:rsidP="00573AD5">
            <w:pPr>
              <w:jc w:val="center"/>
              <w:rPr>
                <w:rFonts w:cs="Arial"/>
                <w:color w:val="000000"/>
                <w:sz w:val="22"/>
                <w:szCs w:val="22"/>
                <w:lang w:val="ro-RO"/>
              </w:rPr>
            </w:pPr>
            <w:r w:rsidRPr="0076579A">
              <w:rPr>
                <w:rFonts w:cs="Arial"/>
                <w:color w:val="000000"/>
                <w:sz w:val="22"/>
                <w:szCs w:val="22"/>
                <w:lang w:val="ro-RO"/>
              </w:rPr>
              <w:t>11.077</w:t>
            </w:r>
          </w:p>
        </w:tc>
        <w:tc>
          <w:tcPr>
            <w:tcW w:w="4394" w:type="dxa"/>
            <w:shd w:val="clear" w:color="auto" w:fill="auto"/>
            <w:vAlign w:val="center"/>
            <w:hideMark/>
          </w:tcPr>
          <w:p w:rsidR="00573AD5" w:rsidRPr="0076579A" w:rsidRDefault="00573AD5" w:rsidP="00573AD5">
            <w:pPr>
              <w:jc w:val="center"/>
              <w:rPr>
                <w:rFonts w:cs="Arial"/>
                <w:color w:val="000000"/>
                <w:sz w:val="22"/>
                <w:szCs w:val="22"/>
                <w:lang w:val="ro-RO"/>
              </w:rPr>
            </w:pPr>
            <w:r w:rsidRPr="0076579A">
              <w:rPr>
                <w:rFonts w:cs="Arial"/>
                <w:color w:val="000000"/>
                <w:sz w:val="22"/>
                <w:szCs w:val="22"/>
                <w:lang w:val="ro-RO"/>
              </w:rPr>
              <w:t>15.393</w:t>
            </w:r>
          </w:p>
        </w:tc>
      </w:tr>
    </w:tbl>
    <w:p w:rsidR="00573AD5" w:rsidRPr="0076579A" w:rsidRDefault="00573AD5" w:rsidP="00E0390B">
      <w:pPr>
        <w:pStyle w:val="NumberedParas"/>
        <w:numPr>
          <w:ilvl w:val="0"/>
          <w:numId w:val="0"/>
        </w:numPr>
        <w:ind w:left="1106" w:hanging="680"/>
      </w:pPr>
    </w:p>
    <w:p w:rsidR="00573AD5" w:rsidRDefault="00573AD5" w:rsidP="002B7E09">
      <w:pPr>
        <w:pStyle w:val="NumberedParas"/>
      </w:pPr>
      <w:r w:rsidRPr="0076579A">
        <w:t xml:space="preserve">Faptul că </w:t>
      </w:r>
      <w:r w:rsidRPr="00573AD5">
        <w:t>gruparea</w:t>
      </w:r>
      <w:r w:rsidRPr="0076579A">
        <w:t xml:space="preserve"> finală a proiectelor este efectuată utilizând analiza modelului și analiza financiară, nu este un proces pur mecanic. La fiecare etapă, echipa responsabilă cu realizarea masterplan-ului a efectuat teste pentru verificarea conformării cu realitatea și pentru a se asigura că procesul nu generează o rețea cu conectivitate defectuoasă sau o rețea în care proiectele să fie implementate într-o manieră ilogică.</w:t>
      </w:r>
      <w:r w:rsidR="00262136">
        <w:t xml:space="preserve"> </w:t>
      </w:r>
      <w:r w:rsidRPr="0076579A">
        <w:t xml:space="preserve">De asemenea, </w:t>
      </w:r>
      <w:r>
        <w:t>alte criterii suplimentare au fost gradul de maturitate al proiectelor, care poate conduce la promovarea ca prioritate a acelor proiectare aflate într-un stadiu avansat de pregătire, precum și bugetele disponibile la nivelul anilor 2020 și 2030.</w:t>
      </w:r>
    </w:p>
    <w:p w:rsidR="00573AD5" w:rsidRPr="0076579A" w:rsidRDefault="00573AD5" w:rsidP="002B7E09">
      <w:pPr>
        <w:pStyle w:val="NumberedParas"/>
      </w:pPr>
      <w:r w:rsidRPr="0076579A">
        <w:t>În această privință, s-au efectuat următoarele modificări ale priorităților:</w:t>
      </w:r>
    </w:p>
    <w:p w:rsidR="00573AD5" w:rsidRPr="0076579A" w:rsidRDefault="00573AD5" w:rsidP="00573AD5">
      <w:pPr>
        <w:pStyle w:val="BulletLevel1"/>
        <w:spacing w:after="60"/>
      </w:pPr>
      <w:r w:rsidRPr="0076579A">
        <w:t>DS01A București - Ungaria via Brașov + Teiuș - Cluj. Reabilitarea liniei la viteza proiectată a fost stabilită ca fiind prioritară în anul 2020. Acest lucru implică, de fapt, reabilitarea coridorului IV Nord, care în prezent este o prioritate mare pentru România, dar și pentru obiectivele CE.</w:t>
      </w:r>
    </w:p>
    <w:p w:rsidR="00573AD5" w:rsidRPr="0076579A" w:rsidRDefault="00573AD5" w:rsidP="00573AD5">
      <w:pPr>
        <w:pStyle w:val="BulletLevel1"/>
        <w:spacing w:after="60"/>
      </w:pPr>
      <w:r w:rsidRPr="0076579A">
        <w:t>În 2020 vor fi disponibili aproximativ 2.4 miliarde euro, din care Etapa 1 din DN04A București – Iași via Bacău + Buzău – Galați + Pașcani - Ucraina. Este recomandată reabilitarea rețelei la viteza proiectată. Acest lucru impune reabilitarea secțiunii București-Săbăoani la viteza proiectată.</w:t>
      </w:r>
    </w:p>
    <w:p w:rsidR="00573AD5" w:rsidRPr="0076579A" w:rsidRDefault="00573AD5" w:rsidP="0030066D">
      <w:pPr>
        <w:rPr>
          <w:lang w:val="ro-RO"/>
        </w:rPr>
      </w:pPr>
    </w:p>
    <w:p w:rsidR="00573AD5" w:rsidRDefault="00573AD5" w:rsidP="0030066D"/>
    <w:p w:rsidR="00573AD5" w:rsidRPr="00B51990" w:rsidRDefault="00573AD5" w:rsidP="0030066D">
      <w:pPr>
        <w:pStyle w:val="Body"/>
        <w:rPr>
          <w:lang w:val="ro-RO"/>
        </w:rPr>
        <w:sectPr w:rsidR="00573AD5" w:rsidRPr="00B51990" w:rsidSect="00BC7702">
          <w:pgSz w:w="11907" w:h="16840" w:code="9"/>
          <w:pgMar w:top="1418" w:right="709" w:bottom="1418" w:left="907" w:header="357" w:footer="567" w:gutter="0"/>
          <w:cols w:space="187"/>
          <w:docGrid w:linePitch="360"/>
        </w:sectPr>
      </w:pPr>
    </w:p>
    <w:p w:rsidR="00573AD5" w:rsidRPr="0076579A" w:rsidRDefault="00573AD5" w:rsidP="00573AD5">
      <w:pPr>
        <w:pStyle w:val="Hdg2"/>
        <w:tabs>
          <w:tab w:val="clear" w:pos="2280"/>
          <w:tab w:val="num" w:pos="1146"/>
        </w:tabs>
        <w:ind w:left="1106"/>
      </w:pPr>
      <w:bookmarkStart w:id="545" w:name="_Toc398303867"/>
      <w:bookmarkStart w:id="546" w:name="_Toc413058180"/>
      <w:bookmarkStart w:id="547" w:name="_Toc413060328"/>
      <w:r w:rsidRPr="0076579A">
        <w:lastRenderedPageBreak/>
        <w:t>Rezumat al intervențiilor</w:t>
      </w:r>
      <w:bookmarkEnd w:id="545"/>
      <w:bookmarkEnd w:id="546"/>
      <w:bookmarkEnd w:id="547"/>
    </w:p>
    <w:p w:rsidR="00573AD5" w:rsidRPr="0076579A" w:rsidRDefault="00573AD5" w:rsidP="00573AD5">
      <w:pPr>
        <w:spacing w:after="120"/>
        <w:rPr>
          <w:b/>
          <w:sz w:val="22"/>
          <w:szCs w:val="22"/>
          <w:lang w:val="ro-RO"/>
        </w:rPr>
      </w:pPr>
      <w:r>
        <w:rPr>
          <w:b/>
          <w:sz w:val="22"/>
          <w:szCs w:val="22"/>
          <w:lang w:val="ro-RO"/>
        </w:rPr>
        <w:t>Tabelul 5.</w:t>
      </w:r>
      <w:r w:rsidRPr="0076579A">
        <w:rPr>
          <w:b/>
          <w:sz w:val="22"/>
          <w:szCs w:val="22"/>
          <w:lang w:val="ro-RO"/>
        </w:rPr>
        <w:t>14: Rezultate ale analizei multi-criteriale – Proiecte feroviare</w:t>
      </w:r>
    </w:p>
    <w:tbl>
      <w:tblPr>
        <w:tblW w:w="5000" w:type="pct"/>
        <w:tblLook w:val="04A0" w:firstRow="1" w:lastRow="0" w:firstColumn="1" w:lastColumn="0" w:noHBand="0" w:noVBand="1"/>
      </w:tblPr>
      <w:tblGrid>
        <w:gridCol w:w="535"/>
        <w:gridCol w:w="535"/>
        <w:gridCol w:w="1052"/>
        <w:gridCol w:w="4411"/>
        <w:gridCol w:w="2383"/>
        <w:gridCol w:w="1217"/>
        <w:gridCol w:w="1217"/>
        <w:gridCol w:w="1217"/>
        <w:gridCol w:w="296"/>
        <w:gridCol w:w="1357"/>
      </w:tblGrid>
      <w:tr w:rsidR="00573AD5" w:rsidRPr="008B57DD" w:rsidTr="0030066D">
        <w:trPr>
          <w:trHeight w:val="1002"/>
          <w:tblHeader/>
        </w:trPr>
        <w:tc>
          <w:tcPr>
            <w:tcW w:w="188"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 </w:t>
            </w:r>
          </w:p>
        </w:tc>
        <w:tc>
          <w:tcPr>
            <w:tcW w:w="558" w:type="pct"/>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Code</w:t>
            </w:r>
          </w:p>
        </w:tc>
        <w:tc>
          <w:tcPr>
            <w:tcW w:w="155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Project Description</w:t>
            </w:r>
          </w:p>
        </w:tc>
        <w:tc>
          <w:tcPr>
            <w:tcW w:w="83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TEN-T</w:t>
            </w:r>
          </w:p>
        </w:tc>
        <w:tc>
          <w:tcPr>
            <w:tcW w:w="42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Score</w:t>
            </w:r>
          </w:p>
        </w:tc>
        <w:tc>
          <w:tcPr>
            <w:tcW w:w="42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EIRR</w:t>
            </w:r>
          </w:p>
        </w:tc>
        <w:tc>
          <w:tcPr>
            <w:tcW w:w="428"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Cost (2014 prices)</w:t>
            </w:r>
          </w:p>
        </w:tc>
        <w:tc>
          <w:tcPr>
            <w:tcW w:w="104" w:type="pct"/>
            <w:tcBorders>
              <w:top w:val="nil"/>
              <w:left w:val="nil"/>
              <w:bottom w:val="nil"/>
              <w:right w:val="nil"/>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 </w:t>
            </w:r>
          </w:p>
        </w:tc>
        <w:tc>
          <w:tcPr>
            <w:tcW w:w="477"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573AD5" w:rsidRPr="00267789" w:rsidRDefault="00573AD5" w:rsidP="0030066D">
            <w:pPr>
              <w:jc w:val="center"/>
              <w:rPr>
                <w:rFonts w:cs="Arial"/>
                <w:b/>
                <w:bCs/>
                <w:sz w:val="20"/>
                <w:szCs w:val="20"/>
                <w:lang w:val="en-US"/>
              </w:rPr>
            </w:pPr>
            <w:r w:rsidRPr="00267789">
              <w:rPr>
                <w:rFonts w:cs="Arial"/>
                <w:b/>
                <w:bCs/>
                <w:sz w:val="20"/>
                <w:szCs w:val="20"/>
                <w:lang w:val="en-US"/>
              </w:rPr>
              <w:t>Cumulated Cost</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w:t>
            </w:r>
          </w:p>
        </w:tc>
        <w:tc>
          <w:tcPr>
            <w:tcW w:w="188" w:type="pct"/>
            <w:vMerge w:val="restart"/>
            <w:tcBorders>
              <w:top w:val="nil"/>
              <w:left w:val="single" w:sz="4" w:space="0" w:color="auto"/>
              <w:bottom w:val="nil"/>
              <w:right w:val="single" w:sz="4" w:space="0" w:color="auto"/>
            </w:tcBorders>
            <w:shd w:val="clear" w:color="000000" w:fill="FFFFFF"/>
            <w:textDirection w:val="btLr"/>
            <w:vAlign w:val="center"/>
            <w:hideMark/>
          </w:tcPr>
          <w:p w:rsidR="00573AD5" w:rsidRPr="00267789" w:rsidRDefault="00262136" w:rsidP="0030066D">
            <w:pPr>
              <w:jc w:val="center"/>
              <w:rPr>
                <w:rFonts w:cs="Arial"/>
                <w:b/>
                <w:bCs/>
                <w:color w:val="000000"/>
                <w:sz w:val="20"/>
                <w:szCs w:val="20"/>
                <w:lang w:val="en-US"/>
              </w:rPr>
            </w:pPr>
            <w:r>
              <w:rPr>
                <w:rFonts w:cs="Arial"/>
                <w:b/>
                <w:bCs/>
                <w:color w:val="000000"/>
                <w:sz w:val="20"/>
                <w:szCs w:val="20"/>
                <w:lang w:val="en-US"/>
              </w:rPr>
              <w:t>Feroviar</w:t>
            </w: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DS10R</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262136" w:rsidP="00262136">
            <w:pPr>
              <w:rPr>
                <w:rFonts w:cs="Arial"/>
                <w:color w:val="000000"/>
                <w:sz w:val="20"/>
                <w:szCs w:val="20"/>
                <w:lang w:val="en-US"/>
              </w:rPr>
            </w:pPr>
            <w:r>
              <w:rPr>
                <w:rFonts w:cs="Arial"/>
                <w:color w:val="000000"/>
                <w:sz w:val="20"/>
                <w:szCs w:val="20"/>
                <w:lang w:val="en-US"/>
              </w:rPr>
              <w:t xml:space="preserve">Intervenții de urgență pe secțiunea București – Giurgiu </w:t>
            </w:r>
            <w:r w:rsidR="00573AD5" w:rsidRPr="00267789">
              <w:rPr>
                <w:rFonts w:cs="Arial"/>
                <w:color w:val="000000"/>
                <w:sz w:val="20"/>
                <w:szCs w:val="20"/>
                <w:lang w:val="en-US"/>
              </w:rPr>
              <w:t xml:space="preserve"> via Gradistea</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80.0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49.0%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0.0</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0.0</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DS11R</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Intervenții de urgență pe secțiunea Craiova -</w:t>
            </w:r>
            <w:r w:rsidR="00573AD5" w:rsidRPr="00267789">
              <w:rPr>
                <w:rFonts w:cs="Arial"/>
                <w:color w:val="000000"/>
                <w:sz w:val="20"/>
                <w:szCs w:val="20"/>
                <w:lang w:val="en-US"/>
              </w:rPr>
              <w:t>Calafat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50.5</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23.0%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1.5</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1.5</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3</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DS03R</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 xml:space="preserve">Intervenții de urgență pe secțiunea </w:t>
            </w:r>
            <w:r w:rsidR="00573AD5" w:rsidRPr="00267789">
              <w:rPr>
                <w:rFonts w:cs="Arial"/>
                <w:color w:val="000000"/>
                <w:sz w:val="20"/>
                <w:szCs w:val="20"/>
                <w:lang w:val="en-US"/>
              </w:rPr>
              <w:t>B</w:t>
            </w:r>
            <w:r>
              <w:rPr>
                <w:rFonts w:cs="Arial"/>
                <w:color w:val="000000"/>
                <w:sz w:val="20"/>
                <w:szCs w:val="20"/>
                <w:lang w:val="en-US"/>
              </w:rPr>
              <w:t xml:space="preserve">ucurești - Arad via Craiova și </w:t>
            </w:r>
            <w:r w:rsidR="00573AD5" w:rsidRPr="00267789">
              <w:rPr>
                <w:rFonts w:cs="Arial"/>
                <w:color w:val="000000"/>
                <w:sz w:val="20"/>
                <w:szCs w:val="20"/>
                <w:lang w:val="en-US"/>
              </w:rPr>
              <w:t>Timisoara</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49.2</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21.9%</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73.2</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74.7</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DS04R</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 xml:space="preserve">Intervenții de urgență pe secțiunea </w:t>
            </w:r>
            <w:r w:rsidR="00573AD5" w:rsidRPr="00267789">
              <w:rPr>
                <w:rFonts w:cs="Arial"/>
                <w:color w:val="000000"/>
                <w:sz w:val="20"/>
                <w:szCs w:val="20"/>
                <w:lang w:val="en-US"/>
              </w:rPr>
              <w:t>B</w:t>
            </w:r>
            <w:r>
              <w:rPr>
                <w:rFonts w:cs="Arial"/>
                <w:color w:val="000000"/>
                <w:sz w:val="20"/>
                <w:szCs w:val="20"/>
                <w:lang w:val="en-US"/>
              </w:rPr>
              <w:t>ucurești -</w:t>
            </w:r>
            <w:r w:rsidR="00573AD5" w:rsidRPr="00267789">
              <w:rPr>
                <w:rFonts w:cs="Arial"/>
                <w:color w:val="000000"/>
                <w:sz w:val="20"/>
                <w:szCs w:val="20"/>
                <w:lang w:val="en-US"/>
              </w:rPr>
              <w:t xml:space="preserve">Iasi via Bacau + Buzau to Galati + Pascani </w:t>
            </w:r>
            <w:r>
              <w:rPr>
                <w:rFonts w:cs="Arial"/>
                <w:color w:val="000000"/>
                <w:sz w:val="20"/>
                <w:szCs w:val="20"/>
                <w:lang w:val="en-US"/>
              </w:rPr>
              <w:t xml:space="preserve">granița </w:t>
            </w:r>
            <w:r w:rsidR="00573AD5" w:rsidRPr="00267789">
              <w:rPr>
                <w:rFonts w:cs="Arial"/>
                <w:color w:val="000000"/>
                <w:sz w:val="20"/>
                <w:szCs w:val="20"/>
                <w:lang w:val="en-US"/>
              </w:rPr>
              <w:t>U</w:t>
            </w:r>
            <w:r>
              <w:rPr>
                <w:rFonts w:cs="Arial"/>
                <w:color w:val="000000"/>
                <w:sz w:val="20"/>
                <w:szCs w:val="20"/>
                <w:lang w:val="en-US"/>
              </w:rPr>
              <w:t>craina</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45.4</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18.6%</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90.7</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165.4</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5</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DS06R</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 xml:space="preserve">Intervenții de urgență pe secțiunea </w:t>
            </w:r>
            <w:r w:rsidR="00573AD5" w:rsidRPr="00267789">
              <w:rPr>
                <w:rFonts w:cs="Arial"/>
                <w:color w:val="000000"/>
                <w:sz w:val="20"/>
                <w:szCs w:val="20"/>
                <w:lang w:val="en-US"/>
              </w:rPr>
              <w:t xml:space="preserve">Cluj-Napoca </w:t>
            </w:r>
            <w:r>
              <w:rPr>
                <w:rFonts w:cs="Arial"/>
                <w:color w:val="000000"/>
                <w:sz w:val="20"/>
                <w:szCs w:val="20"/>
                <w:lang w:val="en-US"/>
              </w:rPr>
              <w:t>-</w:t>
            </w:r>
            <w:r w:rsidR="00573AD5" w:rsidRPr="00267789">
              <w:rPr>
                <w:rFonts w:cs="Arial"/>
                <w:color w:val="000000"/>
                <w:sz w:val="20"/>
                <w:szCs w:val="20"/>
                <w:lang w:val="en-US"/>
              </w:rPr>
              <w:t xml:space="preserve"> Iasi</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45.2</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18.4%</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52.5</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217.9</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6</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DS10A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 xml:space="preserve">București - </w:t>
            </w:r>
            <w:r w:rsidR="00573AD5" w:rsidRPr="00267789">
              <w:rPr>
                <w:rFonts w:cs="Arial"/>
                <w:color w:val="000000"/>
                <w:sz w:val="20"/>
                <w:szCs w:val="20"/>
                <w:lang w:val="en-US"/>
              </w:rPr>
              <w:t xml:space="preserve"> Giurgiu via Gradistea. </w:t>
            </w:r>
            <w:r>
              <w:rPr>
                <w:rFonts w:cs="Arial"/>
                <w:color w:val="000000"/>
                <w:sz w:val="20"/>
                <w:szCs w:val="20"/>
                <w:lang w:val="en-US"/>
              </w:rPr>
              <w:t>Reabilitare la viteza proiectată</w:t>
            </w:r>
            <w:r w:rsidR="00573AD5"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34.1</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13.9%</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144.5</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362.3</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7</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DS03S</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203095">
            <w:pPr>
              <w:rPr>
                <w:rFonts w:cs="Arial"/>
                <w:color w:val="000000"/>
                <w:sz w:val="20"/>
                <w:szCs w:val="20"/>
                <w:lang w:val="en-US"/>
              </w:rPr>
            </w:pPr>
            <w:r>
              <w:rPr>
                <w:rFonts w:cs="Arial"/>
                <w:color w:val="000000"/>
                <w:sz w:val="20"/>
                <w:szCs w:val="20"/>
                <w:lang w:val="en-US"/>
              </w:rPr>
              <w:t>Test coridor marfă</w:t>
            </w:r>
            <w:r w:rsidR="00573AD5" w:rsidRPr="00267789">
              <w:rPr>
                <w:rFonts w:cs="Arial"/>
                <w:color w:val="000000"/>
                <w:sz w:val="20"/>
                <w:szCs w:val="20"/>
                <w:lang w:val="en-US"/>
              </w:rPr>
              <w:t xml:space="preserve"> Filiasi - Tg Jiu</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33.3</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16.7%</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6.1</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368.4</w:t>
            </w:r>
          </w:p>
        </w:tc>
      </w:tr>
      <w:tr w:rsidR="00573AD5" w:rsidRPr="00267789" w:rsidTr="001F544B">
        <w:trPr>
          <w:trHeight w:val="60"/>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8</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DS01R</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 xml:space="preserve">Intervenții de urgență pe secțiunea </w:t>
            </w:r>
            <w:r w:rsidR="00573AD5" w:rsidRPr="00267789">
              <w:rPr>
                <w:rFonts w:cs="Arial"/>
                <w:color w:val="000000"/>
                <w:sz w:val="20"/>
                <w:szCs w:val="20"/>
                <w:lang w:val="en-US"/>
              </w:rPr>
              <w:t>Buc</w:t>
            </w:r>
            <w:r>
              <w:rPr>
                <w:rFonts w:cs="Arial"/>
                <w:color w:val="000000"/>
                <w:sz w:val="20"/>
                <w:szCs w:val="20"/>
                <w:lang w:val="en-US"/>
              </w:rPr>
              <w:t xml:space="preserve">urești </w:t>
            </w:r>
            <w:r w:rsidR="00573AD5" w:rsidRPr="00267789">
              <w:rPr>
                <w:rFonts w:cs="Arial"/>
                <w:color w:val="000000"/>
                <w:sz w:val="20"/>
                <w:szCs w:val="20"/>
                <w:lang w:val="en-US"/>
              </w:rPr>
              <w:t xml:space="preserve"> </w:t>
            </w:r>
            <w:r>
              <w:rPr>
                <w:rFonts w:cs="Arial"/>
                <w:color w:val="000000"/>
                <w:sz w:val="20"/>
                <w:szCs w:val="20"/>
                <w:lang w:val="en-US"/>
              </w:rPr>
              <w:t>granița Ungaria</w:t>
            </w:r>
            <w:r w:rsidR="00573AD5" w:rsidRPr="00267789">
              <w:rPr>
                <w:rFonts w:cs="Arial"/>
                <w:color w:val="000000"/>
                <w:sz w:val="20"/>
                <w:szCs w:val="20"/>
                <w:lang w:val="en-US"/>
              </w:rPr>
              <w:t xml:space="preserve"> via Brasov + Teius </w:t>
            </w:r>
            <w:r>
              <w:rPr>
                <w:rFonts w:cs="Arial"/>
                <w:color w:val="000000"/>
                <w:sz w:val="20"/>
                <w:szCs w:val="20"/>
                <w:lang w:val="en-US"/>
              </w:rPr>
              <w:t>-</w:t>
            </w:r>
            <w:r w:rsidR="00573AD5" w:rsidRPr="00267789">
              <w:rPr>
                <w:rFonts w:cs="Arial"/>
                <w:color w:val="000000"/>
                <w:sz w:val="20"/>
                <w:szCs w:val="20"/>
                <w:lang w:val="en-US"/>
              </w:rPr>
              <w:t xml:space="preserve"> Cluj</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30.0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29.5%</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67.7</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436.1</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9</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DS04A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1F544B">
            <w:pPr>
              <w:rPr>
                <w:rFonts w:cs="Arial"/>
                <w:color w:val="000000"/>
                <w:sz w:val="20"/>
                <w:szCs w:val="20"/>
                <w:lang w:val="en-US"/>
              </w:rPr>
            </w:pPr>
            <w:r>
              <w:rPr>
                <w:rFonts w:cs="Arial"/>
                <w:color w:val="000000"/>
                <w:sz w:val="20"/>
                <w:szCs w:val="20"/>
                <w:lang w:val="en-US"/>
              </w:rPr>
              <w:t>București - Iasi via Bacau + Buzau - Galati + Pascani -</w:t>
            </w:r>
            <w:r w:rsidR="00573AD5" w:rsidRPr="00267789">
              <w:rPr>
                <w:rFonts w:cs="Arial"/>
                <w:color w:val="000000"/>
                <w:sz w:val="20"/>
                <w:szCs w:val="20"/>
                <w:lang w:val="en-US"/>
              </w:rPr>
              <w:t xml:space="preserve"> </w:t>
            </w:r>
            <w:r>
              <w:rPr>
                <w:rFonts w:cs="Arial"/>
                <w:color w:val="000000"/>
                <w:sz w:val="20"/>
                <w:szCs w:val="20"/>
                <w:lang w:val="en-US"/>
              </w:rPr>
              <w:t>Ucraina</w:t>
            </w:r>
            <w:r w:rsidR="00573AD5" w:rsidRPr="00267789">
              <w:rPr>
                <w:rFonts w:cs="Arial"/>
                <w:color w:val="000000"/>
                <w:sz w:val="20"/>
                <w:szCs w:val="20"/>
                <w:lang w:val="en-US"/>
              </w:rPr>
              <w:t xml:space="preserve">. </w:t>
            </w:r>
            <w:r>
              <w:rPr>
                <w:rFonts w:cs="Arial"/>
                <w:color w:val="000000"/>
                <w:sz w:val="20"/>
                <w:szCs w:val="20"/>
                <w:lang w:val="en-US"/>
              </w:rPr>
              <w:t>Reabilitare la viteza proiectată</w:t>
            </w:r>
            <w:r w:rsidR="00573AD5"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27.3</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7.9%</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2,360.2</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2,796.3</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10</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DS02A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1F544B" w:rsidP="00203095">
            <w:pPr>
              <w:rPr>
                <w:rFonts w:cs="Arial"/>
                <w:color w:val="000000"/>
                <w:sz w:val="20"/>
                <w:szCs w:val="20"/>
                <w:lang w:val="en-US"/>
              </w:rPr>
            </w:pPr>
            <w:r>
              <w:rPr>
                <w:rFonts w:cs="Arial"/>
                <w:color w:val="000000"/>
                <w:sz w:val="20"/>
                <w:szCs w:val="20"/>
                <w:lang w:val="en-US"/>
              </w:rPr>
              <w:t>București -</w:t>
            </w:r>
            <w:r w:rsidR="00573AD5" w:rsidRPr="00267789">
              <w:rPr>
                <w:rFonts w:cs="Arial"/>
                <w:color w:val="000000"/>
                <w:sz w:val="20"/>
                <w:szCs w:val="20"/>
                <w:lang w:val="en-US"/>
              </w:rPr>
              <w:t xml:space="preserve"> Constanta. </w:t>
            </w:r>
            <w:r w:rsidR="00203095">
              <w:rPr>
                <w:rFonts w:cs="Arial"/>
                <w:color w:val="000000"/>
                <w:sz w:val="20"/>
                <w:szCs w:val="20"/>
                <w:lang w:val="en-US"/>
              </w:rPr>
              <w:t xml:space="preserve">Material rulant nou și grafi de mers modificat </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25.6</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6.4%</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2,375.1</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5,171.4</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11</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DS01A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203095" w:rsidP="00203095">
            <w:pPr>
              <w:rPr>
                <w:rFonts w:cs="Arial"/>
                <w:color w:val="000000"/>
                <w:sz w:val="20"/>
                <w:szCs w:val="20"/>
                <w:lang w:val="en-US"/>
              </w:rPr>
            </w:pPr>
            <w:r>
              <w:rPr>
                <w:rFonts w:cs="Arial"/>
                <w:color w:val="000000"/>
                <w:sz w:val="20"/>
                <w:szCs w:val="20"/>
                <w:lang w:val="en-US"/>
              </w:rPr>
              <w:t>București  - Granița Ungaria</w:t>
            </w:r>
            <w:r w:rsidR="00573AD5" w:rsidRPr="00267789">
              <w:rPr>
                <w:rFonts w:cs="Arial"/>
                <w:color w:val="000000"/>
                <w:sz w:val="20"/>
                <w:szCs w:val="20"/>
                <w:lang w:val="en-US"/>
              </w:rPr>
              <w:t xml:space="preserve"> via Brasov + Teius </w:t>
            </w:r>
            <w:r>
              <w:rPr>
                <w:rFonts w:cs="Arial"/>
                <w:color w:val="000000"/>
                <w:sz w:val="20"/>
                <w:szCs w:val="20"/>
                <w:lang w:val="en-US"/>
              </w:rPr>
              <w:t>-</w:t>
            </w:r>
            <w:r w:rsidR="00573AD5" w:rsidRPr="00267789">
              <w:rPr>
                <w:rFonts w:cs="Arial"/>
                <w:color w:val="000000"/>
                <w:sz w:val="20"/>
                <w:szCs w:val="20"/>
                <w:lang w:val="en-US"/>
              </w:rPr>
              <w:t xml:space="preserve"> Cluj. </w:t>
            </w:r>
            <w:r>
              <w:rPr>
                <w:rFonts w:cs="Arial"/>
                <w:color w:val="000000"/>
                <w:sz w:val="20"/>
                <w:szCs w:val="20"/>
                <w:lang w:val="en-US"/>
              </w:rPr>
              <w:t>Reabilitare la viteza proiectată</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25.6</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6.4%</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2,375.1</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7,546.4</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12</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DS03A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203095" w:rsidP="00203095">
            <w:pPr>
              <w:rPr>
                <w:rFonts w:cs="Arial"/>
                <w:color w:val="000000"/>
                <w:sz w:val="20"/>
                <w:szCs w:val="20"/>
                <w:lang w:val="en-US"/>
              </w:rPr>
            </w:pPr>
            <w:r>
              <w:rPr>
                <w:rFonts w:cs="Arial"/>
                <w:color w:val="000000"/>
                <w:sz w:val="20"/>
                <w:szCs w:val="20"/>
                <w:lang w:val="en-US"/>
              </w:rPr>
              <w:t xml:space="preserve">București - </w:t>
            </w:r>
            <w:r w:rsidR="00573AD5" w:rsidRPr="00267789">
              <w:rPr>
                <w:rFonts w:cs="Arial"/>
                <w:color w:val="000000"/>
                <w:sz w:val="20"/>
                <w:szCs w:val="20"/>
                <w:lang w:val="en-US"/>
              </w:rPr>
              <w:t xml:space="preserve"> Arad via Craiova </w:t>
            </w:r>
            <w:r>
              <w:rPr>
                <w:rFonts w:cs="Arial"/>
                <w:color w:val="000000"/>
                <w:sz w:val="20"/>
                <w:szCs w:val="20"/>
                <w:lang w:val="en-US"/>
              </w:rPr>
              <w:t>ș</w:t>
            </w:r>
            <w:r w:rsidR="00573AD5" w:rsidRPr="00267789">
              <w:rPr>
                <w:rFonts w:cs="Arial"/>
                <w:color w:val="000000"/>
                <w:sz w:val="20"/>
                <w:szCs w:val="20"/>
                <w:lang w:val="en-US"/>
              </w:rPr>
              <w:t xml:space="preserve">Timisoara. </w:t>
            </w:r>
            <w:r>
              <w:rPr>
                <w:rFonts w:cs="Arial"/>
                <w:color w:val="000000"/>
                <w:sz w:val="20"/>
                <w:szCs w:val="20"/>
                <w:lang w:val="en-US"/>
              </w:rPr>
              <w:t>Reabilitare la viteza proiectată</w:t>
            </w:r>
            <w:r w:rsidR="00573AD5"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25.0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5.9%</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2,038.7</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9,585.2</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13</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DS11A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203095">
            <w:pPr>
              <w:rPr>
                <w:rFonts w:cs="Arial"/>
                <w:color w:val="000000"/>
                <w:sz w:val="20"/>
                <w:szCs w:val="20"/>
                <w:lang w:val="en-US"/>
              </w:rPr>
            </w:pPr>
            <w:r w:rsidRPr="00267789">
              <w:rPr>
                <w:rFonts w:cs="Arial"/>
                <w:color w:val="000000"/>
                <w:sz w:val="20"/>
                <w:szCs w:val="20"/>
                <w:lang w:val="en-US"/>
              </w:rPr>
              <w:t>Craiova</w:t>
            </w:r>
            <w:r w:rsidR="00203095">
              <w:rPr>
                <w:rFonts w:cs="Arial"/>
                <w:color w:val="000000"/>
                <w:sz w:val="20"/>
                <w:szCs w:val="20"/>
                <w:lang w:val="en-US"/>
              </w:rPr>
              <w:t xml:space="preserve"> -</w:t>
            </w:r>
            <w:r w:rsidRPr="00267789">
              <w:rPr>
                <w:rFonts w:cs="Arial"/>
                <w:color w:val="000000"/>
                <w:sz w:val="20"/>
                <w:szCs w:val="20"/>
                <w:lang w:val="en-US"/>
              </w:rPr>
              <w:t xml:space="preserve"> Calafat. </w:t>
            </w:r>
            <w:r w:rsidR="00203095">
              <w:rPr>
                <w:rFonts w:cs="Arial"/>
                <w:color w:val="000000"/>
                <w:sz w:val="20"/>
                <w:szCs w:val="20"/>
                <w:lang w:val="en-US"/>
              </w:rPr>
              <w:t>Reabilitare la viteza proiectată</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24.0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4.7%</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160.9</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9,746.0</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14</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DS06A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203095">
            <w:pPr>
              <w:rPr>
                <w:rFonts w:cs="Arial"/>
                <w:color w:val="000000"/>
                <w:sz w:val="20"/>
                <w:szCs w:val="20"/>
                <w:lang w:val="en-US"/>
              </w:rPr>
            </w:pPr>
            <w:r w:rsidRPr="00267789">
              <w:rPr>
                <w:rFonts w:cs="Arial"/>
                <w:color w:val="000000"/>
                <w:sz w:val="20"/>
                <w:szCs w:val="20"/>
                <w:lang w:val="en-US"/>
              </w:rPr>
              <w:t xml:space="preserve">Cluj-Napoca </w:t>
            </w:r>
            <w:r w:rsidR="00203095">
              <w:rPr>
                <w:rFonts w:cs="Arial"/>
                <w:color w:val="000000"/>
                <w:sz w:val="20"/>
                <w:szCs w:val="20"/>
                <w:lang w:val="en-US"/>
              </w:rPr>
              <w:t xml:space="preserve">- </w:t>
            </w:r>
            <w:r w:rsidRPr="00267789">
              <w:rPr>
                <w:rFonts w:cs="Arial"/>
                <w:color w:val="000000"/>
                <w:sz w:val="20"/>
                <w:szCs w:val="20"/>
                <w:lang w:val="en-US"/>
              </w:rPr>
              <w:t xml:space="preserve"> Iasi. </w:t>
            </w:r>
            <w:r w:rsidR="00203095">
              <w:rPr>
                <w:rFonts w:cs="Arial"/>
                <w:color w:val="000000"/>
                <w:sz w:val="20"/>
                <w:szCs w:val="20"/>
                <w:lang w:val="en-US"/>
              </w:rPr>
              <w:t>Reabilitare la viteza proiectată</w:t>
            </w:r>
            <w:r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Core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24.0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5.0%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1,087.0</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10,833.0</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15</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DS05B</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203095" w:rsidP="00203095">
            <w:pPr>
              <w:rPr>
                <w:rFonts w:cs="Arial"/>
                <w:color w:val="000000"/>
                <w:sz w:val="20"/>
                <w:szCs w:val="20"/>
                <w:lang w:val="en-US"/>
              </w:rPr>
            </w:pPr>
            <w:r>
              <w:rPr>
                <w:rFonts w:cs="Arial"/>
                <w:color w:val="000000"/>
                <w:sz w:val="20"/>
                <w:szCs w:val="20"/>
                <w:lang w:val="en-US"/>
              </w:rPr>
              <w:t>București -</w:t>
            </w:r>
            <w:r w:rsidR="00573AD5" w:rsidRPr="00267789">
              <w:rPr>
                <w:rFonts w:cs="Arial"/>
                <w:color w:val="000000"/>
                <w:sz w:val="20"/>
                <w:szCs w:val="20"/>
                <w:lang w:val="en-US"/>
              </w:rPr>
              <w:t xml:space="preserve"> Sibiu via Pitesti </w:t>
            </w:r>
            <w:r>
              <w:rPr>
                <w:rFonts w:cs="Arial"/>
                <w:color w:val="000000"/>
                <w:sz w:val="20"/>
                <w:szCs w:val="20"/>
                <w:lang w:val="en-US"/>
              </w:rPr>
              <w:t>și</w:t>
            </w:r>
            <w:r w:rsidR="00573AD5" w:rsidRPr="00267789">
              <w:rPr>
                <w:rFonts w:cs="Arial"/>
                <w:color w:val="000000"/>
                <w:sz w:val="20"/>
                <w:szCs w:val="20"/>
                <w:lang w:val="en-US"/>
              </w:rPr>
              <w:t xml:space="preserve"> Ramnicu Valcea. </w:t>
            </w:r>
            <w:r>
              <w:rPr>
                <w:rFonts w:cs="Arial"/>
                <w:color w:val="000000"/>
                <w:sz w:val="20"/>
                <w:szCs w:val="20"/>
                <w:lang w:val="en-US"/>
              </w:rPr>
              <w:t>Secțiune nouă, reabilitare la viteza proiectată și electrificare</w:t>
            </w:r>
            <w:r w:rsidR="00573AD5"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17.7</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8.3%</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1,130.4</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11,963.4</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lastRenderedPageBreak/>
              <w:t>16</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DS07B</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203095">
            <w:pPr>
              <w:rPr>
                <w:rFonts w:cs="Arial"/>
                <w:color w:val="000000"/>
                <w:sz w:val="20"/>
                <w:szCs w:val="20"/>
                <w:lang w:val="en-US"/>
              </w:rPr>
            </w:pPr>
            <w:r w:rsidRPr="00267789">
              <w:rPr>
                <w:rFonts w:cs="Arial"/>
                <w:color w:val="000000"/>
                <w:sz w:val="20"/>
                <w:szCs w:val="20"/>
                <w:lang w:val="en-US"/>
              </w:rPr>
              <w:t xml:space="preserve">Cluj-Napoca </w:t>
            </w:r>
            <w:r w:rsidR="00203095">
              <w:rPr>
                <w:rFonts w:cs="Arial"/>
                <w:color w:val="000000"/>
                <w:sz w:val="20"/>
                <w:szCs w:val="20"/>
                <w:lang w:val="en-US"/>
              </w:rPr>
              <w:t>-</w:t>
            </w:r>
            <w:r w:rsidRPr="00267789">
              <w:rPr>
                <w:rFonts w:cs="Arial"/>
                <w:color w:val="000000"/>
                <w:sz w:val="20"/>
                <w:szCs w:val="20"/>
                <w:lang w:val="en-US"/>
              </w:rPr>
              <w:t xml:space="preserve"> Oradea. </w:t>
            </w:r>
            <w:r w:rsidR="00203095">
              <w:rPr>
                <w:rFonts w:cs="Arial"/>
                <w:color w:val="000000"/>
                <w:sz w:val="20"/>
                <w:szCs w:val="20"/>
                <w:lang w:val="en-US"/>
              </w:rPr>
              <w:t>Reabilitare la viteze sporite, dublarea liniilor,</w:t>
            </w:r>
            <w:r w:rsidRPr="00267789">
              <w:rPr>
                <w:rFonts w:cs="Arial"/>
                <w:color w:val="000000"/>
                <w:sz w:val="20"/>
                <w:szCs w:val="20"/>
                <w:lang w:val="en-US"/>
              </w:rPr>
              <w:t xml:space="preserve"> electrifica</w:t>
            </w:r>
            <w:r w:rsidR="00203095">
              <w:rPr>
                <w:rFonts w:cs="Arial"/>
                <w:color w:val="000000"/>
                <w:sz w:val="20"/>
                <w:szCs w:val="20"/>
                <w:lang w:val="en-US"/>
              </w:rPr>
              <w:t>re</w:t>
            </w:r>
            <w:r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15.1</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6.0%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456.0</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12,419.4</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17</w:t>
            </w:r>
          </w:p>
        </w:tc>
        <w:tc>
          <w:tcPr>
            <w:tcW w:w="188" w:type="pct"/>
            <w:vMerge/>
            <w:tcBorders>
              <w:top w:val="nil"/>
              <w:left w:val="single" w:sz="4" w:space="0" w:color="auto"/>
              <w:bottom w:val="nil"/>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DS08A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203095">
            <w:pPr>
              <w:rPr>
                <w:rFonts w:cs="Arial"/>
                <w:color w:val="000000"/>
                <w:sz w:val="20"/>
                <w:szCs w:val="20"/>
                <w:lang w:val="en-US"/>
              </w:rPr>
            </w:pPr>
            <w:r w:rsidRPr="00267789">
              <w:rPr>
                <w:rFonts w:cs="Arial"/>
                <w:color w:val="000000"/>
                <w:sz w:val="20"/>
                <w:szCs w:val="20"/>
                <w:lang w:val="en-US"/>
              </w:rPr>
              <w:t xml:space="preserve">Oradea </w:t>
            </w:r>
            <w:r w:rsidR="00203095">
              <w:rPr>
                <w:rFonts w:cs="Arial"/>
                <w:color w:val="000000"/>
                <w:sz w:val="20"/>
                <w:szCs w:val="20"/>
                <w:lang w:val="en-US"/>
              </w:rPr>
              <w:t>-</w:t>
            </w:r>
            <w:r w:rsidRPr="00267789">
              <w:rPr>
                <w:rFonts w:cs="Arial"/>
                <w:color w:val="000000"/>
                <w:sz w:val="20"/>
                <w:szCs w:val="20"/>
                <w:lang w:val="en-US"/>
              </w:rPr>
              <w:t xml:space="preserve"> Timisoara. </w:t>
            </w:r>
            <w:r w:rsidR="00203095">
              <w:rPr>
                <w:rFonts w:cs="Arial"/>
                <w:color w:val="000000"/>
                <w:sz w:val="20"/>
                <w:szCs w:val="20"/>
                <w:lang w:val="en-US"/>
              </w:rPr>
              <w:t>Reabilitare la viteza proiectată</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14.0</w:t>
            </w:r>
          </w:p>
        </w:tc>
        <w:tc>
          <w:tcPr>
            <w:tcW w:w="4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b/>
                <w:bCs/>
                <w:color w:val="000000"/>
                <w:sz w:val="20"/>
                <w:szCs w:val="20"/>
                <w:lang w:val="en-US"/>
              </w:rPr>
            </w:pPr>
            <w:r w:rsidRPr="00267789">
              <w:rPr>
                <w:rFonts w:cs="Arial"/>
                <w:b/>
                <w:bCs/>
                <w:color w:val="000000"/>
                <w:sz w:val="20"/>
                <w:szCs w:val="20"/>
                <w:lang w:val="en-US"/>
              </w:rPr>
              <w:t>5.0%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234.0</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12,653.4</w:t>
            </w:r>
          </w:p>
        </w:tc>
      </w:tr>
      <w:tr w:rsidR="00573AD5" w:rsidRPr="00267789" w:rsidTr="0030066D">
        <w:trPr>
          <w:trHeight w:val="495"/>
        </w:trPr>
        <w:tc>
          <w:tcPr>
            <w:tcW w:w="188"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18</w:t>
            </w:r>
          </w:p>
        </w:tc>
        <w:tc>
          <w:tcPr>
            <w:tcW w:w="188" w:type="pct"/>
            <w:vMerge/>
            <w:tcBorders>
              <w:top w:val="nil"/>
              <w:left w:val="single" w:sz="4" w:space="0" w:color="auto"/>
              <w:bottom w:val="single" w:sz="4" w:space="0" w:color="auto"/>
              <w:right w:val="single" w:sz="4" w:space="0" w:color="auto"/>
            </w:tcBorders>
            <w:vAlign w:val="center"/>
            <w:hideMark/>
          </w:tcPr>
          <w:p w:rsidR="00573AD5" w:rsidRPr="00267789" w:rsidRDefault="00573AD5" w:rsidP="0030066D">
            <w:pPr>
              <w:rPr>
                <w:rFonts w:cs="Arial"/>
                <w:b/>
                <w:bCs/>
                <w:color w:val="000000"/>
                <w:sz w:val="20"/>
                <w:szCs w:val="20"/>
                <w:lang w:val="en-US"/>
              </w:rPr>
            </w:pPr>
          </w:p>
        </w:tc>
        <w:tc>
          <w:tcPr>
            <w:tcW w:w="370"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DS09A</w:t>
            </w:r>
          </w:p>
        </w:tc>
        <w:tc>
          <w:tcPr>
            <w:tcW w:w="1551"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203095">
            <w:pPr>
              <w:rPr>
                <w:rFonts w:cs="Arial"/>
                <w:color w:val="000000"/>
                <w:sz w:val="20"/>
                <w:szCs w:val="20"/>
                <w:lang w:val="en-US"/>
              </w:rPr>
            </w:pPr>
            <w:r w:rsidRPr="00267789">
              <w:rPr>
                <w:rFonts w:cs="Arial"/>
                <w:color w:val="000000"/>
                <w:sz w:val="20"/>
                <w:szCs w:val="20"/>
                <w:lang w:val="en-US"/>
              </w:rPr>
              <w:t xml:space="preserve">Oradea </w:t>
            </w:r>
            <w:r w:rsidR="00203095">
              <w:rPr>
                <w:rFonts w:cs="Arial"/>
                <w:color w:val="000000"/>
                <w:sz w:val="20"/>
                <w:szCs w:val="20"/>
                <w:lang w:val="en-US"/>
              </w:rPr>
              <w:t>-</w:t>
            </w:r>
            <w:r w:rsidRPr="00267789">
              <w:rPr>
                <w:rFonts w:cs="Arial"/>
                <w:color w:val="000000"/>
                <w:sz w:val="20"/>
                <w:szCs w:val="20"/>
                <w:lang w:val="en-US"/>
              </w:rPr>
              <w:t xml:space="preserve">Cluj-Napoca via Satu Mare </w:t>
            </w:r>
            <w:r w:rsidR="00203095">
              <w:rPr>
                <w:rFonts w:cs="Arial"/>
                <w:color w:val="000000"/>
                <w:sz w:val="20"/>
                <w:szCs w:val="20"/>
                <w:lang w:val="en-US"/>
              </w:rPr>
              <w:t>și</w:t>
            </w:r>
            <w:r w:rsidRPr="00267789">
              <w:rPr>
                <w:rFonts w:cs="Arial"/>
                <w:color w:val="000000"/>
                <w:sz w:val="20"/>
                <w:szCs w:val="20"/>
                <w:lang w:val="en-US"/>
              </w:rPr>
              <w:t xml:space="preserve"> Baia Mare. </w:t>
            </w:r>
            <w:r w:rsidR="00203095">
              <w:rPr>
                <w:rFonts w:cs="Arial"/>
                <w:color w:val="000000"/>
                <w:sz w:val="20"/>
                <w:szCs w:val="20"/>
                <w:lang w:val="en-US"/>
              </w:rPr>
              <w:t>Reabilitare la viteza proiectată</w:t>
            </w:r>
            <w:r w:rsidRPr="00267789">
              <w:rPr>
                <w:rFonts w:cs="Arial"/>
                <w:color w:val="000000"/>
                <w:sz w:val="20"/>
                <w:szCs w:val="20"/>
                <w:lang w:val="en-US"/>
              </w:rPr>
              <w:t>.</w:t>
            </w:r>
          </w:p>
        </w:tc>
        <w:tc>
          <w:tcPr>
            <w:tcW w:w="83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rPr>
                <w:rFonts w:cs="Arial"/>
                <w:color w:val="000000"/>
                <w:sz w:val="20"/>
                <w:szCs w:val="20"/>
                <w:lang w:val="en-US"/>
              </w:rPr>
            </w:pPr>
            <w:r w:rsidRPr="00267789">
              <w:rPr>
                <w:rFonts w:cs="Arial"/>
                <w:color w:val="000000"/>
                <w:sz w:val="20"/>
                <w:szCs w:val="20"/>
                <w:lang w:val="en-US"/>
              </w:rPr>
              <w:t xml:space="preserve">Comprehensive TEN-T link </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14.0</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1.9%</w:t>
            </w:r>
          </w:p>
        </w:tc>
        <w:tc>
          <w:tcPr>
            <w:tcW w:w="428" w:type="pct"/>
            <w:tcBorders>
              <w:top w:val="nil"/>
              <w:left w:val="nil"/>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549.0</w:t>
            </w:r>
          </w:p>
        </w:tc>
        <w:tc>
          <w:tcPr>
            <w:tcW w:w="104" w:type="pct"/>
            <w:tcBorders>
              <w:top w:val="nil"/>
              <w:left w:val="nil"/>
              <w:bottom w:val="nil"/>
              <w:right w:val="nil"/>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 </w:t>
            </w:r>
          </w:p>
        </w:tc>
        <w:tc>
          <w:tcPr>
            <w:tcW w:w="477" w:type="pct"/>
            <w:tcBorders>
              <w:top w:val="nil"/>
              <w:left w:val="single" w:sz="4" w:space="0" w:color="auto"/>
              <w:bottom w:val="single" w:sz="4" w:space="0" w:color="auto"/>
              <w:right w:val="single" w:sz="4" w:space="0" w:color="auto"/>
            </w:tcBorders>
            <w:shd w:val="clear" w:color="000000" w:fill="FFFFFF"/>
            <w:vAlign w:val="center"/>
            <w:hideMark/>
          </w:tcPr>
          <w:p w:rsidR="00573AD5" w:rsidRPr="00267789" w:rsidRDefault="00573AD5" w:rsidP="0030066D">
            <w:pPr>
              <w:jc w:val="center"/>
              <w:rPr>
                <w:rFonts w:cs="Arial"/>
                <w:color w:val="000000"/>
                <w:sz w:val="20"/>
                <w:szCs w:val="20"/>
                <w:lang w:val="en-US"/>
              </w:rPr>
            </w:pPr>
            <w:r w:rsidRPr="00267789">
              <w:rPr>
                <w:rFonts w:cs="Arial"/>
                <w:color w:val="000000"/>
                <w:sz w:val="20"/>
                <w:szCs w:val="20"/>
                <w:lang w:val="en-US"/>
              </w:rPr>
              <w:t>13,202.4</w:t>
            </w:r>
          </w:p>
        </w:tc>
      </w:tr>
    </w:tbl>
    <w:p w:rsidR="00B4550A" w:rsidRPr="00E0488D" w:rsidRDefault="00B4550A" w:rsidP="00B4550A">
      <w:pPr>
        <w:rPr>
          <w:lang w:val="ro-RO"/>
        </w:rPr>
      </w:pPr>
    </w:p>
    <w:p w:rsidR="00B4550A" w:rsidRPr="00E0488D" w:rsidRDefault="00B4550A" w:rsidP="00B4550A">
      <w:pPr>
        <w:rPr>
          <w:lang w:val="ro-RO"/>
        </w:rPr>
        <w:sectPr w:rsidR="00B4550A" w:rsidRPr="00E0488D" w:rsidSect="00146DA0">
          <w:headerReference w:type="default" r:id="rId255"/>
          <w:pgSz w:w="16840" w:h="11907" w:orient="landscape" w:code="9"/>
          <w:pgMar w:top="907" w:right="1418" w:bottom="709" w:left="1418" w:header="357" w:footer="567" w:gutter="0"/>
          <w:cols w:space="187"/>
          <w:docGrid w:linePitch="360"/>
        </w:sectPr>
      </w:pPr>
    </w:p>
    <w:p w:rsidR="00B4550A" w:rsidRPr="00E0488D" w:rsidRDefault="00B4550A" w:rsidP="00B4550A">
      <w:pPr>
        <w:rPr>
          <w:lang w:val="ro-RO"/>
        </w:rPr>
      </w:pPr>
    </w:p>
    <w:p w:rsidR="00B4550A" w:rsidRPr="00E0488D" w:rsidRDefault="00B4550A" w:rsidP="00B4550A">
      <w:pPr>
        <w:rPr>
          <w:b/>
          <w:lang w:val="ro-RO"/>
        </w:rPr>
        <w:sectPr w:rsidR="00B4550A" w:rsidRPr="00E0488D">
          <w:headerReference w:type="default" r:id="rId256"/>
          <w:footerReference w:type="default" r:id="rId257"/>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lastRenderedPageBreak/>
        <w:t>Porturi și căi navigabile</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tabs>
          <w:tab w:val="clear" w:pos="680"/>
        </w:tabs>
        <w:ind w:left="851" w:hanging="851"/>
      </w:pPr>
      <w:bookmarkStart w:id="548" w:name="_Toc398279329"/>
      <w:bookmarkStart w:id="549" w:name="_Toc413060329"/>
      <w:r w:rsidRPr="00E0488D">
        <w:lastRenderedPageBreak/>
        <w:t>Porturi și căi navigabile</w:t>
      </w:r>
      <w:bookmarkEnd w:id="548"/>
      <w:bookmarkEnd w:id="549"/>
      <w:r w:rsidRPr="00E0488D">
        <w:t xml:space="preserve"> </w:t>
      </w:r>
    </w:p>
    <w:p w:rsidR="00B4550A" w:rsidRPr="00E0488D" w:rsidRDefault="00B4550A" w:rsidP="002B7E09">
      <w:pPr>
        <w:pStyle w:val="NumberedParas"/>
        <w:numPr>
          <w:ilvl w:val="0"/>
          <w:numId w:val="0"/>
        </w:numPr>
        <w:ind w:left="680"/>
      </w:pPr>
      <w:r w:rsidRPr="00E0488D">
        <w:t>În acest capitol sunt analizate porturile și căile navigabile din România ca parte a Master Planului General de Transport. Acest capitol este structurat în următoarele secțiuni:</w:t>
      </w:r>
    </w:p>
    <w:p w:rsidR="00B4550A" w:rsidRPr="00E0488D" w:rsidRDefault="00B4550A" w:rsidP="00BC2B57">
      <w:pPr>
        <w:pStyle w:val="BulletLevel1"/>
      </w:pPr>
      <w:r w:rsidRPr="00E0488D">
        <w:t>Situația existentă</w:t>
      </w:r>
    </w:p>
    <w:p w:rsidR="00B4550A" w:rsidRPr="00E0488D" w:rsidRDefault="00B4550A" w:rsidP="00BC2B57">
      <w:pPr>
        <w:pStyle w:val="BulletLevel1"/>
      </w:pPr>
      <w:r w:rsidRPr="00E0488D">
        <w:t>Obiective strategice</w:t>
      </w:r>
    </w:p>
    <w:p w:rsidR="00B4550A" w:rsidRPr="00E0488D" w:rsidRDefault="00B4550A" w:rsidP="00BC2B57">
      <w:pPr>
        <w:pStyle w:val="BulletLevel1"/>
      </w:pPr>
      <w:r w:rsidRPr="00E0488D">
        <w:t xml:space="preserve">Obiective operaționale </w:t>
      </w:r>
    </w:p>
    <w:p w:rsidR="00B4550A" w:rsidRPr="00E0488D" w:rsidRDefault="00B4550A" w:rsidP="00BC2B57">
      <w:pPr>
        <w:pStyle w:val="BulletLevel1"/>
      </w:pPr>
      <w:r w:rsidRPr="00E0488D">
        <w:t>Testarea intervențiilor</w:t>
      </w:r>
    </w:p>
    <w:p w:rsidR="00B4550A" w:rsidRPr="00E0488D" w:rsidRDefault="00B4550A" w:rsidP="00BC2B57">
      <w:pPr>
        <w:pStyle w:val="BulletLevel1"/>
      </w:pPr>
      <w:r w:rsidRPr="00E0488D">
        <w:t xml:space="preserve">Alte </w:t>
      </w:r>
      <w:r w:rsidR="00E0488D" w:rsidRPr="00E0488D">
        <w:t>intervenții</w:t>
      </w:r>
      <w:r w:rsidRPr="00E0488D">
        <w:t xml:space="preserve"> </w:t>
      </w:r>
    </w:p>
    <w:p w:rsidR="00B4550A" w:rsidRPr="00E0488D" w:rsidRDefault="00B4550A" w:rsidP="00BC2B57">
      <w:pPr>
        <w:pStyle w:val="BulletLevel1"/>
      </w:pPr>
      <w:r w:rsidRPr="00E0488D">
        <w:t>Rezumat</w:t>
      </w:r>
    </w:p>
    <w:p w:rsidR="00B4550A" w:rsidRPr="00E0488D" w:rsidRDefault="00B4550A" w:rsidP="00BC2B57">
      <w:pPr>
        <w:pStyle w:val="BulletLevel1"/>
      </w:pPr>
      <w:r w:rsidRPr="00E0488D">
        <w:t xml:space="preserve">Fiecare secțiune este, la rândul ei structurată pe listarea porturilor începând cu portul Constanța și apoi mergând de-a lungul Dunării până la punctele de ieșire ale acesteia din țară. După porturi se analizează căile navigabile interioare, inclusiv Dunărea, și Canalul Dunăre – Marea Neagră. </w:t>
      </w:r>
    </w:p>
    <w:p w:rsidR="00B4550A" w:rsidRPr="00E0488D" w:rsidRDefault="00B4550A" w:rsidP="00BC2B57">
      <w:pPr>
        <w:pStyle w:val="BulletLevel1"/>
      </w:pPr>
      <w:r w:rsidRPr="00E0488D">
        <w:t>AECOM a elaborat acest capitol folosind informații dintr-un număr de surse inclusiv Ministerul Transporturilor dar și date rezultate din consultări cu factorii interesați din industria de transport naval, inclusiv operatori portuari, administrații portuare și companii de transport naval.</w:t>
      </w:r>
    </w:p>
    <w:p w:rsidR="00B4550A" w:rsidRPr="00E0488D" w:rsidRDefault="00B4550A" w:rsidP="00BD59B2">
      <w:pPr>
        <w:pStyle w:val="Hdg2"/>
      </w:pPr>
      <w:bookmarkStart w:id="550" w:name="_Toc413060330"/>
      <w:r w:rsidRPr="00E0488D">
        <w:t>Situația existentă</w:t>
      </w:r>
      <w:bookmarkEnd w:id="550"/>
      <w:r w:rsidRPr="00E0488D">
        <w:t xml:space="preserve"> </w:t>
      </w:r>
    </w:p>
    <w:p w:rsidR="00B4550A" w:rsidRPr="00E0488D" w:rsidRDefault="00B4550A" w:rsidP="002B7E09">
      <w:pPr>
        <w:pStyle w:val="NumberedParas"/>
      </w:pPr>
      <w:r w:rsidRPr="00E0488D">
        <w:t xml:space="preserve">În anul 2011 au fost transportate peste 318 milioane de tone de mărfuri. Figura 6.1 indică faptul că segmentul de piață al transportului naval de mărfuri include atât </w:t>
      </w:r>
      <w:r w:rsidR="00E0488D" w:rsidRPr="00E0488D">
        <w:t>transportul</w:t>
      </w:r>
      <w:r w:rsidRPr="00E0488D">
        <w:t xml:space="preserve"> maritim (12%)  cât și  fluvial (pe fluviul Dunărea)  și pe sistemul de canale (9%). Aceste cifre arată faptul că transportul naval de mărfuri deține un rol important în transportul celei mai mari părți a mărfurilor tip vrac din România, asociate, în principal, cu industriile tradiționale. </w:t>
      </w:r>
    </w:p>
    <w:p w:rsidR="00B4550A" w:rsidRPr="00E0488D" w:rsidRDefault="00B4550A" w:rsidP="002B7E09">
      <w:pPr>
        <w:pStyle w:val="NumberedParas"/>
      </w:pPr>
      <w:r w:rsidRPr="00E0488D">
        <w:t xml:space="preserve">Nivelul de containerizare a mărfii transportate în România se ridică, în prezent, la 4%. Acesta este un </w:t>
      </w:r>
      <w:r w:rsidR="00E0488D" w:rsidRPr="00E0488D">
        <w:t>nivel</w:t>
      </w:r>
      <w:r w:rsidRPr="00E0488D">
        <w:t xml:space="preserve"> scăzut și o ipoteză rezonabilă este ca, în următorii 20 de ani, acesta să crească până la nivelul întâlnit în țările din vestul Europei, de aproximativ 12%. Procesul de containerizare va fi sprijinit de creșterea costurilor cu forța de muncă și nevoia de reducere a costurilor pentru manipularea mărfii pe diverse lanțuri de aprovizionare. Rămâne de văzut dacă în viitor transportul naval de mărfuri poate oferi servicii competitive pentru fluxurile interne de containere. Acest aspect este discutat în detaliu în capitolul dedicat transportului intermodal.   </w:t>
      </w:r>
    </w:p>
    <w:p w:rsidR="00B4550A" w:rsidRPr="00E0488D" w:rsidRDefault="00B4550A" w:rsidP="002B7E09">
      <w:pPr>
        <w:pStyle w:val="NumberedParas"/>
        <w:numPr>
          <w:ilvl w:val="0"/>
          <w:numId w:val="0"/>
        </w:numPr>
        <w:ind w:left="851"/>
      </w:pPr>
      <w:r w:rsidRPr="00E0488D">
        <w:rPr>
          <w:noProof/>
          <w:lang w:eastAsia="ro-RO"/>
        </w:rPr>
        <w:lastRenderedPageBreak/>
        <w:drawing>
          <wp:inline distT="0" distB="0" distL="0" distR="0">
            <wp:extent cx="4563745" cy="2803779"/>
            <wp:effectExtent l="19050" t="0" r="27305" b="0"/>
            <wp:docPr id="59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B4550A" w:rsidRPr="00E0488D" w:rsidRDefault="00B4550A" w:rsidP="00B4550A">
      <w:pPr>
        <w:spacing w:line="276" w:lineRule="auto"/>
        <w:ind w:left="567"/>
        <w:rPr>
          <w:b/>
          <w:sz w:val="22"/>
          <w:szCs w:val="22"/>
          <w:lang w:val="ro-RO"/>
        </w:rPr>
      </w:pPr>
      <w:r w:rsidRPr="00E0488D">
        <w:rPr>
          <w:b/>
          <w:sz w:val="22"/>
          <w:szCs w:val="22"/>
          <w:lang w:val="ro-RO"/>
        </w:rPr>
        <w:t>Figura 6.1 – Cota de piață modală pentru transportul de mărfuri din România în anul 2011</w:t>
      </w:r>
    </w:p>
    <w:p w:rsidR="00B4550A" w:rsidRPr="00E0488D" w:rsidRDefault="00B4550A" w:rsidP="00B4550A">
      <w:pPr>
        <w:spacing w:line="276" w:lineRule="auto"/>
        <w:ind w:left="567"/>
        <w:rPr>
          <w:i/>
          <w:sz w:val="22"/>
          <w:szCs w:val="22"/>
          <w:lang w:val="ro-RO"/>
        </w:rPr>
      </w:pPr>
      <w:r w:rsidRPr="00E0488D">
        <w:rPr>
          <w:i/>
          <w:sz w:val="22"/>
          <w:szCs w:val="22"/>
          <w:lang w:val="ro-RO"/>
        </w:rPr>
        <w:t>Sursa: INSE și AECOM</w:t>
      </w:r>
    </w:p>
    <w:p w:rsidR="00B4550A" w:rsidRPr="00E0488D" w:rsidRDefault="00B4550A" w:rsidP="00B4550A">
      <w:pPr>
        <w:spacing w:line="276" w:lineRule="auto"/>
        <w:ind w:left="567"/>
        <w:rPr>
          <w:b/>
          <w:sz w:val="22"/>
          <w:szCs w:val="22"/>
          <w:lang w:val="ro-RO"/>
        </w:rPr>
      </w:pPr>
    </w:p>
    <w:p w:rsidR="00B4550A" w:rsidRPr="00E0488D" w:rsidRDefault="00B4550A" w:rsidP="00B4550A">
      <w:pPr>
        <w:spacing w:line="276" w:lineRule="auto"/>
        <w:rPr>
          <w:b/>
          <w:sz w:val="22"/>
          <w:szCs w:val="22"/>
          <w:lang w:val="ro-RO"/>
        </w:rPr>
      </w:pPr>
      <w:r w:rsidRPr="00E0488D">
        <w:rPr>
          <w:b/>
          <w:noProof/>
          <w:sz w:val="22"/>
          <w:szCs w:val="22"/>
          <w:lang w:val="ro-RO" w:eastAsia="ro-RO"/>
        </w:rPr>
        <w:drawing>
          <wp:inline distT="0" distB="0" distL="0" distR="0">
            <wp:extent cx="5943600" cy="3751580"/>
            <wp:effectExtent l="19050" t="0" r="19050" b="1270"/>
            <wp:docPr id="59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B4550A" w:rsidRPr="00E0488D" w:rsidRDefault="00B4550A" w:rsidP="00B4550A">
      <w:pPr>
        <w:spacing w:line="276" w:lineRule="auto"/>
        <w:ind w:left="567"/>
        <w:rPr>
          <w:b/>
          <w:sz w:val="22"/>
          <w:szCs w:val="22"/>
          <w:lang w:val="ro-RO"/>
        </w:rPr>
      </w:pPr>
    </w:p>
    <w:p w:rsidR="00B4550A" w:rsidRPr="00E0488D" w:rsidRDefault="00B4550A" w:rsidP="00B4550A">
      <w:pPr>
        <w:spacing w:line="276" w:lineRule="auto"/>
        <w:ind w:left="567"/>
        <w:rPr>
          <w:b/>
          <w:sz w:val="22"/>
          <w:szCs w:val="22"/>
          <w:lang w:val="ro-RO"/>
        </w:rPr>
      </w:pPr>
      <w:r w:rsidRPr="00E0488D">
        <w:rPr>
          <w:b/>
          <w:sz w:val="22"/>
          <w:szCs w:val="22"/>
          <w:lang w:val="ro-RO"/>
        </w:rPr>
        <w:t>Figura 6.2 – Tone de marfă operate în porturile din România, în anul 2011.</w:t>
      </w:r>
    </w:p>
    <w:p w:rsidR="00B4550A" w:rsidRPr="00E0488D" w:rsidRDefault="00B4550A" w:rsidP="00B4550A">
      <w:pPr>
        <w:spacing w:line="276" w:lineRule="auto"/>
        <w:ind w:left="567"/>
        <w:rPr>
          <w:i/>
          <w:sz w:val="22"/>
          <w:szCs w:val="22"/>
          <w:lang w:val="ro-RO"/>
        </w:rPr>
      </w:pPr>
      <w:r w:rsidRPr="00E0488D">
        <w:rPr>
          <w:i/>
          <w:sz w:val="22"/>
          <w:szCs w:val="22"/>
          <w:lang w:val="ro-RO"/>
        </w:rPr>
        <w:t>Sursa: APDF Giurgiu, PDM Galați, ACN</w:t>
      </w:r>
    </w:p>
    <w:p w:rsidR="00B4550A" w:rsidRPr="00E0488D" w:rsidRDefault="00B4550A" w:rsidP="002B7E09">
      <w:pPr>
        <w:pStyle w:val="NumberedParas"/>
      </w:pPr>
      <w:r w:rsidRPr="00E0488D">
        <w:t xml:space="preserve">Figura 6.2 ilustrează principalele porturi din România (care sunt prezentate în secțiunea următoare) și volumul de </w:t>
      </w:r>
      <w:r w:rsidR="00E0488D" w:rsidRPr="00E0488D">
        <w:t>mărfuri</w:t>
      </w:r>
      <w:r w:rsidRPr="00E0488D">
        <w:t xml:space="preserve"> operat în anul 2011. De asemenea, în figură sunt descrise principalele tipuri de mărfuri operate de fiecare port în 2011. Aceasta arată faptul că unele porturi, cum ar fi Galați și Brăila sunt diversificate, iar cel mai important tip de mărfuri operat în port (în acest caz, minereu de fier și respectiv, cereale) nu domină în totalul mărfurilor </w:t>
      </w:r>
      <w:r w:rsidRPr="00E0488D">
        <w:lastRenderedPageBreak/>
        <w:t xml:space="preserve">manevrate. Cu toate acestea, în cazul </w:t>
      </w:r>
      <w:r w:rsidR="00E0488D" w:rsidRPr="00E0488D">
        <w:t>altor</w:t>
      </w:r>
      <w:r w:rsidRPr="00E0488D">
        <w:t xml:space="preserve"> porturi, cum ar fi Tulcea și Basarabi, cea mai importantă marfă domină totalul general. </w:t>
      </w:r>
    </w:p>
    <w:p w:rsidR="00B4550A" w:rsidRPr="00E0488D" w:rsidRDefault="00B4550A" w:rsidP="002B7E09">
      <w:pPr>
        <w:pStyle w:val="NumberedParas"/>
        <w:numPr>
          <w:ilvl w:val="0"/>
          <w:numId w:val="0"/>
        </w:numPr>
      </w:pPr>
      <w:r w:rsidRPr="00E0488D">
        <w:t>Porturi</w:t>
      </w:r>
    </w:p>
    <w:p w:rsidR="00B4550A" w:rsidRPr="00E0488D" w:rsidRDefault="00B4550A" w:rsidP="00B4550A">
      <w:pPr>
        <w:pStyle w:val="Heading7"/>
        <w:rPr>
          <w:lang w:val="ro-RO"/>
        </w:rPr>
      </w:pPr>
      <w:r w:rsidRPr="00E0488D">
        <w:rPr>
          <w:lang w:val="ro-RO"/>
        </w:rPr>
        <w:t>Constanța</w:t>
      </w:r>
    </w:p>
    <w:p w:rsidR="00B4550A" w:rsidRPr="00E0488D" w:rsidRDefault="00B4550A" w:rsidP="002B7E09">
      <w:pPr>
        <w:pStyle w:val="NumberedParas"/>
      </w:pPr>
      <w:r w:rsidRPr="00E0488D">
        <w:t xml:space="preserve">Constanța, cel mai mare port maritim din România, este cel mai bine dezvoltat și oferă cea mai mare varietate de facilități. În anul 2013, portul a gestionat 55 milioane de tone de mărfuri și a înregistrat un trafic de 14.066 nave dintre care 34% erau legate de transportul maritim și 66% de transportul fluvial (9.233). 64% din volumul de marfă din port este reprezentat de mărfuri solide, în ultima perioadă, cerealele reprezentând cea mai importantă categorie de marfă care a trecut prin port. Constanța operează, de asemenea, aproximativ 10 milioane de tone de mărfuri lichide și în jur de 4 milioane tone de mărfuri generale. În plus, acest port este cel mai mare port de containere la Marea Neagră datorită Terminalului de Containere Constanța Sud-DPWorld, deschis în 2004 și care, în 2012 a operat 97% </w:t>
      </w:r>
      <w:r w:rsidR="00E0488D" w:rsidRPr="00E0488D">
        <w:t>din</w:t>
      </w:r>
      <w:r w:rsidRPr="00E0488D">
        <w:t xml:space="preserve"> transportul de mărfuri containerizate din port. Deși Constanța este un port important la nivel regional pentru transportul containerizat; acesta nu este unul dintre primele 20 de porturi de transport containerizat din Europa (în ceea ce privește volumul). În 2013 a operat 661,000 TEU (Twenty foot equivalent units = echivalent 20 de picioare) deși anul de vârf pentru transportul containerizat a fost 2007, când în acest port au fost operate 1.41 milioane TEU. Condițiile economice curente, în special tarifele scăzute plătite pentru transportul containerizat, au afectat liniile de transport maritim atât de mult încât au rămas din ce în ce mai puține linii de transport maritim pentru a deservi portul iar platformele de servicii comune sosesc cu containere pentru mai multe linii de transport naval. </w:t>
      </w:r>
    </w:p>
    <w:p w:rsidR="00B4550A" w:rsidRPr="00E0488D" w:rsidRDefault="00B4550A" w:rsidP="002B7E09">
      <w:pPr>
        <w:pStyle w:val="NumberedParas"/>
      </w:pPr>
      <w:r w:rsidRPr="00E0488D">
        <w:t xml:space="preserve">Constanța dispune de un hinterland extins și reprezintă un punct de transbordare pentru multe tipuri de bunuri. Mai multe alte porturi europene furnizează deja legături corespunzătoare cu Europa Centrală dar există posibilități ca portul Constanța să își dezvolte capacitatea de transport cu condiția să fie dezvoltat și transportul rutier, cel feroviar și să se îmbunătățească legăturile pe căile navigabile. Amplasat în zona de est și fiind cu câteva zile de navigație mai aproape de China decât porturile Europene din nordul continentului, portul Constanța ar putea să atragă o parte din cota de piață a altor porturi dacă economiile de scară și tarifele de transport sunt atractive. </w:t>
      </w:r>
    </w:p>
    <w:p w:rsidR="00B4550A" w:rsidRPr="00E0488D" w:rsidRDefault="00B4550A" w:rsidP="002B7E09">
      <w:pPr>
        <w:pStyle w:val="NumberedParas"/>
      </w:pPr>
      <w:r w:rsidRPr="00E0488D">
        <w:t xml:space="preserve">Administrația Portului Constanța a finalizat mai multe proiecte de infrastructură în ultimii ani precum reabilitarea digurilor din Portul Constanța (70 milioane euro); noul terminal pentru containere de pe molull II S din Portul Constanță (90 milioane dolari); terminalul de barje (24 milioane euro), proiectul de mediu și infrastructură din Portul Constanța (22 milioane euro); aceste proiecte au fost finanțate în principal prin intermediul instrumentelor internaționale de finanțare (IFIs) precum BEI, Programul Phare, BJCI, BERD și co-finanțate de la bugetul de stat și din resursele proprii ale companiilor. </w:t>
      </w:r>
    </w:p>
    <w:p w:rsidR="00B4550A" w:rsidRPr="00E0488D" w:rsidRDefault="00B4550A" w:rsidP="002B7E09">
      <w:pPr>
        <w:pStyle w:val="NumberedParas"/>
      </w:pPr>
      <w:r w:rsidRPr="00E0488D">
        <w:t>În prezent sunt în desfășurare patru proiecte principale finanțate prin Fondurile Structurale ale Uniunii Europene și co-finanțate de la bugetul de stat prin Programul Operațional Sectorial de Transport, perioada de finanțare 2007 – 2013. Aceste proiecte sunt: extinderea digului de nord cu 1050 m, (136 milioane euro); podul rutier peste Canalul Dunăre – Marea Neagră și infrastructura rutieră și de acces aferentă (30 milioane euro); dezvoltarea capacității feroviare în zona fluvio-maritimă a Portului Constanța (17 milioane euro) și extinderea spre sud a danei de gabare din port (5 milioane euro).</w:t>
      </w:r>
    </w:p>
    <w:p w:rsidR="00B4550A" w:rsidRPr="00E0488D" w:rsidRDefault="00B4550A" w:rsidP="002B7E09">
      <w:pPr>
        <w:pStyle w:val="NumberedParas"/>
      </w:pPr>
      <w:r w:rsidRPr="00E0488D">
        <w:lastRenderedPageBreak/>
        <w:t xml:space="preserve">Portul Constanța are dane dedicate unei game largi de tipuri de mărfuri. Multe dintre aceste dane sunt bine utilizate dar numărul de containere pe care îl poate opera portul nu corespunde statutului de port major de containere. </w:t>
      </w:r>
    </w:p>
    <w:p w:rsidR="00B4550A" w:rsidRPr="00E0488D" w:rsidRDefault="00B4550A" w:rsidP="002B7E09">
      <w:pPr>
        <w:pStyle w:val="NumberedParas"/>
      </w:pPr>
      <w:r w:rsidRPr="00E0488D">
        <w:t xml:space="preserve">Recâștigarea cotei de piață și prin aceasta, a volumului de marfă containerizată prin realocarea facilităților portuare pentru operațiuni de containere și revitalizarea infrastructurii mai vechi ar trebui considerate o prioritate pentru portul Constanța. Portul și-a comandat propriul Master Plan în anul 2013 cu scopul de a identifica investiții majore, spre exemplu dezvoltarea părții de sud a portului – proiect de 300 milioane euro, un posibil proiect de dezvoltare a unui terminal de petrol/GPL (în funcție de aportul investitorului privat) și alte posibile proiecte precum un program continuu de dragare precum și modernizarea drumurilor interne prin extinderea de la două la patru benzi. Master Planul Portului Constanța va trata în detaliu și problemele ce țin de infrastructura și </w:t>
      </w:r>
      <w:r w:rsidR="00E0488D" w:rsidRPr="00E0488D">
        <w:t>serviciile</w:t>
      </w:r>
      <w:r w:rsidRPr="00E0488D">
        <w:t xml:space="preserve"> portuare. </w:t>
      </w:r>
    </w:p>
    <w:p w:rsidR="00B4550A" w:rsidRPr="00E0488D" w:rsidRDefault="00B4550A" w:rsidP="00BC2B57">
      <w:pPr>
        <w:pStyle w:val="BulletLevel1"/>
      </w:pPr>
      <w:r w:rsidRPr="00E0488D">
        <w:rPr>
          <w:b/>
        </w:rPr>
        <w:t>Problemă:</w:t>
      </w:r>
      <w:r w:rsidRPr="00E0488D">
        <w:t xml:space="preserve"> Constanța are infrastructură învechită care este inadecvată pentru operarea noilor fluxuri de mărfuri, inclusiv containere.  De asemenea, ar putea fi îmbunătățit și gradul de conectivitate al portului.</w:t>
      </w:r>
    </w:p>
    <w:p w:rsidR="00B4550A" w:rsidRPr="00E0488D" w:rsidRDefault="00B4550A" w:rsidP="00BC2B57">
      <w:pPr>
        <w:pStyle w:val="BulletLevel1"/>
      </w:pPr>
      <w:r w:rsidRPr="00E0488D">
        <w:t>Soluția propusă: Construcția unui nou terminal de containere în Constanța (III &amp; IVS)</w:t>
      </w:r>
    </w:p>
    <w:p w:rsidR="00B4550A" w:rsidRPr="00E0488D" w:rsidRDefault="00B4550A" w:rsidP="00BC2B57">
      <w:pPr>
        <w:pStyle w:val="BulletLevel1"/>
      </w:pPr>
      <w:r w:rsidRPr="00E0488D">
        <w:t xml:space="preserve">Partea de sud a portului Constanța are potențial pentru dezvoltarea unui terminal de containere, având în vedere avantajul major oferit de adâncimile mari pentru dane. Dimensiunea navelor este în continuă creștere, la momentul redactării acestui raport fiind în operare nave de 10.000 de TEU, iar acestea pot opera doar în porturi care oferă adâncimi mari. Ar trebui dezvoltat echipament de operare a containerelor încărcate și descărcate în conformitate cu traficul proiectat pentru a asigura competitivitatea portului Constanța cu alte porturi importante ce operează mărfuri containerizate. Deși capacitatea curentă din portul Constanța este suficientă, aceasta este considerată însă inadecvată pentru dezvoltarea pe termen lung. Orice astfel de soluție ar trebui să fie etapizată ținând cont de condițiile pieței. Există planuri de investiții de aproximativ 18 milioane de Euro pentru un nou terminal feroviar plus modernizări de dane. Volumul de mărfuri containerizate operat în 2007 a fost de 1,41 milioane TEU, acesta fiind un nivel apropiat de capacitatea maximă actuală, de 1,5 milioane TEU. Se poate spune astfel că în 2007 portul și-a atins 94% din capacitatea teoretică. Deși capacitatea este suficientă pentru a satisface cererea imediată de 700.000 TEU, din următoarele șapte motive se așteaptă ca până în 2020 sau la scurt timp după acest orizont, volumul </w:t>
      </w:r>
      <w:r w:rsidR="00E0488D" w:rsidRPr="00E0488D">
        <w:t>să</w:t>
      </w:r>
      <w:r w:rsidRPr="00E0488D">
        <w:t xml:space="preserve"> crească și să fie nevoie de o capacitate sporită.</w:t>
      </w:r>
    </w:p>
    <w:p w:rsidR="00B4550A" w:rsidRPr="00E0488D" w:rsidRDefault="00B4550A" w:rsidP="00BC2B57">
      <w:pPr>
        <w:pStyle w:val="BulletLevel1"/>
      </w:pPr>
      <w:r w:rsidRPr="00E0488D">
        <w:t xml:space="preserve">Gradul de containerizare din România se cifrează, în prezent, la 4%, un nivel scăzut dar se așteaptă ca, în următorii 20 de ani, acesta să crească până la nivelul de aproximativ 12%, întâlnit în țările din vestul Europei. Procesul de containerizare va fi sprijinit de creșterea costurilor cu forța de muncă și nevoia de reducere a costurilor pentru manipularea mărfii pe lanțurile de aprovizionare. Costurile de manevrare/operare a </w:t>
      </w:r>
      <w:r w:rsidR="00E0488D" w:rsidRPr="00E0488D">
        <w:t>containerelor</w:t>
      </w:r>
      <w:r w:rsidRPr="00E0488D">
        <w:t xml:space="preserve"> este mult mai mic iar timpul necesar este mai redus decât în cazul metodelor tradiționale. </w:t>
      </w:r>
    </w:p>
    <w:p w:rsidR="00B4550A" w:rsidRPr="00E0488D" w:rsidRDefault="00B4550A" w:rsidP="00BC2B57">
      <w:pPr>
        <w:pStyle w:val="BulletLevel1"/>
      </w:pPr>
      <w:r w:rsidRPr="00E0488D">
        <w:t xml:space="preserve">România a avut de suferit din cauza recesiunii </w:t>
      </w:r>
      <w:r w:rsidR="00E0488D" w:rsidRPr="00E0488D">
        <w:t>economice</w:t>
      </w:r>
      <w:r w:rsidRPr="00E0488D">
        <w:t xml:space="preserve"> și acest fapt a fost reflectat în scăderea drastică a importurilor. Odată cu reluarea creșterii economice și cu o putere de cumpărare pe un trend ascendent, este de așteptat ca volumele de importuri și, astfel, numărul de containere să crească din nou.</w:t>
      </w:r>
    </w:p>
    <w:p w:rsidR="00B4550A" w:rsidRPr="00E0488D" w:rsidRDefault="00B4550A" w:rsidP="00BC2B57">
      <w:pPr>
        <w:pStyle w:val="BulletLevel1"/>
      </w:pPr>
      <w:r w:rsidRPr="00E0488D">
        <w:t xml:space="preserve">Îmbunătățirile aduse rețelelor de transport rutier și feroviar din România pe parcursul următorilor 10 ani vor duce la îmbunătățirea timpilor e parcurs și la costuri de transport mai mici și mai competitive. Timpii de parcurs eficienți vor încuraja mai mulți transportatori să </w:t>
      </w:r>
      <w:r w:rsidRPr="00E0488D">
        <w:lastRenderedPageBreak/>
        <w:t xml:space="preserve">aleagă rute către sau prin România. În prezent tranzitul mărfii către țări fără ieșire la mare, precum Ungaria și Austria este deviat prin marea Mediterană și porturile de la Marea Adriatică (porturile NAPA) fără a fi folosite porturile de la Marea Neagră. Cel mai </w:t>
      </w:r>
      <w:r w:rsidR="00E0488D" w:rsidRPr="00E0488D">
        <w:t>cuprinzător</w:t>
      </w:r>
      <w:r w:rsidRPr="00E0488D">
        <w:t xml:space="preserve"> este faptul că mulți transportatori folosesc porturi ne-românești pentru a importa și transporta marfă către destinații din vestul României, precum Arad. În timpul consultărilor am aflat că o companie de transport a întrebat dacă se poate garanta un timp de parcurs de 25 de ore de la Constanța la Budapesta. Deoarece nu s-a putut garanta acest timp de parcurs operațiunile acelui transportator în România au fost pierdute. Această situație se va schimba pe măsură ce sunt introduse noile sisteme și sunt implementate proiectele noi de îmbunătățire a infrastructurii rutiere, feroviare, navale și intermodale.  </w:t>
      </w:r>
    </w:p>
    <w:p w:rsidR="00B4550A" w:rsidRPr="00E0488D" w:rsidRDefault="00B4550A" w:rsidP="00BC2B57">
      <w:pPr>
        <w:pStyle w:val="BulletLevel1"/>
      </w:pPr>
      <w:r w:rsidRPr="00E0488D">
        <w:t xml:space="preserve">Îmbunătățirile aduse facilităților rutiere și feroviare și condițiilor </w:t>
      </w:r>
      <w:r w:rsidR="00E0488D" w:rsidRPr="00E0488D">
        <w:t>terminalelor</w:t>
      </w:r>
      <w:r w:rsidRPr="00E0488D">
        <w:t xml:space="preserve"> intermodale la Portul Constanța vor duce la creșterea eficienței, reducând astfel costurile și ca rezultat, vor încuraja revigorarea transportului de marfă în port. Au existat și congestii datorate stării defavorabile a infrastructurii sau proceduri administrative învechite care duc la creșteri suplimentare ale întârzierilor înregistrate. </w:t>
      </w:r>
    </w:p>
    <w:p w:rsidR="00B4550A" w:rsidRPr="00E0488D" w:rsidRDefault="00B4550A" w:rsidP="00BC2B57">
      <w:pPr>
        <w:pStyle w:val="BulletLevel1"/>
      </w:pPr>
      <w:r w:rsidRPr="00E0488D">
        <w:t xml:space="preserve">Problemele legate de instabilitatea politică din Ucraina și Rusia au potențialul de a afecta deciziile transportatorilor de a alege să folosească porturile de la Marea Neagră ale acestor țări, putând să aleagă în schimb porturile românești. </w:t>
      </w:r>
    </w:p>
    <w:p w:rsidR="00B4550A" w:rsidRPr="00E0488D" w:rsidRDefault="00B4550A" w:rsidP="00BC2B57">
      <w:pPr>
        <w:pStyle w:val="BulletLevel1"/>
      </w:pPr>
      <w:r w:rsidRPr="00E0488D">
        <w:t xml:space="preserve">Concurența din piața feroviară și privatizarea CFR Marfă vor stimula sectorul feroviar de marfă, acesta devenind mai competitiv, oferind, în </w:t>
      </w:r>
      <w:r w:rsidR="00E0488D" w:rsidRPr="00E0488D">
        <w:t>același</w:t>
      </w:r>
      <w:r w:rsidRPr="00E0488D">
        <w:t xml:space="preserve"> timp servicii intermodale mai bune și mai rapide. </w:t>
      </w:r>
    </w:p>
    <w:p w:rsidR="00B4550A" w:rsidRPr="00E0488D" w:rsidRDefault="00B4550A" w:rsidP="00BC2B57">
      <w:pPr>
        <w:pStyle w:val="BulletLevel1"/>
      </w:pPr>
      <w:r w:rsidRPr="00E0488D">
        <w:t xml:space="preserve">Strategia privind Terminalele Intermodale care are ca scop reabilitarea sau construcția de la zero a </w:t>
      </w:r>
      <w:r w:rsidR="00E0488D" w:rsidRPr="00E0488D">
        <w:t>terminalelor</w:t>
      </w:r>
      <w:r w:rsidRPr="00E0488D">
        <w:t xml:space="preserve"> va furniza transportatorilor o opțiune eficientă de transport terestru al mărfii. O rețea de peste zece terminale intermodale terestre va stimula, cel mai probabil, </w:t>
      </w:r>
      <w:r w:rsidR="00E0488D" w:rsidRPr="00E0488D">
        <w:t>rețeaua</w:t>
      </w:r>
      <w:r w:rsidRPr="00E0488D">
        <w:t xml:space="preserve"> de servicii interne și internaționale de transport feroviar de mărfuri. </w:t>
      </w:r>
    </w:p>
    <w:p w:rsidR="00B4550A" w:rsidRPr="00E0488D" w:rsidRDefault="00B4550A" w:rsidP="002B7E09">
      <w:pPr>
        <w:pStyle w:val="NumberedParas"/>
        <w:numPr>
          <w:ilvl w:val="0"/>
          <w:numId w:val="0"/>
        </w:numPr>
        <w:ind w:left="680"/>
      </w:pPr>
      <w:r w:rsidRPr="00E0488D">
        <w:t xml:space="preserve"> </w:t>
      </w:r>
    </w:p>
    <w:p w:rsidR="00B4550A" w:rsidRPr="00E0488D" w:rsidRDefault="00B4550A" w:rsidP="00B4550A">
      <w:pPr>
        <w:pStyle w:val="Heading7"/>
        <w:rPr>
          <w:lang w:val="ro-RO"/>
        </w:rPr>
      </w:pPr>
      <w:r w:rsidRPr="00E0488D">
        <w:rPr>
          <w:lang w:val="ro-RO"/>
        </w:rPr>
        <w:t>Sulina</w:t>
      </w:r>
    </w:p>
    <w:p w:rsidR="00B4550A" w:rsidRPr="00E0488D" w:rsidRDefault="00B4550A" w:rsidP="002B7E09">
      <w:pPr>
        <w:pStyle w:val="NumberedParas"/>
      </w:pPr>
      <w:r w:rsidRPr="00E0488D">
        <w:t xml:space="preserve">Portul Sulina este un port al rețelei TEN-T și este amplasat la gura Canalului Sulina din Marea Neagră. Portul furnizează servicii esențiale rezidenților atât în ceea ce privește transportul de călători cât și transportul de marfă în zona Deltei Dunării. Portul Sulina are un cheu cu o lungime de 5.940 m și are patru dane. Cu toate acestea este concentrat mai mult pe transportul de călători fiind utilizat puțin pentru transportul de </w:t>
      </w:r>
      <w:r w:rsidR="00E0488D" w:rsidRPr="00E0488D">
        <w:t>marfă. Portul</w:t>
      </w:r>
      <w:r w:rsidRPr="00E0488D">
        <w:t xml:space="preserve"> deservește orașul Sulina și nu operează cantități mari de marfă. Orașul Sulina poate să fie accesat numai din port astfel încât portul operează un număr de călătorii cu feribotul. </w:t>
      </w:r>
    </w:p>
    <w:p w:rsidR="00B4550A" w:rsidRPr="00E0488D" w:rsidRDefault="00B4550A" w:rsidP="00BC2B57">
      <w:pPr>
        <w:pStyle w:val="BulletLevel1"/>
      </w:pPr>
      <w:r w:rsidRPr="00E0488D">
        <w:t>Portul Sulina dispune de dane ample iar volumul scăzut de mărfuri transportat arată că nu există probleme de capacitate ale acestui port.</w:t>
      </w:r>
    </w:p>
    <w:p w:rsidR="00B4550A" w:rsidRPr="00E0488D" w:rsidRDefault="00B4550A" w:rsidP="00BC2B57">
      <w:pPr>
        <w:pStyle w:val="BulletLevel1"/>
      </w:pPr>
      <w:r w:rsidRPr="00E0488D">
        <w:t xml:space="preserve">Nu au fost identificate probleme pentru acest port </w:t>
      </w:r>
    </w:p>
    <w:p w:rsidR="00B4550A" w:rsidRPr="00E0488D" w:rsidRDefault="00B4550A" w:rsidP="002B7E09">
      <w:pPr>
        <w:pStyle w:val="NumberedParas"/>
        <w:numPr>
          <w:ilvl w:val="0"/>
          <w:numId w:val="0"/>
        </w:numPr>
        <w:ind w:left="680"/>
      </w:pPr>
    </w:p>
    <w:p w:rsidR="00B4550A" w:rsidRPr="00E0488D" w:rsidRDefault="00B4550A" w:rsidP="00B4550A">
      <w:pPr>
        <w:pStyle w:val="Heading7"/>
        <w:rPr>
          <w:lang w:val="ro-RO"/>
        </w:rPr>
      </w:pPr>
      <w:r w:rsidRPr="00E0488D">
        <w:rPr>
          <w:lang w:val="ro-RO"/>
        </w:rPr>
        <w:t>Tulcea</w:t>
      </w:r>
    </w:p>
    <w:p w:rsidR="00B4550A" w:rsidRPr="00E0488D" w:rsidRDefault="00B4550A" w:rsidP="002B7E09">
      <w:pPr>
        <w:pStyle w:val="NumberedParas"/>
      </w:pPr>
      <w:r w:rsidRPr="00E0488D">
        <w:t>Acesta este un port important având 41 de dane (5 dane dedicate traficului de marfă) și este considerat port al rețelei extinse TEN-T. Are opt macarale portic (</w:t>
      </w:r>
      <w:r w:rsidR="00E0488D" w:rsidRPr="00E0488D">
        <w:t>max.</w:t>
      </w:r>
      <w:r w:rsidRPr="00E0488D">
        <w:t xml:space="preserve"> 16t) și o suprafață totală de 82.762 m2 (suprafață de depozitare în aer liber de 70.000 m2). Portul este o poartă spre regiunea Deltei Dunării și deține nave de pasageri dar deservește și industria locală. </w:t>
      </w:r>
      <w:r w:rsidRPr="00E0488D">
        <w:lastRenderedPageBreak/>
        <w:t>Portul operează în special produse minerale  (piatră spartă și pietriș, gips, zgură, sare) și este implicat, în principal, în furnizarea de material sectorului de construcții. Ca atare, facilitățile care îi sunt necesare sunt organizate în jurul extragerii din carieră și încărcării materialelor. Puțin mai departe se află Portul Industrial Tulcea. Acesta a fost construit în anul 1974 pentru a furniza materie primă fabricilor ce procesează metal din Tulcea. Principalele activități sunt încărcarea și descărcarea de diverse materii prime precum mangan, bauxită, minereu de fier, calcar, feroaliaje de la navele maritime și fluviale.</w:t>
      </w:r>
    </w:p>
    <w:p w:rsidR="00B4550A" w:rsidRPr="00E0488D" w:rsidRDefault="00B4550A" w:rsidP="002B7E09">
      <w:pPr>
        <w:pStyle w:val="NumberedParas"/>
      </w:pPr>
      <w:r w:rsidRPr="00E0488D">
        <w:t xml:space="preserve">Portul Tulcea este utilizat potrivit descrierii din Tabelul 6.1 </w:t>
      </w:r>
    </w:p>
    <w:p w:rsidR="00B4550A" w:rsidRPr="00E0488D" w:rsidRDefault="00B4550A" w:rsidP="002B7E09">
      <w:pPr>
        <w:pStyle w:val="NumberedParas"/>
        <w:numPr>
          <w:ilvl w:val="0"/>
          <w:numId w:val="0"/>
        </w:numPr>
        <w:ind w:left="680"/>
      </w:pPr>
      <w:r w:rsidRPr="00E0488D">
        <w:t xml:space="preserve">Tabelul 6.1: Utilizarea prezentă și prognozată a portului Tulcea </w:t>
      </w:r>
    </w:p>
    <w:tbl>
      <w:tblPr>
        <w:tblW w:w="5551" w:type="dxa"/>
        <w:jc w:val="center"/>
        <w:tblLook w:val="04A0" w:firstRow="1" w:lastRow="0" w:firstColumn="1" w:lastColumn="0" w:noHBand="0" w:noVBand="1"/>
      </w:tblPr>
      <w:tblGrid>
        <w:gridCol w:w="2170"/>
        <w:gridCol w:w="987"/>
        <w:gridCol w:w="266"/>
        <w:gridCol w:w="1141"/>
        <w:gridCol w:w="987"/>
      </w:tblGrid>
      <w:tr w:rsidR="00B4550A" w:rsidRPr="00E0488D" w:rsidTr="003C7FC8">
        <w:trPr>
          <w:trHeight w:val="315"/>
          <w:jc w:val="center"/>
        </w:trPr>
        <w:tc>
          <w:tcPr>
            <w:tcW w:w="2170"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2170"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w:t>
            </w:r>
            <w:r w:rsidR="001205D0" w:rsidRPr="00E0488D">
              <w:rPr>
                <w:rFonts w:ascii="Gill Sans MT" w:hAnsi="Gill Sans MT"/>
                <w:color w:val="000000"/>
                <w:sz w:val="20"/>
                <w:szCs w:val="20"/>
                <w:lang w:val="ro-RO" w:eastAsia="en-GB"/>
              </w:rPr>
              <w:t>generale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97%</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36%</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60%</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47%</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69%</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53%</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79%</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73%</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2170"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bl>
    <w:p w:rsidR="00B4550A" w:rsidRPr="00E0488D" w:rsidRDefault="00B4550A" w:rsidP="002B7E09">
      <w:pPr>
        <w:pStyle w:val="NumberedParas"/>
      </w:pPr>
      <w:r w:rsidRPr="00E0488D">
        <w:t>. Datele din tabel arată faptul că în 2011 terminalul care operează marfă vrac în portul Tulcea a fost utilizat la capacitate maximă. Modelul AECOM prognozează o cerere viitoare care va depăși capacitatea disponibilă</w:t>
      </w:r>
    </w:p>
    <w:p w:rsidR="00B4550A" w:rsidRPr="00E0488D" w:rsidRDefault="00B4550A" w:rsidP="002B7E09">
      <w:pPr>
        <w:pStyle w:val="NumberedParas"/>
      </w:pPr>
      <w:r w:rsidRPr="00E0488D">
        <w:t xml:space="preserve"> Portul Tulcea are dane disponibile pentru operarea mărfurilor vrac și mărfurilor generale dar nu are terminale specializate în operarea anumitor categorii de mărfuri, precum </w:t>
      </w:r>
      <w:r w:rsidR="001205D0" w:rsidRPr="00E0488D">
        <w:t>cerealele</w:t>
      </w:r>
      <w:r w:rsidRPr="00E0488D">
        <w:t xml:space="preserve">. </w:t>
      </w:r>
    </w:p>
    <w:p w:rsidR="00B4550A" w:rsidRPr="00E0488D" w:rsidRDefault="00B4550A" w:rsidP="002B7E09">
      <w:pPr>
        <w:pStyle w:val="NumberedParas"/>
      </w:pPr>
      <w:r w:rsidRPr="00E0488D">
        <w:t xml:space="preserve">Tulcea este înconjurat de teren arabil unde se produc cereale </w:t>
      </w:r>
    </w:p>
    <w:p w:rsidR="00B4550A" w:rsidRPr="00E0488D" w:rsidRDefault="00B4550A" w:rsidP="002B7E09">
      <w:pPr>
        <w:pStyle w:val="NumberedParas"/>
        <w:numPr>
          <w:ilvl w:val="0"/>
          <w:numId w:val="0"/>
        </w:numPr>
        <w:ind w:left="822"/>
      </w:pPr>
      <w:r w:rsidRPr="00E0488D">
        <w:rPr>
          <w:b/>
        </w:rPr>
        <w:t xml:space="preserve">Problemă: </w:t>
      </w:r>
      <w:r w:rsidRPr="00E0488D">
        <w:t xml:space="preserve">potențialul de operare a cerealelor disponibile în cantități mari în regiunea Dobrogei nu este exploatat pe deplin, în parte și din cauza lipsei de facilități specializate de operare a cerealelor în port. În cazul fluxurilor mari de cereale, acestea sunt încărcate în camioane și transportate la Constanța în sistem rutier. </w:t>
      </w:r>
    </w:p>
    <w:p w:rsidR="00B4550A" w:rsidRPr="00E0488D" w:rsidRDefault="00B4550A" w:rsidP="002B7E09">
      <w:pPr>
        <w:pStyle w:val="NumberedParas"/>
        <w:numPr>
          <w:ilvl w:val="0"/>
          <w:numId w:val="0"/>
        </w:numPr>
        <w:ind w:left="822"/>
      </w:pPr>
      <w:r w:rsidRPr="00E0488D">
        <w:rPr>
          <w:b/>
        </w:rPr>
        <w:t>Soluția propusă:</w:t>
      </w:r>
      <w:r w:rsidRPr="00E0488D">
        <w:t xml:space="preserve"> Dezvoltarea unui terminal cargo general prin modernizarea infrastructurii și construirea unor dane dedicate operării cerealelor ar permite întregii producții de cereale din zonă să fie operate în cadrul portului și transportate naval către piețele de export. Transformarea terminalului într-unul cu capacitatea de a opera mărfuri generale va crește flexibilitatea acestuia și potențialul de sporire a profitului portului Tulcea. </w:t>
      </w:r>
    </w:p>
    <w:p w:rsidR="00B4550A" w:rsidRPr="00E0488D" w:rsidRDefault="00B4550A" w:rsidP="002B7E09">
      <w:pPr>
        <w:pStyle w:val="NumberedParas"/>
      </w:pPr>
      <w:r w:rsidRPr="00E0488D">
        <w:t xml:space="preserve">Orașul Tulcea este amplasat în Delta Dunării și există unele comunități localizate între acest oraș și Sulina. Tulcea este și un port fluvialo-maritim important pentru traficul de pasageri. Portul are un terminal de pasageri capabil să suporte traficul internațional și traficul fluvial. </w:t>
      </w:r>
    </w:p>
    <w:p w:rsidR="00B4550A" w:rsidRPr="00E0488D" w:rsidRDefault="00B4550A" w:rsidP="00BC2B57">
      <w:pPr>
        <w:pStyle w:val="BulletLevel1"/>
      </w:pPr>
      <w:r w:rsidRPr="00E0488D">
        <w:rPr>
          <w:b/>
        </w:rPr>
        <w:t>Problemă:</w:t>
      </w:r>
      <w:r w:rsidRPr="00E0488D">
        <w:t xml:space="preserve"> Persoanele care locuiesc în regiunea Sulina nu au alte legături cu rețeaua națională de transport din cauza geografiei din zona Sulina. Aglomerarea excesivă la acostare demonstrează că portul funcționează la capacitate maximă iar lipsa serviciilor adecvate pentru nave și pasageri demonstrează o slabă ofertă de servicii a portului. </w:t>
      </w:r>
    </w:p>
    <w:p w:rsidR="00B4550A" w:rsidRPr="00E0488D" w:rsidRDefault="00B4550A" w:rsidP="00BC2B57">
      <w:pPr>
        <w:pStyle w:val="BulletLevel1"/>
      </w:pPr>
      <w:r w:rsidRPr="00E0488D">
        <w:rPr>
          <w:b/>
        </w:rPr>
        <w:lastRenderedPageBreak/>
        <w:t>Soluția propusă</w:t>
      </w:r>
      <w:r w:rsidRPr="00E0488D">
        <w:t xml:space="preserve">: Îmbunătățirea serviciilor existente de transport naval pasageri pe relația Tulcea – Sulina, îmbunătățirea altor porturi locale mici împreună cu îmbunătățirea facilităților de acostare și a serviciilor oferite de port. Serviciile suplimentare de transport naval pasageri ar îmbunătăți conectivitatea zonei Tulcea. Efectul acestui fapt ar fi reducerea costurilor de trai pentru persoanele care locuiesc în zona Deltei Dunării și ar duce la creșterea gradului de utilizare al portului Tulcea. Legăturile cu Brăila și Galați vor ajuta la atingerea obiectivului de dezvoltare regională și vor oferi unele beneficii de aglomerare orașelor Tulcea și Sulina. În plus, Delta Dunării reprezintă o atracție turistică datorită biodiversității sale unice și feribotul va fi un mod ecologic de a transporta numărul tot mai mare de turiști din zonă. Prin dezvoltarea celor 3 dane pentru încărcarea directă a navelor cu mărfuri vrac cum ar fi cerealele se vor înregistra beneficii și pentru danele de pasageri. Acest lucru ar presupune și construcția unor facilități adecvate pentru operare / încărcare și dragare pentru a asigura adâncimea necesară. Vor trebui îmbunătățite și legăturile cu portul. </w:t>
      </w:r>
    </w:p>
    <w:p w:rsidR="00B4550A" w:rsidRPr="00E0488D" w:rsidRDefault="00B4550A" w:rsidP="00BC2B57">
      <w:pPr>
        <w:pStyle w:val="BulletLevel1"/>
      </w:pPr>
      <w:r w:rsidRPr="00E0488D">
        <w:rPr>
          <w:b/>
        </w:rPr>
        <w:t>Problemă:</w:t>
      </w:r>
      <w:r w:rsidRPr="00E0488D">
        <w:t xml:space="preserve"> În prezent, cerealele sunt transportate pe drum pentru că portul nu are facilitățile necesare pentru a manevra cereale. Tonele operate la Tulcea au crescut din 2007 și în anul 2011 portul aproape și-a atins capacitatea maximă. Vor trebui îmbunătățite și legăturile cu portul.</w:t>
      </w:r>
    </w:p>
    <w:p w:rsidR="00B4550A" w:rsidRPr="00E0488D" w:rsidRDefault="00B4550A" w:rsidP="002B7E09">
      <w:pPr>
        <w:pStyle w:val="NumberedParas"/>
      </w:pPr>
      <w:r w:rsidRPr="00E0488D">
        <w:t xml:space="preserve">Tulcea a beneficiază de fonduri în valoare de 30 de milioane de Euro din Territorial Integrated Tool pentru reabilitarea și modernizarea portului, fonduri care se pot utiliza pentru finanțarea proiectelor propuse mai sus. </w:t>
      </w:r>
    </w:p>
    <w:p w:rsidR="00B4550A" w:rsidRPr="00E0488D" w:rsidRDefault="00B4550A" w:rsidP="002B7E09">
      <w:pPr>
        <w:pStyle w:val="NumberedParas"/>
        <w:numPr>
          <w:ilvl w:val="0"/>
          <w:numId w:val="0"/>
        </w:numPr>
        <w:ind w:left="680"/>
      </w:pPr>
      <w:r w:rsidRPr="00E0488D">
        <w:t>Galați</w:t>
      </w:r>
    </w:p>
    <w:p w:rsidR="00B4550A" w:rsidRPr="00E0488D" w:rsidRDefault="00B4550A" w:rsidP="002B7E09">
      <w:pPr>
        <w:pStyle w:val="NumberedParas"/>
      </w:pPr>
      <w:r w:rsidRPr="00E0488D">
        <w:t xml:space="preserve">Galați este cel de-al doilea port din România ca mărime operând peste 5 milioane de tone de mărfuri în 2011 și este considerat unul dintre porturile de bază ale rețelei TEN-T. Regiunea mai produce și o cantitate mare de materiale pretabile pentru </w:t>
      </w:r>
      <w:r w:rsidR="001205D0" w:rsidRPr="00E0488D">
        <w:t>tranzit</w:t>
      </w:r>
      <w:r w:rsidRPr="00E0488D">
        <w:t>. Portul Galați operează cereale, agregate, oțel, minereu de fier, cărbune și fier vechi. Cu toate acestea, lipsa de facilități intermodale reprezintă un obstacol major în ceea ce privește alinierea logisticii din port la fluxurile de transport internaționale. În plus infrastructura din port și zonele de triaj sunt vechi și inadecvate pentru nevoile logistice moderne și legăturile cu drumurilor naționale și rețelele de transport feroviar sunt lente și ineficiente. Toți acești factori limitează tonajul operat în portul Galați, ceea ce a dus la utilizarea redusă a portului în prezent.</w:t>
      </w:r>
    </w:p>
    <w:p w:rsidR="00B4550A" w:rsidRPr="00E0488D" w:rsidRDefault="00B4550A" w:rsidP="002B7E09">
      <w:pPr>
        <w:pStyle w:val="NumberedParas"/>
      </w:pPr>
      <w:r w:rsidRPr="00E0488D">
        <w:t xml:space="preserve"> Portul Galați:</w:t>
      </w:r>
    </w:p>
    <w:p w:rsidR="00B4550A" w:rsidRPr="00E0488D" w:rsidRDefault="00B4550A" w:rsidP="00BC2B57">
      <w:pPr>
        <w:pStyle w:val="BulletLevel1"/>
      </w:pPr>
      <w:r w:rsidRPr="00E0488D">
        <w:t xml:space="preserve">Este cel mai mare port fluvial-maritim din România </w:t>
      </w:r>
    </w:p>
    <w:p w:rsidR="00B4550A" w:rsidRPr="00E0488D" w:rsidRDefault="00B4550A" w:rsidP="00BC2B57">
      <w:pPr>
        <w:pStyle w:val="BulletLevel1"/>
      </w:pPr>
      <w:r w:rsidRPr="00E0488D">
        <w:t>Este a doua mare poartă maritimă de acces de la Marea Neagră oferind o conexiune feroviară către țările fără ieșire la mare din Europa Centrală.</w:t>
      </w:r>
    </w:p>
    <w:p w:rsidR="00B4550A" w:rsidRPr="00E0488D" w:rsidRDefault="00B4550A" w:rsidP="00BC2B57">
      <w:pPr>
        <w:pStyle w:val="BulletLevel1"/>
      </w:pPr>
      <w:r w:rsidRPr="00E0488D">
        <w:t xml:space="preserve">Furnizează servicii de transbordare pentru toate modurile de </w:t>
      </w:r>
      <w:r w:rsidR="001205D0" w:rsidRPr="00E0488D">
        <w:t>transport</w:t>
      </w:r>
      <w:r w:rsidRPr="00E0488D">
        <w:t xml:space="preserve"> și stocare temporară, servicii vamale, regim de zonă liberă, service și reparații pentru nave, servicii de colectare a deșeurilor de la nave</w:t>
      </w:r>
    </w:p>
    <w:p w:rsidR="00B4550A" w:rsidRPr="00E0488D" w:rsidRDefault="00B4550A" w:rsidP="00BC2B57">
      <w:pPr>
        <w:pStyle w:val="BulletLevel1"/>
      </w:pPr>
      <w:r w:rsidRPr="00E0488D">
        <w:t>Este amplasat la granița estică a Uniunii Europene către Republica Moldova și singurul punct de trecere a frontierei care tranzitează Republica Moldova către regiunea de sud a Ucrainei.</w:t>
      </w:r>
    </w:p>
    <w:p w:rsidR="00B4550A" w:rsidRPr="00E0488D" w:rsidRDefault="00B4550A" w:rsidP="00BC2B57">
      <w:pPr>
        <w:pStyle w:val="BulletLevel1"/>
      </w:pPr>
      <w:r w:rsidRPr="00E0488D">
        <w:t xml:space="preserve">Beneficiază de conexiuni rutiere și feroviare cu hinterlandul (Coridorul Rin-Dunăre și coridorul IX PAN-EU inclusiv legături din </w:t>
      </w:r>
      <w:r w:rsidR="001205D0" w:rsidRPr="00E0488D">
        <w:t>Republica</w:t>
      </w:r>
      <w:r w:rsidRPr="00E0488D">
        <w:t xml:space="preserve"> Moldova și Ucraina, fiind singurul port care poate opera transbordări directe de la navele maritime și fluviale la sistemul feroviar cu ecartament standard (1435 mm) și ecartament larg ( 1520mm). </w:t>
      </w:r>
    </w:p>
    <w:p w:rsidR="00B4550A" w:rsidRPr="00E0488D" w:rsidRDefault="00B4550A" w:rsidP="00BC2B57">
      <w:pPr>
        <w:pStyle w:val="BulletLevel1"/>
      </w:pPr>
      <w:r w:rsidRPr="00E0488D">
        <w:lastRenderedPageBreak/>
        <w:t>Frontul de acostare are o lungime de 7065 mm organizat în 56 de dane fluvial-maritime. Suprafața incintei portuare este de 864.131m</w:t>
      </w:r>
      <w:r w:rsidRPr="00E0488D">
        <w:rPr>
          <w:vertAlign w:val="superscript"/>
        </w:rPr>
        <w:t>2</w:t>
      </w:r>
      <w:r w:rsidRPr="00E0488D">
        <w:t xml:space="preserve"> (spațiu de depozitare în aer liber de 38.320m</w:t>
      </w:r>
      <w:r w:rsidRPr="00E0488D">
        <w:rPr>
          <w:vertAlign w:val="superscript"/>
        </w:rPr>
        <w:t>2</w:t>
      </w:r>
      <w:r w:rsidRPr="00E0488D">
        <w:t xml:space="preserve"> și spațiu de depozitare acoperit de 7.200m</w:t>
      </w:r>
      <w:r w:rsidRPr="00E0488D">
        <w:rPr>
          <w:vertAlign w:val="superscript"/>
        </w:rPr>
        <w:t>2</w:t>
      </w:r>
      <w:r w:rsidRPr="0030066D">
        <w:t>). În plus există o zonă liberă de 73.967m</w:t>
      </w:r>
      <w:r w:rsidRPr="0030066D">
        <w:rPr>
          <w:vertAlign w:val="superscript"/>
        </w:rPr>
        <w:t>2</w:t>
      </w:r>
    </w:p>
    <w:p w:rsidR="00B4550A" w:rsidRPr="00E0488D" w:rsidRDefault="00B4550A" w:rsidP="002B7E09">
      <w:pPr>
        <w:pStyle w:val="NumberedParas"/>
      </w:pPr>
      <w:r w:rsidRPr="00E0488D">
        <w:t xml:space="preserve">Facilitățile portului includ macarale plutitoare și echipamente mobile. Portul Galați operează trafic de marfă pe rute externe (import, export și tranzit) și rute intermodale (cabotaj). Amplasarea sa este extrem de favorabilă pentru transbordarea mărfurilor pentru distanțe lungi, acesta fiind un hub </w:t>
      </w:r>
      <w:r w:rsidR="001205D0" w:rsidRPr="00E0488D">
        <w:t>multi</w:t>
      </w:r>
      <w:r w:rsidR="001205D0">
        <w:t>m</w:t>
      </w:r>
      <w:r w:rsidR="001205D0" w:rsidRPr="00E0488D">
        <w:t>odal</w:t>
      </w:r>
      <w:r w:rsidRPr="00E0488D">
        <w:t xml:space="preserve"> pentru schimbul de mărfuri între țările cu ieșire la Marea Neagră și țările Europei Centrale. În prezent marfa vrac (minereu pentru Combinatul Siderurgic Mittal , cereale, fier vechi, materiale de construcții,</w:t>
      </w:r>
      <w:r w:rsidR="001205D0" w:rsidRPr="00E0488D">
        <w:t>etc.</w:t>
      </w:r>
      <w:r w:rsidRPr="00E0488D">
        <w:t xml:space="preserve">) reprezintă cea mai mare parte a cotei de trafic. Traficul de bunuri generale și standardizate este sporadic, principalele obstacole fiind de natură fizică, tehnică și funcțională. </w:t>
      </w:r>
    </w:p>
    <w:p w:rsidR="00B4550A" w:rsidRPr="00E0488D" w:rsidRDefault="00B4550A" w:rsidP="002B7E09">
      <w:pPr>
        <w:pStyle w:val="NumberedParas"/>
      </w:pPr>
      <w:r w:rsidRPr="00E0488D">
        <w:t xml:space="preserve">Portul Galați este bine amplasat pentru a opera </w:t>
      </w:r>
      <w:r w:rsidR="001205D0" w:rsidRPr="00E0488D">
        <w:t>cantități</w:t>
      </w:r>
      <w:r w:rsidRPr="00E0488D">
        <w:t xml:space="preserve"> sporite de mărfuri și pentru a putea aproviziona zona de nord-est și </w:t>
      </w:r>
      <w:r w:rsidR="001205D0" w:rsidRPr="00E0488D">
        <w:t>Moldova</w:t>
      </w:r>
      <w:r w:rsidRPr="00E0488D">
        <w:t xml:space="preserve"> dar are o infrastructură învechită, în unele părți chiar mai veche de 50 de ani, care nu mai corespunde standardelor moderne. Portul suferă și de o slabă conectivitate iar ambii factori menționați mai sus îi împiedică dezvoltarea. Infrastructura veche a fost proiectată în jurul nevoii industriei siderurgice din zonă, care în ultima decadă a suferit un declin pronunțat. Cu un volum din ce în ce mai mic de cărbune și minereu de fier necesar în zonă, portul are nevoie să își diversifice serviciile pentru a putea satisface cerințele unor industrii moderne. Analiza sectorului intermodal, în special în bazinul Mării Negre, indică un potențial de creștere a cererii de servicii intermodale în port.</w:t>
      </w:r>
    </w:p>
    <w:p w:rsidR="00B4550A" w:rsidRPr="00E0488D" w:rsidRDefault="00B4550A" w:rsidP="002B7E09">
      <w:pPr>
        <w:pStyle w:val="NumberedParas"/>
      </w:pPr>
      <w:r w:rsidRPr="00E0488D">
        <w:t>Utilizarea portului Galați este ilustrată în Tabelul 6.2.</w:t>
      </w:r>
    </w:p>
    <w:p w:rsidR="00B4550A" w:rsidRPr="00E0488D" w:rsidRDefault="00B4550A" w:rsidP="002B7E09">
      <w:pPr>
        <w:pStyle w:val="NumberedParas"/>
        <w:numPr>
          <w:ilvl w:val="0"/>
          <w:numId w:val="0"/>
        </w:numPr>
        <w:ind w:left="680"/>
      </w:pPr>
      <w:r w:rsidRPr="00E0488D">
        <w:t xml:space="preserve">Tabelul 6.2: Utilizarea prezentă și prognozată a portului </w:t>
      </w:r>
      <w:r w:rsidR="001205D0" w:rsidRPr="00E0488D">
        <w:t>Galați</w:t>
      </w:r>
    </w:p>
    <w:tbl>
      <w:tblPr>
        <w:tblW w:w="5303" w:type="dxa"/>
        <w:jc w:val="center"/>
        <w:tblLook w:val="04A0" w:firstRow="1" w:lastRow="0" w:firstColumn="1" w:lastColumn="0" w:noHBand="0" w:noVBand="1"/>
      </w:tblPr>
      <w:tblGrid>
        <w:gridCol w:w="1922"/>
        <w:gridCol w:w="987"/>
        <w:gridCol w:w="266"/>
        <w:gridCol w:w="1141"/>
        <w:gridCol w:w="987"/>
      </w:tblGrid>
      <w:tr w:rsidR="00B4550A" w:rsidRPr="00E0488D" w:rsidTr="003C7FC8">
        <w:trPr>
          <w:trHeight w:val="315"/>
          <w:jc w:val="center"/>
        </w:trPr>
        <w:tc>
          <w:tcPr>
            <w:tcW w:w="1922"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922"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83%</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39%</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49%</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79%</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37%</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26%</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78%</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74%</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22%</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84%</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54%</w:t>
            </w:r>
          </w:p>
        </w:tc>
      </w:tr>
      <w:tr w:rsidR="00B4550A" w:rsidRPr="00E0488D" w:rsidTr="003C7FC8">
        <w:trPr>
          <w:trHeight w:val="300"/>
          <w:jc w:val="center"/>
        </w:trPr>
        <w:tc>
          <w:tcPr>
            <w:tcW w:w="1922"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r>
      <w:tr w:rsidR="00B4550A" w:rsidRPr="00E0488D" w:rsidTr="003C7FC8">
        <w:trPr>
          <w:trHeight w:val="330"/>
          <w:jc w:val="center"/>
        </w:trPr>
        <w:tc>
          <w:tcPr>
            <w:tcW w:w="1922" w:type="dxa"/>
            <w:tcBorders>
              <w:top w:val="nil"/>
              <w:left w:val="single" w:sz="8" w:space="0" w:color="auto"/>
              <w:bottom w:val="single" w:sz="8" w:space="0" w:color="auto"/>
              <w:right w:val="nil"/>
            </w:tcBorders>
            <w:shd w:val="clear" w:color="000000"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Altele </w:t>
            </w:r>
          </w:p>
        </w:tc>
        <w:tc>
          <w:tcPr>
            <w:tcW w:w="987" w:type="dxa"/>
            <w:tcBorders>
              <w:top w:val="nil"/>
              <w:left w:val="nil"/>
              <w:bottom w:val="single" w:sz="8" w:space="0" w:color="auto"/>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96%</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90%</w:t>
            </w:r>
          </w:p>
        </w:tc>
        <w:tc>
          <w:tcPr>
            <w:tcW w:w="987" w:type="dxa"/>
            <w:tcBorders>
              <w:top w:val="nil"/>
              <w:left w:val="nil"/>
              <w:bottom w:val="single" w:sz="8" w:space="0" w:color="auto"/>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62%</w:t>
            </w:r>
          </w:p>
        </w:tc>
      </w:tr>
    </w:tbl>
    <w:p w:rsidR="00B4550A" w:rsidRPr="00E0488D" w:rsidRDefault="00B4550A" w:rsidP="002B7E09">
      <w:pPr>
        <w:pStyle w:val="NumberedParas"/>
      </w:pPr>
      <w:r w:rsidRPr="00E0488D">
        <w:t xml:space="preserve">Datele din tabel arată că terminalul de marfă vrac operează la capacitate. Modelul AECOM prognozează o supra-utilizare a terminalului în viitor. Prin contrast, terminalele mari de manevrare a cărbunelui și oțelului operează volume foarte mici, această tendință fiind prognozată să continue.  Teoretic, dacă fiecare dană ar putea fi utilizată pentru orice produs, atunci nu ar exista nicio problemă, dar realitatea este că multe dane sunt specializate pentru un singur produs </w:t>
      </w:r>
      <w:r w:rsidR="001205D0" w:rsidRPr="00E0488D">
        <w:t>tradițional</w:t>
      </w:r>
      <w:r w:rsidRPr="00E0488D">
        <w:t xml:space="preserve"> iar dacă acesta este în scădere atunci dana nu poate fi utilizată pentru alte mărfuri fără a beneficia de renovări majore. </w:t>
      </w:r>
    </w:p>
    <w:p w:rsidR="00B4550A" w:rsidRPr="00E0488D" w:rsidRDefault="00B4550A" w:rsidP="002B7E09">
      <w:pPr>
        <w:pStyle w:val="NumberedParas"/>
      </w:pPr>
      <w:r w:rsidRPr="00E0488D">
        <w:t xml:space="preserve">Portul Galați operează un număr de mărfuri printre care cereale, cărbune și oțel. Portul are o capacitate teoretică de 6,8 milioane de tone pe an. Cu toate acestea, 6,8 milioane de tone </w:t>
      </w:r>
      <w:r w:rsidRPr="00E0488D">
        <w:lastRenderedPageBreak/>
        <w:t xml:space="preserve">sunt pentru </w:t>
      </w:r>
      <w:r w:rsidR="001205D0" w:rsidRPr="00E0488D">
        <w:t>operarea</w:t>
      </w:r>
      <w:r w:rsidRPr="00E0488D">
        <w:t xml:space="preserve"> cărbunelui și oțelului asociate industriei siderurgice locale, care se află în declin. Astfel portul Galați are nevoie de o retehnologizare și modernizare a terminalelor și danelor existente pentru a își crește capacitatea pentru un nou trafic. </w:t>
      </w:r>
    </w:p>
    <w:p w:rsidR="00B4550A" w:rsidRPr="00E0488D" w:rsidRDefault="00B4550A" w:rsidP="00BC2B57">
      <w:pPr>
        <w:pStyle w:val="BulletLevel1"/>
      </w:pPr>
      <w:r w:rsidRPr="00E0488D">
        <w:rPr>
          <w:b/>
        </w:rPr>
        <w:t>Problemă:</w:t>
      </w:r>
      <w:r w:rsidRPr="00E0488D">
        <w:t xml:space="preserve"> La Galați nu există facilități intermodale ceea ce limitează tonajul operat în port. Aceasta înseamnă că portul trebuie să depășească barierele fizice, tehnice și funcționale pentru a putea opera containere.  </w:t>
      </w:r>
    </w:p>
    <w:p w:rsidR="00B4550A" w:rsidRPr="00E0488D" w:rsidRDefault="00B4550A" w:rsidP="00BC2B57">
      <w:pPr>
        <w:pStyle w:val="BulletLevel1"/>
      </w:pPr>
      <w:r w:rsidRPr="00E0488D">
        <w:t xml:space="preserve">Soluție propusă: Construcția unui nou terminal trimodal </w:t>
      </w:r>
    </w:p>
    <w:p w:rsidR="00B4550A" w:rsidRPr="00E0488D" w:rsidRDefault="00B4550A" w:rsidP="002B7E09">
      <w:pPr>
        <w:pStyle w:val="NumberedParas"/>
      </w:pPr>
      <w:r w:rsidRPr="00E0488D">
        <w:t xml:space="preserve">Lipsa facilităților intermodale reprezintă un obstacol major în procesul de integrare a portului în fluxurile </w:t>
      </w:r>
      <w:r w:rsidR="001205D0" w:rsidRPr="00E0488D">
        <w:t>internaționale</w:t>
      </w:r>
      <w:r w:rsidRPr="00E0488D">
        <w:t xml:space="preserve">, infrastructura și stația de triaj a portului sunt vechi și inadecvate. Legăturile portului cu hinterlandul, deși asigură interoperabilitatea tuturor modurilor de transport, nu îndeplinesc standardele de calitate stabilite prin Reglementarea TEN-T nr. 1315/2013 pentru infrastructura rețelei centrale în </w:t>
      </w:r>
      <w:r w:rsidR="001205D0" w:rsidRPr="00E0488D">
        <w:t>care</w:t>
      </w:r>
      <w:r w:rsidRPr="00E0488D">
        <w:t xml:space="preserve"> este inclus portul Galați. Conexiunile cu rețeaua rutieră și feroviară sunt lente și ineficiente, legăturile rutiere fiind asigurate prin drumuri cu o singură bandă pe sens iar stația de triaj și sistemul feroviar care deservește portul necesită modernizări (inclusiv electrificare) și adaptare la operarea trenurilor cu lungime de 750 de metri. Barierele fizice sunt reprezentate de cheurile înguste, care nu permit acostarea directă a navelor. </w:t>
      </w:r>
    </w:p>
    <w:p w:rsidR="00B4550A" w:rsidRPr="00E0488D" w:rsidRDefault="00B4550A" w:rsidP="002B7E09">
      <w:pPr>
        <w:pStyle w:val="NumberedParas"/>
        <w:rPr>
          <w:b/>
        </w:rPr>
      </w:pPr>
      <w:r w:rsidRPr="00E0488D">
        <w:t xml:space="preserve">Un nou terminal trimodal ar facilita transbordarea directă a containerelor între nave, trenuri și camioane. Portul dispune deja de ambele sisteme feroviare (de 1435 mm și de 1520mm) care asigură interoperabilitatea </w:t>
      </w:r>
      <w:r w:rsidR="001205D0" w:rsidRPr="00E0488D">
        <w:t>transportului</w:t>
      </w:r>
      <w:r w:rsidRPr="00E0488D">
        <w:t xml:space="preserve"> feroviar. Terminalul va fi echipat și cu RO-RO și facilități pentru camioane și va putea oferi și unele servicii logistice. Proiectul va face legătura cu Zona Liberă a portului și ar putea beneficia de pe urma proximității cu Moldova și Ucraina. Galați a propus un proiect numit "Platforma multimodală Galați – eliminarea congestiilor majore prin modernizarea infrastructurii existente și asigurarea legăturilor care lipsesc pentru conectarea la rețeaua centrală Rin-Dunăre / Alpi", proiect ce are în vedere fondurile CEF pentru finanțare iar sugestia AECOM este ca terminalul tri-modal să fie inclus ca prima fază a acestui proiect. </w:t>
      </w:r>
    </w:p>
    <w:p w:rsidR="00B4550A" w:rsidRPr="00E0488D" w:rsidRDefault="00B4550A" w:rsidP="00BC2B57">
      <w:pPr>
        <w:pStyle w:val="BulletLevel1"/>
      </w:pPr>
      <w:r w:rsidRPr="00E0488D">
        <w:rPr>
          <w:b/>
        </w:rPr>
        <w:t>Problemă:</w:t>
      </w:r>
      <w:r w:rsidRPr="00E0488D">
        <w:t xml:space="preserve"> Infrastructura din Galați este veche, destinată operării de mărfuri care au înregistrat un declin semnificativ comparativ cu estimările de la momentul proiectării. Portul mai are de suferit și de pe urma legăturilor defectuoase, cum ar fi drumuri cu o singură bandă pe sens, care se intersectează cu conexiunile feroviare ale portului cauzând congestii de trafic în cadrul portului. Toate aceste elemente împiedică dezvoltarea portului.  </w:t>
      </w:r>
    </w:p>
    <w:p w:rsidR="00B4550A" w:rsidRPr="00E0488D" w:rsidRDefault="00B4550A" w:rsidP="00BC2B57">
      <w:pPr>
        <w:pStyle w:val="BulletLevel1"/>
      </w:pPr>
      <w:r w:rsidRPr="00E0488D">
        <w:t xml:space="preserve">Soluția propusă: Modernizarea terminalelor pentru mărfuri vrac existente </w:t>
      </w:r>
    </w:p>
    <w:p w:rsidR="00B4550A" w:rsidRPr="00E0488D" w:rsidRDefault="00B4550A" w:rsidP="002B7E09">
      <w:pPr>
        <w:pStyle w:val="NumberedParas"/>
      </w:pPr>
      <w:r w:rsidRPr="00E0488D">
        <w:t xml:space="preserve">Modernizarea terminalelor de mărfuri vrac existente pentru înființarea unui nou terminal pentru mărfuri paletizate va permite portului să își dezvolte capacitatea de a opera fluxurile moderne de mărfuri. Prin aceasta se va asigura și acostarea directă a navelor care va permite transferarea mai ușoară și eficientă a bunurilor de pe nave pe uscat (și vice versa). </w:t>
      </w:r>
      <w:r w:rsidR="001205D0" w:rsidRPr="00E0488D">
        <w:t>Procesele</w:t>
      </w:r>
      <w:r w:rsidRPr="00E0488D">
        <w:t xml:space="preserve"> și sistemele modernizare a portului și integrarea lor cu celelalte moduri de transport va duce la creșteri suplimentare ale eficienței. </w:t>
      </w:r>
    </w:p>
    <w:p w:rsidR="00B4550A" w:rsidRPr="00E0488D" w:rsidRDefault="00B4550A" w:rsidP="00B4550A">
      <w:pPr>
        <w:pStyle w:val="Heading7"/>
        <w:shd w:val="clear" w:color="auto" w:fill="FFFFFF" w:themeFill="background1"/>
        <w:rPr>
          <w:lang w:val="ro-RO"/>
        </w:rPr>
      </w:pPr>
    </w:p>
    <w:p w:rsidR="00B4550A" w:rsidRPr="00E0488D" w:rsidRDefault="00B4550A" w:rsidP="00B4550A">
      <w:pPr>
        <w:shd w:val="clear" w:color="auto" w:fill="FFFFFF" w:themeFill="background1"/>
        <w:rPr>
          <w:lang w:val="ro-RO"/>
        </w:rPr>
      </w:pPr>
    </w:p>
    <w:p w:rsidR="00B4550A" w:rsidRPr="00E0488D" w:rsidRDefault="00B4550A" w:rsidP="00B4550A">
      <w:pPr>
        <w:pStyle w:val="Heading7"/>
        <w:shd w:val="clear" w:color="auto" w:fill="FFFFFF" w:themeFill="background1"/>
        <w:rPr>
          <w:lang w:val="ro-RO"/>
        </w:rPr>
      </w:pPr>
      <w:r w:rsidRPr="00E0488D">
        <w:rPr>
          <w:lang w:val="ro-RO"/>
        </w:rPr>
        <w:t>Brăila</w:t>
      </w:r>
    </w:p>
    <w:p w:rsidR="00B4550A" w:rsidRPr="00E0488D" w:rsidRDefault="00B4550A" w:rsidP="002B7E09">
      <w:pPr>
        <w:pStyle w:val="NumberedParas"/>
      </w:pPr>
      <w:r w:rsidRPr="00E0488D">
        <w:t>Acesta este un port mare, considerat port al rețelei extinse TEN-T. Are douăsprezece macarale portic (</w:t>
      </w:r>
      <w:r w:rsidR="001205D0" w:rsidRPr="00E0488D">
        <w:t>max.</w:t>
      </w:r>
      <w:r w:rsidRPr="00E0488D">
        <w:t xml:space="preserve"> 16t), opt automacarale (</w:t>
      </w:r>
      <w:r w:rsidR="001205D0" w:rsidRPr="00E0488D">
        <w:t>max.</w:t>
      </w:r>
      <w:r w:rsidRPr="00E0488D">
        <w:t xml:space="preserve"> 25t), două macarale plutitoare (</w:t>
      </w:r>
      <w:r w:rsidR="001205D0" w:rsidRPr="00E0488D">
        <w:t>max.</w:t>
      </w:r>
      <w:r w:rsidRPr="00E0488D">
        <w:t xml:space="preserve"> 30t), cinci motostivuitoare, benzi transportoare și echipament pneumatic corespunzător pentru </w:t>
      </w:r>
      <w:r w:rsidRPr="00E0488D">
        <w:lastRenderedPageBreak/>
        <w:t>manevrarea cerealelor. Suprafața totală a portului este de 398.630m</w:t>
      </w:r>
      <w:r w:rsidRPr="00E0488D">
        <w:rPr>
          <w:vertAlign w:val="superscript"/>
        </w:rPr>
        <w:t xml:space="preserve">2 </w:t>
      </w:r>
      <w:r w:rsidRPr="00E0488D">
        <w:t>(spațiu de depozitare în aer liber de 250.350m</w:t>
      </w:r>
      <w:r w:rsidRPr="00E0488D">
        <w:rPr>
          <w:vertAlign w:val="superscript"/>
        </w:rPr>
        <w:t xml:space="preserve">2 </w:t>
      </w:r>
      <w:r w:rsidRPr="00E0488D">
        <w:t>și spațiu de depozitare acoperit de 10.804m</w:t>
      </w:r>
      <w:r w:rsidRPr="00E0488D">
        <w:rPr>
          <w:vertAlign w:val="superscript"/>
        </w:rPr>
        <w:t>2</w:t>
      </w:r>
      <w:r w:rsidRPr="00E0488D">
        <w:t>) din care 22.750m</w:t>
      </w:r>
      <w:r w:rsidRPr="00E0488D">
        <w:rPr>
          <w:vertAlign w:val="superscript"/>
        </w:rPr>
        <w:t>3</w:t>
      </w:r>
      <w:r w:rsidRPr="00E0488D">
        <w:t xml:space="preserve"> pentru cereale și 6.000m</w:t>
      </w:r>
      <w:r w:rsidRPr="00E0488D">
        <w:rPr>
          <w:vertAlign w:val="superscript"/>
        </w:rPr>
        <w:t>3</w:t>
      </w:r>
      <w:r w:rsidRPr="00E0488D">
        <w:t xml:space="preserve"> silozuri de furaje pentru animale. Portul are legătură la calea ferată dar infrastructura este depășită și drumurile care duc spre port, în special spre intrarea de nord, sunt departe de a fi cele mai bune având in vedere semnalizarea deficitară și lipsa de securitate. Principalele mărfuri din portul Brăila sunt produsele minerale, cerealele, produsele din lemn și îngrășămintele. </w:t>
      </w:r>
    </w:p>
    <w:p w:rsidR="00B4550A" w:rsidRPr="00E0488D" w:rsidRDefault="00B4550A" w:rsidP="002B7E09">
      <w:pPr>
        <w:pStyle w:val="NumberedParas"/>
      </w:pPr>
      <w:r w:rsidRPr="00E0488D">
        <w:t xml:space="preserve"> Brăila are un număr de dane care trebuie modernizate iar drumurile și liniile de cale ferată din port se confruntă cu congestii de trafic. Drumul de acces din nordul portului este într-o stare precară, cu un sistem de semnalizare deficitar și securitate scăzută. Modernizarea danelor și a infrastructurii din port va ajuta la îmbunătățirea capacității portului, care, în timp, va </w:t>
      </w:r>
      <w:r w:rsidR="001205D0" w:rsidRPr="00E0488D">
        <w:t>reduce</w:t>
      </w:r>
      <w:r w:rsidRPr="00E0488D">
        <w:t xml:space="preserve"> gradul de aglomerare. Danele portului Brăila sunt învechite iar legăturile portului cu celelalte moduri de transport sunt deficitare. Portul a fost utilizat intens în perioada 2007-2011. </w:t>
      </w:r>
    </w:p>
    <w:p w:rsidR="00B4550A" w:rsidRPr="00E0488D" w:rsidRDefault="00B4550A" w:rsidP="002B7E09">
      <w:pPr>
        <w:pStyle w:val="NumberedParas"/>
      </w:pPr>
      <w:r w:rsidRPr="00E0488D">
        <w:t>Portul Brăila are o capacitate maximă teoretică de 3,1 milioane de tone pe an. În 2008 și 2011 Brăila a operat un total de 1,2 milioane de tone. În prezent, portul dispune de o capacitate mare.</w:t>
      </w:r>
    </w:p>
    <w:p w:rsidR="00B4550A" w:rsidRPr="00E0488D" w:rsidRDefault="00B4550A" w:rsidP="00687448">
      <w:pPr>
        <w:numPr>
          <w:ilvl w:val="0"/>
          <w:numId w:val="49"/>
        </w:numPr>
        <w:shd w:val="clear" w:color="auto" w:fill="FFFFFF" w:themeFill="background1"/>
        <w:spacing w:line="276" w:lineRule="auto"/>
        <w:ind w:left="502"/>
        <w:jc w:val="both"/>
        <w:rPr>
          <w:sz w:val="22"/>
          <w:szCs w:val="22"/>
          <w:lang w:val="ro-RO"/>
        </w:rPr>
      </w:pPr>
      <w:r w:rsidRPr="00E0488D">
        <w:rPr>
          <w:b/>
          <w:sz w:val="22"/>
          <w:szCs w:val="22"/>
          <w:lang w:val="ro-RO"/>
        </w:rPr>
        <w:t>Problemă:</w:t>
      </w:r>
      <w:r w:rsidRPr="00E0488D">
        <w:rPr>
          <w:sz w:val="22"/>
          <w:szCs w:val="22"/>
          <w:lang w:val="ro-RO"/>
        </w:rPr>
        <w:t xml:space="preserve"> Danele din Brăila sunt învechite și portul are legături defectuoase. </w:t>
      </w:r>
    </w:p>
    <w:p w:rsidR="00B4550A" w:rsidRPr="00E0488D" w:rsidRDefault="00B4550A" w:rsidP="00687448">
      <w:pPr>
        <w:numPr>
          <w:ilvl w:val="0"/>
          <w:numId w:val="49"/>
        </w:numPr>
        <w:shd w:val="clear" w:color="auto" w:fill="FFFFFF" w:themeFill="background1"/>
        <w:spacing w:line="276" w:lineRule="auto"/>
        <w:ind w:left="502"/>
        <w:jc w:val="both"/>
        <w:rPr>
          <w:sz w:val="22"/>
          <w:szCs w:val="22"/>
          <w:lang w:val="ro-RO"/>
        </w:rPr>
      </w:pPr>
      <w:r w:rsidRPr="00E0488D">
        <w:rPr>
          <w:b/>
          <w:sz w:val="22"/>
          <w:szCs w:val="22"/>
          <w:lang w:val="ro-RO"/>
        </w:rPr>
        <w:t>Problemă:</w:t>
      </w:r>
      <w:r w:rsidRPr="00E0488D">
        <w:rPr>
          <w:sz w:val="22"/>
          <w:szCs w:val="22"/>
          <w:lang w:val="ro-RO"/>
        </w:rPr>
        <w:t xml:space="preserve"> Portul este foarte aproape de atingerea capacității maxime. </w:t>
      </w:r>
    </w:p>
    <w:p w:rsidR="00B4550A" w:rsidRPr="00E0488D" w:rsidRDefault="00B4550A" w:rsidP="002B7E09">
      <w:pPr>
        <w:pStyle w:val="NumberedParas"/>
        <w:numPr>
          <w:ilvl w:val="0"/>
          <w:numId w:val="0"/>
        </w:numPr>
        <w:ind w:left="822"/>
      </w:pPr>
      <w:r w:rsidRPr="00E0488D">
        <w:rPr>
          <w:b/>
        </w:rPr>
        <w:t>Soluția propusă:</w:t>
      </w:r>
      <w:r w:rsidRPr="00E0488D">
        <w:t xml:space="preserve"> Ambele probleme pot fi rezolvate prin creșterea capacității ca urmare a implementării unor proiecte de modernizare a danelor. Danele învechite existente pot fi modernizate și acest lucru va crește eficiența prin faptul că danele vor putea să opereze bunurile conform nevoilor. A se ține cont de faptul că portul deja atrage proiecte pentru a rezolva aceste probleme. Proiectele din Scenariul de Referință implică modernizarea sistemului de dane și eliminarea congestiilor rutiere și feroviare la intrarea în port pentru a asigura folosirea eficientă a capacității crescute. Îmbunătățirea danelor va asigura posibilitatea ca danele să opereze </w:t>
      </w:r>
      <w:r w:rsidR="001205D0" w:rsidRPr="00E0488D">
        <w:t>volume</w:t>
      </w:r>
      <w:r w:rsidRPr="00E0488D">
        <w:t xml:space="preserve"> crescute de mărfuri. În cazul în care propunerile din Scenariul de Referință se dovedesc insuficiente pentru a face față nevoilor în creștere ale portului Brăila, atunci ar putea apărea necesitatea creșterii capacității. </w:t>
      </w:r>
      <w:r w:rsidRPr="00E0488D">
        <w:br w:type="page"/>
      </w:r>
    </w:p>
    <w:p w:rsidR="00B4550A" w:rsidRPr="00E0488D" w:rsidRDefault="00B4550A" w:rsidP="002B7E09">
      <w:pPr>
        <w:pStyle w:val="NumberedParas"/>
        <w:numPr>
          <w:ilvl w:val="0"/>
          <w:numId w:val="0"/>
        </w:numPr>
        <w:ind w:left="822"/>
      </w:pPr>
    </w:p>
    <w:p w:rsidR="00B4550A" w:rsidRPr="00E0488D" w:rsidRDefault="00B4550A" w:rsidP="00B4550A">
      <w:pPr>
        <w:pStyle w:val="Heading7"/>
        <w:rPr>
          <w:lang w:val="ro-RO"/>
        </w:rPr>
      </w:pPr>
      <w:r w:rsidRPr="00E0488D">
        <w:rPr>
          <w:lang w:val="ro-RO"/>
        </w:rPr>
        <w:t>Cernavodă</w:t>
      </w:r>
    </w:p>
    <w:p w:rsidR="00B4550A" w:rsidRPr="00E0488D" w:rsidRDefault="00B4550A" w:rsidP="002B7E09">
      <w:pPr>
        <w:pStyle w:val="NumberedParas"/>
      </w:pPr>
      <w:r w:rsidRPr="00E0488D">
        <w:t>Acest port, considerat port al rețelei de bază TEN-T, are trei macarale portic (</w:t>
      </w:r>
      <w:r w:rsidR="001205D0" w:rsidRPr="00E0488D">
        <w:t>max.</w:t>
      </w:r>
      <w:r w:rsidRPr="00E0488D">
        <w:t xml:space="preserve"> 16t) și un spațiu de depozitare în aer liber de 20.000m</w:t>
      </w:r>
      <w:r w:rsidRPr="00E0488D">
        <w:rPr>
          <w:vertAlign w:val="superscript"/>
        </w:rPr>
        <w:t xml:space="preserve">2 </w:t>
      </w:r>
      <w:r w:rsidRPr="00E0488D">
        <w:t>și 2.000 m</w:t>
      </w:r>
      <w:r w:rsidRPr="00E0488D">
        <w:rPr>
          <w:vertAlign w:val="superscript"/>
        </w:rPr>
        <w:t xml:space="preserve">2 </w:t>
      </w:r>
      <w:r w:rsidRPr="00E0488D">
        <w:t xml:space="preserve">spațiu de depozitare acoperit. APDF a achiziționat o navă pentru gestionarea deșeurilor provenite din exploatarea navelor, tratarea și depozitarea apei.  </w:t>
      </w:r>
    </w:p>
    <w:p w:rsidR="00B4550A" w:rsidRPr="00E0488D" w:rsidRDefault="00B4550A" w:rsidP="002B7E09">
      <w:pPr>
        <w:pStyle w:val="NumberedParas"/>
      </w:pPr>
      <w:r w:rsidRPr="00E0488D">
        <w:t>. Utilizarea portului Cernavoda este descrisă în Tabelul 6.3.</w:t>
      </w:r>
    </w:p>
    <w:p w:rsidR="00B4550A" w:rsidRPr="00E0488D" w:rsidRDefault="00B4550A" w:rsidP="002B7E09">
      <w:pPr>
        <w:pStyle w:val="NumberedParas"/>
        <w:numPr>
          <w:ilvl w:val="0"/>
          <w:numId w:val="0"/>
        </w:numPr>
        <w:ind w:left="709"/>
      </w:pPr>
      <w:r w:rsidRPr="00E0488D">
        <w:t>Tabelul 6.3: Utilizarea prezentă și prognozată a portului Cernavoda</w:t>
      </w:r>
    </w:p>
    <w:tbl>
      <w:tblPr>
        <w:tblW w:w="4470" w:type="dxa"/>
        <w:jc w:val="center"/>
        <w:tblLook w:val="04A0" w:firstRow="1" w:lastRow="0" w:firstColumn="1" w:lastColumn="0" w:noHBand="0" w:noVBand="1"/>
      </w:tblPr>
      <w:tblGrid>
        <w:gridCol w:w="1152"/>
        <w:gridCol w:w="987"/>
        <w:gridCol w:w="266"/>
        <w:gridCol w:w="1141"/>
        <w:gridCol w:w="960"/>
      </w:tblGrid>
      <w:tr w:rsidR="00B4550A" w:rsidRPr="00E0488D" w:rsidTr="003C7FC8">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01"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87"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w:t>
            </w:r>
            <w:r w:rsidR="001205D0" w:rsidRPr="00E0488D">
              <w:rPr>
                <w:rFonts w:ascii="Gill Sans MT" w:hAnsi="Gill Sans MT"/>
                <w:color w:val="000000"/>
                <w:sz w:val="20"/>
                <w:szCs w:val="20"/>
                <w:lang w:val="ro-RO" w:eastAsia="en-GB"/>
              </w:rPr>
              <w:t>generale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109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86%</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64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63%</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68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13%</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6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87"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bl>
    <w:p w:rsidR="00B4550A" w:rsidRPr="00E0488D" w:rsidRDefault="00B4550A" w:rsidP="002B7E09">
      <w:pPr>
        <w:pStyle w:val="NumberedParas"/>
        <w:numPr>
          <w:ilvl w:val="0"/>
          <w:numId w:val="0"/>
        </w:numPr>
        <w:ind w:left="680"/>
      </w:pPr>
    </w:p>
    <w:p w:rsidR="00B4550A" w:rsidRPr="00E0488D" w:rsidRDefault="00B4550A" w:rsidP="002B7E09">
      <w:pPr>
        <w:pStyle w:val="NumberedParas"/>
      </w:pPr>
      <w:r w:rsidRPr="00E0488D">
        <w:t xml:space="preserve">Datele din tabel arată faptul că în prezent portul este supra-utilizat și, deși prognozele arată un grad mai scăzut de utilizare în viitor, nivelul utilizării este unul destul de ridicat și portul ar putea beneficia de o creștere a capacității. </w:t>
      </w:r>
    </w:p>
    <w:p w:rsidR="00B4550A" w:rsidRPr="00E0488D" w:rsidRDefault="00B4550A" w:rsidP="002B7E09">
      <w:pPr>
        <w:pStyle w:val="NumberedParas"/>
      </w:pPr>
      <w:r w:rsidRPr="00E0488D">
        <w:t>Portul Cernavodă poate deservi industria cerealieră și de uleiuri minerale având capacitatea de a opera atât mărfuri vrac cât și bunuri de larg consum.</w:t>
      </w:r>
    </w:p>
    <w:p w:rsidR="00B4550A" w:rsidRPr="00E0488D" w:rsidRDefault="00B4550A" w:rsidP="002B7E09">
      <w:pPr>
        <w:pStyle w:val="NumberedParas"/>
      </w:pPr>
      <w:r w:rsidRPr="00E0488D">
        <w:t xml:space="preserve"> În portul de la Cernavodă sunt descărcate produse minerale și lemn (descărcare a 101.065 tone de produse minerale și 24.396 tone de lemn în 2011 comparativ cu încărcarea a 5.322 tone, respectiv 1.050 tone) astfel încât nu sunt necesare investiții semnificative în alte tipuri de mărfuri, deși portul ar trebui să fie mai flexibil în ceea ce privește gama de mărfuri operate.</w:t>
      </w:r>
    </w:p>
    <w:p w:rsidR="00B4550A" w:rsidRPr="00E0488D" w:rsidRDefault="00B4550A" w:rsidP="002B7E09">
      <w:pPr>
        <w:pStyle w:val="NumberedParas"/>
      </w:pPr>
      <w:r w:rsidRPr="00E0488D">
        <w:t xml:space="preserve">Portul este echipat deficitar pentru alte tipuri de mărfuri ceea ce îi restricționează flexibilitatea și abilitatea de a se adapta la noi circumstanțe. Acest lucru este reflectat în volumele de mărfuri: în 2011, portul a operat peste 130.000 t dar danele au fost folosite doar în procent de 5%. </w:t>
      </w:r>
    </w:p>
    <w:p w:rsidR="00B4550A" w:rsidRPr="00E0488D" w:rsidRDefault="00B4550A" w:rsidP="00BC2B57">
      <w:pPr>
        <w:pStyle w:val="BulletLevel1"/>
      </w:pPr>
      <w:r w:rsidRPr="00E0488D">
        <w:rPr>
          <w:b/>
        </w:rPr>
        <w:t>Problemă:</w:t>
      </w:r>
      <w:r w:rsidRPr="00E0488D">
        <w:t xml:space="preserve"> Cernavodă nu poate opera volume suplimentare de mărfuri solide </w:t>
      </w:r>
    </w:p>
    <w:p w:rsidR="00B4550A" w:rsidRPr="00E0488D" w:rsidRDefault="00B4550A" w:rsidP="00BC2B57">
      <w:pPr>
        <w:pStyle w:val="BulletLevel1"/>
      </w:pPr>
      <w:r w:rsidRPr="00E0488D">
        <w:t>Soluție: Dezvoltarea infrastructurii</w:t>
      </w:r>
    </w:p>
    <w:p w:rsidR="00B4550A" w:rsidRPr="00E0488D" w:rsidRDefault="00B4550A" w:rsidP="002B7E09">
      <w:pPr>
        <w:pStyle w:val="NumberedParas"/>
      </w:pPr>
      <w:r w:rsidRPr="00E0488D">
        <w:t>Modernizarea infrastructurii din portul Cernavodă ar presupune dragări la gura bazinului precum și modernizarea și reabilitarea danelor de operare mărfuri din port, inclusiv furnizarea de rețele de utilități</w:t>
      </w:r>
    </w:p>
    <w:p w:rsidR="00B4550A" w:rsidRPr="00E0488D" w:rsidRDefault="00B4550A" w:rsidP="00B4550A">
      <w:pPr>
        <w:rPr>
          <w:sz w:val="22"/>
          <w:szCs w:val="22"/>
          <w:lang w:val="ro-RO"/>
        </w:rPr>
      </w:pPr>
      <w:r w:rsidRPr="00E0488D">
        <w:rPr>
          <w:lang w:val="ro-RO"/>
        </w:rPr>
        <w:lastRenderedPageBreak/>
        <w:br w:type="page"/>
      </w:r>
    </w:p>
    <w:p w:rsidR="00B4550A" w:rsidRPr="00E0488D" w:rsidRDefault="00B4550A" w:rsidP="002B7E09">
      <w:pPr>
        <w:pStyle w:val="NumberedParas"/>
        <w:numPr>
          <w:ilvl w:val="0"/>
          <w:numId w:val="0"/>
        </w:numPr>
        <w:ind w:left="680"/>
      </w:pPr>
    </w:p>
    <w:p w:rsidR="00B4550A" w:rsidRPr="00E0488D" w:rsidRDefault="00B4550A" w:rsidP="00B4550A">
      <w:pPr>
        <w:pStyle w:val="Heading7"/>
        <w:rPr>
          <w:lang w:val="ro-RO"/>
        </w:rPr>
      </w:pPr>
      <w:r w:rsidRPr="00E0488D">
        <w:rPr>
          <w:lang w:val="ro-RO"/>
        </w:rPr>
        <w:t>Medgidia</w:t>
      </w:r>
    </w:p>
    <w:p w:rsidR="00B4550A" w:rsidRPr="00E0488D" w:rsidRDefault="00B4550A" w:rsidP="002B7E09">
      <w:pPr>
        <w:pStyle w:val="NumberedParas"/>
      </w:pPr>
      <w:r w:rsidRPr="00E0488D">
        <w:t xml:space="preserve">Portul Medgidia oferă atât dane industriale (17) cât și dane comerciale (5), în plus față de </w:t>
      </w:r>
      <w:r w:rsidR="001205D0" w:rsidRPr="00E0488D">
        <w:t>serviciile</w:t>
      </w:r>
      <w:r w:rsidRPr="00E0488D">
        <w:t xml:space="preserve"> de pasageri.  Dispune de 3 macarale portic și 2 macarale plutitoare și principalele sale operațiuni sunt reprezentate de industria agricolă și transportarea cimentului. Cu toate acestea, se poate solicita reabilitarea zonelor în care betonul este deteriorat, pentru aria în care navele așteaptă acordarea accesului în port.  Portul Medgidia nu poate opera mărfuri vrac și mărfuri generale. Deși portul a fost aglomerat în ultimii ani, </w:t>
      </w:r>
      <w:r w:rsidR="001205D0" w:rsidRPr="00E0488D">
        <w:t>acest</w:t>
      </w:r>
      <w:r w:rsidRPr="00E0488D">
        <w:t xml:space="preserve"> fapt s-a datorat în principal lucrărilor de construcție a </w:t>
      </w:r>
      <w:r w:rsidR="001205D0" w:rsidRPr="00E0488D">
        <w:t>infrastructurii</w:t>
      </w:r>
      <w:r w:rsidRPr="00E0488D">
        <w:t xml:space="preserve"> locale, care sunt de natură temporară. Portul Medgidia are o capacitate teoretică de 5 milioane de tone pe an.</w:t>
      </w:r>
    </w:p>
    <w:p w:rsidR="00B4550A" w:rsidRPr="00E0488D" w:rsidRDefault="00B4550A" w:rsidP="002B7E09">
      <w:pPr>
        <w:pStyle w:val="NumberedParas"/>
        <w:numPr>
          <w:ilvl w:val="0"/>
          <w:numId w:val="0"/>
        </w:numPr>
        <w:ind w:left="822"/>
      </w:pPr>
    </w:p>
    <w:p w:rsidR="00B4550A" w:rsidRPr="00E0488D" w:rsidRDefault="00B4550A" w:rsidP="00B4550A">
      <w:pPr>
        <w:pStyle w:val="Heading7"/>
        <w:rPr>
          <w:lang w:val="ro-RO"/>
        </w:rPr>
      </w:pPr>
      <w:r w:rsidRPr="00E0488D">
        <w:rPr>
          <w:lang w:val="ro-RO"/>
        </w:rPr>
        <w:t>Portul Basarabi/Murfatlar</w:t>
      </w:r>
    </w:p>
    <w:p w:rsidR="00B4550A" w:rsidRPr="00E0488D" w:rsidRDefault="00B4550A" w:rsidP="002B7E09">
      <w:pPr>
        <w:pStyle w:val="NumberedParas"/>
      </w:pPr>
      <w:r w:rsidRPr="00E0488D">
        <w:t xml:space="preserve">Portul Basarabi/Murfatlar este amplasat pe canalul Dunăre – Marea Neagră și pune la dispoziție 11 dane pentru utilizare industrială precum și o dană pentru călători. Deține și două macarale portic și 3 automacarale pentru operarea mărfurilor. </w:t>
      </w:r>
    </w:p>
    <w:p w:rsidR="00B4550A" w:rsidRPr="00E0488D" w:rsidRDefault="00B4550A" w:rsidP="002B7E09">
      <w:pPr>
        <w:pStyle w:val="NumberedParas"/>
      </w:pPr>
      <w:r w:rsidRPr="00E0488D">
        <w:t xml:space="preserve">Portul </w:t>
      </w:r>
      <w:r w:rsidR="001205D0" w:rsidRPr="00E0488D">
        <w:t>Basarabi</w:t>
      </w:r>
      <w:r w:rsidRPr="00E0488D">
        <w:t xml:space="preserve"> poate manevra mărfuri generale și mărfuri vrac, acestea fiind operațiuni de transbordare. Deși portul a fost aglomerat în ultimii ani, </w:t>
      </w:r>
      <w:r w:rsidR="001205D0" w:rsidRPr="00E0488D">
        <w:t>acest</w:t>
      </w:r>
      <w:r w:rsidRPr="00E0488D">
        <w:t xml:space="preserve"> fapt s-a datorat în principal lucrărilor de construcție a </w:t>
      </w:r>
      <w:r w:rsidR="001205D0" w:rsidRPr="00E0488D">
        <w:t>infrastructurii</w:t>
      </w:r>
      <w:r w:rsidRPr="00E0488D">
        <w:t xml:space="preserve"> locale, care sunt de natură temporară. Portul Basarabi poate opera până la 700.000 de tone de marfă pe an. </w:t>
      </w:r>
    </w:p>
    <w:p w:rsidR="00B4550A" w:rsidRPr="00E0488D" w:rsidRDefault="00B4550A" w:rsidP="002B7E09">
      <w:pPr>
        <w:pStyle w:val="NumberedParas"/>
        <w:numPr>
          <w:ilvl w:val="0"/>
          <w:numId w:val="0"/>
        </w:numPr>
        <w:ind w:left="822"/>
      </w:pPr>
      <w:r w:rsidRPr="00E0488D">
        <w:rPr>
          <w:b/>
        </w:rPr>
        <w:t>Problema:</w:t>
      </w:r>
      <w:r w:rsidRPr="00E0488D">
        <w:t xml:space="preserve"> Infrastructura portului Basarabi este deficitară față de cerințele de operare moderne, dispune de legături rutiere de calitate scăzută iar volumele de mărfuri prognozate pentru viitor sunt mici. </w:t>
      </w:r>
    </w:p>
    <w:p w:rsidR="00B4550A" w:rsidRPr="00E0488D" w:rsidRDefault="00B4550A" w:rsidP="002B7E09">
      <w:pPr>
        <w:pStyle w:val="NumberedParas"/>
        <w:numPr>
          <w:ilvl w:val="0"/>
          <w:numId w:val="0"/>
        </w:numPr>
        <w:ind w:left="822"/>
      </w:pPr>
      <w:r w:rsidRPr="00E0488D">
        <w:rPr>
          <w:b/>
        </w:rPr>
        <w:t>Soluția propusă</w:t>
      </w:r>
      <w:r w:rsidRPr="00E0488D">
        <w:t xml:space="preserve">: Modernizarea și reabilitarea </w:t>
      </w:r>
      <w:r w:rsidR="001205D0" w:rsidRPr="00E0488D">
        <w:t>infrastructurii</w:t>
      </w:r>
      <w:r w:rsidRPr="00E0488D">
        <w:t xml:space="preserve"> portului și îmbunătățirea legăturilor cu alte moduri de transport. </w:t>
      </w:r>
    </w:p>
    <w:p w:rsidR="00B4550A" w:rsidRPr="00E0488D" w:rsidRDefault="00B4550A" w:rsidP="002B7E09">
      <w:pPr>
        <w:pStyle w:val="NumberedParas"/>
      </w:pPr>
      <w:r w:rsidRPr="00E0488D">
        <w:t xml:space="preserve">Modernizarea și reabilitarea infrastructurii portului ar putea </w:t>
      </w:r>
      <w:r w:rsidR="001205D0" w:rsidRPr="00E0488D">
        <w:t>asigura</w:t>
      </w:r>
      <w:r w:rsidRPr="00E0488D">
        <w:t xml:space="preserve"> operarea unor volume mai mari și diversificate de mărfuri în viitor. </w:t>
      </w:r>
    </w:p>
    <w:p w:rsidR="00B4550A" w:rsidRPr="00E0488D" w:rsidRDefault="00B4550A" w:rsidP="00B4550A">
      <w:pPr>
        <w:rPr>
          <w:sz w:val="22"/>
          <w:szCs w:val="22"/>
          <w:lang w:val="ro-RO"/>
        </w:rPr>
      </w:pPr>
      <w:r w:rsidRPr="00E0488D">
        <w:rPr>
          <w:lang w:val="ro-RO"/>
        </w:rPr>
        <w:br w:type="page"/>
      </w:r>
    </w:p>
    <w:p w:rsidR="00B4550A" w:rsidRPr="00E0488D" w:rsidRDefault="00B4550A" w:rsidP="00B4550A">
      <w:pPr>
        <w:pStyle w:val="Heading7"/>
        <w:rPr>
          <w:lang w:val="ro-RO"/>
        </w:rPr>
      </w:pPr>
      <w:r w:rsidRPr="00E0488D">
        <w:rPr>
          <w:lang w:val="ro-RO"/>
        </w:rPr>
        <w:lastRenderedPageBreak/>
        <w:t xml:space="preserve">Portul Călărași  </w:t>
      </w:r>
    </w:p>
    <w:p w:rsidR="00B4550A" w:rsidRPr="00E0488D" w:rsidRDefault="00B4550A" w:rsidP="002B7E09">
      <w:pPr>
        <w:pStyle w:val="NumberedParas"/>
        <w:rPr>
          <w:bCs/>
          <w:iCs/>
          <w:shd w:val="clear" w:color="auto" w:fill="FFFFFF"/>
        </w:rPr>
      </w:pPr>
      <w:r w:rsidRPr="00E0488D">
        <w:t xml:space="preserve">Portul Călărași poate fi accesat printr-un scurt canal navigabil și este considerat a fi port al rețelei extinse TEN-T. Zona de operare este împărțită după cum urmează – 81.505m2 Călărași Comercial, 62.500m2 Călărași Industrial și 5.091m2 Călărași Chiciu. În prezent, portul comercial (de pe Dunăre) operează mai ales mărfuri agricole în timp ce portul industrial (pe canalul navigabil) a fost desemnat punct de tranzit cheie pentru oțel pentru vastul Combinat Siderurgic Călărași – Siderca. În prezent aproape abandonat, cu excepția unei zone limitate de producție, acesta nu a mai furnizat tonajul pentru care portul a fost construit (deși are o capacitate estimată de 470.000 tone pe an) iar nenumăratele jafuri au cauzat daune semnificative legăturilor cu oțelăria, în prezent sub-utilizată. APDF a achiziționat o navă pentru colectarea și procesarea deșeurilor provenite de la nave, și pentru tratarea și depozitarea apei. </w:t>
      </w:r>
    </w:p>
    <w:p w:rsidR="00B4550A" w:rsidRPr="00E0488D" w:rsidRDefault="00B4550A" w:rsidP="002B7E09">
      <w:pPr>
        <w:pStyle w:val="NumberedParas"/>
      </w:pPr>
      <w:r w:rsidRPr="00E0488D">
        <w:t xml:space="preserve">Efectul reducerii activității combinatului siderurgic a fost reducerea volumelor de mărfuri operate în port. Astfel, portul nu reușește să atingă volumele pentru care a fost dezvoltat. De aceea, portul nu poate fi utilizat pentru operarea de marfă la capacitate maximă.  </w:t>
      </w:r>
    </w:p>
    <w:p w:rsidR="00B4550A" w:rsidRPr="00E0488D" w:rsidRDefault="00B4550A" w:rsidP="002B7E09">
      <w:pPr>
        <w:pStyle w:val="NumberedParas"/>
      </w:pPr>
      <w:r w:rsidRPr="00E0488D">
        <w:t xml:space="preserve">Danele proiectate inițial pentru operarea oțelului nu mai operează în prezent volume semnificative. Aceasta </w:t>
      </w:r>
      <w:r w:rsidR="001205D0" w:rsidRPr="00E0488D">
        <w:t>înseamnă</w:t>
      </w:r>
      <w:r w:rsidRPr="00E0488D">
        <w:t xml:space="preserve"> că danele vor rămâne sub-utilizate, fără a avea posibilitatea de a opera alte tipuri de mărfuri sau alt tip de trafic. </w:t>
      </w:r>
    </w:p>
    <w:p w:rsidR="00B4550A" w:rsidRPr="00E0488D" w:rsidRDefault="00B4550A" w:rsidP="00BC2B57">
      <w:pPr>
        <w:pStyle w:val="BulletLevel1"/>
      </w:pPr>
      <w:r w:rsidRPr="00E0488D">
        <w:rPr>
          <w:b/>
        </w:rPr>
        <w:t>Problemă:</w:t>
      </w:r>
      <w:r w:rsidRPr="00E0488D">
        <w:t xml:space="preserve"> Infrastructura din Călărași este învechită și nu oferă foarte mult în ceea ce privește serviciile cu valoare adăugată. În plus, o mare parte din infrastructură a fost amenajată pentru a opera oțel de la combinatul siderurgic aflat în apropiere. În prezent, acest combinat are o producție redusă și și-a redus și activitățile. Acest lucru înseamnă că portul Călărași prezintă o ofertă inadecvată, care nu mai este cerută pe piață. </w:t>
      </w:r>
    </w:p>
    <w:p w:rsidR="00B4550A" w:rsidRPr="00E0488D" w:rsidRDefault="00B4550A" w:rsidP="00BC2B57">
      <w:pPr>
        <w:pStyle w:val="BulletLevel1"/>
      </w:pPr>
      <w:r w:rsidRPr="00E0488D">
        <w:rPr>
          <w:b/>
        </w:rPr>
        <w:t xml:space="preserve">Soluție propusă: </w:t>
      </w:r>
      <w:r w:rsidRPr="00E0488D">
        <w:t xml:space="preserve">Modernizarea și reabilitarea infrastructurii din port </w:t>
      </w:r>
    </w:p>
    <w:p w:rsidR="00B4550A" w:rsidRPr="00E0488D" w:rsidRDefault="00B4550A" w:rsidP="002B7E09">
      <w:pPr>
        <w:pStyle w:val="NumberedParas"/>
      </w:pPr>
      <w:r w:rsidRPr="00E0488D">
        <w:t>Modernizarea și reabilitarea infrastructurii din port ar însemna că portul ar putea opera mai multe tipuri de mărfuri  transportate în prezent și ar renunța la mărfuri ale unor sectoare pe cale de dispariție</w:t>
      </w:r>
    </w:p>
    <w:p w:rsidR="00B4550A" w:rsidRPr="00E0488D" w:rsidRDefault="00B4550A" w:rsidP="00B4550A">
      <w:pPr>
        <w:rPr>
          <w:bCs/>
          <w:iCs/>
          <w:sz w:val="22"/>
          <w:szCs w:val="22"/>
          <w:shd w:val="clear" w:color="auto" w:fill="FFFFFF"/>
          <w:lang w:val="ro-RO"/>
        </w:rPr>
      </w:pPr>
      <w:r w:rsidRPr="00E0488D">
        <w:rPr>
          <w:bCs/>
          <w:iCs/>
          <w:shd w:val="clear" w:color="auto" w:fill="FFFFFF"/>
          <w:lang w:val="ro-RO"/>
        </w:rPr>
        <w:br w:type="page"/>
      </w:r>
    </w:p>
    <w:p w:rsidR="00B4550A" w:rsidRPr="00E0488D" w:rsidRDefault="00B4550A" w:rsidP="002B7E09">
      <w:pPr>
        <w:pStyle w:val="NumberedParas"/>
        <w:numPr>
          <w:ilvl w:val="0"/>
          <w:numId w:val="0"/>
        </w:numPr>
        <w:ind w:left="822"/>
        <w:rPr>
          <w:shd w:val="clear" w:color="auto" w:fill="FFFFFF"/>
        </w:rPr>
      </w:pPr>
    </w:p>
    <w:p w:rsidR="00B4550A" w:rsidRPr="00E0488D" w:rsidRDefault="00B4550A" w:rsidP="00B4550A">
      <w:pPr>
        <w:pStyle w:val="Heading7"/>
        <w:rPr>
          <w:lang w:val="ro-RO"/>
        </w:rPr>
      </w:pPr>
      <w:r w:rsidRPr="00E0488D">
        <w:rPr>
          <w:lang w:val="ro-RO"/>
        </w:rPr>
        <w:t>Portul Oltenița</w:t>
      </w:r>
    </w:p>
    <w:p w:rsidR="00B4550A" w:rsidRPr="00E0488D" w:rsidRDefault="00B4550A" w:rsidP="002B7E09">
      <w:pPr>
        <w:pStyle w:val="NumberedParas"/>
      </w:pPr>
      <w:r w:rsidRPr="00E0488D">
        <w:t xml:space="preserve">Acest port este considerat un port al rețelei extinse TEN-T; </w:t>
      </w:r>
      <w:r w:rsidR="001205D0" w:rsidRPr="00E0488D">
        <w:t>dispune</w:t>
      </w:r>
      <w:r w:rsidRPr="00E0488D">
        <w:t xml:space="preserve"> de trei macarale de cheu, poate deservi barje de până la 2.000 de tone și operează în jur de 520.000 t pe an. În prezent, în acest port sunt desfășurate lucrări de reabilitare a cheului - construcția unui front de acostare de 200. În port au fost investite 25 milioane de euro pentru traficul de pasageri  și mărfuri solide. De asemenea, există un proiect numit "Reabilitarea și modernizarea infrastructurii portuare la portul Oltenița", care include achiziția unei rampe pentru unități agabaritice în vederea deservirii zonei industriale a municipiului București. În ciuda apropierii de București, spre deosebire de Giurgiu, acesta nu operează aproape deloc mărfuri containerizate, ci operează în general produse minerale și cereale. Portul a fost utilizat intens în perioada 2007 – 2011. </w:t>
      </w:r>
    </w:p>
    <w:p w:rsidR="00B4550A" w:rsidRPr="00E0488D" w:rsidRDefault="00B4550A" w:rsidP="002B7E09">
      <w:pPr>
        <w:pStyle w:val="NumberedParas"/>
      </w:pPr>
      <w:r w:rsidRPr="00E0488D">
        <w:t xml:space="preserve">Portul </w:t>
      </w:r>
      <w:r w:rsidR="001205D0" w:rsidRPr="00E0488D">
        <w:t>Oltenița</w:t>
      </w:r>
      <w:r w:rsidRPr="00E0488D">
        <w:t xml:space="preserve"> deține facilități pentru operarea mărfurilor generale și mărfurilor vrac. Portul are o capacitate teoretică maximă de 590.000 de tone pe an.</w:t>
      </w:r>
    </w:p>
    <w:p w:rsidR="00B4550A" w:rsidRPr="00E0488D" w:rsidRDefault="00B4550A" w:rsidP="00BC2B57">
      <w:pPr>
        <w:pStyle w:val="BulletLevel1"/>
      </w:pPr>
      <w:r w:rsidRPr="00E0488D">
        <w:rPr>
          <w:b/>
        </w:rPr>
        <w:t>Problema:</w:t>
      </w:r>
      <w:r w:rsidRPr="00E0488D">
        <w:t xml:space="preserve"> Portul Oltenița este utilizat intens și este posibil să-și atingă capacitatea maximă </w:t>
      </w:r>
    </w:p>
    <w:p w:rsidR="00B4550A" w:rsidRPr="00E0488D" w:rsidRDefault="00B4550A" w:rsidP="00BC2B57">
      <w:pPr>
        <w:pStyle w:val="BulletLevel1"/>
      </w:pPr>
      <w:r w:rsidRPr="00E0488D">
        <w:t xml:space="preserve">Soluția propusă: Dezvoltarea infrastructurii de operare a mărfurilor solide </w:t>
      </w:r>
    </w:p>
    <w:p w:rsidR="00B4550A" w:rsidRPr="00E0488D" w:rsidRDefault="00B4550A" w:rsidP="002B7E09">
      <w:pPr>
        <w:pStyle w:val="NumberedParas"/>
      </w:pPr>
      <w:r w:rsidRPr="00E0488D">
        <w:t>Portul Oltenița are nevoie de un plus de infrastructură pentru a opera volumul suplimentar de mărfuri. Danele portului Oltenița trebuie modernizate, prin aceasta permițând portului să opereze un trafic combinat.</w:t>
      </w:r>
    </w:p>
    <w:p w:rsidR="00B4550A" w:rsidRPr="00E0488D" w:rsidRDefault="00B4550A" w:rsidP="00B4550A">
      <w:pPr>
        <w:shd w:val="clear" w:color="auto" w:fill="FFFFFF" w:themeFill="background1"/>
        <w:rPr>
          <w:sz w:val="22"/>
          <w:szCs w:val="22"/>
          <w:lang w:val="ro-RO"/>
        </w:rPr>
      </w:pPr>
      <w:r w:rsidRPr="00E0488D">
        <w:rPr>
          <w:lang w:val="ro-RO"/>
        </w:rPr>
        <w:br w:type="page"/>
      </w:r>
    </w:p>
    <w:p w:rsidR="00B4550A" w:rsidRPr="00E0488D" w:rsidRDefault="00B4550A" w:rsidP="002B7E09">
      <w:pPr>
        <w:pStyle w:val="NumberedParas"/>
        <w:numPr>
          <w:ilvl w:val="0"/>
          <w:numId w:val="0"/>
        </w:numPr>
        <w:ind w:left="822"/>
      </w:pPr>
    </w:p>
    <w:p w:rsidR="00B4550A" w:rsidRPr="00E0488D" w:rsidRDefault="00B4550A" w:rsidP="00B4550A">
      <w:pPr>
        <w:pStyle w:val="Heading7"/>
        <w:rPr>
          <w:lang w:val="ro-RO"/>
        </w:rPr>
      </w:pPr>
      <w:r w:rsidRPr="00E0488D">
        <w:rPr>
          <w:lang w:val="ro-RO"/>
        </w:rPr>
        <w:t>Portul Giurgiu</w:t>
      </w:r>
    </w:p>
    <w:p w:rsidR="00B4550A" w:rsidRPr="00E0488D" w:rsidRDefault="00B4550A" w:rsidP="002B7E09">
      <w:pPr>
        <w:pStyle w:val="NumberedParas"/>
      </w:pPr>
      <w:r w:rsidRPr="00E0488D">
        <w:t>Giurgiu este considerat port al rețelei de bază TEN-T. Este amplasat la intersecția dintre Fluviul Dunărea și Coridorul IX, care se află pe ruta de nord-sud dintre țările baltice și Bulgaria, Grecia și Turcia. De-a lungul anilor, podul Giurgiu - Ruse, în Bulgaria, a reprezentat o legătura de bază pentru serviciile de transport feroviar și rutier. Acest punct de trecere a frontierei a înregistrat un trafic semnificativ de mărfuri și camioane străine, reprezentând unul dintre primele 4 puncte de trecere a frontierei pentru  transportul feroviar de marfă. Giurgiu este și unul dintre porturile de pe Dunăre apropiate de București, ceea ce îi conferă importanță geografică.  Portul are opt dane, două macarale portic (</w:t>
      </w:r>
      <w:r w:rsidR="001205D0" w:rsidRPr="00E0488D">
        <w:t>max.</w:t>
      </w:r>
      <w:r w:rsidRPr="00E0488D">
        <w:t xml:space="preserve"> 16t), o automacara (</w:t>
      </w:r>
      <w:r w:rsidR="001205D0" w:rsidRPr="00E0488D">
        <w:t>max.</w:t>
      </w:r>
      <w:r w:rsidRPr="00E0488D">
        <w:t xml:space="preserve"> 50t) și un motostivuitor. Portul are o zonă liberă de 17.000m</w:t>
      </w:r>
      <w:r w:rsidRPr="00E0488D">
        <w:rPr>
          <w:vertAlign w:val="superscript"/>
        </w:rPr>
        <w:t xml:space="preserve">2 </w:t>
      </w:r>
      <w:r w:rsidRPr="00E0488D">
        <w:t>cu un depozit vamal și 7.200 m</w:t>
      </w:r>
      <w:r w:rsidRPr="00E0488D">
        <w:rPr>
          <w:vertAlign w:val="superscript"/>
        </w:rPr>
        <w:t xml:space="preserve">2 </w:t>
      </w:r>
      <w:r w:rsidRPr="00E0488D">
        <w:t>spațiu de depozitare acoperit. Mai există și o platformă de depozitare containere cu o suprafață de     10.000 m</w:t>
      </w:r>
      <w:r w:rsidRPr="00E0488D">
        <w:rPr>
          <w:vertAlign w:val="superscript"/>
        </w:rPr>
        <w:t>2</w:t>
      </w:r>
      <w:r w:rsidRPr="00E0488D">
        <w:t xml:space="preserve"> cu facilități de încărcare și descărcare a containerelor. Recent, APDF a achiziționat o navă pentru gestionarea deșeurilor provenite din exploatarea navelor, tratarea apelor de santină și depozitarea acestora.</w:t>
      </w:r>
    </w:p>
    <w:p w:rsidR="00B4550A" w:rsidRPr="00E0488D" w:rsidRDefault="00B4550A" w:rsidP="002B7E09">
      <w:pPr>
        <w:pStyle w:val="NumberedParas"/>
        <w:rPr>
          <w:lang w:eastAsia="en-GB"/>
        </w:rPr>
      </w:pPr>
      <w:r w:rsidRPr="00E0488D">
        <w:rPr>
          <w:lang w:eastAsia="en-GB"/>
        </w:rPr>
        <w:t>Portul Giurgiu operează din patru amplasamente care oferă facilități portuare specializate:</w:t>
      </w:r>
    </w:p>
    <w:p w:rsidR="00B4550A" w:rsidRPr="00E0488D" w:rsidRDefault="00B4550A" w:rsidP="00BC2B57">
      <w:pPr>
        <w:pStyle w:val="BulletLevel1"/>
        <w:rPr>
          <w:lang w:eastAsia="en-GB"/>
        </w:rPr>
      </w:pPr>
      <w:r w:rsidRPr="00E0488D">
        <w:rPr>
          <w:lang w:eastAsia="en-GB"/>
        </w:rPr>
        <w:t>Portul comercial "Ramadan": port de pasageri, plus dane care operează mărfuri agricole din lifturi verticale de cereale, balast, cărbune, mărfuri generale.</w:t>
      </w:r>
    </w:p>
    <w:p w:rsidR="00B4550A" w:rsidRPr="00E0488D" w:rsidRDefault="00B4550A" w:rsidP="00BC2B57">
      <w:pPr>
        <w:pStyle w:val="BulletLevel1"/>
        <w:rPr>
          <w:lang w:eastAsia="en-GB"/>
        </w:rPr>
      </w:pPr>
      <w:r w:rsidRPr="00E0488D">
        <w:rPr>
          <w:lang w:eastAsia="en-GB"/>
        </w:rPr>
        <w:t>Portul "Canalul Plantelor / Sf. Gheorghe": lift de cereale de 10.000 de tone, dar operează și agregate și mărfuri generale.</w:t>
      </w:r>
    </w:p>
    <w:p w:rsidR="00B4550A" w:rsidRPr="00E0488D" w:rsidRDefault="00B4550A" w:rsidP="00BC2B57">
      <w:pPr>
        <w:pStyle w:val="BulletLevel1"/>
        <w:rPr>
          <w:lang w:eastAsia="en-GB"/>
        </w:rPr>
      </w:pPr>
      <w:r w:rsidRPr="00E0488D">
        <w:rPr>
          <w:lang w:eastAsia="en-GB"/>
        </w:rPr>
        <w:t>Portul Cioroiu: terminal petrolier.</w:t>
      </w:r>
    </w:p>
    <w:p w:rsidR="00B4550A" w:rsidRPr="00E0488D" w:rsidRDefault="00B4550A" w:rsidP="00BC2B57">
      <w:pPr>
        <w:pStyle w:val="BulletLevel1"/>
        <w:rPr>
          <w:lang w:eastAsia="en-GB"/>
        </w:rPr>
      </w:pPr>
      <w:r w:rsidRPr="00E0488D">
        <w:rPr>
          <w:lang w:eastAsia="en-GB"/>
        </w:rPr>
        <w:t xml:space="preserve">Zona liberă Giurgiu: operează mărfuri generale și containere și un terminal petrolier aflat în administrare privată. </w:t>
      </w:r>
    </w:p>
    <w:p w:rsidR="00B4550A" w:rsidRPr="00E0488D" w:rsidRDefault="00B4550A" w:rsidP="002B7E09">
      <w:pPr>
        <w:pStyle w:val="NumberedParas"/>
        <w:rPr>
          <w:lang w:eastAsia="en-GB"/>
        </w:rPr>
      </w:pPr>
      <w:r w:rsidRPr="00E0488D">
        <w:rPr>
          <w:lang w:eastAsia="en-GB"/>
        </w:rPr>
        <w:t>Utilizarea Portului Giurgiu este prezentată în Tabelul 6.4</w:t>
      </w:r>
    </w:p>
    <w:p w:rsidR="00B4550A" w:rsidRPr="00E0488D" w:rsidRDefault="00B4550A" w:rsidP="002B7E09">
      <w:pPr>
        <w:pStyle w:val="NumberedParas"/>
        <w:numPr>
          <w:ilvl w:val="0"/>
          <w:numId w:val="0"/>
        </w:numPr>
        <w:ind w:left="822"/>
      </w:pPr>
      <w:r w:rsidRPr="00E0488D">
        <w:t>Tabelul 6.4: Utilizarea prezentă și prognozată a portului Giurgiu</w:t>
      </w:r>
    </w:p>
    <w:tbl>
      <w:tblPr>
        <w:tblW w:w="6613" w:type="dxa"/>
        <w:jc w:val="center"/>
        <w:tblLook w:val="04A0" w:firstRow="1" w:lastRow="0" w:firstColumn="1" w:lastColumn="0" w:noHBand="0" w:noVBand="1"/>
      </w:tblPr>
      <w:tblGrid>
        <w:gridCol w:w="1859"/>
        <w:gridCol w:w="985"/>
        <w:gridCol w:w="376"/>
        <w:gridCol w:w="2297"/>
        <w:gridCol w:w="1096"/>
      </w:tblGrid>
      <w:tr w:rsidR="00B4550A" w:rsidRPr="00E0488D" w:rsidTr="003C7FC8">
        <w:trPr>
          <w:gridAfter w:val="1"/>
          <w:wAfter w:w="1096" w:type="dxa"/>
          <w:trHeight w:val="315"/>
          <w:jc w:val="center"/>
        </w:trPr>
        <w:tc>
          <w:tcPr>
            <w:tcW w:w="1859"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85"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297"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859"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w:t>
            </w:r>
          </w:p>
        </w:tc>
        <w:tc>
          <w:tcPr>
            <w:tcW w:w="985"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2297"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1096"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w:t>
            </w:r>
            <w:r w:rsidR="001205D0" w:rsidRPr="00E0488D">
              <w:rPr>
                <w:rFonts w:ascii="Gill Sans MT" w:hAnsi="Gill Sans MT"/>
                <w:color w:val="000000"/>
                <w:sz w:val="20"/>
                <w:szCs w:val="20"/>
                <w:lang w:val="ro-RO" w:eastAsia="en-GB"/>
              </w:rPr>
              <w:t>generale</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58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33%</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84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58%</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126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48%</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81%</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47%</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31%</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85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85"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37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2297"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1096"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bl>
    <w:p w:rsidR="00B4550A" w:rsidRPr="00E0488D" w:rsidRDefault="00B4550A" w:rsidP="002B7E09">
      <w:pPr>
        <w:pStyle w:val="NumberedParas"/>
      </w:pPr>
      <w:r w:rsidRPr="00E0488D">
        <w:t>Portul are un terminal de mărfuri generale bine utilizat pentru care prognoza arată o supra-utilizare până în anul 2030.</w:t>
      </w:r>
    </w:p>
    <w:p w:rsidR="00B4550A" w:rsidRPr="00E0488D" w:rsidRDefault="00B4550A" w:rsidP="002B7E09">
      <w:pPr>
        <w:pStyle w:val="NumberedParas"/>
      </w:pPr>
      <w:r w:rsidRPr="00E0488D">
        <w:t xml:space="preserve">Portul Giurgiu deține atât facilități de operare a mărfurilor vrac cât și pentru operarea mărfurilor generale și cerealelor. Acest port nu deține facilități dedicate pentru operarea </w:t>
      </w:r>
      <w:r w:rsidR="001205D0" w:rsidRPr="00E0488D">
        <w:t>containerelor</w:t>
      </w:r>
      <w:r w:rsidRPr="00E0488D">
        <w:t xml:space="preserve">. Capacitatea totală teoretică a portului Giurgiu este de 2,5 milioane de tone pe an. </w:t>
      </w:r>
    </w:p>
    <w:p w:rsidR="00B4550A" w:rsidRPr="00E0488D" w:rsidRDefault="00B4550A" w:rsidP="002B7E09">
      <w:pPr>
        <w:pStyle w:val="NumberedParas"/>
      </w:pPr>
      <w:r w:rsidRPr="00E0488D">
        <w:lastRenderedPageBreak/>
        <w:t>Având în vedere amplasarea sa lângă punctul vamal terestru și proximitatea cu orașul București (precum și dimensiunea sa) acest port este un nod important pentru viitoarele transporturi de mărfuri pe Dunăre. Giurgiu a înregistrat venituri fluctuante începând cu anul 2008. Cel mai probabil, acest lucru a fost cauzat de criza economică. Tonele operate în 2011 reprezintă 45% din tonele operate în 2007. Rolul transportului containerizat a început să crească în port iar cerealele și produsele cereale sunt și ele printre mărfurile de bază.</w:t>
      </w:r>
    </w:p>
    <w:p w:rsidR="00B4550A" w:rsidRPr="00E0488D" w:rsidRDefault="00B4550A" w:rsidP="00BC2B57">
      <w:pPr>
        <w:pStyle w:val="BulletLevel1"/>
      </w:pPr>
      <w:r w:rsidRPr="00E0488D">
        <w:rPr>
          <w:b/>
        </w:rPr>
        <w:t>Problemă:</w:t>
      </w:r>
      <w:r w:rsidRPr="00E0488D">
        <w:t xml:space="preserve"> Facilitățile de operare a mărfurilor solide din Giurgiu sunt aproape de a atinge capacitatea maximă în ciuda faptului că portul a fost utilizat cu într-o proporție mai mică de 7% în anul 2011. Ca atare, infrastructura de operare a mărfurilor solide din Giurgiu este subdezvoltată.</w:t>
      </w:r>
    </w:p>
    <w:p w:rsidR="00B4550A" w:rsidRPr="00E0488D" w:rsidRDefault="00B4550A" w:rsidP="00BC2B57">
      <w:pPr>
        <w:pStyle w:val="BulletLevel1"/>
      </w:pPr>
      <w:r w:rsidRPr="00E0488D">
        <w:t xml:space="preserve">Posibilă soluție: Infrastructură și lucrări de modernizare </w:t>
      </w:r>
    </w:p>
    <w:p w:rsidR="00B4550A" w:rsidRPr="00E0488D" w:rsidRDefault="00B4550A" w:rsidP="00BC2B57">
      <w:pPr>
        <w:pStyle w:val="BulletLevel1"/>
      </w:pPr>
      <w:r w:rsidRPr="00E0488D">
        <w:t xml:space="preserve">Infrastructura și lucrările de modernizare stabilite în proiectul </w:t>
      </w:r>
      <w:r w:rsidRPr="00E0488D">
        <w:rPr>
          <w:szCs w:val="22"/>
        </w:rPr>
        <w:t>"</w:t>
      </w:r>
      <w:r w:rsidRPr="00E0488D">
        <w:t>D.A.N.U.B.E – Rețea de acces la Dunăre</w:t>
      </w:r>
      <w:r w:rsidRPr="00E0488D">
        <w:rPr>
          <w:szCs w:val="22"/>
        </w:rPr>
        <w:t xml:space="preserve"> "</w:t>
      </w:r>
      <w:r w:rsidRPr="00E0488D">
        <w:t xml:space="preserve"> pot face ca acesta să își reamenajeze infrastructura pentru a permite practici logistice moderne.</w:t>
      </w:r>
    </w:p>
    <w:p w:rsidR="00B4550A" w:rsidRPr="00E0488D" w:rsidRDefault="00B4550A" w:rsidP="00BC2B57">
      <w:pPr>
        <w:pStyle w:val="BulletLevel1"/>
        <w:rPr>
          <w:lang w:eastAsia="en-GB"/>
        </w:rPr>
      </w:pPr>
      <w:r w:rsidRPr="00E0488D">
        <w:t>Soluția propusă: Construcția unui nou terminal trimodal la Portul Giurgiu și a conexiunilor cu hinterlandul.</w:t>
      </w:r>
    </w:p>
    <w:p w:rsidR="00B4550A" w:rsidRPr="00E0488D" w:rsidRDefault="00B4550A" w:rsidP="002B7E09">
      <w:pPr>
        <w:pStyle w:val="NumberedParas"/>
        <w:rPr>
          <w:lang w:eastAsia="en-GB"/>
        </w:rPr>
      </w:pPr>
      <w:r w:rsidRPr="00E0488D">
        <w:rPr>
          <w:lang w:eastAsia="en-GB"/>
        </w:rPr>
        <w:t xml:space="preserve">Un nou terminal trimodal la Giurgiu ar crește capacitatea acestuia de a opera containere intermodale. Acest tip de dezvoltare va include linii de garare de capacitate suficientă, legături rutiere eficiente și acces sigur către port </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680"/>
      </w:pPr>
    </w:p>
    <w:p w:rsidR="00B4550A" w:rsidRPr="00E0488D" w:rsidRDefault="00B4550A" w:rsidP="00B4550A">
      <w:pPr>
        <w:pStyle w:val="Heading7"/>
        <w:rPr>
          <w:lang w:val="ro-RO"/>
        </w:rPr>
      </w:pPr>
      <w:r w:rsidRPr="00E0488D">
        <w:rPr>
          <w:lang w:val="ro-RO"/>
        </w:rPr>
        <w:t>Portul din Corabia</w:t>
      </w:r>
    </w:p>
    <w:p w:rsidR="00B4550A" w:rsidRPr="00E0488D" w:rsidRDefault="00B4550A" w:rsidP="002B7E09">
      <w:pPr>
        <w:pStyle w:val="NumberedParas"/>
      </w:pPr>
      <w:r w:rsidRPr="00E0488D">
        <w:t>În prezent, Corabia înregistrează un trafic foarte redus și este într-o stare foarte avansată de degradare, cu excepția unor facilități de depozitare și a transportului de grâne și cereale. Cu toate acestea, este bine amplasat, fiind singurul port mai mare între Giurgiu și Calafat; și dispune de un hinterland extins care poate fi accesat din port. Suprafața acestuia depășește 227.000 m</w:t>
      </w:r>
      <w:r w:rsidRPr="00E0488D">
        <w:rPr>
          <w:vertAlign w:val="superscript"/>
        </w:rPr>
        <w:t xml:space="preserve">2 </w:t>
      </w:r>
      <w:r w:rsidRPr="00E0488D">
        <w:t xml:space="preserve">astfel că există multe posibilități de dezvoltare și extindere pe viitor. Ca urmare, posibilele proiecte au explorat potențialul de creștere a nivelului de calitate al facilităților oferite de danele din port.  </w:t>
      </w:r>
    </w:p>
    <w:p w:rsidR="00B4550A" w:rsidRPr="00E0488D" w:rsidRDefault="00B4550A" w:rsidP="002B7E09">
      <w:pPr>
        <w:pStyle w:val="NumberedParas"/>
      </w:pPr>
      <w:r w:rsidRPr="00E0488D">
        <w:t>Utilizarea portului Corabia este descrisă în Tabelul 6.5.</w:t>
      </w:r>
    </w:p>
    <w:p w:rsidR="00B4550A" w:rsidRPr="00E0488D" w:rsidRDefault="00B4550A" w:rsidP="002B7E09">
      <w:pPr>
        <w:pStyle w:val="NumberedParas"/>
        <w:numPr>
          <w:ilvl w:val="0"/>
          <w:numId w:val="0"/>
        </w:numPr>
        <w:ind w:left="822"/>
      </w:pPr>
      <w:r w:rsidRPr="00E0488D">
        <w:t>Tabelul 6.5: Utilizarea prezentă și prognozată a portului Corabia</w:t>
      </w:r>
    </w:p>
    <w:tbl>
      <w:tblPr>
        <w:tblW w:w="4470" w:type="dxa"/>
        <w:jc w:val="center"/>
        <w:tblLook w:val="04A0" w:firstRow="1" w:lastRow="0" w:firstColumn="1" w:lastColumn="0" w:noHBand="0" w:noVBand="1"/>
      </w:tblPr>
      <w:tblGrid>
        <w:gridCol w:w="1152"/>
        <w:gridCol w:w="960"/>
        <w:gridCol w:w="266"/>
        <w:gridCol w:w="1141"/>
        <w:gridCol w:w="987"/>
      </w:tblGrid>
      <w:tr w:rsidR="00B4550A" w:rsidRPr="00E0488D" w:rsidTr="003C7FC8">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11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w:t>
            </w:r>
            <w:r w:rsidR="001205D0" w:rsidRPr="00E0488D">
              <w:rPr>
                <w:rFonts w:ascii="Gill Sans MT" w:hAnsi="Gill Sans MT"/>
                <w:color w:val="000000"/>
                <w:sz w:val="20"/>
                <w:szCs w:val="20"/>
                <w:lang w:val="ro-RO" w:eastAsia="en-GB"/>
              </w:rPr>
              <w:t>generale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18</w:t>
            </w:r>
            <w:r w:rsidR="00141AFC" w:rsidRPr="00E0488D">
              <w:rPr>
                <w:rFonts w:ascii="Calibri" w:hAnsi="Calibri"/>
                <w:color w:val="000000"/>
                <w:sz w:val="22"/>
                <w:szCs w:val="22"/>
                <w:highlight w:val="yellow"/>
                <w:lang w:val="ro-RO" w:eastAsia="en-GB"/>
              </w:rPr>
              <w:t>,</w:t>
            </w:r>
            <w:r w:rsidRPr="00E0488D">
              <w:rPr>
                <w:rFonts w:ascii="Calibri" w:hAnsi="Calibri"/>
                <w:color w:val="000000"/>
                <w:sz w:val="22"/>
                <w:szCs w:val="22"/>
                <w:highlight w:val="yellow"/>
                <w:lang w:val="ro-RO" w:eastAsia="en-GB"/>
              </w:rPr>
              <w:t>84%</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58</w:t>
            </w:r>
            <w:r w:rsidR="00141AFC" w:rsidRPr="00E0488D">
              <w:rPr>
                <w:rFonts w:ascii="Calibri" w:hAnsi="Calibri"/>
                <w:color w:val="000000"/>
                <w:sz w:val="22"/>
                <w:szCs w:val="22"/>
                <w:highlight w:val="yellow"/>
                <w:lang w:val="ro-RO" w:eastAsia="en-GB"/>
              </w:rPr>
              <w:t>,</w:t>
            </w:r>
            <w:r w:rsidRPr="00E0488D">
              <w:rPr>
                <w:rFonts w:ascii="Calibri" w:hAnsi="Calibri"/>
                <w:color w:val="000000"/>
                <w:sz w:val="22"/>
                <w:szCs w:val="22"/>
                <w:highlight w:val="yellow"/>
                <w:lang w:val="ro-RO" w:eastAsia="en-GB"/>
              </w:rPr>
              <w:t>21%</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107</w:t>
            </w:r>
            <w:r w:rsidR="00141AFC" w:rsidRPr="00E0488D">
              <w:rPr>
                <w:rFonts w:ascii="Calibri" w:hAnsi="Calibri"/>
                <w:color w:val="000000"/>
                <w:sz w:val="22"/>
                <w:szCs w:val="22"/>
                <w:highlight w:val="yellow"/>
                <w:lang w:val="ro-RO" w:eastAsia="en-GB"/>
              </w:rPr>
              <w:t>,</w:t>
            </w:r>
            <w:r w:rsidRPr="00E0488D">
              <w:rPr>
                <w:rFonts w:ascii="Calibri" w:hAnsi="Calibri"/>
                <w:color w:val="000000"/>
                <w:sz w:val="22"/>
                <w:szCs w:val="22"/>
                <w:highlight w:val="yellow"/>
                <w:lang w:val="ro-RO" w:eastAsia="en-GB"/>
              </w:rPr>
              <w:t>16%</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highlight w:val="yellow"/>
                <w:lang w:val="ro-RO" w:eastAsia="en-GB"/>
              </w:rPr>
            </w:pPr>
            <w:r w:rsidRPr="00E0488D">
              <w:rPr>
                <w:rFonts w:ascii="Gill Sans MT" w:hAnsi="Gill Sans MT"/>
                <w:color w:val="000000"/>
                <w:sz w:val="20"/>
                <w:szCs w:val="20"/>
                <w:highlight w:val="yellow"/>
                <w:lang w:val="ro-RO" w:eastAsia="en-GB"/>
              </w:rPr>
              <w:t>Cereale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r w:rsidR="00B4550A" w:rsidRPr="00E0488D" w:rsidTr="003C7FC8">
        <w:trPr>
          <w:trHeight w:val="300"/>
          <w:jc w:val="center"/>
        </w:trPr>
        <w:tc>
          <w:tcPr>
            <w:tcW w:w="111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highlight w:val="yellow"/>
                <w:lang w:val="ro-RO" w:eastAsia="en-GB"/>
              </w:rPr>
            </w:pPr>
            <w:r w:rsidRPr="00E0488D">
              <w:rPr>
                <w:rFonts w:ascii="Calibri" w:hAnsi="Calibri"/>
                <w:color w:val="000000"/>
                <w:sz w:val="22"/>
                <w:szCs w:val="22"/>
                <w:highlight w:val="yellow"/>
                <w:lang w:val="ro-RO" w:eastAsia="en-GB"/>
              </w:rPr>
              <w:t xml:space="preserve"> </w:t>
            </w:r>
          </w:p>
        </w:tc>
      </w:tr>
    </w:tbl>
    <w:p w:rsidR="00B4550A" w:rsidRPr="00E0488D" w:rsidRDefault="00B4550A" w:rsidP="002B7E09">
      <w:pPr>
        <w:pStyle w:val="NumberedParas"/>
      </w:pPr>
      <w:r w:rsidRPr="00E0488D">
        <w:t xml:space="preserve">Deși în prezent portul nu are un grad ridicat de utilizare, prognozele arată că în viitor utilizarea acestuia va </w:t>
      </w:r>
      <w:r w:rsidR="001205D0" w:rsidRPr="00E0488D">
        <w:t>crește</w:t>
      </w:r>
      <w:r w:rsidRPr="00E0488D">
        <w:t>, până la supra-utilizare în 2030.</w:t>
      </w:r>
    </w:p>
    <w:p w:rsidR="00B4550A" w:rsidRPr="00E0488D" w:rsidRDefault="00B4550A" w:rsidP="002B7E09">
      <w:pPr>
        <w:pStyle w:val="NumberedParas"/>
      </w:pPr>
      <w:r w:rsidRPr="00E0488D">
        <w:t>În prezent, portul Corabia are o singură dană amenajată pentru operarea cerealelor.</w:t>
      </w:r>
    </w:p>
    <w:p w:rsidR="00B4550A" w:rsidRPr="00E0488D" w:rsidRDefault="00B4550A" w:rsidP="002B7E09">
      <w:pPr>
        <w:pStyle w:val="NumberedParas"/>
      </w:pPr>
      <w:r w:rsidRPr="00E0488D">
        <w:t xml:space="preserve">Astfel, proiectul a analizat </w:t>
      </w:r>
      <w:r w:rsidR="001205D0" w:rsidRPr="00E0488D">
        <w:t>potențialul</w:t>
      </w:r>
      <w:r w:rsidRPr="00E0488D">
        <w:t xml:space="preserve"> de</w:t>
      </w:r>
      <w:r w:rsidR="001205D0">
        <w:t xml:space="preserve"> </w:t>
      </w:r>
      <w:r w:rsidRPr="00E0488D">
        <w:t xml:space="preserve">îmbunătățire a calității danelor în cadrul portului. </w:t>
      </w:r>
    </w:p>
    <w:p w:rsidR="00B4550A" w:rsidRPr="00E0488D" w:rsidRDefault="00B4550A" w:rsidP="00BC2B57">
      <w:pPr>
        <w:pStyle w:val="BulletLevel1"/>
      </w:pPr>
      <w:r w:rsidRPr="00E0488D">
        <w:rPr>
          <w:b/>
        </w:rPr>
        <w:t>Problemă:</w:t>
      </w:r>
      <w:r w:rsidRPr="00E0488D">
        <w:t xml:space="preserve"> Portul Corabia are o infrastructură foarte veche care împiedică transportul eficient al mărfurilor.</w:t>
      </w:r>
    </w:p>
    <w:p w:rsidR="00B4550A" w:rsidRPr="00E0488D" w:rsidRDefault="00B4550A" w:rsidP="00BC2B57">
      <w:pPr>
        <w:pStyle w:val="BulletLevel1"/>
      </w:pPr>
      <w:r w:rsidRPr="00E0488D">
        <w:t xml:space="preserve">Soluția propusă: Modernizarea și reabilitarea infrastructurii </w:t>
      </w:r>
    </w:p>
    <w:p w:rsidR="00B4550A" w:rsidRPr="00E0488D" w:rsidRDefault="00B4550A" w:rsidP="00BC2B57">
      <w:pPr>
        <w:pStyle w:val="BulletLevel1"/>
      </w:pPr>
      <w:r w:rsidRPr="00E0488D">
        <w:rPr>
          <w:lang w:eastAsia="en-GB"/>
        </w:rPr>
        <w:t>Proiectul ar trebui să includă lucrări de modernizare a danelor care sunt într-o stare proastă în prezent. Unele dintre cheiuri necesită lucrări structurale pentru a mai putea fi folosite.</w:t>
      </w:r>
    </w:p>
    <w:p w:rsidR="00B4550A" w:rsidRPr="00E0488D" w:rsidRDefault="00B4550A" w:rsidP="00B4550A">
      <w:pPr>
        <w:rPr>
          <w:lang w:val="ro-RO"/>
        </w:rPr>
      </w:pPr>
    </w:p>
    <w:p w:rsidR="00B4550A" w:rsidRPr="00E0488D" w:rsidRDefault="00B4550A" w:rsidP="00B4550A">
      <w:pPr>
        <w:pStyle w:val="Heading7"/>
        <w:rPr>
          <w:lang w:val="ro-RO"/>
        </w:rPr>
      </w:pPr>
      <w:r w:rsidRPr="00E0488D">
        <w:rPr>
          <w:lang w:val="ro-RO"/>
        </w:rPr>
        <w:t>Portul Bechet</w:t>
      </w:r>
    </w:p>
    <w:p w:rsidR="00B4550A" w:rsidRPr="00E0488D" w:rsidRDefault="00B4550A" w:rsidP="002B7E09">
      <w:pPr>
        <w:pStyle w:val="NumberedParas"/>
      </w:pPr>
      <w:r w:rsidRPr="00E0488D">
        <w:t xml:space="preserve">În prezent, Portul Bechet înregistrează trafic regulat scăzut deși, cu notificare prealabilă, pot fi puse la dispoziție macarale plutitoare pentru încărcarea / descărcarea mărfurilor. Cel mai important utilizator al Portului Bechet este feribotul RO-RO care traversează Dunărea spre Bulgaria. Cu toate acestea, portul este amplasat lângă baza industrială Craiova și poate deveni un terminal util pentru operarea încărcăturilor neobișnuite. </w:t>
      </w:r>
    </w:p>
    <w:p w:rsidR="00B4550A" w:rsidRPr="00E0488D" w:rsidRDefault="00B4550A" w:rsidP="00B4550A">
      <w:pPr>
        <w:rPr>
          <w:lang w:val="ro-RO"/>
        </w:rPr>
      </w:pPr>
    </w:p>
    <w:p w:rsidR="00B4550A" w:rsidRPr="00E0488D" w:rsidRDefault="00B4550A" w:rsidP="00B4550A">
      <w:pPr>
        <w:pStyle w:val="Heading7"/>
        <w:rPr>
          <w:lang w:val="ro-RO"/>
        </w:rPr>
      </w:pPr>
      <w:r w:rsidRPr="00E0488D">
        <w:rPr>
          <w:lang w:val="ro-RO"/>
        </w:rPr>
        <w:t>Portul Calafat</w:t>
      </w:r>
    </w:p>
    <w:p w:rsidR="00B4550A" w:rsidRPr="00E0488D" w:rsidRDefault="00B4550A" w:rsidP="002B7E09">
      <w:pPr>
        <w:pStyle w:val="NumberedParas"/>
      </w:pPr>
      <w:r w:rsidRPr="00E0488D">
        <w:t>Calafat este considerat port al rețelei de bază TEN-T. Portul dispune de trei dane, două macarale terestre, macarale plutitoare, poate primi barje de până la 2.000, iar în  2011 a operat o cantitate de 139.000 tone marfă.  Are un spațiu de depozitare de     11.000 m</w:t>
      </w:r>
      <w:r w:rsidRPr="00E0488D">
        <w:rPr>
          <w:vertAlign w:val="superscript"/>
        </w:rPr>
        <w:t xml:space="preserve">2 </w:t>
      </w:r>
      <w:r w:rsidRPr="00E0488D">
        <w:t xml:space="preserve">și facilități RO-RO. APDF a achiziționat o navă pentru depoluare și intenționează să achiziționeze o nouă navă pentru  gestionarea deșeurilor provenite din exploatarea navelor, tratarea și depozitarea apelor de santină.  Calafat este parte din recent desemnatul Coridor IV TEN-T Sud și utilizează drumul și podul feroviar inaugurate recent, ce leagă localitatea Vidin din Bulgaria de România. Acest coridor are un potențial substanțial având în vedere că ar putea deveni o rută de bază pentru transporturile de mărfuri din Germania și Europa Centrală spre Turcia și ar putea deveni o alternativă viabilă la rutele existente care trec prin Serbia; în plus, în ultima perioadă au fost înregistrate creșteri semnificative la nivelul tonajului de mărfuri operate. </w:t>
      </w:r>
    </w:p>
    <w:p w:rsidR="00B4550A" w:rsidRPr="00E0488D" w:rsidRDefault="00B4550A" w:rsidP="002B7E09">
      <w:pPr>
        <w:pStyle w:val="NumberedParas"/>
      </w:pPr>
      <w:r w:rsidRPr="00E0488D">
        <w:t>. Utilizarea portului Calafat este prezentată în Tabelul 6.6.</w:t>
      </w:r>
    </w:p>
    <w:p w:rsidR="00B4550A" w:rsidRPr="00E0488D" w:rsidRDefault="00B4550A" w:rsidP="002B7E09">
      <w:pPr>
        <w:pStyle w:val="NumberedParas"/>
        <w:numPr>
          <w:ilvl w:val="0"/>
          <w:numId w:val="0"/>
        </w:numPr>
        <w:ind w:left="822"/>
      </w:pPr>
      <w:r w:rsidRPr="00E0488D">
        <w:t>Tabelul 6.6: Utilizarea prezentă și prognozată a portului Calafat</w:t>
      </w:r>
    </w:p>
    <w:tbl>
      <w:tblPr>
        <w:tblW w:w="4980" w:type="dxa"/>
        <w:jc w:val="center"/>
        <w:tblLook w:val="04A0" w:firstRow="1" w:lastRow="0" w:firstColumn="1" w:lastColumn="0" w:noHBand="0" w:noVBand="1"/>
      </w:tblPr>
      <w:tblGrid>
        <w:gridCol w:w="1626"/>
        <w:gridCol w:w="960"/>
        <w:gridCol w:w="266"/>
        <w:gridCol w:w="1141"/>
        <w:gridCol w:w="987"/>
      </w:tblGrid>
      <w:tr w:rsidR="00B4550A" w:rsidRPr="00E0488D" w:rsidTr="003C7FC8">
        <w:trPr>
          <w:trHeight w:val="315"/>
          <w:jc w:val="center"/>
        </w:trPr>
        <w:tc>
          <w:tcPr>
            <w:tcW w:w="162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62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w:t>
            </w:r>
            <w:r w:rsidR="001205D0" w:rsidRPr="00E0488D">
              <w:rPr>
                <w:rFonts w:ascii="Gill Sans MT" w:hAnsi="Gill Sans MT"/>
                <w:color w:val="000000"/>
                <w:sz w:val="20"/>
                <w:szCs w:val="20"/>
                <w:lang w:val="ro-RO" w:eastAsia="en-GB"/>
              </w:rPr>
              <w:t>generale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79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62%</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90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98%</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113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51%</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bl>
    <w:p w:rsidR="00B4550A" w:rsidRPr="00E0488D" w:rsidRDefault="00B4550A" w:rsidP="00B4550A">
      <w:pPr>
        <w:rPr>
          <w:lang w:val="ro-RO"/>
        </w:rPr>
      </w:pPr>
    </w:p>
    <w:p w:rsidR="00B4550A" w:rsidRPr="00E0488D" w:rsidRDefault="00B4550A" w:rsidP="002B7E09">
      <w:pPr>
        <w:pStyle w:val="NumberedParas"/>
      </w:pPr>
      <w:r w:rsidRPr="00E0488D">
        <w:t>Datele din tabel arată un bun grad de utilizare a portului Calafat, acesta fiind prognozat să crească în viitor. Până în 2030 portul va suferi de un deficit de capacitate.</w:t>
      </w:r>
    </w:p>
    <w:p w:rsidR="00B4550A" w:rsidRPr="00E0488D" w:rsidRDefault="00B4550A" w:rsidP="002B7E09">
      <w:pPr>
        <w:pStyle w:val="NumberedParas"/>
      </w:pPr>
      <w:r w:rsidRPr="00E0488D">
        <w:t xml:space="preserve">Portul Calafat este amenajat pentru operarea mărfurilor vrac și mărfurilor generale deși acestea reprezintă volume mici. Capacitatea teoretică maximă a portului Calafat este de 518.000 de tone pe an. Ca atare, portul Calafat nu poate procesa volume mari de mărfuri.   </w:t>
      </w:r>
    </w:p>
    <w:p w:rsidR="00B4550A" w:rsidRPr="00E0488D" w:rsidRDefault="00B4550A" w:rsidP="002B7E09">
      <w:pPr>
        <w:pStyle w:val="NumberedParas"/>
      </w:pPr>
      <w:r w:rsidRPr="00E0488D">
        <w:t>Datorită creșterii curente a fluxului de mărfuri transportate, precum și apariției unor potențiale fluxuri noi și înființării noului punct de trecere a frontierei este important să fie îmbunătățite legăturile cu portul pentru alte moduri de transport, pentru a putea obține cât mai multe beneficii</w:t>
      </w:r>
    </w:p>
    <w:p w:rsidR="00B4550A" w:rsidRPr="00E0488D" w:rsidRDefault="00B4550A" w:rsidP="00BC2B57">
      <w:pPr>
        <w:pStyle w:val="BulletLevel1"/>
      </w:pPr>
      <w:r w:rsidRPr="00E0488D">
        <w:t>.</w:t>
      </w:r>
      <w:r w:rsidRPr="00E0488D">
        <w:rPr>
          <w:b/>
        </w:rPr>
        <w:t xml:space="preserve">Problema: </w:t>
      </w:r>
      <w:r w:rsidRPr="00E0488D">
        <w:t>Infrastructura portului Calafat este subdezvoltată, restricționând astfel  capacitatea potențială a acestuia.</w:t>
      </w:r>
    </w:p>
    <w:p w:rsidR="00B4550A" w:rsidRPr="00E0488D" w:rsidRDefault="00B4550A" w:rsidP="00BC2B57">
      <w:pPr>
        <w:pStyle w:val="BulletLevel1"/>
      </w:pPr>
      <w:r w:rsidRPr="00E0488D">
        <w:t>Soluția propusă: Dezvoltarea infrastructurii de operare a mărfurilor vrac, care va duce la creșterea capacității portului</w:t>
      </w:r>
    </w:p>
    <w:p w:rsidR="00B4550A" w:rsidRPr="00E0488D" w:rsidRDefault="00B4550A" w:rsidP="002B7E09">
      <w:pPr>
        <w:pStyle w:val="NumberedParas"/>
      </w:pPr>
      <w:r w:rsidRPr="00E0488D">
        <w:t>Îmbunătățirea și modernizarea infrastructurii de operare pentru a putea gestiona volumele tot mai mari de mărfuri odată cu apariția noilor oportunități generate de deschiderea noului pod.</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22"/>
      </w:pPr>
    </w:p>
    <w:p w:rsidR="00B4550A" w:rsidRPr="00E0488D" w:rsidRDefault="00B4550A" w:rsidP="00B4550A">
      <w:pPr>
        <w:pStyle w:val="Heading7"/>
        <w:rPr>
          <w:lang w:val="ro-RO"/>
        </w:rPr>
      </w:pPr>
      <w:r w:rsidRPr="00E0488D">
        <w:rPr>
          <w:lang w:val="ro-RO"/>
        </w:rPr>
        <w:t>Port Drobeta Turnu Severin</w:t>
      </w:r>
    </w:p>
    <w:p w:rsidR="00B4550A" w:rsidRPr="00E0488D" w:rsidRDefault="00B4550A" w:rsidP="002B7E09">
      <w:pPr>
        <w:pStyle w:val="NumberedParas"/>
      </w:pPr>
      <w:r w:rsidRPr="00E0488D">
        <w:t>Drobeta este port al rețelei de bază TEN-T și este primul port clasificat de AECOM ca fiind de importanță națională pe ruta dinspre Europa Centrală înspre România; acesta este amplasat pe Coridorul TEN-T Sud. Portul are șapte dane, trei macarale portic (</w:t>
      </w:r>
      <w:r w:rsidR="001205D0" w:rsidRPr="00E0488D">
        <w:t>max.</w:t>
      </w:r>
      <w:r w:rsidRPr="00E0488D">
        <w:t xml:space="preserve"> 16t), o macara rotativă (</w:t>
      </w:r>
      <w:r w:rsidR="001205D0" w:rsidRPr="00E0488D">
        <w:t>max.</w:t>
      </w:r>
      <w:r w:rsidRPr="00E0488D">
        <w:t xml:space="preserve"> 60 t) și 13.725 m</w:t>
      </w:r>
      <w:r w:rsidRPr="00E0488D">
        <w:rPr>
          <w:vertAlign w:val="superscript"/>
        </w:rPr>
        <w:t xml:space="preserve">2 </w:t>
      </w:r>
      <w:r w:rsidRPr="00E0488D">
        <w:t xml:space="preserve">spațiu de depozitare în aer liber. APDF a achiziționat o navă care pentru gestionarea deșeurilor provenite din exploatarea navelor, tratarea și depozitarea apelor de santină.  </w:t>
      </w:r>
    </w:p>
    <w:p w:rsidR="00B4550A" w:rsidRPr="00E0488D" w:rsidRDefault="00B4550A" w:rsidP="002B7E09">
      <w:pPr>
        <w:pStyle w:val="NumberedParas"/>
      </w:pPr>
      <w:r w:rsidRPr="00E0488D">
        <w:t xml:space="preserve">Drobeta Turnu Severin are un amplasament strategic ca punct de transbordare pe Dunăre pentru traficul spre nord-vestul României și spre orașe precum Craiova. În plus, tonajul operat în port s-a menținut în ciuda situației economice nefavorabile iar acum înregistrează din nou creșteri. </w:t>
      </w:r>
    </w:p>
    <w:p w:rsidR="00B4550A" w:rsidRPr="00E0488D" w:rsidRDefault="00B4550A" w:rsidP="002B7E09">
      <w:pPr>
        <w:pStyle w:val="NumberedParas"/>
      </w:pPr>
      <w:r w:rsidRPr="00E0488D">
        <w:t>Portul Drobeta trebuie să aibă capacitatea de a gestiona acest tonaj mai mare de mărfuri prin dezvoltarea infrastructurii, altfel nu va putea să aibă avantaje competitive. Deși se estimează că portul a fost utilizat doar în proporție de 40% în anul 2011, acesta înregistrează o creștere semnificativă la nivelul produselor petroliere și minereurilor de fier operate și trebuie să aibă capacitatea de a opera acest volum de mărfuri în creștere</w:t>
      </w:r>
    </w:p>
    <w:p w:rsidR="00B4550A" w:rsidRPr="00E0488D" w:rsidRDefault="00B4550A" w:rsidP="002B7E09">
      <w:pPr>
        <w:pStyle w:val="NumberedParas"/>
      </w:pPr>
      <w:r w:rsidRPr="00E0488D">
        <w:t>Utilizarea portului Drobeta Turnu Severin este descrisă în Tabelul 6.7.</w:t>
      </w:r>
    </w:p>
    <w:p w:rsidR="00B4550A" w:rsidRPr="00E0488D" w:rsidRDefault="00B4550A" w:rsidP="002B7E09">
      <w:pPr>
        <w:pStyle w:val="NumberedParas"/>
        <w:numPr>
          <w:ilvl w:val="0"/>
          <w:numId w:val="0"/>
        </w:numPr>
        <w:ind w:left="822"/>
      </w:pPr>
      <w:r w:rsidRPr="00E0488D">
        <w:t>Tabelul 6.7: Utilizarea prezentă și prognozată a portului Drobeta Turnu Severin</w:t>
      </w:r>
    </w:p>
    <w:tbl>
      <w:tblPr>
        <w:tblW w:w="4980" w:type="dxa"/>
        <w:jc w:val="center"/>
        <w:tblLook w:val="04A0" w:firstRow="1" w:lastRow="0" w:firstColumn="1" w:lastColumn="0" w:noHBand="0" w:noVBand="1"/>
      </w:tblPr>
      <w:tblGrid>
        <w:gridCol w:w="1626"/>
        <w:gridCol w:w="960"/>
        <w:gridCol w:w="266"/>
        <w:gridCol w:w="1141"/>
        <w:gridCol w:w="987"/>
      </w:tblGrid>
      <w:tr w:rsidR="00B4550A" w:rsidRPr="00E0488D" w:rsidTr="003C7FC8">
        <w:trPr>
          <w:trHeight w:val="315"/>
          <w:jc w:val="center"/>
        </w:trPr>
        <w:tc>
          <w:tcPr>
            <w:tcW w:w="162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626"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70%</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50%</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91%</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59%</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08%</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26"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30"/>
          <w:jc w:val="center"/>
        </w:trPr>
        <w:tc>
          <w:tcPr>
            <w:tcW w:w="1626" w:type="dxa"/>
            <w:tcBorders>
              <w:top w:val="nil"/>
              <w:left w:val="single" w:sz="8" w:space="0" w:color="auto"/>
              <w:bottom w:val="single" w:sz="8" w:space="0" w:color="auto"/>
              <w:right w:val="nil"/>
            </w:tcBorders>
            <w:shd w:val="clear" w:color="000000"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960" w:type="dxa"/>
            <w:tcBorders>
              <w:top w:val="nil"/>
              <w:left w:val="nil"/>
              <w:bottom w:val="single" w:sz="8" w:space="0" w:color="auto"/>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13%</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28%</w:t>
            </w:r>
          </w:p>
        </w:tc>
        <w:tc>
          <w:tcPr>
            <w:tcW w:w="987" w:type="dxa"/>
            <w:tcBorders>
              <w:top w:val="nil"/>
              <w:left w:val="nil"/>
              <w:bottom w:val="single" w:sz="8" w:space="0" w:color="auto"/>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11%</w:t>
            </w:r>
          </w:p>
        </w:tc>
      </w:tr>
    </w:tbl>
    <w:p w:rsidR="00B4550A" w:rsidRPr="00E0488D" w:rsidRDefault="00B4550A" w:rsidP="002B7E09">
      <w:pPr>
        <w:pStyle w:val="NumberedParas"/>
      </w:pPr>
      <w:r w:rsidRPr="00E0488D">
        <w:t xml:space="preserve">Terminalul de marfă vrac solid din Drobeta Turnu Severin are un grad de utilizare ridicat și este prognozat a fi supra-utilizat în viitor. </w:t>
      </w:r>
    </w:p>
    <w:p w:rsidR="00B4550A" w:rsidRPr="00E0488D" w:rsidRDefault="00B4550A" w:rsidP="002B7E09">
      <w:pPr>
        <w:pStyle w:val="NumberedParas"/>
      </w:pPr>
      <w:r w:rsidRPr="00E0488D">
        <w:t>Portul Drobeta Turnu Severin poate opera mărfuri vrac solid și mărfuri generale. Capacitatea teoretică maximă a portului este de 500.000 de tone pe an. Cu toate acestea, portul Drobeta Turnu Severin nu deține infrastructură și dane dedicate transportului de containere.</w:t>
      </w:r>
    </w:p>
    <w:p w:rsidR="00B4550A" w:rsidRPr="00E0488D" w:rsidRDefault="00B4550A" w:rsidP="00BC2B57">
      <w:pPr>
        <w:pStyle w:val="BulletLevel1"/>
      </w:pPr>
      <w:r w:rsidRPr="00E0488D">
        <w:rPr>
          <w:b/>
        </w:rPr>
        <w:t>Problemă:</w:t>
      </w:r>
      <w:r w:rsidRPr="00E0488D">
        <w:t xml:space="preserve"> Portul Drobeta nu are infrastructură dedicată pentru operarea containerelor ceea ce face ca operarea acestora să fie ineficientă. </w:t>
      </w:r>
    </w:p>
    <w:p w:rsidR="00B4550A" w:rsidRPr="00E0488D" w:rsidRDefault="00B4550A" w:rsidP="00BC2B57">
      <w:pPr>
        <w:pStyle w:val="BulletLevel1"/>
      </w:pPr>
      <w:r w:rsidRPr="00E0488D">
        <w:t xml:space="preserve">Posibilă soluție: Construcția unui nou terminal trimodal </w:t>
      </w:r>
    </w:p>
    <w:p w:rsidR="00B4550A" w:rsidRPr="00E0488D" w:rsidRDefault="00B4550A" w:rsidP="002B7E09">
      <w:pPr>
        <w:pStyle w:val="NumberedParas"/>
        <w:rPr>
          <w:b/>
        </w:rPr>
      </w:pPr>
      <w:r w:rsidRPr="00E0488D">
        <w:t xml:space="preserve">În acest fel, facilitățile intermodale existente vor fi dezvoltate pentru a profita de avantajele poziției portului în România și cererii în creștere de transport intermodal containerizat </w:t>
      </w:r>
    </w:p>
    <w:p w:rsidR="00B4550A" w:rsidRPr="00E0488D" w:rsidRDefault="00B4550A" w:rsidP="00BC2B57">
      <w:pPr>
        <w:pStyle w:val="BulletLevel1"/>
      </w:pPr>
      <w:r w:rsidRPr="00E0488D">
        <w:rPr>
          <w:b/>
        </w:rPr>
        <w:t xml:space="preserve">Problemă: </w:t>
      </w:r>
      <w:r w:rsidRPr="00E0488D">
        <w:t>Drobeta are depozite și facilități de depozitare care nu sunt adecvate practicilor logistice moderne.</w:t>
      </w:r>
    </w:p>
    <w:p w:rsidR="00B4550A" w:rsidRPr="00E0488D" w:rsidRDefault="00B4550A" w:rsidP="00BC2B57">
      <w:pPr>
        <w:pStyle w:val="BulletLevel1"/>
      </w:pPr>
      <w:r w:rsidRPr="00E0488D">
        <w:t>Posibilă soluție: Dezvoltarea infrastructurii care va duce la creșterea eficienței și capacității</w:t>
      </w:r>
    </w:p>
    <w:p w:rsidR="00B4550A" w:rsidRPr="00E0488D" w:rsidRDefault="00B4550A" w:rsidP="00BC2B57">
      <w:pPr>
        <w:pStyle w:val="BulletLevel1"/>
      </w:pPr>
      <w:r w:rsidRPr="00E0488D">
        <w:t xml:space="preserve">Acest proiect presupune îmbunătățirea facilităților danelor disponibile în prezent, inclusiv echipament de operare și a serviciilor furnizate. Lucrările de modernizare ar facilita operarea mărfurilor. Aceasta ar duce la scăderea costurilor de operare și creșterea atractivității portului. </w:t>
      </w:r>
    </w:p>
    <w:p w:rsidR="00B4550A" w:rsidRPr="00E0488D" w:rsidRDefault="00B4550A" w:rsidP="00BC2B57">
      <w:pPr>
        <w:pStyle w:val="BulletLevel1"/>
      </w:pPr>
    </w:p>
    <w:p w:rsidR="00B4550A" w:rsidRPr="00E0488D" w:rsidRDefault="00B4550A" w:rsidP="00B4550A">
      <w:pPr>
        <w:pStyle w:val="Heading7"/>
        <w:rPr>
          <w:lang w:val="ro-RO"/>
        </w:rPr>
      </w:pPr>
      <w:r w:rsidRPr="00E0488D">
        <w:rPr>
          <w:lang w:val="ro-RO"/>
        </w:rPr>
        <w:t>Portul Orșova</w:t>
      </w:r>
    </w:p>
    <w:p w:rsidR="00B4550A" w:rsidRPr="00E0488D" w:rsidRDefault="00B4550A" w:rsidP="002B7E09">
      <w:pPr>
        <w:pStyle w:val="NumberedParas"/>
      </w:pPr>
      <w:r w:rsidRPr="00E0488D">
        <w:t>Acest port are patru macarale portic (</w:t>
      </w:r>
      <w:r w:rsidR="001205D0" w:rsidRPr="00E0488D">
        <w:t>max.</w:t>
      </w:r>
      <w:r w:rsidRPr="00E0488D">
        <w:t xml:space="preserve"> 16t), 16.000 m2 de spațiu de depozitare în aer liber și 6.650 m3 de silozuri de cereale. Totuși, infrastructura are durata de viață depășită și este nevoie de modernizări și acest lucru este luat în considerare pentru următoarele proiecte. Materialele de construcții și produsele minerale sunt o componentă importantă a transportului de mărfuri din portul Orșova dar nu există o industrie dominantă sau o cantitate de mărfuri predominantă. </w:t>
      </w:r>
    </w:p>
    <w:p w:rsidR="00B4550A" w:rsidRPr="00E0488D" w:rsidRDefault="00B4550A" w:rsidP="002B7E09">
      <w:pPr>
        <w:pStyle w:val="NumberedParas"/>
      </w:pPr>
      <w:r w:rsidRPr="00E0488D">
        <w:t>Utilizarea portului Orșova este descrisă în Tabelul 6.8</w:t>
      </w:r>
    </w:p>
    <w:p w:rsidR="00B4550A" w:rsidRPr="00E0488D" w:rsidRDefault="00B4550A" w:rsidP="002B7E09">
      <w:pPr>
        <w:pStyle w:val="NumberedParas"/>
        <w:numPr>
          <w:ilvl w:val="0"/>
          <w:numId w:val="0"/>
        </w:numPr>
        <w:ind w:left="142"/>
      </w:pPr>
      <w:r w:rsidRPr="00E0488D">
        <w:t xml:space="preserve">Tabelul 6.8: Utilizarea prezentă și prognozată a portului </w:t>
      </w:r>
      <w:r w:rsidR="001205D0" w:rsidRPr="00E0488D">
        <w:t>Orșova</w:t>
      </w:r>
    </w:p>
    <w:tbl>
      <w:tblPr>
        <w:tblW w:w="5002" w:type="dxa"/>
        <w:jc w:val="center"/>
        <w:tblLook w:val="04A0" w:firstRow="1" w:lastRow="0" w:firstColumn="1" w:lastColumn="0" w:noHBand="0" w:noVBand="1"/>
      </w:tblPr>
      <w:tblGrid>
        <w:gridCol w:w="1648"/>
        <w:gridCol w:w="960"/>
        <w:gridCol w:w="266"/>
        <w:gridCol w:w="1141"/>
        <w:gridCol w:w="987"/>
      </w:tblGrid>
      <w:tr w:rsidR="00B4550A" w:rsidRPr="00E0488D" w:rsidTr="003C7FC8">
        <w:trPr>
          <w:trHeight w:val="315"/>
          <w:jc w:val="center"/>
        </w:trPr>
        <w:tc>
          <w:tcPr>
            <w:tcW w:w="1648"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28"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648"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20%</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47%</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 solid</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46%</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20%</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86%</w:t>
            </w:r>
          </w:p>
        </w:tc>
      </w:tr>
      <w:tr w:rsidR="00B4550A" w:rsidRPr="00E0488D" w:rsidTr="003C7FC8">
        <w:trPr>
          <w:trHeight w:val="367"/>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648"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30"/>
          <w:jc w:val="center"/>
        </w:trPr>
        <w:tc>
          <w:tcPr>
            <w:tcW w:w="1648" w:type="dxa"/>
            <w:tcBorders>
              <w:top w:val="nil"/>
              <w:left w:val="single" w:sz="8" w:space="0" w:color="auto"/>
              <w:bottom w:val="single" w:sz="8" w:space="0" w:color="auto"/>
              <w:right w:val="nil"/>
            </w:tcBorders>
            <w:shd w:val="clear" w:color="000000"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960" w:type="dxa"/>
            <w:tcBorders>
              <w:top w:val="nil"/>
              <w:left w:val="nil"/>
              <w:bottom w:val="single" w:sz="8" w:space="0" w:color="auto"/>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83%</w:t>
            </w:r>
          </w:p>
        </w:tc>
        <w:tc>
          <w:tcPr>
            <w:tcW w:w="987" w:type="dxa"/>
            <w:tcBorders>
              <w:top w:val="nil"/>
              <w:left w:val="nil"/>
              <w:bottom w:val="single" w:sz="8" w:space="0" w:color="auto"/>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48%</w:t>
            </w:r>
          </w:p>
        </w:tc>
      </w:tr>
    </w:tbl>
    <w:p w:rsidR="00B4550A" w:rsidRPr="00E0488D" w:rsidRDefault="00B4550A" w:rsidP="002B7E09">
      <w:pPr>
        <w:pStyle w:val="NumberedParas"/>
      </w:pPr>
      <w:r w:rsidRPr="00E0488D">
        <w:t>Pentru terminalul de marfă vrac solid al portului Orșova se prognozează o supra-utilizare până în anul 2030.</w:t>
      </w:r>
    </w:p>
    <w:p w:rsidR="00B4550A" w:rsidRPr="00E0488D" w:rsidRDefault="00B4550A" w:rsidP="002B7E09">
      <w:pPr>
        <w:pStyle w:val="NumberedParas"/>
      </w:pPr>
      <w:r w:rsidRPr="00E0488D">
        <w:t xml:space="preserve">Portul Orșova are o capacitate teoretică maximă de 806.000 de tone pe an. Cu toate acestea infrastructura portului este învechită și este imposibil să se atingă o astfel de capacitate în </w:t>
      </w:r>
    </w:p>
    <w:p w:rsidR="00B4550A" w:rsidRPr="00E0488D" w:rsidRDefault="00B4550A" w:rsidP="00BC2B57">
      <w:pPr>
        <w:pStyle w:val="BulletLevel1"/>
      </w:pPr>
      <w:r w:rsidRPr="00E0488D">
        <w:rPr>
          <w:b/>
        </w:rPr>
        <w:t>Problemă:</w:t>
      </w:r>
      <w:r w:rsidRPr="00E0488D">
        <w:t xml:space="preserve"> Infrastructura depășită din portul Orșova împiedică operarea eficientă a mărfurilor.</w:t>
      </w:r>
    </w:p>
    <w:p w:rsidR="00B4550A" w:rsidRPr="00E0488D" w:rsidRDefault="00B4550A" w:rsidP="00BC2B57">
      <w:pPr>
        <w:pStyle w:val="BulletLevel1"/>
      </w:pPr>
      <w:r w:rsidRPr="00E0488D">
        <w:t xml:space="preserve">Posibilă soluție: Modernizarea portului </w:t>
      </w:r>
    </w:p>
    <w:p w:rsidR="00B4550A" w:rsidRPr="00E0488D" w:rsidRDefault="00B4550A" w:rsidP="002B7E09">
      <w:pPr>
        <w:pStyle w:val="NumberedParas"/>
      </w:pPr>
      <w:r w:rsidRPr="00E0488D">
        <w:t>Prin acest proiect ar fi modernizată infrastructura ca urmare a unor lucrări de reparații și prin introducerea de noi facilități</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22"/>
      </w:pPr>
    </w:p>
    <w:p w:rsidR="00B4550A" w:rsidRPr="00E0488D" w:rsidRDefault="00B4550A" w:rsidP="00B4550A">
      <w:pPr>
        <w:pStyle w:val="Heading7"/>
        <w:rPr>
          <w:lang w:val="ro-RO"/>
        </w:rPr>
      </w:pPr>
      <w:r w:rsidRPr="00E0488D">
        <w:rPr>
          <w:lang w:val="ro-RO"/>
        </w:rPr>
        <w:t>Portul Moldova Veche</w:t>
      </w:r>
    </w:p>
    <w:p w:rsidR="00B4550A" w:rsidRPr="00E0488D" w:rsidRDefault="00B4550A" w:rsidP="002B7E09">
      <w:pPr>
        <w:pStyle w:val="NumberedParas"/>
      </w:pPr>
      <w:r w:rsidRPr="00E0488D">
        <w:t>Acest port a fost propus pentru includere într-un program de modernizare deoarece este primul port prin care se trece prin România pentru călătoriile aval. Are 3 dane, macarale rotative (</w:t>
      </w:r>
      <w:r w:rsidR="001205D0" w:rsidRPr="00E0488D">
        <w:t>max.</w:t>
      </w:r>
      <w:r w:rsidRPr="00E0488D">
        <w:t xml:space="preserve"> 36t) și 30.000 m</w:t>
      </w:r>
      <w:r w:rsidRPr="00E0488D">
        <w:rPr>
          <w:vertAlign w:val="superscript"/>
        </w:rPr>
        <w:t xml:space="preserve">2 </w:t>
      </w:r>
      <w:r w:rsidRPr="00E0488D">
        <w:t>de spațiu de depozitare în aer liber și 2.000 m</w:t>
      </w:r>
      <w:r w:rsidRPr="00E0488D">
        <w:rPr>
          <w:vertAlign w:val="superscript"/>
        </w:rPr>
        <w:t xml:space="preserve">2 </w:t>
      </w:r>
      <w:r w:rsidRPr="00E0488D">
        <w:t xml:space="preserve">spațiu de depozitare acoperit. Portul poate furniza servicii de întreținere și reparații pentru containere, de depozitare containere și de încărcare și descărcare containere. </w:t>
      </w:r>
    </w:p>
    <w:p w:rsidR="00B4550A" w:rsidRPr="00E0488D" w:rsidRDefault="00B4550A" w:rsidP="002B7E09">
      <w:pPr>
        <w:pStyle w:val="NumberedParas"/>
      </w:pPr>
      <w:r w:rsidRPr="00E0488D">
        <w:t>Infrastructura portului, în special danele și adâncimea apei nu sunt adecvate pentru operarea mărfurilor în mod eficient. Acest lucru se reflectă în tonajul operat de port și în utilizarea sa redusă. Moldova Veche este un port mic care operează o gamă de mărfuri care variază ca volum de la un an la altul.</w:t>
      </w:r>
    </w:p>
    <w:p w:rsidR="00B4550A" w:rsidRPr="00E0488D" w:rsidRDefault="00B4550A" w:rsidP="002B7E09">
      <w:pPr>
        <w:pStyle w:val="NumberedParas"/>
      </w:pPr>
      <w:r w:rsidRPr="00E0488D">
        <w:t>Utilizarea portului Moldova Veche este descrisă în tabelul 6.9.</w:t>
      </w:r>
    </w:p>
    <w:p w:rsidR="00B4550A" w:rsidRPr="00E0488D" w:rsidRDefault="00B4550A" w:rsidP="002B7E09">
      <w:pPr>
        <w:pStyle w:val="NumberedParas"/>
        <w:numPr>
          <w:ilvl w:val="0"/>
          <w:numId w:val="0"/>
        </w:numPr>
        <w:ind w:left="142"/>
      </w:pPr>
      <w:r w:rsidRPr="00E0488D">
        <w:t>Tabelul 6.9: Utilizarea prezentă și prognozată a portului Moldova Veche</w:t>
      </w:r>
    </w:p>
    <w:tbl>
      <w:tblPr>
        <w:tblW w:w="5076" w:type="dxa"/>
        <w:jc w:val="center"/>
        <w:tblLook w:val="04A0" w:firstRow="1" w:lastRow="0" w:firstColumn="1" w:lastColumn="0" w:noHBand="0" w:noVBand="1"/>
      </w:tblPr>
      <w:tblGrid>
        <w:gridCol w:w="1749"/>
        <w:gridCol w:w="960"/>
        <w:gridCol w:w="266"/>
        <w:gridCol w:w="1141"/>
        <w:gridCol w:w="960"/>
      </w:tblGrid>
      <w:tr w:rsidR="00B4550A" w:rsidRPr="00E0488D" w:rsidTr="003C7FC8">
        <w:trPr>
          <w:trHeight w:val="315"/>
          <w:jc w:val="center"/>
        </w:trPr>
        <w:tc>
          <w:tcPr>
            <w:tcW w:w="1749"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01" w:type="dxa"/>
            <w:gridSpan w:val="2"/>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r>
      <w:tr w:rsidR="00B4550A" w:rsidRPr="00E0488D" w:rsidTr="003C7FC8">
        <w:trPr>
          <w:trHeight w:val="315"/>
          <w:jc w:val="center"/>
        </w:trPr>
        <w:tc>
          <w:tcPr>
            <w:tcW w:w="1749"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 </w:t>
            </w:r>
          </w:p>
        </w:tc>
        <w:tc>
          <w:tcPr>
            <w:tcW w:w="960" w:type="dxa"/>
            <w:tcBorders>
              <w:top w:val="single" w:sz="8" w:space="0" w:color="auto"/>
              <w:left w:val="nil"/>
              <w:bottom w:val="single" w:sz="8" w:space="0" w:color="auto"/>
              <w:right w:val="single" w:sz="8" w:space="0" w:color="auto"/>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2011</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41" w:type="dxa"/>
            <w:tcBorders>
              <w:top w:val="single" w:sz="8" w:space="0" w:color="auto"/>
              <w:left w:val="single" w:sz="8" w:space="0" w:color="auto"/>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tcBorders>
              <w:top w:val="single" w:sz="8" w:space="0" w:color="auto"/>
              <w:left w:val="nil"/>
              <w:bottom w:val="single" w:sz="8" w:space="0" w:color="auto"/>
              <w:right w:val="nil"/>
            </w:tcBorders>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 solid</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22%</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38%</w:t>
            </w:r>
          </w:p>
        </w:tc>
      </w:tr>
      <w:tr w:rsidR="00B4550A" w:rsidRPr="00E0488D" w:rsidTr="003C7FC8">
        <w:trPr>
          <w:trHeight w:val="6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Cărbune</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749" w:type="dxa"/>
            <w:tcBorders>
              <w:top w:val="nil"/>
              <w:left w:val="single" w:sz="8" w:space="0" w:color="auto"/>
              <w:bottom w:val="nil"/>
              <w:right w:val="nil"/>
            </w:tcBorders>
            <w:shd w:val="clear" w:color="000000"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960" w:type="dxa"/>
            <w:tcBorders>
              <w:top w:val="nil"/>
              <w:left w:val="nil"/>
              <w:bottom w:val="nil"/>
              <w:right w:val="single" w:sz="8" w:space="0" w:color="auto"/>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nil"/>
              <w:right w:val="nil"/>
            </w:tcBorders>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nil"/>
              <w:left w:val="nil"/>
              <w:bottom w:val="nil"/>
              <w:right w:val="nil"/>
            </w:tcBorders>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30"/>
          <w:jc w:val="center"/>
        </w:trPr>
        <w:tc>
          <w:tcPr>
            <w:tcW w:w="1749" w:type="dxa"/>
            <w:tcBorders>
              <w:top w:val="nil"/>
              <w:left w:val="single" w:sz="8" w:space="0" w:color="auto"/>
              <w:bottom w:val="single" w:sz="8" w:space="0" w:color="auto"/>
              <w:right w:val="nil"/>
            </w:tcBorders>
            <w:shd w:val="clear" w:color="000000"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Altele </w:t>
            </w:r>
          </w:p>
        </w:tc>
        <w:tc>
          <w:tcPr>
            <w:tcW w:w="960" w:type="dxa"/>
            <w:tcBorders>
              <w:top w:val="nil"/>
              <w:left w:val="nil"/>
              <w:bottom w:val="single" w:sz="8" w:space="0" w:color="auto"/>
              <w:right w:val="single" w:sz="8" w:space="0" w:color="auto"/>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266" w:type="dxa"/>
            <w:tcBorders>
              <w:top w:val="nil"/>
              <w:left w:val="nil"/>
              <w:bottom w:val="nil"/>
              <w:right w:val="nil"/>
            </w:tcBorders>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41" w:type="dxa"/>
            <w:tcBorders>
              <w:top w:val="nil"/>
              <w:left w:val="single" w:sz="8" w:space="0" w:color="auto"/>
              <w:bottom w:val="single" w:sz="8" w:space="0" w:color="auto"/>
              <w:right w:val="nil"/>
            </w:tcBorders>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60" w:type="dxa"/>
            <w:tcBorders>
              <w:top w:val="nil"/>
              <w:left w:val="nil"/>
              <w:bottom w:val="single" w:sz="8" w:space="0" w:color="auto"/>
              <w:right w:val="nil"/>
            </w:tcBorders>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r>
    </w:tbl>
    <w:p w:rsidR="00B4550A" w:rsidRPr="00E0488D" w:rsidRDefault="00B4550A" w:rsidP="002B7E09">
      <w:pPr>
        <w:pStyle w:val="NumberedParas"/>
      </w:pPr>
      <w:r w:rsidRPr="00E0488D">
        <w:t xml:space="preserve">Nu există probleme de capacitate prezente sau viitoare pentru portul Moldova Veche. </w:t>
      </w:r>
    </w:p>
    <w:p w:rsidR="00B4550A" w:rsidRPr="00E0488D" w:rsidRDefault="00B4550A" w:rsidP="002B7E09">
      <w:pPr>
        <w:pStyle w:val="NumberedParas"/>
      </w:pPr>
      <w:r w:rsidRPr="00E0488D">
        <w:t xml:space="preserve">Portul Moldova Veche poate opera mărfuri vrac solid și mărfuri generale. Capacitatea teoretică maximă a portului este de374.000 de tone, însă unele dane au echipament depășit și foarte vechi ceea ce face imposibilă atingerea acestei capacități maxime în realitate. </w:t>
      </w:r>
    </w:p>
    <w:p w:rsidR="00B4550A" w:rsidRPr="00E0488D" w:rsidRDefault="00B4550A" w:rsidP="00BC2B57">
      <w:pPr>
        <w:pStyle w:val="BulletLevel1"/>
      </w:pPr>
      <w:r w:rsidRPr="00E0488D">
        <w:rPr>
          <w:b/>
        </w:rPr>
        <w:t>Problemă:</w:t>
      </w:r>
      <w:r w:rsidRPr="00E0488D">
        <w:t xml:space="preserve"> Infrastructura portului Moldova Veche este inadecvată și ineficientă. Acest lucru se reflectă în volumul redus de mărfuri operate  </w:t>
      </w:r>
    </w:p>
    <w:p w:rsidR="00B4550A" w:rsidRPr="00E0488D" w:rsidRDefault="00B4550A" w:rsidP="00BC2B57">
      <w:pPr>
        <w:pStyle w:val="BulletLevel1"/>
      </w:pPr>
      <w:r w:rsidRPr="00E0488D">
        <w:t xml:space="preserve">Posibilă soluție: Dezvoltarea infrastructurii </w:t>
      </w:r>
    </w:p>
    <w:p w:rsidR="00B4550A" w:rsidRPr="00E0488D" w:rsidRDefault="00B4550A" w:rsidP="002B7E09">
      <w:pPr>
        <w:pStyle w:val="NumberedParas"/>
      </w:pPr>
      <w:r w:rsidRPr="00E0488D">
        <w:t xml:space="preserve">Astfel, acest proiect ar duce la dezvoltarea infrastructurii din portul Moldova Veche astfel încât portul să poată opera o gamă mai largă de mărfuri care vor reduce dependența portului de volume volatile de mărfuri. </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51"/>
      </w:pPr>
    </w:p>
    <w:p w:rsidR="00B4550A" w:rsidRPr="00E0488D" w:rsidRDefault="00B4550A" w:rsidP="002B7E09">
      <w:pPr>
        <w:pStyle w:val="NumberedParas"/>
        <w:numPr>
          <w:ilvl w:val="0"/>
          <w:numId w:val="0"/>
        </w:numPr>
        <w:ind w:left="822"/>
      </w:pPr>
      <w:r w:rsidRPr="00E0488D">
        <w:t>Porturi locale</w:t>
      </w:r>
    </w:p>
    <w:p w:rsidR="00B4550A" w:rsidRPr="00E0488D" w:rsidRDefault="00B4550A" w:rsidP="00B4550A">
      <w:pPr>
        <w:pStyle w:val="Heading7"/>
        <w:rPr>
          <w:lang w:val="ro-RO"/>
        </w:rPr>
      </w:pPr>
      <w:r w:rsidRPr="00E0488D">
        <w:rPr>
          <w:lang w:val="ro-RO"/>
        </w:rPr>
        <w:t>Portul Drencova</w:t>
      </w:r>
    </w:p>
    <w:p w:rsidR="00B4550A" w:rsidRPr="00E0488D" w:rsidRDefault="00B4550A" w:rsidP="002B7E09">
      <w:pPr>
        <w:pStyle w:val="NumberedParas"/>
      </w:pPr>
      <w:r w:rsidRPr="00E0488D">
        <w:t xml:space="preserve">Portul Drencova este un port mic, care operează mai puțin de cinci nave  pe an, având o singură dană. Ca atare, pentru moment nu se consideră necesară dezvoltarea sau studierea în continuare a acestui port pentru Master Planul General de Transport al României. </w:t>
      </w:r>
    </w:p>
    <w:p w:rsidR="00B4550A" w:rsidRPr="00E0488D" w:rsidRDefault="00B4550A" w:rsidP="00B4550A">
      <w:pPr>
        <w:pStyle w:val="Heading7"/>
        <w:rPr>
          <w:lang w:val="ro-RO"/>
        </w:rPr>
      </w:pPr>
      <w:r w:rsidRPr="00E0488D">
        <w:rPr>
          <w:lang w:val="ro-RO"/>
        </w:rPr>
        <w:t>Portul Gruia</w:t>
      </w:r>
    </w:p>
    <w:p w:rsidR="00B4550A" w:rsidRPr="00E0488D" w:rsidRDefault="00B4550A" w:rsidP="002B7E09">
      <w:pPr>
        <w:pStyle w:val="NumberedParas"/>
      </w:pPr>
      <w:r w:rsidRPr="00E0488D">
        <w:t>Gruia operează în principal cantități mari de balast și piatra spartă și este un port mic (1.000 m</w:t>
      </w:r>
      <w:r w:rsidRPr="00E0488D">
        <w:rPr>
          <w:vertAlign w:val="superscript"/>
        </w:rPr>
        <w:t>2</w:t>
      </w:r>
      <w:r w:rsidRPr="00E0488D">
        <w:t>) care nu necesită evaluări suplimentare în acest moment din cauza infrastructurii sale limitate și a posibilităților limitate de a fi dezvoltat pe viitor pentru alte tipuri de utilizare. În anul 2011 Portul Gruia nu a operat nici un fel de marfă înregistrată.</w:t>
      </w:r>
    </w:p>
    <w:p w:rsidR="00B4550A" w:rsidRPr="00E0488D" w:rsidRDefault="00B4550A" w:rsidP="00B4550A">
      <w:pPr>
        <w:pStyle w:val="Heading7"/>
        <w:rPr>
          <w:lang w:val="ro-RO"/>
        </w:rPr>
      </w:pPr>
      <w:r w:rsidRPr="00E0488D">
        <w:rPr>
          <w:lang w:val="ro-RO"/>
        </w:rPr>
        <w:t>Portul Cetate</w:t>
      </w:r>
    </w:p>
    <w:p w:rsidR="00B4550A" w:rsidRPr="00E0488D" w:rsidRDefault="00B4550A" w:rsidP="002B7E09">
      <w:pPr>
        <w:pStyle w:val="NumberedParas"/>
      </w:pPr>
      <w:r w:rsidRPr="00E0488D">
        <w:t>În mod similar, Cetate este un port cu o suprafață limitată (1.000 m</w:t>
      </w:r>
      <w:r w:rsidRPr="00E0488D">
        <w:rPr>
          <w:vertAlign w:val="superscript"/>
        </w:rPr>
        <w:t>2</w:t>
      </w:r>
      <w:r w:rsidRPr="00E0488D">
        <w:t>) care operează cantități mari de balast și piatra spartă din dragarea Dunării și nu se consideră necesară dezvoltarea în acest moment. În anul 2011 Portul Cetate nu a operat nici un fel de marfă înregistrată.</w:t>
      </w:r>
    </w:p>
    <w:p w:rsidR="00B4550A" w:rsidRPr="00E0488D" w:rsidRDefault="00B4550A" w:rsidP="00B4550A">
      <w:pPr>
        <w:pStyle w:val="Heading7"/>
        <w:rPr>
          <w:lang w:val="ro-RO"/>
        </w:rPr>
      </w:pPr>
      <w:r w:rsidRPr="00E0488D">
        <w:rPr>
          <w:lang w:val="ro-RO"/>
        </w:rPr>
        <w:t>Portul Turnu Măgurele</w:t>
      </w:r>
    </w:p>
    <w:p w:rsidR="00B4550A" w:rsidRPr="00E0488D" w:rsidRDefault="00B4550A" w:rsidP="002B7E09">
      <w:pPr>
        <w:pStyle w:val="NumberedParas"/>
      </w:pPr>
      <w:r w:rsidRPr="00E0488D">
        <w:t xml:space="preserve">Turnu Măgurele este asociat în principal cu uzinele chimice și de îngrășăminte de lângă port, operând atât materiile prime chimice cât și îngrășămintele produse. Utilizarea sa cu precădere pentru această industrie și utilizarea limitată în alte scopuri ar sugera faptul că viitoarea dezvoltare ar trebui să fie legată de dezvoltarea combinatului de îngrășăminte și nu ar trebui să fie bazată numai pe fonduri publice. </w:t>
      </w:r>
    </w:p>
    <w:p w:rsidR="00B4550A" w:rsidRPr="00E0488D" w:rsidRDefault="00B4550A" w:rsidP="00B4550A">
      <w:pPr>
        <w:pStyle w:val="Heading7"/>
        <w:rPr>
          <w:lang w:val="ro-RO"/>
        </w:rPr>
      </w:pPr>
      <w:r w:rsidRPr="00E0488D">
        <w:rPr>
          <w:lang w:val="ro-RO"/>
        </w:rPr>
        <w:t>Portul Zimnicea</w:t>
      </w:r>
    </w:p>
    <w:p w:rsidR="00B4550A" w:rsidRPr="00E0488D" w:rsidRDefault="00B4550A" w:rsidP="002B7E09">
      <w:pPr>
        <w:pStyle w:val="NumberedParas"/>
      </w:pPr>
      <w:r w:rsidRPr="00E0488D">
        <w:t xml:space="preserve">Sectorul siderurgic este unul dintre principalii utilizatori ai portului; portul mai este folosit și pentru transportul naval al balastului. Datorită legăturii strânse cu industria siderurgică, se recomandă ca orice dezvoltare viitoare să fie făcută în colaborarea cu acest sector și nu numai prin intermediul fondurilor publice, neexistând foarte multe alte alternative de utilizare. </w:t>
      </w:r>
    </w:p>
    <w:p w:rsidR="00B4550A" w:rsidRPr="00E0488D" w:rsidRDefault="00B4550A" w:rsidP="00B4550A">
      <w:pPr>
        <w:pStyle w:val="Heading7"/>
        <w:rPr>
          <w:lang w:val="ro-RO"/>
        </w:rPr>
      </w:pPr>
      <w:r w:rsidRPr="00E0488D">
        <w:rPr>
          <w:lang w:val="ro-RO"/>
        </w:rPr>
        <w:t>Portul Hârșova</w:t>
      </w:r>
    </w:p>
    <w:p w:rsidR="00B4550A" w:rsidRPr="00E0488D" w:rsidRDefault="00B4550A" w:rsidP="002B7E09">
      <w:pPr>
        <w:pStyle w:val="NumberedParas"/>
      </w:pPr>
      <w:r w:rsidRPr="00E0488D">
        <w:t xml:space="preserve">Portul Hârșova are un singur bazin cu 500 m de cheu în pantă; în afară de transportul de călători, în prezent, acest port mai este utilizat și pentru transportul naval al nisipului extras din albia râului. În prezent nu este considerată a fi necesară o dezvoltare suplimentară a acestui port. </w:t>
      </w:r>
    </w:p>
    <w:p w:rsidR="00B4550A" w:rsidRPr="00E0488D" w:rsidRDefault="00B4550A" w:rsidP="00B4550A">
      <w:pPr>
        <w:pStyle w:val="Heading7"/>
        <w:rPr>
          <w:lang w:val="ro-RO"/>
        </w:rPr>
      </w:pPr>
      <w:r w:rsidRPr="00E0488D">
        <w:rPr>
          <w:lang w:val="ro-RO"/>
        </w:rPr>
        <w:t>Portul Turcoaia</w:t>
      </w:r>
    </w:p>
    <w:p w:rsidR="00B4550A" w:rsidRPr="00E0488D" w:rsidRDefault="00B4550A" w:rsidP="002B7E09">
      <w:pPr>
        <w:pStyle w:val="NumberedParas"/>
      </w:pPr>
      <w:r w:rsidRPr="00E0488D">
        <w:t xml:space="preserve">Portul Turcoaia se concentrează pe procesarea pietrei pentru construcții din cariera Dantana lui Manole. Astfel, în prezent nu se justifică o dezvoltare alternativă deci nu a fost analizat în mai mare detaliu în cadrul Master Planului. </w:t>
      </w:r>
    </w:p>
    <w:p w:rsidR="00B4550A" w:rsidRPr="00E0488D" w:rsidRDefault="00B4550A" w:rsidP="00B4550A">
      <w:pPr>
        <w:pStyle w:val="Heading7"/>
        <w:rPr>
          <w:lang w:val="ro-RO"/>
        </w:rPr>
      </w:pPr>
      <w:r w:rsidRPr="00E0488D">
        <w:rPr>
          <w:lang w:val="ro-RO"/>
        </w:rPr>
        <w:t>Port Macin</w:t>
      </w:r>
    </w:p>
    <w:p w:rsidR="00B4550A" w:rsidRPr="00E0488D" w:rsidRDefault="00B4550A" w:rsidP="002B7E09">
      <w:pPr>
        <w:pStyle w:val="NumberedParas"/>
      </w:pPr>
      <w:r w:rsidRPr="00E0488D">
        <w:t xml:space="preserve">Macin operează piatră pentru industria internă de construcții și este concentrat în totalitate pe transportul naval al acestei pietre; ca atare, în acest moment, nu a mai fost analizat pentru că acesta nu este necesar pentru o utilizare generalizată. </w:t>
      </w:r>
    </w:p>
    <w:p w:rsidR="00B4550A" w:rsidRPr="00E0488D" w:rsidRDefault="00B4550A" w:rsidP="00B4550A">
      <w:pPr>
        <w:pStyle w:val="Heading7"/>
        <w:rPr>
          <w:lang w:val="ro-RO"/>
        </w:rPr>
      </w:pPr>
      <w:r w:rsidRPr="00E0488D">
        <w:rPr>
          <w:lang w:val="ro-RO"/>
        </w:rPr>
        <w:t>Portul Gura Arman</w:t>
      </w:r>
    </w:p>
    <w:p w:rsidR="00B4550A" w:rsidRPr="00E0488D" w:rsidRDefault="00B4550A" w:rsidP="002B7E09">
      <w:pPr>
        <w:pStyle w:val="NumberedParas"/>
      </w:pPr>
      <w:r w:rsidRPr="00E0488D">
        <w:t xml:space="preserve">Gura Arman este concentrat pe transportarea pietrei de la cariera Iacob-Deal. Astfel, în prezent nu se justifică o dezvoltare alternativă deci nu a fost analizat în mai mare detaliu în cadrul Master Planului. </w:t>
      </w:r>
    </w:p>
    <w:p w:rsidR="00B4550A" w:rsidRPr="00E0488D" w:rsidRDefault="00B4550A" w:rsidP="00B4550A">
      <w:pPr>
        <w:pStyle w:val="Heading7"/>
        <w:rPr>
          <w:lang w:val="ro-RO"/>
        </w:rPr>
      </w:pPr>
      <w:r w:rsidRPr="00E0488D">
        <w:rPr>
          <w:lang w:val="ro-RO"/>
        </w:rPr>
        <w:t>Portul Isaccea</w:t>
      </w:r>
    </w:p>
    <w:p w:rsidR="00B4550A" w:rsidRPr="00E0488D" w:rsidRDefault="00B4550A" w:rsidP="002B7E09">
      <w:pPr>
        <w:pStyle w:val="NumberedParas"/>
      </w:pPr>
      <w:r w:rsidRPr="00E0488D">
        <w:t xml:space="preserve">Isaccea operează exclusiv produse ale industriei de construcții în termeni de transport și operare a lemnului, a pietrei și a nisipului; deși este important pentru acest sector, în prezent, nu este estimat dacă va fi nevoie de o dezvoltare mai intensă pentru utilizarea sa pentru transportul de mărfuri generale astfel încât nu au mai fost făcute evaluări. </w:t>
      </w:r>
    </w:p>
    <w:p w:rsidR="00B4550A" w:rsidRPr="00E0488D" w:rsidRDefault="00B4550A" w:rsidP="00B4550A">
      <w:pPr>
        <w:pStyle w:val="Heading7"/>
        <w:rPr>
          <w:lang w:val="ro-RO"/>
        </w:rPr>
      </w:pPr>
      <w:r w:rsidRPr="00E0488D">
        <w:rPr>
          <w:lang w:val="ro-RO"/>
        </w:rPr>
        <w:t>Portul Mahmudia</w:t>
      </w:r>
    </w:p>
    <w:p w:rsidR="00B4550A" w:rsidRPr="00E0488D" w:rsidRDefault="00B4550A" w:rsidP="002B7E09">
      <w:pPr>
        <w:pStyle w:val="NumberedParas"/>
      </w:pPr>
      <w:r w:rsidRPr="00E0488D">
        <w:t xml:space="preserve">Și Mahmudia este folosit cu precădere pentru transportul domestic de piatră pentru industria de construcții; având în vedere că nu este necesară utilizarea în alte scopuri nu a mai fost analizată dezvoltarea acestuia. </w:t>
      </w:r>
    </w:p>
    <w:p w:rsidR="00B4550A" w:rsidRPr="00E0488D" w:rsidRDefault="00B4550A" w:rsidP="002B7E09">
      <w:pPr>
        <w:pStyle w:val="NumberedParas"/>
        <w:numPr>
          <w:ilvl w:val="0"/>
          <w:numId w:val="0"/>
        </w:numPr>
        <w:ind w:left="822"/>
      </w:pPr>
    </w:p>
    <w:p w:rsidR="00B4550A" w:rsidRPr="00E0488D" w:rsidRDefault="00B4550A" w:rsidP="00B4550A">
      <w:pPr>
        <w:pStyle w:val="Heading7"/>
        <w:rPr>
          <w:lang w:val="ro-RO"/>
        </w:rPr>
      </w:pPr>
      <w:r w:rsidRPr="00E0488D">
        <w:rPr>
          <w:lang w:val="ro-RO"/>
        </w:rPr>
        <w:t>Portul Ovidiu</w:t>
      </w:r>
    </w:p>
    <w:p w:rsidR="00B4550A" w:rsidRPr="00E0488D" w:rsidRDefault="00B4550A" w:rsidP="002B7E09">
      <w:pPr>
        <w:pStyle w:val="NumberedParas"/>
      </w:pPr>
      <w:r w:rsidRPr="00E0488D">
        <w:t xml:space="preserve">Ovidiu este un port amplasat pe brațul Poarta Alba-Midia al Canalului Dunăre – Marea Neagră. Portul are două dane și a operat 529.000 tone în 2011. Nu au fost identificate probleme la portul Ovidiu.  </w:t>
      </w:r>
    </w:p>
    <w:p w:rsidR="00B4550A" w:rsidRPr="00E0488D" w:rsidRDefault="00B4550A" w:rsidP="00B4550A">
      <w:pPr>
        <w:pStyle w:val="Heading7"/>
        <w:rPr>
          <w:lang w:val="ro-RO"/>
        </w:rPr>
      </w:pPr>
      <w:r w:rsidRPr="00E0488D">
        <w:rPr>
          <w:lang w:val="ro-RO"/>
        </w:rPr>
        <w:t>Portul Chilia Veche,</w:t>
      </w:r>
    </w:p>
    <w:p w:rsidR="00B4550A" w:rsidRPr="00E0488D" w:rsidRDefault="00B4550A" w:rsidP="002B7E09">
      <w:pPr>
        <w:pStyle w:val="NumberedParas"/>
      </w:pPr>
      <w:r w:rsidRPr="00E0488D">
        <w:t xml:space="preserve">În prezent, Chilia Veche operează foarte puține transporturi comerciale de marfă, fiind dedicat în special, traficului de pasageri. Există facilități limitate pentru operare și depozitare de cereale.  Nu s-a considerat necesară continuarea analizei acestui port în cadrul Master Planului.  </w:t>
      </w:r>
    </w:p>
    <w:p w:rsidR="00B4550A" w:rsidRPr="00E0488D" w:rsidRDefault="00B4550A" w:rsidP="00B4550A">
      <w:pPr>
        <w:pStyle w:val="Heading7"/>
        <w:rPr>
          <w:lang w:val="ro-RO"/>
        </w:rPr>
      </w:pPr>
      <w:r w:rsidRPr="00E0488D">
        <w:rPr>
          <w:lang w:val="ro-RO"/>
        </w:rPr>
        <w:t>Portul Fetești</w:t>
      </w:r>
    </w:p>
    <w:p w:rsidR="00B4550A" w:rsidRPr="00E0488D" w:rsidRDefault="00B4550A" w:rsidP="002B7E09">
      <w:pPr>
        <w:pStyle w:val="NumberedParas"/>
      </w:pPr>
      <w:r w:rsidRPr="00E0488D">
        <w:t xml:space="preserve">Portul Fetești este amplasat pe </w:t>
      </w:r>
      <w:r w:rsidRPr="00E0488D">
        <w:rPr>
          <w:i/>
        </w:rPr>
        <w:t xml:space="preserve">Brațul Borcea </w:t>
      </w:r>
      <w:r w:rsidRPr="00E0488D">
        <w:t xml:space="preserve">de pe Fluviul Dunărea. Portul nu operează cantități semnificative de mărfuri. Nu au fost identificate probleme la Fetești. </w:t>
      </w:r>
    </w:p>
    <w:p w:rsidR="00B4550A" w:rsidRPr="00E0488D" w:rsidRDefault="00B4550A" w:rsidP="00B4550A">
      <w:pPr>
        <w:pStyle w:val="Heading7"/>
        <w:rPr>
          <w:lang w:val="ro-RO"/>
        </w:rPr>
      </w:pPr>
      <w:r w:rsidRPr="00E0488D">
        <w:rPr>
          <w:lang w:val="ro-RO"/>
        </w:rPr>
        <w:t>Portul Tisovița</w:t>
      </w:r>
    </w:p>
    <w:p w:rsidR="00B4550A" w:rsidRPr="00E0488D" w:rsidRDefault="00B4550A" w:rsidP="002B7E09">
      <w:pPr>
        <w:pStyle w:val="NumberedParas"/>
      </w:pPr>
      <w:r w:rsidRPr="00E0488D">
        <w:t xml:space="preserve">Portul Tisovița nu operează cantități semnificative de mărfuri și nu a transportat deloc mărfuri în anii 2010 și 2011. Nu au fost identificate probleme la Tisovița. </w:t>
      </w:r>
    </w:p>
    <w:p w:rsidR="00B4550A" w:rsidRPr="00E0488D" w:rsidRDefault="00B4550A" w:rsidP="00B4550A">
      <w:pPr>
        <w:pStyle w:val="Heading7"/>
        <w:rPr>
          <w:lang w:val="ro-RO"/>
        </w:rPr>
      </w:pPr>
      <w:r w:rsidRPr="00E0488D">
        <w:rPr>
          <w:lang w:val="ro-RO"/>
        </w:rPr>
        <w:t>Portul Rast</w:t>
      </w:r>
    </w:p>
    <w:p w:rsidR="00B4550A" w:rsidRPr="00E0488D" w:rsidRDefault="00B4550A" w:rsidP="002B7E09">
      <w:pPr>
        <w:pStyle w:val="NumberedParas"/>
      </w:pPr>
      <w:r w:rsidRPr="00E0488D">
        <w:t xml:space="preserve">Portul Rast este un port pe fluviul Dunărea pe sectorul Româno-Bulgar al acesteia. Operațiunile din acest port sunt foarte puține. </w:t>
      </w:r>
    </w:p>
    <w:p w:rsidR="00B4550A" w:rsidRPr="00E0488D" w:rsidRDefault="00B4550A" w:rsidP="00B4550A">
      <w:pPr>
        <w:pStyle w:val="Heading7"/>
        <w:rPr>
          <w:lang w:val="ro-RO"/>
        </w:rPr>
      </w:pPr>
      <w:r w:rsidRPr="00E0488D">
        <w:rPr>
          <w:lang w:val="ro-RO"/>
        </w:rPr>
        <w:t>Portul Baziaș</w:t>
      </w:r>
    </w:p>
    <w:p w:rsidR="00B4550A" w:rsidRPr="00E0488D" w:rsidRDefault="00B4550A" w:rsidP="002B7E09">
      <w:pPr>
        <w:pStyle w:val="NumberedParas"/>
      </w:pPr>
      <w:r w:rsidRPr="00E0488D">
        <w:t xml:space="preserve">Portul Baziaș este pe fluviul Dunărea, aproape de granița cu Serbia.  Operațiunile din acest port sunt foarte puține. </w:t>
      </w:r>
    </w:p>
    <w:p w:rsidR="00B4550A" w:rsidRPr="00E0488D" w:rsidRDefault="00B4550A" w:rsidP="00B4550A">
      <w:pPr>
        <w:pStyle w:val="Heading7"/>
        <w:rPr>
          <w:lang w:val="ro-RO"/>
        </w:rPr>
      </w:pPr>
      <w:r w:rsidRPr="00E0488D">
        <w:rPr>
          <w:lang w:val="ro-RO"/>
        </w:rPr>
        <w:t>Portul Luminița</w:t>
      </w:r>
    </w:p>
    <w:p w:rsidR="00B4550A" w:rsidRPr="00E0488D" w:rsidRDefault="00B4550A" w:rsidP="002B7E09">
      <w:pPr>
        <w:pStyle w:val="NumberedParas"/>
      </w:pPr>
      <w:r w:rsidRPr="00E0488D">
        <w:t xml:space="preserve">Portul Luminița este parte din rețeaua de porturi a Autorității Canalelor Navigabile a Canalului Dunăre – Marea Neagră. Este aproape de portul Midia (portul satelit al Constanței). Deși sunt operate anumite cantități de mărfuri în acest port, acestea sunt în general produse minerale. Apropierea portului Luminița de Midia și Constanța face ca majoritatea mărfurilor din zonă să fie operate în aceste porturi. </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22"/>
      </w:pPr>
    </w:p>
    <w:p w:rsidR="00B4550A" w:rsidRPr="00E0488D" w:rsidRDefault="00B4550A" w:rsidP="002B7E09">
      <w:pPr>
        <w:pStyle w:val="NumberedParas"/>
        <w:numPr>
          <w:ilvl w:val="0"/>
          <w:numId w:val="0"/>
        </w:numPr>
        <w:ind w:left="822"/>
      </w:pPr>
      <w:r w:rsidRPr="00E0488D">
        <w:t>Căi navigabile</w:t>
      </w:r>
    </w:p>
    <w:p w:rsidR="00B4550A" w:rsidRPr="00E0488D" w:rsidRDefault="00B4550A" w:rsidP="00B4550A">
      <w:pPr>
        <w:pStyle w:val="Heading7"/>
        <w:rPr>
          <w:lang w:val="ro-RO"/>
        </w:rPr>
      </w:pPr>
      <w:r w:rsidRPr="00E0488D">
        <w:rPr>
          <w:lang w:val="ro-RO"/>
        </w:rPr>
        <w:t xml:space="preserve">Fluviul Dunărea </w:t>
      </w:r>
    </w:p>
    <w:p w:rsidR="00B4550A" w:rsidRPr="00E0488D" w:rsidRDefault="00B4550A" w:rsidP="002B7E09">
      <w:pPr>
        <w:pStyle w:val="NumberedParas"/>
      </w:pPr>
      <w:r w:rsidRPr="00E0488D">
        <w:t xml:space="preserve">Conform categoriilor ONU, Dunărea este un fluviu de Clasa VII. Dunărea curge pe o distanță de aproximativ 1.075 km pe teritoriul României astfel încât este considerată un coridor de transport important ce reprezintă și o bună parte a graniței de sud a României cu Bulgaria. Canalul Dunăre – Marea Neagră face legătura directă între cel mai important port al României, Constanța și Dunăre. Dunărea operează 9% din totalul transporturilor de marfă din România (sursa:INSSE, anul 2011), în termeni de tone de mărfuri transportate. Există o serie de localități și industrii importante de-a lungul coridorului Dunării dar multe dintre acestea nu sunt amplasate pe rețeaua navigabilă (inclusiv București), o bună parte a țării dispunând de legături foarte slabe cu fluviul. </w:t>
      </w:r>
    </w:p>
    <w:p w:rsidR="00B4550A" w:rsidRPr="00E0488D" w:rsidRDefault="00B4550A" w:rsidP="00B4550A">
      <w:pPr>
        <w:pStyle w:val="Heading7"/>
        <w:rPr>
          <w:lang w:val="ro-RO"/>
        </w:rPr>
      </w:pPr>
      <w:r w:rsidRPr="00E0488D">
        <w:rPr>
          <w:lang w:val="ro-RO"/>
        </w:rPr>
        <w:t xml:space="preserve">Canalul Dunăre – Marea Neagră </w:t>
      </w:r>
    </w:p>
    <w:p w:rsidR="00B4550A" w:rsidRPr="00E0488D" w:rsidRDefault="00B4550A" w:rsidP="002B7E09">
      <w:pPr>
        <w:pStyle w:val="NumberedParas"/>
      </w:pPr>
      <w:r w:rsidRPr="00E0488D">
        <w:t xml:space="preserve">Canalul Dunăre-Marea Neagră a fost realizat pentru a crea o legătură mai scurtă a Dunării cu Marea Neagră, evitând astfel navigarea dificilă prin Delta Dunării. Canalul se bifurcă iar canalul principal merge spre sud către porturile Constanța și Agigea. Canalul de nord ajunge la Marea Neagră, portul Midia. </w:t>
      </w:r>
    </w:p>
    <w:p w:rsidR="00B4550A" w:rsidRPr="00E0488D" w:rsidRDefault="00B4550A" w:rsidP="002B7E09">
      <w:pPr>
        <w:pStyle w:val="NumberedParas"/>
      </w:pPr>
      <w:r w:rsidRPr="00E0488D">
        <w:t xml:space="preserve">Canalul Dunăre – Marea Neagră a fost proiectat pentru a facilita tranzitul unor convoaie lungi, formate </w:t>
      </w:r>
      <w:r w:rsidR="001205D0" w:rsidRPr="00E0488D">
        <w:t>din</w:t>
      </w:r>
      <w:r w:rsidRPr="00E0488D">
        <w:t xml:space="preserve"> 6 barje, de până la 3.000 tone fiecare (astfel un convoi de 18.000 tone). Navele de până la 5.000 de tone (care respectă gabaritul maxim) pot trece prin canal. </w:t>
      </w:r>
    </w:p>
    <w:p w:rsidR="00B4550A" w:rsidRPr="00E0488D" w:rsidRDefault="00B4550A" w:rsidP="002B7E09">
      <w:pPr>
        <w:pStyle w:val="NumberedParas"/>
      </w:pPr>
      <w:r w:rsidRPr="00E0488D">
        <w:t>Canalul Dunăre – Marea Neagră a operat următoarele tonaje internaționale (Figura 6.3).</w:t>
      </w:r>
    </w:p>
    <w:p w:rsidR="00B4550A" w:rsidRPr="00E0488D" w:rsidRDefault="00B4550A" w:rsidP="00B4550A">
      <w:pPr>
        <w:spacing w:line="276" w:lineRule="auto"/>
        <w:rPr>
          <w:sz w:val="22"/>
          <w:szCs w:val="22"/>
          <w:lang w:val="ro-RO"/>
        </w:rPr>
      </w:pPr>
      <w:r w:rsidRPr="00E0488D">
        <w:rPr>
          <w:noProof/>
          <w:sz w:val="22"/>
          <w:szCs w:val="22"/>
          <w:lang w:val="ro-RO" w:eastAsia="ro-RO"/>
        </w:rPr>
        <w:drawing>
          <wp:inline distT="0" distB="0" distL="0" distR="0">
            <wp:extent cx="4572762" cy="2802691"/>
            <wp:effectExtent l="19050" t="0" r="18288" b="0"/>
            <wp:docPr id="59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6.3 – Tonaj anual marfă transportată naval pe canalul Dunăre – Marea Neagră </w:t>
      </w:r>
    </w:p>
    <w:p w:rsidR="00B4550A" w:rsidRPr="00E0488D" w:rsidRDefault="00B4550A" w:rsidP="002B7E09">
      <w:pPr>
        <w:pStyle w:val="NumberedParas"/>
        <w:rPr>
          <w:lang w:eastAsia="en-GB"/>
        </w:rPr>
      </w:pPr>
      <w:r w:rsidRPr="00E0488D">
        <w:rPr>
          <w:lang w:eastAsia="en-GB"/>
        </w:rPr>
        <w:t xml:space="preserve">O mare parte din tonajul total de marfă transportată în 2013 reprezintă trafic internațional iar aceasta reflectă faptul că acest Canal Dunăre – Marea Neagră (și fluviul Dunărea, pe care îl conectează) reprezintă o cale de navigație internațională, care oferă țărilor fără ieșire la mare accesul la celelalte țări ale lumii. Numărul de tone operate a crescut în 2009 și 2013 iar acest fapt se </w:t>
      </w:r>
      <w:r w:rsidR="001205D0" w:rsidRPr="00E0488D">
        <w:rPr>
          <w:lang w:eastAsia="en-GB"/>
        </w:rPr>
        <w:t>datorează</w:t>
      </w:r>
      <w:r w:rsidRPr="00E0488D">
        <w:rPr>
          <w:lang w:eastAsia="en-GB"/>
        </w:rPr>
        <w:t xml:space="preserve"> ieșirii din criza economică. Anul de vârf pentru traficul pe Canalul Dunăre Marea Neagră a fost 2005, pe parcursul căruia a operat peste 15 milioane de tone. Anul 2013 se clasează imediat după 2005 în termenii volumului operat de la construcția Canalului. </w:t>
      </w:r>
    </w:p>
    <w:p w:rsidR="00B4550A" w:rsidRPr="00E0488D" w:rsidRDefault="00B4550A" w:rsidP="002B7E09">
      <w:pPr>
        <w:pStyle w:val="NumberedParas"/>
        <w:numPr>
          <w:ilvl w:val="0"/>
          <w:numId w:val="0"/>
        </w:numPr>
        <w:ind w:left="822"/>
        <w:rPr>
          <w:lang w:eastAsia="en-GB"/>
        </w:rPr>
      </w:pPr>
      <w:r w:rsidRPr="00E0488D">
        <w:rPr>
          <w:lang w:eastAsia="en-GB"/>
        </w:rPr>
        <w:t xml:space="preserve">Canalul Sulina </w:t>
      </w:r>
    </w:p>
    <w:p w:rsidR="00B4550A" w:rsidRPr="00E0488D" w:rsidRDefault="00B4550A" w:rsidP="002B7E09">
      <w:pPr>
        <w:pStyle w:val="NumberedParas"/>
        <w:rPr>
          <w:lang w:eastAsia="en-GB"/>
        </w:rPr>
      </w:pPr>
      <w:r w:rsidRPr="00E0488D">
        <w:rPr>
          <w:lang w:eastAsia="en-GB"/>
        </w:rPr>
        <w:t xml:space="preserve">Canalul Sulina (denumit și Brațul Sulina) este amplasat în Delta Dunării. </w:t>
      </w:r>
      <w:r w:rsidR="001205D0" w:rsidRPr="00E0488D">
        <w:rPr>
          <w:lang w:eastAsia="en-GB"/>
        </w:rPr>
        <w:t>Orașul</w:t>
      </w:r>
      <w:r w:rsidR="001205D0">
        <w:rPr>
          <w:lang w:eastAsia="en-GB"/>
        </w:rPr>
        <w:t xml:space="preserve">  </w:t>
      </w:r>
      <w:r w:rsidR="001205D0" w:rsidRPr="00E0488D">
        <w:rPr>
          <w:lang w:eastAsia="en-GB"/>
        </w:rPr>
        <w:t>Sulina</w:t>
      </w:r>
      <w:r w:rsidRPr="00E0488D">
        <w:rPr>
          <w:lang w:eastAsia="en-GB"/>
        </w:rPr>
        <w:t xml:space="preserve"> este plasat aproape de gura de vărsare a canalului Sulina la Marea Neagră. Sulina este cel mai scurt dintre cele trei brațe principale ale Dunării (celelalte fiind brațul Chilia și brațul Sfântu Gheorghe). Datorită lungimii mai mici acesta reprezintă alegerea preferată pentru navigație (navigația vaselor mai mari nu este recomandată pe celelalte canale), canalul Sulina beneficiind și de lucrări de dragare pentru asigurarea navigabilității.</w:t>
      </w:r>
    </w:p>
    <w:p w:rsidR="00B4550A" w:rsidRPr="00E0488D" w:rsidRDefault="00B4550A" w:rsidP="002B7E09">
      <w:pPr>
        <w:pStyle w:val="NumberedParas"/>
        <w:rPr>
          <w:lang w:eastAsia="en-GB"/>
        </w:rPr>
      </w:pPr>
      <w:r w:rsidRPr="00E0488D">
        <w:rPr>
          <w:lang w:eastAsia="en-GB"/>
        </w:rPr>
        <w:t>Adâncimile Canalului Sulina variază de la 10 metri la 14 metri iar operațiunile repetate de dragaj permit accesul navelor de maximum 7,32 metri și acostarea lor în portul Sulina. Pot fi aplicate diverse restricții de navigație în perioadele secetoase, comandanții navelor fiind obligați să verifice dinainte dacă se poate naviga pe canal. În perioada februarie – martie se poate forma gheață iar portul Sulina este menținut deschis cu ajutorul spărgătoarelor de gheață.</w:t>
      </w:r>
    </w:p>
    <w:p w:rsidR="00B4550A" w:rsidRPr="00E0488D" w:rsidRDefault="00B4550A" w:rsidP="002B7E09">
      <w:pPr>
        <w:pStyle w:val="NumberedParas"/>
        <w:rPr>
          <w:lang w:eastAsia="en-GB"/>
        </w:rPr>
      </w:pPr>
      <w:r w:rsidRPr="00E0488D">
        <w:rPr>
          <w:lang w:eastAsia="en-GB"/>
        </w:rPr>
        <w:t xml:space="preserve">Pentru a utiliza canalul Sulina navele plătesc o taxă de tranzit (în funcție de greutatea navei) </w:t>
      </w:r>
    </w:p>
    <w:p w:rsidR="00B4550A" w:rsidRPr="00E0488D" w:rsidRDefault="00B4550A" w:rsidP="00B4550A">
      <w:pPr>
        <w:spacing w:line="276" w:lineRule="auto"/>
        <w:rPr>
          <w:sz w:val="22"/>
          <w:szCs w:val="22"/>
          <w:lang w:val="ro-RO"/>
        </w:rPr>
      </w:pPr>
    </w:p>
    <w:p w:rsidR="00B4550A" w:rsidRPr="00E0488D" w:rsidRDefault="00B4550A" w:rsidP="00B4550A">
      <w:pPr>
        <w:pStyle w:val="Hdg3"/>
      </w:pPr>
      <w:r w:rsidRPr="00E0488D">
        <w:t xml:space="preserve">Tendințe viitoare  pentru transportul naval de marfă  </w:t>
      </w:r>
    </w:p>
    <w:p w:rsidR="00B4550A" w:rsidRPr="00E0488D" w:rsidRDefault="00B4550A" w:rsidP="00B4550A">
      <w:pPr>
        <w:pStyle w:val="Heading7"/>
        <w:rPr>
          <w:lang w:val="ro-RO"/>
        </w:rPr>
      </w:pPr>
      <w:r w:rsidRPr="00E0488D">
        <w:rPr>
          <w:lang w:val="ro-RO"/>
        </w:rPr>
        <w:t>Constanța</w:t>
      </w:r>
    </w:p>
    <w:p w:rsidR="00B4550A" w:rsidRPr="00E0488D" w:rsidRDefault="00B4550A" w:rsidP="002B7E09">
      <w:pPr>
        <w:pStyle w:val="NumberedParas"/>
      </w:pPr>
      <w:r w:rsidRPr="00E0488D">
        <w:t>Figura 6.2 prezintă tendințele viitoare de creștere a traficului în portul Constanța.</w:t>
      </w:r>
    </w:p>
    <w:p w:rsidR="00B4550A" w:rsidRPr="00E0488D" w:rsidRDefault="00B4550A" w:rsidP="00B4550A">
      <w:pPr>
        <w:spacing w:line="276" w:lineRule="auto"/>
        <w:rPr>
          <w:sz w:val="22"/>
          <w:szCs w:val="22"/>
          <w:highlight w:val="yellow"/>
          <w:lang w:val="ro-RO" w:eastAsia="en-GB"/>
        </w:rPr>
      </w:pPr>
      <w:r w:rsidRPr="00E0488D">
        <w:rPr>
          <w:noProof/>
          <w:sz w:val="22"/>
          <w:szCs w:val="22"/>
          <w:highlight w:val="yellow"/>
          <w:lang w:val="ro-RO" w:eastAsia="ro-RO"/>
        </w:rPr>
        <w:drawing>
          <wp:inline distT="0" distB="0" distL="0" distR="0">
            <wp:extent cx="4572762" cy="2745975"/>
            <wp:effectExtent l="12192" t="6096" r="6096" b="654"/>
            <wp:docPr id="595"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6.4 – Tone de mărfuri transportate naval operate în portul Constanța</w:t>
      </w:r>
    </w:p>
    <w:p w:rsidR="00B4550A" w:rsidRPr="00E0488D" w:rsidRDefault="00B4550A" w:rsidP="00B4550A">
      <w:pPr>
        <w:spacing w:line="276" w:lineRule="auto"/>
        <w:rPr>
          <w:sz w:val="22"/>
          <w:szCs w:val="22"/>
          <w:lang w:val="ro-RO" w:eastAsia="en-GB"/>
        </w:rPr>
      </w:pPr>
    </w:p>
    <w:p w:rsidR="00B4550A" w:rsidRPr="00E0488D" w:rsidRDefault="00B4550A" w:rsidP="002B7E09">
      <w:pPr>
        <w:pStyle w:val="NumberedParas"/>
        <w:rPr>
          <w:lang w:eastAsia="en-GB"/>
        </w:rPr>
      </w:pPr>
      <w:r w:rsidRPr="00E0488D">
        <w:rPr>
          <w:lang w:eastAsia="en-GB"/>
        </w:rPr>
        <w:t xml:space="preserve">Figura 6.4 indică faptul că, în ciuda unei scăderi a numărului de tone operate în portul Constanța între anii 2011 și 2020, în perioada 2020 – 2030 numărul de tone operate în port va crește. </w:t>
      </w:r>
    </w:p>
    <w:p w:rsidR="00B4550A" w:rsidRPr="00E0488D" w:rsidRDefault="00B4550A" w:rsidP="00B4550A">
      <w:pPr>
        <w:spacing w:line="276" w:lineRule="auto"/>
        <w:rPr>
          <w:b/>
          <w:sz w:val="22"/>
          <w:szCs w:val="22"/>
          <w:u w:val="single"/>
          <w:lang w:val="ro-RO"/>
        </w:rPr>
      </w:pPr>
      <w:r w:rsidRPr="00E0488D">
        <w:rPr>
          <w:b/>
          <w:sz w:val="22"/>
          <w:szCs w:val="22"/>
          <w:u w:val="single"/>
          <w:lang w:val="ro-RO"/>
        </w:rPr>
        <w:t xml:space="preserve">Porturi pe Dunăre </w:t>
      </w:r>
    </w:p>
    <w:p w:rsidR="00B4550A" w:rsidRPr="00E0488D" w:rsidRDefault="00B4550A" w:rsidP="002B7E09">
      <w:pPr>
        <w:pStyle w:val="NumberedParas"/>
      </w:pPr>
      <w:r w:rsidRPr="00E0488D">
        <w:t>Figura 6.5 indică faptul că tendințele viitoare pentru porturile de pe Dunăre care sunt parte a Rețelei Economice Primare (a se vedea secțiunea 6.1.2 pentru mai multe informații cu privire la Rețeaua Economică Primară).</w:t>
      </w:r>
    </w:p>
    <w:p w:rsidR="00B4550A" w:rsidRPr="00E0488D" w:rsidRDefault="00B4550A" w:rsidP="00B4550A">
      <w:pPr>
        <w:spacing w:line="276" w:lineRule="auto"/>
        <w:rPr>
          <w:sz w:val="22"/>
          <w:szCs w:val="22"/>
          <w:highlight w:val="red"/>
          <w:lang w:val="ro-RO" w:eastAsia="en-GB"/>
        </w:rPr>
      </w:pPr>
      <w:r w:rsidRPr="00E0488D">
        <w:rPr>
          <w:noProof/>
          <w:sz w:val="22"/>
          <w:szCs w:val="22"/>
          <w:highlight w:val="red"/>
          <w:lang w:val="ro-RO" w:eastAsia="ro-RO"/>
        </w:rPr>
        <w:drawing>
          <wp:inline distT="0" distB="0" distL="0" distR="0">
            <wp:extent cx="4572762" cy="2802691"/>
            <wp:effectExtent l="12192" t="6096" r="6096" b="1088"/>
            <wp:docPr id="596"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6.5– Tone de mărfuri operate anual de porturile de pe Dunăre care sunt parte din Rețeaua Economică Primară </w:t>
      </w:r>
    </w:p>
    <w:p w:rsidR="00B4550A" w:rsidRPr="00E0488D" w:rsidRDefault="00B4550A" w:rsidP="00B4550A">
      <w:pPr>
        <w:spacing w:line="276" w:lineRule="auto"/>
        <w:rPr>
          <w:sz w:val="22"/>
          <w:szCs w:val="22"/>
          <w:lang w:val="ro-RO" w:eastAsia="en-GB"/>
        </w:rPr>
      </w:pPr>
    </w:p>
    <w:p w:rsidR="00B4550A" w:rsidRPr="00E0488D" w:rsidRDefault="00B4550A" w:rsidP="002B7E09">
      <w:pPr>
        <w:pStyle w:val="NumberedParas"/>
        <w:rPr>
          <w:lang w:eastAsia="en-GB"/>
        </w:rPr>
      </w:pPr>
      <w:r w:rsidRPr="00E0488D">
        <w:rPr>
          <w:lang w:eastAsia="en-GB"/>
        </w:rPr>
        <w:t>Figura 6.5 indică faptul că, în ciudat unei scăderi a numărului de tone operate în portul Constanța între anii 2011 și 2020, în perioada 2020 – 2030 numărul de tone operate în port va crește.</w:t>
      </w:r>
    </w:p>
    <w:p w:rsidR="00B4550A" w:rsidRPr="00E0488D" w:rsidRDefault="00B4550A" w:rsidP="00B4550A">
      <w:pPr>
        <w:spacing w:line="276" w:lineRule="auto"/>
        <w:rPr>
          <w:lang w:val="ro-RO"/>
        </w:rPr>
      </w:pPr>
    </w:p>
    <w:p w:rsidR="00B4550A" w:rsidRPr="00E0488D" w:rsidRDefault="00B4550A" w:rsidP="00B4550A">
      <w:pPr>
        <w:pStyle w:val="Hdg3"/>
      </w:pPr>
      <w:r w:rsidRPr="00E0488D">
        <w:t xml:space="preserve">Condițiile existente pentru porturile selectate și căile navigabile </w:t>
      </w:r>
    </w:p>
    <w:p w:rsidR="00B4550A" w:rsidRPr="00E0488D" w:rsidRDefault="00B4550A" w:rsidP="002B7E09">
      <w:pPr>
        <w:pStyle w:val="NumberedParas"/>
      </w:pPr>
      <w:r w:rsidRPr="00E0488D">
        <w:t xml:space="preserve">Porturile selectate sunt parte a Rețelei Economice Primare desemnate de AECOM. AECOM a definit Rețeaua Economică Primară ca un mecanism pentru zonele în care s-a considerat că ar trebui să fie concentrate investițiile. Această rețea a fost împărțită folosind un număr de criterii: </w:t>
      </w:r>
    </w:p>
    <w:p w:rsidR="00B4550A" w:rsidRPr="00E0488D" w:rsidRDefault="00B4550A" w:rsidP="00BC2B57">
      <w:pPr>
        <w:pStyle w:val="BulletLevel1"/>
      </w:pPr>
      <w:r w:rsidRPr="00E0488D">
        <w:t xml:space="preserve">Porturile incluse în prezent în rețeaua TEN-T </w:t>
      </w:r>
    </w:p>
    <w:p w:rsidR="00B4550A" w:rsidRPr="00E0488D" w:rsidRDefault="00B4550A" w:rsidP="00BC2B57">
      <w:pPr>
        <w:pStyle w:val="BulletLevel1"/>
      </w:pPr>
      <w:r w:rsidRPr="00E0488D">
        <w:t xml:space="preserve">Tonajul operat în prezent și volumele viitoare </w:t>
      </w:r>
    </w:p>
    <w:p w:rsidR="00B4550A" w:rsidRPr="00E0488D" w:rsidRDefault="00B4550A" w:rsidP="00BC2B57">
      <w:pPr>
        <w:pStyle w:val="BulletLevel1"/>
      </w:pPr>
      <w:r w:rsidRPr="00E0488D">
        <w:t xml:space="preserve">Legăturile cu restul României </w:t>
      </w:r>
    </w:p>
    <w:p w:rsidR="00B4550A" w:rsidRPr="00E0488D" w:rsidRDefault="00B4550A" w:rsidP="00BC2B57">
      <w:pPr>
        <w:pStyle w:val="BulletLevel1"/>
      </w:pPr>
      <w:r w:rsidRPr="00E0488D">
        <w:t>Legăturile cu principalele puncte de trecere a frontierei (pentru alte moduri)</w:t>
      </w:r>
    </w:p>
    <w:p w:rsidR="00B4550A" w:rsidRPr="00E0488D" w:rsidRDefault="00B4550A" w:rsidP="00BC2B57">
      <w:pPr>
        <w:pStyle w:val="BulletLevel1"/>
      </w:pPr>
      <w:r w:rsidRPr="00E0488D">
        <w:t xml:space="preserve">Coridoare importante din punct de vedere economic, definite ca acele care pot opera volume mari de mărfuri </w:t>
      </w:r>
    </w:p>
    <w:p w:rsidR="00B4550A" w:rsidRPr="00E0488D" w:rsidRDefault="00B4550A" w:rsidP="002B7E09">
      <w:pPr>
        <w:pStyle w:val="NumberedParas"/>
      </w:pPr>
      <w:r w:rsidRPr="00E0488D">
        <w:t>Porturile selectate formează o rețea coerentă care furnizează facilități de acostare și service pentru traficul pe acest fluviu. Porturile sunt incluse în Figura 6.6:</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sz w:val="22"/>
          <w:szCs w:val="22"/>
          <w:lang w:val="ro-RO" w:eastAsia="en-GB"/>
        </w:rPr>
      </w:pPr>
      <w:r w:rsidRPr="00E0488D">
        <w:rPr>
          <w:noProof/>
          <w:sz w:val="22"/>
          <w:szCs w:val="22"/>
          <w:lang w:val="ro-RO" w:eastAsia="ro-RO"/>
        </w:rPr>
        <w:drawing>
          <wp:inline distT="0" distB="0" distL="0" distR="0">
            <wp:extent cx="5276850" cy="3733800"/>
            <wp:effectExtent l="19050" t="0" r="0" b="0"/>
            <wp:docPr id="597" name="Picture 4" descr="C:\Users\turpinm\AppData\Local\Microsoft\Windows\Temporary Internet Files\Content.Outlook\RQJO0V1E\Ports_categories_primary_economic_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rpinm\AppData\Local\Microsoft\Windows\Temporary Internet Files\Content.Outlook\RQJO0V1E\Ports_categories_primary_economic_network.jpg"/>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5276850" cy="3733800"/>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rPr>
      </w:pPr>
      <w:r w:rsidRPr="00E0488D">
        <w:rPr>
          <w:b/>
          <w:sz w:val="22"/>
          <w:szCs w:val="22"/>
          <w:lang w:val="ro-RO"/>
        </w:rPr>
        <w:t xml:space="preserve">Figura 6.6: Rețeaua Economică Primară pentru Transportul Naval </w:t>
      </w:r>
    </w:p>
    <w:p w:rsidR="00B4550A" w:rsidRPr="00E0488D" w:rsidRDefault="00B4550A" w:rsidP="00B4550A">
      <w:pPr>
        <w:spacing w:line="276" w:lineRule="auto"/>
        <w:rPr>
          <w:sz w:val="22"/>
          <w:szCs w:val="22"/>
          <w:lang w:val="ro-RO"/>
        </w:rPr>
      </w:pPr>
    </w:p>
    <w:p w:rsidR="00B4550A" w:rsidRPr="00E0488D" w:rsidRDefault="00B4550A" w:rsidP="002B7E09">
      <w:pPr>
        <w:pStyle w:val="NumberedParas"/>
      </w:pPr>
      <w:r w:rsidRPr="00E0488D">
        <w:t xml:space="preserve">A se nota faptul că selectarea porturilor Rețelei Economice Primare nu înseamnă că porturile care nu au fost selectate trebuie neglijate. Multe dintre acestea sunt porturi tactice pentru un tip sau două tipuri de mărfuri și chiar și acelea care operează cantități mici de marfă trebuie să fie luate în considerare în viitor. </w:t>
      </w:r>
    </w:p>
    <w:p w:rsidR="00B4550A" w:rsidRPr="00E0488D" w:rsidRDefault="00B4550A" w:rsidP="00B4550A">
      <w:pPr>
        <w:rPr>
          <w:lang w:val="ro-RO"/>
        </w:rPr>
      </w:pPr>
    </w:p>
    <w:p w:rsidR="00B4550A" w:rsidRPr="00E0488D" w:rsidRDefault="00B4550A" w:rsidP="00B4550A">
      <w:pPr>
        <w:pStyle w:val="Hdg3"/>
      </w:pPr>
      <w:r w:rsidRPr="00E0488D">
        <w:t>Terminalele Tri-Modale</w:t>
      </w:r>
    </w:p>
    <w:p w:rsidR="00B4550A" w:rsidRPr="00E0488D" w:rsidRDefault="00B4550A" w:rsidP="002B7E09">
      <w:pPr>
        <w:pStyle w:val="NumberedParas"/>
        <w:rPr>
          <w:rStyle w:val="hps"/>
        </w:rPr>
      </w:pPr>
      <w:r w:rsidRPr="00E0488D">
        <w:t xml:space="preserve">În prezent se înregistrează un număr limitat de containere transportate pe căi navigabile. Există doar câteva porturi care operează acest tip de trafic în mod regulat. Gradul de containerizare a cunoscut o creștere continuă la nivel global iar în România, este estimat de asemenea să crească. Este important din punct de vedere al sustenabilității și din motive de protecția mediului ca orice creștere să fie alocată celor mai potrivite moduri de transport – rutier, feroviar și naval (barje și șlepuri), în funcție de gradul de adecvare și cerințele clientului. Pentru a facilita acest fapt, este important să existe o rețea de porturi fluviale amplasate strategic, care să acționeze ca terminale tri-modale. Aceste terminale tri-modale ar trebui să permită orice tip de transfer modal combinat între naval, rutier și feroviar. </w:t>
      </w:r>
    </w:p>
    <w:p w:rsidR="00B4550A" w:rsidRPr="00E0488D" w:rsidRDefault="00B4550A" w:rsidP="002B7E09">
      <w:pPr>
        <w:pStyle w:val="NumberedParas"/>
      </w:pPr>
      <w:r w:rsidRPr="00E0488D">
        <w:rPr>
          <w:rStyle w:val="hps"/>
          <w:rFonts w:cs="Arial"/>
          <w:color w:val="000000" w:themeColor="text1"/>
        </w:rPr>
        <w:t>Se recomandă ca</w:t>
      </w:r>
      <w:r w:rsidRPr="00E0488D">
        <w:t xml:space="preserve">, având </w:t>
      </w:r>
      <w:r w:rsidRPr="00E0488D">
        <w:rPr>
          <w:rStyle w:val="hps"/>
          <w:rFonts w:cs="Arial"/>
          <w:color w:val="000000" w:themeColor="text1"/>
        </w:rPr>
        <w:t>terminalele</w:t>
      </w:r>
      <w:r w:rsidRPr="00E0488D">
        <w:t xml:space="preserve"> </w:t>
      </w:r>
      <w:r w:rsidRPr="00E0488D">
        <w:rPr>
          <w:rStyle w:val="hps"/>
          <w:rFonts w:cs="Arial"/>
          <w:color w:val="000000" w:themeColor="text1"/>
        </w:rPr>
        <w:t>portuare de la</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este principalul</w:t>
      </w:r>
      <w:r w:rsidRPr="00E0488D">
        <w:t xml:space="preserve"> </w:t>
      </w:r>
      <w:r w:rsidRPr="00E0488D">
        <w:rPr>
          <w:rStyle w:val="hps"/>
          <w:rFonts w:cs="Arial"/>
          <w:color w:val="000000" w:themeColor="text1"/>
        </w:rPr>
        <w:t>generator</w:t>
      </w:r>
      <w:r w:rsidRPr="00E0488D">
        <w:t xml:space="preserve"> </w:t>
      </w:r>
      <w:r w:rsidRPr="00E0488D">
        <w:rPr>
          <w:rStyle w:val="hps"/>
          <w:rFonts w:cs="Arial"/>
          <w:color w:val="000000" w:themeColor="text1"/>
        </w:rPr>
        <w:t>/</w:t>
      </w:r>
      <w:r w:rsidRPr="00E0488D">
        <w:t xml:space="preserve"> </w:t>
      </w:r>
      <w:r w:rsidRPr="00E0488D">
        <w:rPr>
          <w:rStyle w:val="hps"/>
          <w:rFonts w:cs="Arial"/>
          <w:color w:val="000000" w:themeColor="text1"/>
        </w:rPr>
        <w:t>atractor</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maritime, să existe</w:t>
      </w:r>
      <w:r w:rsidRPr="00E0488D">
        <w:t xml:space="preserv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care să deservească</w:t>
      </w:r>
      <w:r w:rsidRPr="00E0488D">
        <w:t xml:space="preserve"> </w:t>
      </w:r>
      <w:r w:rsidRPr="00E0488D">
        <w:rPr>
          <w:rStyle w:val="hps"/>
          <w:rFonts w:cs="Arial"/>
          <w:color w:val="000000" w:themeColor="text1"/>
        </w:rPr>
        <w:t>zonele</w:t>
      </w:r>
      <w:r w:rsidRPr="00E0488D">
        <w:t xml:space="preserve"> </w:t>
      </w:r>
      <w:r w:rsidRPr="00E0488D">
        <w:rPr>
          <w:rStyle w:val="hps"/>
          <w:rFonts w:cs="Arial"/>
          <w:color w:val="000000" w:themeColor="text1"/>
        </w:rPr>
        <w:t>de est</w:t>
      </w:r>
      <w:r w:rsidRPr="00E0488D">
        <w:t xml:space="preserve">, </w:t>
      </w:r>
      <w:r w:rsidRPr="00E0488D">
        <w:rPr>
          <w:rStyle w:val="hps"/>
          <w:rFonts w:cs="Arial"/>
          <w:color w:val="000000" w:themeColor="text1"/>
        </w:rPr>
        <w:t>centru și de vest</w:t>
      </w:r>
      <w:r w:rsidRPr="00E0488D">
        <w:t xml:space="preserve"> </w:t>
      </w:r>
      <w:r w:rsidRPr="00E0488D">
        <w:rPr>
          <w:rStyle w:val="hps"/>
          <w:rFonts w:cs="Arial"/>
          <w:color w:val="000000" w:themeColor="text1"/>
        </w:rPr>
        <w:t>ale României</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oferă clienților</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punct de acces</w:t>
      </w:r>
      <w:r w:rsidRPr="00E0488D">
        <w:t xml:space="preserve"> </w:t>
      </w:r>
      <w:r w:rsidRPr="00E0488D">
        <w:rPr>
          <w:rStyle w:val="hps"/>
          <w:rFonts w:cs="Arial"/>
          <w:color w:val="000000" w:themeColor="text1"/>
        </w:rPr>
        <w:t>către hinterland</w:t>
      </w:r>
      <w:r w:rsidRPr="00E0488D">
        <w:t xml:space="preserve">. </w:t>
      </w:r>
    </w:p>
    <w:p w:rsidR="00B4550A" w:rsidRPr="00E0488D" w:rsidRDefault="00B4550A" w:rsidP="00B4550A">
      <w:pPr>
        <w:pStyle w:val="Hdg3"/>
      </w:pPr>
      <w:r w:rsidRPr="00E0488D">
        <w:t>Estul României</w:t>
      </w:r>
    </w:p>
    <w:p w:rsidR="00B4550A" w:rsidRPr="00E0488D" w:rsidRDefault="00B4550A" w:rsidP="002B7E09">
      <w:pPr>
        <w:pStyle w:val="NumberedParas"/>
      </w:pPr>
      <w:r w:rsidRPr="00E0488D">
        <w:rPr>
          <w:rStyle w:val="hps"/>
          <w:rFonts w:cs="Arial"/>
          <w:color w:val="000000" w:themeColor="text1"/>
        </w:rPr>
        <w:t>Se consideră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punctul</w:t>
      </w:r>
      <w:r w:rsidRPr="00E0488D">
        <w:t xml:space="preserve"> </w:t>
      </w:r>
      <w:r w:rsidRPr="00E0488D">
        <w:rPr>
          <w:rStyle w:val="hps"/>
          <w:rFonts w:cs="Arial"/>
          <w:color w:val="000000" w:themeColor="text1"/>
        </w:rPr>
        <w:t>cel mai probabil</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un terminal</w:t>
      </w:r>
      <w:r w:rsidRPr="00E0488D">
        <w:t xml:space="preserve"> </w:t>
      </w:r>
      <w:r w:rsidRPr="00E0488D">
        <w:rPr>
          <w:rStyle w:val="hps"/>
          <w:rFonts w:cs="Arial"/>
          <w:color w:val="000000" w:themeColor="text1"/>
        </w:rPr>
        <w:t>tri-</w:t>
      </w:r>
      <w:r w:rsidRPr="00E0488D">
        <w:t xml:space="preserve">modal </w:t>
      </w:r>
      <w:r w:rsidRPr="00E0488D">
        <w:rPr>
          <w:rStyle w:val="hps"/>
          <w:rFonts w:cs="Arial"/>
          <w:color w:val="000000" w:themeColor="text1"/>
        </w:rPr>
        <w:t>la capătul</w:t>
      </w:r>
      <w:r w:rsidRPr="00E0488D">
        <w:t xml:space="preserve"> </w:t>
      </w:r>
      <w:r w:rsidRPr="00E0488D">
        <w:rPr>
          <w:rStyle w:val="hps"/>
          <w:rFonts w:cs="Arial"/>
          <w:color w:val="000000" w:themeColor="text1"/>
        </w:rPr>
        <w:t>de est</w:t>
      </w:r>
      <w:r w:rsidRPr="00E0488D">
        <w:t xml:space="preserve"> </w:t>
      </w:r>
      <w:r w:rsidRPr="00E0488D">
        <w:rPr>
          <w:rStyle w:val="hps"/>
          <w:rFonts w:cs="Arial"/>
          <w:color w:val="000000" w:themeColor="text1"/>
        </w:rPr>
        <w:t>al</w:t>
      </w:r>
      <w:r w:rsidRPr="00E0488D">
        <w:t xml:space="preserve"> </w:t>
      </w:r>
      <w:r w:rsidRPr="00E0488D">
        <w:rPr>
          <w:rStyle w:val="hps"/>
          <w:rFonts w:cs="Arial"/>
          <w:color w:val="000000" w:themeColor="text1"/>
        </w:rPr>
        <w:t>Dunării</w:t>
      </w:r>
      <w:r w:rsidRPr="00E0488D">
        <w:t xml:space="preserve"> </w:t>
      </w:r>
      <w:r w:rsidRPr="00E0488D">
        <w:rPr>
          <w:rStyle w:val="hps"/>
          <w:rFonts w:cs="Arial"/>
          <w:color w:val="000000" w:themeColor="text1"/>
        </w:rPr>
        <w:t>se află în</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Galați</w:t>
      </w:r>
      <w:r w:rsidRPr="00E0488D">
        <w:t xml:space="preserve">. </w:t>
      </w:r>
      <w:r w:rsidRPr="00E0488D">
        <w:rPr>
          <w:rStyle w:val="hps"/>
          <w:rFonts w:cs="Arial"/>
          <w:color w:val="000000" w:themeColor="text1"/>
        </w:rPr>
        <w:t>Motivele sunt</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acesta</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cel mai mare port</w:t>
      </w:r>
      <w:r w:rsidRPr="00E0488D">
        <w:t xml:space="preserve"> </w:t>
      </w:r>
      <w:r w:rsidRPr="00E0488D">
        <w:rPr>
          <w:rStyle w:val="hps"/>
          <w:rFonts w:cs="Arial"/>
          <w:color w:val="000000" w:themeColor="text1"/>
        </w:rPr>
        <w:t>de pe</w:t>
      </w:r>
      <w:r w:rsidRPr="00E0488D">
        <w:t xml:space="preserve"> </w:t>
      </w:r>
      <w:r w:rsidRPr="00E0488D">
        <w:rPr>
          <w:rStyle w:val="hps"/>
          <w:rFonts w:cs="Arial"/>
          <w:color w:val="000000" w:themeColor="text1"/>
        </w:rPr>
        <w:t>fluviul Dunărea în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teren</w:t>
      </w:r>
      <w:r w:rsidRPr="00E0488D">
        <w:t xml:space="preserve"> </w:t>
      </w:r>
      <w:r w:rsidRPr="00E0488D">
        <w:rPr>
          <w:rStyle w:val="hps"/>
          <w:rFonts w:cs="Arial"/>
          <w:color w:val="000000" w:themeColor="text1"/>
        </w:rPr>
        <w:t>disponibil</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renovare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extindere</w:t>
      </w:r>
      <w:r w:rsidRPr="00E0488D">
        <w:t xml:space="preserve">, </w:t>
      </w:r>
      <w:r w:rsidRPr="00E0488D">
        <w:rPr>
          <w:rStyle w:val="hps"/>
          <w:rFonts w:cs="Arial"/>
          <w:color w:val="000000" w:themeColor="text1"/>
        </w:rPr>
        <w:t>are</w:t>
      </w:r>
      <w:r w:rsidRPr="00E0488D">
        <w:t xml:space="preserve"> o populație de </w:t>
      </w:r>
      <w:r w:rsidRPr="00E0488D">
        <w:rPr>
          <w:rStyle w:val="hps"/>
          <w:rFonts w:cs="Arial"/>
          <w:color w:val="000000" w:themeColor="text1"/>
        </w:rPr>
        <w:t>2 milioane locuitori</w:t>
      </w:r>
      <w:r w:rsidRPr="00E0488D">
        <w:t xml:space="preserve"> </w:t>
      </w:r>
      <w:r w:rsidRPr="00E0488D">
        <w:rPr>
          <w:rStyle w:val="hps"/>
          <w:rFonts w:cs="Arial"/>
          <w:color w:val="000000" w:themeColor="text1"/>
        </w:rPr>
        <w:t>pe</w:t>
      </w:r>
      <w:r w:rsidRPr="00E0488D">
        <w:t xml:space="preserve"> o rază de </w:t>
      </w:r>
      <w:r w:rsidRPr="00E0488D">
        <w:rPr>
          <w:rStyle w:val="hps"/>
          <w:rFonts w:cs="Arial"/>
          <w:color w:val="000000" w:themeColor="text1"/>
        </w:rPr>
        <w:t>100km</w:t>
      </w:r>
      <w:r w:rsidRPr="00E0488D">
        <w:t xml:space="preserve"> </w:t>
      </w:r>
      <w:r w:rsidRPr="00E0488D">
        <w:rPr>
          <w:rStyle w:val="hps"/>
          <w:rFonts w:cs="Arial"/>
          <w:color w:val="000000" w:themeColor="text1"/>
        </w:rPr>
        <w:t>si este</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cel mai bine</w:t>
      </w:r>
      <w:r w:rsidRPr="00E0488D">
        <w:t xml:space="preserve"> </w:t>
      </w:r>
      <w:r w:rsidRPr="00E0488D">
        <w:rPr>
          <w:rStyle w:val="hps"/>
          <w:rFonts w:cs="Arial"/>
          <w:color w:val="000000" w:themeColor="text1"/>
        </w:rPr>
        <w:t>situat</w:t>
      </w:r>
      <w:r w:rsidRPr="00E0488D">
        <w:t xml:space="preserve"> </w:t>
      </w:r>
      <w:r w:rsidRPr="00E0488D">
        <w:rPr>
          <w:rStyle w:val="hps"/>
          <w:rFonts w:cs="Arial"/>
          <w:color w:val="000000" w:themeColor="text1"/>
        </w:rPr>
        <w:t>pentru a deservi</w:t>
      </w:r>
      <w:r w:rsidRPr="00E0488D">
        <w:t xml:space="preserve"> </w:t>
      </w:r>
      <w:r w:rsidRPr="00E0488D">
        <w:rPr>
          <w:rStyle w:val="hps"/>
          <w:rFonts w:cs="Arial"/>
          <w:color w:val="000000" w:themeColor="text1"/>
        </w:rPr>
        <w:t>nord-estul României</w:t>
      </w:r>
      <w:r w:rsidRPr="00E0488D">
        <w:t xml:space="preserve">, care </w:t>
      </w:r>
      <w:r w:rsidRPr="00E0488D">
        <w:rPr>
          <w:rStyle w:val="hps"/>
          <w:rFonts w:cs="Arial"/>
          <w:color w:val="000000" w:themeColor="text1"/>
        </w:rPr>
        <w:t>este cea mai puțin</w:t>
      </w:r>
      <w:r w:rsidRPr="00E0488D">
        <w:t xml:space="preserve"> </w:t>
      </w:r>
      <w:r w:rsidRPr="00E0488D">
        <w:rPr>
          <w:rStyle w:val="hps"/>
          <w:rFonts w:cs="Arial"/>
          <w:color w:val="000000" w:themeColor="text1"/>
        </w:rPr>
        <w:t>prosperă</w:t>
      </w:r>
      <w:r w:rsidRPr="00E0488D">
        <w:t xml:space="preserve"> </w:t>
      </w:r>
      <w:r w:rsidRPr="00E0488D">
        <w:rPr>
          <w:rStyle w:val="hps"/>
          <w:rFonts w:cs="Arial"/>
          <w:color w:val="000000" w:themeColor="text1"/>
        </w:rPr>
        <w:t>parte</w:t>
      </w:r>
      <w:r w:rsidRPr="00E0488D">
        <w:t xml:space="preserve"> </w:t>
      </w:r>
      <w:r w:rsidRPr="00E0488D">
        <w:rPr>
          <w:rStyle w:val="hps"/>
          <w:rFonts w:cs="Arial"/>
          <w:color w:val="000000" w:themeColor="text1"/>
        </w:rPr>
        <w:t>a țării</w:t>
      </w:r>
      <w:r w:rsidRPr="00E0488D">
        <w:t xml:space="preserve">. </w:t>
      </w:r>
      <w:r w:rsidR="001205D0" w:rsidRPr="00E0488D">
        <w:rPr>
          <w:rStyle w:val="hps"/>
          <w:rFonts w:cs="Arial"/>
          <w:color w:val="000000" w:themeColor="text1"/>
        </w:rPr>
        <w:t>Galați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singurul port</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care dispune </w:t>
      </w:r>
      <w:r w:rsidRPr="00E0488D">
        <w:rPr>
          <w:rStyle w:val="hps"/>
          <w:rFonts w:cs="Arial"/>
          <w:color w:val="000000" w:themeColor="text1"/>
        </w:rPr>
        <w:t>atât</w:t>
      </w:r>
      <w:r w:rsidRPr="00E0488D">
        <w:t xml:space="preserve"> de </w:t>
      </w:r>
      <w:r w:rsidRPr="00E0488D">
        <w:rPr>
          <w:rStyle w:val="hps"/>
          <w:rFonts w:cs="Arial"/>
          <w:color w:val="000000" w:themeColor="text1"/>
        </w:rPr>
        <w:t>cale</w:t>
      </w:r>
      <w:r w:rsidRPr="00E0488D">
        <w:t xml:space="preserve"> ferată cu ecartament </w:t>
      </w:r>
      <w:r w:rsidRPr="00E0488D">
        <w:rPr>
          <w:rStyle w:val="hps"/>
          <w:rFonts w:cs="Arial"/>
          <w:color w:val="000000" w:themeColor="text1"/>
        </w:rPr>
        <w:t>rusesc</w:t>
      </w:r>
      <w:r w:rsidRPr="00E0488D">
        <w:t xml:space="preserve"> cât </w:t>
      </w:r>
      <w:r w:rsidRPr="00E0488D">
        <w:rPr>
          <w:rStyle w:val="hps"/>
          <w:rFonts w:cs="Arial"/>
          <w:color w:val="000000" w:themeColor="text1"/>
        </w:rPr>
        <w:t>și</w:t>
      </w:r>
      <w:r w:rsidRPr="00E0488D">
        <w:t xml:space="preserve"> </w:t>
      </w:r>
      <w:r w:rsidRPr="00E0488D">
        <w:rPr>
          <w:rStyle w:val="hps"/>
          <w:rFonts w:cs="Arial"/>
          <w:color w:val="000000" w:themeColor="text1"/>
        </w:rPr>
        <w:t>european</w:t>
      </w:r>
      <w:r w:rsidRPr="00E0488D">
        <w:t xml:space="preserve"> </w:t>
      </w:r>
      <w:r w:rsidRPr="00E0488D">
        <w:rPr>
          <w:rStyle w:val="hps"/>
          <w:rFonts w:cs="Arial"/>
          <w:color w:val="000000" w:themeColor="text1"/>
        </w:rPr>
        <w:t>pentru liniile interne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bine</w:t>
      </w:r>
      <w:r w:rsidRPr="00E0488D">
        <w:t xml:space="preserve"> </w:t>
      </w:r>
      <w:r w:rsidRPr="00E0488D">
        <w:rPr>
          <w:rStyle w:val="hps"/>
          <w:rFonts w:cs="Arial"/>
          <w:color w:val="000000" w:themeColor="text1"/>
        </w:rPr>
        <w:t>conectat</w:t>
      </w:r>
      <w:r w:rsidRPr="00E0488D">
        <w:t xml:space="preserve"> </w:t>
      </w:r>
      <w:r w:rsidRPr="00E0488D">
        <w:rPr>
          <w:rStyle w:val="hps"/>
          <w:rFonts w:cs="Arial"/>
          <w:color w:val="000000" w:themeColor="text1"/>
        </w:rPr>
        <w:t>pentru a deservi</w:t>
      </w:r>
      <w:r w:rsidRPr="00E0488D">
        <w:t xml:space="preserve"> </w:t>
      </w:r>
      <w:r w:rsidRPr="00E0488D">
        <w:rPr>
          <w:rStyle w:val="hps"/>
          <w:rFonts w:cs="Arial"/>
          <w:color w:val="000000" w:themeColor="text1"/>
        </w:rPr>
        <w:t>Republica Moldova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Ucraina</w:t>
      </w:r>
      <w:r w:rsidRPr="00E0488D">
        <w:t xml:space="preserve">, având </w:t>
      </w:r>
      <w:r w:rsidRPr="00E0488D">
        <w:rPr>
          <w:rStyle w:val="hps"/>
          <w:rFonts w:cs="Arial"/>
          <w:color w:val="000000" w:themeColor="text1"/>
        </w:rPr>
        <w:t>o</w:t>
      </w:r>
      <w:r w:rsidRPr="00E0488D">
        <w:t xml:space="preserve"> </w:t>
      </w:r>
      <w:r w:rsidRPr="00E0488D">
        <w:rPr>
          <w:rStyle w:val="hps"/>
          <w:rFonts w:cs="Arial"/>
          <w:color w:val="000000" w:themeColor="text1"/>
        </w:rPr>
        <w:t>zonă</w:t>
      </w:r>
      <w:r w:rsidRPr="00E0488D">
        <w:t xml:space="preserve"> </w:t>
      </w:r>
      <w:r w:rsidRPr="00E0488D">
        <w:rPr>
          <w:rStyle w:val="hps"/>
          <w:rFonts w:cs="Arial"/>
          <w:color w:val="000000" w:themeColor="text1"/>
        </w:rPr>
        <w:t>liberă comercială</w:t>
      </w:r>
      <w:r w:rsidRPr="00E0488D">
        <w:t xml:space="preserve">, </w:t>
      </w:r>
      <w:r w:rsidRPr="00E0488D">
        <w:rPr>
          <w:rStyle w:val="hps"/>
          <w:rFonts w:cs="Arial"/>
          <w:color w:val="000000" w:themeColor="text1"/>
        </w:rPr>
        <w:t>astfel, un</w:t>
      </w:r>
      <w:r w:rsidRPr="00E0488D">
        <w:t xml:space="preserve"> </w:t>
      </w:r>
      <w:r w:rsidRPr="00E0488D">
        <w:rPr>
          <w:rStyle w:val="hps"/>
          <w:rFonts w:cs="Arial"/>
          <w:color w:val="000000" w:themeColor="text1"/>
        </w:rPr>
        <w:t>terminal de</w:t>
      </w:r>
      <w:r w:rsidRPr="00E0488D">
        <w:t xml:space="preserve"> </w:t>
      </w:r>
      <w:r w:rsidRPr="00E0488D">
        <w:rPr>
          <w:rStyle w:val="hps"/>
          <w:rFonts w:cs="Arial"/>
          <w:color w:val="000000" w:themeColor="text1"/>
        </w:rPr>
        <w:t>aici</w:t>
      </w:r>
      <w:r w:rsidRPr="00E0488D">
        <w:t xml:space="preserve"> </w:t>
      </w:r>
      <w:r w:rsidRPr="00E0488D">
        <w:rPr>
          <w:rStyle w:val="hps"/>
          <w:rFonts w:cs="Arial"/>
          <w:color w:val="000000" w:themeColor="text1"/>
        </w:rPr>
        <w:t>ar putea atrage</w:t>
      </w:r>
      <w:r w:rsidRPr="00E0488D">
        <w:t xml:space="preserve"> tonaje semnificative de mărfuri. </w:t>
      </w:r>
      <w:r w:rsidRPr="00E0488D">
        <w:rPr>
          <w:rStyle w:val="hps"/>
          <w:rFonts w:cs="Arial"/>
          <w:color w:val="000000" w:themeColor="text1"/>
        </w:rPr>
        <w:t>În</w:t>
      </w:r>
      <w:r w:rsidRPr="00E0488D">
        <w:t xml:space="preserve"> </w:t>
      </w:r>
      <w:r w:rsidRPr="00E0488D">
        <w:rPr>
          <w:rStyle w:val="hps"/>
          <w:rFonts w:cs="Arial"/>
          <w:color w:val="000000" w:themeColor="text1"/>
        </w:rPr>
        <w:t>plus</w:t>
      </w:r>
      <w:r w:rsidRPr="00E0488D">
        <w:t xml:space="preserve">, </w:t>
      </w:r>
      <w:r w:rsidRPr="00E0488D">
        <w:rPr>
          <w:rStyle w:val="hps"/>
          <w:rFonts w:cs="Arial"/>
          <w:color w:val="000000" w:themeColor="text1"/>
        </w:rPr>
        <w:t>ca urmare a reducerii</w:t>
      </w:r>
      <w:r w:rsidRPr="00E0488D">
        <w:t xml:space="preserve"> </w:t>
      </w:r>
      <w:r w:rsidRPr="00E0488D">
        <w:rPr>
          <w:rStyle w:val="hps"/>
          <w:rFonts w:cs="Arial"/>
          <w:color w:val="000000" w:themeColor="text1"/>
        </w:rPr>
        <w:t>volumului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mărfuri</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în mod tradițional</w:t>
      </w:r>
      <w:r w:rsidRPr="00E0488D">
        <w:t xml:space="preserve"> </w:t>
      </w:r>
      <w:r w:rsidRPr="00E0488D">
        <w:rPr>
          <w:rStyle w:val="hps"/>
          <w:rFonts w:cs="Arial"/>
          <w:color w:val="000000" w:themeColor="text1"/>
        </w:rPr>
        <w:t>în port</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are acum nevoie</w:t>
      </w:r>
      <w:r w:rsidRPr="00E0488D">
        <w:t xml:space="preserve">  </w:t>
      </w:r>
      <w:r w:rsidRPr="00E0488D">
        <w:rPr>
          <w:rStyle w:val="hps"/>
          <w:rFonts w:cs="Arial"/>
          <w:color w:val="000000" w:themeColor="text1"/>
        </w:rPr>
        <w:t>de restructurare</w:t>
      </w:r>
      <w:r w:rsidRPr="00E0488D">
        <w:t xml:space="preserve"> </w:t>
      </w:r>
      <w:r w:rsidRPr="00E0488D">
        <w:rPr>
          <w:rStyle w:val="hps"/>
          <w:rFonts w:cs="Arial"/>
          <w:color w:val="000000" w:themeColor="text1"/>
        </w:rPr>
        <w:t>pentru a</w:t>
      </w:r>
      <w:r w:rsidRPr="00E0488D">
        <w:t xml:space="preserve"> </w:t>
      </w:r>
      <w:r w:rsidRPr="00E0488D">
        <w:rPr>
          <w:rStyle w:val="hps"/>
          <w:rFonts w:cs="Arial"/>
          <w:color w:val="000000" w:themeColor="text1"/>
        </w:rPr>
        <w:t>gestiona fluxurile</w:t>
      </w:r>
      <w:r w:rsidRPr="00E0488D">
        <w:t xml:space="preserve"> </w:t>
      </w:r>
      <w:r w:rsidRPr="00E0488D">
        <w:rPr>
          <w:rStyle w:val="hps"/>
          <w:rFonts w:cs="Arial"/>
          <w:color w:val="000000" w:themeColor="text1"/>
        </w:rPr>
        <w:t>emergente</w:t>
      </w:r>
      <w:r w:rsidRPr="00E0488D">
        <w:t>.</w:t>
      </w:r>
    </w:p>
    <w:p w:rsidR="00B4550A" w:rsidRPr="00E0488D" w:rsidRDefault="00B4550A" w:rsidP="002B7E09">
      <w:pPr>
        <w:pStyle w:val="NumberedParas"/>
      </w:pPr>
      <w:r w:rsidRPr="00E0488D">
        <w:t xml:space="preserve">AECOM recomandă construirea terminalul tri-modal estic la </w:t>
      </w:r>
      <w:r w:rsidR="001205D0" w:rsidRPr="00E0488D">
        <w:t>Galați</w:t>
      </w:r>
      <w:r w:rsidRPr="00E0488D">
        <w:t>.</w:t>
      </w:r>
    </w:p>
    <w:p w:rsidR="00B4550A" w:rsidRPr="00E0488D" w:rsidRDefault="00B4550A" w:rsidP="00B4550A">
      <w:pPr>
        <w:pStyle w:val="Hdg3"/>
      </w:pPr>
      <w:r w:rsidRPr="00E0488D">
        <w:t>Centrul-și Sudul României</w:t>
      </w:r>
    </w:p>
    <w:p w:rsidR="00B4550A" w:rsidRPr="00E0488D" w:rsidRDefault="00B4550A" w:rsidP="002B7E09">
      <w:pPr>
        <w:pStyle w:val="NumberedParas"/>
      </w:pPr>
      <w:r w:rsidRPr="00E0488D">
        <w:rPr>
          <w:rStyle w:val="hps"/>
          <w:rFonts w:cs="Arial"/>
          <w:color w:val="000000" w:themeColor="text1"/>
        </w:rPr>
        <w:t>Există două</w:t>
      </w:r>
      <w:r w:rsidRPr="00E0488D">
        <w:t xml:space="preserve"> </w:t>
      </w:r>
      <w:r w:rsidRPr="00E0488D">
        <w:rPr>
          <w:rStyle w:val="hps"/>
          <w:rFonts w:cs="Arial"/>
          <w:color w:val="000000" w:themeColor="text1"/>
        </w:rPr>
        <w:t>porturi</w:t>
      </w:r>
      <w:r w:rsidRPr="00E0488D">
        <w:t xml:space="preserve"> </w:t>
      </w:r>
      <w:r w:rsidRPr="00E0488D">
        <w:rPr>
          <w:rStyle w:val="hps"/>
          <w:rFonts w:cs="Arial"/>
          <w:color w:val="000000" w:themeColor="text1"/>
        </w:rPr>
        <w:t>bine</w:t>
      </w:r>
      <w:r w:rsidRPr="00E0488D">
        <w:t xml:space="preserve"> </w:t>
      </w:r>
      <w:r w:rsidRPr="00E0488D">
        <w:rPr>
          <w:rStyle w:val="hps"/>
          <w:rFonts w:cs="Arial"/>
          <w:color w:val="000000" w:themeColor="text1"/>
        </w:rPr>
        <w:t>situate</w:t>
      </w:r>
      <w:r w:rsidRPr="00E0488D">
        <w:t xml:space="preserve"> </w:t>
      </w:r>
      <w:r w:rsidRPr="00E0488D">
        <w:rPr>
          <w:rStyle w:val="hps"/>
          <w:rFonts w:cs="Arial"/>
          <w:color w:val="000000" w:themeColor="text1"/>
        </w:rPr>
        <w:t>pentru a deservi</w:t>
      </w:r>
      <w:r w:rsidRPr="00E0488D">
        <w:t xml:space="preserve"> </w:t>
      </w:r>
      <w:r w:rsidRPr="00E0488D">
        <w:rPr>
          <w:rStyle w:val="hps"/>
          <w:rFonts w:cs="Arial"/>
          <w:color w:val="000000" w:themeColor="text1"/>
        </w:rPr>
        <w:t>secțiunea central-sudică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Dunării</w:t>
      </w:r>
      <w:r w:rsidRPr="00E0488D">
        <w:t xml:space="preserve">; </w:t>
      </w:r>
      <w:r w:rsidRPr="00E0488D">
        <w:rPr>
          <w:rStyle w:val="hps"/>
          <w:rFonts w:cs="Arial"/>
          <w:color w:val="000000" w:themeColor="text1"/>
        </w:rPr>
        <w:t>Giurgiu</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Oltenița</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Giurgiu</w:t>
      </w:r>
      <w:r w:rsidRPr="00E0488D">
        <w:t xml:space="preserve"> </w:t>
      </w:r>
      <w:r w:rsidRPr="00E0488D">
        <w:rPr>
          <w:rStyle w:val="hps"/>
          <w:rFonts w:cs="Arial"/>
          <w:color w:val="000000" w:themeColor="text1"/>
        </w:rPr>
        <w:t>este</w:t>
      </w:r>
      <w:r w:rsidRPr="00E0488D">
        <w:t xml:space="preserve"> situat </w:t>
      </w:r>
      <w:r w:rsidRPr="00E0488D">
        <w:rPr>
          <w:rStyle w:val="hps"/>
          <w:rFonts w:cs="Arial"/>
          <w:color w:val="000000" w:themeColor="text1"/>
        </w:rPr>
        <w:t>pe</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 din rețeaua TEN-</w:t>
      </w:r>
      <w:r w:rsidRPr="00E0488D">
        <w:t>T</w:t>
      </w:r>
      <w:r w:rsidRPr="00E0488D">
        <w:rPr>
          <w:rStyle w:val="hps"/>
          <w:rFonts w:cs="Arial"/>
          <w:color w:val="000000" w:themeColor="text1"/>
        </w:rPr>
        <w:t>, care</w:t>
      </w:r>
      <w:r w:rsidRPr="00E0488D">
        <w:t xml:space="preserve"> </w:t>
      </w:r>
      <w:r w:rsidRPr="00E0488D">
        <w:rPr>
          <w:rStyle w:val="hps"/>
          <w:rFonts w:cs="Arial"/>
          <w:color w:val="000000" w:themeColor="text1"/>
        </w:rPr>
        <w:t>pornește din Țările Baltice</w:t>
      </w:r>
      <w:r w:rsidRPr="00E0488D">
        <w:t xml:space="preserve"> </w:t>
      </w:r>
      <w:r w:rsidRPr="00E0488D">
        <w:rPr>
          <w:rStyle w:val="hps"/>
          <w:rFonts w:cs="Arial"/>
          <w:color w:val="000000" w:themeColor="text1"/>
        </w:rPr>
        <w:t>spre</w:t>
      </w:r>
      <w:r w:rsidRPr="00E0488D">
        <w:t xml:space="preserve"> </w:t>
      </w:r>
      <w:r w:rsidRPr="00E0488D">
        <w:rPr>
          <w:rStyle w:val="hps"/>
          <w:rFonts w:cs="Arial"/>
          <w:color w:val="000000" w:themeColor="text1"/>
        </w:rPr>
        <w:t>Grecia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Turcia</w:t>
      </w:r>
      <w:r w:rsidRPr="00E0488D">
        <w:t xml:space="preserve">. </w:t>
      </w:r>
      <w:r w:rsidRPr="00E0488D">
        <w:rPr>
          <w:rStyle w:val="hps"/>
          <w:rFonts w:cs="Arial"/>
          <w:color w:val="000000" w:themeColor="text1"/>
        </w:rPr>
        <w:t>Acesta</w:t>
      </w:r>
      <w:r w:rsidRPr="00E0488D">
        <w:t xml:space="preserve"> </w:t>
      </w:r>
      <w:r w:rsidRPr="00E0488D">
        <w:rPr>
          <w:rStyle w:val="hps"/>
          <w:rFonts w:cs="Arial"/>
          <w:color w:val="000000" w:themeColor="text1"/>
        </w:rPr>
        <w:t>se află lângă punctul de trecere al frontierei spre</w:t>
      </w:r>
      <w:r w:rsidRPr="00E0488D">
        <w:t xml:space="preserve"> </w:t>
      </w:r>
      <w:r w:rsidRPr="00E0488D">
        <w:rPr>
          <w:rStyle w:val="hps"/>
          <w:rFonts w:cs="Arial"/>
          <w:color w:val="000000" w:themeColor="text1"/>
        </w:rPr>
        <w:t>Ruse</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în curs de modernizare diverse</w:t>
      </w:r>
      <w:r w:rsidRPr="00E0488D">
        <w:t xml:space="preserve"> </w:t>
      </w:r>
      <w:r w:rsidRPr="00E0488D">
        <w:rPr>
          <w:rStyle w:val="hps"/>
          <w:rFonts w:cs="Arial"/>
          <w:color w:val="000000" w:themeColor="text1"/>
        </w:rPr>
        <w:t>rute 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care leagă</w:t>
      </w:r>
      <w:r w:rsidRPr="00E0488D">
        <w:t xml:space="preserve"> orașul </w:t>
      </w:r>
      <w:r w:rsidRPr="00E0488D">
        <w:rPr>
          <w:rStyle w:val="hps"/>
          <w:rFonts w:cs="Arial"/>
          <w:color w:val="000000" w:themeColor="text1"/>
        </w:rPr>
        <w:t>Ruse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porturile</w:t>
      </w:r>
      <w:r w:rsidRPr="00E0488D">
        <w:t xml:space="preserve"> </w:t>
      </w:r>
      <w:r w:rsidRPr="00E0488D">
        <w:rPr>
          <w:rStyle w:val="hps"/>
          <w:rFonts w:cs="Arial"/>
          <w:color w:val="000000" w:themeColor="text1"/>
        </w:rPr>
        <w:t>lor</w:t>
      </w:r>
      <w:r w:rsidRPr="00E0488D">
        <w:t xml:space="preserve"> </w:t>
      </w:r>
      <w:r w:rsidRPr="00E0488D">
        <w:rPr>
          <w:rStyle w:val="hps"/>
          <w:rFonts w:cs="Arial"/>
          <w:color w:val="000000" w:themeColor="text1"/>
        </w:rPr>
        <w:t>de coastă și</w:t>
      </w:r>
      <w:r w:rsidRPr="00E0488D">
        <w:t xml:space="preserve"> cu </w:t>
      </w:r>
      <w:r w:rsidRPr="00E0488D">
        <w:rPr>
          <w:rStyle w:val="hps"/>
          <w:rFonts w:cs="Arial"/>
          <w:color w:val="000000" w:themeColor="text1"/>
        </w:rPr>
        <w:t>Sofia</w:t>
      </w:r>
      <w:r w:rsidRPr="00E0488D">
        <w:t xml:space="preserve">. În Portul </w:t>
      </w:r>
      <w:r w:rsidRPr="00E0488D">
        <w:rPr>
          <w:rStyle w:val="hps"/>
          <w:rFonts w:cs="Arial"/>
          <w:color w:val="000000" w:themeColor="text1"/>
        </w:rPr>
        <w:t>Giurgiu</w:t>
      </w:r>
      <w:r w:rsidRPr="00E0488D">
        <w:t xml:space="preserve"> se </w:t>
      </w:r>
      <w:r w:rsidRPr="00E0488D">
        <w:rPr>
          <w:rStyle w:val="hps"/>
          <w:rFonts w:cs="Arial"/>
          <w:color w:val="000000" w:themeColor="text1"/>
        </w:rPr>
        <w:t>manevrează</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unele</w:t>
      </w:r>
      <w:r w:rsidRPr="00E0488D">
        <w:t xml:space="preserve"> </w:t>
      </w:r>
      <w:r w:rsidRPr="00E0488D">
        <w:rPr>
          <w:rStyle w:val="hps"/>
          <w:rFonts w:cs="Arial"/>
          <w:color w:val="000000" w:themeColor="text1"/>
        </w:rPr>
        <w:t>containere</w:t>
      </w:r>
      <w:r w:rsidRPr="00E0488D">
        <w:t xml:space="preserve">, dar acesta </w:t>
      </w:r>
      <w:r w:rsidRPr="00E0488D">
        <w:rPr>
          <w:rStyle w:val="hps"/>
          <w:rFonts w:cs="Arial"/>
          <w:color w:val="000000" w:themeColor="text1"/>
        </w:rPr>
        <w:t>nu</w:t>
      </w:r>
      <w:r w:rsidRPr="00E0488D">
        <w:t xml:space="preserve"> </w:t>
      </w:r>
      <w:r w:rsidRPr="00E0488D">
        <w:rPr>
          <w:rStyle w:val="hps"/>
          <w:rFonts w:cs="Arial"/>
          <w:color w:val="000000" w:themeColor="text1"/>
        </w:rPr>
        <w:t>dispune de</w:t>
      </w:r>
      <w:r w:rsidRPr="00E0488D">
        <w:t xml:space="preserve"> </w:t>
      </w:r>
      <w:r w:rsidRPr="00E0488D">
        <w:rPr>
          <w:rStyle w:val="hps"/>
          <w:rFonts w:cs="Arial"/>
          <w:color w:val="000000" w:themeColor="text1"/>
        </w:rPr>
        <w:t>facilități</w:t>
      </w:r>
      <w:r w:rsidRPr="00E0488D">
        <w:t xml:space="preserve"> </w:t>
      </w:r>
      <w:r w:rsidRPr="00E0488D">
        <w:rPr>
          <w:rStyle w:val="hps"/>
          <w:rFonts w:cs="Arial"/>
          <w:color w:val="000000" w:themeColor="text1"/>
        </w:rPr>
        <w:t>moderne</w:t>
      </w:r>
      <w:r w:rsidRPr="00E0488D">
        <w:t xml:space="preserve">, special construite </w:t>
      </w:r>
      <w:r w:rsidRPr="00E0488D">
        <w:rPr>
          <w:rStyle w:val="hps"/>
          <w:rFonts w:cs="Arial"/>
          <w:color w:val="000000" w:themeColor="text1"/>
        </w:rPr>
        <w:t>pentru</w:t>
      </w:r>
      <w:r w:rsidRPr="00E0488D">
        <w:t xml:space="preserve"> </w:t>
      </w:r>
      <w:r w:rsidRPr="00E0488D">
        <w:rPr>
          <w:rStyle w:val="hps"/>
          <w:rFonts w:cs="Arial"/>
          <w:color w:val="000000" w:themeColor="text1"/>
        </w:rPr>
        <w:t>acest scop</w:t>
      </w:r>
      <w:r w:rsidRPr="00E0488D">
        <w:t xml:space="preserve">, </w:t>
      </w:r>
      <w:r w:rsidRPr="00E0488D">
        <w:rPr>
          <w:rStyle w:val="hps"/>
          <w:rFonts w:cs="Arial"/>
          <w:color w:val="000000" w:themeColor="text1"/>
        </w:rPr>
        <w:t>prin urmare,</w:t>
      </w:r>
      <w:r w:rsidRPr="00E0488D">
        <w:t xml:space="preserve"> se constituie un potențial proiect. Orașul </w:t>
      </w:r>
      <w:r w:rsidRPr="00E0488D">
        <w:rPr>
          <w:rStyle w:val="hps"/>
          <w:rFonts w:cs="Arial"/>
          <w:color w:val="000000" w:themeColor="text1"/>
        </w:rPr>
        <w:t>Giurgiu</w:t>
      </w:r>
      <w:r w:rsidRPr="00E0488D">
        <w:t xml:space="preserve"> </w:t>
      </w:r>
      <w:r w:rsidRPr="00E0488D">
        <w:rPr>
          <w:rStyle w:val="hps"/>
          <w:rFonts w:cs="Arial"/>
          <w:color w:val="000000" w:themeColor="text1"/>
        </w:rPr>
        <w:t>se află la</w:t>
      </w:r>
      <w:r w:rsidRPr="00E0488D">
        <w:t xml:space="preserve"> </w:t>
      </w:r>
      <w:r w:rsidRPr="00E0488D">
        <w:rPr>
          <w:rStyle w:val="hps"/>
          <w:rFonts w:cs="Arial"/>
          <w:color w:val="000000" w:themeColor="text1"/>
        </w:rPr>
        <w:t>o oră de mers cu</w:t>
      </w:r>
      <w:r w:rsidRPr="00E0488D">
        <w:t xml:space="preserve"> </w:t>
      </w:r>
      <w:r w:rsidRPr="00E0488D">
        <w:rPr>
          <w:rStyle w:val="hps"/>
          <w:rFonts w:cs="Arial"/>
          <w:color w:val="000000" w:themeColor="text1"/>
        </w:rPr>
        <w:t>camionul de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DN5</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are o populație de peste</w:t>
      </w:r>
      <w:r w:rsidRPr="00E0488D">
        <w:t xml:space="preserve"> </w:t>
      </w:r>
      <w:r w:rsidRPr="00E0488D">
        <w:rPr>
          <w:rStyle w:val="hps"/>
          <w:rFonts w:cs="Arial"/>
          <w:color w:val="000000" w:themeColor="text1"/>
        </w:rPr>
        <w:t xml:space="preserve">3 </w:t>
      </w:r>
      <w:r w:rsidR="001205D0" w:rsidRPr="00E0488D">
        <w:rPr>
          <w:rStyle w:val="hps"/>
          <w:rFonts w:cs="Arial"/>
          <w:color w:val="000000" w:themeColor="text1"/>
        </w:rPr>
        <w:t>milioane</w:t>
      </w:r>
      <w:r w:rsidRPr="00E0488D">
        <w:rPr>
          <w:rStyle w:val="hps"/>
          <w:rFonts w:cs="Arial"/>
          <w:color w:val="000000" w:themeColor="text1"/>
        </w:rPr>
        <w:t xml:space="preserve"> locuitori pe o rază de</w:t>
      </w:r>
      <w:r w:rsidRPr="00E0488D">
        <w:t xml:space="preserve"> </w:t>
      </w:r>
      <w:r w:rsidRPr="00E0488D">
        <w:rPr>
          <w:rStyle w:val="hps"/>
          <w:rFonts w:cs="Arial"/>
          <w:color w:val="000000" w:themeColor="text1"/>
        </w:rPr>
        <w:t>100km</w:t>
      </w:r>
      <w:r w:rsidRPr="00E0488D">
        <w:t xml:space="preserve">. Portul </w:t>
      </w:r>
      <w:r w:rsidRPr="00E0488D">
        <w:rPr>
          <w:rStyle w:val="hps"/>
          <w:rFonts w:cs="Arial"/>
          <w:color w:val="000000" w:themeColor="text1"/>
        </w:rPr>
        <w:t>Giurgiu</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bine</w:t>
      </w:r>
      <w:r w:rsidRPr="00E0488D">
        <w:t xml:space="preserve"> </w:t>
      </w:r>
      <w:r w:rsidRPr="00E0488D">
        <w:rPr>
          <w:rStyle w:val="hps"/>
          <w:rFonts w:cs="Arial"/>
          <w:color w:val="000000" w:themeColor="text1"/>
        </w:rPr>
        <w:t>amplasat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transportul de marfă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materii prime</w:t>
      </w:r>
      <w:r w:rsidRPr="00E0488D">
        <w:t xml:space="preserve"> </w:t>
      </w:r>
      <w:r w:rsidRPr="00E0488D">
        <w:rPr>
          <w:rStyle w:val="hps"/>
          <w:rFonts w:cs="Arial"/>
          <w:color w:val="000000" w:themeColor="text1"/>
        </w:rPr>
        <w:t>care vin din partea de</w:t>
      </w:r>
      <w:r w:rsidRPr="00E0488D">
        <w:t xml:space="preserve"> </w:t>
      </w:r>
      <w:r w:rsidRPr="00E0488D">
        <w:rPr>
          <w:rStyle w:val="hps"/>
          <w:rFonts w:cs="Arial"/>
          <w:color w:val="000000" w:themeColor="text1"/>
        </w:rPr>
        <w:t>vest,</w:t>
      </w:r>
      <w:r w:rsidRPr="00E0488D">
        <w:t xml:space="preserve"> </w:t>
      </w:r>
      <w:r w:rsidRPr="00E0488D">
        <w:rPr>
          <w:rStyle w:val="hps"/>
          <w:rFonts w:cs="Arial"/>
          <w:color w:val="000000" w:themeColor="text1"/>
        </w:rPr>
        <w:t>de-a lungul</w:t>
      </w:r>
      <w:r w:rsidRPr="00E0488D">
        <w:t xml:space="preserve"> </w:t>
      </w:r>
      <w:r w:rsidRPr="00E0488D">
        <w:rPr>
          <w:rStyle w:val="hps"/>
          <w:rFonts w:cs="Arial"/>
          <w:color w:val="000000" w:themeColor="text1"/>
        </w:rPr>
        <w:t>Dunării</w:t>
      </w:r>
      <w:r w:rsidRPr="00E0488D">
        <w:t xml:space="preserve">. </w:t>
      </w:r>
    </w:p>
    <w:p w:rsidR="00B4550A" w:rsidRPr="00E0488D" w:rsidRDefault="00B4550A" w:rsidP="002B7E09">
      <w:pPr>
        <w:pStyle w:val="NumberedParas"/>
      </w:pPr>
      <w:r w:rsidRPr="00E0488D">
        <w:rPr>
          <w:rStyle w:val="hps"/>
          <w:rFonts w:cs="Arial"/>
          <w:color w:val="000000" w:themeColor="text1"/>
        </w:rPr>
        <w:t>Portul</w:t>
      </w:r>
      <w:r w:rsidRPr="00E0488D">
        <w:t xml:space="preserve"> </w:t>
      </w:r>
      <w:r w:rsidR="001205D0" w:rsidRPr="00E0488D">
        <w:rPr>
          <w:rStyle w:val="hps"/>
          <w:rFonts w:cs="Arial"/>
          <w:color w:val="000000" w:themeColor="text1"/>
        </w:rPr>
        <w:t>Oltenița</w:t>
      </w:r>
      <w:r w:rsidRPr="00E0488D">
        <w:t xml:space="preserve"> se află</w:t>
      </w:r>
      <w:r w:rsidRPr="00E0488D">
        <w:rPr>
          <w:rStyle w:val="hps"/>
          <w:rFonts w:cs="Arial"/>
          <w:color w:val="000000" w:themeColor="text1"/>
        </w:rPr>
        <w:t>, de asemenea</w:t>
      </w:r>
      <w:r w:rsidRPr="00E0488D">
        <w:t>,</w:t>
      </w:r>
      <w:r w:rsidRPr="00E0488D">
        <w:rPr>
          <w:rStyle w:val="hps"/>
          <w:rFonts w:cs="Arial"/>
          <w:color w:val="000000" w:themeColor="text1"/>
        </w:rPr>
        <w:t xml:space="preserve"> la o oră de mers cu</w:t>
      </w:r>
      <w:r w:rsidRPr="00E0488D">
        <w:t xml:space="preserve"> </w:t>
      </w:r>
      <w:r w:rsidRPr="00E0488D">
        <w:rPr>
          <w:rStyle w:val="hps"/>
          <w:rFonts w:cs="Arial"/>
          <w:color w:val="000000" w:themeColor="text1"/>
        </w:rPr>
        <w:t>camionul de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 xml:space="preserve">pe drumul </w:t>
      </w:r>
      <w:r w:rsidR="001205D0" w:rsidRPr="00E0488D">
        <w:rPr>
          <w:rStyle w:val="hps"/>
          <w:rFonts w:cs="Arial"/>
          <w:color w:val="000000" w:themeColor="text1"/>
        </w:rPr>
        <w:t>național</w:t>
      </w:r>
      <w:r w:rsidRPr="00E0488D">
        <w:t xml:space="preserve"> </w:t>
      </w:r>
      <w:r w:rsidRPr="00E0488D">
        <w:rPr>
          <w:rStyle w:val="hps"/>
          <w:rFonts w:cs="Arial"/>
          <w:color w:val="000000" w:themeColor="text1"/>
        </w:rPr>
        <w:t>DN 4</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similar</w:t>
      </w:r>
      <w:r w:rsidRPr="00E0488D">
        <w:t xml:space="preserve"> Portului </w:t>
      </w:r>
      <w:r w:rsidRPr="00E0488D">
        <w:rPr>
          <w:rStyle w:val="hps"/>
          <w:rFonts w:cs="Arial"/>
          <w:color w:val="000000" w:themeColor="text1"/>
        </w:rPr>
        <w:t>Giurgiu,</w:t>
      </w:r>
      <w:r w:rsidRPr="00E0488D">
        <w:t xml:space="preserve"> </w:t>
      </w:r>
      <w:r w:rsidRPr="00E0488D">
        <w:rPr>
          <w:rStyle w:val="hps"/>
          <w:rFonts w:cs="Arial"/>
          <w:color w:val="000000" w:themeColor="text1"/>
        </w:rPr>
        <w:t>are o populație de peste</w:t>
      </w:r>
      <w:r w:rsidRPr="00E0488D">
        <w:t xml:space="preserve"> </w:t>
      </w:r>
      <w:r w:rsidRPr="00E0488D">
        <w:rPr>
          <w:rStyle w:val="hps"/>
          <w:rFonts w:cs="Arial"/>
          <w:color w:val="000000" w:themeColor="text1"/>
        </w:rPr>
        <w:t>3 milioane de locuitori pe o rază de</w:t>
      </w:r>
      <w:r w:rsidRPr="00E0488D">
        <w:t xml:space="preserve"> </w:t>
      </w:r>
      <w:r w:rsidRPr="00E0488D">
        <w:rPr>
          <w:rStyle w:val="hps"/>
          <w:rFonts w:cs="Arial"/>
          <w:color w:val="000000" w:themeColor="text1"/>
        </w:rPr>
        <w:t>100km</w:t>
      </w:r>
      <w:r w:rsidRPr="00E0488D">
        <w:t xml:space="preserve">. </w:t>
      </w:r>
      <w:r w:rsidRPr="00E0488D">
        <w:rPr>
          <w:rStyle w:val="hps"/>
          <w:rFonts w:cs="Arial"/>
          <w:color w:val="000000" w:themeColor="text1"/>
        </w:rPr>
        <w:t>Întrucât</w:t>
      </w:r>
      <w:r w:rsidRPr="00E0488D">
        <w:t xml:space="preserve"> </w:t>
      </w:r>
      <w:r w:rsidRPr="00E0488D">
        <w:rPr>
          <w:rStyle w:val="hps"/>
          <w:rFonts w:cs="Arial"/>
          <w:color w:val="000000" w:themeColor="text1"/>
        </w:rPr>
        <w:t>portul este</w:t>
      </w:r>
      <w:r w:rsidRPr="00E0488D">
        <w:t xml:space="preserve"> </w:t>
      </w:r>
      <w:r w:rsidRPr="00E0488D">
        <w:rPr>
          <w:rStyle w:val="hps"/>
          <w:rFonts w:cs="Arial"/>
          <w:color w:val="000000" w:themeColor="text1"/>
        </w:rPr>
        <w:t>mai aproape de</w:t>
      </w:r>
      <w:r w:rsidRPr="00E0488D">
        <w:t xml:space="preserve"> </w:t>
      </w:r>
      <w:r w:rsidRPr="00E0488D">
        <w:rPr>
          <w:rStyle w:val="hps"/>
          <w:rFonts w:cs="Arial"/>
          <w:color w:val="000000" w:themeColor="text1"/>
        </w:rPr>
        <w:t>porturile</w:t>
      </w:r>
      <w:r w:rsidRPr="00E0488D">
        <w:t xml:space="preserve"> alimentatoare </w:t>
      </w:r>
      <w:r w:rsidRPr="00E0488D">
        <w:rPr>
          <w:rStyle w:val="hps"/>
          <w:rFonts w:cs="Arial"/>
          <w:color w:val="000000" w:themeColor="text1"/>
        </w:rPr>
        <w:t>mai mari de la</w:t>
      </w:r>
      <w:r w:rsidRPr="00E0488D">
        <w:t xml:space="preserve"> </w:t>
      </w:r>
      <w:r w:rsidRPr="00E0488D">
        <w:rPr>
          <w:rStyle w:val="hps"/>
          <w:rFonts w:cs="Arial"/>
          <w:color w:val="000000" w:themeColor="text1"/>
        </w:rPr>
        <w:t>Constanța și Galați</w:t>
      </w:r>
      <w:r w:rsidRPr="00E0488D">
        <w:t xml:space="preserve"> </w:t>
      </w:r>
      <w:r w:rsidRPr="00E0488D">
        <w:rPr>
          <w:rStyle w:val="hps"/>
          <w:rFonts w:cs="Arial"/>
          <w:color w:val="000000" w:themeColor="text1"/>
        </w:rPr>
        <w:t>decât</w:t>
      </w:r>
      <w:r w:rsidRPr="00E0488D">
        <w:t xml:space="preserve"> </w:t>
      </w:r>
      <w:r w:rsidRPr="00E0488D">
        <w:rPr>
          <w:rStyle w:val="hps"/>
          <w:rFonts w:cs="Arial"/>
          <w:color w:val="000000" w:themeColor="text1"/>
        </w:rPr>
        <w:t>Giurgiu</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atras</w:t>
      </w:r>
      <w:r w:rsidRPr="00E0488D">
        <w:t xml:space="preserve"> </w:t>
      </w:r>
      <w:r w:rsidRPr="00E0488D">
        <w:rPr>
          <w:rStyle w:val="hps"/>
          <w:rFonts w:cs="Arial"/>
          <w:color w:val="000000" w:themeColor="text1"/>
        </w:rPr>
        <w:t>unele</w:t>
      </w:r>
      <w:r w:rsidRPr="00E0488D">
        <w:t xml:space="preserve"> volume de </w:t>
      </w:r>
      <w:r w:rsidRPr="00E0488D">
        <w:rPr>
          <w:rStyle w:val="hps"/>
          <w:rFonts w:cs="Arial"/>
          <w:color w:val="000000" w:themeColor="text1"/>
        </w:rPr>
        <w:t>tonaj</w:t>
      </w:r>
      <w:r w:rsidRPr="00E0488D">
        <w:t xml:space="preserve"> </w:t>
      </w:r>
      <w:r w:rsidRPr="00E0488D">
        <w:rPr>
          <w:rStyle w:val="hps"/>
          <w:rFonts w:cs="Arial"/>
          <w:color w:val="000000" w:themeColor="text1"/>
        </w:rPr>
        <w:t>destinate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zona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Distanța</w:t>
      </w:r>
      <w:r w:rsidRPr="00E0488D">
        <w:t xml:space="preserve"> </w:t>
      </w:r>
      <w:r w:rsidRPr="00E0488D">
        <w:rPr>
          <w:rStyle w:val="hps"/>
          <w:rFonts w:cs="Arial"/>
          <w:color w:val="000000" w:themeColor="text1"/>
        </w:rPr>
        <w:t>de</w:t>
      </w:r>
      <w:r w:rsidRPr="00E0488D">
        <w:t xml:space="preserve"> transport pe </w:t>
      </w:r>
      <w:r w:rsidRPr="00E0488D">
        <w:rPr>
          <w:rStyle w:val="hps"/>
          <w:rFonts w:cs="Arial"/>
          <w:color w:val="000000" w:themeColor="text1"/>
        </w:rPr>
        <w:t>barje</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Oltenița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Giurgiu</w:t>
      </w:r>
      <w:r w:rsidRPr="00E0488D">
        <w:t xml:space="preserve"> </w:t>
      </w:r>
      <w:r w:rsidRPr="00E0488D">
        <w:rPr>
          <w:rStyle w:val="hps"/>
          <w:rFonts w:cs="Arial"/>
          <w:color w:val="000000" w:themeColor="text1"/>
        </w:rPr>
        <w:t>este de aproximativ</w:t>
      </w:r>
      <w:r w:rsidRPr="00E0488D">
        <w:t xml:space="preserve"> </w:t>
      </w:r>
      <w:r w:rsidRPr="00E0488D">
        <w:rPr>
          <w:rStyle w:val="hps"/>
          <w:rFonts w:cs="Arial"/>
          <w:color w:val="000000" w:themeColor="text1"/>
        </w:rPr>
        <w:t>100km</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aproximativ 8 ore</w:t>
      </w:r>
      <w:r w:rsidRPr="00E0488D">
        <w:t xml:space="preserve"> de </w:t>
      </w:r>
      <w:r w:rsidRPr="00E0488D">
        <w:rPr>
          <w:rStyle w:val="hps"/>
          <w:rFonts w:cs="Arial"/>
          <w:color w:val="000000" w:themeColor="text1"/>
        </w:rPr>
        <w:t>navigare în</w:t>
      </w:r>
      <w:r w:rsidRPr="00E0488D">
        <w:t xml:space="preserve"> </w:t>
      </w:r>
      <w:r w:rsidRPr="00E0488D">
        <w:rPr>
          <w:rStyle w:val="hps"/>
          <w:rFonts w:cs="Arial"/>
          <w:color w:val="000000" w:themeColor="text1"/>
        </w:rPr>
        <w:t>amonte</w:t>
      </w:r>
      <w:r w:rsidRPr="00E0488D">
        <w:t xml:space="preserve"> </w:t>
      </w:r>
      <w:r w:rsidRPr="00E0488D">
        <w:rPr>
          <w:rStyle w:val="hps"/>
          <w:rFonts w:cs="Arial"/>
          <w:color w:val="000000" w:themeColor="text1"/>
        </w:rPr>
        <w:t>și</w:t>
      </w:r>
      <w:r w:rsidRPr="00E0488D">
        <w:t xml:space="preserve">, prin urmare, </w:t>
      </w:r>
      <w:r w:rsidRPr="00E0488D">
        <w:rPr>
          <w:rStyle w:val="hps"/>
          <w:rFonts w:cs="Arial"/>
          <w:color w:val="000000" w:themeColor="text1"/>
        </w:rPr>
        <w:t>este</w:t>
      </w:r>
      <w:r w:rsidRPr="00E0488D">
        <w:t xml:space="preserve"> </w:t>
      </w:r>
      <w:r w:rsidRPr="00E0488D">
        <w:rPr>
          <w:rStyle w:val="hps"/>
          <w:rFonts w:cs="Arial"/>
          <w:color w:val="000000" w:themeColor="text1"/>
        </w:rPr>
        <w:t>de natură să atragă</w:t>
      </w:r>
      <w:r w:rsidRPr="00E0488D">
        <w:t xml:space="preserve"> </w:t>
      </w:r>
      <w:r w:rsidRPr="00E0488D">
        <w:rPr>
          <w:rStyle w:val="hps"/>
          <w:rFonts w:cs="Arial"/>
          <w:color w:val="000000" w:themeColor="text1"/>
        </w:rPr>
        <w:t>cele mai ieftine tarife</w:t>
      </w:r>
      <w:r w:rsidRPr="00E0488D">
        <w:t xml:space="preserve"> </w:t>
      </w:r>
      <w:r w:rsidRPr="00E0488D">
        <w:rPr>
          <w:rStyle w:val="hps"/>
          <w:rFonts w:cs="Arial"/>
          <w:color w:val="000000" w:themeColor="text1"/>
        </w:rPr>
        <w:t>de transport maritim</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est</w:t>
      </w:r>
      <w:r w:rsidRPr="00E0488D">
        <w:t xml:space="preserve"> </w:t>
      </w:r>
      <w:r w:rsidRPr="00E0488D">
        <w:rPr>
          <w:rStyle w:val="hps"/>
          <w:rFonts w:cs="Arial"/>
          <w:color w:val="000000" w:themeColor="text1"/>
        </w:rPr>
        <w:t>față de Portul</w:t>
      </w:r>
      <w:r w:rsidRPr="00E0488D">
        <w:t xml:space="preserve"> </w:t>
      </w:r>
      <w:r w:rsidRPr="00E0488D">
        <w:rPr>
          <w:rStyle w:val="hps"/>
          <w:rFonts w:cs="Arial"/>
          <w:color w:val="000000" w:themeColor="text1"/>
        </w:rPr>
        <w:t>Giurgiu</w:t>
      </w:r>
      <w:r w:rsidRPr="00E0488D">
        <w:t xml:space="preserve">. </w:t>
      </w:r>
      <w:r w:rsidRPr="00E0488D">
        <w:rPr>
          <w:rStyle w:val="hps"/>
          <w:rFonts w:cs="Arial"/>
          <w:color w:val="000000" w:themeColor="text1"/>
        </w:rPr>
        <w:t>La fel și din partea de</w:t>
      </w:r>
      <w:r w:rsidRPr="00E0488D">
        <w:t xml:space="preserve"> </w:t>
      </w:r>
      <w:r w:rsidRPr="00E0488D">
        <w:rPr>
          <w:rStyle w:val="hps"/>
          <w:rFonts w:cs="Arial"/>
          <w:color w:val="000000" w:themeColor="text1"/>
        </w:rPr>
        <w:t>vest</w:t>
      </w:r>
      <w:r w:rsidRPr="00E0488D">
        <w:t xml:space="preserve">. </w:t>
      </w:r>
      <w:r w:rsidRPr="00E0488D">
        <w:rPr>
          <w:rStyle w:val="hps"/>
          <w:rFonts w:cs="Arial"/>
          <w:color w:val="000000" w:themeColor="text1"/>
        </w:rPr>
        <w:t>Containere</w:t>
      </w:r>
      <w:r w:rsidRPr="00E0488D">
        <w:t xml:space="preserve"> cu timp de livrare mai rapid vor fi probabil </w:t>
      </w:r>
      <w:r w:rsidR="001205D0" w:rsidRPr="00E0488D">
        <w:t>transpor</w:t>
      </w:r>
      <w:r w:rsidR="001205D0">
        <w:t>t</w:t>
      </w:r>
      <w:r w:rsidR="001205D0" w:rsidRPr="00E0488D">
        <w:t>ate</w:t>
      </w:r>
      <w:r w:rsidRPr="00E0488D">
        <w:t xml:space="preserve"> pe cale rutieră </w:t>
      </w:r>
      <w:r w:rsidRPr="00E0488D">
        <w:rPr>
          <w:rStyle w:val="hps"/>
          <w:rFonts w:cs="Arial"/>
          <w:color w:val="000000" w:themeColor="text1"/>
        </w:rPr>
        <w:t>sau</w:t>
      </w:r>
      <w:r w:rsidRPr="00E0488D">
        <w:t xml:space="preserve"> pe </w:t>
      </w:r>
      <w:r w:rsidRPr="00E0488D">
        <w:rPr>
          <w:rStyle w:val="hps"/>
          <w:rFonts w:cs="Arial"/>
          <w:color w:val="000000" w:themeColor="text1"/>
        </w:rPr>
        <w:t>cale ferată</w:t>
      </w:r>
      <w:r w:rsidRPr="00E0488D">
        <w:t xml:space="preserve">, în </w:t>
      </w:r>
      <w:r w:rsidRPr="00E0488D">
        <w:rPr>
          <w:rStyle w:val="hps"/>
          <w:rFonts w:cs="Arial"/>
          <w:color w:val="000000" w:themeColor="text1"/>
        </w:rPr>
        <w:t>viitor, astfel</w:t>
      </w:r>
      <w:r w:rsidRPr="00E0488D">
        <w:t xml:space="preserve"> </w:t>
      </w:r>
      <w:r w:rsidRPr="00E0488D">
        <w:rPr>
          <w:rStyle w:val="hps"/>
          <w:rFonts w:cs="Arial"/>
          <w:color w:val="000000" w:themeColor="text1"/>
        </w:rPr>
        <w:t>că traficul pe</w:t>
      </w:r>
      <w:r w:rsidRPr="00E0488D">
        <w:t xml:space="preserve"> </w:t>
      </w:r>
      <w:r w:rsidRPr="00E0488D">
        <w:rPr>
          <w:rStyle w:val="hps"/>
          <w:rFonts w:cs="Arial"/>
          <w:color w:val="000000" w:themeColor="text1"/>
        </w:rPr>
        <w:t>barje</w:t>
      </w:r>
      <w:r w:rsidRPr="00E0488D">
        <w:t xml:space="preserve"> </w:t>
      </w:r>
      <w:r w:rsidRPr="00E0488D">
        <w:rPr>
          <w:rStyle w:val="hps"/>
          <w:rFonts w:cs="Arial"/>
          <w:color w:val="000000" w:themeColor="text1"/>
        </w:rPr>
        <w:t>se va ocupa de mărfurile</w:t>
      </w:r>
      <w:r w:rsidRPr="00E0488D">
        <w:t xml:space="preserve"> </w:t>
      </w:r>
      <w:r w:rsidRPr="00E0488D">
        <w:rPr>
          <w:rStyle w:val="hps"/>
          <w:rFonts w:cs="Arial"/>
          <w:color w:val="000000" w:themeColor="text1"/>
        </w:rPr>
        <w:t>mai puțin</w:t>
      </w:r>
      <w:r w:rsidRPr="00E0488D">
        <w:t xml:space="preserve"> </w:t>
      </w:r>
      <w:r w:rsidRPr="00E0488D">
        <w:rPr>
          <w:rStyle w:val="hps"/>
          <w:rFonts w:cs="Arial"/>
          <w:color w:val="000000" w:themeColor="text1"/>
        </w:rPr>
        <w:t>urgente</w:t>
      </w:r>
      <w:r w:rsidRPr="00E0488D">
        <w:t>.</w:t>
      </w:r>
    </w:p>
    <w:p w:rsidR="00B4550A" w:rsidRPr="00E0488D" w:rsidRDefault="00B4550A" w:rsidP="002B7E09">
      <w:pPr>
        <w:pStyle w:val="NumberedParas"/>
      </w:pPr>
      <w:r w:rsidRPr="00E0488D">
        <w:t>AECOM recomandă construirea unui terminal tri-modal central la Giurgiu</w:t>
      </w:r>
    </w:p>
    <w:p w:rsidR="00B4550A" w:rsidRPr="00E0488D" w:rsidRDefault="00B4550A" w:rsidP="00B4550A">
      <w:pPr>
        <w:pStyle w:val="Hdg3"/>
      </w:pPr>
      <w:r w:rsidRPr="00E0488D">
        <w:t>Vestul României</w:t>
      </w:r>
    </w:p>
    <w:p w:rsidR="00B4550A" w:rsidRPr="00E0488D" w:rsidRDefault="00B4550A" w:rsidP="002B7E09">
      <w:pPr>
        <w:pStyle w:val="NumberedParas"/>
      </w:pPr>
      <w:r w:rsidRPr="00E0488D">
        <w:rPr>
          <w:rStyle w:val="hps"/>
          <w:rFonts w:cs="Arial"/>
          <w:color w:val="000000" w:themeColor="text1"/>
        </w:rPr>
        <w:t>Există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serie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porturi</w:t>
      </w:r>
      <w:r w:rsidRPr="00E0488D">
        <w:t xml:space="preserve">, care </w:t>
      </w:r>
      <w:r w:rsidRPr="00E0488D">
        <w:rPr>
          <w:rStyle w:val="hps"/>
          <w:rFonts w:cs="Arial"/>
          <w:color w:val="000000" w:themeColor="text1"/>
        </w:rPr>
        <w:t>ar oferi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locație</w:t>
      </w:r>
      <w:r w:rsidRPr="00E0488D">
        <w:t xml:space="preserve"> </w:t>
      </w:r>
      <w:r w:rsidRPr="00E0488D">
        <w:rPr>
          <w:rStyle w:val="hps"/>
          <w:rFonts w:cs="Arial"/>
          <w:color w:val="000000" w:themeColor="text1"/>
        </w:rPr>
        <w:t>geografică</w:t>
      </w:r>
      <w:r w:rsidRPr="00E0488D">
        <w:t xml:space="preserve"> </w:t>
      </w:r>
      <w:r w:rsidRPr="00E0488D">
        <w:rPr>
          <w:rStyle w:val="hps"/>
          <w:rFonts w:cs="Arial"/>
          <w:color w:val="000000" w:themeColor="text1"/>
        </w:rPr>
        <w:t>potrivită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terminal intermodal</w:t>
      </w:r>
      <w:r w:rsidRPr="00E0488D">
        <w:t xml:space="preserve"> </w:t>
      </w:r>
      <w:r w:rsidRPr="00E0488D">
        <w:rPr>
          <w:rStyle w:val="hps"/>
          <w:rFonts w:cs="Arial"/>
          <w:color w:val="000000" w:themeColor="text1"/>
        </w:rPr>
        <w:t>de vest</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sunt evaluate</w:t>
      </w:r>
      <w:r w:rsidRPr="00E0488D">
        <w:t xml:space="preserve"> </w:t>
      </w:r>
      <w:r w:rsidRPr="00E0488D">
        <w:rPr>
          <w:rStyle w:val="hps"/>
          <w:rFonts w:cs="Arial"/>
          <w:color w:val="000000" w:themeColor="text1"/>
        </w:rPr>
        <w:t>pe scurt mai jos</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rezumat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detalii utile</w:t>
      </w:r>
      <w:r w:rsidRPr="00E0488D">
        <w:t xml:space="preserve"> </w:t>
      </w:r>
      <w:r w:rsidRPr="00E0488D">
        <w:rPr>
          <w:rStyle w:val="hps"/>
          <w:rFonts w:cs="Arial"/>
          <w:color w:val="000000" w:themeColor="text1"/>
        </w:rPr>
        <w:t>în Tabelul 6.10</w:t>
      </w:r>
      <w:r w:rsidRPr="00E0488D">
        <w:t xml:space="preserve">. </w:t>
      </w:r>
    </w:p>
    <w:p w:rsidR="00B4550A" w:rsidRPr="00E0488D" w:rsidRDefault="00B4550A" w:rsidP="00B4550A">
      <w:pPr>
        <w:keepNext/>
        <w:spacing w:before="120" w:line="276" w:lineRule="auto"/>
        <w:ind w:left="851"/>
        <w:rPr>
          <w:b/>
          <w:iCs/>
          <w:sz w:val="22"/>
          <w:szCs w:val="22"/>
          <w:lang w:val="ro-RO"/>
        </w:rPr>
      </w:pPr>
      <w:r w:rsidRPr="00E0488D">
        <w:rPr>
          <w:b/>
          <w:iCs/>
          <w:sz w:val="22"/>
          <w:szCs w:val="22"/>
          <w:lang w:val="ro-RO"/>
        </w:rPr>
        <w:t xml:space="preserve">Tabelul 6.10: Rezumatul distanțelor spre centrele vestice din porturile dunărene selecționate. </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21"/>
        <w:gridCol w:w="1839"/>
        <w:gridCol w:w="1421"/>
        <w:gridCol w:w="1840"/>
        <w:gridCol w:w="1426"/>
      </w:tblGrid>
      <w:tr w:rsidR="00B4550A" w:rsidRPr="00E0488D" w:rsidTr="003C7FC8">
        <w:tc>
          <w:tcPr>
            <w:tcW w:w="1276" w:type="dxa"/>
            <w:vMerge w:val="restart"/>
            <w:shd w:val="clear" w:color="auto" w:fill="B8CCE4" w:themeFill="accent1" w:themeFillTint="66"/>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Nume port</w:t>
            </w:r>
          </w:p>
        </w:tc>
        <w:tc>
          <w:tcPr>
            <w:tcW w:w="3260" w:type="dxa"/>
            <w:gridSpan w:val="2"/>
            <w:tcBorders>
              <w:bottom w:val="single" w:sz="4" w:space="0" w:color="auto"/>
            </w:tcBorders>
            <w:shd w:val="clear" w:color="auto" w:fill="B8CCE4" w:themeFill="accent1" w:themeFillTint="66"/>
            <w:vAlign w:val="center"/>
          </w:tcPr>
          <w:p w:rsidR="00B4550A" w:rsidRPr="00E0488D" w:rsidRDefault="001205D0" w:rsidP="003C7FC8">
            <w:pPr>
              <w:spacing w:line="276" w:lineRule="auto"/>
              <w:ind w:hanging="709"/>
              <w:jc w:val="center"/>
              <w:rPr>
                <w:b/>
                <w:sz w:val="22"/>
                <w:szCs w:val="22"/>
                <w:lang w:val="ro-RO"/>
              </w:rPr>
            </w:pPr>
            <w:r w:rsidRPr="00E0488D">
              <w:rPr>
                <w:b/>
                <w:sz w:val="22"/>
                <w:szCs w:val="22"/>
                <w:lang w:val="ro-RO"/>
              </w:rPr>
              <w:t>Timișoara</w:t>
            </w:r>
          </w:p>
        </w:tc>
        <w:tc>
          <w:tcPr>
            <w:tcW w:w="3261" w:type="dxa"/>
            <w:gridSpan w:val="2"/>
            <w:tcBorders>
              <w:bottom w:val="single" w:sz="4" w:space="0" w:color="auto"/>
            </w:tcBorders>
            <w:shd w:val="clear" w:color="auto" w:fill="B8CCE4" w:themeFill="accent1" w:themeFillTint="66"/>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Craiova</w:t>
            </w:r>
          </w:p>
        </w:tc>
        <w:tc>
          <w:tcPr>
            <w:tcW w:w="1426" w:type="dxa"/>
            <w:vMerge w:val="restart"/>
            <w:shd w:val="clear" w:color="auto" w:fill="B8CCE4" w:themeFill="accent1" w:themeFillTint="66"/>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Conexiune cale ferată</w:t>
            </w:r>
          </w:p>
        </w:tc>
      </w:tr>
      <w:tr w:rsidR="00B4550A" w:rsidRPr="00E0488D" w:rsidTr="003C7FC8">
        <w:tc>
          <w:tcPr>
            <w:tcW w:w="1276" w:type="dxa"/>
            <w:vMerge/>
            <w:vAlign w:val="center"/>
          </w:tcPr>
          <w:p w:rsidR="00B4550A" w:rsidRPr="00E0488D" w:rsidRDefault="00B4550A" w:rsidP="003C7FC8">
            <w:pPr>
              <w:spacing w:line="276" w:lineRule="auto"/>
              <w:jc w:val="center"/>
              <w:rPr>
                <w:sz w:val="22"/>
                <w:szCs w:val="22"/>
                <w:lang w:val="ro-RO"/>
              </w:rPr>
            </w:pPr>
          </w:p>
        </w:tc>
        <w:tc>
          <w:tcPr>
            <w:tcW w:w="1421" w:type="dxa"/>
            <w:shd w:val="clear" w:color="auto" w:fill="B8CCE4" w:themeFill="accent1" w:themeFillTint="66"/>
            <w:vAlign w:val="center"/>
          </w:tcPr>
          <w:p w:rsidR="00B4550A" w:rsidRPr="00E0488D" w:rsidRDefault="00B4550A" w:rsidP="003C7FC8">
            <w:pPr>
              <w:spacing w:line="276" w:lineRule="auto"/>
              <w:ind w:firstLine="34"/>
              <w:jc w:val="center"/>
              <w:rPr>
                <w:sz w:val="22"/>
                <w:szCs w:val="22"/>
                <w:lang w:val="ro-RO"/>
              </w:rPr>
            </w:pPr>
            <w:r w:rsidRPr="00E0488D">
              <w:rPr>
                <w:sz w:val="22"/>
                <w:szCs w:val="22"/>
                <w:lang w:val="ro-RO"/>
              </w:rPr>
              <w:t>Distanța</w:t>
            </w:r>
          </w:p>
        </w:tc>
        <w:tc>
          <w:tcPr>
            <w:tcW w:w="1839" w:type="dxa"/>
            <w:shd w:val="clear" w:color="auto" w:fill="B8CCE4" w:themeFill="accent1" w:themeFillTint="66"/>
            <w:vAlign w:val="center"/>
          </w:tcPr>
          <w:p w:rsidR="00B4550A" w:rsidRPr="00E0488D" w:rsidRDefault="00B4550A" w:rsidP="003C7FC8">
            <w:pPr>
              <w:spacing w:line="276" w:lineRule="auto"/>
              <w:jc w:val="center"/>
              <w:rPr>
                <w:sz w:val="22"/>
                <w:szCs w:val="22"/>
                <w:lang w:val="ro-RO"/>
              </w:rPr>
            </w:pPr>
            <w:r w:rsidRPr="00E0488D">
              <w:rPr>
                <w:sz w:val="22"/>
                <w:szCs w:val="22"/>
                <w:lang w:val="ro-RO"/>
              </w:rPr>
              <w:t>Timp de mers cu VMG</w:t>
            </w:r>
          </w:p>
        </w:tc>
        <w:tc>
          <w:tcPr>
            <w:tcW w:w="1421" w:type="dxa"/>
            <w:shd w:val="clear" w:color="auto" w:fill="B8CCE4" w:themeFill="accent1" w:themeFillTint="66"/>
            <w:vAlign w:val="center"/>
          </w:tcPr>
          <w:p w:rsidR="00B4550A" w:rsidRPr="00E0488D" w:rsidRDefault="00B4550A" w:rsidP="003C7FC8">
            <w:pPr>
              <w:spacing w:line="276" w:lineRule="auto"/>
              <w:jc w:val="center"/>
              <w:rPr>
                <w:sz w:val="22"/>
                <w:szCs w:val="22"/>
                <w:lang w:val="ro-RO"/>
              </w:rPr>
            </w:pPr>
            <w:r w:rsidRPr="00E0488D">
              <w:rPr>
                <w:sz w:val="22"/>
                <w:szCs w:val="22"/>
                <w:lang w:val="ro-RO"/>
              </w:rPr>
              <w:t>Distanța</w:t>
            </w:r>
          </w:p>
        </w:tc>
        <w:tc>
          <w:tcPr>
            <w:tcW w:w="1840" w:type="dxa"/>
            <w:shd w:val="clear" w:color="auto" w:fill="B8CCE4" w:themeFill="accent1" w:themeFillTint="66"/>
            <w:vAlign w:val="center"/>
          </w:tcPr>
          <w:p w:rsidR="00B4550A" w:rsidRPr="00E0488D" w:rsidRDefault="00B4550A" w:rsidP="003C7FC8">
            <w:pPr>
              <w:spacing w:line="276" w:lineRule="auto"/>
              <w:jc w:val="center"/>
              <w:rPr>
                <w:sz w:val="22"/>
                <w:szCs w:val="22"/>
                <w:lang w:val="ro-RO"/>
              </w:rPr>
            </w:pPr>
            <w:r w:rsidRPr="00E0488D">
              <w:rPr>
                <w:sz w:val="22"/>
                <w:szCs w:val="22"/>
                <w:lang w:val="ro-RO"/>
              </w:rPr>
              <w:t>Timp de mers cu VMG</w:t>
            </w:r>
          </w:p>
        </w:tc>
        <w:tc>
          <w:tcPr>
            <w:tcW w:w="1426" w:type="dxa"/>
            <w:vMerge/>
            <w:vAlign w:val="center"/>
          </w:tcPr>
          <w:p w:rsidR="00B4550A" w:rsidRPr="00E0488D" w:rsidRDefault="00B4550A" w:rsidP="003C7FC8">
            <w:pPr>
              <w:spacing w:line="276" w:lineRule="auto"/>
              <w:jc w:val="center"/>
              <w:rPr>
                <w:sz w:val="22"/>
                <w:szCs w:val="22"/>
                <w:lang w:val="ro-RO"/>
              </w:rPr>
            </w:pPr>
          </w:p>
        </w:tc>
      </w:tr>
      <w:tr w:rsidR="00B4550A" w:rsidRPr="00E0488D" w:rsidTr="003C7FC8">
        <w:tc>
          <w:tcPr>
            <w:tcW w:w="1276"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Orșova</w:t>
            </w:r>
          </w:p>
        </w:tc>
        <w:tc>
          <w:tcPr>
            <w:tcW w:w="1421" w:type="dxa"/>
          </w:tcPr>
          <w:p w:rsidR="00B4550A" w:rsidRPr="00E0488D" w:rsidRDefault="00B4550A" w:rsidP="003C7FC8">
            <w:pPr>
              <w:spacing w:line="276" w:lineRule="auto"/>
              <w:ind w:right="321" w:hanging="709"/>
              <w:jc w:val="center"/>
              <w:rPr>
                <w:sz w:val="22"/>
                <w:szCs w:val="22"/>
                <w:lang w:val="ro-RO"/>
              </w:rPr>
            </w:pPr>
            <w:r w:rsidRPr="00E0488D">
              <w:rPr>
                <w:sz w:val="22"/>
                <w:szCs w:val="22"/>
                <w:lang w:val="ro-RO"/>
              </w:rPr>
              <w:t>197km</w:t>
            </w:r>
          </w:p>
        </w:tc>
        <w:tc>
          <w:tcPr>
            <w:tcW w:w="1839" w:type="dxa"/>
            <w:vAlign w:val="center"/>
          </w:tcPr>
          <w:p w:rsidR="00B4550A" w:rsidRPr="00E0488D" w:rsidRDefault="00B4550A" w:rsidP="003C7FC8">
            <w:pPr>
              <w:spacing w:line="276" w:lineRule="auto"/>
              <w:ind w:hanging="709"/>
              <w:jc w:val="center"/>
              <w:rPr>
                <w:sz w:val="22"/>
                <w:szCs w:val="22"/>
                <w:lang w:val="ro-RO"/>
              </w:rPr>
            </w:pPr>
            <w:r w:rsidRPr="00E0488D">
              <w:rPr>
                <w:sz w:val="22"/>
                <w:szCs w:val="22"/>
                <w:lang w:val="ro-RO"/>
              </w:rPr>
              <w:t>3h 00m</w:t>
            </w:r>
          </w:p>
        </w:tc>
        <w:tc>
          <w:tcPr>
            <w:tcW w:w="1421" w:type="dxa"/>
            <w:vAlign w:val="center"/>
          </w:tcPr>
          <w:p w:rsidR="00B4550A" w:rsidRPr="00E0488D" w:rsidRDefault="00B4550A" w:rsidP="003C7FC8">
            <w:pPr>
              <w:spacing w:line="276" w:lineRule="auto"/>
              <w:ind w:right="321"/>
              <w:jc w:val="center"/>
              <w:rPr>
                <w:sz w:val="22"/>
                <w:szCs w:val="22"/>
                <w:lang w:val="ro-RO"/>
              </w:rPr>
            </w:pPr>
            <w:r w:rsidRPr="00E0488D">
              <w:rPr>
                <w:sz w:val="22"/>
                <w:szCs w:val="22"/>
                <w:lang w:val="ro-RO"/>
              </w:rPr>
              <w:t>144km</w:t>
            </w:r>
          </w:p>
        </w:tc>
        <w:tc>
          <w:tcPr>
            <w:tcW w:w="1840"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2h 15m</w:t>
            </w:r>
          </w:p>
        </w:tc>
        <w:tc>
          <w:tcPr>
            <w:tcW w:w="1426"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sym w:font="Wingdings" w:char="F0FC"/>
            </w:r>
          </w:p>
        </w:tc>
      </w:tr>
      <w:tr w:rsidR="00B4550A" w:rsidRPr="00E0488D" w:rsidTr="003C7FC8">
        <w:tc>
          <w:tcPr>
            <w:tcW w:w="1276"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Drobeta</w:t>
            </w:r>
          </w:p>
        </w:tc>
        <w:tc>
          <w:tcPr>
            <w:tcW w:w="1421" w:type="dxa"/>
          </w:tcPr>
          <w:p w:rsidR="00B4550A" w:rsidRPr="00E0488D" w:rsidRDefault="00B4550A" w:rsidP="003C7FC8">
            <w:pPr>
              <w:spacing w:line="276" w:lineRule="auto"/>
              <w:ind w:right="321" w:hanging="709"/>
              <w:jc w:val="center"/>
              <w:rPr>
                <w:sz w:val="22"/>
                <w:szCs w:val="22"/>
                <w:lang w:val="ro-RO"/>
              </w:rPr>
            </w:pPr>
            <w:r w:rsidRPr="00E0488D">
              <w:rPr>
                <w:sz w:val="22"/>
                <w:szCs w:val="22"/>
                <w:lang w:val="ro-RO"/>
              </w:rPr>
              <w:t>223km</w:t>
            </w:r>
          </w:p>
        </w:tc>
        <w:tc>
          <w:tcPr>
            <w:tcW w:w="1839" w:type="dxa"/>
            <w:vAlign w:val="center"/>
          </w:tcPr>
          <w:p w:rsidR="00B4550A" w:rsidRPr="00E0488D" w:rsidRDefault="00B4550A" w:rsidP="003C7FC8">
            <w:pPr>
              <w:spacing w:line="276" w:lineRule="auto"/>
              <w:ind w:hanging="709"/>
              <w:jc w:val="center"/>
              <w:rPr>
                <w:sz w:val="22"/>
                <w:szCs w:val="22"/>
                <w:lang w:val="ro-RO"/>
              </w:rPr>
            </w:pPr>
            <w:r w:rsidRPr="00E0488D">
              <w:rPr>
                <w:sz w:val="22"/>
                <w:szCs w:val="22"/>
                <w:lang w:val="ro-RO"/>
              </w:rPr>
              <w:t>3h 20m</w:t>
            </w:r>
          </w:p>
        </w:tc>
        <w:tc>
          <w:tcPr>
            <w:tcW w:w="1421" w:type="dxa"/>
            <w:vAlign w:val="center"/>
          </w:tcPr>
          <w:p w:rsidR="00B4550A" w:rsidRPr="00E0488D" w:rsidRDefault="00B4550A" w:rsidP="003C7FC8">
            <w:pPr>
              <w:spacing w:line="276" w:lineRule="auto"/>
              <w:ind w:right="321"/>
              <w:jc w:val="center"/>
              <w:rPr>
                <w:sz w:val="22"/>
                <w:szCs w:val="22"/>
                <w:lang w:val="ro-RO"/>
              </w:rPr>
            </w:pPr>
            <w:r w:rsidRPr="00E0488D">
              <w:rPr>
                <w:sz w:val="22"/>
                <w:szCs w:val="22"/>
                <w:lang w:val="ro-RO"/>
              </w:rPr>
              <w:t>114km</w:t>
            </w:r>
          </w:p>
        </w:tc>
        <w:tc>
          <w:tcPr>
            <w:tcW w:w="1840"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2h 00m</w:t>
            </w:r>
          </w:p>
        </w:tc>
        <w:tc>
          <w:tcPr>
            <w:tcW w:w="1426"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sym w:font="Wingdings" w:char="F0FC"/>
            </w:r>
          </w:p>
        </w:tc>
      </w:tr>
      <w:tr w:rsidR="00B4550A" w:rsidRPr="00E0488D" w:rsidTr="003C7FC8">
        <w:tc>
          <w:tcPr>
            <w:tcW w:w="1276"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Calafat</w:t>
            </w:r>
          </w:p>
        </w:tc>
        <w:tc>
          <w:tcPr>
            <w:tcW w:w="1421" w:type="dxa"/>
          </w:tcPr>
          <w:p w:rsidR="00B4550A" w:rsidRPr="00E0488D" w:rsidRDefault="00B4550A" w:rsidP="003C7FC8">
            <w:pPr>
              <w:spacing w:line="276" w:lineRule="auto"/>
              <w:ind w:right="321" w:hanging="709"/>
              <w:jc w:val="center"/>
              <w:rPr>
                <w:sz w:val="22"/>
                <w:szCs w:val="22"/>
                <w:lang w:val="ro-RO"/>
              </w:rPr>
            </w:pPr>
            <w:r w:rsidRPr="00E0488D">
              <w:rPr>
                <w:sz w:val="22"/>
                <w:szCs w:val="22"/>
                <w:lang w:val="ro-RO"/>
              </w:rPr>
              <w:t>323km</w:t>
            </w:r>
          </w:p>
        </w:tc>
        <w:tc>
          <w:tcPr>
            <w:tcW w:w="1839" w:type="dxa"/>
            <w:vAlign w:val="center"/>
          </w:tcPr>
          <w:p w:rsidR="00B4550A" w:rsidRPr="00E0488D" w:rsidRDefault="00B4550A" w:rsidP="003C7FC8">
            <w:pPr>
              <w:spacing w:line="276" w:lineRule="auto"/>
              <w:ind w:hanging="709"/>
              <w:jc w:val="center"/>
              <w:rPr>
                <w:sz w:val="22"/>
                <w:szCs w:val="22"/>
                <w:lang w:val="ro-RO"/>
              </w:rPr>
            </w:pPr>
            <w:r w:rsidRPr="00E0488D">
              <w:rPr>
                <w:sz w:val="22"/>
                <w:szCs w:val="22"/>
                <w:lang w:val="ro-RO"/>
              </w:rPr>
              <w:t>5h 00m</w:t>
            </w:r>
          </w:p>
        </w:tc>
        <w:tc>
          <w:tcPr>
            <w:tcW w:w="1421" w:type="dxa"/>
            <w:vAlign w:val="center"/>
          </w:tcPr>
          <w:p w:rsidR="00B4550A" w:rsidRPr="00E0488D" w:rsidRDefault="00B4550A" w:rsidP="003C7FC8">
            <w:pPr>
              <w:spacing w:line="276" w:lineRule="auto"/>
              <w:ind w:right="321"/>
              <w:jc w:val="center"/>
              <w:rPr>
                <w:sz w:val="22"/>
                <w:szCs w:val="22"/>
                <w:lang w:val="ro-RO"/>
              </w:rPr>
            </w:pPr>
            <w:r w:rsidRPr="00E0488D">
              <w:rPr>
                <w:sz w:val="22"/>
                <w:szCs w:val="22"/>
                <w:lang w:val="ro-RO"/>
              </w:rPr>
              <w:t>90km</w:t>
            </w:r>
          </w:p>
        </w:tc>
        <w:tc>
          <w:tcPr>
            <w:tcW w:w="1840"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t>1h 40m</w:t>
            </w:r>
          </w:p>
        </w:tc>
        <w:tc>
          <w:tcPr>
            <w:tcW w:w="1426" w:type="dxa"/>
            <w:vAlign w:val="center"/>
          </w:tcPr>
          <w:p w:rsidR="00B4550A" w:rsidRPr="00E0488D" w:rsidRDefault="00B4550A" w:rsidP="003C7FC8">
            <w:pPr>
              <w:spacing w:line="276" w:lineRule="auto"/>
              <w:jc w:val="center"/>
              <w:rPr>
                <w:sz w:val="22"/>
                <w:szCs w:val="22"/>
                <w:lang w:val="ro-RO"/>
              </w:rPr>
            </w:pPr>
            <w:r w:rsidRPr="00E0488D">
              <w:rPr>
                <w:sz w:val="22"/>
                <w:szCs w:val="22"/>
                <w:lang w:val="ro-RO"/>
              </w:rPr>
              <w:sym w:font="Wingdings" w:char="F0FC"/>
            </w:r>
          </w:p>
        </w:tc>
      </w:tr>
    </w:tbl>
    <w:p w:rsidR="00B4550A" w:rsidRPr="00E0488D" w:rsidRDefault="00B4550A" w:rsidP="002B7E09">
      <w:pPr>
        <w:pStyle w:val="NumberedParas"/>
      </w:pPr>
      <w:r w:rsidRPr="00E0488D">
        <w:rPr>
          <w:rStyle w:val="hps"/>
          <w:rFonts w:cs="Arial"/>
          <w:color w:val="000000" w:themeColor="text1"/>
        </w:rPr>
        <w:t>Orșova</w:t>
      </w:r>
      <w:r w:rsidRPr="00E0488D">
        <w:t xml:space="preserve"> </w:t>
      </w:r>
      <w:r w:rsidRPr="00E0488D">
        <w:rPr>
          <w:rStyle w:val="hps"/>
          <w:rFonts w:cs="Arial"/>
          <w:color w:val="000000" w:themeColor="text1"/>
        </w:rPr>
        <w:t>are atât</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port natural</w:t>
      </w:r>
      <w:r w:rsidRPr="00E0488D">
        <w:t xml:space="preserve"> </w:t>
      </w:r>
      <w:r w:rsidRPr="00E0488D">
        <w:rPr>
          <w:rStyle w:val="hps"/>
          <w:rFonts w:cs="Arial"/>
          <w:color w:val="000000" w:themeColor="text1"/>
        </w:rPr>
        <w:t>mare</w:t>
      </w:r>
      <w:r w:rsidRPr="00E0488D">
        <w:t xml:space="preserve"> cât </w:t>
      </w:r>
      <w:r w:rsidRPr="00E0488D">
        <w:rPr>
          <w:rStyle w:val="hps"/>
          <w:rFonts w:cs="Arial"/>
          <w:color w:val="000000" w:themeColor="text1"/>
        </w:rPr>
        <w:t>și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legătură de cale ferată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manevrează o</w:t>
      </w:r>
      <w:r w:rsidRPr="00E0488D">
        <w:t xml:space="preserve"> </w:t>
      </w:r>
      <w:r w:rsidRPr="00E0488D">
        <w:rPr>
          <w:rStyle w:val="hps"/>
          <w:rFonts w:cs="Arial"/>
          <w:color w:val="000000" w:themeColor="text1"/>
        </w:rPr>
        <w:t>gamă</w:t>
      </w:r>
      <w:r w:rsidRPr="00E0488D">
        <w:t xml:space="preserve"> </w:t>
      </w:r>
      <w:r w:rsidRPr="00E0488D">
        <w:rPr>
          <w:rStyle w:val="hps"/>
          <w:rFonts w:cs="Arial"/>
          <w:color w:val="000000" w:themeColor="text1"/>
        </w:rPr>
        <w:t>largă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mărfuri vrac</w:t>
      </w:r>
      <w:r w:rsidRPr="00E0488D">
        <w:t xml:space="preserve">, </w:t>
      </w:r>
      <w:r w:rsidRPr="00E0488D">
        <w:rPr>
          <w:rStyle w:val="hps"/>
          <w:rFonts w:cs="Arial"/>
          <w:color w:val="000000" w:themeColor="text1"/>
        </w:rPr>
        <w:t>în prezent</w:t>
      </w:r>
      <w:r w:rsidRPr="00E0488D">
        <w:t xml:space="preserve"> operează un tonaj  mic de </w:t>
      </w:r>
      <w:r w:rsidRPr="00E0488D">
        <w:rPr>
          <w:rStyle w:val="hps"/>
          <w:rFonts w:cs="Arial"/>
          <w:color w:val="000000" w:themeColor="text1"/>
        </w:rPr>
        <w:t>containere</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unul din porturile</w:t>
      </w:r>
      <w:r w:rsidRPr="00E0488D">
        <w:t xml:space="preserve"> </w:t>
      </w:r>
      <w:r w:rsidRPr="00E0488D">
        <w:rPr>
          <w:rStyle w:val="hps"/>
          <w:rFonts w:cs="Arial"/>
          <w:color w:val="000000" w:themeColor="text1"/>
        </w:rPr>
        <w:t>mai bine situate pentru</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terminal intermodal</w:t>
      </w:r>
      <w:r w:rsidRPr="00E0488D">
        <w:t xml:space="preserve">, având în vedere </w:t>
      </w:r>
      <w:r w:rsidRPr="00E0488D">
        <w:rPr>
          <w:rStyle w:val="hps"/>
          <w:rFonts w:cs="Arial"/>
          <w:color w:val="000000" w:themeColor="text1"/>
        </w:rPr>
        <w:t>timpii ulteriori</w:t>
      </w:r>
      <w:r w:rsidRPr="00E0488D">
        <w:t xml:space="preserve"> </w:t>
      </w:r>
      <w:r w:rsidRPr="00E0488D">
        <w:rPr>
          <w:rStyle w:val="hps"/>
          <w:rFonts w:cs="Arial"/>
          <w:color w:val="000000" w:themeColor="text1"/>
        </w:rPr>
        <w:t>de călătorie</w:t>
      </w:r>
      <w:r w:rsidRPr="00E0488D">
        <w:t xml:space="preserve"> și faptul că </w:t>
      </w:r>
      <w:r w:rsidRPr="00E0488D">
        <w:rPr>
          <w:rStyle w:val="hps"/>
          <w:rFonts w:cs="Arial"/>
          <w:color w:val="000000" w:themeColor="text1"/>
        </w:rPr>
        <w:t>este</w:t>
      </w:r>
      <w:r w:rsidRPr="00E0488D">
        <w:t xml:space="preserve"> </w:t>
      </w:r>
      <w:r w:rsidRPr="00E0488D">
        <w:rPr>
          <w:rStyle w:val="hps"/>
          <w:rFonts w:cs="Arial"/>
          <w:color w:val="000000" w:themeColor="text1"/>
        </w:rPr>
        <w:t>situată în amonte de</w:t>
      </w:r>
      <w:r w:rsidRPr="00E0488D">
        <w:t xml:space="preserve"> </w:t>
      </w:r>
      <w:r w:rsidRPr="00E0488D">
        <w:rPr>
          <w:rStyle w:val="hps"/>
          <w:rFonts w:cs="Arial"/>
          <w:color w:val="000000" w:themeColor="text1"/>
        </w:rPr>
        <w:t>hidrocentrala Porțile de Fier</w:t>
      </w:r>
      <w:r w:rsidRPr="00E0488D">
        <w:t xml:space="preserve"> </w:t>
      </w:r>
      <w:r w:rsidRPr="00E0488D">
        <w:rPr>
          <w:rStyle w:val="hps"/>
          <w:rFonts w:cs="Arial"/>
          <w:color w:val="000000" w:themeColor="text1"/>
        </w:rPr>
        <w:t>II</w:t>
      </w:r>
      <w:r w:rsidRPr="00E0488D">
        <w:t xml:space="preserve">, </w:t>
      </w:r>
      <w:r w:rsidRPr="00E0488D">
        <w:rPr>
          <w:rStyle w:val="hps"/>
          <w:rFonts w:cs="Arial"/>
          <w:color w:val="000000" w:themeColor="text1"/>
        </w:rPr>
        <w:t>baraj</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 punctul de trecere al frontierei, acest port devine</w:t>
      </w:r>
      <w:r w:rsidRPr="00E0488D">
        <w:t xml:space="preserve"> </w:t>
      </w:r>
      <w:r w:rsidRPr="00E0488D">
        <w:rPr>
          <w:rStyle w:val="hps"/>
          <w:rFonts w:cs="Arial"/>
          <w:color w:val="000000" w:themeColor="text1"/>
        </w:rPr>
        <w:t>mai puțin</w:t>
      </w:r>
      <w:r w:rsidRPr="00E0488D">
        <w:t xml:space="preserve"> </w:t>
      </w:r>
      <w:r w:rsidRPr="00E0488D">
        <w:rPr>
          <w:rStyle w:val="hps"/>
          <w:rFonts w:cs="Arial"/>
          <w:color w:val="000000" w:themeColor="text1"/>
        </w:rPr>
        <w:t>atractiv</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traficul dinspre est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decât</w:t>
      </w:r>
      <w:r w:rsidRPr="00E0488D">
        <w:t xml:space="preserve"> </w:t>
      </w:r>
      <w:r w:rsidRPr="00E0488D">
        <w:rPr>
          <w:rStyle w:val="hps"/>
          <w:rFonts w:cs="Arial"/>
          <w:color w:val="000000" w:themeColor="text1"/>
        </w:rPr>
        <w:t>porturile</w:t>
      </w:r>
      <w:r w:rsidRPr="00E0488D">
        <w:t xml:space="preserve"> situate </w:t>
      </w:r>
      <w:r w:rsidRPr="00E0488D">
        <w:rPr>
          <w:rStyle w:val="hps"/>
          <w:rFonts w:cs="Arial"/>
          <w:color w:val="000000" w:themeColor="text1"/>
        </w:rPr>
        <w:t>în aval</w:t>
      </w:r>
      <w:r w:rsidRPr="00E0488D">
        <w:t xml:space="preserve"> de </w:t>
      </w:r>
      <w:r w:rsidRPr="00E0488D">
        <w:rPr>
          <w:rStyle w:val="hps"/>
          <w:rFonts w:cs="Arial"/>
          <w:color w:val="000000" w:themeColor="text1"/>
        </w:rPr>
        <w:t>Porțile de Fier</w:t>
      </w:r>
      <w:r w:rsidRPr="00E0488D">
        <w:t xml:space="preserve">, în situația în care </w:t>
      </w:r>
      <w:r w:rsidRPr="00E0488D">
        <w:rPr>
          <w:rStyle w:val="hps"/>
          <w:rFonts w:cs="Arial"/>
          <w:color w:val="000000" w:themeColor="text1"/>
        </w:rPr>
        <w:t>nava</w:t>
      </w:r>
      <w:r w:rsidRPr="00E0488D">
        <w:t xml:space="preserve"> </w:t>
      </w:r>
      <w:r w:rsidRPr="00E0488D">
        <w:rPr>
          <w:rStyle w:val="hps"/>
          <w:rFonts w:cs="Arial"/>
          <w:color w:val="000000" w:themeColor="text1"/>
        </w:rPr>
        <w:t>nu</w:t>
      </w:r>
      <w:r w:rsidRPr="00E0488D">
        <w:t xml:space="preserve">-și </w:t>
      </w:r>
      <w:r w:rsidRPr="00E0488D">
        <w:rPr>
          <w:rStyle w:val="hps"/>
          <w:rFonts w:cs="Arial"/>
          <w:color w:val="000000" w:themeColor="text1"/>
        </w:rPr>
        <w:t>continuă traseul</w:t>
      </w:r>
      <w:r w:rsidRPr="00E0488D">
        <w:t xml:space="preserve"> </w:t>
      </w:r>
      <w:r w:rsidRPr="00E0488D">
        <w:rPr>
          <w:rStyle w:val="hps"/>
          <w:rFonts w:cs="Arial"/>
          <w:color w:val="000000" w:themeColor="text1"/>
        </w:rPr>
        <w:t>în amonte</w:t>
      </w:r>
      <w:r w:rsidRPr="00E0488D">
        <w:t xml:space="preserve"> spre alte destinații din afara </w:t>
      </w:r>
      <w:r w:rsidRPr="00E0488D">
        <w:rPr>
          <w:rStyle w:val="hps"/>
          <w:rFonts w:cs="Arial"/>
          <w:color w:val="000000" w:themeColor="text1"/>
        </w:rPr>
        <w:t>României</w:t>
      </w:r>
      <w:r w:rsidRPr="00E0488D">
        <w:t xml:space="preserve">. </w:t>
      </w:r>
    </w:p>
    <w:p w:rsidR="00B4550A" w:rsidRPr="00E0488D" w:rsidRDefault="00B4550A" w:rsidP="002B7E09">
      <w:pPr>
        <w:pStyle w:val="NumberedParas"/>
      </w:pPr>
      <w:r w:rsidRPr="00E0488D">
        <w:rPr>
          <w:rStyle w:val="hps"/>
          <w:rFonts w:cs="Arial"/>
          <w:color w:val="000000" w:themeColor="text1"/>
        </w:rPr>
        <w:t>Portul</w:t>
      </w:r>
      <w:r w:rsidRPr="00E0488D">
        <w:t xml:space="preserve"> </w:t>
      </w:r>
      <w:r w:rsidRPr="00E0488D">
        <w:rPr>
          <w:rStyle w:val="hps"/>
          <w:rFonts w:cs="Arial"/>
          <w:color w:val="000000" w:themeColor="text1"/>
        </w:rPr>
        <w:t>Drobeta</w:t>
      </w:r>
      <w:r w:rsidRPr="00E0488D">
        <w:t>-Turnu</w:t>
      </w:r>
      <w:r w:rsidRPr="00E0488D">
        <w:rPr>
          <w:rStyle w:val="atn"/>
          <w:rFonts w:cs="Arial"/>
          <w:color w:val="000000" w:themeColor="text1"/>
        </w:rPr>
        <w:t>-</w:t>
      </w:r>
      <w:r w:rsidRPr="00E0488D">
        <w:t xml:space="preserve">Severin </w:t>
      </w:r>
      <w:r w:rsidRPr="00E0488D">
        <w:rPr>
          <w:rStyle w:val="hps"/>
          <w:rFonts w:cs="Arial"/>
          <w:color w:val="000000" w:themeColor="text1"/>
        </w:rPr>
        <w:t>este situat</w:t>
      </w:r>
      <w:r w:rsidRPr="00E0488D">
        <w:t xml:space="preserve"> </w:t>
      </w:r>
      <w:r w:rsidRPr="00E0488D">
        <w:rPr>
          <w:rStyle w:val="hps"/>
          <w:rFonts w:cs="Arial"/>
          <w:color w:val="000000" w:themeColor="text1"/>
        </w:rPr>
        <w:t>în aval</w:t>
      </w:r>
      <w:r w:rsidRPr="00E0488D">
        <w:t xml:space="preserve"> </w:t>
      </w:r>
      <w:r w:rsidRPr="00E0488D">
        <w:rPr>
          <w:rStyle w:val="hps"/>
          <w:rFonts w:cs="Arial"/>
          <w:color w:val="000000" w:themeColor="text1"/>
        </w:rPr>
        <w:t>de barajul</w:t>
      </w:r>
      <w:r w:rsidRPr="00E0488D">
        <w:t xml:space="preserve"> </w:t>
      </w:r>
      <w:r w:rsidRPr="00E0488D">
        <w:rPr>
          <w:rStyle w:val="hps"/>
          <w:rFonts w:cs="Arial"/>
          <w:color w:val="000000" w:themeColor="text1"/>
        </w:rPr>
        <w:t>Porțile de Fier</w:t>
      </w:r>
      <w:r w:rsidRPr="00E0488D">
        <w:t xml:space="preserve"> </w:t>
      </w:r>
      <w:r w:rsidRPr="00E0488D">
        <w:rPr>
          <w:rStyle w:val="hps"/>
          <w:rFonts w:cs="Arial"/>
          <w:color w:val="000000" w:themeColor="text1"/>
        </w:rPr>
        <w:t>II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este situat</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w:t>
      </w:r>
      <w:r w:rsidRPr="00E0488D">
        <w:t>S) de cale</w:t>
      </w:r>
      <w:r w:rsidRPr="00E0488D">
        <w:rPr>
          <w:rStyle w:val="hps"/>
          <w:rFonts w:cs="Arial"/>
          <w:color w:val="000000" w:themeColor="text1"/>
        </w:rPr>
        <w:t xml:space="preserve"> ferată</w:t>
      </w:r>
      <w:r w:rsidRPr="00E0488D">
        <w:t xml:space="preserve"> </w:t>
      </w:r>
      <w:r w:rsidRPr="00E0488D">
        <w:rPr>
          <w:rStyle w:val="hps"/>
          <w:rFonts w:cs="Arial"/>
          <w:color w:val="000000" w:themeColor="text1"/>
        </w:rPr>
        <w:t>electrificată</w:t>
      </w:r>
      <w:r w:rsidRPr="00E0488D">
        <w:t xml:space="preserve">, </w:t>
      </w:r>
      <w:r w:rsidRPr="00E0488D">
        <w:rPr>
          <w:rStyle w:val="hps"/>
          <w:rFonts w:cs="Arial"/>
          <w:color w:val="000000" w:themeColor="text1"/>
        </w:rPr>
        <w:t>dar face parte și din</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rutier</w:t>
      </w:r>
      <w:r w:rsidRPr="00E0488D">
        <w:t xml:space="preserve"> </w:t>
      </w:r>
      <w:r w:rsidRPr="00E0488D">
        <w:rPr>
          <w:rStyle w:val="hps"/>
          <w:rFonts w:cs="Arial"/>
          <w:color w:val="000000" w:themeColor="text1"/>
        </w:rPr>
        <w:t>E70</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capabil de</w:t>
      </w:r>
      <w:r w:rsidRPr="00E0488D">
        <w:t xml:space="preserve"> </w:t>
      </w:r>
      <w:r w:rsidR="001205D0" w:rsidRPr="00E0488D">
        <w:rPr>
          <w:rStyle w:val="hps"/>
          <w:rFonts w:cs="Arial"/>
          <w:color w:val="000000" w:themeColor="text1"/>
        </w:rPr>
        <w:t>dezvoltare</w:t>
      </w:r>
      <w:r w:rsidRPr="00E0488D">
        <w:t xml:space="preserve"> </w:t>
      </w:r>
      <w:r w:rsidRPr="00E0488D">
        <w:rPr>
          <w:rStyle w:val="hps"/>
          <w:rFonts w:cs="Arial"/>
          <w:color w:val="000000" w:themeColor="text1"/>
        </w:rPr>
        <w:t>pentru a gestiona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cantitate mai mare</w:t>
      </w:r>
      <w:r w:rsidRPr="00E0488D">
        <w:t xml:space="preserve"> </w:t>
      </w:r>
      <w:r w:rsidRPr="00E0488D">
        <w:rPr>
          <w:rStyle w:val="hps"/>
          <w:rFonts w:cs="Arial"/>
          <w:color w:val="000000" w:themeColor="text1"/>
        </w:rPr>
        <w:t>și</w:t>
      </w:r>
      <w:r w:rsidRPr="00E0488D">
        <w:t xml:space="preserve"> o </w:t>
      </w:r>
      <w:r w:rsidRPr="00E0488D">
        <w:rPr>
          <w:rStyle w:val="hps"/>
          <w:rFonts w:cs="Arial"/>
          <w:color w:val="000000" w:themeColor="text1"/>
        </w:rPr>
        <w:t>gama</w:t>
      </w:r>
      <w:r w:rsidRPr="00E0488D">
        <w:t xml:space="preserve"> </w:t>
      </w:r>
      <w:r w:rsidRPr="00E0488D">
        <w:rPr>
          <w:rStyle w:val="hps"/>
          <w:rFonts w:cs="Arial"/>
          <w:color w:val="000000" w:themeColor="text1"/>
        </w:rPr>
        <w:t>diversificată de mărfuri</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este înconjurat de</w:t>
      </w:r>
      <w:r w:rsidRPr="00E0488D">
        <w:t xml:space="preserve"> </w:t>
      </w:r>
      <w:r w:rsidRPr="00E0488D">
        <w:rPr>
          <w:rStyle w:val="hps"/>
          <w:rFonts w:cs="Arial"/>
          <w:color w:val="000000" w:themeColor="text1"/>
        </w:rPr>
        <w:t>orașul</w:t>
      </w:r>
      <w:r w:rsidRPr="00E0488D">
        <w:t xml:space="preserve"> </w:t>
      </w:r>
      <w:r w:rsidRPr="00E0488D">
        <w:rPr>
          <w:rStyle w:val="hps"/>
          <w:rFonts w:cs="Arial"/>
          <w:color w:val="000000" w:themeColor="text1"/>
        </w:rPr>
        <w:t>Turnu</w:t>
      </w:r>
      <w:r w:rsidRPr="00E0488D">
        <w:rPr>
          <w:rStyle w:val="atn"/>
          <w:rFonts w:cs="Arial"/>
          <w:color w:val="000000" w:themeColor="text1"/>
        </w:rPr>
        <w:t>-</w:t>
      </w:r>
      <w:r w:rsidRPr="00E0488D">
        <w:t xml:space="preserve">Severin, </w:t>
      </w:r>
      <w:r w:rsidRPr="00E0488D">
        <w:rPr>
          <w:rStyle w:val="hps"/>
          <w:rFonts w:cs="Arial"/>
          <w:color w:val="000000" w:themeColor="text1"/>
        </w:rPr>
        <w:t>există spațiu</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raționalizare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w:t>
      </w:r>
      <w:r w:rsidRPr="00E0488D">
        <w:t xml:space="preserve">aranjare a </w:t>
      </w:r>
      <w:r w:rsidRPr="00E0488D">
        <w:rPr>
          <w:rStyle w:val="hps"/>
          <w:rFonts w:cs="Arial"/>
          <w:color w:val="000000" w:themeColor="text1"/>
        </w:rPr>
        <w:t>instalațiilor portuare</w:t>
      </w:r>
      <w:r w:rsidRPr="00E0488D">
        <w:t xml:space="preserve"> </w:t>
      </w:r>
      <w:r w:rsidRPr="00E0488D">
        <w:rPr>
          <w:rStyle w:val="hps"/>
          <w:rFonts w:cs="Arial"/>
          <w:color w:val="000000" w:themeColor="text1"/>
        </w:rPr>
        <w:t>pentru a crea</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spațiu</w:t>
      </w:r>
      <w:r w:rsidRPr="00E0488D">
        <w:t xml:space="preserve"> </w:t>
      </w:r>
      <w:r w:rsidRPr="00E0488D">
        <w:rPr>
          <w:rStyle w:val="hps"/>
          <w:rFonts w:cs="Arial"/>
          <w:color w:val="000000" w:themeColor="text1"/>
        </w:rPr>
        <w:t>adecvat</w:t>
      </w:r>
      <w:r w:rsidRPr="00E0488D">
        <w:t xml:space="preserve"> </w:t>
      </w:r>
      <w:r w:rsidRPr="00E0488D">
        <w:rPr>
          <w:rStyle w:val="hps"/>
          <w:rFonts w:cs="Arial"/>
          <w:color w:val="000000" w:themeColor="text1"/>
        </w:rPr>
        <w:t>unui</w:t>
      </w:r>
      <w:r w:rsidRPr="00E0488D">
        <w:t xml:space="preserve"> </w:t>
      </w:r>
      <w:r w:rsidRPr="00E0488D">
        <w:rPr>
          <w:rStyle w:val="hps"/>
          <w:rFonts w:cs="Arial"/>
          <w:color w:val="000000" w:themeColor="text1"/>
        </w:rPr>
        <w:t>terminal intermodal</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capabil</w:t>
      </w:r>
      <w:r w:rsidRPr="00E0488D">
        <w:t xml:space="preserve"> </w:t>
      </w:r>
      <w:r w:rsidRPr="00E0488D">
        <w:rPr>
          <w:rStyle w:val="hps"/>
          <w:rFonts w:cs="Arial"/>
          <w:color w:val="000000" w:themeColor="text1"/>
        </w:rPr>
        <w:t>să deservească</w:t>
      </w:r>
      <w:r w:rsidRPr="00E0488D">
        <w:t xml:space="preserve"> </w:t>
      </w:r>
      <w:r w:rsidRPr="00E0488D">
        <w:rPr>
          <w:rStyle w:val="hps"/>
          <w:rFonts w:cs="Arial"/>
          <w:color w:val="000000" w:themeColor="text1"/>
        </w:rPr>
        <w:t>atât</w:t>
      </w:r>
      <w:r w:rsidRPr="00E0488D">
        <w:t xml:space="preserve"> orașul </w:t>
      </w:r>
      <w:r w:rsidRPr="00E0488D">
        <w:rPr>
          <w:rStyle w:val="hps"/>
          <w:rFonts w:cs="Arial"/>
          <w:color w:val="000000" w:themeColor="text1"/>
        </w:rPr>
        <w:t>Craiova</w:t>
      </w:r>
      <w:r w:rsidRPr="00E0488D">
        <w:t xml:space="preserve"> cât </w:t>
      </w:r>
      <w:r w:rsidRPr="00E0488D">
        <w:rPr>
          <w:rStyle w:val="hps"/>
          <w:rFonts w:cs="Arial"/>
          <w:color w:val="000000" w:themeColor="text1"/>
        </w:rPr>
        <w:t>și</w:t>
      </w:r>
      <w:r w:rsidRPr="00E0488D">
        <w:t xml:space="preserve"> </w:t>
      </w:r>
      <w:r w:rsidRPr="00E0488D">
        <w:rPr>
          <w:rStyle w:val="hps"/>
          <w:rFonts w:cs="Arial"/>
          <w:color w:val="000000" w:themeColor="text1"/>
        </w:rPr>
        <w:t>Timișoara</w:t>
      </w:r>
      <w:r w:rsidRPr="00E0488D">
        <w:t>.</w:t>
      </w:r>
    </w:p>
    <w:p w:rsidR="00B4550A" w:rsidRPr="00E0488D" w:rsidRDefault="00B4550A" w:rsidP="002B7E09">
      <w:pPr>
        <w:pStyle w:val="NumberedParas"/>
      </w:pPr>
      <w:r w:rsidRPr="00E0488D">
        <w:rPr>
          <w:rStyle w:val="hps"/>
          <w:rFonts w:cs="Arial"/>
          <w:color w:val="000000" w:themeColor="text1"/>
        </w:rPr>
        <w:t>Calafat</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mic port</w:t>
      </w:r>
      <w:r w:rsidRPr="00E0488D">
        <w:t xml:space="preserve"> </w:t>
      </w:r>
      <w:r w:rsidRPr="00E0488D">
        <w:rPr>
          <w:rStyle w:val="hps"/>
          <w:rFonts w:cs="Arial"/>
          <w:color w:val="000000" w:themeColor="text1"/>
        </w:rPr>
        <w:t>orientat pe</w:t>
      </w:r>
      <w:r w:rsidRPr="00E0488D">
        <w:t xml:space="preserve"> </w:t>
      </w:r>
      <w:r w:rsidRPr="00E0488D">
        <w:rPr>
          <w:rStyle w:val="hps"/>
          <w:rFonts w:cs="Arial"/>
          <w:color w:val="000000" w:themeColor="text1"/>
        </w:rPr>
        <w:t>transportul de mărfuri vrac,</w:t>
      </w:r>
      <w:r w:rsidRPr="00E0488D">
        <w:t xml:space="preserve"> </w:t>
      </w:r>
      <w:r w:rsidRPr="00E0488D">
        <w:rPr>
          <w:rStyle w:val="hps"/>
          <w:rFonts w:cs="Arial"/>
          <w:color w:val="000000" w:themeColor="text1"/>
        </w:rPr>
        <w:t xml:space="preserve">are un </w:t>
      </w:r>
      <w:r w:rsidR="001205D0" w:rsidRPr="00E0488D">
        <w:rPr>
          <w:rStyle w:val="hps"/>
          <w:rFonts w:cs="Arial"/>
          <w:color w:val="000000" w:themeColor="text1"/>
        </w:rPr>
        <w:t>potențial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creștere</w:t>
      </w:r>
      <w:r w:rsidRPr="00E0488D">
        <w:t xml:space="preserve"> </w:t>
      </w:r>
      <w:r w:rsidRPr="00E0488D">
        <w:rPr>
          <w:rStyle w:val="hps"/>
          <w:rFonts w:cs="Arial"/>
          <w:color w:val="000000" w:themeColor="text1"/>
        </w:rPr>
        <w:t>ca urmare a construirii</w:t>
      </w:r>
      <w:r w:rsidRPr="00E0488D">
        <w:t xml:space="preserve"> </w:t>
      </w:r>
      <w:r w:rsidRPr="00E0488D">
        <w:rPr>
          <w:rStyle w:val="hps"/>
          <w:rFonts w:cs="Arial"/>
          <w:color w:val="000000" w:themeColor="text1"/>
        </w:rPr>
        <w:t>podului peste Dunăre</w:t>
      </w:r>
      <w:r w:rsidRPr="00E0488D">
        <w:t xml:space="preserve"> </w:t>
      </w:r>
      <w:r w:rsidRPr="00E0488D">
        <w:rPr>
          <w:rStyle w:val="hps"/>
          <w:rFonts w:cs="Arial"/>
          <w:color w:val="000000" w:themeColor="text1"/>
        </w:rPr>
        <w:t>Calafat</w:t>
      </w:r>
      <w:r w:rsidRPr="00E0488D">
        <w:rPr>
          <w:rStyle w:val="atn"/>
          <w:rFonts w:cs="Arial"/>
          <w:color w:val="000000" w:themeColor="text1"/>
        </w:rPr>
        <w:t>-</w:t>
      </w:r>
      <w:r w:rsidRPr="00E0488D">
        <w:t xml:space="preserve">Vidin. </w:t>
      </w:r>
      <w:r w:rsidRPr="00E0488D">
        <w:rPr>
          <w:rStyle w:val="hps"/>
          <w:rFonts w:cs="Arial"/>
          <w:color w:val="000000" w:themeColor="text1"/>
        </w:rPr>
        <w:t>Aceasta</w:t>
      </w:r>
      <w:r w:rsidRPr="00E0488D">
        <w:t xml:space="preserve"> creștere </w:t>
      </w:r>
      <w:r w:rsidRPr="00E0488D">
        <w:rPr>
          <w:rStyle w:val="hps"/>
          <w:rFonts w:cs="Arial"/>
          <w:color w:val="000000" w:themeColor="text1"/>
        </w:rPr>
        <w:t>va fi însoțită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o modernizare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 xml:space="preserve">reabilitare a </w:t>
      </w:r>
      <w:r w:rsidRPr="00E0488D">
        <w:t xml:space="preserve"> </w:t>
      </w:r>
      <w:r w:rsidRPr="00E0488D">
        <w:rPr>
          <w:rStyle w:val="hps"/>
          <w:rFonts w:cs="Arial"/>
          <w:color w:val="000000" w:themeColor="text1"/>
        </w:rPr>
        <w:t xml:space="preserve">legăturii feroviare </w:t>
      </w:r>
      <w:r w:rsidR="001205D0" w:rsidRPr="00E0488D">
        <w:rPr>
          <w:rStyle w:val="hps"/>
          <w:rFonts w:cs="Arial"/>
          <w:color w:val="000000" w:themeColor="text1"/>
        </w:rPr>
        <w:t>neelectrificate</w:t>
      </w:r>
      <w:r w:rsidRPr="00E0488D">
        <w:rPr>
          <w:rStyle w:val="hps"/>
          <w:rFonts w:cs="Arial"/>
          <w:color w:val="000000" w:themeColor="text1"/>
        </w:rPr>
        <w:t xml:space="preserve"> existente către 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w:t>
      </w:r>
      <w:r w:rsidRPr="00E0488D">
        <w:t xml:space="preserve">S), rezultând astfel o locație potențială adecvată. </w:t>
      </w:r>
      <w:r w:rsidRPr="00E0488D">
        <w:rPr>
          <w:rStyle w:val="hps"/>
          <w:rFonts w:cs="Arial"/>
          <w:color w:val="000000" w:themeColor="text1"/>
        </w:rPr>
        <w:t>Cu toate acestea</w:t>
      </w:r>
      <w:r w:rsidRPr="00E0488D">
        <w:t xml:space="preserve">, </w:t>
      </w:r>
      <w:r w:rsidRPr="00E0488D">
        <w:rPr>
          <w:rStyle w:val="hps"/>
          <w:rFonts w:cs="Arial"/>
          <w:color w:val="000000" w:themeColor="text1"/>
        </w:rPr>
        <w:t>se are în vedere faptul</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continua</w:t>
      </w:r>
      <w:r w:rsidRPr="00E0488D">
        <w:t xml:space="preserve"> </w:t>
      </w:r>
      <w:r w:rsidRPr="00E0488D">
        <w:rPr>
          <w:rStyle w:val="hps"/>
          <w:rFonts w:cs="Arial"/>
          <w:color w:val="000000" w:themeColor="text1"/>
        </w:rPr>
        <w:t>să se specializeze</w:t>
      </w:r>
      <w:r w:rsidRPr="00E0488D">
        <w:t xml:space="preserve"> </w:t>
      </w:r>
      <w:r w:rsidRPr="00E0488D">
        <w:rPr>
          <w:rStyle w:val="hps"/>
          <w:rFonts w:cs="Arial"/>
          <w:color w:val="000000" w:themeColor="text1"/>
        </w:rPr>
        <w:t>în transportul de mărfuri</w:t>
      </w:r>
      <w:r w:rsidRPr="00E0488D">
        <w:t xml:space="preserve"> </w:t>
      </w:r>
      <w:r w:rsidRPr="00E0488D">
        <w:rPr>
          <w:rStyle w:val="hps"/>
          <w:rFonts w:cs="Arial"/>
          <w:color w:val="000000" w:themeColor="text1"/>
        </w:rPr>
        <w:t>vrac</w:t>
      </w:r>
      <w:r w:rsidRPr="00E0488D">
        <w:t xml:space="preserve">, </w:t>
      </w:r>
      <w:r w:rsidRPr="00E0488D">
        <w:rPr>
          <w:rStyle w:val="hps"/>
          <w:rFonts w:cs="Arial"/>
          <w:color w:val="000000" w:themeColor="text1"/>
        </w:rPr>
        <w:t>mai ales</w:t>
      </w:r>
      <w:r w:rsidRPr="00E0488D">
        <w:t xml:space="preserve"> </w:t>
      </w:r>
      <w:r w:rsidRPr="00E0488D">
        <w:rPr>
          <w:rStyle w:val="hps"/>
          <w:rFonts w:cs="Arial"/>
          <w:color w:val="000000" w:themeColor="text1"/>
        </w:rPr>
        <w:t>ținând cont de faptul că</w:t>
      </w:r>
      <w:r w:rsidRPr="00E0488D">
        <w:t xml:space="preserve"> în P</w:t>
      </w:r>
      <w:r w:rsidRPr="00E0488D">
        <w:rPr>
          <w:rStyle w:val="hps"/>
          <w:rFonts w:cs="Arial"/>
          <w:color w:val="000000" w:themeColor="text1"/>
        </w:rPr>
        <w:t>ortul</w:t>
      </w:r>
      <w:r w:rsidRPr="00E0488D">
        <w:t xml:space="preserve"> </w:t>
      </w:r>
      <w:r w:rsidRPr="00E0488D">
        <w:rPr>
          <w:rStyle w:val="hps"/>
          <w:rFonts w:cs="Arial"/>
          <w:color w:val="000000" w:themeColor="text1"/>
        </w:rPr>
        <w:t>Vidin</w:t>
      </w:r>
      <w:r w:rsidRPr="00E0488D">
        <w:t xml:space="preserve"> </w:t>
      </w:r>
      <w:r w:rsidRPr="00E0488D">
        <w:rPr>
          <w:rStyle w:val="hps"/>
          <w:rFonts w:cs="Arial"/>
          <w:color w:val="000000" w:themeColor="text1"/>
        </w:rPr>
        <w:t>peste</w:t>
      </w:r>
      <w:r w:rsidRPr="00E0488D">
        <w:t xml:space="preserve"> </w:t>
      </w:r>
      <w:r w:rsidRPr="00E0488D">
        <w:rPr>
          <w:rStyle w:val="hps"/>
          <w:rFonts w:cs="Arial"/>
          <w:color w:val="000000" w:themeColor="text1"/>
        </w:rPr>
        <w:t>Dunăre</w:t>
      </w:r>
      <w:r w:rsidRPr="00E0488D">
        <w:t xml:space="preserve"> </w:t>
      </w:r>
      <w:r w:rsidRPr="00E0488D">
        <w:rPr>
          <w:rStyle w:val="hps"/>
          <w:rFonts w:cs="Arial"/>
          <w:color w:val="000000" w:themeColor="text1"/>
        </w:rPr>
        <w:t>se află</w:t>
      </w:r>
      <w:r w:rsidRPr="00E0488D">
        <w:t xml:space="preserve"> </w:t>
      </w:r>
      <w:r w:rsidRPr="00E0488D">
        <w:rPr>
          <w:rStyle w:val="hps"/>
          <w:rFonts w:cs="Arial"/>
          <w:color w:val="000000" w:themeColor="text1"/>
        </w:rPr>
        <w:t>în curs de dezvoltare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terminal de containere</w:t>
      </w:r>
      <w:r w:rsidRPr="00E0488D">
        <w:t xml:space="preserve">. </w:t>
      </w:r>
      <w:r w:rsidRPr="00E0488D">
        <w:rPr>
          <w:rStyle w:val="hps"/>
          <w:rFonts w:cs="Arial"/>
          <w:color w:val="000000" w:themeColor="text1"/>
        </w:rPr>
        <w:t>Acest lucru, combinat</w:t>
      </w:r>
      <w:r w:rsidRPr="00E0488D">
        <w:t xml:space="preserve"> </w:t>
      </w:r>
      <w:r w:rsidRPr="00E0488D">
        <w:rPr>
          <w:rStyle w:val="hps"/>
          <w:rFonts w:cs="Arial"/>
          <w:color w:val="000000" w:themeColor="text1"/>
        </w:rPr>
        <w:t>cu timpul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parcurs lung până la</w:t>
      </w:r>
      <w:r w:rsidRPr="00E0488D">
        <w:t xml:space="preserve"> </w:t>
      </w:r>
      <w:r w:rsidR="001205D0" w:rsidRPr="00E0488D">
        <w:rPr>
          <w:rStyle w:val="hps"/>
          <w:rFonts w:cs="Arial"/>
          <w:color w:val="000000" w:themeColor="text1"/>
        </w:rPr>
        <w:t>Timișoara</w:t>
      </w:r>
      <w:r w:rsidRPr="00E0488D">
        <w:t xml:space="preserve">, </w:t>
      </w:r>
      <w:r w:rsidRPr="00E0488D">
        <w:rPr>
          <w:rStyle w:val="hps"/>
          <w:rFonts w:cs="Arial"/>
          <w:color w:val="000000" w:themeColor="text1"/>
        </w:rPr>
        <w:t>nu constituie o recomandare</w:t>
      </w:r>
      <w:r w:rsidRPr="00E0488D">
        <w:t xml:space="preserve"> </w:t>
      </w:r>
      <w:r w:rsidRPr="00E0488D">
        <w:rPr>
          <w:rStyle w:val="hps"/>
          <w:rFonts w:cs="Arial"/>
          <w:color w:val="000000" w:themeColor="text1"/>
        </w:rPr>
        <w:t>de</w:t>
      </w:r>
      <w:r w:rsidRPr="00E0488D">
        <w:t xml:space="preserve"> </w:t>
      </w:r>
      <w:r w:rsidR="001205D0" w:rsidRPr="00E0488D">
        <w:rPr>
          <w:rStyle w:val="hps"/>
          <w:rFonts w:cs="Arial"/>
          <w:color w:val="000000" w:themeColor="text1"/>
        </w:rPr>
        <w:t>locație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un construirea unui</w:t>
      </w:r>
      <w:r w:rsidRPr="00E0488D">
        <w:t xml:space="preserve"> </w:t>
      </w:r>
      <w:r w:rsidRPr="00E0488D">
        <w:rPr>
          <w:rStyle w:val="hps"/>
          <w:rFonts w:cs="Arial"/>
          <w:color w:val="000000" w:themeColor="text1"/>
        </w:rPr>
        <w:t>terminal intermodal</w:t>
      </w:r>
      <w:r w:rsidRPr="00E0488D">
        <w:t xml:space="preserve"> </w:t>
      </w:r>
      <w:r w:rsidRPr="00E0488D">
        <w:rPr>
          <w:rStyle w:val="hps"/>
          <w:rFonts w:cs="Arial"/>
          <w:color w:val="000000" w:themeColor="text1"/>
        </w:rPr>
        <w:t>de vest</w:t>
      </w:r>
      <w:r w:rsidRPr="00E0488D">
        <w:t xml:space="preserve">. </w:t>
      </w:r>
    </w:p>
    <w:p w:rsidR="00B4550A" w:rsidRPr="00E0488D" w:rsidRDefault="00B4550A" w:rsidP="002B7E09">
      <w:pPr>
        <w:pStyle w:val="NumberedParas"/>
      </w:pPr>
      <w:r w:rsidRPr="00E0488D">
        <w:t>AECOM propune realizarea unui terminal tri-modal vestic la Drobeta-Turnu Severin.</w:t>
      </w:r>
    </w:p>
    <w:p w:rsidR="00B4550A" w:rsidRPr="00E0488D" w:rsidRDefault="00B4550A" w:rsidP="002B7E09">
      <w:pPr>
        <w:pStyle w:val="NumberedParas"/>
      </w:pPr>
      <w:r w:rsidRPr="00E0488D">
        <w:t>Vor rezulta astfel următoarele terminale tri-modale (Figura 6.7):</w:t>
      </w:r>
    </w:p>
    <w:p w:rsidR="00B4550A" w:rsidRPr="00E0488D" w:rsidRDefault="00B4550A" w:rsidP="00B4550A">
      <w:pPr>
        <w:jc w:val="center"/>
        <w:rPr>
          <w:lang w:val="ro-RO"/>
        </w:rPr>
      </w:pPr>
      <w:r w:rsidRPr="00E0488D">
        <w:rPr>
          <w:noProof/>
          <w:lang w:val="ro-RO" w:eastAsia="ro-RO"/>
        </w:rPr>
        <w:drawing>
          <wp:inline distT="0" distB="0" distL="0" distR="0">
            <wp:extent cx="5385983" cy="3802907"/>
            <wp:effectExtent l="19050" t="0" r="5167" b="0"/>
            <wp:docPr id="598" name="Picture 5" descr="F:\TMARKET\Freight\Projects\Romania Masterplan\Maps\Intermodal_teminals_tri-mo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MARKET\Freight\Projects\Romania Masterplan\Maps\Intermodal_teminals_tri-modal.jpg"/>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5397800" cy="3811250"/>
                    </a:xfrm>
                    <a:prstGeom prst="rect">
                      <a:avLst/>
                    </a:prstGeom>
                    <a:noFill/>
                    <a:ln w="9525">
                      <a:noFill/>
                      <a:miter lim="800000"/>
                      <a:headEnd/>
                      <a:tailEnd/>
                    </a:ln>
                  </pic:spPr>
                </pic:pic>
              </a:graphicData>
            </a:graphic>
          </wp:inline>
        </w:drawing>
      </w:r>
    </w:p>
    <w:p w:rsidR="00B4550A" w:rsidRPr="00E0488D" w:rsidRDefault="00B4550A" w:rsidP="00B4550A">
      <w:pPr>
        <w:keepNext/>
        <w:spacing w:before="120" w:line="276" w:lineRule="auto"/>
        <w:ind w:left="851"/>
        <w:rPr>
          <w:b/>
          <w:iCs/>
          <w:sz w:val="22"/>
          <w:szCs w:val="22"/>
          <w:lang w:val="ro-RO"/>
        </w:rPr>
      </w:pPr>
      <w:r w:rsidRPr="00E0488D">
        <w:rPr>
          <w:b/>
          <w:iCs/>
          <w:sz w:val="22"/>
          <w:szCs w:val="22"/>
          <w:lang w:val="ro-RO"/>
        </w:rPr>
        <w:t>Figura 6.7: Harta terminalelor tri-modale din România (Curente și propuse)</w:t>
      </w:r>
    </w:p>
    <w:p w:rsidR="00B4550A" w:rsidRPr="00E0488D" w:rsidRDefault="00B4550A" w:rsidP="002B7E09">
      <w:pPr>
        <w:pStyle w:val="NumberedParas"/>
      </w:pPr>
      <w:r w:rsidRPr="00E0488D">
        <w:t>Există un număr de proprietari sau operatori de terminale asociate anumitor porturi, iar tabelul următor prezintă localizarea acestor terminale. Acestea vor acoperi o gamă variată de mărfuri, dar multe vor fi specializate pe anumite tipuri de mărfuri cum ar fi produsele petroliere sau cerealele..</w:t>
      </w:r>
    </w:p>
    <w:p w:rsidR="00B4550A" w:rsidRPr="00E0488D" w:rsidRDefault="00B4550A" w:rsidP="00B4550A">
      <w:pPr>
        <w:pStyle w:val="Body"/>
        <w:ind w:left="851"/>
        <w:rPr>
          <w:b/>
          <w:i w:val="0"/>
          <w:lang w:val="ro-RO"/>
        </w:rPr>
      </w:pPr>
      <w:r w:rsidRPr="00E0488D">
        <w:rPr>
          <w:b/>
          <w:i w:val="0"/>
          <w:lang w:val="ro-RO"/>
        </w:rPr>
        <w:t>Tabelul 6.11 Locațiile porturilor din România care dispun de terminale private</w:t>
      </w:r>
    </w:p>
    <w:tbl>
      <w:tblPr>
        <w:tblStyle w:val="TableGrid"/>
        <w:tblW w:w="0" w:type="auto"/>
        <w:jc w:val="center"/>
        <w:tblLook w:val="04A0" w:firstRow="1" w:lastRow="0" w:firstColumn="1" w:lastColumn="0" w:noHBand="0" w:noVBand="1"/>
      </w:tblPr>
      <w:tblGrid>
        <w:gridCol w:w="3274"/>
        <w:gridCol w:w="2564"/>
      </w:tblGrid>
      <w:tr w:rsidR="00B4550A" w:rsidRPr="00E0488D" w:rsidTr="003C7FC8">
        <w:trPr>
          <w:jc w:val="center"/>
        </w:trPr>
        <w:tc>
          <w:tcPr>
            <w:tcW w:w="3274" w:type="dxa"/>
            <w:shd w:val="clear" w:color="auto" w:fill="63C1DF"/>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Terminal</w:t>
            </w:r>
          </w:p>
        </w:tc>
        <w:tc>
          <w:tcPr>
            <w:tcW w:w="2564" w:type="dxa"/>
            <w:shd w:val="clear" w:color="auto" w:fill="63C1DF"/>
            <w:vAlign w:val="center"/>
          </w:tcPr>
          <w:p w:rsidR="00B4550A" w:rsidRPr="00E0488D" w:rsidRDefault="00B4550A" w:rsidP="003C7FC8">
            <w:pPr>
              <w:spacing w:line="276" w:lineRule="auto"/>
              <w:jc w:val="center"/>
              <w:rPr>
                <w:b/>
                <w:sz w:val="22"/>
                <w:szCs w:val="22"/>
                <w:lang w:val="ro-RO"/>
              </w:rPr>
            </w:pPr>
            <w:r w:rsidRPr="00E0488D">
              <w:rPr>
                <w:b/>
                <w:sz w:val="22"/>
                <w:szCs w:val="22"/>
                <w:lang w:val="ro-RO"/>
              </w:rPr>
              <w:t>Locație</w:t>
            </w:r>
          </w:p>
        </w:tc>
      </w:tr>
      <w:tr w:rsidR="00B4550A" w:rsidRPr="00E0488D" w:rsidTr="003C7FC8">
        <w:trPr>
          <w:jc w:val="center"/>
        </w:trPr>
        <w:tc>
          <w:tcPr>
            <w:tcW w:w="3274" w:type="dxa"/>
          </w:tcPr>
          <w:p w:rsidR="00B4550A" w:rsidRPr="00E0488D" w:rsidRDefault="00B4550A" w:rsidP="003C7FC8">
            <w:pPr>
              <w:spacing w:line="276" w:lineRule="auto"/>
              <w:rPr>
                <w:sz w:val="22"/>
                <w:szCs w:val="22"/>
                <w:lang w:val="ro-RO"/>
              </w:rPr>
            </w:pPr>
            <w:r w:rsidRPr="00E0488D">
              <w:rPr>
                <w:sz w:val="22"/>
                <w:szCs w:val="22"/>
                <w:lang w:val="ro-RO"/>
              </w:rPr>
              <w:t>Portul Constanta</w:t>
            </w:r>
          </w:p>
        </w:tc>
        <w:tc>
          <w:tcPr>
            <w:tcW w:w="2564" w:type="dxa"/>
          </w:tcPr>
          <w:p w:rsidR="00B4550A" w:rsidRPr="00E0488D" w:rsidRDefault="00B4550A" w:rsidP="003C7FC8">
            <w:pPr>
              <w:spacing w:line="276" w:lineRule="auto"/>
              <w:rPr>
                <w:sz w:val="22"/>
                <w:szCs w:val="22"/>
                <w:lang w:val="ro-RO"/>
              </w:rPr>
            </w:pPr>
            <w:r w:rsidRPr="00E0488D">
              <w:rPr>
                <w:sz w:val="22"/>
                <w:szCs w:val="22"/>
                <w:lang w:val="ro-RO"/>
              </w:rPr>
              <w:t>Constanta</w:t>
            </w:r>
          </w:p>
        </w:tc>
      </w:tr>
      <w:tr w:rsidR="00B4550A" w:rsidRPr="00E0488D" w:rsidTr="003C7FC8">
        <w:trPr>
          <w:jc w:val="center"/>
        </w:trPr>
        <w:tc>
          <w:tcPr>
            <w:tcW w:w="3274" w:type="dxa"/>
          </w:tcPr>
          <w:p w:rsidR="00B4550A" w:rsidRPr="00E0488D" w:rsidRDefault="00B4550A" w:rsidP="003C7FC8">
            <w:pPr>
              <w:spacing w:line="276" w:lineRule="auto"/>
              <w:rPr>
                <w:sz w:val="22"/>
                <w:szCs w:val="22"/>
                <w:lang w:val="ro-RO"/>
              </w:rPr>
            </w:pPr>
            <w:r w:rsidRPr="00E0488D">
              <w:rPr>
                <w:sz w:val="22"/>
                <w:szCs w:val="22"/>
                <w:lang w:val="ro-RO"/>
              </w:rPr>
              <w:t xml:space="preserve">Portul </w:t>
            </w:r>
            <w:r w:rsidR="001205D0" w:rsidRPr="00E0488D">
              <w:rPr>
                <w:sz w:val="22"/>
                <w:szCs w:val="22"/>
                <w:lang w:val="ro-RO"/>
              </w:rPr>
              <w:t>Galați</w:t>
            </w:r>
          </w:p>
        </w:tc>
        <w:tc>
          <w:tcPr>
            <w:tcW w:w="2564" w:type="dxa"/>
          </w:tcPr>
          <w:p w:rsidR="00B4550A" w:rsidRPr="00E0488D" w:rsidRDefault="001205D0" w:rsidP="003C7FC8">
            <w:pPr>
              <w:spacing w:line="276" w:lineRule="auto"/>
              <w:rPr>
                <w:sz w:val="22"/>
                <w:szCs w:val="22"/>
                <w:lang w:val="ro-RO"/>
              </w:rPr>
            </w:pPr>
            <w:r w:rsidRPr="00E0488D">
              <w:rPr>
                <w:sz w:val="22"/>
                <w:szCs w:val="22"/>
                <w:lang w:val="ro-RO"/>
              </w:rPr>
              <w:t>Galați</w:t>
            </w:r>
          </w:p>
        </w:tc>
      </w:tr>
      <w:tr w:rsidR="00B4550A" w:rsidRPr="00E0488D" w:rsidTr="003C7FC8">
        <w:trPr>
          <w:jc w:val="center"/>
        </w:trPr>
        <w:tc>
          <w:tcPr>
            <w:tcW w:w="3274" w:type="dxa"/>
          </w:tcPr>
          <w:p w:rsidR="00B4550A" w:rsidRPr="00E0488D" w:rsidRDefault="00B4550A" w:rsidP="003C7FC8">
            <w:pPr>
              <w:spacing w:line="276" w:lineRule="auto"/>
              <w:rPr>
                <w:sz w:val="22"/>
                <w:szCs w:val="22"/>
                <w:lang w:val="ro-RO"/>
              </w:rPr>
            </w:pPr>
            <w:r w:rsidRPr="00E0488D">
              <w:rPr>
                <w:sz w:val="22"/>
                <w:szCs w:val="22"/>
                <w:lang w:val="ro-RO"/>
              </w:rPr>
              <w:t>Portul Tulcea</w:t>
            </w:r>
          </w:p>
        </w:tc>
        <w:tc>
          <w:tcPr>
            <w:tcW w:w="2564" w:type="dxa"/>
          </w:tcPr>
          <w:p w:rsidR="00B4550A" w:rsidRPr="00E0488D" w:rsidRDefault="00B4550A" w:rsidP="003C7FC8">
            <w:pPr>
              <w:spacing w:line="276" w:lineRule="auto"/>
              <w:rPr>
                <w:sz w:val="22"/>
                <w:szCs w:val="22"/>
                <w:lang w:val="ro-RO"/>
              </w:rPr>
            </w:pPr>
            <w:r w:rsidRPr="00E0488D">
              <w:rPr>
                <w:sz w:val="22"/>
                <w:szCs w:val="22"/>
                <w:lang w:val="ro-RO"/>
              </w:rPr>
              <w:t>Tulcea</w:t>
            </w:r>
          </w:p>
        </w:tc>
      </w:tr>
      <w:tr w:rsidR="00B4550A" w:rsidRPr="00E0488D" w:rsidTr="003C7FC8">
        <w:trPr>
          <w:jc w:val="center"/>
        </w:trPr>
        <w:tc>
          <w:tcPr>
            <w:tcW w:w="3274" w:type="dxa"/>
          </w:tcPr>
          <w:p w:rsidR="00B4550A" w:rsidRPr="00E0488D" w:rsidRDefault="00B4550A" w:rsidP="003C7FC8">
            <w:pPr>
              <w:spacing w:line="276" w:lineRule="auto"/>
              <w:rPr>
                <w:sz w:val="22"/>
                <w:szCs w:val="22"/>
                <w:lang w:val="ro-RO"/>
              </w:rPr>
            </w:pPr>
            <w:r w:rsidRPr="00E0488D">
              <w:rPr>
                <w:sz w:val="22"/>
                <w:szCs w:val="22"/>
                <w:lang w:val="ro-RO"/>
              </w:rPr>
              <w:t xml:space="preserve">Portul </w:t>
            </w:r>
            <w:r w:rsidR="001205D0" w:rsidRPr="00E0488D">
              <w:rPr>
                <w:sz w:val="22"/>
                <w:szCs w:val="22"/>
                <w:lang w:val="ro-RO"/>
              </w:rPr>
              <w:t>Brăila</w:t>
            </w:r>
          </w:p>
        </w:tc>
        <w:tc>
          <w:tcPr>
            <w:tcW w:w="2564" w:type="dxa"/>
          </w:tcPr>
          <w:p w:rsidR="00B4550A" w:rsidRPr="00E0488D" w:rsidRDefault="001205D0" w:rsidP="003C7FC8">
            <w:pPr>
              <w:spacing w:line="276" w:lineRule="auto"/>
              <w:rPr>
                <w:sz w:val="22"/>
                <w:szCs w:val="22"/>
                <w:lang w:val="ro-RO"/>
              </w:rPr>
            </w:pPr>
            <w:r w:rsidRPr="00E0488D">
              <w:rPr>
                <w:sz w:val="22"/>
                <w:szCs w:val="22"/>
                <w:lang w:val="ro-RO"/>
              </w:rPr>
              <w:t>Brăila</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Portul Giurgiu</w:t>
            </w:r>
          </w:p>
        </w:tc>
        <w:tc>
          <w:tcPr>
            <w:tcW w:w="2564" w:type="dxa"/>
            <w:vAlign w:val="center"/>
          </w:tcPr>
          <w:p w:rsidR="00B4550A" w:rsidRPr="00E0488D" w:rsidRDefault="00B4550A" w:rsidP="003C7FC8">
            <w:pPr>
              <w:spacing w:line="276" w:lineRule="auto"/>
              <w:rPr>
                <w:sz w:val="22"/>
                <w:szCs w:val="22"/>
                <w:lang w:val="ro-RO"/>
              </w:rPr>
            </w:pPr>
            <w:r w:rsidRPr="00E0488D">
              <w:rPr>
                <w:sz w:val="22"/>
                <w:szCs w:val="22"/>
                <w:lang w:val="ro-RO"/>
              </w:rPr>
              <w:t>Giurgiu</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Portul Calarasi</w:t>
            </w:r>
          </w:p>
        </w:tc>
        <w:tc>
          <w:tcPr>
            <w:tcW w:w="2564" w:type="dxa"/>
            <w:vAlign w:val="center"/>
          </w:tcPr>
          <w:p w:rsidR="00B4550A" w:rsidRPr="00E0488D" w:rsidRDefault="00B4550A" w:rsidP="003C7FC8">
            <w:pPr>
              <w:spacing w:line="276" w:lineRule="auto"/>
              <w:rPr>
                <w:sz w:val="22"/>
                <w:szCs w:val="22"/>
                <w:lang w:val="ro-RO"/>
              </w:rPr>
            </w:pPr>
            <w:r w:rsidRPr="00E0488D">
              <w:rPr>
                <w:sz w:val="22"/>
                <w:szCs w:val="22"/>
                <w:lang w:val="ro-RO"/>
              </w:rPr>
              <w:t>Calarasi</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 xml:space="preserve">Portul </w:t>
            </w:r>
            <w:r w:rsidR="001205D0" w:rsidRPr="00E0488D">
              <w:rPr>
                <w:sz w:val="22"/>
                <w:szCs w:val="22"/>
                <w:lang w:val="ro-RO"/>
              </w:rPr>
              <w:t>Oltenița</w:t>
            </w:r>
          </w:p>
        </w:tc>
        <w:tc>
          <w:tcPr>
            <w:tcW w:w="2564" w:type="dxa"/>
            <w:vAlign w:val="center"/>
          </w:tcPr>
          <w:p w:rsidR="00B4550A" w:rsidRPr="00E0488D" w:rsidRDefault="001205D0" w:rsidP="003C7FC8">
            <w:pPr>
              <w:spacing w:line="276" w:lineRule="auto"/>
              <w:rPr>
                <w:sz w:val="22"/>
                <w:szCs w:val="22"/>
                <w:lang w:val="ro-RO"/>
              </w:rPr>
            </w:pPr>
            <w:r w:rsidRPr="00E0488D">
              <w:rPr>
                <w:sz w:val="22"/>
                <w:szCs w:val="22"/>
                <w:lang w:val="ro-RO"/>
              </w:rPr>
              <w:t>Oltenița</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Portul Corabia</w:t>
            </w:r>
          </w:p>
        </w:tc>
        <w:tc>
          <w:tcPr>
            <w:tcW w:w="2564" w:type="dxa"/>
            <w:vAlign w:val="center"/>
          </w:tcPr>
          <w:p w:rsidR="00B4550A" w:rsidRPr="00E0488D" w:rsidRDefault="00B4550A" w:rsidP="003C7FC8">
            <w:pPr>
              <w:spacing w:line="276" w:lineRule="auto"/>
              <w:rPr>
                <w:sz w:val="22"/>
                <w:szCs w:val="22"/>
                <w:lang w:val="ro-RO"/>
              </w:rPr>
            </w:pPr>
            <w:r w:rsidRPr="00E0488D">
              <w:rPr>
                <w:sz w:val="22"/>
                <w:szCs w:val="22"/>
                <w:lang w:val="ro-RO"/>
              </w:rPr>
              <w:t>Corabia</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Portul Drobeta Turnu Severin</w:t>
            </w:r>
          </w:p>
        </w:tc>
        <w:tc>
          <w:tcPr>
            <w:tcW w:w="2564" w:type="dxa"/>
            <w:vAlign w:val="center"/>
          </w:tcPr>
          <w:p w:rsidR="00B4550A" w:rsidRPr="00E0488D" w:rsidRDefault="00B4550A" w:rsidP="003C7FC8">
            <w:pPr>
              <w:spacing w:line="276" w:lineRule="auto"/>
              <w:rPr>
                <w:sz w:val="22"/>
                <w:szCs w:val="22"/>
                <w:lang w:val="ro-RO"/>
              </w:rPr>
            </w:pPr>
            <w:r w:rsidRPr="00E0488D">
              <w:rPr>
                <w:sz w:val="22"/>
                <w:szCs w:val="22"/>
                <w:lang w:val="ro-RO"/>
              </w:rPr>
              <w:t>Drobeta Turnu Severin</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Portul Calafat</w:t>
            </w:r>
          </w:p>
        </w:tc>
        <w:tc>
          <w:tcPr>
            <w:tcW w:w="2564" w:type="dxa"/>
            <w:vAlign w:val="center"/>
          </w:tcPr>
          <w:p w:rsidR="00B4550A" w:rsidRPr="00E0488D" w:rsidRDefault="00B4550A" w:rsidP="003C7FC8">
            <w:pPr>
              <w:spacing w:line="276" w:lineRule="auto"/>
              <w:rPr>
                <w:sz w:val="22"/>
                <w:szCs w:val="22"/>
                <w:lang w:val="ro-RO"/>
              </w:rPr>
            </w:pPr>
            <w:r w:rsidRPr="00E0488D">
              <w:rPr>
                <w:sz w:val="22"/>
                <w:szCs w:val="22"/>
                <w:lang w:val="ro-RO"/>
              </w:rPr>
              <w:t>Calafat</w:t>
            </w:r>
          </w:p>
        </w:tc>
      </w:tr>
      <w:tr w:rsidR="00B4550A" w:rsidRPr="00E0488D" w:rsidTr="003C7FC8">
        <w:trPr>
          <w:jc w:val="center"/>
        </w:trPr>
        <w:tc>
          <w:tcPr>
            <w:tcW w:w="3274" w:type="dxa"/>
            <w:vAlign w:val="center"/>
          </w:tcPr>
          <w:p w:rsidR="00B4550A" w:rsidRPr="00E0488D" w:rsidRDefault="00B4550A" w:rsidP="003C7FC8">
            <w:pPr>
              <w:spacing w:line="276" w:lineRule="auto"/>
              <w:rPr>
                <w:sz w:val="22"/>
                <w:szCs w:val="22"/>
                <w:lang w:val="ro-RO"/>
              </w:rPr>
            </w:pPr>
            <w:r w:rsidRPr="00E0488D">
              <w:rPr>
                <w:sz w:val="22"/>
                <w:szCs w:val="22"/>
                <w:lang w:val="ro-RO"/>
              </w:rPr>
              <w:t xml:space="preserve">Portul </w:t>
            </w:r>
            <w:r w:rsidR="001205D0" w:rsidRPr="00E0488D">
              <w:rPr>
                <w:sz w:val="22"/>
                <w:szCs w:val="22"/>
                <w:lang w:val="ro-RO"/>
              </w:rPr>
              <w:t>Orșova</w:t>
            </w:r>
          </w:p>
        </w:tc>
        <w:tc>
          <w:tcPr>
            <w:tcW w:w="2564" w:type="dxa"/>
            <w:vAlign w:val="center"/>
          </w:tcPr>
          <w:p w:rsidR="00B4550A" w:rsidRPr="00E0488D" w:rsidRDefault="001205D0" w:rsidP="003C7FC8">
            <w:pPr>
              <w:spacing w:line="276" w:lineRule="auto"/>
              <w:rPr>
                <w:sz w:val="22"/>
                <w:szCs w:val="22"/>
                <w:lang w:val="ro-RO"/>
              </w:rPr>
            </w:pPr>
            <w:r w:rsidRPr="00E0488D">
              <w:rPr>
                <w:sz w:val="22"/>
                <w:szCs w:val="22"/>
                <w:lang w:val="ro-RO"/>
              </w:rPr>
              <w:t>Orșova</w:t>
            </w:r>
          </w:p>
        </w:tc>
      </w:tr>
    </w:tbl>
    <w:p w:rsidR="00B4550A" w:rsidRPr="00E0488D" w:rsidRDefault="00B4550A" w:rsidP="00B4550A">
      <w:pPr>
        <w:spacing w:line="276" w:lineRule="auto"/>
        <w:rPr>
          <w:sz w:val="22"/>
          <w:szCs w:val="22"/>
          <w:lang w:val="ro-RO"/>
        </w:rPr>
      </w:pPr>
    </w:p>
    <w:p w:rsidR="00B4550A" w:rsidRPr="00E0488D" w:rsidRDefault="00B4550A" w:rsidP="00B4550A">
      <w:pPr>
        <w:keepNext/>
        <w:shd w:val="clear" w:color="auto" w:fill="FFFFFF" w:themeFill="background1"/>
        <w:spacing w:before="120" w:line="276" w:lineRule="auto"/>
        <w:ind w:left="851"/>
        <w:rPr>
          <w:b/>
          <w:iCs/>
          <w:sz w:val="22"/>
          <w:szCs w:val="22"/>
          <w:lang w:val="ro-RO"/>
        </w:rPr>
      </w:pPr>
    </w:p>
    <w:p w:rsidR="00B4550A" w:rsidRPr="00E0488D" w:rsidRDefault="00B4550A" w:rsidP="00B4550A">
      <w:pPr>
        <w:pStyle w:val="Heading7"/>
        <w:shd w:val="clear" w:color="auto" w:fill="FFFFFF" w:themeFill="background1"/>
        <w:rPr>
          <w:lang w:val="ro-RO"/>
        </w:rPr>
      </w:pPr>
      <w:r w:rsidRPr="00E0488D">
        <w:rPr>
          <w:lang w:val="ro-RO"/>
        </w:rPr>
        <w:t xml:space="preserve">Fluviul Dunărea </w:t>
      </w:r>
    </w:p>
    <w:p w:rsidR="00B4550A" w:rsidRPr="00E0488D" w:rsidRDefault="00B4550A" w:rsidP="002B7E09">
      <w:pPr>
        <w:pStyle w:val="NumberedParas"/>
      </w:pPr>
      <w:r w:rsidRPr="00E0488D">
        <w:t xml:space="preserve">Fluviul Dunărea are puține puncte critice standard, precum trecerile prin ecluză. Singura ecluză de pe sectorul românesc se află lângă Porțile de Fier, la 1.890 m distanță de gura de vărsare a fluviului. Între Porțile de Fier și Brăila, Dunărea are o lățime de peste 2 km și numeroase insule. Datorită curenților, canalul de navigare este mutat de mai multe ori pe an, astfel că sunt necesare lucrări de întreținere pentru ca adâncimea apei să fie menținută la un nivel de minim 2,5 m. De asemenea, pot apărea probleme și în ceea ce privește lățimea canalului de navigare, pe care uneori este necesar să se circule doar într-un singur sens (spre deosebire de perioadele când se circulă în ambele direcții).  </w:t>
      </w:r>
    </w:p>
    <w:p w:rsidR="00B4550A" w:rsidRPr="00E0488D" w:rsidRDefault="00B4550A" w:rsidP="002B7E09">
      <w:pPr>
        <w:pStyle w:val="NumberedParas"/>
      </w:pPr>
      <w:r w:rsidRPr="00E0488D">
        <w:t>Nu se poate naviga pe Dunăre în fiecare zi a anului. Fenomenele meteorologice precum seceta, inundațiile sau gheața îngreunează navigarea și afectează fluxul de trafic. Gheața creează probleme pe durata lunilor de iarnă, iar în 2012 navigarea pe Dunăre a fost interzisă timp de trei luni, din pricina apei înghețate. Pe Dunăre nu există un spărgător de gheață specializat. Având în vedere că adâncimea fluviului variază pe toată durata anului, nivelul apei poate reprezenta o problemă. Un operator a estimat că operarea eficientă și neîntreruptă pe Dunăre se poate realiza pe o perioadă de 250 de zile pe an. Ceea ce înseamnă că timp de 100 de zile pentru a-și transmite mărfurile la destinație, operatorii sunt nevoiți să apeleze la alternative care presupun cheltuieli suplimentare sau să le transporte cu ajutorul barjelor mai puțin încărcate, sau, în cel mai rău caz, prin intermediul altor moduri de transport.</w:t>
      </w:r>
    </w:p>
    <w:p w:rsidR="00B4550A" w:rsidRPr="00E0488D" w:rsidRDefault="00B4550A" w:rsidP="002B7E09">
      <w:pPr>
        <w:pStyle w:val="NumberedParas"/>
      </w:pPr>
      <w:r w:rsidRPr="00E0488D">
        <w:t xml:space="preserve">Fluviul Dunărea este considerat de către ONU drept o cale navigabilă internațională, a cărei adâncime minimă trebuie să fie de 2,5 m, deși este de preferat ca apa să aibă o adâncime de       2,8 m. Dunărea are șapte sectoare unde apa scade cu regularitate sub 2,5 m, făcând navigarea imposibilă pe cursul inferior al apei, timp de 38 de zile în lunile septembrie și octombrie ale anului 2011, din cauza nivelului scăzut al apei. O barjă trebuie să aibă pescajul de 0,5 m, fără încărcătură și de până la 3 m când este încărcată la maxim. Această diferență permite operatorilor să estimeze ce volum de încărcătură pot transporta cu barjele, în funcție de nivelul apei. Împingătoarele sunt singurele ambarcațiuni care necesită o adâncime a apei de 1,8 – 2 m. Apele puțin adânci împiedică navigarea convoaielor formate din 2 sau 3 barje astfel încât unii operatori sunt nevoiți să reducă numărul barjelor la jumătate, restul urmând să se întoarcă din traseu. Când acest lucru se întâmplă pe sectorul Zimnicea, porțiunea de 150 km care în mod obișnuit se traversează în doar 6 ore, poate fi parcursă într-o perioadă de 1 sau 2 zile. De asemenea, mai există și problema legată de faptul că barjele trebuie să aibă un șenal navigabil suficient de larg pentru a le permite depășirea. </w:t>
      </w:r>
    </w:p>
    <w:p w:rsidR="00B4550A" w:rsidRPr="00E0488D" w:rsidRDefault="00B4550A" w:rsidP="002B7E09">
      <w:pPr>
        <w:pStyle w:val="NumberedParas"/>
      </w:pPr>
      <w:r w:rsidRPr="00E0488D">
        <w:t xml:space="preserve">Operatorii vor garanția ca adâncimea apei este de 2,5 m, deoarece, în caz contrar, nu pot opera mărfuri. Până în anul 2013, se lucrează la atingerea acestui obiectiv, prin dragaje intensive (secțiunea Călărași-Brăila), după care nivelul apei va fi menținut la o adâncime favorabilă, ceea ce va însemna un cost anual mai redus. În prezent, România cheltuie 4 milioane de euro anual pentru dragarea șenalelor, în timp ce Bulgaria cheltuie doar 100.000 de euro. </w:t>
      </w:r>
    </w:p>
    <w:p w:rsidR="00B4550A" w:rsidRPr="00E0488D" w:rsidRDefault="00B4550A" w:rsidP="002B7E09">
      <w:pPr>
        <w:pStyle w:val="NumberedParas"/>
      </w:pPr>
      <w:r w:rsidRPr="00E0488D">
        <w:t xml:space="preserve">Anumite sectoare ale Dunării, în special sectorul Zimnicea, pot fi afectate de prezența nisipurilor mișcătoare. Întreținerea anuală prin dragare ajută la evitarea acestei probleme, dar este o activitate ce presupune costuri mari și care nu garantează menținerea unui nivel constant al adâncimii, de 2,5 m. Pentru combaterea acestor fenomene, se prevede o administrare mai eficientă a apelor din sectoarele secundare. </w:t>
      </w:r>
    </w:p>
    <w:p w:rsidR="00B4550A" w:rsidRPr="00E0488D" w:rsidRDefault="00B4550A" w:rsidP="00B4550A">
      <w:pPr>
        <w:spacing w:line="276" w:lineRule="auto"/>
        <w:rPr>
          <w:lang w:val="ro-RO" w:eastAsia="en-GB"/>
        </w:rPr>
      </w:pPr>
      <w:r w:rsidRPr="00E0488D">
        <w:rPr>
          <w:noProof/>
          <w:lang w:val="ro-RO" w:eastAsia="ro-RO"/>
        </w:rPr>
        <w:drawing>
          <wp:inline distT="0" distB="0" distL="0" distR="0">
            <wp:extent cx="5273344" cy="3838354"/>
            <wp:effectExtent l="19050" t="0" r="3506" b="0"/>
            <wp:docPr id="599" name="Picture 3" descr="C:\Users\clarkegj\AppData\Local\Microsoft\Windows\Temporary Internet Files\Content.Outlook\TQMH87TY\Picture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rkegj\AppData\Local\Microsoft\Windows\Temporary Internet Files\Content.Outlook\TQMH87TY\Picture1.bmp"/>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5276850" cy="3840906"/>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6.8 – Puncte critice pentru navigarea pe Fluviul Dunărea </w:t>
      </w:r>
    </w:p>
    <w:p w:rsidR="00B4550A" w:rsidRPr="00E0488D" w:rsidRDefault="00B4550A" w:rsidP="00B4550A">
      <w:pPr>
        <w:spacing w:line="276" w:lineRule="auto"/>
        <w:rPr>
          <w:lang w:val="ro-RO" w:eastAsia="en-GB"/>
        </w:rPr>
      </w:pPr>
    </w:p>
    <w:p w:rsidR="00B4550A" w:rsidRPr="00E0488D" w:rsidRDefault="00B4550A" w:rsidP="002B7E09">
      <w:pPr>
        <w:pStyle w:val="NumberedParas"/>
      </w:pPr>
      <w:r w:rsidRPr="00E0488D">
        <w:t xml:space="preserve">Dunărea are puncte critice pe întreaga lungime a cursului în zonele unde adâncimea sau lățimea șenalului navigabil este redusă sub standardele optime (Figura 6.8 face o prezentare succintă a acestora). Temperaturile scăzute pot face ca Dunărea să înghețe și nu există spărgător de gheață specializat pentru sectorul românesc. </w:t>
      </w:r>
    </w:p>
    <w:p w:rsidR="00B4550A" w:rsidRPr="00E0488D" w:rsidRDefault="00B4550A" w:rsidP="002B7E09">
      <w:pPr>
        <w:pStyle w:val="NumberedParas"/>
      </w:pPr>
      <w:r w:rsidRPr="00E0488D">
        <w:t xml:space="preserve">Bugetul de întreținere al României destinat Dunării este redus comparativ cu bugetele altor țări și ar putea reprezenta unul dintre elementele care contribuie la problemele de navigație pe sectorul românesc. Din informațiile pe care le deținem la acest moment, se pare că există un buget chiar mai redus în România. </w:t>
      </w:r>
    </w:p>
    <w:p w:rsidR="00B4550A" w:rsidRPr="00E0488D" w:rsidRDefault="00B4550A" w:rsidP="002B7E09">
      <w:pPr>
        <w:pStyle w:val="NumberedParas"/>
      </w:pPr>
      <w:r w:rsidRPr="00E0488D">
        <w:t xml:space="preserve">Ca urmare a navigabilității reduse, a fost necesar ca navele să facă opriri neprogramate și a fost furată o parte din încărcătura de pe ele. </w:t>
      </w:r>
    </w:p>
    <w:p w:rsidR="00B4550A" w:rsidRPr="00E0488D" w:rsidRDefault="00B4550A" w:rsidP="00B4550A">
      <w:pPr>
        <w:pStyle w:val="Heading7"/>
        <w:rPr>
          <w:lang w:val="ro-RO"/>
        </w:rPr>
      </w:pPr>
      <w:r w:rsidRPr="00E0488D">
        <w:rPr>
          <w:lang w:val="ro-RO"/>
        </w:rPr>
        <w:t xml:space="preserve">Canalul Dunăre – Marea Neagră </w:t>
      </w:r>
    </w:p>
    <w:p w:rsidR="00B4550A" w:rsidRPr="00E0488D" w:rsidRDefault="00B4550A" w:rsidP="002B7E09">
      <w:pPr>
        <w:pStyle w:val="NumberedParas"/>
      </w:pPr>
      <w:r w:rsidRPr="00E0488D">
        <w:t xml:space="preserve">Canalul Dunăre – Marea Neagră se desfășoară între Cernavodă pe fluviul Dunărea și Constanța, la Marea Neagră. Canalul Dunăre – Marea Neagră a fost creat pentru a furniza o legătură mai scurtă între Dunăre și Marea Neagră, evitând astfel navigarea dificilă prin Delta Dunării. Canalul se bifurcă iar canalul principal continuă spre sud, înspre portul Constanța la Agigea. Canalul de nord ajunge la Marea Neagră, în portul Midia. </w:t>
      </w:r>
    </w:p>
    <w:p w:rsidR="00B4550A" w:rsidRPr="00E0488D" w:rsidRDefault="00B4550A" w:rsidP="002B7E09">
      <w:pPr>
        <w:pStyle w:val="NumberedParas"/>
      </w:pPr>
      <w:r w:rsidRPr="00E0488D">
        <w:t xml:space="preserve">Canalul Dunăre – Marea Neagră a fost proiectat pentru a facilita tranzitul convoaielor ce cuprind chiar și 6 barje, de până la 3.000 de tone fiecare (astfel până la 18.000 de tone per convoi). Pot trece prin canal nave de până la 5.000 de tone (care respectă gabaritul maxim). </w:t>
      </w:r>
    </w:p>
    <w:p w:rsidR="00B4550A" w:rsidRPr="00E0488D" w:rsidRDefault="00B4550A" w:rsidP="002B7E09">
      <w:pPr>
        <w:pStyle w:val="NumberedParas"/>
      </w:pPr>
      <w:r w:rsidRPr="00E0488D">
        <w:t xml:space="preserve">Există ecluze pe Canal la Cernavodă, Agigea, Năvodari sau Ovidiu. Administratorul canalului ACN tarifează trecerea prin Canal. </w:t>
      </w:r>
    </w:p>
    <w:p w:rsidR="00B4550A" w:rsidRPr="00E0488D" w:rsidRDefault="00B4550A" w:rsidP="002B7E09">
      <w:pPr>
        <w:pStyle w:val="NumberedParas"/>
        <w:numPr>
          <w:ilvl w:val="0"/>
          <w:numId w:val="0"/>
        </w:numPr>
        <w:ind w:left="822"/>
      </w:pPr>
    </w:p>
    <w:p w:rsidR="00B4550A" w:rsidRPr="00E0488D" w:rsidRDefault="00B4550A" w:rsidP="00B4550A">
      <w:pPr>
        <w:pStyle w:val="Heading7"/>
        <w:rPr>
          <w:szCs w:val="22"/>
          <w:lang w:val="ro-RO" w:eastAsia="en-GB"/>
        </w:rPr>
      </w:pPr>
      <w:r w:rsidRPr="00E0488D">
        <w:rPr>
          <w:szCs w:val="22"/>
          <w:lang w:val="ro-RO" w:eastAsia="en-GB"/>
        </w:rPr>
        <w:t>Canalul Sulina</w:t>
      </w:r>
    </w:p>
    <w:p w:rsidR="00B4550A" w:rsidRPr="00E0488D" w:rsidRDefault="00B4550A" w:rsidP="002B7E09">
      <w:pPr>
        <w:pStyle w:val="NumberedParas"/>
      </w:pPr>
      <w:r w:rsidRPr="00E0488D">
        <w:t xml:space="preserve">Canalul Sulina formează unul dintre cele trei brațe principale ale Dunării la trecerea acestea prin Deltă și vărsarea în Marea Neagră. Datorită curgerii naturale a apelor Dunării există o evoluție continuă a morfologiei fluviului. Brațele acestuia, inclusiv Canalul Sulina sunt în particular susceptibile în fața acestor </w:t>
      </w:r>
      <w:r w:rsidR="001205D0" w:rsidRPr="00E0488D">
        <w:t>schimbări</w:t>
      </w:r>
      <w:r w:rsidRPr="00E0488D">
        <w:t>.</w:t>
      </w:r>
    </w:p>
    <w:p w:rsidR="00B4550A" w:rsidRPr="00E0488D" w:rsidRDefault="00B4550A" w:rsidP="002B7E09">
      <w:pPr>
        <w:pStyle w:val="NumberedParas"/>
      </w:pPr>
      <w:r w:rsidRPr="00E0488D">
        <w:t xml:space="preserve">Modificările morfologice pot fi cauzate de o combinație de modificări care pot apăreai în destinația terenurilor, nivelul apei, velocitatea apei, ca urmare a valurilor provocate de trecerea navelor și a efectelor înghețului, care pot accelera evoluția morfologică a albiei în unele sectoare. Aceste fenomene au influențat Canalul Sulina în special în urma inundațiilor din 1970 și 1975 care au distrus aproape în întregime vechea protecție a malurilor. </w:t>
      </w:r>
    </w:p>
    <w:p w:rsidR="00B4550A" w:rsidRPr="00E0488D" w:rsidRDefault="00B4550A" w:rsidP="00BC2B57">
      <w:pPr>
        <w:pStyle w:val="BulletLevel1"/>
      </w:pPr>
      <w:r w:rsidRPr="00E0488D">
        <w:rPr>
          <w:b/>
        </w:rPr>
        <w:t>Problema:</w:t>
      </w:r>
      <w:r w:rsidRPr="00E0488D">
        <w:t xml:space="preserve"> Eroziunea malurilor Canalului Sulina amenință utilizarea canalului și a facilităților adiacente. Materialul erodat din maluri se depune la gura de vărsare în mare, formând bara Sulina. Fenomenul de eroziune pune, de asemenea, în pericol mari arii din rezervația naturală Delta Dunării..</w:t>
      </w:r>
    </w:p>
    <w:p w:rsidR="00B4550A" w:rsidRPr="00E0488D" w:rsidRDefault="00B4550A" w:rsidP="00BC2B57">
      <w:pPr>
        <w:pStyle w:val="BulletLevel1"/>
      </w:pPr>
      <w:r w:rsidRPr="00E0488D">
        <w:t xml:space="preserve">Soluția potențială: Introducerea măsurilor de restaurare și întreținere a malurilor care: </w:t>
      </w:r>
    </w:p>
    <w:p w:rsidR="00B4550A" w:rsidRPr="00E0488D" w:rsidRDefault="00B4550A" w:rsidP="00BC2B57">
      <w:pPr>
        <w:pStyle w:val="BulletLevel1"/>
      </w:pPr>
      <w:r w:rsidRPr="00E0488D">
        <w:t>Vor opri eroziunea în unele arii prin protejarea malurilor,</w:t>
      </w:r>
    </w:p>
    <w:p w:rsidR="00B4550A" w:rsidRPr="00E0488D" w:rsidRDefault="00B4550A" w:rsidP="00BC2B57">
      <w:pPr>
        <w:pStyle w:val="BulletLevel1"/>
      </w:pPr>
      <w:r w:rsidRPr="00E0488D">
        <w:t xml:space="preserve">Vor stabiliza și securiza navigabilitatea pe canal </w:t>
      </w:r>
    </w:p>
    <w:p w:rsidR="00B4550A" w:rsidRPr="00E0488D" w:rsidRDefault="00B4550A" w:rsidP="00BC2B57">
      <w:pPr>
        <w:pStyle w:val="BulletLevel1"/>
      </w:pPr>
      <w:r w:rsidRPr="00E0488D">
        <w:t xml:space="preserve">Vor reduce riscul de inundații al așezărilor costiere și al unităților economice amplasate de-a lungul canalului </w:t>
      </w:r>
    </w:p>
    <w:p w:rsidR="00B4550A" w:rsidRPr="00E0488D" w:rsidRDefault="00B4550A" w:rsidP="00BC2B57">
      <w:pPr>
        <w:pStyle w:val="BulletLevel1"/>
      </w:pPr>
      <w:r w:rsidRPr="00E0488D">
        <w:t>Vor crește protecția mediului pe acel sector.</w:t>
      </w:r>
    </w:p>
    <w:p w:rsidR="00B4550A" w:rsidRPr="00E0488D" w:rsidRDefault="00B4550A" w:rsidP="002B7E09">
      <w:pPr>
        <w:pStyle w:val="NumberedParas"/>
      </w:pPr>
      <w:r w:rsidRPr="00E0488D">
        <w:t>Adoptarea acestor măsuri va duce la creșterea siguranței navigației prin asigurarea stabilității generale a canalului. Aceasta este faza a doua a unui proiect aflat în desfășurare pentru Canalul Sulina.</w:t>
      </w:r>
    </w:p>
    <w:p w:rsidR="00B4550A" w:rsidRPr="00E0488D" w:rsidRDefault="00B4550A" w:rsidP="00B4550A">
      <w:pPr>
        <w:pStyle w:val="Heading7"/>
        <w:rPr>
          <w:szCs w:val="22"/>
          <w:lang w:val="ro-RO" w:eastAsia="en-GB"/>
        </w:rPr>
      </w:pPr>
      <w:r w:rsidRPr="00E0488D">
        <w:rPr>
          <w:szCs w:val="22"/>
          <w:lang w:val="ro-RO" w:eastAsia="en-GB"/>
        </w:rPr>
        <w:t>Sumar</w:t>
      </w:r>
    </w:p>
    <w:p w:rsidR="00B4550A" w:rsidRPr="00E0488D" w:rsidRDefault="00B4550A" w:rsidP="002B7E09">
      <w:pPr>
        <w:pStyle w:val="NumberedParas"/>
      </w:pPr>
      <w:r w:rsidRPr="00E0488D">
        <w:t xml:space="preserve">Tabelul 6.12 prezintă un sumar al problemelor identificate pentru fiecare port  </w:t>
      </w:r>
    </w:p>
    <w:p w:rsidR="00B4550A" w:rsidRPr="00E0488D" w:rsidRDefault="00B4550A" w:rsidP="002B7E09">
      <w:pPr>
        <w:pStyle w:val="NumberedParas"/>
        <w:numPr>
          <w:ilvl w:val="0"/>
          <w:numId w:val="0"/>
        </w:numPr>
        <w:ind w:left="851"/>
      </w:pPr>
      <w:r w:rsidRPr="00E0488D">
        <w:rPr>
          <w:lang w:eastAsia="en-GB"/>
        </w:rPr>
        <w:t xml:space="preserve">Tabelul 6.12 – Sumar al problemelor identificate în cazul porturilor </w:t>
      </w:r>
    </w:p>
    <w:tbl>
      <w:tblPr>
        <w:tblStyle w:val="TableGrid"/>
        <w:tblW w:w="0" w:type="auto"/>
        <w:tblLook w:val="04A0" w:firstRow="1" w:lastRow="0" w:firstColumn="1" w:lastColumn="0" w:noHBand="0" w:noVBand="1"/>
      </w:tblPr>
      <w:tblGrid>
        <w:gridCol w:w="2564"/>
        <w:gridCol w:w="1513"/>
        <w:gridCol w:w="1501"/>
        <w:gridCol w:w="1501"/>
        <w:gridCol w:w="1574"/>
        <w:gridCol w:w="1501"/>
      </w:tblGrid>
      <w:tr w:rsidR="00B4550A" w:rsidRPr="00E0488D" w:rsidTr="003C7FC8">
        <w:tc>
          <w:tcPr>
            <w:tcW w:w="2564" w:type="dxa"/>
            <w:vMerge w:val="restart"/>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Port</w:t>
            </w:r>
          </w:p>
        </w:tc>
        <w:tc>
          <w:tcPr>
            <w:tcW w:w="7590" w:type="dxa"/>
            <w:gridSpan w:val="5"/>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 xml:space="preserve">Probleme </w:t>
            </w:r>
            <w:r w:rsidR="001205D0" w:rsidRPr="00E0488D">
              <w:rPr>
                <w:sz w:val="22"/>
                <w:szCs w:val="22"/>
                <w:lang w:val="ro-RO"/>
              </w:rPr>
              <w:t>identificate</w:t>
            </w:r>
          </w:p>
        </w:tc>
      </w:tr>
      <w:tr w:rsidR="00B4550A" w:rsidRPr="00E0488D" w:rsidTr="003C7FC8">
        <w:tc>
          <w:tcPr>
            <w:tcW w:w="0" w:type="auto"/>
            <w:vMerge/>
            <w:tcBorders>
              <w:top w:val="single" w:sz="4" w:space="0" w:color="auto"/>
              <w:left w:val="single" w:sz="4" w:space="0" w:color="auto"/>
              <w:bottom w:val="single" w:sz="4" w:space="0" w:color="auto"/>
              <w:right w:val="single" w:sz="4" w:space="0" w:color="auto"/>
            </w:tcBorders>
            <w:vAlign w:val="center"/>
            <w:hideMark/>
          </w:tcPr>
          <w:p w:rsidR="00B4550A" w:rsidRPr="00E0488D" w:rsidRDefault="00B4550A" w:rsidP="003C7FC8">
            <w:pPr>
              <w:rPr>
                <w:sz w:val="22"/>
                <w:szCs w:val="22"/>
                <w:lang w:val="ro-RO"/>
              </w:rPr>
            </w:pP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Infrastructură veche sau nedezvoltată</w:t>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 xml:space="preserve">Conectivitate slabă </w:t>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Incapacitate de a opera fluxuri noi</w:t>
            </w:r>
          </w:p>
        </w:tc>
        <w:tc>
          <w:tcPr>
            <w:tcW w:w="157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Lipsa funcționalității intermodale</w:t>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Deficit de capacitate</w:t>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Constanța</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Tulcea</w:t>
            </w:r>
          </w:p>
        </w:tc>
        <w:tc>
          <w:tcPr>
            <w:tcW w:w="1513"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Galați</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7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Brăila</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Cernavodă</w:t>
            </w:r>
          </w:p>
        </w:tc>
        <w:tc>
          <w:tcPr>
            <w:tcW w:w="1513"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1205D0" w:rsidP="003C7FC8">
            <w:pPr>
              <w:rPr>
                <w:sz w:val="22"/>
                <w:szCs w:val="22"/>
                <w:lang w:val="ro-RO"/>
              </w:rPr>
            </w:pPr>
            <w:r w:rsidRPr="00E0488D">
              <w:rPr>
                <w:sz w:val="22"/>
                <w:szCs w:val="22"/>
                <w:lang w:val="ro-RO"/>
              </w:rPr>
              <w:t>Calarasi</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Oltenița</w:t>
            </w:r>
          </w:p>
        </w:tc>
        <w:tc>
          <w:tcPr>
            <w:tcW w:w="1513"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Giurgiu</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Corabia</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Calafat</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Drobeta Turnu Severin</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Orșova</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r>
      <w:tr w:rsidR="00B4550A" w:rsidRPr="00E0488D" w:rsidTr="003C7FC8">
        <w:tc>
          <w:tcPr>
            <w:tcW w:w="2564"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t>Moldova Veche</w:t>
            </w:r>
          </w:p>
        </w:tc>
        <w:tc>
          <w:tcPr>
            <w:tcW w:w="1513" w:type="dxa"/>
            <w:tcBorders>
              <w:top w:val="single" w:sz="4" w:space="0" w:color="auto"/>
              <w:left w:val="single" w:sz="4" w:space="0" w:color="auto"/>
              <w:bottom w:val="single" w:sz="4" w:space="0" w:color="auto"/>
              <w:right w:val="single" w:sz="4" w:space="0" w:color="auto"/>
            </w:tcBorders>
            <w:hideMark/>
          </w:tcPr>
          <w:p w:rsidR="00B4550A" w:rsidRPr="00E0488D" w:rsidRDefault="00B4550A" w:rsidP="003C7FC8">
            <w:pPr>
              <w:rPr>
                <w:sz w:val="22"/>
                <w:szCs w:val="22"/>
                <w:lang w:val="ro-RO"/>
              </w:rPr>
            </w:pPr>
            <w:r w:rsidRPr="00E0488D">
              <w:rPr>
                <w:sz w:val="22"/>
                <w:szCs w:val="22"/>
                <w:lang w:val="ro-RO"/>
              </w:rPr>
              <w:sym w:font="Wingdings" w:char="F0FC"/>
            </w: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74"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c>
          <w:tcPr>
            <w:tcW w:w="1501" w:type="dxa"/>
            <w:tcBorders>
              <w:top w:val="single" w:sz="4" w:space="0" w:color="auto"/>
              <w:left w:val="single" w:sz="4" w:space="0" w:color="auto"/>
              <w:bottom w:val="single" w:sz="4" w:space="0" w:color="auto"/>
              <w:right w:val="single" w:sz="4" w:space="0" w:color="auto"/>
            </w:tcBorders>
          </w:tcPr>
          <w:p w:rsidR="00B4550A" w:rsidRPr="00E0488D" w:rsidRDefault="00B4550A" w:rsidP="003C7FC8">
            <w:pPr>
              <w:rPr>
                <w:sz w:val="22"/>
                <w:szCs w:val="22"/>
                <w:lang w:val="ro-RO"/>
              </w:rPr>
            </w:pPr>
          </w:p>
        </w:tc>
      </w:tr>
    </w:tbl>
    <w:p w:rsidR="00B4550A" w:rsidRPr="00E0488D" w:rsidRDefault="00B4550A" w:rsidP="002B7E09">
      <w:pPr>
        <w:pStyle w:val="NumberedParas"/>
      </w:pPr>
      <w:r w:rsidRPr="00E0488D">
        <w:t xml:space="preserve">Problemele identificate pe fluviul Dunărea includ lipsa navigabilității continue, buget scăzut pentru mentenanță și nivel scăzut al siguranței și securității. </w:t>
      </w:r>
    </w:p>
    <w:p w:rsidR="00B4550A" w:rsidRPr="00E0488D" w:rsidRDefault="00B4550A" w:rsidP="002B7E09">
      <w:pPr>
        <w:pStyle w:val="NumberedParas"/>
        <w:numPr>
          <w:ilvl w:val="0"/>
          <w:numId w:val="0"/>
        </w:numPr>
        <w:ind w:left="680"/>
      </w:pPr>
    </w:p>
    <w:p w:rsidR="00B4550A" w:rsidRPr="00E0488D" w:rsidRDefault="00B4550A" w:rsidP="00BD59B2">
      <w:pPr>
        <w:pStyle w:val="Hdg2"/>
      </w:pPr>
      <w:bookmarkStart w:id="551" w:name="_Toc398279331"/>
      <w:bookmarkStart w:id="552" w:name="_Toc413060331"/>
      <w:r w:rsidRPr="00E0488D">
        <w:t>Obiective strategice</w:t>
      </w:r>
      <w:bookmarkEnd w:id="551"/>
      <w:bookmarkEnd w:id="552"/>
      <w:r w:rsidRPr="00E0488D">
        <w:t xml:space="preserve"> </w:t>
      </w:r>
    </w:p>
    <w:p w:rsidR="00B4550A" w:rsidRPr="00E0488D" w:rsidRDefault="00B4550A" w:rsidP="00B4550A">
      <w:pPr>
        <w:pStyle w:val="Hdg3"/>
      </w:pPr>
      <w:r w:rsidRPr="00E0488D">
        <w:t xml:space="preserve">Viziunea strategică </w:t>
      </w:r>
    </w:p>
    <w:p w:rsidR="00B4550A" w:rsidRPr="00E0488D" w:rsidRDefault="00B4550A" w:rsidP="002B7E09">
      <w:pPr>
        <w:pStyle w:val="NumberedParas"/>
      </w:pPr>
      <w:r w:rsidRPr="00E0488D">
        <w:t xml:space="preserve">Viziunea strategică pentru transportul navigabil din România poate fi definită pentru porturi și căile sale navigabile. Viziunea strategică va satisface următoarele obiective strategice: </w:t>
      </w:r>
    </w:p>
    <w:p w:rsidR="00B4550A" w:rsidRPr="00E0488D" w:rsidRDefault="00B4550A" w:rsidP="00BC2B57">
      <w:pPr>
        <w:pStyle w:val="BulletLevel1"/>
      </w:pPr>
      <w:r w:rsidRPr="00E0488D">
        <w:t xml:space="preserve">Dezvoltare economică </w:t>
      </w:r>
    </w:p>
    <w:p w:rsidR="00B4550A" w:rsidRPr="00E0488D" w:rsidRDefault="00B4550A" w:rsidP="00BC2B57">
      <w:pPr>
        <w:pStyle w:val="BulletLevel1"/>
      </w:pPr>
      <w:r w:rsidRPr="00E0488D">
        <w:t xml:space="preserve">Eficiență Economică </w:t>
      </w:r>
    </w:p>
    <w:p w:rsidR="00B4550A" w:rsidRPr="00E0488D" w:rsidRDefault="00B4550A" w:rsidP="00BC2B57">
      <w:pPr>
        <w:pStyle w:val="BulletLevel1"/>
      </w:pPr>
      <w:r w:rsidRPr="00E0488D">
        <w:t xml:space="preserve">Siguranță </w:t>
      </w:r>
    </w:p>
    <w:p w:rsidR="00B4550A" w:rsidRPr="00E0488D" w:rsidRDefault="00B4550A" w:rsidP="00BC2B57">
      <w:pPr>
        <w:pStyle w:val="BulletLevel1"/>
      </w:pPr>
      <w:r w:rsidRPr="00E0488D">
        <w:t>Sustenabilitate</w:t>
      </w:r>
    </w:p>
    <w:p w:rsidR="00B4550A" w:rsidRPr="00E0488D" w:rsidRDefault="00B4550A" w:rsidP="00BC2B57">
      <w:pPr>
        <w:pStyle w:val="BulletLevel1"/>
      </w:pPr>
      <w:r w:rsidRPr="00E0488D">
        <w:t xml:space="preserve">Impact asupra mediului </w:t>
      </w:r>
    </w:p>
    <w:p w:rsidR="00B4550A" w:rsidRPr="00E0488D" w:rsidRDefault="00B4550A" w:rsidP="002B7E09">
      <w:pPr>
        <w:pStyle w:val="NumberedParas"/>
      </w:pPr>
      <w:r w:rsidRPr="00E0488D">
        <w:t xml:space="preserve">Viziunea strategică pentru porturile din România este legată de o rețea de bază de porturi (denumită Rețeaua Economică Primară – Figura 6.9) care va deservi în mod strategic România cu echipament și practici logistice moderne și eficiente. Aceste porturi au fost alese pe baza unor criterii specifice precum încadrarea lor în rețeaua de porturi TEN-T, în funcție de dimensiune, operarea curentă și potențială de mărfuri și amplasament. </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lang w:val="ro-RO" w:eastAsia="en-GB"/>
        </w:rPr>
      </w:pPr>
      <w:r w:rsidRPr="00E0488D">
        <w:rPr>
          <w:noProof/>
          <w:lang w:val="ro-RO" w:eastAsia="ro-RO"/>
        </w:rPr>
        <w:drawing>
          <wp:inline distT="0" distB="0" distL="0" distR="0">
            <wp:extent cx="5276850" cy="3733800"/>
            <wp:effectExtent l="19050" t="0" r="0" b="0"/>
            <wp:docPr id="600" name="Picture 4" descr="C:\Users\turpinm\AppData\Local\Microsoft\Windows\Temporary Internet Files\Content.Outlook\RQJO0V1E\Ports_categories_primary_economic_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rpinm\AppData\Local\Microsoft\Windows\Temporary Internet Files\Content.Outlook\RQJO0V1E\Ports_categories_primary_economic_network.jpg"/>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5276850" cy="3733800"/>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rPr>
      </w:pPr>
      <w:r w:rsidRPr="00E0488D">
        <w:rPr>
          <w:b/>
          <w:sz w:val="22"/>
          <w:szCs w:val="22"/>
          <w:lang w:val="ro-RO" w:eastAsia="en-GB"/>
        </w:rPr>
        <w:t xml:space="preserve">Figura 6.9 – Rețeaua Economică Primară </w:t>
      </w:r>
    </w:p>
    <w:p w:rsidR="00B4550A" w:rsidRPr="00E0488D" w:rsidRDefault="00B4550A" w:rsidP="002B7E09">
      <w:pPr>
        <w:pStyle w:val="NumberedParas"/>
      </w:pPr>
      <w:r w:rsidRPr="00E0488D">
        <w:t>Obiectivele strategice care vor fi atinse pentru România sunt următoarele:</w:t>
      </w:r>
    </w:p>
    <w:p w:rsidR="00B4550A" w:rsidRPr="00E0488D" w:rsidRDefault="00B4550A" w:rsidP="00BC2B57">
      <w:pPr>
        <w:pStyle w:val="BulletLevel1"/>
      </w:pPr>
      <w:r w:rsidRPr="00E0488D">
        <w:t xml:space="preserve">Dezvoltare economică </w:t>
      </w:r>
    </w:p>
    <w:p w:rsidR="00B4550A" w:rsidRPr="00E0488D" w:rsidRDefault="00B4550A" w:rsidP="00BC2B57">
      <w:pPr>
        <w:pStyle w:val="BulletLevel1"/>
      </w:pPr>
      <w:r w:rsidRPr="00E0488D">
        <w:t xml:space="preserve">Eficiență economică </w:t>
      </w:r>
    </w:p>
    <w:p w:rsidR="00B4550A" w:rsidRPr="00E0488D" w:rsidRDefault="00B4550A" w:rsidP="00BC2B57">
      <w:pPr>
        <w:pStyle w:val="BulletLevel1"/>
      </w:pPr>
      <w:r w:rsidRPr="00E0488D">
        <w:t>Sustenabilitate</w:t>
      </w:r>
    </w:p>
    <w:p w:rsidR="00B4550A" w:rsidRPr="00E0488D" w:rsidRDefault="00B4550A" w:rsidP="00BC2B57">
      <w:pPr>
        <w:pStyle w:val="BulletLevel1"/>
      </w:pPr>
      <w:r w:rsidRPr="00E0488D">
        <w:t xml:space="preserve">Impact asupra mediului </w:t>
      </w:r>
    </w:p>
    <w:p w:rsidR="00B4550A" w:rsidRPr="00E0488D" w:rsidRDefault="00B4550A" w:rsidP="002B7E09">
      <w:pPr>
        <w:pStyle w:val="NumberedParas"/>
      </w:pPr>
      <w:r w:rsidRPr="00E0488D">
        <w:t xml:space="preserve">Viziunea strategică pentru căile navigabile ale României este reprezentată de o rețea care furnizează acces 24/7 pentru toți utilizatorii căilor navigabile. Acest lucru va asigura oferirea unor servicii constante, la standarde înalte, ceea ce le conferă operatorilor, călătorilor și transportatorilor de marfă încrederea de a utiliza căile navigabile. Acest lucru poate fi atins prin îmbunătățirea și menținerea șenalului navigabil la adâncimea necesară, de 2,5m și prin investițiile în elemente care vor reduce sau elimina impactul oricăror circumstanțe care pot duce la reducerea capacității de navigare, ce pot fi evitate; spre exemplu se pot achiziționa spărgătoare de gheață dedicate. </w:t>
      </w:r>
    </w:p>
    <w:p w:rsidR="00B4550A" w:rsidRPr="00E0488D" w:rsidRDefault="00B4550A" w:rsidP="00BD59B2">
      <w:pPr>
        <w:pStyle w:val="Hdg2"/>
      </w:pPr>
      <w:bookmarkStart w:id="553" w:name="_Toc398279332"/>
      <w:bookmarkStart w:id="554" w:name="_Toc413060332"/>
      <w:r w:rsidRPr="00E0488D">
        <w:t>Obiective operaționale</w:t>
      </w:r>
      <w:bookmarkEnd w:id="553"/>
      <w:bookmarkEnd w:id="554"/>
      <w:r w:rsidRPr="00E0488D">
        <w:t xml:space="preserve"> </w:t>
      </w:r>
    </w:p>
    <w:p w:rsidR="00B4550A" w:rsidRPr="00E0488D" w:rsidRDefault="00B4550A" w:rsidP="002B7E09">
      <w:pPr>
        <w:pStyle w:val="NumberedParas"/>
      </w:pPr>
      <w:r w:rsidRPr="00E0488D">
        <w:t>Obiectivele operaționale pentru transportul naval sunt:</w:t>
      </w:r>
    </w:p>
    <w:p w:rsidR="00B4550A" w:rsidRPr="00E0488D" w:rsidRDefault="00B4550A" w:rsidP="00BC2B57">
      <w:pPr>
        <w:pStyle w:val="BulletLevel1"/>
      </w:pPr>
      <w:r w:rsidRPr="00E0488D">
        <w:t xml:space="preserve">OW1 – Îmbunătățirea navigabilității Dunării </w:t>
      </w:r>
    </w:p>
    <w:p w:rsidR="00B4550A" w:rsidRPr="00E0488D" w:rsidRDefault="00B4550A" w:rsidP="00BC2B57">
      <w:pPr>
        <w:pStyle w:val="BulletLevel1"/>
      </w:pPr>
      <w:r w:rsidRPr="00E0488D">
        <w:t xml:space="preserve">OW2 – Îmbunătățirea legăturilor cu Dunărea pentru a reduce costurile și timpul </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 xml:space="preserve">OW4 – Reducerea costurilor prin eficiență operațională </w:t>
      </w:r>
    </w:p>
    <w:p w:rsidR="00B4550A" w:rsidRPr="00E0488D" w:rsidRDefault="00B4550A" w:rsidP="00BC2B57">
      <w:pPr>
        <w:pStyle w:val="BulletLevel1"/>
      </w:pPr>
      <w:r w:rsidRPr="00E0488D">
        <w:t xml:space="preserve">OW5 – Îmbunătățirea coordonării la nivel guvernamental și înlesnirea investițiilor </w:t>
      </w:r>
    </w:p>
    <w:p w:rsidR="00B4550A" w:rsidRPr="00E0488D" w:rsidRDefault="00B4550A" w:rsidP="00BC2B57">
      <w:pPr>
        <w:pStyle w:val="BulletLevel1"/>
      </w:pPr>
      <w:r w:rsidRPr="00E0488D">
        <w:t xml:space="preserve">OW6 – Revizuirea activelor existente pentru concentrarea pe creșterea capacității </w:t>
      </w:r>
    </w:p>
    <w:p w:rsidR="00B4550A" w:rsidRPr="00E0488D" w:rsidRDefault="00B4550A" w:rsidP="00BC2B57">
      <w:pPr>
        <w:pStyle w:val="BulletLevel1"/>
      </w:pPr>
      <w:r w:rsidRPr="00E0488D">
        <w:t xml:space="preserve">OW7 – Reducerea întârzierilor procedurale pentru transportul naval </w:t>
      </w:r>
    </w:p>
    <w:p w:rsidR="00B4550A" w:rsidRPr="00E0488D" w:rsidRDefault="00B4550A" w:rsidP="00BC2B57">
      <w:pPr>
        <w:pStyle w:val="BulletLevel1"/>
      </w:pPr>
      <w:r w:rsidRPr="00E0488D">
        <w:t xml:space="preserve">OW8 – Reducerea numărului de accidente pe Dunăre și a costurilor generate de acestea </w:t>
      </w:r>
    </w:p>
    <w:p w:rsidR="00B4550A" w:rsidRPr="00E0488D" w:rsidRDefault="00B4550A" w:rsidP="00BC2B57">
      <w:pPr>
        <w:pStyle w:val="BulletLevel1"/>
      </w:pPr>
      <w:r w:rsidRPr="00E0488D">
        <w:t xml:space="preserve">OW9 – Reducerea emisiilor de și a dioxidului de sulf </w:t>
      </w:r>
    </w:p>
    <w:p w:rsidR="00B4550A" w:rsidRPr="00E0488D" w:rsidRDefault="00B4550A" w:rsidP="00BC2B57">
      <w:pPr>
        <w:pStyle w:val="BulletLevel1"/>
      </w:pPr>
      <w:r w:rsidRPr="00E0488D">
        <w:t xml:space="preserve">OW10 – Creșterea volumului de mărfuri transportate prin moduri de transport sustenabile </w:t>
      </w:r>
    </w:p>
    <w:p w:rsidR="00B4550A" w:rsidRPr="00E0488D" w:rsidRDefault="00B4550A" w:rsidP="00BC2B57">
      <w:pPr>
        <w:pStyle w:val="BulletLevel1"/>
      </w:pPr>
      <w:r w:rsidRPr="00E0488D">
        <w:t xml:space="preserve">OW11 – Utilizarea eficientă a porturilor și a facilităților acestora </w:t>
      </w:r>
    </w:p>
    <w:p w:rsidR="00B4550A" w:rsidRPr="00E0488D" w:rsidRDefault="00B4550A" w:rsidP="00BC2B57">
      <w:pPr>
        <w:pStyle w:val="BulletLevel1"/>
      </w:pPr>
      <w:r w:rsidRPr="00E0488D">
        <w:t xml:space="preserve">OW12 – Creșterea gradului de utilizare a transportului intermodal </w:t>
      </w:r>
    </w:p>
    <w:p w:rsidR="00B4550A" w:rsidRPr="00E0488D" w:rsidRDefault="00B4550A" w:rsidP="002B7E09">
      <w:pPr>
        <w:pStyle w:val="NumberedParas"/>
      </w:pPr>
      <w:r w:rsidRPr="00E0488D">
        <w:t>Fiecare intervenție a fost analizată în contextul obiectivelor operaționale pentru a determina dacă se justifică. Procesul este explicat în Secțiunea 6.4.</w:t>
      </w:r>
    </w:p>
    <w:p w:rsidR="00B4550A" w:rsidRPr="00E0488D" w:rsidRDefault="00B4550A" w:rsidP="00BD59B2">
      <w:pPr>
        <w:pStyle w:val="Hdg2"/>
      </w:pPr>
      <w:bookmarkStart w:id="555" w:name="_Toc413060333"/>
      <w:bookmarkStart w:id="556" w:name="_Toc397041156"/>
      <w:r w:rsidRPr="00E0488D">
        <w:t>Testarea intervențiilor</w:t>
      </w:r>
      <w:bookmarkEnd w:id="555"/>
      <w:r w:rsidRPr="00E0488D">
        <w:t xml:space="preserve"> </w:t>
      </w:r>
      <w:bookmarkEnd w:id="556"/>
    </w:p>
    <w:p w:rsidR="00B4550A" w:rsidRPr="00E0488D" w:rsidRDefault="00B4550A" w:rsidP="002B7E09">
      <w:pPr>
        <w:pStyle w:val="NumberedParas"/>
      </w:pPr>
      <w:r w:rsidRPr="00E0488D">
        <w:t>Această secțiune ia în considerare rezultatele obținute în cadrul Modelului Național de Transport cu privire la intervenții. Trebuie notat faptul că unele intervenții nu au putut fi testate cu ajutorul Modelului și, deși anumite intervenții au fost testate ca parte a Master Planului Național de Transport, trebuie realizate studii de fezabilitate mai detaliate care să permită testarea ulterioară a intervențiilor listate, conform condițiilor pieței.</w:t>
      </w:r>
    </w:p>
    <w:p w:rsidR="00B4550A" w:rsidRPr="00E0488D" w:rsidRDefault="00B4550A" w:rsidP="002B7E09">
      <w:pPr>
        <w:pStyle w:val="NumberedParas"/>
      </w:pPr>
      <w:r w:rsidRPr="00E0488D">
        <w:t>În cazul în care un port are mai multe proiecte de dezvoltare se poate lua în considerare ideea comasării unor componente, cum ar fi componenta costurilor. Aceste considerente vor fi analizate și combinarea costurilor se va planifica în cadrul unor studii de fezabilitate detaliate. Pentru elaborarea Master Planului, însă, costurile proiectelor au fost analizate separat.</w:t>
      </w:r>
    </w:p>
    <w:p w:rsidR="00B4550A" w:rsidRPr="00E0488D" w:rsidRDefault="00B4550A" w:rsidP="002B7E09">
      <w:pPr>
        <w:pStyle w:val="NumberedParas"/>
        <w:numPr>
          <w:ilvl w:val="0"/>
          <w:numId w:val="0"/>
        </w:numPr>
        <w:ind w:left="1531"/>
        <w:rPr>
          <w:highlight w:val="yellow"/>
        </w:rPr>
      </w:pP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1531"/>
      </w:pPr>
    </w:p>
    <w:p w:rsidR="00B4550A" w:rsidRPr="00E0488D" w:rsidRDefault="00B4550A" w:rsidP="00B4550A">
      <w:pPr>
        <w:spacing w:line="276" w:lineRule="auto"/>
        <w:rPr>
          <w:b/>
          <w:sz w:val="22"/>
          <w:szCs w:val="22"/>
          <w:lang w:val="ro-RO"/>
        </w:rPr>
      </w:pPr>
      <w:r w:rsidRPr="00E0488D">
        <w:rPr>
          <w:b/>
          <w:sz w:val="22"/>
          <w:szCs w:val="22"/>
          <w:lang w:val="ro-RO"/>
        </w:rPr>
        <w:t>Constanța:</w:t>
      </w:r>
    </w:p>
    <w:p w:rsidR="00B4550A" w:rsidRPr="00E0488D" w:rsidRDefault="00B4550A" w:rsidP="00B4550A">
      <w:pPr>
        <w:spacing w:line="276" w:lineRule="auto"/>
        <w:rPr>
          <w:b/>
          <w:sz w:val="22"/>
          <w:szCs w:val="22"/>
          <w:lang w:val="ro-RO"/>
        </w:rPr>
      </w:pPr>
      <w:r w:rsidRPr="00E0488D">
        <w:rPr>
          <w:b/>
          <w:sz w:val="22"/>
          <w:szCs w:val="22"/>
          <w:lang w:val="ro-RO"/>
        </w:rPr>
        <w:t>Construcția unui nou terminal de containere la Constanța (III &amp; IVS)</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Sudul Portului Constanța oferă potențial de dezvoltare pentru un terminal de containere, cu avantajul principal conferit de adâncimea mare pentru dane. Ar trebui dezvoltate mai multe facilități pentru manevrarea containerelor încărcate și descărcate, conform estimărilor de trafic pentru a putea asigura un grad ridicat de competitivitate al portului Constanța cu alte porturi mari de containere. Deși capacitatea curentă din portul Constanța este suficientă, aceasta este considerată inadecvată pentru dezvoltare pe termen lung pe viitor. Oricare astfel de soluție ar trebui să fie etapizată conform condițiilor de piață. </w:t>
      </w:r>
    </w:p>
    <w:p w:rsidR="00B4550A" w:rsidRPr="00E0488D" w:rsidRDefault="00B4550A" w:rsidP="002B7E09">
      <w:pPr>
        <w:pStyle w:val="NumberedParas"/>
      </w:pPr>
      <w:r w:rsidRPr="00E0488D">
        <w:t xml:space="preserve">În mod specific, proiectul va încorpora: </w:t>
      </w:r>
    </w:p>
    <w:p w:rsidR="00B4550A" w:rsidRPr="00E0488D" w:rsidRDefault="00B4550A" w:rsidP="00BC2B57">
      <w:pPr>
        <w:pStyle w:val="BulletLevel1"/>
      </w:pPr>
      <w:r w:rsidRPr="00E0488D">
        <w:t xml:space="preserve">Operarea în siguranță și facilități de depozitare </w:t>
      </w:r>
    </w:p>
    <w:p w:rsidR="00B4550A" w:rsidRPr="00E0488D" w:rsidRDefault="00B4550A" w:rsidP="00BC2B57">
      <w:pPr>
        <w:pStyle w:val="BulletLevel1"/>
      </w:pPr>
      <w:r w:rsidRPr="00E0488D">
        <w:t xml:space="preserve">Macarale mobile sau STS pentru încărcarea și descărcarea navelor </w:t>
      </w:r>
    </w:p>
    <w:p w:rsidR="00B4550A" w:rsidRPr="00E0488D" w:rsidRDefault="00B4550A" w:rsidP="00B4550A">
      <w:pPr>
        <w:pStyle w:val="ListParagraph"/>
        <w:spacing w:before="120" w:after="120" w:line="276" w:lineRule="auto"/>
        <w:ind w:left="0"/>
        <w:rPr>
          <w:lang w:val="ro-RO" w:eastAsia="en-GB"/>
        </w:rPr>
      </w:pPr>
      <w:r w:rsidRPr="00E0488D">
        <w:rPr>
          <w:noProof/>
          <w:lang w:val="ro-RO" w:eastAsia="ro-RO"/>
        </w:rPr>
        <w:drawing>
          <wp:inline distT="0" distB="0" distL="0" distR="0">
            <wp:extent cx="5241925" cy="4582795"/>
            <wp:effectExtent l="19050" t="19050" r="15875" b="27305"/>
            <wp:docPr id="6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5241925" cy="4582795"/>
                    </a:xfrm>
                    <a:prstGeom prst="rect">
                      <a:avLst/>
                    </a:prstGeom>
                    <a:noFill/>
                    <a:ln w="6350" cmpd="sng">
                      <a:solidFill>
                        <a:srgbClr val="000000"/>
                      </a:solidFill>
                      <a:miter lim="800000"/>
                      <a:headEnd/>
                      <a:tailEnd/>
                    </a:ln>
                    <a:effectLst/>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6.10 – Planuri pentru un nou terminal de containere la Constanța </w:t>
      </w:r>
    </w:p>
    <w:p w:rsidR="00B4550A" w:rsidRPr="00E0488D" w:rsidRDefault="00B4550A" w:rsidP="00B4550A">
      <w:pPr>
        <w:pStyle w:val="Frspaiere1"/>
        <w:rPr>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abordate:</w:t>
      </w:r>
    </w:p>
    <w:p w:rsidR="00B4550A" w:rsidRPr="00E0488D" w:rsidRDefault="00B4550A" w:rsidP="002B7E09">
      <w:pPr>
        <w:pStyle w:val="NumberedParas"/>
      </w:pPr>
      <w:r w:rsidRPr="00E0488D">
        <w:t>Această intervenție atinge următoarele probleme aferente portului Constanța:</w:t>
      </w:r>
    </w:p>
    <w:p w:rsidR="00B4550A" w:rsidRPr="00E0488D" w:rsidRDefault="00B4550A" w:rsidP="00BC2B57">
      <w:pPr>
        <w:pStyle w:val="BulletLevel1"/>
      </w:pPr>
      <w:r w:rsidRPr="00E0488D">
        <w:t xml:space="preserve">Lipsa infrastructurii moderne </w:t>
      </w:r>
    </w:p>
    <w:p w:rsidR="00B4550A" w:rsidRPr="00E0488D" w:rsidRDefault="00B4550A" w:rsidP="00BC2B57">
      <w:pPr>
        <w:pStyle w:val="BulletLevel1"/>
      </w:pPr>
      <w:r w:rsidRPr="00E0488D">
        <w:t xml:space="preserve">Estimarea atingerii capacității maxime </w:t>
      </w:r>
    </w:p>
    <w:p w:rsidR="00B4550A" w:rsidRPr="00E0488D" w:rsidRDefault="00B4550A" w:rsidP="00BC2B57">
      <w:pPr>
        <w:pStyle w:val="BulletLevel1"/>
      </w:pPr>
      <w:r w:rsidRPr="00E0488D">
        <w:t xml:space="preserve">Creșterea competitivității cu alte porturi prin asigurarea faptului că portul Constanța rămâne o alegere atractivă pentru transportatori internaționali de mărfuri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ar satisface următoarele obiective operaționale:</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OW4 – Reducerea costurilor prin eficiență operațională</w:t>
      </w:r>
    </w:p>
    <w:p w:rsidR="00B4550A" w:rsidRPr="00E0488D" w:rsidRDefault="00B4550A" w:rsidP="00BC2B57">
      <w:pPr>
        <w:pStyle w:val="BulletLevel1"/>
      </w:pPr>
      <w:r w:rsidRPr="00E0488D">
        <w:t xml:space="preserve">OW10 – Creșterea volumului de mărfuri transportate prin moduri de transport sustenabile </w:t>
      </w:r>
    </w:p>
    <w:p w:rsidR="00B4550A" w:rsidRPr="00E0488D" w:rsidRDefault="00B4550A" w:rsidP="00BC2B57">
      <w:pPr>
        <w:pStyle w:val="BulletLevel1"/>
      </w:pPr>
      <w:r w:rsidRPr="00E0488D">
        <w:t xml:space="preserve">OW12 – Creșterea gradului de utilizare a transportului intermodal </w:t>
      </w:r>
    </w:p>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Piață potențială </w:t>
      </w:r>
    </w:p>
    <w:p w:rsidR="00B4550A" w:rsidRPr="00E0488D" w:rsidRDefault="00B4550A" w:rsidP="002B7E09">
      <w:pPr>
        <w:pStyle w:val="NumberedParas"/>
      </w:pPr>
      <w:r w:rsidRPr="00E0488D">
        <w:t xml:space="preserve">Această propunere ar viza operațiunile cu containere mari din cadrul portului Constanța. </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Au fost estimate următoarele costuri pentru proiect:</w:t>
      </w:r>
    </w:p>
    <w:p w:rsidR="00B4550A" w:rsidRPr="00E0488D" w:rsidRDefault="00B4550A" w:rsidP="002B7E09">
      <w:pPr>
        <w:pStyle w:val="NumberedParas"/>
        <w:numPr>
          <w:ilvl w:val="0"/>
          <w:numId w:val="0"/>
        </w:numPr>
        <w:rPr>
          <w:lang w:eastAsia="en-GB"/>
        </w:rPr>
      </w:pPr>
      <w:r w:rsidRPr="00E0488D">
        <w:rPr>
          <w:lang w:eastAsia="en-GB"/>
        </w:rPr>
        <w:t>Tabelul 6.13 – Costuri neactualizate ale proiectului</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r w:rsidRPr="00E0488D">
              <w:rPr>
                <w:b/>
                <w:bCs/>
                <w:lang w:val="ro-RO"/>
              </w:rPr>
              <w:t xml:space="preserve">Articol </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 xml:space="preserve">Descrierea îmbunătățirilor incluse </w:t>
            </w:r>
          </w:p>
        </w:tc>
      </w:tr>
      <w:tr w:rsidR="00B4550A" w:rsidRPr="00E0488D" w:rsidTr="003C7FC8">
        <w:trPr>
          <w:cantSplit/>
        </w:trPr>
        <w:tc>
          <w:tcPr>
            <w:tcW w:w="722" w:type="pct"/>
            <w:vAlign w:val="center"/>
          </w:tcPr>
          <w:p w:rsidR="00B4550A" w:rsidRPr="00E0488D" w:rsidRDefault="00B4550A" w:rsidP="003C7FC8">
            <w:pPr>
              <w:spacing w:before="120" w:line="276" w:lineRule="auto"/>
              <w:rPr>
                <w:b/>
                <w:bCs/>
                <w:lang w:val="ro-RO"/>
              </w:rPr>
            </w:pPr>
            <w:r w:rsidRPr="00E0488D">
              <w:rPr>
                <w:b/>
                <w:bCs/>
                <w:lang w:val="ro-RO"/>
              </w:rPr>
              <w:t>Costuri</w:t>
            </w:r>
          </w:p>
        </w:tc>
        <w:tc>
          <w:tcPr>
            <w:tcW w:w="1330" w:type="pct"/>
            <w:vAlign w:val="center"/>
          </w:tcPr>
          <w:p w:rsidR="00B4550A" w:rsidRPr="00E0488D" w:rsidRDefault="00B4550A" w:rsidP="00215CA1">
            <w:pPr>
              <w:spacing w:before="120" w:line="276" w:lineRule="auto"/>
              <w:jc w:val="center"/>
              <w:rPr>
                <w:b/>
                <w:bCs/>
                <w:lang w:val="ro-RO"/>
              </w:rPr>
            </w:pPr>
            <w:r w:rsidRPr="00E0488D">
              <w:rPr>
                <w:b/>
                <w:bCs/>
                <w:lang w:val="ro-RO"/>
              </w:rPr>
              <w:t>351</w:t>
            </w:r>
            <w:r w:rsidR="00215CA1" w:rsidRPr="00E0488D">
              <w:rPr>
                <w:b/>
                <w:bCs/>
                <w:lang w:val="ro-RO"/>
              </w:rPr>
              <w:t>.</w:t>
            </w:r>
            <w:r w:rsidRPr="00E0488D">
              <w:rPr>
                <w:b/>
                <w:bCs/>
                <w:lang w:val="ro-RO"/>
              </w:rPr>
              <w:t>1</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Nou terminal de containere </w:t>
            </w:r>
          </w:p>
          <w:p w:rsidR="00B4550A" w:rsidRPr="00E0488D" w:rsidRDefault="00B4550A" w:rsidP="003C7FC8">
            <w:pPr>
              <w:spacing w:before="120" w:line="276" w:lineRule="auto"/>
              <w:rPr>
                <w:b/>
                <w:bCs/>
                <w:lang w:val="ro-RO"/>
              </w:rPr>
            </w:pPr>
            <w:r w:rsidRPr="00E0488D">
              <w:rPr>
                <w:b/>
                <w:bCs/>
                <w:lang w:val="ro-RO"/>
              </w:rPr>
              <w:t xml:space="preserve">Zonă de operare și depozitare </w:t>
            </w:r>
          </w:p>
          <w:p w:rsidR="00B4550A" w:rsidRPr="00E0488D" w:rsidRDefault="00B4550A" w:rsidP="003C7FC8">
            <w:pPr>
              <w:spacing w:before="120" w:line="276" w:lineRule="auto"/>
              <w:rPr>
                <w:b/>
                <w:bCs/>
                <w:lang w:val="ro-RO"/>
              </w:rPr>
            </w:pPr>
            <w:r w:rsidRPr="00E0488D">
              <w:rPr>
                <w:b/>
                <w:bCs/>
                <w:lang w:val="ro-RO"/>
              </w:rPr>
              <w:t xml:space="preserve">Macarale mobile sau STS </w:t>
            </w:r>
          </w:p>
        </w:tc>
      </w:tr>
    </w:tbl>
    <w:p w:rsidR="00B4550A" w:rsidRPr="00E0488D" w:rsidRDefault="00B4550A" w:rsidP="00B4550A">
      <w:pPr>
        <w:spacing w:line="276" w:lineRule="auto"/>
        <w:rPr>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Intervenția oferă beneficii satisfăcătoare cu un raport beneficiu-cost (RBC) de 2,02. Se estimează că terminalul va genera operarea a aproximativ 600.000 de tone de mărfuri containerizate suplimentare în portul Constanța, până în 2020. Pornind de la aceste rezultate favorabile, se recomandă includerea acestui proiect în Master Plan. </w:t>
      </w:r>
    </w:p>
    <w:p w:rsidR="00215CA1" w:rsidRPr="00E0488D" w:rsidRDefault="00215CA1" w:rsidP="002B7E09">
      <w:pPr>
        <w:pStyle w:val="NumberedParas"/>
        <w:numPr>
          <w:ilvl w:val="0"/>
          <w:numId w:val="0"/>
        </w:numPr>
        <w:rPr>
          <w:lang w:eastAsia="en-GB"/>
        </w:rPr>
      </w:pPr>
      <w:r w:rsidRPr="00E0488D">
        <w:rPr>
          <w:lang w:eastAsia="en-GB"/>
        </w:rPr>
        <w:t>Tabelul 6 .14 – Rezultatele modelate ale proiectului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1628"/>
      </w:tblGrid>
      <w:tr w:rsidR="00B4550A" w:rsidRPr="00E0488D" w:rsidTr="003C7FC8">
        <w:tc>
          <w:tcPr>
            <w:tcW w:w="3447" w:type="dxa"/>
            <w:vAlign w:val="center"/>
          </w:tcPr>
          <w:p w:rsidR="00B4550A" w:rsidRPr="00E0488D" w:rsidRDefault="00B4550A" w:rsidP="003C7FC8">
            <w:pPr>
              <w:rPr>
                <w:lang w:val="ro-RO"/>
              </w:rPr>
            </w:pPr>
            <w:r w:rsidRPr="00E0488D">
              <w:rPr>
                <w:lang w:val="ro-RO"/>
              </w:rPr>
              <w:t xml:space="preserve">Cod test </w:t>
            </w:r>
          </w:p>
        </w:tc>
        <w:tc>
          <w:tcPr>
            <w:tcW w:w="1628" w:type="dxa"/>
            <w:vAlign w:val="center"/>
          </w:tcPr>
          <w:p w:rsidR="00B4550A" w:rsidRPr="00E0488D" w:rsidRDefault="00B4550A" w:rsidP="003C7FC8">
            <w:pPr>
              <w:rPr>
                <w:lang w:val="ro-RO"/>
              </w:rPr>
            </w:pPr>
            <w:r w:rsidRPr="00E0488D">
              <w:rPr>
                <w:lang w:val="ro-RO"/>
              </w:rPr>
              <w:t>P-CO-S (W25)</w:t>
            </w:r>
          </w:p>
        </w:tc>
      </w:tr>
      <w:tr w:rsidR="00B4550A" w:rsidRPr="00E0488D" w:rsidTr="003C7FC8">
        <w:tc>
          <w:tcPr>
            <w:tcW w:w="3447" w:type="dxa"/>
          </w:tcPr>
          <w:p w:rsidR="00B4550A" w:rsidRPr="00E0488D" w:rsidRDefault="00B4550A" w:rsidP="003C7FC8">
            <w:pPr>
              <w:rPr>
                <w:lang w:val="ro-RO"/>
              </w:rPr>
            </w:pPr>
            <w:r w:rsidRPr="00E0488D">
              <w:rPr>
                <w:lang w:val="ro-RO"/>
              </w:rPr>
              <w:t>Modificare tonaj transportat pe apă anual (2020)</w:t>
            </w:r>
          </w:p>
        </w:tc>
        <w:tc>
          <w:tcPr>
            <w:tcW w:w="1628" w:type="dxa"/>
          </w:tcPr>
          <w:p w:rsidR="00B4550A" w:rsidRPr="00E0488D" w:rsidRDefault="00B4550A" w:rsidP="003C7FC8">
            <w:pPr>
              <w:rPr>
                <w:i/>
                <w:u w:val="single"/>
                <w:lang w:val="ro-RO"/>
              </w:rPr>
            </w:pPr>
            <w:r w:rsidRPr="00E0488D">
              <w:rPr>
                <w:lang w:val="ro-RO"/>
              </w:rPr>
              <w:t>599.554</w:t>
            </w:r>
          </w:p>
        </w:tc>
      </w:tr>
      <w:tr w:rsidR="00B4550A" w:rsidRPr="00E0488D" w:rsidTr="003C7FC8">
        <w:tc>
          <w:tcPr>
            <w:tcW w:w="3447" w:type="dxa"/>
            <w:vAlign w:val="center"/>
          </w:tcPr>
          <w:p w:rsidR="00B4550A" w:rsidRPr="00E0488D" w:rsidRDefault="004A2A3D" w:rsidP="003C7FC8">
            <w:pPr>
              <w:rPr>
                <w:lang w:val="ro-RO"/>
              </w:rPr>
            </w:pPr>
            <w:r w:rsidRPr="00E0488D">
              <w:rPr>
                <w:lang w:val="ro-RO"/>
              </w:rPr>
              <w:t>VNA</w:t>
            </w:r>
            <w:r w:rsidR="00B4550A" w:rsidRPr="00E0488D">
              <w:rPr>
                <w:lang w:val="ro-RO"/>
              </w:rPr>
              <w:t xml:space="preserve"> mil € (preturi 2014)</w:t>
            </w:r>
          </w:p>
        </w:tc>
        <w:tc>
          <w:tcPr>
            <w:tcW w:w="1628" w:type="dxa"/>
          </w:tcPr>
          <w:p w:rsidR="00B4550A" w:rsidRPr="00E0488D" w:rsidRDefault="00B4550A" w:rsidP="003C7FC8">
            <w:pPr>
              <w:rPr>
                <w:lang w:val="ro-RO"/>
              </w:rPr>
            </w:pPr>
            <w:r w:rsidRPr="00E0488D">
              <w:rPr>
                <w:lang w:val="ro-RO"/>
              </w:rPr>
              <w:t>228</w:t>
            </w:r>
          </w:p>
        </w:tc>
      </w:tr>
      <w:tr w:rsidR="00B4550A" w:rsidRPr="00E0488D" w:rsidTr="003C7FC8">
        <w:tc>
          <w:tcPr>
            <w:tcW w:w="3447" w:type="dxa"/>
            <w:vAlign w:val="center"/>
          </w:tcPr>
          <w:p w:rsidR="00B4550A" w:rsidRPr="00E0488D" w:rsidRDefault="004A2A3D" w:rsidP="003C7FC8">
            <w:pPr>
              <w:rPr>
                <w:lang w:val="ro-RO"/>
              </w:rPr>
            </w:pPr>
            <w:r w:rsidRPr="00E0488D">
              <w:rPr>
                <w:lang w:val="ro-RO"/>
              </w:rPr>
              <w:t>RB</w:t>
            </w:r>
            <w:r w:rsidR="00B4550A" w:rsidRPr="00E0488D">
              <w:rPr>
                <w:lang w:val="ro-RO"/>
              </w:rPr>
              <w:t>C</w:t>
            </w:r>
          </w:p>
        </w:tc>
        <w:tc>
          <w:tcPr>
            <w:tcW w:w="1628" w:type="dxa"/>
          </w:tcPr>
          <w:p w:rsidR="00B4550A" w:rsidRPr="00E0488D" w:rsidRDefault="00B4550A" w:rsidP="003C7FC8">
            <w:pPr>
              <w:rPr>
                <w:i/>
                <w:u w:val="single"/>
                <w:lang w:val="ro-RO"/>
              </w:rPr>
            </w:pPr>
            <w:r w:rsidRPr="00E0488D">
              <w:rPr>
                <w:lang w:val="ro-RO"/>
              </w:rPr>
              <w:t>2,02</w:t>
            </w:r>
          </w:p>
        </w:tc>
      </w:tr>
      <w:tr w:rsidR="00B4550A" w:rsidRPr="00E0488D" w:rsidTr="003C7FC8">
        <w:tc>
          <w:tcPr>
            <w:tcW w:w="3447" w:type="dxa"/>
            <w:vAlign w:val="center"/>
          </w:tcPr>
          <w:p w:rsidR="00B4550A" w:rsidRPr="00E0488D" w:rsidRDefault="00B4550A" w:rsidP="003C7FC8">
            <w:pPr>
              <w:rPr>
                <w:lang w:val="ro-RO"/>
              </w:rPr>
            </w:pPr>
            <w:r w:rsidRPr="00E0488D">
              <w:rPr>
                <w:lang w:val="ro-RO"/>
              </w:rPr>
              <w:t>RIRE</w:t>
            </w:r>
          </w:p>
        </w:tc>
        <w:tc>
          <w:tcPr>
            <w:tcW w:w="1628" w:type="dxa"/>
          </w:tcPr>
          <w:p w:rsidR="00B4550A" w:rsidRPr="00E0488D" w:rsidRDefault="00B4550A" w:rsidP="003C7FC8">
            <w:pPr>
              <w:rPr>
                <w:i/>
                <w:u w:val="single"/>
                <w:lang w:val="ro-RO"/>
              </w:rPr>
            </w:pPr>
            <w:r w:rsidRPr="00E0488D">
              <w:rPr>
                <w:lang w:val="ro-RO"/>
              </w:rPr>
              <w:t>8,9%</w:t>
            </w:r>
          </w:p>
        </w:tc>
      </w:tr>
      <w:tr w:rsidR="00B4550A" w:rsidRPr="00E0488D" w:rsidTr="003C7FC8">
        <w:tc>
          <w:tcPr>
            <w:tcW w:w="3447" w:type="dxa"/>
            <w:vAlign w:val="center"/>
          </w:tcPr>
          <w:p w:rsidR="00B4550A" w:rsidRPr="00E0488D" w:rsidRDefault="00B4550A" w:rsidP="003C7FC8">
            <w:pPr>
              <w:rPr>
                <w:lang w:val="ro-RO"/>
              </w:rPr>
            </w:pPr>
            <w:r w:rsidRPr="00E0488D">
              <w:rPr>
                <w:lang w:val="ro-RO"/>
              </w:rPr>
              <w:t xml:space="preserve">Recomandare Master Plan </w:t>
            </w:r>
          </w:p>
        </w:tc>
        <w:tc>
          <w:tcPr>
            <w:tcW w:w="1628" w:type="dxa"/>
          </w:tcPr>
          <w:p w:rsidR="00B4550A" w:rsidRPr="00E0488D" w:rsidRDefault="00B4550A" w:rsidP="003C7FC8">
            <w:pPr>
              <w:rPr>
                <w:lang w:val="ro-RO"/>
              </w:rPr>
            </w:pPr>
            <w:r w:rsidRPr="00E0488D">
              <w:rPr>
                <w:color w:val="00B050"/>
                <w:lang w:val="ro-RO"/>
              </w:rPr>
              <w:sym w:font="Wingdings" w:char="F0FC"/>
            </w:r>
          </w:p>
        </w:tc>
      </w:tr>
    </w:tbl>
    <w:p w:rsidR="00B4550A" w:rsidRPr="00E0488D" w:rsidRDefault="00B4550A" w:rsidP="00B4550A">
      <w:pPr>
        <w:spacing w:line="276" w:lineRule="auto"/>
        <w:rPr>
          <w:i/>
          <w:u w:val="single"/>
          <w:lang w:val="ro-RO"/>
        </w:rPr>
      </w:pPr>
    </w:p>
    <w:p w:rsidR="00B4550A" w:rsidRPr="00E0488D" w:rsidRDefault="00B4550A" w:rsidP="00B4550A">
      <w:pPr>
        <w:spacing w:line="276" w:lineRule="auto"/>
        <w:rPr>
          <w:i/>
          <w:u w:val="single"/>
          <w:lang w:val="ro-RO" w:eastAsia="en-GB"/>
        </w:rPr>
      </w:pPr>
      <w:r w:rsidRPr="00E0488D">
        <w:rPr>
          <w:noProof/>
          <w:lang w:val="ro-RO" w:eastAsia="ro-RO"/>
        </w:rPr>
        <w:drawing>
          <wp:inline distT="0" distB="0" distL="0" distR="0">
            <wp:extent cx="5275580" cy="2385695"/>
            <wp:effectExtent l="0" t="0" r="1270" b="14605"/>
            <wp:docPr id="602"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6.11 – Tone marfă transportate naval în portul Constanța în perioada 2007 – 2011 și estimările pentru 2020 </w:t>
      </w:r>
    </w:p>
    <w:p w:rsidR="00B4550A" w:rsidRPr="00E0488D" w:rsidRDefault="00B4550A" w:rsidP="00B4550A">
      <w:pPr>
        <w:spacing w:line="276" w:lineRule="auto"/>
        <w:rPr>
          <w:i/>
          <w:u w:val="single"/>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Autoritatea Portului Constanța în cooperare cu operatori privați de terminale. </w:t>
      </w:r>
    </w:p>
    <w:p w:rsidR="00B4550A" w:rsidRPr="00E0488D" w:rsidRDefault="00966D0E" w:rsidP="00B4550A">
      <w:pPr>
        <w:spacing w:line="276" w:lineRule="auto"/>
        <w:rPr>
          <w:bCs/>
          <w:i/>
          <w:sz w:val="22"/>
          <w:szCs w:val="22"/>
          <w:u w:val="single"/>
          <w:lang w:val="ro-RO"/>
        </w:rPr>
      </w:pPr>
      <w:r>
        <w:rPr>
          <w:bCs/>
          <w:i/>
          <w:sz w:val="22"/>
          <w:szCs w:val="22"/>
          <w:lang w:val="ro-RO" w:eastAsia="en-GB"/>
        </w:rPr>
      </w:r>
      <w:r>
        <w:rPr>
          <w:bCs/>
          <w:i/>
          <w:sz w:val="22"/>
          <w:szCs w:val="22"/>
          <w:lang w:val="ro-RO" w:eastAsia="en-GB"/>
        </w:rPr>
        <w:pict>
          <v:rect id="Rectangle 78" o:spid="_x0000_s1934" style="width:505.45pt;height:312.65pt;visibility:visible;mso-left-percent:-10001;mso-top-percent:-10001;mso-position-horizontal:absolute;mso-position-horizontal-relative:char;mso-position-vertical:absolute;mso-position-vertical-relative:line;mso-left-percent:-10001;mso-top-percent:-10001">
            <v:textbox style="mso-next-textbox:#Rectangle 78">
              <w:txbxContent>
                <w:p w:rsidR="001F544B" w:rsidRPr="00A743DC" w:rsidRDefault="001F544B" w:rsidP="00B4550A">
                  <w:pPr>
                    <w:rPr>
                      <w:b/>
                      <w:sz w:val="22"/>
                      <w:szCs w:val="22"/>
                    </w:rPr>
                  </w:pPr>
                  <w:r w:rsidRPr="00A743DC">
                    <w:rPr>
                      <w:b/>
                      <w:sz w:val="22"/>
                      <w:szCs w:val="22"/>
                    </w:rPr>
                    <w:t xml:space="preserve">Modele potențiale de </w:t>
                  </w:r>
                  <w:r>
                    <w:rPr>
                      <w:b/>
                      <w:sz w:val="22"/>
                      <w:szCs w:val="22"/>
                    </w:rPr>
                    <w:t>implementare și proprietate</w:t>
                  </w:r>
                </w:p>
                <w:p w:rsidR="001F544B" w:rsidRPr="00A743DC" w:rsidRDefault="001F544B" w:rsidP="00B4550A">
                  <w:pPr>
                    <w:rPr>
                      <w:sz w:val="22"/>
                      <w:szCs w:val="22"/>
                    </w:rPr>
                  </w:pPr>
                  <w:r w:rsidRPr="00A743DC">
                    <w:rPr>
                      <w:sz w:val="22"/>
                      <w:szCs w:val="22"/>
                    </w:rPr>
                    <w:t xml:space="preserve">Există </w:t>
                  </w:r>
                  <w:r>
                    <w:rPr>
                      <w:sz w:val="22"/>
                      <w:szCs w:val="22"/>
                    </w:rPr>
                    <w:t>trei modele potențiale sugerate ca opțiuni în ce privește implementarea și proprietatea proiectului</w:t>
                  </w:r>
                  <w:r w:rsidRPr="00A743DC">
                    <w:rPr>
                      <w:sz w:val="22"/>
                      <w:szCs w:val="22"/>
                    </w:rPr>
                    <w:t>.</w:t>
                  </w:r>
                </w:p>
                <w:p w:rsidR="001F544B" w:rsidRPr="0019549C" w:rsidRDefault="001F544B" w:rsidP="00573AD5">
                  <w:pPr>
                    <w:pStyle w:val="ListParagraph"/>
                    <w:numPr>
                      <w:ilvl w:val="0"/>
                      <w:numId w:val="64"/>
                    </w:numPr>
                    <w:rPr>
                      <w:sz w:val="22"/>
                      <w:szCs w:val="22"/>
                    </w:rPr>
                  </w:pPr>
                  <w:r w:rsidRPr="0019549C">
                    <w:rPr>
                      <w:b/>
                      <w:sz w:val="22"/>
                      <w:szCs w:val="22"/>
                    </w:rPr>
                    <w:t>Autoritatea portuară dezvoltă, construiește și operează terminalul ca proiect propriu</w:t>
                  </w:r>
                  <w:r>
                    <w:rPr>
                      <w:sz w:val="22"/>
                      <w:szCs w:val="22"/>
                    </w:rPr>
                    <w:t xml:space="preserve">. Acest model implică asumarea întregului risc asociat tuturor investițiilor de către Autoritate dar și dreptul de proprietate totală asupra tuturor beneficiilor înregistrate.  </w:t>
                  </w:r>
                </w:p>
                <w:p w:rsidR="001F544B" w:rsidRDefault="001F544B" w:rsidP="00573AD5">
                  <w:pPr>
                    <w:pStyle w:val="ListParagraph"/>
                    <w:numPr>
                      <w:ilvl w:val="0"/>
                      <w:numId w:val="64"/>
                    </w:numPr>
                    <w:rPr>
                      <w:sz w:val="22"/>
                      <w:szCs w:val="22"/>
                    </w:rPr>
                  </w:pPr>
                  <w:r w:rsidRPr="0019549C">
                    <w:rPr>
                      <w:b/>
                      <w:sz w:val="22"/>
                      <w:szCs w:val="22"/>
                    </w:rPr>
                    <w:t>Autoritatea portuară</w:t>
                  </w:r>
                  <w:r>
                    <w:rPr>
                      <w:b/>
                      <w:sz w:val="22"/>
                      <w:szCs w:val="22"/>
                    </w:rPr>
                    <w:t xml:space="preserve"> dezvoltă și construiește terminalul dar terminalul este operat de o terță parte. </w:t>
                  </w:r>
                  <w:r>
                    <w:rPr>
                      <w:sz w:val="22"/>
                      <w:szCs w:val="22"/>
                    </w:rPr>
                    <w:t>În cadrul acestui model, Autoritatea portuară își asumă o parte din riscurile de capital prin faptul că pot investi din fonduri proprii pentru construirea terminalului, dar nu iși asumă niciun risc operațional deoarece terța parte își va asuma responsabilitatea administrării zilnice a terminalului. Terța parte ar plăti o anumită sumă către Autoritatea Portuară pentru administrarea terminalului. Această opțiune ar putea fi considerată una cu riscuri medii și cu câștiguri medii.</w:t>
                  </w:r>
                </w:p>
                <w:p w:rsidR="001F544B" w:rsidRPr="00A743DC" w:rsidRDefault="001F544B" w:rsidP="00573AD5">
                  <w:pPr>
                    <w:pStyle w:val="ListParagraph"/>
                    <w:numPr>
                      <w:ilvl w:val="0"/>
                      <w:numId w:val="64"/>
                    </w:numPr>
                    <w:rPr>
                      <w:b/>
                      <w:sz w:val="22"/>
                      <w:szCs w:val="22"/>
                    </w:rPr>
                  </w:pPr>
                  <w:r w:rsidRPr="0019549C">
                    <w:rPr>
                      <w:b/>
                      <w:sz w:val="22"/>
                      <w:szCs w:val="22"/>
                    </w:rPr>
                    <w:t>Autoritatea portuară</w:t>
                  </w:r>
                  <w:r>
                    <w:rPr>
                      <w:b/>
                      <w:sz w:val="22"/>
                      <w:szCs w:val="22"/>
                    </w:rPr>
                    <w:t xml:space="preserve"> închiriază terenul pe care o terță parte construiește și operează terminalul. </w:t>
                  </w:r>
                  <w:r w:rsidRPr="00526DAD">
                    <w:rPr>
                      <w:sz w:val="22"/>
                      <w:szCs w:val="22"/>
                    </w:rPr>
                    <w:t>Acest model implică</w:t>
                  </w:r>
                  <w:r>
                    <w:rPr>
                      <w:sz w:val="22"/>
                      <w:szCs w:val="22"/>
                    </w:rPr>
                    <w:t xml:space="preserve"> îchirierea terenului Autorității portuare către o terță parte. Terța parte va construi apoi terminalul conform specificațiilor și va opera terminalul având minime interferențe cu Autoritatea Portuară. Această opțiune este una cu riscuri mici dar prezintă și câștiguri mici deoarece terța parte va închiria doar terenul pe care este amplasat terminalul și nu terminalul în sine, ca în cazul opțiunii precedente. </w:t>
                  </w:r>
                  <w:r>
                    <w:rPr>
                      <w:b/>
                      <w:sz w:val="22"/>
                      <w:szCs w:val="22"/>
                    </w:rPr>
                    <w:t xml:space="preserve"> </w:t>
                  </w:r>
                </w:p>
                <w:p w:rsidR="001F544B" w:rsidRDefault="001F544B" w:rsidP="00B4550A">
                  <w:pPr>
                    <w:rPr>
                      <w:sz w:val="22"/>
                      <w:szCs w:val="22"/>
                    </w:rPr>
                  </w:pPr>
                  <w:r>
                    <w:rPr>
                      <w:sz w:val="22"/>
                      <w:szCs w:val="22"/>
                    </w:rPr>
                    <w:t xml:space="preserve">Oricare dintre aceste opțiuni (sau variante) ar putea fi aleasă de orice port menționat în cadrul prezentului Master Plan General de Transport.  Este responsabilitatea Autorității portuare să analizeze care dintre opțiuni este cea mai portrivită. </w:t>
                  </w:r>
                </w:p>
              </w:txbxContent>
            </v:textbox>
            <w10:anchorlock/>
          </v:rect>
        </w:pic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Perioada de implementare:</w:t>
      </w:r>
      <w:r w:rsidRPr="00E0488D">
        <w:rPr>
          <w:bCs/>
          <w:i/>
          <w:sz w:val="22"/>
          <w:szCs w:val="22"/>
          <w:lang w:val="ro-RO"/>
        </w:rPr>
        <w:t xml:space="preserve"> 2021-2030</w:t>
      </w:r>
    </w:p>
    <w:p w:rsidR="00B4550A" w:rsidRPr="00E0488D" w:rsidRDefault="00B4550A" w:rsidP="002B7E09">
      <w:pPr>
        <w:pStyle w:val="NumberedParas"/>
      </w:pPr>
      <w:r w:rsidRPr="00E0488D">
        <w:t xml:space="preserve">Acest port este încă sub valoarea maximă atinsă pentru operarea containerelor (care a fost înregistrată în anul 2007); cu toate acestea, se așteaptă ca portul să depășească această valoare maximă înregistrată în 2007 până la sfârșitul deceniului. Consecințele ar fi acelea că portul Constanța și-ar depăși capacitatea de operare containere disponibilă în prezent. Astfel, Constanța ar trebui să înceapă să construiască acest terminal până la sfârșitul deceniului. Programul de implementare ar trebui să fie supus condițiilor de pe piață și ar trebui să fie ajustat corespunzător. </w:t>
      </w:r>
    </w:p>
    <w:p w:rsidR="00421897" w:rsidRPr="00E0488D" w:rsidRDefault="00421897" w:rsidP="00B4550A">
      <w:pPr>
        <w:spacing w:line="276" w:lineRule="auto"/>
        <w:rPr>
          <w:b/>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Tulcea:</w:t>
      </w:r>
    </w:p>
    <w:p w:rsidR="00B4550A" w:rsidRPr="00E0488D" w:rsidRDefault="00B4550A" w:rsidP="00B4550A">
      <w:pPr>
        <w:spacing w:line="276" w:lineRule="auto"/>
        <w:rPr>
          <w:b/>
          <w:sz w:val="22"/>
          <w:szCs w:val="22"/>
          <w:lang w:val="ro-RO"/>
        </w:rPr>
      </w:pPr>
      <w:r w:rsidRPr="00E0488D">
        <w:rPr>
          <w:b/>
          <w:sz w:val="22"/>
          <w:szCs w:val="22"/>
          <w:lang w:val="ro-RO"/>
        </w:rPr>
        <w:t xml:space="preserve">Dezvoltarea unui terminal pentru operarea cerealelor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Acest proiect implică construcția unui terminal nou care va opera mărfuri generale și care va avea capabilitatea de a opera și cereale pentru care portul nu are echipamentele necesare.</w:t>
      </w:r>
    </w:p>
    <w:p w:rsidR="00B4550A" w:rsidRPr="00E0488D" w:rsidRDefault="00B4550A" w:rsidP="002B7E09">
      <w:pPr>
        <w:pStyle w:val="NumberedParas"/>
        <w:numPr>
          <w:ilvl w:val="0"/>
          <w:numId w:val="0"/>
        </w:numPr>
        <w:ind w:left="1531"/>
      </w:pPr>
      <w:r w:rsidRPr="00E0488D">
        <w:t xml:space="preserve">În mod specific, proiectul va include: </w:t>
      </w:r>
    </w:p>
    <w:p w:rsidR="00B4550A" w:rsidRPr="00E0488D" w:rsidRDefault="006547B0" w:rsidP="00BC2B57">
      <w:pPr>
        <w:pStyle w:val="BulletLevel1"/>
      </w:pPr>
      <w:r w:rsidRPr="00E0488D">
        <w:t xml:space="preserve">Modernizarea a </w:t>
      </w:r>
      <w:r w:rsidR="00B4550A" w:rsidRPr="00E0488D">
        <w:t xml:space="preserve">3 dane pentru încărcarea directă a navelor cu cereale </w:t>
      </w:r>
    </w:p>
    <w:p w:rsidR="00B4550A" w:rsidRPr="00E0488D" w:rsidRDefault="00B4550A" w:rsidP="00BC2B57">
      <w:pPr>
        <w:pStyle w:val="BulletLevel1"/>
      </w:pPr>
      <w:r w:rsidRPr="00E0488D">
        <w:t xml:space="preserve">Construcția unor facilități adecvate pentru operare/ încărcare </w:t>
      </w:r>
    </w:p>
    <w:p w:rsidR="00B4550A" w:rsidRPr="00E0488D" w:rsidRDefault="00B4550A" w:rsidP="00BC2B57">
      <w:pPr>
        <w:pStyle w:val="BulletLevel1"/>
      </w:pPr>
      <w:r w:rsidRPr="00E0488D">
        <w:t xml:space="preserve">Dragare pentru a garanta suficientă adâncime a danelor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În prezent cerealele sunt transportate pe drum iar majoritatea ajung în Constanța pentru a fi exportate peste tot în lume. Acest tip de intervenție atinge următoarele probleme: </w:t>
      </w:r>
    </w:p>
    <w:p w:rsidR="00B4550A" w:rsidRPr="00E0488D" w:rsidRDefault="00B4550A" w:rsidP="00BC2B57">
      <w:pPr>
        <w:pStyle w:val="BulletLevel1"/>
      </w:pPr>
      <w:r w:rsidRPr="00E0488D">
        <w:t xml:space="preserve">Lipsa infrastructurii pentru operarea cerealelor din port </w:t>
      </w:r>
    </w:p>
    <w:p w:rsidR="00B4550A" w:rsidRPr="00E0488D" w:rsidRDefault="00B4550A" w:rsidP="00BC2B57">
      <w:pPr>
        <w:pStyle w:val="BulletLevel1"/>
      </w:pPr>
      <w:r w:rsidRPr="00E0488D">
        <w:t xml:space="preserve">Reducerea kilometrilor parcurși în sistem rutier </w:t>
      </w:r>
    </w:p>
    <w:p w:rsidR="00B4550A" w:rsidRPr="00E0488D" w:rsidRDefault="00B4550A" w:rsidP="00BC2B57">
      <w:pPr>
        <w:pStyle w:val="BulletLevel1"/>
      </w:pPr>
      <w:r w:rsidRPr="00E0488D">
        <w:t xml:space="preserve">Păstrarea viabilității și competitivității portului Tulcea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ar satisface următoarele obiective operaționale:</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OW4 – Reducerea costurilor prin eficiență operațională</w:t>
      </w:r>
    </w:p>
    <w:p w:rsidR="00B4550A" w:rsidRPr="00E0488D" w:rsidRDefault="00B4550A"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Potențială piață</w:t>
      </w:r>
    </w:p>
    <w:p w:rsidR="00B4550A" w:rsidRPr="00E0488D" w:rsidRDefault="00B4550A" w:rsidP="002B7E09">
      <w:pPr>
        <w:pStyle w:val="NumberedParas"/>
      </w:pPr>
      <w:r w:rsidRPr="00E0488D">
        <w:t xml:space="preserve">Această propunere privește operațiunile cu cereale.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Tabelul 6.15 – Costuri neactualizate ale proiectului</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Pr>
        <w:tc>
          <w:tcPr>
            <w:tcW w:w="722" w:type="pct"/>
            <w:vAlign w:val="center"/>
          </w:tcPr>
          <w:p w:rsidR="00B4550A" w:rsidRPr="00E0488D" w:rsidRDefault="00B4550A" w:rsidP="003C7FC8">
            <w:pPr>
              <w:spacing w:before="120" w:line="276" w:lineRule="auto"/>
              <w:rPr>
                <w:b/>
                <w:bCs/>
                <w:lang w:val="ro-RO"/>
              </w:rPr>
            </w:pPr>
            <w:r w:rsidRPr="00E0488D">
              <w:rPr>
                <w:b/>
                <w:bCs/>
                <w:lang w:val="ro-RO"/>
              </w:rPr>
              <w:t>Costuri</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16</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Nou terminal pentru cereale </w:t>
            </w:r>
          </w:p>
          <w:p w:rsidR="00B4550A" w:rsidRPr="00E0488D" w:rsidRDefault="00B4550A" w:rsidP="003C7FC8">
            <w:pPr>
              <w:spacing w:before="120" w:line="276" w:lineRule="auto"/>
              <w:rPr>
                <w:b/>
                <w:bCs/>
                <w:lang w:val="ro-RO"/>
              </w:rPr>
            </w:pPr>
            <w:r w:rsidRPr="00E0488D">
              <w:rPr>
                <w:b/>
                <w:bCs/>
                <w:lang w:val="ro-RO"/>
              </w:rPr>
              <w:t xml:space="preserve">Zonă de operare și depozitare </w:t>
            </w:r>
          </w:p>
          <w:p w:rsidR="00B4550A" w:rsidRPr="00E0488D" w:rsidRDefault="00B4550A" w:rsidP="003C7FC8">
            <w:pPr>
              <w:spacing w:before="120" w:line="276" w:lineRule="auto"/>
              <w:rPr>
                <w:b/>
                <w:bCs/>
                <w:lang w:val="ro-RO"/>
              </w:rPr>
            </w:pPr>
            <w:r w:rsidRPr="00E0488D">
              <w:rPr>
                <w:b/>
                <w:bCs/>
                <w:lang w:val="ro-RO"/>
              </w:rPr>
              <w:t xml:space="preserve">Macarale mobile sau STS </w:t>
            </w:r>
          </w:p>
        </w:tc>
      </w:tr>
    </w:tbl>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Această intervenție are beneficii limitate având în vedere raportul cost beneficiu (RB</w:t>
      </w:r>
      <w:r w:rsidR="006547B0" w:rsidRPr="00E0488D">
        <w:t>C</w:t>
      </w:r>
      <w:r w:rsidRPr="00E0488D">
        <w:t xml:space="preserve">) de 0,59. Se estimează că terminalul va genera peste 328.000 tone de transport suplimentar până în 2020. Cum RIRE este sub 3%, nu se recomandă introducerea acestui proiect în cadrul Master Planului. Cu toate acestea, deoarece proiectul este considerat de importanță regională, decizia este modificată în tabelul final. </w:t>
      </w:r>
    </w:p>
    <w:p w:rsidR="00B4550A" w:rsidRPr="00E0488D" w:rsidRDefault="00B4550A" w:rsidP="002B7E09">
      <w:pPr>
        <w:pStyle w:val="NumberedParas"/>
        <w:numPr>
          <w:ilvl w:val="0"/>
          <w:numId w:val="0"/>
        </w:numPr>
        <w:rPr>
          <w:lang w:eastAsia="en-GB"/>
        </w:rPr>
      </w:pPr>
      <w:r w:rsidRPr="00E0488D">
        <w:rPr>
          <w:lang w:eastAsia="en-GB"/>
        </w:rPr>
        <w:t>Tabelul 6.16 – Rezultatele obținute în urma modelării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1628"/>
      </w:tblGrid>
      <w:tr w:rsidR="00B4550A" w:rsidRPr="00E0488D" w:rsidTr="003C7FC8">
        <w:tc>
          <w:tcPr>
            <w:tcW w:w="3447" w:type="dxa"/>
            <w:vAlign w:val="center"/>
          </w:tcPr>
          <w:p w:rsidR="00B4550A" w:rsidRPr="00E0488D" w:rsidRDefault="00B4550A" w:rsidP="003C7FC8">
            <w:pPr>
              <w:rPr>
                <w:b/>
                <w:sz w:val="20"/>
                <w:szCs w:val="20"/>
                <w:lang w:val="ro-RO"/>
              </w:rPr>
            </w:pPr>
            <w:r w:rsidRPr="00E0488D">
              <w:rPr>
                <w:b/>
                <w:sz w:val="20"/>
                <w:szCs w:val="20"/>
                <w:lang w:val="ro-RO"/>
              </w:rPr>
              <w:t xml:space="preserve">Cod test </w:t>
            </w:r>
          </w:p>
        </w:tc>
        <w:tc>
          <w:tcPr>
            <w:tcW w:w="1628" w:type="dxa"/>
            <w:vAlign w:val="center"/>
          </w:tcPr>
          <w:p w:rsidR="00B4550A" w:rsidRPr="00E0488D" w:rsidRDefault="00B4550A" w:rsidP="003C7FC8">
            <w:pPr>
              <w:rPr>
                <w:sz w:val="20"/>
                <w:szCs w:val="20"/>
                <w:lang w:val="ro-RO"/>
              </w:rPr>
            </w:pPr>
            <w:r w:rsidRPr="00E0488D">
              <w:rPr>
                <w:sz w:val="20"/>
                <w:szCs w:val="20"/>
                <w:lang w:val="ro-RO"/>
              </w:rPr>
              <w:t>P-TL-S (W41)</w:t>
            </w:r>
          </w:p>
        </w:tc>
      </w:tr>
      <w:tr w:rsidR="00B4550A" w:rsidRPr="00E0488D" w:rsidTr="003C7FC8">
        <w:tc>
          <w:tcPr>
            <w:tcW w:w="3447" w:type="dxa"/>
          </w:tcPr>
          <w:p w:rsidR="00B4550A" w:rsidRPr="00E0488D" w:rsidRDefault="00B4550A" w:rsidP="003C7FC8">
            <w:pPr>
              <w:rPr>
                <w:b/>
                <w:sz w:val="20"/>
                <w:szCs w:val="20"/>
                <w:lang w:val="ro-RO"/>
              </w:rPr>
            </w:pPr>
            <w:r w:rsidRPr="00E0488D">
              <w:rPr>
                <w:b/>
                <w:sz w:val="20"/>
                <w:szCs w:val="20"/>
                <w:lang w:val="ro-RO"/>
              </w:rPr>
              <w:t>Modificare tonaj transportat pe apă anual (2020)</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328.527</w:t>
            </w:r>
          </w:p>
        </w:tc>
      </w:tr>
      <w:tr w:rsidR="00B4550A" w:rsidRPr="00E0488D" w:rsidTr="003C7FC8">
        <w:tc>
          <w:tcPr>
            <w:tcW w:w="3447" w:type="dxa"/>
            <w:vAlign w:val="center"/>
          </w:tcPr>
          <w:p w:rsidR="00B4550A" w:rsidRPr="00E0488D" w:rsidRDefault="004A2A3D" w:rsidP="003C7FC8">
            <w:pPr>
              <w:rPr>
                <w:b/>
                <w:sz w:val="20"/>
                <w:szCs w:val="20"/>
                <w:lang w:val="ro-RO"/>
              </w:rPr>
            </w:pPr>
            <w:r w:rsidRPr="00E0488D">
              <w:rPr>
                <w:b/>
                <w:sz w:val="20"/>
                <w:szCs w:val="20"/>
                <w:lang w:val="ro-RO"/>
              </w:rPr>
              <w:t>VNA</w:t>
            </w:r>
            <w:r w:rsidR="00B4550A" w:rsidRPr="00E0488D">
              <w:rPr>
                <w:b/>
                <w:sz w:val="20"/>
                <w:szCs w:val="20"/>
                <w:lang w:val="ro-RO"/>
              </w:rPr>
              <w:t xml:space="preserve"> mil € (preturi 2014)</w:t>
            </w:r>
          </w:p>
        </w:tc>
        <w:tc>
          <w:tcPr>
            <w:tcW w:w="1628" w:type="dxa"/>
          </w:tcPr>
          <w:p w:rsidR="00B4550A" w:rsidRPr="00E0488D" w:rsidRDefault="00B4550A" w:rsidP="003C7FC8">
            <w:pPr>
              <w:spacing w:line="276" w:lineRule="auto"/>
              <w:jc w:val="center"/>
              <w:rPr>
                <w:sz w:val="20"/>
                <w:szCs w:val="20"/>
                <w:lang w:val="ro-RO"/>
              </w:rPr>
            </w:pPr>
            <w:r w:rsidRPr="00E0488D">
              <w:rPr>
                <w:sz w:val="20"/>
                <w:szCs w:val="20"/>
                <w:lang w:val="ro-RO"/>
              </w:rPr>
              <w:t>-4</w:t>
            </w:r>
          </w:p>
        </w:tc>
      </w:tr>
      <w:tr w:rsidR="00B4550A" w:rsidRPr="00E0488D" w:rsidTr="003C7FC8">
        <w:tc>
          <w:tcPr>
            <w:tcW w:w="3447" w:type="dxa"/>
            <w:vAlign w:val="center"/>
          </w:tcPr>
          <w:p w:rsidR="00B4550A" w:rsidRPr="00E0488D" w:rsidRDefault="004A2A3D" w:rsidP="003C7FC8">
            <w:pPr>
              <w:rPr>
                <w:b/>
                <w:sz w:val="20"/>
                <w:szCs w:val="20"/>
                <w:lang w:val="ro-RO"/>
              </w:rPr>
            </w:pPr>
            <w:r w:rsidRPr="00E0488D">
              <w:rPr>
                <w:b/>
                <w:sz w:val="20"/>
                <w:szCs w:val="20"/>
                <w:lang w:val="ro-RO"/>
              </w:rPr>
              <w:t>RB</w:t>
            </w:r>
            <w:r w:rsidR="00B4550A" w:rsidRPr="00E0488D">
              <w:rPr>
                <w:b/>
                <w:sz w:val="20"/>
                <w:szCs w:val="20"/>
                <w:lang w:val="ro-RO"/>
              </w:rPr>
              <w:t>C</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0,59</w:t>
            </w:r>
          </w:p>
        </w:tc>
      </w:tr>
      <w:tr w:rsidR="00B4550A" w:rsidRPr="00E0488D" w:rsidTr="003C7FC8">
        <w:tc>
          <w:tcPr>
            <w:tcW w:w="3447" w:type="dxa"/>
            <w:vAlign w:val="center"/>
          </w:tcPr>
          <w:p w:rsidR="00B4550A" w:rsidRPr="00E0488D" w:rsidRDefault="00B4550A" w:rsidP="003C7FC8">
            <w:pPr>
              <w:rPr>
                <w:b/>
                <w:sz w:val="20"/>
                <w:szCs w:val="20"/>
                <w:lang w:val="ro-RO"/>
              </w:rPr>
            </w:pPr>
            <w:r w:rsidRPr="00E0488D">
              <w:rPr>
                <w:b/>
                <w:sz w:val="20"/>
                <w:szCs w:val="20"/>
                <w:lang w:val="ro-RO"/>
              </w:rPr>
              <w:t>RIRE</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-1,1%</w:t>
            </w:r>
          </w:p>
        </w:tc>
      </w:tr>
      <w:tr w:rsidR="00B4550A" w:rsidRPr="00E0488D" w:rsidTr="003C7FC8">
        <w:tc>
          <w:tcPr>
            <w:tcW w:w="3447" w:type="dxa"/>
            <w:vAlign w:val="center"/>
          </w:tcPr>
          <w:p w:rsidR="00B4550A" w:rsidRPr="00E0488D" w:rsidRDefault="00B4550A" w:rsidP="003C7FC8">
            <w:pPr>
              <w:rPr>
                <w:b/>
                <w:sz w:val="20"/>
                <w:szCs w:val="20"/>
                <w:lang w:val="ro-RO"/>
              </w:rPr>
            </w:pPr>
            <w:r w:rsidRPr="00E0488D">
              <w:rPr>
                <w:b/>
                <w:sz w:val="20"/>
                <w:szCs w:val="20"/>
                <w:lang w:val="ro-RO"/>
              </w:rPr>
              <w:t xml:space="preserve">Recomandare Master Plan </w:t>
            </w:r>
          </w:p>
        </w:tc>
        <w:tc>
          <w:tcPr>
            <w:tcW w:w="1628" w:type="dxa"/>
          </w:tcPr>
          <w:p w:rsidR="00B4550A" w:rsidRPr="00E0488D" w:rsidRDefault="00B4550A" w:rsidP="003C7FC8">
            <w:pPr>
              <w:spacing w:line="276" w:lineRule="auto"/>
              <w:jc w:val="center"/>
              <w:rPr>
                <w:sz w:val="20"/>
                <w:szCs w:val="20"/>
                <w:lang w:val="ro-RO"/>
              </w:rPr>
            </w:pPr>
            <w:r w:rsidRPr="00E0488D">
              <w:rPr>
                <w:b/>
                <w:color w:val="FF0000"/>
                <w:sz w:val="20"/>
                <w:szCs w:val="20"/>
                <w:lang w:val="ro-RO"/>
              </w:rPr>
              <w:sym w:font="Wingdings" w:char="F0FB"/>
            </w:r>
          </w:p>
        </w:tc>
      </w:tr>
    </w:tbl>
    <w:p w:rsidR="00B4550A" w:rsidRPr="00E0488D" w:rsidRDefault="00B4550A" w:rsidP="00B4550A">
      <w:pPr>
        <w:spacing w:line="276" w:lineRule="auto"/>
        <w:rPr>
          <w:lang w:val="ro-RO"/>
        </w:rPr>
      </w:pPr>
    </w:p>
    <w:p w:rsidR="00B4550A" w:rsidRPr="00E0488D" w:rsidRDefault="00B4550A" w:rsidP="00B4550A">
      <w:pPr>
        <w:spacing w:line="276" w:lineRule="auto"/>
        <w:rPr>
          <w:lang w:val="ro-RO" w:eastAsia="en-GB"/>
        </w:rPr>
      </w:pPr>
      <w:r w:rsidRPr="00E0488D">
        <w:rPr>
          <w:noProof/>
          <w:lang w:val="ro-RO" w:eastAsia="ro-RO"/>
        </w:rPr>
        <w:drawing>
          <wp:inline distT="0" distB="0" distL="0" distR="0">
            <wp:extent cx="4572000" cy="2743200"/>
            <wp:effectExtent l="0" t="0" r="0" b="0"/>
            <wp:docPr id="6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6.12 –Tone operate în portul Tulcea între 2008 și 2011 și estimările pentru 2020 </w:t>
      </w:r>
    </w:p>
    <w:p w:rsidR="00B4550A" w:rsidRPr="00E0488D" w:rsidRDefault="00B4550A" w:rsidP="00B4550A">
      <w:pPr>
        <w:spacing w:line="276" w:lineRule="auto"/>
        <w:rPr>
          <w:lang w:val="ro-RO" w:eastAsia="en-GB"/>
        </w:rPr>
      </w:pPr>
    </w:p>
    <w:p w:rsidR="00B4550A" w:rsidRPr="00E0488D" w:rsidRDefault="00B4550A" w:rsidP="002B7E09">
      <w:pPr>
        <w:pStyle w:val="NumberedParas"/>
      </w:pPr>
      <w:r w:rsidRPr="00E0488D">
        <w:t xml:space="preserve"> Portul Tulcea nu deține în prezent facilități specializate pentru operarea cerealelor. Asigurarea infrastructurii pentru operarea cerealelor va avea ca efect creșterea tonajului operat cu peste 328.000 de tone.</w:t>
      </w:r>
    </w:p>
    <w:p w:rsidR="00B4550A" w:rsidRPr="00E0488D" w:rsidRDefault="00B4550A" w:rsidP="002B7E09">
      <w:pPr>
        <w:pStyle w:val="NumberedParas"/>
        <w:numPr>
          <w:ilvl w:val="0"/>
          <w:numId w:val="0"/>
        </w:numPr>
        <w:rPr>
          <w:lang w:eastAsia="en-GB"/>
        </w:rPr>
      </w:pPr>
      <w:r w:rsidRPr="00E0488D">
        <w:rPr>
          <w:lang w:eastAsia="en-GB"/>
        </w:rPr>
        <w:t xml:space="preserve">Tabelul 6.17 – Utilizarea </w:t>
      </w:r>
      <w:r w:rsidR="001205D0" w:rsidRPr="00E0488D">
        <w:rPr>
          <w:lang w:eastAsia="en-GB"/>
        </w:rPr>
        <w:t>progn</w:t>
      </w:r>
      <w:r w:rsidR="001205D0">
        <w:rPr>
          <w:lang w:eastAsia="en-GB"/>
        </w:rPr>
        <w:t>o</w:t>
      </w:r>
      <w:r w:rsidR="001205D0" w:rsidRPr="00E0488D">
        <w:rPr>
          <w:lang w:eastAsia="en-GB"/>
        </w:rPr>
        <w:t>zată</w:t>
      </w:r>
      <w:r w:rsidRPr="00E0488D">
        <w:rPr>
          <w:lang w:eastAsia="en-GB"/>
        </w:rPr>
        <w:t xml:space="preserve"> a portului Tulcea</w:t>
      </w:r>
    </w:p>
    <w:tbl>
      <w:tblPr>
        <w:tblW w:w="7668" w:type="dxa"/>
        <w:jc w:val="center"/>
        <w:tblLook w:val="04A0" w:firstRow="1" w:lastRow="0" w:firstColumn="1" w:lastColumn="0" w:noHBand="0" w:noVBand="1"/>
      </w:tblPr>
      <w:tblGrid>
        <w:gridCol w:w="1973"/>
        <w:gridCol w:w="1141"/>
        <w:gridCol w:w="987"/>
        <w:gridCol w:w="292"/>
        <w:gridCol w:w="1152"/>
        <w:gridCol w:w="1199"/>
        <w:gridCol w:w="960"/>
      </w:tblGrid>
      <w:tr w:rsidR="00B4550A" w:rsidRPr="00E0488D" w:rsidTr="003C7FC8">
        <w:trPr>
          <w:trHeight w:val="315"/>
          <w:jc w:val="center"/>
        </w:trPr>
        <w:tc>
          <w:tcPr>
            <w:tcW w:w="1973"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rPr>
                <w:lang w:val="ro-RO"/>
              </w:rPr>
            </w:pPr>
          </w:p>
        </w:tc>
        <w:tc>
          <w:tcPr>
            <w:tcW w:w="2128" w:type="dxa"/>
            <w:gridSpan w:val="2"/>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6547B0"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w:t>
            </w:r>
            <w:r w:rsidR="00B4550A" w:rsidRPr="00E0488D">
              <w:rPr>
                <w:rFonts w:ascii="Calibri" w:hAnsi="Calibri"/>
                <w:b/>
                <w:bCs/>
                <w:color w:val="FFFFFF"/>
                <w:sz w:val="22"/>
                <w:szCs w:val="22"/>
                <w:lang w:val="ro-RO" w:eastAsia="en-GB"/>
              </w:rPr>
              <w:t xml:space="preserve"> de referință</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b/>
                <w:bCs/>
                <w:color w:val="FFFFFF"/>
                <w:sz w:val="22"/>
                <w:szCs w:val="22"/>
                <w:lang w:val="ro-RO" w:eastAsia="en-GB"/>
              </w:rPr>
            </w:pPr>
          </w:p>
        </w:tc>
        <w:tc>
          <w:tcPr>
            <w:tcW w:w="1116"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rPr>
                <w:rFonts w:ascii="Times New Roman" w:hAnsi="Times New Roman"/>
                <w:sz w:val="20"/>
                <w:szCs w:val="20"/>
                <w:lang w:val="ro-RO"/>
              </w:rPr>
            </w:pPr>
          </w:p>
        </w:tc>
        <w:tc>
          <w:tcPr>
            <w:tcW w:w="2159" w:type="dxa"/>
            <w:gridSpan w:val="2"/>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jc w:val="center"/>
        </w:trPr>
        <w:tc>
          <w:tcPr>
            <w:tcW w:w="1973"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1141"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99"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9866A7">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32%</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 solid</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9866A7">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117</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47%</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113.69%</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 solid</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9866A7">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83</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63%</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63</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20%</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Containere                                                                                                                                                                                                                                                                                                                                                                                                                                                                                                                                                                                                                                                                                                                                                                                                                                                                                                                                                                                                                                                                                                                                                                                                                                                               </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Containere                                                                                                                                                                                                                                                                                                                                                                                                                                                                                                                                                                                                                                                                                                                                                                                                                                                                                                                                                                                                                                                                                                                                                                                                                                                               </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9866A7">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79%</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1.73%</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9866A7">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27%</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96%</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Cărbune </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Cărbune </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30"/>
          <w:jc w:val="center"/>
        </w:trPr>
        <w:tc>
          <w:tcPr>
            <w:tcW w:w="1973" w:type="dxa"/>
            <w:tcBorders>
              <w:top w:val="single" w:sz="4" w:space="0" w:color="auto"/>
              <w:left w:val="single" w:sz="4" w:space="0" w:color="auto"/>
              <w:bottom w:val="single" w:sz="4" w:space="0" w:color="auto"/>
              <w:right w:val="single" w:sz="4" w:space="0" w:color="auto"/>
            </w:tcBorders>
            <w:shd w:val="clear" w:color="auto"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9866A7">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11.36%</w:t>
            </w:r>
          </w:p>
        </w:tc>
        <w:tc>
          <w:tcPr>
            <w:tcW w:w="292"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tcBorders>
              <w:top w:val="single" w:sz="4" w:space="0" w:color="auto"/>
              <w:left w:val="single" w:sz="4" w:space="0" w:color="auto"/>
              <w:bottom w:val="single" w:sz="4" w:space="0" w:color="auto"/>
              <w:right w:val="single" w:sz="4" w:space="0" w:color="auto"/>
            </w:tcBorders>
            <w:shd w:val="clear" w:color="auto"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199"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04%</w:t>
            </w:r>
          </w:p>
        </w:tc>
        <w:tc>
          <w:tcPr>
            <w:tcW w:w="960"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w:t>
            </w:r>
            <w:r w:rsidR="009866A7"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70%</w:t>
            </w:r>
          </w:p>
        </w:tc>
      </w:tr>
    </w:tbl>
    <w:p w:rsidR="00B4550A" w:rsidRPr="00E0488D" w:rsidRDefault="00B4550A" w:rsidP="002B7E09">
      <w:pPr>
        <w:pStyle w:val="NumberedParas"/>
        <w:numPr>
          <w:ilvl w:val="0"/>
          <w:numId w:val="0"/>
        </w:numPr>
        <w:ind w:left="851"/>
      </w:pPr>
    </w:p>
    <w:p w:rsidR="00B4550A" w:rsidRPr="00E0488D" w:rsidRDefault="00B4550A" w:rsidP="002B7E09">
      <w:pPr>
        <w:pStyle w:val="NumberedParas"/>
      </w:pPr>
      <w:r w:rsidRPr="00E0488D">
        <w:t>Prin crearea unui terminal care poate opera mărfuri generale și achiziția de echipament pentru operarea cerealelor problemele de capacitate prognozate în cazul aeroportului Tulcea pot vi prevenite.</w:t>
      </w:r>
    </w:p>
    <w:p w:rsidR="00B4550A" w:rsidRPr="00E0488D" w:rsidRDefault="00B4550A" w:rsidP="00B4550A">
      <w:pPr>
        <w:rPr>
          <w:sz w:val="22"/>
          <w:szCs w:val="22"/>
          <w:lang w:val="ro-RO"/>
        </w:rPr>
      </w:pPr>
    </w:p>
    <w:p w:rsidR="00B4550A" w:rsidRPr="00E0488D" w:rsidRDefault="00B4550A" w:rsidP="002B7E09">
      <w:pPr>
        <w:pStyle w:val="NumberedParas"/>
        <w:numPr>
          <w:ilvl w:val="0"/>
          <w:numId w:val="0"/>
        </w:numPr>
        <w:ind w:left="1531"/>
      </w:pPr>
    </w:p>
    <w:p w:rsidR="00B4550A" w:rsidRPr="00E0488D" w:rsidRDefault="00B4550A" w:rsidP="00B4550A">
      <w:pPr>
        <w:spacing w:line="276" w:lineRule="auto"/>
        <w:rPr>
          <w:sz w:val="22"/>
          <w:szCs w:val="22"/>
          <w:lang w:val="ro-RO" w:eastAsia="en-GB"/>
        </w:rPr>
      </w:pPr>
    </w:p>
    <w:p w:rsidR="00B4550A" w:rsidRPr="00E0488D" w:rsidRDefault="00B4550A" w:rsidP="00B4550A">
      <w:pPr>
        <w:spacing w:line="276" w:lineRule="auto"/>
        <w:rPr>
          <w:b/>
          <w:sz w:val="22"/>
          <w:szCs w:val="22"/>
          <w:lang w:val="ro-RO"/>
        </w:rPr>
      </w:pPr>
      <w:r w:rsidRPr="00E0488D">
        <w:rPr>
          <w:b/>
          <w:sz w:val="22"/>
          <w:szCs w:val="22"/>
          <w:lang w:val="ro-RO"/>
        </w:rPr>
        <w:t xml:space="preserve">Îmbunătățirea serviciilor de transport naval de călători de la Tulcea la Sulina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Această propunere include îmbunătățirea serviciilor de transport cu feribotul dintre Tulcea și Sulina și comunitățile intermediare. În mod specific, proiectul va încorpora: </w:t>
      </w:r>
    </w:p>
    <w:p w:rsidR="00B4550A" w:rsidRPr="00E0488D" w:rsidRDefault="00B4550A" w:rsidP="00BC2B57">
      <w:pPr>
        <w:pStyle w:val="BulletLevel1"/>
      </w:pPr>
      <w:r w:rsidRPr="00E0488D">
        <w:t xml:space="preserve">Achiziționarea a trei feriboturi suplimentare </w:t>
      </w:r>
    </w:p>
    <w:p w:rsidR="00B4550A" w:rsidRPr="00E0488D" w:rsidRDefault="00B4550A" w:rsidP="00BC2B57">
      <w:pPr>
        <w:pStyle w:val="BulletLevel1"/>
      </w:pPr>
      <w:r w:rsidRPr="00E0488D">
        <w:t xml:space="preserve">Amenajarea a 15 terminale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Pentru mai multe comunități din Delta Dunării, cea mai potrivită metodă de transport este cea pe apă. Această intervenție atinge următoarele probleme:</w:t>
      </w:r>
    </w:p>
    <w:p w:rsidR="00B4550A" w:rsidRPr="00E0488D" w:rsidRDefault="00B4550A" w:rsidP="00BC2B57">
      <w:pPr>
        <w:pStyle w:val="BulletLevel1"/>
      </w:pPr>
      <w:r w:rsidRPr="00E0488D">
        <w:t xml:space="preserve">Starea foarte proastă, uneori aproape în ruină a unora dintre terminale </w:t>
      </w:r>
    </w:p>
    <w:p w:rsidR="00B4550A" w:rsidRPr="00E0488D" w:rsidRDefault="00B4550A" w:rsidP="00BC2B57">
      <w:pPr>
        <w:pStyle w:val="BulletLevel1"/>
      </w:pPr>
      <w:r w:rsidRPr="00E0488D">
        <w:t xml:space="preserve">Legături mai bune pentru cei care depind de accesul în Delta Dunării fie pentru că locuiesc acolo, fie pentru afaceri </w:t>
      </w:r>
    </w:p>
    <w:p w:rsidR="00B4550A" w:rsidRPr="00E0488D" w:rsidRDefault="00B4550A" w:rsidP="00BC2B57">
      <w:pPr>
        <w:pStyle w:val="BulletLevel1"/>
      </w:pPr>
      <w:r w:rsidRPr="00E0488D">
        <w:t xml:space="preserve">Creșterea potențialului  turistic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ar satisface următoarele obiective operaționale:</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OW4 – Reducerea costurilor prin eficiență operațională</w:t>
      </w:r>
    </w:p>
    <w:p w:rsidR="00B4550A" w:rsidRPr="00E0488D" w:rsidRDefault="00B4550A" w:rsidP="00B4550A">
      <w:pPr>
        <w:spacing w:line="276" w:lineRule="auto"/>
        <w:rPr>
          <w:i/>
          <w:sz w:val="22"/>
          <w:szCs w:val="22"/>
          <w:u w:val="single"/>
          <w:lang w:val="ro-RO"/>
        </w:rPr>
      </w:pPr>
      <w:r w:rsidRPr="00E0488D">
        <w:rPr>
          <w:i/>
          <w:sz w:val="22"/>
          <w:szCs w:val="22"/>
          <w:u w:val="single"/>
          <w:lang w:val="ro-RO"/>
        </w:rPr>
        <w:t>Potențială piață</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 </w:t>
      </w:r>
    </w:p>
    <w:p w:rsidR="00B4550A" w:rsidRPr="00E0488D" w:rsidRDefault="00B4550A" w:rsidP="002B7E09">
      <w:pPr>
        <w:pStyle w:val="NumberedParas"/>
      </w:pPr>
      <w:r w:rsidRPr="00E0488D">
        <w:t xml:space="preserve">Această propunere ar fi pentru operațiunile cu transportul de pasageri și pentru transportul de mărfuri ușoare (precum colete </w:t>
      </w:r>
      <w:r w:rsidR="001205D0" w:rsidRPr="00E0488D">
        <w:t>po</w:t>
      </w:r>
      <w:r w:rsidR="001205D0">
        <w:t>ștale</w:t>
      </w:r>
      <w:r w:rsidRPr="00E0488D">
        <w:t>).</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Tabelul 6.18 – Costurile neactualizate ale proiectului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198"/>
        <w:gridCol w:w="3598"/>
      </w:tblGrid>
      <w:tr w:rsidR="00B4550A" w:rsidRPr="00E0488D" w:rsidTr="003C7FC8">
        <w:trPr>
          <w:cantSplit/>
          <w:tblHeader/>
        </w:trPr>
        <w:tc>
          <w:tcPr>
            <w:tcW w:w="0" w:type="auto"/>
            <w:vAlign w:val="center"/>
          </w:tcPr>
          <w:p w:rsidR="00B4550A" w:rsidRPr="00E0488D" w:rsidRDefault="00B4550A" w:rsidP="003C7FC8">
            <w:pPr>
              <w:spacing w:before="120" w:line="276" w:lineRule="auto"/>
              <w:jc w:val="center"/>
              <w:rPr>
                <w:b/>
                <w:bCs/>
                <w:lang w:val="ro-RO"/>
              </w:rPr>
            </w:pPr>
            <w:r w:rsidRPr="00E0488D">
              <w:rPr>
                <w:b/>
                <w:bCs/>
                <w:lang w:val="ro-RO"/>
              </w:rPr>
              <w:t xml:space="preserve"> </w:t>
            </w:r>
          </w:p>
        </w:tc>
        <w:tc>
          <w:tcPr>
            <w:tcW w:w="0" w:type="auto"/>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0" w:type="auto"/>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0" w:type="auto"/>
            <w:vAlign w:val="center"/>
          </w:tcPr>
          <w:p w:rsidR="00B4550A" w:rsidRPr="00E0488D" w:rsidRDefault="00B4550A" w:rsidP="003C7FC8">
            <w:pPr>
              <w:spacing w:before="120" w:line="276" w:lineRule="auto"/>
              <w:rPr>
                <w:b/>
                <w:bCs/>
                <w:lang w:val="ro-RO"/>
              </w:rPr>
            </w:pPr>
            <w:r w:rsidRPr="00E0488D">
              <w:rPr>
                <w:b/>
                <w:bCs/>
                <w:lang w:val="ro-RO"/>
              </w:rPr>
              <w:t xml:space="preserve">Costuri </w:t>
            </w:r>
          </w:p>
        </w:tc>
        <w:tc>
          <w:tcPr>
            <w:tcW w:w="0" w:type="auto"/>
            <w:vAlign w:val="center"/>
          </w:tcPr>
          <w:p w:rsidR="00B4550A" w:rsidRPr="00E0488D" w:rsidRDefault="00B4550A" w:rsidP="003C7FC8">
            <w:pPr>
              <w:spacing w:before="120" w:line="276" w:lineRule="auto"/>
              <w:jc w:val="center"/>
              <w:rPr>
                <w:b/>
                <w:bCs/>
                <w:lang w:val="ro-RO"/>
              </w:rPr>
            </w:pPr>
            <w:r w:rsidRPr="00E0488D">
              <w:rPr>
                <w:b/>
                <w:bCs/>
                <w:lang w:val="ro-RO"/>
              </w:rPr>
              <w:t>19,2</w:t>
            </w:r>
          </w:p>
        </w:tc>
        <w:tc>
          <w:tcPr>
            <w:tcW w:w="0" w:type="auto"/>
          </w:tcPr>
          <w:p w:rsidR="00B4550A" w:rsidRPr="00E0488D" w:rsidRDefault="00B4550A" w:rsidP="003C7FC8">
            <w:pPr>
              <w:spacing w:before="120" w:line="276" w:lineRule="auto"/>
              <w:rPr>
                <w:b/>
                <w:bCs/>
                <w:lang w:val="ro-RO"/>
              </w:rPr>
            </w:pPr>
            <w:r w:rsidRPr="00E0488D">
              <w:rPr>
                <w:b/>
                <w:bCs/>
                <w:lang w:val="ro-RO"/>
              </w:rPr>
              <w:t xml:space="preserve">15 terminale pentru pasageri amenajate </w:t>
            </w:r>
          </w:p>
          <w:p w:rsidR="00B4550A" w:rsidRPr="00E0488D" w:rsidRDefault="00B4550A" w:rsidP="003C7FC8">
            <w:pPr>
              <w:spacing w:before="120" w:line="276" w:lineRule="auto"/>
              <w:rPr>
                <w:b/>
                <w:bCs/>
                <w:lang w:val="ro-RO"/>
              </w:rPr>
            </w:pPr>
            <w:r w:rsidRPr="00E0488D">
              <w:rPr>
                <w:b/>
                <w:bCs/>
                <w:lang w:val="ro-RO"/>
              </w:rPr>
              <w:t xml:space="preserve">3 feriboturi noi </w:t>
            </w:r>
          </w:p>
        </w:tc>
      </w:tr>
    </w:tbl>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Această intervenție aduce suficiente beneficii cu un raport cost-beneficiu (RBC) de 1,47. Se estimează că terminalul va genera un număr suplimentar de 176.000 pasageri în 2020. Acest proiect este recomandat pentru a fi inclus în Master Plan datorită acreditărilor sale în ceea ce privește protecția mediului și legăturile și aportului la creșterea conectivității regionale.</w:t>
      </w:r>
    </w:p>
    <w:p w:rsidR="00B4550A" w:rsidRPr="00E0488D" w:rsidRDefault="00B4550A" w:rsidP="002B7E09">
      <w:pPr>
        <w:pStyle w:val="NumberedParas"/>
        <w:numPr>
          <w:ilvl w:val="0"/>
          <w:numId w:val="0"/>
        </w:numPr>
        <w:rPr>
          <w:lang w:eastAsia="en-GB"/>
        </w:rPr>
      </w:pPr>
      <w:r w:rsidRPr="00E0488D">
        <w:rPr>
          <w:lang w:eastAsia="en-GB"/>
        </w:rPr>
        <w:t xml:space="preserve">Tabelul 6.19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spacing w:line="276" w:lineRule="auto"/>
              <w:rPr>
                <w:b/>
                <w:bCs/>
                <w:lang w:val="ro-RO"/>
              </w:rPr>
            </w:pPr>
            <w:r w:rsidRPr="00E0488D">
              <w:rPr>
                <w:b/>
                <w:bCs/>
                <w:lang w:val="ro-RO"/>
              </w:rPr>
              <w:t>Cod test</w:t>
            </w:r>
          </w:p>
        </w:tc>
        <w:tc>
          <w:tcPr>
            <w:tcW w:w="1628" w:type="dxa"/>
            <w:vAlign w:val="center"/>
          </w:tcPr>
          <w:p w:rsidR="00B4550A" w:rsidRPr="00E0488D" w:rsidRDefault="00B4550A" w:rsidP="003C7FC8">
            <w:pPr>
              <w:rPr>
                <w:lang w:val="ro-RO"/>
              </w:rPr>
            </w:pPr>
            <w:r w:rsidRPr="00E0488D">
              <w:rPr>
                <w:lang w:val="ro-RO"/>
              </w:rPr>
              <w:t>W101</w:t>
            </w:r>
          </w:p>
        </w:tc>
      </w:tr>
      <w:tr w:rsidR="00B4550A" w:rsidRPr="00E0488D" w:rsidTr="003C7FC8">
        <w:tc>
          <w:tcPr>
            <w:tcW w:w="3818" w:type="dxa"/>
          </w:tcPr>
          <w:p w:rsidR="00B4550A" w:rsidRPr="00E0488D" w:rsidRDefault="00B4550A" w:rsidP="003C7FC8">
            <w:pPr>
              <w:spacing w:line="276" w:lineRule="auto"/>
              <w:rPr>
                <w:b/>
                <w:bCs/>
                <w:lang w:val="ro-RO"/>
              </w:rPr>
            </w:pPr>
            <w:r w:rsidRPr="00E0488D">
              <w:rPr>
                <w:b/>
                <w:bCs/>
                <w:lang w:val="ro-RO"/>
              </w:rPr>
              <w:t>Număr de călători pe an (2020)</w:t>
            </w:r>
          </w:p>
        </w:tc>
        <w:tc>
          <w:tcPr>
            <w:tcW w:w="1628" w:type="dxa"/>
          </w:tcPr>
          <w:p w:rsidR="00B4550A" w:rsidRPr="00E0488D" w:rsidRDefault="00B4550A" w:rsidP="003C7FC8">
            <w:pPr>
              <w:spacing w:line="276" w:lineRule="auto"/>
              <w:jc w:val="center"/>
              <w:rPr>
                <w:i/>
                <w:u w:val="single"/>
                <w:lang w:val="ro-RO"/>
              </w:rPr>
            </w:pPr>
            <w:r w:rsidRPr="00E0488D">
              <w:rPr>
                <w:lang w:val="ro-RO"/>
              </w:rPr>
              <w:t>176.713</w:t>
            </w:r>
          </w:p>
        </w:tc>
      </w:tr>
      <w:tr w:rsidR="00B4550A" w:rsidRPr="00E0488D" w:rsidTr="003C7FC8">
        <w:tc>
          <w:tcPr>
            <w:tcW w:w="3818" w:type="dxa"/>
            <w:vAlign w:val="center"/>
          </w:tcPr>
          <w:p w:rsidR="00B4550A" w:rsidRPr="00E0488D" w:rsidRDefault="00B4550A" w:rsidP="004A2A3D">
            <w:pPr>
              <w:spacing w:line="276" w:lineRule="auto"/>
              <w:rPr>
                <w:b/>
                <w:bCs/>
                <w:lang w:val="ro-RO"/>
              </w:rPr>
            </w:pPr>
            <w:r w:rsidRPr="00E0488D">
              <w:rPr>
                <w:b/>
                <w:lang w:val="ro-RO"/>
              </w:rPr>
              <w:t>VN</w:t>
            </w:r>
            <w:r w:rsidR="004A2A3D"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9</w:t>
            </w:r>
          </w:p>
        </w:tc>
      </w:tr>
      <w:tr w:rsidR="00B4550A" w:rsidRPr="00E0488D" w:rsidTr="003C7FC8">
        <w:tc>
          <w:tcPr>
            <w:tcW w:w="3818" w:type="dxa"/>
            <w:vAlign w:val="center"/>
          </w:tcPr>
          <w:p w:rsidR="00B4550A" w:rsidRPr="00E0488D" w:rsidRDefault="004A2A3D" w:rsidP="003C7FC8">
            <w:pPr>
              <w:spacing w:line="276" w:lineRule="auto"/>
              <w:rPr>
                <w:b/>
                <w:bCs/>
                <w:lang w:val="ro-RO"/>
              </w:rPr>
            </w:pPr>
            <w:r w:rsidRPr="00E0488D">
              <w:rPr>
                <w:b/>
                <w:bCs/>
                <w:lang w:val="ro-RO"/>
              </w:rPr>
              <w:t>RB</w:t>
            </w:r>
            <w:r w:rsidR="00B4550A" w:rsidRPr="00E0488D">
              <w:rPr>
                <w:b/>
                <w:bCs/>
                <w:lang w:val="ro-RO"/>
              </w:rPr>
              <w:t>C</w:t>
            </w:r>
          </w:p>
        </w:tc>
        <w:tc>
          <w:tcPr>
            <w:tcW w:w="1628" w:type="dxa"/>
          </w:tcPr>
          <w:p w:rsidR="00B4550A" w:rsidRPr="00E0488D" w:rsidRDefault="00B4550A" w:rsidP="003C7FC8">
            <w:pPr>
              <w:spacing w:line="276" w:lineRule="auto"/>
              <w:jc w:val="center"/>
              <w:rPr>
                <w:i/>
                <w:u w:val="single"/>
                <w:lang w:val="ro-RO"/>
              </w:rPr>
            </w:pPr>
            <w:r w:rsidRPr="00E0488D">
              <w:rPr>
                <w:lang w:val="ro-RO"/>
              </w:rPr>
              <w:t>1,47</w:t>
            </w:r>
          </w:p>
        </w:tc>
      </w:tr>
      <w:tr w:rsidR="00B4550A" w:rsidRPr="00E0488D" w:rsidTr="003C7FC8">
        <w:tc>
          <w:tcPr>
            <w:tcW w:w="3818" w:type="dxa"/>
            <w:vAlign w:val="center"/>
          </w:tcPr>
          <w:p w:rsidR="00B4550A" w:rsidRPr="00E0488D" w:rsidRDefault="00B4550A" w:rsidP="003C7FC8">
            <w:pPr>
              <w:spacing w:line="276" w:lineRule="auto"/>
              <w:rPr>
                <w:b/>
                <w:bCs/>
                <w:lang w:val="ro-RO"/>
              </w:rPr>
            </w:pPr>
            <w:r w:rsidRPr="00E0488D">
              <w:rPr>
                <w:b/>
                <w:bCs/>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4,4%</w:t>
            </w:r>
          </w:p>
        </w:tc>
      </w:tr>
      <w:tr w:rsidR="00B4550A" w:rsidRPr="00E0488D" w:rsidTr="003C7FC8">
        <w:tc>
          <w:tcPr>
            <w:tcW w:w="3818" w:type="dxa"/>
          </w:tcPr>
          <w:p w:rsidR="00B4550A" w:rsidRPr="00E0488D" w:rsidRDefault="00B4550A" w:rsidP="003C7FC8">
            <w:pPr>
              <w:spacing w:line="276" w:lineRule="auto"/>
              <w:rPr>
                <w:b/>
                <w:bCs/>
                <w:lang w:val="ro-RO"/>
              </w:rPr>
            </w:pPr>
            <w:r w:rsidRPr="00E0488D">
              <w:rPr>
                <w:b/>
                <w:bCs/>
                <w:lang w:val="ro-RO"/>
              </w:rPr>
              <w:t xml:space="preserve">Recomandări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bCs/>
          <w:i/>
          <w:sz w:val="22"/>
          <w:szCs w:val="22"/>
          <w:u w:val="single"/>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va fi </w:t>
      </w:r>
      <w:r w:rsidR="001205D0">
        <w:t>implemen</w:t>
      </w:r>
      <w:r w:rsidR="001205D0" w:rsidRPr="00E0488D">
        <w:t>tat</w:t>
      </w:r>
      <w:r w:rsidRPr="00E0488D">
        <w:t xml:space="preserve"> de operatorii terminalelor private de  pasageri prin intermediul unui program de franciză. </w:t>
      </w:r>
    </w:p>
    <w:p w:rsidR="00B4550A" w:rsidRPr="00E0488D" w:rsidRDefault="00B4550A" w:rsidP="00B4550A">
      <w:pPr>
        <w:spacing w:line="276" w:lineRule="auto"/>
        <w:rPr>
          <w:bCs/>
          <w:i/>
          <w:sz w:val="22"/>
          <w:szCs w:val="22"/>
          <w:u w:val="single"/>
          <w:lang w:val="ro-RO"/>
        </w:rPr>
      </w:pP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pPr>
      <w:r w:rsidRPr="00E0488D">
        <w:t xml:space="preserve">Implementarea ar putea avea loc de îndată ce se semnează proiectul. Nu mai depinde de alte condiții. </w:t>
      </w:r>
    </w:p>
    <w:p w:rsidR="00B4550A" w:rsidRPr="00E0488D" w:rsidRDefault="00B4550A" w:rsidP="00B4550A">
      <w:pPr>
        <w:spacing w:line="276" w:lineRule="auto"/>
        <w:rPr>
          <w:b/>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Galați:</w:t>
      </w:r>
    </w:p>
    <w:p w:rsidR="00B4550A" w:rsidRPr="00E0488D" w:rsidRDefault="00B4550A" w:rsidP="00B4550A">
      <w:pPr>
        <w:spacing w:line="276" w:lineRule="auto"/>
        <w:rPr>
          <w:b/>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 xml:space="preserve">Construcția unui nou terminal trimodal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Ca parte a rețelei strategice de terminale intermodale din România , Galați a fost identificat ca locație cheie pentru deplasările internaționale. Propunerea este să se construiască un nou terminal trimodal în cadrul portului astfel încât containerele intermodale să poată valorifica conexiunile rutiere, feroviare și navale ale zonei Galați. Aceasta ar </w:t>
      </w:r>
      <w:r w:rsidR="001205D0" w:rsidRPr="00E0488D">
        <w:t>asigura</w:t>
      </w:r>
      <w:r w:rsidRPr="00E0488D">
        <w:t xml:space="preserve"> </w:t>
      </w:r>
      <w:r w:rsidR="001205D0" w:rsidRPr="00E0488D">
        <w:t>facilități</w:t>
      </w:r>
      <w:r w:rsidRPr="00E0488D">
        <w:t xml:space="preserve"> și dane intermodale dedicate în portului Galați, de care acest port nu dispune deocamdată, pentru a își putea îmbunătăți conexiunile conform cerințelor Reglementării 1315/2013. În mod specific, propunerea va include:  </w:t>
      </w:r>
    </w:p>
    <w:p w:rsidR="00B4550A" w:rsidRPr="00E0488D" w:rsidRDefault="001205D0" w:rsidP="00BC2B57">
      <w:pPr>
        <w:pStyle w:val="BulletLevel1"/>
      </w:pPr>
      <w:r w:rsidRPr="00E0488D">
        <w:t>Un nou terminal intermodal de 7 hectare, inclusiv echipamentul de operare, cu infrastructu</w:t>
      </w:r>
      <w:r>
        <w:t>ră modernă, inclusiv cheuri car</w:t>
      </w:r>
      <w:r w:rsidRPr="00E0488D">
        <w:t>e</w:t>
      </w:r>
      <w:r>
        <w:t xml:space="preserve"> </w:t>
      </w:r>
      <w:r w:rsidRPr="00E0488D">
        <w:t xml:space="preserve">vor permite acostarea directă a navelor. </w:t>
      </w:r>
    </w:p>
    <w:p w:rsidR="00B4550A" w:rsidRPr="00E0488D" w:rsidRDefault="00B4550A" w:rsidP="00BC2B57">
      <w:pPr>
        <w:pStyle w:val="BulletLevel1"/>
      </w:pPr>
      <w:r w:rsidRPr="00E0488D">
        <w:t xml:space="preserve">Legături cu linii de cale ferată cu ecartament adecvat pentru transport la nivel european și pentru transport în Rusia </w:t>
      </w:r>
    </w:p>
    <w:p w:rsidR="00B4550A" w:rsidRPr="00E0488D" w:rsidRDefault="00B4550A" w:rsidP="00BC2B57">
      <w:pPr>
        <w:pStyle w:val="BulletLevel1"/>
      </w:pPr>
      <w:r w:rsidRPr="00E0488D">
        <w:t>Facilități RoRo pentru camioane</w:t>
      </w:r>
    </w:p>
    <w:p w:rsidR="00B4550A" w:rsidRPr="00E0488D" w:rsidRDefault="00B4550A" w:rsidP="00BC2B57">
      <w:pPr>
        <w:pStyle w:val="BulletLevel1"/>
      </w:pPr>
      <w:r w:rsidRPr="00E0488D">
        <w:t xml:space="preserve">Facilități logistice </w:t>
      </w:r>
    </w:p>
    <w:p w:rsidR="00B4550A" w:rsidRPr="00E0488D" w:rsidRDefault="00B4550A" w:rsidP="00BC2B57">
      <w:pPr>
        <w:pStyle w:val="BulletLevel1"/>
      </w:pPr>
      <w:r w:rsidRPr="00E0488D">
        <w:t xml:space="preserve">Legături către Zona Liberă a portului și modernizarea legăturilor </w:t>
      </w:r>
      <w:r w:rsidR="001205D0" w:rsidRPr="00E0488D">
        <w:t>rutiere</w:t>
      </w:r>
      <w:r w:rsidRPr="00E0488D">
        <w:t xml:space="preserve"> și feroviare la un standard care să satisfacă cerințele Reglementării 1315/2013, printre care banda dublă pe sens, evitarea intersectărilor cu calea ferată, reconfigurarea stației de triaj pentru a permite operarea trenurilor  de 750 de metri lungime, electrificare și sisteme de semnalizare.</w:t>
      </w:r>
    </w:p>
    <w:p w:rsidR="00B4550A" w:rsidRPr="00E0488D" w:rsidRDefault="00B4550A" w:rsidP="002B7E09">
      <w:pPr>
        <w:pStyle w:val="NumberedParas"/>
      </w:pPr>
      <w:r w:rsidRPr="00E0488D">
        <w:t xml:space="preserve">Portul Galați a propus un proiect denumit "Platforma Multimodală Galați –eliminarea </w:t>
      </w:r>
      <w:r w:rsidR="001205D0" w:rsidRPr="00E0488D">
        <w:t>congestiilor</w:t>
      </w:r>
      <w:r w:rsidRPr="00E0488D">
        <w:t xml:space="preserve"> majore prin modernizarea infrastructurii existente și asigurarea legăturilor lipsa către rețeaua de bază Rin-Dunăre / Alpi" care are în vedere fondurile CEF (Connecting Europe Faciity) pentru finanțare.  Se sugerează ca propunerea AECOM să reprezinte prima fază a acestui proiect. Dacă propunerea AECOM va avea succes, atunci portul va beneficia de noi investiții pentru dezvoltare ulterioară  atunci când condițiile pieței vor </w:t>
      </w:r>
      <w:r w:rsidR="001205D0" w:rsidRPr="00E0488D">
        <w:t>demonstra</w:t>
      </w:r>
      <w:r w:rsidRPr="00E0488D">
        <w:t xml:space="preserve"> că acestea sunt dezvoltări viabile.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În prezent, portul nu are un terminal intermodal dedicat ceea ce îi limitează potențialul. Această intervenție ar atinge următoarele probleme:</w:t>
      </w:r>
    </w:p>
    <w:p w:rsidR="00B4550A" w:rsidRPr="00E0488D" w:rsidRDefault="00B4550A" w:rsidP="00BC2B57">
      <w:pPr>
        <w:pStyle w:val="BulletLevel1"/>
      </w:pPr>
      <w:r w:rsidRPr="00E0488D">
        <w:t xml:space="preserve">Lipsa unui terminal intermodal dedicat </w:t>
      </w:r>
    </w:p>
    <w:p w:rsidR="00B4550A" w:rsidRPr="00E0488D" w:rsidRDefault="00B4550A" w:rsidP="00BC2B57">
      <w:pPr>
        <w:pStyle w:val="BulletLevel1"/>
      </w:pPr>
      <w:r w:rsidRPr="00E0488D">
        <w:t>Lipsa unei rețele de terminale intermodale în România</w:t>
      </w:r>
    </w:p>
    <w:p w:rsidR="00B4550A" w:rsidRPr="00E0488D" w:rsidRDefault="00B4550A" w:rsidP="00BC2B57">
      <w:pPr>
        <w:pStyle w:val="BulletLevel1"/>
      </w:pPr>
      <w:r w:rsidRPr="00E0488D">
        <w:t xml:space="preserve">Congestii în rețeaua locală de transport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ar satisface următoarele obiective operaționale:</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OW4 – Reducerea costurilor prin eficiență operațională</w:t>
      </w:r>
    </w:p>
    <w:p w:rsidR="00B4550A" w:rsidRPr="00E0488D" w:rsidRDefault="00B4550A" w:rsidP="00BC2B57">
      <w:pPr>
        <w:pStyle w:val="BulletLevel1"/>
      </w:pPr>
      <w:r w:rsidRPr="00E0488D">
        <w:t xml:space="preserve">OW10 – Creșterea volumului de mărfuri transportate prin moduri de transport sustenabile </w:t>
      </w:r>
    </w:p>
    <w:p w:rsidR="00B4550A" w:rsidRPr="00E0488D" w:rsidRDefault="00B4550A" w:rsidP="00BC2B57">
      <w:pPr>
        <w:pStyle w:val="BulletLevel1"/>
      </w:pPr>
      <w:r w:rsidRPr="00E0488D">
        <w:t xml:space="preserve">OW12 – Creșterea gradului de utilizare a transportului intermodal </w:t>
      </w:r>
    </w:p>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Piața potențială</w:t>
      </w:r>
    </w:p>
    <w:p w:rsidR="00B4550A" w:rsidRPr="00E0488D" w:rsidRDefault="00B4550A" w:rsidP="002B7E09">
      <w:pPr>
        <w:pStyle w:val="NumberedParas"/>
      </w:pPr>
      <w:r w:rsidRPr="00E0488D">
        <w:t xml:space="preserve">Această propunere ar fi dedicată operării de containere.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6.20 – Costuri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C7FC8">
            <w:pPr>
              <w:spacing w:before="120" w:line="276" w:lineRule="auto"/>
              <w:rPr>
                <w:b/>
                <w:bCs/>
                <w:lang w:val="ro-RO"/>
              </w:rPr>
            </w:pPr>
            <w:r w:rsidRPr="00E0488D">
              <w:rPr>
                <w:b/>
                <w:bCs/>
                <w:lang w:val="ro-RO"/>
              </w:rPr>
              <w:t>Costuri</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23</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Terminal trimodal inclusiv manevrarea echipamentelor </w:t>
            </w:r>
          </w:p>
          <w:p w:rsidR="00B4550A" w:rsidRPr="00E0488D" w:rsidRDefault="00B4550A" w:rsidP="003C7FC8">
            <w:pPr>
              <w:spacing w:before="120" w:line="276" w:lineRule="auto"/>
              <w:rPr>
                <w:b/>
                <w:bCs/>
                <w:lang w:val="ro-RO"/>
              </w:rPr>
            </w:pPr>
            <w:r w:rsidRPr="00E0488D">
              <w:rPr>
                <w:b/>
                <w:bCs/>
                <w:lang w:val="ro-RO"/>
              </w:rPr>
              <w:t xml:space="preserve">Legături cu liniile de cale ferată cu ecartament european și rusesc </w:t>
            </w:r>
          </w:p>
          <w:p w:rsidR="00B4550A" w:rsidRPr="00E0488D" w:rsidRDefault="00B4550A" w:rsidP="003C7FC8">
            <w:pPr>
              <w:spacing w:before="120" w:line="276" w:lineRule="auto"/>
              <w:rPr>
                <w:b/>
                <w:bCs/>
                <w:lang w:val="ro-RO"/>
              </w:rPr>
            </w:pPr>
            <w:r w:rsidRPr="00E0488D">
              <w:rPr>
                <w:b/>
                <w:bCs/>
                <w:lang w:val="ro-RO"/>
              </w:rPr>
              <w:t xml:space="preserve">Facilități logistice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Intervenția oferă beneficii limitate având un raport beneficiu-cost (RBC) de 0,94. Se anticipează faptul că terminalul va genera peste 186.000 tone de transport containerizat până în 2020. Deși rezultatele obținute din cadrul modelului nu sunt complet favorabile, acest proiect este recomandat pentru a fi inclus în Master Plan deoarece este considerat un nod important pentru rețeaua intermodală din România și un port de dimensiunea celui de la Galați ar trebui să poată opera containere utilizând metode moderne. </w:t>
      </w:r>
    </w:p>
    <w:p w:rsidR="00B4550A" w:rsidRPr="00E0488D" w:rsidRDefault="00B4550A" w:rsidP="002B7E09">
      <w:pPr>
        <w:pStyle w:val="NumberedParas"/>
        <w:numPr>
          <w:ilvl w:val="0"/>
          <w:numId w:val="0"/>
        </w:numPr>
        <w:rPr>
          <w:lang w:eastAsia="en-GB"/>
        </w:rPr>
      </w:pPr>
      <w:r w:rsidRPr="00E0488D">
        <w:rPr>
          <w:lang w:eastAsia="en-GB"/>
        </w:rPr>
        <w:t>Table 6.21 – Rezultatele modelate ale proiectului</w:t>
      </w:r>
    </w:p>
    <w:tbl>
      <w:tblPr>
        <w:tblW w:w="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I-GL-S (W18)</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186.743</w:t>
            </w:r>
          </w:p>
        </w:tc>
      </w:tr>
      <w:tr w:rsidR="00B4550A" w:rsidRPr="00E0488D" w:rsidTr="003C7FC8">
        <w:tc>
          <w:tcPr>
            <w:tcW w:w="3818" w:type="dxa"/>
            <w:vAlign w:val="center"/>
          </w:tcPr>
          <w:p w:rsidR="00B4550A" w:rsidRPr="00E0488D" w:rsidRDefault="00A74DEB" w:rsidP="003C7FC8">
            <w:pPr>
              <w:rPr>
                <w:b/>
                <w:lang w:val="ro-RO"/>
              </w:rPr>
            </w:pPr>
            <w:r w:rsidRPr="00E0488D">
              <w:rPr>
                <w:b/>
                <w:lang w:val="ro-RO"/>
              </w:rPr>
              <w:t>VNA</w:t>
            </w:r>
            <w:r w:rsidR="00B4550A"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-1</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RBC</w:t>
            </w:r>
          </w:p>
        </w:tc>
        <w:tc>
          <w:tcPr>
            <w:tcW w:w="1628" w:type="dxa"/>
          </w:tcPr>
          <w:p w:rsidR="00B4550A" w:rsidRPr="00E0488D" w:rsidRDefault="00B4550A" w:rsidP="003C7FC8">
            <w:pPr>
              <w:spacing w:line="276" w:lineRule="auto"/>
              <w:jc w:val="center"/>
              <w:rPr>
                <w:i/>
                <w:u w:val="single"/>
                <w:lang w:val="ro-RO"/>
              </w:rPr>
            </w:pPr>
            <w:r w:rsidRPr="00E0488D">
              <w:rPr>
                <w:lang w:val="ro-RO"/>
              </w:rPr>
              <w:t>0,94</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4,7%</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sz w:val="22"/>
                <w:szCs w:val="22"/>
                <w:lang w:val="ro-RO"/>
              </w:rPr>
            </w:pPr>
            <w:r w:rsidRPr="00E0488D">
              <w:rPr>
                <w:b/>
                <w:color w:val="00B050"/>
                <w:sz w:val="22"/>
                <w:szCs w:val="22"/>
                <w:lang w:val="ro-RO"/>
              </w:rPr>
              <w:sym w:font="Wingdings" w:char="F0FC"/>
            </w:r>
            <w:r w:rsidRPr="00E0488D">
              <w:rPr>
                <w:rStyle w:val="FootnoteReference"/>
                <w:b/>
                <w:sz w:val="22"/>
                <w:szCs w:val="22"/>
                <w:lang w:val="ro-RO"/>
              </w:rPr>
              <w:footnoteReference w:id="28"/>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Acest proiect ar trebui să fie implementat prin intermediul unui parteneriat format din administrația portului APDM Galați și un operator privat al portului și alți factori implicați relevanți.</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2021-2030</w:t>
      </w:r>
    </w:p>
    <w:p w:rsidR="00B4550A" w:rsidRPr="00E0488D" w:rsidRDefault="00B4550A" w:rsidP="002B7E09">
      <w:pPr>
        <w:pStyle w:val="NumberedParas"/>
        <w:rPr>
          <w:b/>
        </w:rPr>
      </w:pPr>
      <w:r w:rsidRPr="00E0488D">
        <w:t xml:space="preserve">Implementarea ar putea începe de îndată ce se semnează proiectul; totuși se recomandă ca dezvoltarea terminalului intermodal să fie etapizată pentru a se adaptata condițiilor dominante de pe piață. </w:t>
      </w:r>
    </w:p>
    <w:p w:rsidR="00B4550A" w:rsidRPr="00E0488D" w:rsidRDefault="00B4550A" w:rsidP="00B4550A">
      <w:pPr>
        <w:rPr>
          <w:lang w:val="ro-RO"/>
        </w:rPr>
      </w:pPr>
    </w:p>
    <w:p w:rsidR="00B4550A" w:rsidRPr="00E0488D" w:rsidRDefault="00B4550A" w:rsidP="00B4550A">
      <w:pPr>
        <w:spacing w:line="276" w:lineRule="auto"/>
        <w:rPr>
          <w:b/>
          <w:sz w:val="22"/>
          <w:szCs w:val="22"/>
          <w:lang w:val="ro-RO"/>
        </w:rPr>
      </w:pPr>
      <w:r w:rsidRPr="00E0488D">
        <w:rPr>
          <w:b/>
          <w:sz w:val="22"/>
          <w:szCs w:val="22"/>
          <w:lang w:val="ro-RO"/>
        </w:rPr>
        <w:t xml:space="preserve">Modernizarea terminalelor de existente mărfuri vrac solid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La Galați există un terminal cu facilități pentru mărfuri vrac solid</w:t>
      </w:r>
      <w:r w:rsidR="0009621B" w:rsidRPr="00E0488D">
        <w:t xml:space="preserve"> dar acesta este vechi și ineficient</w:t>
      </w:r>
      <w:r w:rsidRPr="00E0488D">
        <w:t>. Această ineficiență duce la sub-utilizarea portului ca urmare a limitării cantității de marfă vrac ce poate fi operată comparativ cu cererea disponibilă. Modernizarea acestor facilități va îmbunătăți opțiunile portului și capacitatea de operare a acestuia. În mod specific proiectul va include:</w:t>
      </w:r>
    </w:p>
    <w:p w:rsidR="00B4550A" w:rsidRPr="00E0488D" w:rsidRDefault="00B4550A" w:rsidP="00BC2B57">
      <w:pPr>
        <w:pStyle w:val="BulletLevel1"/>
      </w:pPr>
      <w:r w:rsidRPr="00E0488D">
        <w:t xml:space="preserve">Modernizarea cheurilor pentru a permite navelor să acosteze direct și asigurarea </w:t>
      </w:r>
      <w:r w:rsidR="001205D0" w:rsidRPr="00E0488D">
        <w:t>serviciilor</w:t>
      </w:r>
      <w:r w:rsidRPr="00E0488D">
        <w:t xml:space="preserve"> necesare navelor</w:t>
      </w:r>
    </w:p>
    <w:p w:rsidR="00B4550A" w:rsidRPr="00E0488D" w:rsidRDefault="00B4550A" w:rsidP="00BC2B57">
      <w:pPr>
        <w:pStyle w:val="BulletLevel1"/>
      </w:pPr>
      <w:r w:rsidRPr="00E0488D">
        <w:t>Modernizarea operațiunilor de încărcare și descărcare</w:t>
      </w:r>
    </w:p>
    <w:p w:rsidR="00B4550A" w:rsidRPr="00E0488D" w:rsidRDefault="00B4550A" w:rsidP="00BC2B57">
      <w:pPr>
        <w:pStyle w:val="BulletLevel1"/>
      </w:pPr>
      <w:r w:rsidRPr="00E0488D">
        <w:t>Reabilitarea zonelor de depozitare și a utilităților portului</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Facilitățile existente sunt vechi și nu sunt adecvate practicilor logistice moderne. Deși pe hârtie portul are capacitate de rezervă, acest lucru nu este valabil și în realitate din cauza situației unora dintre facilități care nu pot fi folosite în realitate </w:t>
      </w:r>
      <w:r w:rsidR="001205D0" w:rsidRPr="00E0488D">
        <w:t>pentru</w:t>
      </w:r>
      <w:r w:rsidRPr="00E0488D">
        <w:t xml:space="preserve"> trafic de mărfuri. Această propunere abordează următoarele probleme: </w:t>
      </w:r>
    </w:p>
    <w:p w:rsidR="00B4550A" w:rsidRPr="00E0488D" w:rsidRDefault="00B4550A" w:rsidP="00BC2B57">
      <w:pPr>
        <w:pStyle w:val="BulletLevel1"/>
      </w:pPr>
      <w:r w:rsidRPr="00E0488D">
        <w:t xml:space="preserve">Infrastructura și terminalele vechi pot beneficia de un suflu nou și pot deveni utilizabile pentru cerințele logistice moderne </w:t>
      </w:r>
    </w:p>
    <w:p w:rsidR="00B4550A" w:rsidRPr="00E0488D" w:rsidRDefault="00B4550A" w:rsidP="00BC2B57">
      <w:pPr>
        <w:pStyle w:val="BulletLevel1"/>
      </w:pPr>
      <w:r w:rsidRPr="00E0488D">
        <w:t xml:space="preserve">Transformarea capacității subutilizate pentru a putea fi utilizată de industrii și tipuri de marfă care au nevoie de capacitate suplimentară </w:t>
      </w:r>
    </w:p>
    <w:p w:rsidR="00B4550A" w:rsidRPr="00E0488D" w:rsidRDefault="00B4550A" w:rsidP="00BC2B57">
      <w:pPr>
        <w:pStyle w:val="BulletLevel1"/>
      </w:pPr>
      <w:r w:rsidRPr="00E0488D">
        <w:t xml:space="preserve">Reamenajarea bazinului pentru a permite navelor moderne să utilizeze portul cu ușurință  </w:t>
      </w:r>
    </w:p>
    <w:p w:rsidR="00B4550A" w:rsidRPr="00E0488D" w:rsidRDefault="00B4550A" w:rsidP="00BC2B57">
      <w:pPr>
        <w:pStyle w:val="BulletLevel1"/>
      </w:pPr>
      <w:r w:rsidRPr="00E0488D">
        <w:t xml:space="preserve">Prevenirea degradării suplimentare a portului și securizarea viitorului și viabilității portului pe termen lung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ar satisface următoarele obiective operaționale:</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OW4 – Reducerea costurilor prin eficiență operațională</w:t>
      </w:r>
    </w:p>
    <w:p w:rsidR="00B4550A" w:rsidRPr="00E0488D" w:rsidRDefault="00B4550A"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Piața potențială</w:t>
      </w:r>
    </w:p>
    <w:p w:rsidR="00B4550A" w:rsidRPr="00E0488D" w:rsidRDefault="00B4550A" w:rsidP="002B7E09">
      <w:pPr>
        <w:pStyle w:val="NumberedParas"/>
      </w:pPr>
      <w:r w:rsidRPr="00E0488D">
        <w:t xml:space="preserve">Această propunere ar fi adresată operațiunilor cu mărfuri vrac solid din Galați, precum cereale, agregate și oțel.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acest proiect va înregistra următoarele costuri:</w:t>
      </w:r>
    </w:p>
    <w:p w:rsidR="002E563A" w:rsidRPr="00E0488D" w:rsidRDefault="002E563A">
      <w:pPr>
        <w:rPr>
          <w:i/>
          <w:sz w:val="22"/>
          <w:szCs w:val="22"/>
          <w:u w:val="single"/>
          <w:lang w:val="ro-RO"/>
        </w:rPr>
      </w:pPr>
    </w:p>
    <w:p w:rsidR="00B4550A" w:rsidRPr="00E0488D" w:rsidRDefault="00B4550A" w:rsidP="002B7E09">
      <w:pPr>
        <w:pStyle w:val="NumberedParas"/>
        <w:numPr>
          <w:ilvl w:val="0"/>
          <w:numId w:val="0"/>
        </w:numPr>
        <w:rPr>
          <w:lang w:eastAsia="en-GB"/>
        </w:rPr>
      </w:pPr>
      <w:r w:rsidRPr="00E0488D">
        <w:rPr>
          <w:lang w:eastAsia="en-GB"/>
        </w:rPr>
        <w:t>Tabelul 6.22 – Costuri neactualizate ale proiectului</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sz w:val="20"/>
                <w:szCs w:val="20"/>
                <w:lang w:val="ro-RO"/>
              </w:rPr>
            </w:pPr>
          </w:p>
        </w:tc>
        <w:tc>
          <w:tcPr>
            <w:tcW w:w="1330"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C7FC8">
            <w:pPr>
              <w:spacing w:before="120" w:line="276" w:lineRule="auto"/>
              <w:rPr>
                <w:b/>
                <w:bCs/>
                <w:sz w:val="20"/>
                <w:szCs w:val="20"/>
                <w:lang w:val="ro-RO"/>
              </w:rPr>
            </w:pPr>
            <w:r w:rsidRPr="00E0488D">
              <w:rPr>
                <w:b/>
                <w:bCs/>
                <w:sz w:val="20"/>
                <w:szCs w:val="20"/>
                <w:lang w:val="ro-RO"/>
              </w:rPr>
              <w:t xml:space="preserve">Cost </w:t>
            </w:r>
          </w:p>
        </w:tc>
        <w:tc>
          <w:tcPr>
            <w:tcW w:w="1330"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17,6</w:t>
            </w:r>
          </w:p>
        </w:tc>
        <w:tc>
          <w:tcPr>
            <w:tcW w:w="2948" w:type="pct"/>
          </w:tcPr>
          <w:p w:rsidR="00B4550A" w:rsidRPr="00E0488D" w:rsidRDefault="00B4550A" w:rsidP="003C7FC8">
            <w:pPr>
              <w:spacing w:before="120" w:line="276" w:lineRule="auto"/>
              <w:rPr>
                <w:b/>
                <w:bCs/>
                <w:sz w:val="20"/>
                <w:szCs w:val="20"/>
                <w:lang w:val="ro-RO"/>
              </w:rPr>
            </w:pPr>
            <w:r w:rsidRPr="00E0488D">
              <w:rPr>
                <w:b/>
                <w:bCs/>
                <w:sz w:val="20"/>
                <w:szCs w:val="20"/>
                <w:lang w:val="ro-RO"/>
              </w:rPr>
              <w:t xml:space="preserve">Modernizarea terminalului de mărfuri solide  </w:t>
            </w:r>
          </w:p>
          <w:p w:rsidR="00B4550A" w:rsidRPr="00E0488D" w:rsidRDefault="00B4550A" w:rsidP="003C7FC8">
            <w:pPr>
              <w:spacing w:before="120" w:line="276" w:lineRule="auto"/>
              <w:rPr>
                <w:b/>
                <w:bCs/>
                <w:sz w:val="20"/>
                <w:szCs w:val="20"/>
                <w:lang w:val="ro-RO"/>
              </w:rPr>
            </w:pPr>
            <w:r w:rsidRPr="00E0488D">
              <w:rPr>
                <w:b/>
                <w:bCs/>
                <w:sz w:val="20"/>
                <w:szCs w:val="20"/>
                <w:lang w:val="ro-RO"/>
              </w:rPr>
              <w:t xml:space="preserve">Dragare și reamenajare bazin </w:t>
            </w:r>
          </w:p>
          <w:p w:rsidR="00B4550A" w:rsidRPr="00E0488D" w:rsidRDefault="00B4550A" w:rsidP="003C7FC8">
            <w:pPr>
              <w:spacing w:before="120" w:line="276" w:lineRule="auto"/>
              <w:rPr>
                <w:b/>
                <w:bCs/>
                <w:sz w:val="20"/>
                <w:szCs w:val="20"/>
                <w:lang w:val="ro-RO"/>
              </w:rPr>
            </w:pPr>
            <w:r w:rsidRPr="00E0488D">
              <w:rPr>
                <w:b/>
                <w:bCs/>
                <w:sz w:val="20"/>
                <w:szCs w:val="20"/>
                <w:lang w:val="ro-RO"/>
              </w:rPr>
              <w:t xml:space="preserve">Consolidare structuri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Intervenția oferă suficiente beneficii cu un raport beneficiu-cost (RBC) de 32,89. Se estimează că terminalul va genera peste 618.000 tone suplimentare de mărfuri până în 2020. Se recomandă includerea acestuia în Master Plan. </w:t>
      </w:r>
    </w:p>
    <w:p w:rsidR="00B4550A" w:rsidRPr="00E0488D" w:rsidRDefault="00B4550A" w:rsidP="002B7E09">
      <w:pPr>
        <w:pStyle w:val="NumberedParas"/>
        <w:numPr>
          <w:ilvl w:val="0"/>
          <w:numId w:val="0"/>
        </w:numPr>
        <w:rPr>
          <w:lang w:eastAsia="en-GB"/>
        </w:rPr>
      </w:pPr>
      <w:r w:rsidRPr="00E0488D">
        <w:rPr>
          <w:lang w:eastAsia="en-GB"/>
        </w:rPr>
        <w:t>Tabelul 6.23 – Rezultate modelate ale proiectului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P-GL-S (W34)</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618.501</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VNP mil € (preturi 2014)</w:t>
            </w:r>
          </w:p>
        </w:tc>
        <w:tc>
          <w:tcPr>
            <w:tcW w:w="1628" w:type="dxa"/>
          </w:tcPr>
          <w:p w:rsidR="00B4550A" w:rsidRPr="00E0488D" w:rsidRDefault="00B4550A" w:rsidP="003C7FC8">
            <w:pPr>
              <w:spacing w:line="276" w:lineRule="auto"/>
              <w:jc w:val="center"/>
              <w:rPr>
                <w:lang w:val="ro-RO"/>
              </w:rPr>
            </w:pPr>
            <w:r w:rsidRPr="00E0488D">
              <w:rPr>
                <w:lang w:val="ro-RO"/>
              </w:rPr>
              <w:t>348</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RBC</w:t>
            </w:r>
          </w:p>
        </w:tc>
        <w:tc>
          <w:tcPr>
            <w:tcW w:w="1628" w:type="dxa"/>
          </w:tcPr>
          <w:p w:rsidR="00B4550A" w:rsidRPr="00E0488D" w:rsidRDefault="00B4550A" w:rsidP="003C7FC8">
            <w:pPr>
              <w:spacing w:line="276" w:lineRule="auto"/>
              <w:jc w:val="center"/>
              <w:rPr>
                <w:i/>
                <w:u w:val="single"/>
                <w:lang w:val="ro-RO"/>
              </w:rPr>
            </w:pPr>
            <w:r w:rsidRPr="00E0488D">
              <w:rPr>
                <w:lang w:val="ro-RO"/>
              </w:rPr>
              <w:t>32,89</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39,9%</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u w:val="single"/>
          <w:lang w:val="ro-RO"/>
        </w:rPr>
      </w:pPr>
    </w:p>
    <w:p w:rsidR="00B4550A" w:rsidRPr="00E0488D" w:rsidRDefault="00B4550A" w:rsidP="00B4550A">
      <w:pPr>
        <w:spacing w:line="276" w:lineRule="auto"/>
        <w:rPr>
          <w:i/>
          <w:u w:val="single"/>
          <w:lang w:val="ro-RO" w:eastAsia="en-GB"/>
        </w:rPr>
      </w:pPr>
      <w:r w:rsidRPr="00E0488D">
        <w:rPr>
          <w:i/>
          <w:noProof/>
          <w:u w:val="single"/>
          <w:lang w:val="ro-RO" w:eastAsia="ro-RO"/>
        </w:rPr>
        <w:drawing>
          <wp:inline distT="0" distB="0" distL="0" distR="0">
            <wp:extent cx="4919345" cy="3073400"/>
            <wp:effectExtent l="0" t="0" r="0" b="0"/>
            <wp:docPr id="60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919345" cy="3073400"/>
                    </a:xfrm>
                    <a:prstGeom prst="rect">
                      <a:avLst/>
                    </a:prstGeom>
                    <a:noFill/>
                    <a:ln>
                      <a:noFill/>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6.13 – Tone operate la Galați în perioada 2007-2011 și estimările pentru 2020</w:t>
      </w:r>
    </w:p>
    <w:p w:rsidR="00B4550A" w:rsidRPr="00E0488D" w:rsidRDefault="00B4550A" w:rsidP="002B7E09">
      <w:pPr>
        <w:pStyle w:val="NumberedParas"/>
        <w:rPr>
          <w:b/>
        </w:rPr>
      </w:pPr>
      <w:r w:rsidRPr="00E0488D">
        <w:t xml:space="preserve">Portul </w:t>
      </w:r>
      <w:r w:rsidR="001205D0" w:rsidRPr="00E0488D">
        <w:t>Galați</w:t>
      </w:r>
      <w:r w:rsidRPr="00E0488D">
        <w:t xml:space="preserve"> are o capacitate teoretică de 7,8 </w:t>
      </w:r>
      <w:r w:rsidR="001205D0" w:rsidRPr="00E0488D">
        <w:t>milioane</w:t>
      </w:r>
      <w:r w:rsidRPr="00E0488D">
        <w:t xml:space="preserve"> tone pe an, însă 6,8 milioane tone sunt pentru operarea cărbunelui și oțelului asociate </w:t>
      </w:r>
      <w:r w:rsidR="001205D0" w:rsidRPr="00E0488D">
        <w:t>industriei</w:t>
      </w:r>
      <w:r w:rsidRPr="00E0488D">
        <w:t xml:space="preserve"> siderurgice din zonă dar care se află în prezent în declin. Producția de oțel este de doar 25% din capacitatea proiectată inițial Astfel capacitatea de operare poate fi calculată la 2 milioane de tone pe an (un milion de tone asociate cu producția de oțel și 1 milion de tone, alte bunuri). Ca atare Galați are nevoie de retehnologizare și modernizarea terminalelor și danelor existente pentru noul trafic generat de categoriile noi de mărfuri. </w:t>
      </w:r>
    </w:p>
    <w:p w:rsidR="00B4550A" w:rsidRPr="00E0488D" w:rsidRDefault="00B4550A" w:rsidP="002B7E09">
      <w:pPr>
        <w:pStyle w:val="NumberedParas"/>
        <w:numPr>
          <w:ilvl w:val="0"/>
          <w:numId w:val="0"/>
        </w:numPr>
        <w:rPr>
          <w:lang w:eastAsia="en-GB"/>
        </w:rPr>
      </w:pPr>
      <w:r w:rsidRPr="00E0488D">
        <w:rPr>
          <w:lang w:eastAsia="en-GB"/>
        </w:rPr>
        <w:t xml:space="preserve">Tabelul 6.24 – Utilizarea prognozată a portului </w:t>
      </w:r>
      <w:r w:rsidR="001205D0" w:rsidRPr="00E0488D">
        <w:rPr>
          <w:lang w:eastAsia="en-GB"/>
        </w:rPr>
        <w:t>Galați</w:t>
      </w:r>
    </w:p>
    <w:tbl>
      <w:tblPr>
        <w:tblW w:w="6882" w:type="dxa"/>
        <w:jc w:val="center"/>
        <w:tblLook w:val="04A0" w:firstRow="1" w:lastRow="0" w:firstColumn="1" w:lastColumn="0" w:noHBand="0" w:noVBand="1"/>
      </w:tblPr>
      <w:tblGrid>
        <w:gridCol w:w="1152"/>
        <w:gridCol w:w="1141"/>
        <w:gridCol w:w="987"/>
        <w:gridCol w:w="266"/>
        <w:gridCol w:w="1258"/>
        <w:gridCol w:w="1093"/>
        <w:gridCol w:w="985"/>
      </w:tblGrid>
      <w:tr w:rsidR="00B4550A" w:rsidRPr="00E0488D" w:rsidTr="003C7FC8">
        <w:trPr>
          <w:trHeight w:val="315"/>
          <w:jc w:val="center"/>
        </w:trPr>
        <w:tc>
          <w:tcPr>
            <w:tcW w:w="1152"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2B7E09">
            <w:pPr>
              <w:pStyle w:val="NumberedParas"/>
              <w:numPr>
                <w:ilvl w:val="0"/>
                <w:numId w:val="0"/>
              </w:numPr>
              <w:rPr>
                <w:lang w:eastAsia="en-GB"/>
              </w:rPr>
            </w:pPr>
          </w:p>
        </w:tc>
        <w:tc>
          <w:tcPr>
            <w:tcW w:w="2128" w:type="dxa"/>
            <w:gridSpan w:val="2"/>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2B7E09">
            <w:pPr>
              <w:pStyle w:val="NumberedParas"/>
              <w:numPr>
                <w:ilvl w:val="0"/>
                <w:numId w:val="0"/>
              </w:numPr>
              <w:rPr>
                <w:lang w:eastAsia="en-GB"/>
              </w:rPr>
            </w:pPr>
            <w:r w:rsidRPr="00E0488D">
              <w:rPr>
                <w:lang w:eastAsia="en-GB"/>
              </w:rPr>
              <w:t>Scenariu</w:t>
            </w:r>
            <w:r w:rsidR="0009621B" w:rsidRPr="00E0488D">
              <w:rPr>
                <w:lang w:eastAsia="en-GB"/>
              </w:rPr>
              <w:t>l</w:t>
            </w:r>
            <w:r w:rsidRPr="00E0488D">
              <w:rPr>
                <w:lang w:eastAsia="en-GB"/>
              </w:rPr>
              <w:t xml:space="preserve"> de referință</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2B7E09">
            <w:pPr>
              <w:pStyle w:val="NumberedParas"/>
              <w:numPr>
                <w:ilvl w:val="0"/>
                <w:numId w:val="0"/>
              </w:numPr>
              <w:rPr>
                <w:lang w:eastAsia="en-GB"/>
              </w:rPr>
            </w:pPr>
          </w:p>
        </w:tc>
        <w:tc>
          <w:tcPr>
            <w:tcW w:w="1258"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2B7E09">
            <w:pPr>
              <w:pStyle w:val="NumberedParas"/>
              <w:numPr>
                <w:ilvl w:val="0"/>
                <w:numId w:val="0"/>
              </w:numPr>
              <w:rPr>
                <w:lang w:eastAsia="en-GB"/>
              </w:rPr>
            </w:pPr>
          </w:p>
        </w:tc>
        <w:tc>
          <w:tcPr>
            <w:tcW w:w="2078" w:type="dxa"/>
            <w:gridSpan w:val="2"/>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2B7E09">
            <w:pPr>
              <w:pStyle w:val="NumberedParas"/>
              <w:numPr>
                <w:ilvl w:val="0"/>
                <w:numId w:val="0"/>
              </w:numPr>
              <w:rPr>
                <w:lang w:eastAsia="en-GB"/>
              </w:rPr>
            </w:pPr>
            <w:r w:rsidRPr="00E0488D">
              <w:rPr>
                <w:lang w:eastAsia="en-GB"/>
              </w:rPr>
              <w:t>Do Something</w:t>
            </w:r>
          </w:p>
        </w:tc>
      </w:tr>
      <w:tr w:rsidR="00B4550A" w:rsidRPr="00E0488D" w:rsidTr="003C7FC8">
        <w:trPr>
          <w:trHeight w:val="315"/>
          <w:jc w:val="center"/>
        </w:trPr>
        <w:tc>
          <w:tcPr>
            <w:tcW w:w="1152"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1141"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093"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5" w:type="dxa"/>
            <w:tcBorders>
              <w:top w:val="single" w:sz="4" w:space="0" w:color="auto"/>
              <w:left w:val="single" w:sz="4" w:space="0" w:color="auto"/>
              <w:bottom w:val="single" w:sz="4" w:space="0" w:color="auto"/>
              <w:right w:val="single" w:sz="4" w:space="0" w:color="auto"/>
            </w:tcBorders>
            <w:shd w:val="clear" w:color="auto"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39%</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49%</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17%</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33%</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09621B">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37%</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26%</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vrac solid</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97%</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Containere                                                                                                                                                                                                                                                                                                                                                                                                                                                                                                                                                                                                                                                                                                                                                                                                                                                                                                                                                                                                                                                                                                                                                                                                                                                               </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Containere                                                                                                                                                                                                                                                                                                                                                                                                                                                                                                                                                                                                                                                                                                                                                                                                                                                                                                                                                                                                                                                                                                                                                                                                                                                               </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80%</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Produse petroliere</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78%</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74%</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91%</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80%</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Fertilizatori</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Ciment</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Cărbune </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84%</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54%</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Cărbune </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24%</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36%</w:t>
            </w:r>
          </w:p>
        </w:tc>
      </w:tr>
      <w:tr w:rsidR="00B4550A" w:rsidRPr="00E0488D" w:rsidTr="003C7FC8">
        <w:trPr>
          <w:trHeight w:val="592"/>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vAlign w:val="bottom"/>
            <w:hideMark/>
          </w:tcPr>
          <w:p w:rsidR="00B4550A" w:rsidRPr="00E0488D" w:rsidRDefault="00B4550A" w:rsidP="003C7FC8">
            <w:pPr>
              <w:rPr>
                <w:rFonts w:cs="Arial"/>
                <w:color w:val="000000"/>
                <w:sz w:val="20"/>
                <w:szCs w:val="20"/>
                <w:lang w:val="ro-RO" w:eastAsia="en-GB"/>
              </w:rPr>
            </w:pPr>
            <w:r w:rsidRPr="00E0488D">
              <w:rPr>
                <w:rFonts w:ascii="Gill Sans MT" w:hAnsi="Gill Sans MT"/>
                <w:color w:val="000000"/>
                <w:sz w:val="20"/>
                <w:szCs w:val="20"/>
                <w:lang w:val="ro-RO" w:eastAsia="en-GB"/>
              </w:rPr>
              <w:t>O</w:t>
            </w:r>
            <w:r w:rsidRPr="00E0488D">
              <w:rPr>
                <w:rFonts w:cs="Arial"/>
                <w:color w:val="000000"/>
                <w:sz w:val="20"/>
                <w:szCs w:val="20"/>
                <w:lang w:val="ro-RO" w:eastAsia="en-GB"/>
              </w:rPr>
              <w:t>țel</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r>
      <w:tr w:rsidR="00B4550A" w:rsidRPr="00E0488D" w:rsidTr="003C7FC8">
        <w:trPr>
          <w:trHeight w:val="330"/>
          <w:jc w:val="center"/>
        </w:trPr>
        <w:tc>
          <w:tcPr>
            <w:tcW w:w="1152" w:type="dxa"/>
            <w:tcBorders>
              <w:top w:val="single" w:sz="4" w:space="0" w:color="auto"/>
              <w:left w:val="single" w:sz="4" w:space="0" w:color="auto"/>
              <w:bottom w:val="single" w:sz="4" w:space="0" w:color="auto"/>
              <w:right w:val="single" w:sz="4" w:space="0" w:color="auto"/>
            </w:tcBorders>
            <w:shd w:val="clear" w:color="auto"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14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90%</w:t>
            </w:r>
          </w:p>
        </w:tc>
        <w:tc>
          <w:tcPr>
            <w:tcW w:w="987"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62%</w:t>
            </w:r>
          </w:p>
        </w:tc>
        <w:tc>
          <w:tcPr>
            <w:tcW w:w="266" w:type="dxa"/>
            <w:tcBorders>
              <w:top w:val="single" w:sz="4" w:space="0" w:color="auto"/>
              <w:left w:val="single" w:sz="4" w:space="0" w:color="auto"/>
              <w:bottom w:val="single" w:sz="4" w:space="0" w:color="auto"/>
              <w:right w:val="single" w:sz="4" w:space="0" w:color="auto"/>
            </w:tcBorders>
            <w:shd w:val="clear" w:color="auto"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58" w:type="dxa"/>
            <w:tcBorders>
              <w:top w:val="single" w:sz="4" w:space="0" w:color="auto"/>
              <w:left w:val="single" w:sz="4" w:space="0" w:color="auto"/>
              <w:bottom w:val="single" w:sz="4" w:space="0" w:color="auto"/>
              <w:right w:val="single" w:sz="4" w:space="0" w:color="auto"/>
            </w:tcBorders>
            <w:shd w:val="clear" w:color="auto" w:fill="95B3D7"/>
            <w:noWrap/>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093"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65%</w:t>
            </w:r>
          </w:p>
        </w:tc>
        <w:tc>
          <w:tcPr>
            <w:tcW w:w="985" w:type="dxa"/>
            <w:tcBorders>
              <w:top w:val="single" w:sz="4" w:space="0" w:color="auto"/>
              <w:left w:val="single" w:sz="4" w:space="0" w:color="auto"/>
              <w:bottom w:val="single" w:sz="4" w:space="0" w:color="auto"/>
              <w:right w:val="single" w:sz="4" w:space="0" w:color="auto"/>
            </w:tcBorders>
            <w:shd w:val="clear" w:color="auto"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91%</w:t>
            </w:r>
          </w:p>
        </w:tc>
      </w:tr>
    </w:tbl>
    <w:p w:rsidR="00B4550A" w:rsidRPr="00E0488D" w:rsidRDefault="00B4550A" w:rsidP="002B7E09">
      <w:pPr>
        <w:pStyle w:val="NumberedParas"/>
      </w:pPr>
      <w:r w:rsidRPr="00E0488D">
        <w:t xml:space="preserve">Modernizarea terminalelor de vrac solid pentru a le face mai eficiente va crește capacitatea portului Galați și astfel acesta va deveni capabil să opereze </w:t>
      </w:r>
      <w:r w:rsidR="001205D0" w:rsidRPr="00E0488D">
        <w:t>cantități</w:t>
      </w:r>
      <w:r w:rsidRPr="00E0488D">
        <w:t xml:space="preserve"> de marfă crescute, conform cererii prognozate. Crearea unui terminal tri-modal va permite, de asemenea, operarea </w:t>
      </w:r>
      <w:r w:rsidR="001205D0" w:rsidRPr="00E0488D">
        <w:t>containerelor</w:t>
      </w:r>
      <w:r w:rsidRPr="00E0488D">
        <w:t>..</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A74DEB" w:rsidP="002B7E09">
      <w:pPr>
        <w:pStyle w:val="NumberedParas"/>
      </w:pPr>
      <w:r w:rsidRPr="00E0488D">
        <w:t xml:space="preserve">Acest proiect ar trebui </w:t>
      </w:r>
      <w:r w:rsidR="00B4550A" w:rsidRPr="00E0488D">
        <w:t>să fie implementat de APDM Galați, probabil în colaborare cu un operator privat al terminalului.</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rPr>
          <w:b/>
        </w:rPr>
      </w:pPr>
      <w:r w:rsidRPr="00E0488D">
        <w:t>Această implementare ar putea începe după aprobarea contractului; totuși, se recomandă ca orice îmbunătățiri aduse terminalului să fie etapizate/</w:t>
      </w:r>
      <w:r w:rsidR="001205D0" w:rsidRPr="00E0488D">
        <w:t>gazate</w:t>
      </w:r>
      <w:r w:rsidRPr="00E0488D">
        <w:t xml:space="preserve"> pentru a răspunde cerințelor dominante de pe piață.</w:t>
      </w:r>
    </w:p>
    <w:p w:rsidR="00B4550A" w:rsidRPr="00E0488D" w:rsidRDefault="00B4550A" w:rsidP="00B4550A">
      <w:pPr>
        <w:spacing w:line="276" w:lineRule="auto"/>
        <w:rPr>
          <w:b/>
          <w:sz w:val="22"/>
          <w:szCs w:val="22"/>
          <w:lang w:val="ro-RO"/>
        </w:rPr>
      </w:pPr>
      <w:r w:rsidRPr="00E0488D">
        <w:rPr>
          <w:b/>
          <w:sz w:val="22"/>
          <w:szCs w:val="22"/>
          <w:lang w:val="ro-RO"/>
        </w:rPr>
        <w:t>Cernavodă:</w:t>
      </w:r>
    </w:p>
    <w:p w:rsidR="00B4550A" w:rsidRPr="00E0488D" w:rsidRDefault="00B4550A" w:rsidP="00B4550A">
      <w:pPr>
        <w:spacing w:line="276" w:lineRule="auto"/>
        <w:rPr>
          <w:b/>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Dezvoltarea infrastructurii</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Cernavodă ar avea nevoie de dezvoltarea infrastructurii. Volumele de mărfuri operate de port în perioada 2007 – 2011 sunt mici în comparație cu capacitatea general potențială și sunt volatile. Această propunere va include:</w:t>
      </w:r>
    </w:p>
    <w:p w:rsidR="00B4550A" w:rsidRPr="00E0488D" w:rsidRDefault="00B4550A" w:rsidP="00BC2B57">
      <w:pPr>
        <w:pStyle w:val="BulletLevel1"/>
      </w:pPr>
      <w:r w:rsidRPr="00E0488D">
        <w:t xml:space="preserve">Modernizarea și renovarea danelor astfel încât să poată fi operate mai multe tipuri de mărfuri </w:t>
      </w:r>
    </w:p>
    <w:p w:rsidR="00B4550A" w:rsidRPr="00E0488D" w:rsidRDefault="00B4550A" w:rsidP="00BC2B57">
      <w:pPr>
        <w:pStyle w:val="BulletLevel1"/>
      </w:pPr>
      <w:r w:rsidRPr="00E0488D">
        <w:t xml:space="preserve">Dragarea bazinului </w:t>
      </w:r>
    </w:p>
    <w:p w:rsidR="00B4550A" w:rsidRPr="00E0488D" w:rsidRDefault="00B4550A" w:rsidP="00BC2B57">
      <w:pPr>
        <w:pStyle w:val="BulletLevel1"/>
      </w:pPr>
      <w:r w:rsidRPr="00E0488D">
        <w:t xml:space="preserve">Îmbunătățirea semnalizării pentru navigare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Inițierea acestei propuneri ar aborda următoarea problemă:</w:t>
      </w:r>
    </w:p>
    <w:p w:rsidR="00B4550A" w:rsidRPr="00E0488D" w:rsidRDefault="00B4550A" w:rsidP="00687448">
      <w:pPr>
        <w:numPr>
          <w:ilvl w:val="0"/>
          <w:numId w:val="50"/>
        </w:numPr>
        <w:spacing w:line="276" w:lineRule="auto"/>
        <w:jc w:val="both"/>
        <w:rPr>
          <w:rStyle w:val="BulletLevel1Char"/>
          <w:szCs w:val="22"/>
        </w:rPr>
      </w:pPr>
      <w:r w:rsidRPr="00E0488D">
        <w:rPr>
          <w:rStyle w:val="BulletLevel1Char"/>
        </w:rPr>
        <w:t xml:space="preserve">Dependența de o gamă restrânsă de produse, ceea ce a dus la un grad ridicat de volatilitate a volumelor de mărfuri operate în trecut. </w:t>
      </w:r>
    </w:p>
    <w:p w:rsidR="00B4550A" w:rsidRPr="00E0488D" w:rsidRDefault="00B4550A" w:rsidP="00B4550A">
      <w:pPr>
        <w:spacing w:line="276" w:lineRule="auto"/>
        <w:ind w:left="720"/>
        <w:jc w:val="both"/>
        <w:rPr>
          <w:rStyle w:val="BulletLevel1Char"/>
          <w:szCs w:val="22"/>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Obiective operaționale atinse: </w:t>
      </w:r>
    </w:p>
    <w:p w:rsidR="00B4550A" w:rsidRPr="00E0488D" w:rsidRDefault="00B4550A" w:rsidP="002B7E09">
      <w:pPr>
        <w:pStyle w:val="NumberedParas"/>
      </w:pPr>
      <w:r w:rsidRPr="00E0488D">
        <w:t xml:space="preserve">Această intervenție va atinge următoarele obiective operaționale: </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 xml:space="preserve">OW4 – Reducerea costurilor prin eficiență operațională </w:t>
      </w:r>
    </w:p>
    <w:p w:rsidR="00B4550A" w:rsidRPr="00E0488D" w:rsidRDefault="00B4550A"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Piața potențială </w:t>
      </w:r>
    </w:p>
    <w:p w:rsidR="00B4550A" w:rsidRPr="00E0488D" w:rsidRDefault="00B4550A" w:rsidP="002B7E09">
      <w:pPr>
        <w:pStyle w:val="NumberedParas"/>
      </w:pPr>
      <w:r w:rsidRPr="00E0488D">
        <w:t xml:space="preserve">Această propunere ar viza produsele minerale precum și posibile alte timpuri de mărfuri precum agregatele. Noi piețe ar putea fi determinate de un viitor studiu de fezabilitate.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Tabelul 6.25 – Costurile neactualizate ale proiectului</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sz w:val="20"/>
                <w:szCs w:val="20"/>
                <w:lang w:val="ro-RO"/>
              </w:rPr>
            </w:pPr>
          </w:p>
        </w:tc>
        <w:tc>
          <w:tcPr>
            <w:tcW w:w="1330"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Costuri neactualizate (milioane €, preturi 2014)</w:t>
            </w:r>
          </w:p>
        </w:tc>
        <w:tc>
          <w:tcPr>
            <w:tcW w:w="2948"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C7FC8">
            <w:pPr>
              <w:spacing w:before="120" w:line="276" w:lineRule="auto"/>
              <w:rPr>
                <w:b/>
                <w:bCs/>
                <w:sz w:val="20"/>
                <w:szCs w:val="20"/>
                <w:lang w:val="ro-RO"/>
              </w:rPr>
            </w:pPr>
            <w:r w:rsidRPr="00E0488D">
              <w:rPr>
                <w:b/>
                <w:bCs/>
                <w:sz w:val="20"/>
                <w:szCs w:val="20"/>
                <w:lang w:val="ro-RO"/>
              </w:rPr>
              <w:t>Cost</w:t>
            </w:r>
          </w:p>
        </w:tc>
        <w:tc>
          <w:tcPr>
            <w:tcW w:w="1330"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6,9</w:t>
            </w:r>
          </w:p>
        </w:tc>
        <w:tc>
          <w:tcPr>
            <w:tcW w:w="2948" w:type="pct"/>
          </w:tcPr>
          <w:p w:rsidR="00B4550A" w:rsidRPr="00E0488D" w:rsidRDefault="00B4550A" w:rsidP="003C7FC8">
            <w:pPr>
              <w:spacing w:before="120" w:line="276" w:lineRule="auto"/>
              <w:rPr>
                <w:b/>
                <w:bCs/>
                <w:sz w:val="20"/>
                <w:szCs w:val="20"/>
                <w:lang w:val="ro-RO"/>
              </w:rPr>
            </w:pPr>
            <w:r w:rsidRPr="00E0488D">
              <w:rPr>
                <w:b/>
                <w:bCs/>
                <w:sz w:val="20"/>
                <w:szCs w:val="20"/>
                <w:lang w:val="ro-RO"/>
              </w:rPr>
              <w:t xml:space="preserve">Dane modernizate și modernizate </w:t>
            </w:r>
          </w:p>
          <w:p w:rsidR="00B4550A" w:rsidRPr="00E0488D" w:rsidRDefault="00B4550A" w:rsidP="003C7FC8">
            <w:pPr>
              <w:spacing w:before="120" w:line="276" w:lineRule="auto"/>
              <w:rPr>
                <w:b/>
                <w:bCs/>
                <w:sz w:val="20"/>
                <w:szCs w:val="20"/>
                <w:lang w:val="ro-RO"/>
              </w:rPr>
            </w:pPr>
            <w:r w:rsidRPr="00E0488D">
              <w:rPr>
                <w:b/>
                <w:bCs/>
                <w:sz w:val="20"/>
                <w:szCs w:val="20"/>
                <w:lang w:val="ro-RO"/>
              </w:rPr>
              <w:t xml:space="preserve">Dragare bazin </w:t>
            </w:r>
          </w:p>
          <w:p w:rsidR="00B4550A" w:rsidRPr="00E0488D" w:rsidRDefault="00B4550A" w:rsidP="003C7FC8">
            <w:pPr>
              <w:spacing w:before="120" w:line="276" w:lineRule="auto"/>
              <w:rPr>
                <w:b/>
                <w:bCs/>
                <w:sz w:val="20"/>
                <w:szCs w:val="20"/>
                <w:lang w:val="ro-RO"/>
              </w:rPr>
            </w:pPr>
            <w:r w:rsidRPr="00E0488D">
              <w:rPr>
                <w:b/>
                <w:bCs/>
                <w:sz w:val="20"/>
                <w:szCs w:val="20"/>
                <w:lang w:val="ro-RO"/>
              </w:rPr>
              <w:t xml:space="preserve">Semnalizare pentru navigare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Această intervenție oferă suficiente beneficii cu un raport beneficiu-cost (RBC) de 6,98. Se estimează că acest terminal va genera peste 365.000 tone de mărfuri suplimentare până în 2020. Acest proiect este recomandat pentru includere în Master Plan.  </w:t>
      </w:r>
    </w:p>
    <w:p w:rsidR="00B4550A" w:rsidRPr="00E0488D" w:rsidRDefault="00B4550A" w:rsidP="002B7E09">
      <w:pPr>
        <w:pStyle w:val="NumberedParas"/>
        <w:numPr>
          <w:ilvl w:val="0"/>
          <w:numId w:val="0"/>
        </w:numPr>
        <w:rPr>
          <w:lang w:eastAsia="en-GB"/>
        </w:rPr>
      </w:pPr>
      <w:r w:rsidRPr="00E0488D">
        <w:rPr>
          <w:lang w:eastAsia="en-GB"/>
        </w:rPr>
        <w:t>Tabel 6.26 – Rezultate modelate ale proiectului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Cod test </w:t>
            </w:r>
          </w:p>
        </w:tc>
        <w:tc>
          <w:tcPr>
            <w:tcW w:w="1628" w:type="dxa"/>
            <w:vAlign w:val="center"/>
          </w:tcPr>
          <w:p w:rsidR="00B4550A" w:rsidRPr="00E0488D" w:rsidRDefault="00B4550A" w:rsidP="003C7FC8">
            <w:pPr>
              <w:rPr>
                <w:sz w:val="20"/>
                <w:szCs w:val="20"/>
                <w:lang w:val="ro-RO"/>
              </w:rPr>
            </w:pPr>
            <w:r w:rsidRPr="00E0488D">
              <w:rPr>
                <w:sz w:val="20"/>
                <w:szCs w:val="20"/>
                <w:lang w:val="ro-RO"/>
              </w:rPr>
              <w:t>P-CV-S (W28)</w:t>
            </w:r>
          </w:p>
        </w:tc>
      </w:tr>
      <w:tr w:rsidR="00B4550A" w:rsidRPr="00E0488D" w:rsidTr="003C7FC8">
        <w:trPr>
          <w:trHeight w:val="507"/>
        </w:trPr>
        <w:tc>
          <w:tcPr>
            <w:tcW w:w="3818" w:type="dxa"/>
          </w:tcPr>
          <w:p w:rsidR="00B4550A" w:rsidRPr="00E0488D" w:rsidRDefault="00B4550A" w:rsidP="003C7FC8">
            <w:pPr>
              <w:rPr>
                <w:b/>
                <w:sz w:val="20"/>
                <w:szCs w:val="20"/>
                <w:lang w:val="ro-RO"/>
              </w:rPr>
            </w:pPr>
            <w:r w:rsidRPr="00E0488D">
              <w:rPr>
                <w:b/>
                <w:sz w:val="20"/>
                <w:szCs w:val="20"/>
                <w:lang w:val="ro-RO"/>
              </w:rPr>
              <w:t>Modificare tonaj transportat pe apă anual (2020)</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365.350</w:t>
            </w:r>
          </w:p>
        </w:tc>
      </w:tr>
      <w:tr w:rsidR="00B4550A" w:rsidRPr="00E0488D" w:rsidTr="003C7FC8">
        <w:tc>
          <w:tcPr>
            <w:tcW w:w="3818" w:type="dxa"/>
            <w:vAlign w:val="center"/>
          </w:tcPr>
          <w:p w:rsidR="00B4550A" w:rsidRPr="00E0488D" w:rsidRDefault="00B4550A" w:rsidP="004F3676">
            <w:pPr>
              <w:rPr>
                <w:b/>
                <w:sz w:val="20"/>
                <w:szCs w:val="20"/>
                <w:lang w:val="ro-RO"/>
              </w:rPr>
            </w:pPr>
            <w:r w:rsidRPr="00E0488D">
              <w:rPr>
                <w:b/>
                <w:sz w:val="20"/>
                <w:szCs w:val="20"/>
                <w:lang w:val="ro-RO"/>
              </w:rPr>
              <w:t>VN</w:t>
            </w:r>
            <w:r w:rsidR="004F3676" w:rsidRPr="00E0488D">
              <w:rPr>
                <w:b/>
                <w:sz w:val="20"/>
                <w:szCs w:val="20"/>
                <w:lang w:val="ro-RO"/>
              </w:rPr>
              <w:t>A</w:t>
            </w:r>
            <w:r w:rsidRPr="00E0488D">
              <w:rPr>
                <w:b/>
                <w:sz w:val="20"/>
                <w:szCs w:val="20"/>
                <w:lang w:val="ro-RO"/>
              </w:rPr>
              <w:t xml:space="preserve"> mil € (preturi 2014)</w:t>
            </w:r>
          </w:p>
        </w:tc>
        <w:tc>
          <w:tcPr>
            <w:tcW w:w="1628" w:type="dxa"/>
          </w:tcPr>
          <w:p w:rsidR="00B4550A" w:rsidRPr="00E0488D" w:rsidRDefault="00B4550A" w:rsidP="003C7FC8">
            <w:pPr>
              <w:spacing w:line="276" w:lineRule="auto"/>
              <w:jc w:val="center"/>
              <w:rPr>
                <w:sz w:val="20"/>
                <w:szCs w:val="20"/>
                <w:lang w:val="ro-RO"/>
              </w:rPr>
            </w:pPr>
            <w:r w:rsidRPr="00E0488D">
              <w:rPr>
                <w:sz w:val="20"/>
                <w:szCs w:val="20"/>
                <w:lang w:val="ro-RO"/>
              </w:rPr>
              <w:t>26</w:t>
            </w:r>
          </w:p>
        </w:tc>
      </w:tr>
      <w:tr w:rsidR="00B4550A" w:rsidRPr="00E0488D" w:rsidTr="003C7FC8">
        <w:tc>
          <w:tcPr>
            <w:tcW w:w="3818" w:type="dxa"/>
            <w:vAlign w:val="center"/>
          </w:tcPr>
          <w:p w:rsidR="00B4550A" w:rsidRPr="00E0488D" w:rsidRDefault="004F3676" w:rsidP="003C7FC8">
            <w:pPr>
              <w:rPr>
                <w:b/>
                <w:sz w:val="20"/>
                <w:szCs w:val="20"/>
                <w:lang w:val="ro-RO"/>
              </w:rPr>
            </w:pPr>
            <w:r w:rsidRPr="00E0488D">
              <w:rPr>
                <w:b/>
                <w:sz w:val="20"/>
                <w:szCs w:val="20"/>
                <w:lang w:val="ro-RO"/>
              </w:rPr>
              <w:t>RB</w:t>
            </w:r>
            <w:r w:rsidR="00B4550A" w:rsidRPr="00E0488D">
              <w:rPr>
                <w:b/>
                <w:sz w:val="20"/>
                <w:szCs w:val="20"/>
                <w:lang w:val="ro-RO"/>
              </w:rPr>
              <w:t>C</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6,98</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RIRE</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22,4%</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Recomandare Master Plan </w:t>
            </w:r>
          </w:p>
        </w:tc>
        <w:tc>
          <w:tcPr>
            <w:tcW w:w="1628" w:type="dxa"/>
          </w:tcPr>
          <w:p w:rsidR="00B4550A" w:rsidRPr="00E0488D" w:rsidRDefault="00B4550A" w:rsidP="003C7FC8">
            <w:pPr>
              <w:spacing w:line="276" w:lineRule="auto"/>
              <w:jc w:val="center"/>
              <w:rPr>
                <w:sz w:val="20"/>
                <w:szCs w:val="20"/>
                <w:lang w:val="ro-RO"/>
              </w:rPr>
            </w:pPr>
            <w:r w:rsidRPr="00E0488D">
              <w:rPr>
                <w:b/>
                <w:color w:val="00B050"/>
                <w:sz w:val="20"/>
                <w:szCs w:val="20"/>
                <w:lang w:val="ro-RO"/>
              </w:rPr>
              <w:sym w:font="Wingdings" w:char="F0FC"/>
            </w:r>
          </w:p>
        </w:tc>
      </w:tr>
    </w:tbl>
    <w:p w:rsidR="00B4550A" w:rsidRPr="00E0488D" w:rsidRDefault="00B4550A" w:rsidP="00B4550A">
      <w:pPr>
        <w:spacing w:line="276" w:lineRule="auto"/>
        <w:rPr>
          <w:i/>
          <w:u w:val="single"/>
          <w:lang w:val="ro-RO"/>
        </w:rPr>
      </w:pPr>
    </w:p>
    <w:p w:rsidR="00B4550A" w:rsidRPr="00E0488D" w:rsidRDefault="00B4550A" w:rsidP="00B4550A">
      <w:pPr>
        <w:spacing w:line="276" w:lineRule="auto"/>
        <w:rPr>
          <w:i/>
          <w:u w:val="single"/>
          <w:lang w:val="ro-RO" w:eastAsia="en-GB"/>
        </w:rPr>
      </w:pPr>
      <w:r w:rsidRPr="00E0488D">
        <w:rPr>
          <w:i/>
          <w:noProof/>
          <w:u w:val="single"/>
          <w:lang w:val="ro-RO" w:eastAsia="ro-RO"/>
        </w:rPr>
        <w:drawing>
          <wp:inline distT="0" distB="0" distL="0" distR="0">
            <wp:extent cx="4574659" cy="2747896"/>
            <wp:effectExtent l="12197" t="6099" r="6099" b="0"/>
            <wp:docPr id="605"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6.14 – Tone operate în portul Cernavodă în perioada 2007-2011 și estimările pentru 2020</w:t>
      </w:r>
    </w:p>
    <w:p w:rsidR="00B4550A" w:rsidRPr="00E0488D" w:rsidRDefault="00B4550A" w:rsidP="002B7E09">
      <w:pPr>
        <w:pStyle w:val="NumberedParas"/>
        <w:numPr>
          <w:ilvl w:val="0"/>
          <w:numId w:val="0"/>
        </w:numPr>
        <w:rPr>
          <w:lang w:eastAsia="en-GB"/>
        </w:rPr>
      </w:pPr>
      <w:r w:rsidRPr="00E0488D">
        <w:rPr>
          <w:lang w:eastAsia="en-GB"/>
        </w:rPr>
        <w:t>Tabelul  6.27 – Utilizarea prognozată a portului Cernavoda</w:t>
      </w:r>
    </w:p>
    <w:tbl>
      <w:tblPr>
        <w:tblW w:w="6980"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141"/>
        <w:gridCol w:w="960"/>
        <w:gridCol w:w="266"/>
        <w:gridCol w:w="1227"/>
        <w:gridCol w:w="1199"/>
        <w:gridCol w:w="960"/>
      </w:tblGrid>
      <w:tr w:rsidR="00B4550A" w:rsidRPr="00E0488D" w:rsidTr="003C7FC8">
        <w:trPr>
          <w:trHeight w:val="315"/>
        </w:trPr>
        <w:tc>
          <w:tcPr>
            <w:tcW w:w="1227"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2101" w:type="dxa"/>
            <w:gridSpan w:val="2"/>
            <w:shd w:val="clear" w:color="000000" w:fill="376091"/>
            <w:noWrap/>
            <w:vAlign w:val="bottom"/>
            <w:hideMark/>
          </w:tcPr>
          <w:p w:rsidR="00B4550A" w:rsidRPr="00E0488D" w:rsidRDefault="00422C66"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22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59"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trPr>
        <w:tc>
          <w:tcPr>
            <w:tcW w:w="1227"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22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227" w:type="dxa"/>
            <w:shd w:val="clear" w:color="000000" w:fill="95B3D7"/>
            <w:vAlign w:val="bottom"/>
            <w:hideMark/>
          </w:tcPr>
          <w:p w:rsidR="00B4550A" w:rsidRPr="00E0488D" w:rsidRDefault="00422C66"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64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63%</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68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13%</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422C66" w:rsidP="00422C66">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Mărfuri Generale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89%</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24%</w:t>
            </w:r>
          </w:p>
        </w:tc>
      </w:tr>
      <w:tr w:rsidR="00B4550A" w:rsidRPr="00E0488D" w:rsidTr="003C7FC8">
        <w:trPr>
          <w:trHeight w:val="300"/>
        </w:trPr>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99"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17"/>
        </w:trPr>
        <w:tc>
          <w:tcPr>
            <w:tcW w:w="1227" w:type="dxa"/>
            <w:shd w:val="clear" w:color="000000" w:fill="95B3D7"/>
            <w:vAlign w:val="bottom"/>
            <w:hideMark/>
          </w:tcPr>
          <w:p w:rsidR="00B4550A" w:rsidRPr="00E0488D" w:rsidRDefault="00B4550A" w:rsidP="00422C66">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w:t>
            </w:r>
            <w:r w:rsidR="00422C66" w:rsidRPr="00E0488D">
              <w:rPr>
                <w:rFonts w:ascii="Gill Sans MT" w:hAnsi="Gill Sans MT"/>
                <w:color w:val="000000"/>
                <w:sz w:val="20"/>
                <w:szCs w:val="20"/>
                <w:lang w:val="ro-RO" w:eastAsia="en-GB"/>
              </w:rPr>
              <w:t>e</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B4550A" w:rsidP="00422C66">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w:t>
            </w:r>
            <w:r w:rsidR="00422C66" w:rsidRPr="00E0488D">
              <w:rPr>
                <w:rFonts w:ascii="Gill Sans MT" w:hAnsi="Gill Sans MT"/>
                <w:color w:val="000000"/>
                <w:sz w:val="20"/>
                <w:szCs w:val="20"/>
                <w:lang w:val="ro-RO" w:eastAsia="en-GB"/>
              </w:rPr>
              <w:t>e</w:t>
            </w:r>
          </w:p>
        </w:tc>
        <w:tc>
          <w:tcPr>
            <w:tcW w:w="1199"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r w:rsidR="00B4550A" w:rsidRPr="00E0488D" w:rsidTr="003C7FC8">
        <w:trPr>
          <w:trHeight w:val="300"/>
        </w:trPr>
        <w:tc>
          <w:tcPr>
            <w:tcW w:w="1227" w:type="dxa"/>
            <w:shd w:val="clear" w:color="000000" w:fill="95B3D7"/>
            <w:vAlign w:val="bottom"/>
            <w:hideMark/>
          </w:tcPr>
          <w:p w:rsidR="00B4550A" w:rsidRPr="00E0488D" w:rsidRDefault="00141AFC"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Petrol</w:t>
            </w:r>
            <w:r w:rsidR="00422C66" w:rsidRPr="00E0488D">
              <w:rPr>
                <w:rFonts w:ascii="Gill Sans MT" w:hAnsi="Gill Sans MT"/>
                <w:color w:val="000000"/>
                <w:sz w:val="20"/>
                <w:szCs w:val="20"/>
                <w:lang w:val="ro-RO" w:eastAsia="en-GB"/>
              </w:rPr>
              <w:t xml:space="preserve"> </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141AFC"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Petrol</w:t>
            </w:r>
          </w:p>
        </w:tc>
        <w:tc>
          <w:tcPr>
            <w:tcW w:w="1199"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r>
    </w:tbl>
    <w:p w:rsidR="00B4550A" w:rsidRPr="00E0488D" w:rsidRDefault="002E563A" w:rsidP="002B7E09">
      <w:pPr>
        <w:pStyle w:val="NumberedParas"/>
        <w:rPr>
          <w:i/>
          <w:u w:val="single"/>
        </w:rPr>
      </w:pPr>
      <w:r w:rsidRPr="00E0488D">
        <w:t>Tabelul arată că prin dezvoltarea infrastructurii, portul Cernavodă își poate crește capacitatea de operare și poate face față mai bine fluxurilor viitoare prognozate.</w:t>
      </w:r>
    </w:p>
    <w:p w:rsidR="00B4550A" w:rsidRPr="00E0488D" w:rsidRDefault="00B4550A" w:rsidP="00B4550A">
      <w:pPr>
        <w:spacing w:line="276" w:lineRule="auto"/>
        <w:rPr>
          <w:i/>
          <w:u w:val="single"/>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BC2B57">
      <w:pPr>
        <w:pStyle w:val="BulletLevel1"/>
      </w:pPr>
      <w:r w:rsidRPr="00E0488D">
        <w:t xml:space="preserve">Acest proiect ar trebui să fie implementat de APDM Galați, probabil în colaborare cu un operator privat al terminalului. </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BC2B57">
      <w:pPr>
        <w:pStyle w:val="BulletLevel1"/>
        <w:rPr>
          <w:b/>
        </w:rPr>
      </w:pPr>
      <w:r w:rsidRPr="00E0488D">
        <w:t xml:space="preserve">Implementarea ar putea să înceapă de îndată ce proiectul este aprobat. </w:t>
      </w:r>
    </w:p>
    <w:p w:rsidR="00B4550A" w:rsidRPr="00E0488D" w:rsidRDefault="00B4550A" w:rsidP="00B4550A">
      <w:pPr>
        <w:spacing w:line="276" w:lineRule="auto"/>
        <w:rPr>
          <w:b/>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Basarabi:</w:t>
      </w:r>
    </w:p>
    <w:p w:rsidR="00B4550A" w:rsidRPr="00E0488D" w:rsidRDefault="00B4550A" w:rsidP="00B4550A">
      <w:pPr>
        <w:spacing w:line="276" w:lineRule="auto"/>
        <w:rPr>
          <w:b/>
          <w:sz w:val="22"/>
          <w:szCs w:val="22"/>
          <w:lang w:val="ro-RO"/>
        </w:rPr>
      </w:pPr>
      <w:r w:rsidRPr="00E0488D">
        <w:rPr>
          <w:b/>
          <w:sz w:val="22"/>
          <w:szCs w:val="22"/>
          <w:lang w:val="ro-RO"/>
        </w:rPr>
        <w:t xml:space="preserve">Modernizarea infrastructurii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Prin acest proiect ar fi modernizată o parte din infrastructura din port. În mod specific propunerea include: </w:t>
      </w:r>
    </w:p>
    <w:p w:rsidR="00B4550A" w:rsidRPr="00E0488D" w:rsidRDefault="00B4550A" w:rsidP="00BC2B57">
      <w:pPr>
        <w:pStyle w:val="BulletLevel1"/>
      </w:pPr>
      <w:r w:rsidRPr="00E0488D">
        <w:t xml:space="preserve">Modernizarea unei părți a infrastructurii din port </w:t>
      </w:r>
    </w:p>
    <w:p w:rsidR="00B4550A" w:rsidRPr="00E0488D" w:rsidRDefault="00B4550A" w:rsidP="00BC2B57">
      <w:pPr>
        <w:pStyle w:val="BulletLevel1"/>
      </w:pPr>
      <w:r w:rsidRPr="00E0488D">
        <w:t xml:space="preserve">Reabilitarea a 1.000 m de drum pentru îmbunătățirea legăturilor cu portul </w:t>
      </w:r>
    </w:p>
    <w:p w:rsidR="00B4550A" w:rsidRPr="00E0488D" w:rsidRDefault="00B4550A" w:rsidP="00BC2B57">
      <w:pPr>
        <w:pStyle w:val="BulletLevel1"/>
      </w:pPr>
      <w:r w:rsidRPr="00E0488D">
        <w:t xml:space="preserve">Creșterea gradului de securitate și furnizarea de servicii portuare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Portul Basarabi a operat recent volume mari de mărfuri pentru construcția de drumuri locale. Acum că aceste lucrări s-au terminat se estimează ca volumul de mărfuri operate în port va scădea. Aplicarea acestei propuneri ar atinge următoarele probleme: </w:t>
      </w:r>
    </w:p>
    <w:p w:rsidR="00B4550A" w:rsidRPr="00E0488D" w:rsidRDefault="00B4550A" w:rsidP="00BC2B57">
      <w:pPr>
        <w:pStyle w:val="BulletLevel1"/>
      </w:pPr>
      <w:r w:rsidRPr="00E0488D">
        <w:t xml:space="preserve">Capacitatea limitată a infrastructurii existente în port de a opera mărfuri moderne </w:t>
      </w:r>
    </w:p>
    <w:p w:rsidR="00B4550A" w:rsidRPr="00E0488D" w:rsidRDefault="00B4550A" w:rsidP="00BC2B57">
      <w:pPr>
        <w:pStyle w:val="BulletLevel1"/>
      </w:pPr>
      <w:r w:rsidRPr="00E0488D">
        <w:t xml:space="preserve">Legături slabe cu rețeaua de drumuri </w:t>
      </w:r>
    </w:p>
    <w:p w:rsidR="00B4550A" w:rsidRPr="00E0488D" w:rsidRDefault="00B4550A" w:rsidP="00BC2B57">
      <w:pPr>
        <w:pStyle w:val="BulletLevel1"/>
      </w:pPr>
      <w:r w:rsidRPr="00E0488D">
        <w:t>Volume reduse de mărfuri</w:t>
      </w:r>
      <w:r w:rsidR="00422C66" w:rsidRPr="00E0488D">
        <w:t xml:space="preserve"> prognozate</w:t>
      </w:r>
      <w:r w:rsidRPr="00E0488D">
        <w:t xml:space="preserve"> pentru viitor </w:t>
      </w:r>
    </w:p>
    <w:p w:rsidR="00422C66" w:rsidRPr="00E0488D" w:rsidRDefault="00422C66" w:rsidP="00422C66">
      <w:pPr>
        <w:spacing w:line="276" w:lineRule="auto"/>
        <w:rPr>
          <w:i/>
          <w:sz w:val="22"/>
          <w:szCs w:val="22"/>
          <w:u w:val="single"/>
          <w:lang w:val="ro-RO"/>
        </w:rPr>
      </w:pPr>
      <w:r w:rsidRPr="00E0488D">
        <w:rPr>
          <w:i/>
          <w:sz w:val="22"/>
          <w:szCs w:val="22"/>
          <w:u w:val="single"/>
          <w:lang w:val="ro-RO"/>
        </w:rPr>
        <w:t>Obiective operaționale atinse:</w:t>
      </w:r>
    </w:p>
    <w:p w:rsidR="00422C66" w:rsidRPr="00E0488D" w:rsidRDefault="00422C66" w:rsidP="002B7E09">
      <w:pPr>
        <w:pStyle w:val="NumberedParas"/>
      </w:pPr>
      <w:r w:rsidRPr="00E0488D">
        <w:t>Această intervenție va atinge următoarele obiective operaționale :</w:t>
      </w:r>
    </w:p>
    <w:p w:rsidR="00422C66" w:rsidRPr="00E0488D" w:rsidRDefault="00422C66" w:rsidP="00BC2B57">
      <w:pPr>
        <w:pStyle w:val="BulletLevel1"/>
      </w:pPr>
      <w:r w:rsidRPr="00E0488D">
        <w:t xml:space="preserve">OW3 – Deblocarea barierelor pentru eficiență operațională </w:t>
      </w:r>
    </w:p>
    <w:p w:rsidR="00422C66" w:rsidRPr="00E0488D" w:rsidRDefault="00422C66" w:rsidP="00BC2B57">
      <w:pPr>
        <w:pStyle w:val="BulletLevel1"/>
      </w:pPr>
      <w:r w:rsidRPr="00E0488D">
        <w:t xml:space="preserve">OW4 – Reducerea costurilor prin eficiență operațională </w:t>
      </w:r>
    </w:p>
    <w:p w:rsidR="00422C66" w:rsidRPr="00E0488D" w:rsidRDefault="00422C66" w:rsidP="00BC2B57">
      <w:pPr>
        <w:pStyle w:val="BulletLevel1"/>
      </w:pPr>
      <w:r w:rsidRPr="00E0488D">
        <w:t xml:space="preserve">OW10 – Creșterea volumului de mărfuri transportate prin moduri de transport sustenabile </w:t>
      </w:r>
    </w:p>
    <w:p w:rsidR="00B4550A" w:rsidRPr="00E0488D" w:rsidRDefault="00422C66" w:rsidP="00B4550A">
      <w:pPr>
        <w:spacing w:line="276" w:lineRule="auto"/>
        <w:rPr>
          <w:i/>
          <w:sz w:val="22"/>
          <w:szCs w:val="22"/>
          <w:u w:val="single"/>
          <w:lang w:val="ro-RO"/>
        </w:rPr>
      </w:pPr>
      <w:r w:rsidRPr="00E0488D">
        <w:rPr>
          <w:i/>
          <w:sz w:val="22"/>
          <w:szCs w:val="22"/>
          <w:u w:val="single"/>
          <w:lang w:val="ro-RO"/>
        </w:rPr>
        <w:t>Piața potențială</w:t>
      </w:r>
      <w:r w:rsidR="00B4550A" w:rsidRPr="00E0488D">
        <w:rPr>
          <w:i/>
          <w:sz w:val="22"/>
          <w:szCs w:val="22"/>
          <w:u w:val="single"/>
          <w:lang w:val="ro-RO"/>
        </w:rPr>
        <w:t>:</w:t>
      </w:r>
    </w:p>
    <w:p w:rsidR="00B4550A" w:rsidRPr="00E0488D" w:rsidRDefault="00B4550A" w:rsidP="002B7E09">
      <w:pPr>
        <w:pStyle w:val="NumberedParas"/>
      </w:pPr>
      <w:r w:rsidRPr="00E0488D">
        <w:t xml:space="preserve">Această propunere ar viza operațiunile existente în port.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faptul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6.28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422C66">
            <w:pPr>
              <w:spacing w:before="120" w:line="276" w:lineRule="auto"/>
              <w:rPr>
                <w:b/>
                <w:bCs/>
                <w:lang w:val="ro-RO"/>
              </w:rPr>
            </w:pPr>
            <w:r w:rsidRPr="00E0488D">
              <w:rPr>
                <w:b/>
                <w:bCs/>
                <w:lang w:val="ro-RO"/>
              </w:rPr>
              <w:t>C</w:t>
            </w:r>
            <w:r w:rsidR="00422C66" w:rsidRPr="00E0488D">
              <w:rPr>
                <w:b/>
                <w:bCs/>
                <w:lang w:val="ro-RO"/>
              </w:rPr>
              <w:t>ost</w:t>
            </w:r>
            <w:r w:rsidRPr="00E0488D">
              <w:rPr>
                <w:b/>
                <w:bCs/>
                <w:lang w:val="ro-RO"/>
              </w:rPr>
              <w:t xml:space="preserve"> </w:t>
            </w:r>
          </w:p>
        </w:tc>
        <w:tc>
          <w:tcPr>
            <w:tcW w:w="1330" w:type="pct"/>
            <w:vAlign w:val="center"/>
          </w:tcPr>
          <w:p w:rsidR="00B4550A" w:rsidRPr="00E0488D" w:rsidRDefault="002E563A" w:rsidP="003C7FC8">
            <w:pPr>
              <w:spacing w:before="120" w:line="276" w:lineRule="auto"/>
              <w:jc w:val="center"/>
              <w:rPr>
                <w:b/>
                <w:bCs/>
                <w:lang w:val="ro-RO"/>
              </w:rPr>
            </w:pPr>
            <w:r w:rsidRPr="00E0488D">
              <w:rPr>
                <w:b/>
                <w:bCs/>
                <w:lang w:val="ro-RO"/>
              </w:rPr>
              <w:t>6</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Modernizarea unei părți a infrastructurii din port </w:t>
            </w:r>
          </w:p>
          <w:p w:rsidR="00B4550A" w:rsidRPr="00E0488D" w:rsidRDefault="00B4550A" w:rsidP="003C7FC8">
            <w:pPr>
              <w:spacing w:before="120" w:line="276" w:lineRule="auto"/>
              <w:rPr>
                <w:b/>
                <w:bCs/>
                <w:lang w:val="ro-RO"/>
              </w:rPr>
            </w:pPr>
            <w:r w:rsidRPr="00E0488D">
              <w:rPr>
                <w:b/>
                <w:bCs/>
                <w:lang w:val="ro-RO"/>
              </w:rPr>
              <w:t xml:space="preserve">Reabilitarea principalului drum de legătură </w:t>
            </w:r>
          </w:p>
          <w:p w:rsidR="00B4550A" w:rsidRPr="00E0488D" w:rsidRDefault="00B4550A" w:rsidP="003C7FC8">
            <w:pPr>
              <w:spacing w:before="120" w:line="276" w:lineRule="auto"/>
              <w:rPr>
                <w:b/>
                <w:bCs/>
                <w:lang w:val="ro-RO"/>
              </w:rPr>
            </w:pPr>
            <w:r w:rsidRPr="00E0488D">
              <w:rPr>
                <w:b/>
                <w:bCs/>
                <w:lang w:val="ro-RO"/>
              </w:rPr>
              <w:t xml:space="preserve">Creșterea securității și îmbunătățirea serviciilor din port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Intervenția are beneficii reduse cu un raport beneficiu-cost (</w:t>
      </w:r>
      <w:r w:rsidR="002E563A" w:rsidRPr="00E0488D">
        <w:t>RBC</w:t>
      </w:r>
      <w:r w:rsidRPr="00E0488D">
        <w:t xml:space="preserve">) de 0,46. Se estimează că terminalul va genera puțin peste 5.000 de tone de mărfuri suplimentare până în 2020. Din cauza rezultatelor slabe obținute în cadrul modelului, proiectul nu este recomandat pentru includere în Master Plan. </w:t>
      </w:r>
    </w:p>
    <w:p w:rsidR="00B4550A" w:rsidRPr="00E0488D" w:rsidRDefault="00B4550A" w:rsidP="002B7E09">
      <w:pPr>
        <w:pStyle w:val="NumberedParas"/>
        <w:numPr>
          <w:ilvl w:val="0"/>
          <w:numId w:val="0"/>
        </w:numPr>
        <w:ind w:left="1531"/>
      </w:pPr>
    </w:p>
    <w:p w:rsidR="00B4550A" w:rsidRPr="00E0488D" w:rsidRDefault="00B4550A" w:rsidP="002B7E09">
      <w:pPr>
        <w:pStyle w:val="NumberedParas"/>
        <w:numPr>
          <w:ilvl w:val="0"/>
          <w:numId w:val="0"/>
        </w:numPr>
        <w:rPr>
          <w:lang w:eastAsia="en-GB"/>
        </w:rPr>
      </w:pPr>
      <w:r w:rsidRPr="00E0488D">
        <w:rPr>
          <w:lang w:eastAsia="en-GB"/>
        </w:rPr>
        <w:t xml:space="preserve">Tabelul  6.29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P-BS-S (W26)</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5.145</w:t>
            </w:r>
          </w:p>
        </w:tc>
      </w:tr>
      <w:tr w:rsidR="00B4550A" w:rsidRPr="00E0488D" w:rsidTr="003C7FC8">
        <w:tc>
          <w:tcPr>
            <w:tcW w:w="3818" w:type="dxa"/>
            <w:vAlign w:val="center"/>
          </w:tcPr>
          <w:p w:rsidR="00B4550A" w:rsidRPr="00E0488D" w:rsidRDefault="00B4550A" w:rsidP="00BC6FAB">
            <w:pPr>
              <w:rPr>
                <w:b/>
                <w:lang w:val="ro-RO"/>
              </w:rPr>
            </w:pPr>
            <w:r w:rsidRPr="00E0488D">
              <w:rPr>
                <w:b/>
                <w:lang w:val="ro-RO"/>
              </w:rPr>
              <w:t xml:space="preserve">VN </w:t>
            </w:r>
            <w:r w:rsidR="00BC6FAB" w:rsidRPr="00E0488D">
              <w:rPr>
                <w:b/>
                <w:lang w:val="ro-RO"/>
              </w:rPr>
              <w:t>A</w:t>
            </w:r>
            <w:r w:rsidRPr="00E0488D">
              <w:rPr>
                <w:b/>
                <w:lang w:val="ro-RO"/>
              </w:rPr>
              <w:t>mil € (preturi 2014)</w:t>
            </w:r>
          </w:p>
        </w:tc>
        <w:tc>
          <w:tcPr>
            <w:tcW w:w="1628" w:type="dxa"/>
          </w:tcPr>
          <w:p w:rsidR="00B4550A" w:rsidRPr="00E0488D" w:rsidRDefault="00B4550A" w:rsidP="003C7FC8">
            <w:pPr>
              <w:spacing w:line="276" w:lineRule="auto"/>
              <w:jc w:val="center"/>
              <w:rPr>
                <w:lang w:val="ro-RO"/>
              </w:rPr>
            </w:pPr>
            <w:r w:rsidRPr="00E0488D">
              <w:rPr>
                <w:lang w:val="ro-RO"/>
              </w:rPr>
              <w:t>-2</w:t>
            </w:r>
          </w:p>
        </w:tc>
      </w:tr>
      <w:tr w:rsidR="00B4550A" w:rsidRPr="00E0488D" w:rsidTr="003C7FC8">
        <w:tc>
          <w:tcPr>
            <w:tcW w:w="3818" w:type="dxa"/>
            <w:vAlign w:val="center"/>
          </w:tcPr>
          <w:p w:rsidR="00B4550A" w:rsidRPr="00E0488D" w:rsidRDefault="00BC6FAB" w:rsidP="003C7FC8">
            <w:pPr>
              <w:rPr>
                <w:b/>
                <w:lang w:val="ro-RO"/>
              </w:rPr>
            </w:pPr>
            <w:r w:rsidRPr="00E0488D">
              <w:rPr>
                <w:b/>
                <w:lang w:val="ro-RO"/>
              </w:rPr>
              <w:t>RB</w:t>
            </w:r>
            <w:r w:rsidR="00B4550A" w:rsidRPr="00E0488D">
              <w:rPr>
                <w:b/>
                <w:lang w:val="ro-RO"/>
              </w:rPr>
              <w:t>C</w:t>
            </w:r>
          </w:p>
        </w:tc>
        <w:tc>
          <w:tcPr>
            <w:tcW w:w="1628" w:type="dxa"/>
          </w:tcPr>
          <w:p w:rsidR="00B4550A" w:rsidRPr="00E0488D" w:rsidRDefault="00B4550A" w:rsidP="003C7FC8">
            <w:pPr>
              <w:spacing w:line="276" w:lineRule="auto"/>
              <w:jc w:val="center"/>
              <w:rPr>
                <w:i/>
                <w:u w:val="single"/>
                <w:lang w:val="ro-RO"/>
              </w:rPr>
            </w:pPr>
            <w:r w:rsidRPr="00E0488D">
              <w:rPr>
                <w:lang w:val="ro-RO"/>
              </w:rPr>
              <w:t>0,46</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1,2%</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FF0000"/>
                <w:lang w:val="ro-RO"/>
              </w:rPr>
              <w:sym w:font="Wingdings" w:char="F0FB"/>
            </w:r>
          </w:p>
        </w:tc>
      </w:tr>
    </w:tbl>
    <w:p w:rsidR="00B4550A" w:rsidRPr="00E0488D" w:rsidRDefault="00B4550A" w:rsidP="00B4550A">
      <w:pPr>
        <w:spacing w:line="276" w:lineRule="auto"/>
        <w:rPr>
          <w:i/>
          <w:u w:val="single"/>
          <w:lang w:val="ro-RO" w:eastAsia="en-GB"/>
        </w:rPr>
      </w:pPr>
    </w:p>
    <w:p w:rsidR="00B4550A" w:rsidRPr="00E0488D" w:rsidRDefault="00AD3703" w:rsidP="00B4550A">
      <w:pPr>
        <w:spacing w:line="276" w:lineRule="auto"/>
        <w:rPr>
          <w:i/>
          <w:u w:val="single"/>
          <w:lang w:val="ro-RO" w:eastAsia="en-GB"/>
        </w:rPr>
      </w:pPr>
      <w:r w:rsidRPr="00E0488D">
        <w:rPr>
          <w:i/>
          <w:noProof/>
          <w:u w:val="single"/>
          <w:lang w:val="ro-RO" w:eastAsia="ro-RO"/>
        </w:rPr>
        <w:drawing>
          <wp:inline distT="0" distB="0" distL="0" distR="0">
            <wp:extent cx="4574659" cy="2747896"/>
            <wp:effectExtent l="19050" t="0" r="16391" b="0"/>
            <wp:docPr id="96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6.15 –Tone operate în portul Basarabi în perioada 2007-2011 și estimări pentru 2020</w:t>
      </w:r>
    </w:p>
    <w:p w:rsidR="00B4550A" w:rsidRPr="00E0488D" w:rsidRDefault="00D266E5" w:rsidP="002B7E09">
      <w:pPr>
        <w:pStyle w:val="NumberedParas"/>
        <w:rPr>
          <w:lang w:eastAsia="en-GB"/>
        </w:rPr>
      </w:pPr>
      <w:r w:rsidRPr="00E0488D">
        <w:rPr>
          <w:lang w:eastAsia="en-GB"/>
        </w:rPr>
        <w:t xml:space="preserve">Deși Basarabi are o capacitate de 700.000 de tone pe a, portul nu are un volum prognozat de operare care </w:t>
      </w:r>
      <w:r w:rsidR="001205D0" w:rsidRPr="00E0488D">
        <w:rPr>
          <w:lang w:eastAsia="en-GB"/>
        </w:rPr>
        <w:t>s</w:t>
      </w:r>
      <w:r w:rsidR="001205D0">
        <w:rPr>
          <w:lang w:eastAsia="en-GB"/>
        </w:rPr>
        <w:t>ă</w:t>
      </w:r>
      <w:r w:rsidRPr="00E0488D">
        <w:rPr>
          <w:lang w:eastAsia="en-GB"/>
        </w:rPr>
        <w:t xml:space="preserve"> se </w:t>
      </w:r>
      <w:r w:rsidR="001205D0" w:rsidRPr="00E0488D">
        <w:rPr>
          <w:lang w:eastAsia="en-GB"/>
        </w:rPr>
        <w:t>apro</w:t>
      </w:r>
      <w:r w:rsidR="001205D0">
        <w:rPr>
          <w:lang w:eastAsia="en-GB"/>
        </w:rPr>
        <w:t>p</w:t>
      </w:r>
      <w:r w:rsidR="001205D0" w:rsidRPr="00E0488D">
        <w:rPr>
          <w:lang w:eastAsia="en-GB"/>
        </w:rPr>
        <w:t>ie</w:t>
      </w:r>
      <w:r w:rsidRPr="00E0488D">
        <w:rPr>
          <w:lang w:eastAsia="en-GB"/>
        </w:rPr>
        <w:t xml:space="preserve"> de capacitatea maximă. Traficul recent s-a datorat lucrărilor de construcții care sunt acum finalizate.</w:t>
      </w:r>
    </w:p>
    <w:p w:rsidR="00B4550A" w:rsidRPr="00E0488D" w:rsidRDefault="00B4550A" w:rsidP="00B4550A">
      <w:pPr>
        <w:rPr>
          <w:b/>
          <w:sz w:val="22"/>
          <w:szCs w:val="22"/>
          <w:lang w:val="ro-RO"/>
        </w:rPr>
      </w:pPr>
      <w:r w:rsidRPr="00E0488D">
        <w:rPr>
          <w:b/>
          <w:sz w:val="22"/>
          <w:szCs w:val="22"/>
          <w:lang w:val="ro-RO"/>
        </w:rPr>
        <w:br w:type="page"/>
      </w:r>
    </w:p>
    <w:p w:rsidR="00B4550A" w:rsidRPr="00E0488D" w:rsidRDefault="00B4550A" w:rsidP="00B4550A">
      <w:pPr>
        <w:spacing w:line="276" w:lineRule="auto"/>
        <w:rPr>
          <w:b/>
          <w:sz w:val="22"/>
          <w:szCs w:val="22"/>
          <w:lang w:val="ro-RO"/>
        </w:rPr>
      </w:pPr>
      <w:r w:rsidRPr="00E0488D">
        <w:rPr>
          <w:b/>
          <w:sz w:val="22"/>
          <w:szCs w:val="22"/>
          <w:lang w:val="ro-RO"/>
        </w:rPr>
        <w:t>Oltenița:</w:t>
      </w:r>
    </w:p>
    <w:p w:rsidR="00B4550A" w:rsidRPr="00E0488D" w:rsidRDefault="00B4550A" w:rsidP="00B4550A">
      <w:pPr>
        <w:spacing w:line="276" w:lineRule="auto"/>
        <w:rPr>
          <w:b/>
          <w:sz w:val="22"/>
          <w:szCs w:val="22"/>
          <w:lang w:val="ro-RO"/>
        </w:rPr>
      </w:pPr>
      <w:r w:rsidRPr="00E0488D">
        <w:rPr>
          <w:b/>
          <w:sz w:val="22"/>
          <w:szCs w:val="22"/>
          <w:lang w:val="ro-RO"/>
        </w:rPr>
        <w:t xml:space="preserve">Dezvoltarea infrastructurii de operare a mărfurilor solide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 propunere:</w:t>
      </w:r>
    </w:p>
    <w:p w:rsidR="00B4550A" w:rsidRPr="00E0488D" w:rsidRDefault="00B4550A" w:rsidP="002B7E09">
      <w:pPr>
        <w:pStyle w:val="NumberedParas"/>
      </w:pPr>
      <w:r w:rsidRPr="00E0488D">
        <w:t xml:space="preserve">Oltenița este aproape de Giurgiu. Cum Oltenița nu operează mărfuri containerizate, AECOM a desemnat Oltenița ca port pentru operarea mărfurilor solide din zonă, în special mărfurile care ajung în București. Oltenița va putea atinge acest obiectiv prin dezvoltarea infrastructurii sale de operare a mărfurilor solide. Mai precis, propunerea face referire la: </w:t>
      </w:r>
    </w:p>
    <w:p w:rsidR="00B4550A" w:rsidRPr="00E0488D" w:rsidRDefault="00B4550A" w:rsidP="00BC2B57">
      <w:pPr>
        <w:pStyle w:val="BulletLevel1"/>
      </w:pPr>
      <w:r w:rsidRPr="00E0488D">
        <w:t xml:space="preserve">Modernizarea a șase dane ar presupune că acestea vor putea opera o gamă mai largă de mărfuri  </w:t>
      </w:r>
    </w:p>
    <w:p w:rsidR="00B4550A" w:rsidRPr="00E0488D" w:rsidRDefault="00B4550A" w:rsidP="00BC2B57">
      <w:pPr>
        <w:pStyle w:val="BulletLevel1"/>
      </w:pPr>
      <w:r w:rsidRPr="00E0488D">
        <w:t xml:space="preserve">Dragarea bazinului din port </w:t>
      </w:r>
    </w:p>
    <w:p w:rsidR="00B4550A" w:rsidRPr="00E0488D" w:rsidRDefault="00B4550A" w:rsidP="00BC2B57">
      <w:pPr>
        <w:pStyle w:val="BulletLevel1"/>
      </w:pPr>
      <w:r w:rsidRPr="00E0488D">
        <w:t xml:space="preserve">Îmbunătățirea serviciilor oferite în port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Desemnarea portului Oltenița ca port pentru operarea mărfurilor solide înseamnă că acesta nu concurează cu Giurgiu. Aplicarea acestei propuneri va atinge următoarele probleme: </w:t>
      </w:r>
    </w:p>
    <w:p w:rsidR="00B4550A" w:rsidRPr="00E0488D" w:rsidRDefault="00B4550A" w:rsidP="00BC2B57">
      <w:pPr>
        <w:pStyle w:val="BulletLevel1"/>
      </w:pPr>
      <w:r w:rsidRPr="00E0488D">
        <w:t xml:space="preserve">Se asigură faptul că atât Oltenița cât și Giurgiu au un rol în economia României </w:t>
      </w:r>
    </w:p>
    <w:p w:rsidR="00B4550A" w:rsidRPr="00E0488D" w:rsidRDefault="00B4550A" w:rsidP="00BC2B57">
      <w:pPr>
        <w:pStyle w:val="BulletLevel1"/>
      </w:pPr>
      <w:r w:rsidRPr="00E0488D">
        <w:t xml:space="preserve">Se oferă un scop clar portului Oltenița </w:t>
      </w:r>
    </w:p>
    <w:p w:rsidR="00B4550A" w:rsidRPr="00E0488D" w:rsidRDefault="00B4550A" w:rsidP="00BC2B57">
      <w:pPr>
        <w:pStyle w:val="BulletLevel1"/>
      </w:pPr>
      <w:r w:rsidRPr="00E0488D">
        <w:t xml:space="preserve">Îi permite portului să opereze mărfuri moderne într-o manieră eficientă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2D76C2" w:rsidRPr="00E0488D" w:rsidRDefault="002D76C2" w:rsidP="00BC2B57">
      <w:pPr>
        <w:pStyle w:val="BulletLevel1"/>
      </w:pPr>
      <w:r w:rsidRPr="00E0488D">
        <w:t xml:space="preserve">OW3 – Deblocarea barierelor pentru eficiență operațională </w:t>
      </w:r>
    </w:p>
    <w:p w:rsidR="002D76C2" w:rsidRPr="00E0488D" w:rsidRDefault="002D76C2" w:rsidP="00BC2B57">
      <w:pPr>
        <w:pStyle w:val="BulletLevel1"/>
      </w:pPr>
      <w:r w:rsidRPr="00E0488D">
        <w:t xml:space="preserve">OW4 – Reducerea costurilor prin eficiență operațională </w:t>
      </w:r>
    </w:p>
    <w:p w:rsidR="002D76C2" w:rsidRPr="00E0488D" w:rsidRDefault="002D76C2"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 xml:space="preserve">Această propunere privește operațiunile cu mărfuri solide din portul Oltenița.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6.30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sz w:val="20"/>
                <w:szCs w:val="20"/>
                <w:lang w:val="ro-RO"/>
              </w:rPr>
            </w:pPr>
          </w:p>
        </w:tc>
        <w:tc>
          <w:tcPr>
            <w:tcW w:w="1330"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sz w:val="20"/>
                <w:szCs w:val="20"/>
                <w:lang w:val="ro-RO"/>
              </w:rPr>
            </w:pPr>
            <w:r w:rsidRPr="00E0488D">
              <w:rPr>
                <w:b/>
                <w:bCs/>
                <w:sz w:val="20"/>
                <w:szCs w:val="20"/>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A97A3A">
            <w:pPr>
              <w:spacing w:before="120" w:line="276" w:lineRule="auto"/>
              <w:rPr>
                <w:b/>
                <w:bCs/>
                <w:sz w:val="20"/>
                <w:szCs w:val="20"/>
                <w:lang w:val="ro-RO"/>
              </w:rPr>
            </w:pPr>
            <w:r w:rsidRPr="00E0488D">
              <w:rPr>
                <w:b/>
                <w:bCs/>
                <w:sz w:val="20"/>
                <w:szCs w:val="20"/>
                <w:lang w:val="ro-RO"/>
              </w:rPr>
              <w:t>C</w:t>
            </w:r>
            <w:r w:rsidR="00A97A3A" w:rsidRPr="00E0488D">
              <w:rPr>
                <w:b/>
                <w:bCs/>
                <w:sz w:val="20"/>
                <w:szCs w:val="20"/>
                <w:lang w:val="ro-RO"/>
              </w:rPr>
              <w:t>ost</w:t>
            </w:r>
          </w:p>
        </w:tc>
        <w:tc>
          <w:tcPr>
            <w:tcW w:w="1330" w:type="pct"/>
            <w:vAlign w:val="center"/>
          </w:tcPr>
          <w:p w:rsidR="00B4550A" w:rsidRPr="00E0488D" w:rsidRDefault="00A97A3A" w:rsidP="003C7FC8">
            <w:pPr>
              <w:spacing w:before="120" w:line="276" w:lineRule="auto"/>
              <w:jc w:val="center"/>
              <w:rPr>
                <w:b/>
                <w:bCs/>
                <w:sz w:val="20"/>
                <w:szCs w:val="20"/>
                <w:lang w:val="ro-RO"/>
              </w:rPr>
            </w:pPr>
            <w:r w:rsidRPr="00E0488D">
              <w:rPr>
                <w:b/>
                <w:bCs/>
                <w:sz w:val="20"/>
                <w:szCs w:val="20"/>
                <w:lang w:val="ro-RO"/>
              </w:rPr>
              <w:t>5,6</w:t>
            </w:r>
          </w:p>
        </w:tc>
        <w:tc>
          <w:tcPr>
            <w:tcW w:w="2948" w:type="pct"/>
          </w:tcPr>
          <w:p w:rsidR="00B4550A" w:rsidRPr="00E0488D" w:rsidRDefault="00B4550A" w:rsidP="003C7FC8">
            <w:pPr>
              <w:spacing w:before="120" w:line="276" w:lineRule="auto"/>
              <w:rPr>
                <w:b/>
                <w:bCs/>
                <w:sz w:val="20"/>
                <w:szCs w:val="20"/>
                <w:lang w:val="ro-RO"/>
              </w:rPr>
            </w:pPr>
            <w:r w:rsidRPr="00E0488D">
              <w:rPr>
                <w:b/>
                <w:bCs/>
                <w:sz w:val="20"/>
                <w:szCs w:val="20"/>
                <w:lang w:val="ro-RO"/>
              </w:rPr>
              <w:t xml:space="preserve">Modernizarea unei părți a infrastructurii din port </w:t>
            </w:r>
          </w:p>
          <w:p w:rsidR="00B4550A" w:rsidRPr="00E0488D" w:rsidRDefault="00B4550A" w:rsidP="003C7FC8">
            <w:pPr>
              <w:spacing w:before="120" w:line="276" w:lineRule="auto"/>
              <w:rPr>
                <w:b/>
                <w:bCs/>
                <w:sz w:val="20"/>
                <w:szCs w:val="20"/>
                <w:lang w:val="ro-RO"/>
              </w:rPr>
            </w:pPr>
            <w:r w:rsidRPr="00E0488D">
              <w:rPr>
                <w:b/>
                <w:bCs/>
                <w:sz w:val="20"/>
                <w:szCs w:val="20"/>
                <w:lang w:val="ro-RO"/>
              </w:rPr>
              <w:t xml:space="preserve">Reabilitarea principalului drum de legătură </w:t>
            </w:r>
          </w:p>
          <w:p w:rsidR="00B4550A" w:rsidRPr="00E0488D" w:rsidRDefault="00B4550A" w:rsidP="003C7FC8">
            <w:pPr>
              <w:spacing w:before="120" w:line="276" w:lineRule="auto"/>
              <w:rPr>
                <w:b/>
                <w:bCs/>
                <w:sz w:val="20"/>
                <w:szCs w:val="20"/>
                <w:lang w:val="ro-RO"/>
              </w:rPr>
            </w:pPr>
            <w:r w:rsidRPr="00E0488D">
              <w:rPr>
                <w:b/>
                <w:bCs/>
                <w:sz w:val="20"/>
                <w:szCs w:val="20"/>
                <w:lang w:val="ro-RO"/>
              </w:rPr>
              <w:t xml:space="preserve">Creșterea gradului de securitate și îmbunătățirea serviciilor din port </w:t>
            </w:r>
          </w:p>
        </w:tc>
      </w:tr>
    </w:tbl>
    <w:p w:rsidR="00A97A3A" w:rsidRPr="00E0488D" w:rsidRDefault="00A97A3A">
      <w:pPr>
        <w:rPr>
          <w:i/>
          <w:sz w:val="22"/>
          <w:szCs w:val="22"/>
          <w:u w:val="single"/>
          <w:lang w:val="ro-RO"/>
        </w:rPr>
      </w:pPr>
      <w:r w:rsidRPr="00E0488D">
        <w:rPr>
          <w:i/>
          <w:sz w:val="22"/>
          <w:szCs w:val="22"/>
          <w:u w:val="single"/>
          <w:lang w:val="ro-RO"/>
        </w:rPr>
        <w:br w:type="page"/>
      </w:r>
    </w:p>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Intervenția oferă suficiente beneficii cu un raport beneficiu-cost (B/C) de 29,35. Se estimează că terminalul va genera peste 35.000 de tone de mărfuri suplimentare până în 2020. Se recomandă includerea acestui proiect în cadrul Master Planului. </w:t>
      </w:r>
    </w:p>
    <w:p w:rsidR="00B4550A" w:rsidRPr="00E0488D" w:rsidRDefault="00B4550A" w:rsidP="00B4550A">
      <w:pPr>
        <w:spacing w:line="276" w:lineRule="auto"/>
        <w:jc w:val="both"/>
        <w:rPr>
          <w:sz w:val="22"/>
          <w:szCs w:val="22"/>
          <w:lang w:val="ro-RO"/>
        </w:rPr>
      </w:pPr>
    </w:p>
    <w:p w:rsidR="00B4550A" w:rsidRPr="00E0488D" w:rsidRDefault="00B4550A" w:rsidP="002B7E09">
      <w:pPr>
        <w:pStyle w:val="NumberedParas"/>
        <w:numPr>
          <w:ilvl w:val="0"/>
          <w:numId w:val="0"/>
        </w:numPr>
        <w:rPr>
          <w:lang w:eastAsia="en-GB"/>
        </w:rPr>
      </w:pPr>
      <w:r w:rsidRPr="00E0488D">
        <w:rPr>
          <w:lang w:eastAsia="en-GB"/>
        </w:rPr>
        <w:t xml:space="preserve">Tabelul  6.31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Cod test </w:t>
            </w:r>
          </w:p>
        </w:tc>
        <w:tc>
          <w:tcPr>
            <w:tcW w:w="1628" w:type="dxa"/>
            <w:vAlign w:val="center"/>
          </w:tcPr>
          <w:p w:rsidR="00B4550A" w:rsidRPr="00E0488D" w:rsidRDefault="00B4550A" w:rsidP="003C7FC8">
            <w:pPr>
              <w:rPr>
                <w:sz w:val="20"/>
                <w:szCs w:val="20"/>
                <w:lang w:val="ro-RO"/>
              </w:rPr>
            </w:pPr>
            <w:r w:rsidRPr="00E0488D">
              <w:rPr>
                <w:sz w:val="20"/>
                <w:szCs w:val="20"/>
                <w:lang w:val="ro-RO"/>
              </w:rPr>
              <w:t>P-BS-S (W26)</w:t>
            </w:r>
          </w:p>
        </w:tc>
      </w:tr>
      <w:tr w:rsidR="00B4550A" w:rsidRPr="00E0488D" w:rsidTr="003C7FC8">
        <w:tc>
          <w:tcPr>
            <w:tcW w:w="3818" w:type="dxa"/>
          </w:tcPr>
          <w:p w:rsidR="00B4550A" w:rsidRPr="00E0488D" w:rsidRDefault="00B4550A" w:rsidP="003C7FC8">
            <w:pPr>
              <w:rPr>
                <w:b/>
                <w:sz w:val="20"/>
                <w:szCs w:val="20"/>
                <w:lang w:val="ro-RO"/>
              </w:rPr>
            </w:pPr>
            <w:r w:rsidRPr="00E0488D">
              <w:rPr>
                <w:b/>
                <w:sz w:val="20"/>
                <w:szCs w:val="20"/>
                <w:lang w:val="ro-RO"/>
              </w:rPr>
              <w:t>Modificare tonaj transportat pe apă anual (2020)</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35.908</w:t>
            </w:r>
          </w:p>
        </w:tc>
      </w:tr>
      <w:tr w:rsidR="00B4550A" w:rsidRPr="00E0488D" w:rsidTr="003C7FC8">
        <w:tc>
          <w:tcPr>
            <w:tcW w:w="3818" w:type="dxa"/>
            <w:vAlign w:val="center"/>
          </w:tcPr>
          <w:p w:rsidR="00B4550A" w:rsidRPr="00E0488D" w:rsidRDefault="00B4550A" w:rsidP="005B1BFA">
            <w:pPr>
              <w:rPr>
                <w:b/>
                <w:sz w:val="20"/>
                <w:szCs w:val="20"/>
                <w:lang w:val="ro-RO"/>
              </w:rPr>
            </w:pPr>
            <w:r w:rsidRPr="00E0488D">
              <w:rPr>
                <w:b/>
                <w:sz w:val="20"/>
                <w:szCs w:val="20"/>
                <w:lang w:val="ro-RO"/>
              </w:rPr>
              <w:t>VN</w:t>
            </w:r>
            <w:r w:rsidR="005B1BFA" w:rsidRPr="00E0488D">
              <w:rPr>
                <w:b/>
                <w:sz w:val="20"/>
                <w:szCs w:val="20"/>
                <w:lang w:val="ro-RO"/>
              </w:rPr>
              <w:t>A</w:t>
            </w:r>
            <w:r w:rsidRPr="00E0488D">
              <w:rPr>
                <w:b/>
                <w:sz w:val="20"/>
                <w:szCs w:val="20"/>
                <w:lang w:val="ro-RO"/>
              </w:rPr>
              <w:t xml:space="preserve"> mil € (preturi 2014)</w:t>
            </w:r>
          </w:p>
        </w:tc>
        <w:tc>
          <w:tcPr>
            <w:tcW w:w="1628" w:type="dxa"/>
          </w:tcPr>
          <w:p w:rsidR="00B4550A" w:rsidRPr="00E0488D" w:rsidRDefault="00B4550A" w:rsidP="003C7FC8">
            <w:pPr>
              <w:spacing w:line="276" w:lineRule="auto"/>
              <w:jc w:val="center"/>
              <w:rPr>
                <w:sz w:val="20"/>
                <w:szCs w:val="20"/>
                <w:lang w:val="ro-RO"/>
              </w:rPr>
            </w:pPr>
            <w:r w:rsidRPr="00E0488D">
              <w:rPr>
                <w:sz w:val="20"/>
                <w:szCs w:val="20"/>
                <w:lang w:val="ro-RO"/>
              </w:rPr>
              <w:t>99</w:t>
            </w:r>
          </w:p>
        </w:tc>
      </w:tr>
      <w:tr w:rsidR="00B4550A" w:rsidRPr="00E0488D" w:rsidTr="003C7FC8">
        <w:tc>
          <w:tcPr>
            <w:tcW w:w="3818" w:type="dxa"/>
            <w:vAlign w:val="center"/>
          </w:tcPr>
          <w:p w:rsidR="00B4550A" w:rsidRPr="00E0488D" w:rsidRDefault="005B1BFA" w:rsidP="005B1BFA">
            <w:pPr>
              <w:rPr>
                <w:b/>
                <w:sz w:val="20"/>
                <w:szCs w:val="20"/>
                <w:lang w:val="ro-RO"/>
              </w:rPr>
            </w:pPr>
            <w:r w:rsidRPr="00E0488D">
              <w:rPr>
                <w:b/>
                <w:sz w:val="20"/>
                <w:szCs w:val="20"/>
                <w:lang w:val="ro-RO"/>
              </w:rPr>
              <w:t>R</w:t>
            </w:r>
            <w:r w:rsidR="00B4550A" w:rsidRPr="00E0488D">
              <w:rPr>
                <w:b/>
                <w:sz w:val="20"/>
                <w:szCs w:val="20"/>
                <w:lang w:val="ro-RO"/>
              </w:rPr>
              <w:t>BC</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29,35</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RIRE</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30,1%</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Recomandare Master Plan </w:t>
            </w:r>
          </w:p>
        </w:tc>
        <w:tc>
          <w:tcPr>
            <w:tcW w:w="1628" w:type="dxa"/>
          </w:tcPr>
          <w:p w:rsidR="00B4550A" w:rsidRPr="00E0488D" w:rsidRDefault="00B4550A" w:rsidP="003C7FC8">
            <w:pPr>
              <w:spacing w:line="276" w:lineRule="auto"/>
              <w:jc w:val="center"/>
              <w:rPr>
                <w:sz w:val="20"/>
                <w:szCs w:val="20"/>
                <w:lang w:val="ro-RO"/>
              </w:rPr>
            </w:pPr>
            <w:r w:rsidRPr="00E0488D">
              <w:rPr>
                <w:b/>
                <w:color w:val="00B050"/>
                <w:sz w:val="20"/>
                <w:szCs w:val="20"/>
                <w:lang w:val="ro-RO"/>
              </w:rPr>
              <w:sym w:font="Wingdings" w:char="F0FC"/>
            </w:r>
          </w:p>
        </w:tc>
      </w:tr>
    </w:tbl>
    <w:p w:rsidR="00B4550A" w:rsidRPr="00E0488D" w:rsidRDefault="00B4550A" w:rsidP="00B4550A">
      <w:pPr>
        <w:spacing w:line="276" w:lineRule="auto"/>
        <w:rPr>
          <w:i/>
          <w:u w:val="single"/>
          <w:lang w:val="ro-RO" w:eastAsia="en-GB"/>
        </w:rPr>
      </w:pPr>
    </w:p>
    <w:p w:rsidR="00B4550A" w:rsidRPr="00E0488D" w:rsidRDefault="00B4550A" w:rsidP="00B4550A">
      <w:pPr>
        <w:spacing w:line="276" w:lineRule="auto"/>
        <w:rPr>
          <w:i/>
          <w:u w:val="single"/>
          <w:lang w:val="ro-RO" w:eastAsia="en-GB"/>
        </w:rPr>
      </w:pPr>
      <w:r w:rsidRPr="00E0488D">
        <w:rPr>
          <w:i/>
          <w:noProof/>
          <w:u w:val="single"/>
          <w:lang w:val="ro-RO" w:eastAsia="ro-RO"/>
        </w:rPr>
        <w:drawing>
          <wp:inline distT="0" distB="0" distL="0" distR="0">
            <wp:extent cx="4574659" cy="2747896"/>
            <wp:effectExtent l="12197" t="6099" r="6099" b="0"/>
            <wp:docPr id="60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6.16 –Tone operate în portul Oltenița în perioada 2007-2011 și estimările pentru 2020</w:t>
      </w:r>
    </w:p>
    <w:p w:rsidR="00B4550A" w:rsidRPr="00E0488D" w:rsidRDefault="00B4550A" w:rsidP="00B4550A">
      <w:pPr>
        <w:spacing w:line="276" w:lineRule="auto"/>
        <w:rPr>
          <w:b/>
          <w:sz w:val="22"/>
          <w:szCs w:val="22"/>
          <w:lang w:val="ro-RO" w:eastAsia="en-GB"/>
        </w:rPr>
      </w:pPr>
    </w:p>
    <w:p w:rsidR="00B4550A" w:rsidRPr="00E0488D" w:rsidRDefault="00B4550A" w:rsidP="002B7E09">
      <w:pPr>
        <w:pStyle w:val="NumberedParas"/>
        <w:numPr>
          <w:ilvl w:val="0"/>
          <w:numId w:val="0"/>
        </w:numPr>
        <w:rPr>
          <w:lang w:eastAsia="en-GB"/>
        </w:rPr>
      </w:pPr>
      <w:r w:rsidRPr="00E0488D">
        <w:rPr>
          <w:lang w:eastAsia="en-GB"/>
        </w:rPr>
        <w:t xml:space="preserve">Tabelul  6.32 – Utilizarea prognozată a portului </w:t>
      </w:r>
      <w:r w:rsidR="001205D0" w:rsidRPr="00E0488D">
        <w:rPr>
          <w:lang w:eastAsia="en-GB"/>
        </w:rPr>
        <w:t>Oltenița</w:t>
      </w:r>
    </w:p>
    <w:tbl>
      <w:tblPr>
        <w:tblW w:w="7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141"/>
        <w:gridCol w:w="987"/>
        <w:gridCol w:w="266"/>
        <w:gridCol w:w="1227"/>
        <w:gridCol w:w="1199"/>
        <w:gridCol w:w="960"/>
      </w:tblGrid>
      <w:tr w:rsidR="00B4550A" w:rsidRPr="00E0488D" w:rsidTr="003C7FC8">
        <w:trPr>
          <w:trHeight w:val="315"/>
          <w:jc w:val="center"/>
        </w:trPr>
        <w:tc>
          <w:tcPr>
            <w:tcW w:w="1227"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2128"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22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59"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jc w:val="center"/>
        </w:trPr>
        <w:tc>
          <w:tcPr>
            <w:tcW w:w="1227"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 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22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jc w:val="center"/>
        </w:trPr>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p>
        </w:tc>
        <w:tc>
          <w:tcPr>
            <w:tcW w:w="987"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p>
        </w:tc>
      </w:tr>
      <w:tr w:rsidR="00B4550A" w:rsidRPr="00E0488D" w:rsidTr="003C7FC8">
        <w:trPr>
          <w:trHeight w:val="300"/>
          <w:jc w:val="center"/>
        </w:trPr>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196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01%</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269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73%</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98%</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85%</w:t>
            </w:r>
          </w:p>
        </w:tc>
      </w:tr>
      <w:tr w:rsidR="00B4550A" w:rsidRPr="00E0488D" w:rsidTr="003C7FC8">
        <w:trPr>
          <w:trHeight w:val="300"/>
          <w:jc w:val="center"/>
        </w:trPr>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69%</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97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01%</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227"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99%</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11%</w:t>
            </w:r>
          </w:p>
        </w:tc>
      </w:tr>
    </w:tbl>
    <w:p w:rsidR="00B4550A" w:rsidRPr="00E0488D" w:rsidRDefault="001205D0" w:rsidP="002B7E09">
      <w:pPr>
        <w:pStyle w:val="NumberedParas"/>
        <w:rPr>
          <w:lang w:eastAsia="en-GB"/>
        </w:rPr>
      </w:pPr>
      <w:r>
        <w:rPr>
          <w:lang w:eastAsia="en-GB"/>
        </w:rPr>
        <w:t xml:space="preserve"> Datele din tabel arată că prin dezvoltarea terminalului de mărfuri vrac solid la portul Oltenița, suprautilizarea prognozată nu va mai reprezenta o problemă.</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APDF Giurgiu, probabil în colaborare cu un operator privat de terminale. </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rPr>
          <w:b/>
        </w:rPr>
      </w:pPr>
      <w:r w:rsidRPr="00E0488D">
        <w:t xml:space="preserve">Implementarea ar putea începe de îndată ce procesul de aprobare a proiectului este finalizat; totuși pentru a obține beneficii maxime, se recomandă ca finalizarea proiectului să fie programată după finalizarea proiectelor de îmbunătățire a navigabilității fluviului Dunărea (a se vedea mai târziu). </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Giurgiu:</w:t>
      </w:r>
    </w:p>
    <w:p w:rsidR="00B4550A" w:rsidRPr="00E0488D" w:rsidRDefault="00B4550A" w:rsidP="00B4550A">
      <w:pPr>
        <w:spacing w:line="276" w:lineRule="auto"/>
        <w:rPr>
          <w:b/>
          <w:sz w:val="22"/>
          <w:szCs w:val="22"/>
          <w:lang w:val="ro-RO"/>
        </w:rPr>
      </w:pPr>
      <w:r w:rsidRPr="00E0488D">
        <w:rPr>
          <w:b/>
          <w:sz w:val="22"/>
          <w:szCs w:val="22"/>
          <w:lang w:val="ro-RO"/>
        </w:rPr>
        <w:t xml:space="preserve">Construcția unui nou terminal trimodal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Giurgiu a fost identificat ca punct </w:t>
      </w:r>
      <w:r w:rsidR="001205D0" w:rsidRPr="00E0488D">
        <w:t>cheie</w:t>
      </w:r>
      <w:r w:rsidRPr="00E0488D">
        <w:t xml:space="preserve"> în cadrul rețelei strategice de terminale intermodale din România. Propunerea este de construcție a unui nou terminal trimodal în port astfel încât containerele intermodale să poată beneficia de legăturile rutiere, feroviare și căile navigabile ale orașului Giurgiu. Prin specializarea portului Giurgiu în operarea de containere, portul nu va mai fi în concurență cu alt port apropiat, Oltenița. Apropierea sa de București transformă acest port în alegerea ideală pentru a include România în rețeaua de porturi intermodale. În mod specific, această propunere va include: </w:t>
      </w:r>
    </w:p>
    <w:p w:rsidR="00B4550A" w:rsidRPr="00E0488D" w:rsidRDefault="00B4550A" w:rsidP="00BC2B57">
      <w:pPr>
        <w:pStyle w:val="BulletLevel1"/>
      </w:pPr>
      <w:r w:rsidRPr="00E0488D">
        <w:t xml:space="preserve">Un nou terminal intermodal cu o dimensiune de 6 – 8 hectare, inclusiv echipament de operare </w:t>
      </w:r>
    </w:p>
    <w:p w:rsidR="00B4550A" w:rsidRPr="00E0488D" w:rsidRDefault="00B4550A" w:rsidP="00BC2B57">
      <w:pPr>
        <w:pStyle w:val="BulletLevel1"/>
      </w:pPr>
      <w:r w:rsidRPr="00E0488D">
        <w:t xml:space="preserve">Facilități logistice </w:t>
      </w:r>
    </w:p>
    <w:p w:rsidR="00B4550A" w:rsidRPr="00E0488D" w:rsidRDefault="00B4550A" w:rsidP="00BC2B57">
      <w:pPr>
        <w:pStyle w:val="BulletLevel1"/>
      </w:pPr>
      <w:r w:rsidRPr="00E0488D">
        <w:t xml:space="preserve">Legături cu zona liberă din port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În prezent, portul are capacitatea de a opera containere dar, pentru a-și atinge potențialul, ar putea beneficia de pe urma unui terminal intermodal modern și dedicat. Această intervenție ar atinge următoarele probleme: </w:t>
      </w:r>
    </w:p>
    <w:p w:rsidR="00B4550A" w:rsidRPr="00E0488D" w:rsidRDefault="00B4550A" w:rsidP="00BC2B57">
      <w:pPr>
        <w:pStyle w:val="BulletLevel1"/>
      </w:pPr>
      <w:r w:rsidRPr="00E0488D">
        <w:t xml:space="preserve">Lipsa unui terminal intermodal dedicat modern mare </w:t>
      </w:r>
    </w:p>
    <w:p w:rsidR="00B4550A" w:rsidRPr="00E0488D" w:rsidRDefault="00B4550A" w:rsidP="00BC2B57">
      <w:pPr>
        <w:pStyle w:val="BulletLevel1"/>
      </w:pPr>
      <w:r w:rsidRPr="00E0488D">
        <w:t xml:space="preserve">Lipsa unei rețele intermodale din România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B4550A" w:rsidRPr="00E0488D" w:rsidRDefault="00B4550A" w:rsidP="00BC2B57">
      <w:pPr>
        <w:pStyle w:val="BulletLevel1"/>
      </w:pPr>
      <w:r w:rsidRPr="00E0488D">
        <w:t xml:space="preserve">OW3 – Deblocarea barierelor pentru eficiență operațională </w:t>
      </w:r>
    </w:p>
    <w:p w:rsidR="00B4550A" w:rsidRPr="00E0488D" w:rsidRDefault="00B4550A" w:rsidP="00BC2B57">
      <w:pPr>
        <w:pStyle w:val="BulletLevel1"/>
      </w:pPr>
      <w:r w:rsidRPr="00E0488D">
        <w:t xml:space="preserve">OW4 – Reducerea costurilor prin eficiență operațională </w:t>
      </w:r>
    </w:p>
    <w:p w:rsidR="00B4550A" w:rsidRPr="00E0488D" w:rsidRDefault="00B4550A" w:rsidP="00BC2B57">
      <w:pPr>
        <w:pStyle w:val="BulletLevel1"/>
      </w:pPr>
      <w:r w:rsidRPr="00E0488D">
        <w:t xml:space="preserve">OW10 – Creșterea volumului de mărfuri transportate prin moduri de transport sustenabile </w:t>
      </w:r>
    </w:p>
    <w:p w:rsidR="005B1BFA" w:rsidRPr="00E0488D" w:rsidRDefault="005B1BFA" w:rsidP="005B1BFA">
      <w:pPr>
        <w:spacing w:line="276" w:lineRule="auto"/>
        <w:rPr>
          <w:i/>
          <w:sz w:val="22"/>
          <w:szCs w:val="22"/>
          <w:u w:val="single"/>
          <w:lang w:val="ro-RO"/>
        </w:rPr>
      </w:pPr>
      <w:r w:rsidRPr="00E0488D">
        <w:rPr>
          <w:i/>
          <w:sz w:val="22"/>
          <w:szCs w:val="22"/>
          <w:u w:val="single"/>
          <w:lang w:val="ro-RO"/>
        </w:rPr>
        <w:t xml:space="preserve">Potențială piață </w:t>
      </w:r>
    </w:p>
    <w:p w:rsidR="005B1BFA" w:rsidRPr="00E0488D" w:rsidRDefault="005B1BFA" w:rsidP="002B7E09">
      <w:pPr>
        <w:pStyle w:val="NumberedParas"/>
      </w:pPr>
      <w:r w:rsidRPr="00E0488D">
        <w:t xml:space="preserve">Această propunere va afecta operarea containerelor.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6.33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r w:rsidRPr="00E0488D">
              <w:rPr>
                <w:b/>
                <w:bCs/>
                <w:lang w:val="ro-RO"/>
              </w:rPr>
              <w:t>Articol</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5B1BFA">
            <w:pPr>
              <w:spacing w:before="120" w:line="276" w:lineRule="auto"/>
              <w:rPr>
                <w:b/>
                <w:bCs/>
                <w:lang w:val="ro-RO"/>
              </w:rPr>
            </w:pPr>
            <w:r w:rsidRPr="00E0488D">
              <w:rPr>
                <w:b/>
                <w:bCs/>
                <w:lang w:val="ro-RO"/>
              </w:rPr>
              <w:t>C</w:t>
            </w:r>
            <w:r w:rsidR="005B1BFA" w:rsidRPr="00E0488D">
              <w:rPr>
                <w:b/>
                <w:bCs/>
                <w:lang w:val="ro-RO"/>
              </w:rPr>
              <w:t>ost</w:t>
            </w:r>
          </w:p>
        </w:tc>
        <w:tc>
          <w:tcPr>
            <w:tcW w:w="1330" w:type="pct"/>
            <w:vAlign w:val="center"/>
          </w:tcPr>
          <w:p w:rsidR="00B4550A" w:rsidRPr="00E0488D" w:rsidRDefault="005B1BFA" w:rsidP="003C7FC8">
            <w:pPr>
              <w:spacing w:before="120" w:line="276" w:lineRule="auto"/>
              <w:jc w:val="center"/>
              <w:rPr>
                <w:b/>
                <w:bCs/>
                <w:lang w:val="ro-RO"/>
              </w:rPr>
            </w:pPr>
            <w:r w:rsidRPr="00E0488D">
              <w:rPr>
                <w:b/>
                <w:bCs/>
                <w:lang w:val="ro-RO"/>
              </w:rPr>
              <w:t>10</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Nou terminal intermodal cu o dimensiune de 6 – 8 hectare </w:t>
            </w:r>
          </w:p>
          <w:p w:rsidR="00B4550A" w:rsidRPr="00E0488D" w:rsidRDefault="00B4550A" w:rsidP="003C7FC8">
            <w:pPr>
              <w:spacing w:before="120" w:line="276" w:lineRule="auto"/>
              <w:rPr>
                <w:b/>
                <w:bCs/>
                <w:lang w:val="ro-RO"/>
              </w:rPr>
            </w:pPr>
            <w:r w:rsidRPr="00E0488D">
              <w:rPr>
                <w:b/>
                <w:bCs/>
                <w:lang w:val="ro-RO"/>
              </w:rPr>
              <w:t xml:space="preserve">Facilități logistice </w:t>
            </w:r>
          </w:p>
          <w:p w:rsidR="00B4550A" w:rsidRPr="00E0488D" w:rsidRDefault="00B4550A" w:rsidP="003C7FC8">
            <w:pPr>
              <w:spacing w:before="120" w:line="276" w:lineRule="auto"/>
              <w:rPr>
                <w:b/>
                <w:bCs/>
                <w:lang w:val="ro-RO"/>
              </w:rPr>
            </w:pPr>
            <w:r w:rsidRPr="00E0488D">
              <w:rPr>
                <w:b/>
                <w:bCs/>
                <w:lang w:val="ro-RO"/>
              </w:rPr>
              <w:t xml:space="preserve">Îmbunătățirea legăturilor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Intervenția oferă beneficii limitate având în vedere raportul beneficiu-cost (</w:t>
      </w:r>
      <w:r w:rsidR="005B1BFA" w:rsidRPr="00E0488D">
        <w:t>RB</w:t>
      </w:r>
      <w:r w:rsidRPr="00E0488D">
        <w:t xml:space="preserve">C) de 0,56. Se estimează că terminalul va genera peste 69.000 de tone de mărfuri intermodale suplimentare până în 2020. Chiar dacă rezultatele modelului sugerează beneficii limitate, acest proiect este de importanță strategică pentru România astfel că este recomandată includerea sa în Master Plan. </w:t>
      </w:r>
    </w:p>
    <w:p w:rsidR="00B4550A" w:rsidRPr="00E0488D" w:rsidRDefault="00B4550A" w:rsidP="00B4550A">
      <w:pPr>
        <w:spacing w:line="276" w:lineRule="auto"/>
        <w:rPr>
          <w:sz w:val="22"/>
          <w:szCs w:val="22"/>
          <w:lang w:val="ro-RO"/>
        </w:rPr>
      </w:pPr>
    </w:p>
    <w:p w:rsidR="00B4550A" w:rsidRPr="00E0488D" w:rsidRDefault="00B4550A" w:rsidP="002B7E09">
      <w:pPr>
        <w:pStyle w:val="NumberedParas"/>
        <w:numPr>
          <w:ilvl w:val="0"/>
          <w:numId w:val="0"/>
        </w:numPr>
        <w:rPr>
          <w:lang w:eastAsia="en-GB"/>
        </w:rPr>
      </w:pPr>
      <w:r w:rsidRPr="00E0488D">
        <w:rPr>
          <w:lang w:eastAsia="en-GB"/>
        </w:rPr>
        <w:t xml:space="preserve">Tabelul  6.34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I-GR-S (W20)</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69.803</w:t>
            </w:r>
          </w:p>
        </w:tc>
      </w:tr>
      <w:tr w:rsidR="00B4550A" w:rsidRPr="00E0488D" w:rsidTr="003C7FC8">
        <w:tc>
          <w:tcPr>
            <w:tcW w:w="3818" w:type="dxa"/>
            <w:vAlign w:val="center"/>
          </w:tcPr>
          <w:p w:rsidR="00B4550A" w:rsidRPr="00E0488D" w:rsidRDefault="00B4550A" w:rsidP="005B1BFA">
            <w:pPr>
              <w:rPr>
                <w:b/>
                <w:lang w:val="ro-RO"/>
              </w:rPr>
            </w:pPr>
            <w:r w:rsidRPr="00E0488D">
              <w:rPr>
                <w:b/>
                <w:lang w:val="ro-RO"/>
              </w:rPr>
              <w:t>VN</w:t>
            </w:r>
            <w:r w:rsidR="005B1BFA"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-5</w:t>
            </w:r>
          </w:p>
        </w:tc>
      </w:tr>
      <w:tr w:rsidR="00B4550A" w:rsidRPr="00E0488D" w:rsidTr="003C7FC8">
        <w:tc>
          <w:tcPr>
            <w:tcW w:w="3818" w:type="dxa"/>
            <w:vAlign w:val="center"/>
          </w:tcPr>
          <w:p w:rsidR="00B4550A" w:rsidRPr="00E0488D" w:rsidRDefault="005B1BFA" w:rsidP="003C7FC8">
            <w:pPr>
              <w:rPr>
                <w:b/>
                <w:lang w:val="ro-RO"/>
              </w:rPr>
            </w:pPr>
            <w:r w:rsidRPr="00E0488D">
              <w:rPr>
                <w:b/>
                <w:lang w:val="ro-RO"/>
              </w:rPr>
              <w:t>RBC</w:t>
            </w:r>
          </w:p>
        </w:tc>
        <w:tc>
          <w:tcPr>
            <w:tcW w:w="1628" w:type="dxa"/>
          </w:tcPr>
          <w:p w:rsidR="00B4550A" w:rsidRPr="00E0488D" w:rsidRDefault="00B4550A" w:rsidP="003C7FC8">
            <w:pPr>
              <w:spacing w:line="276" w:lineRule="auto"/>
              <w:jc w:val="center"/>
              <w:rPr>
                <w:i/>
                <w:u w:val="single"/>
                <w:lang w:val="ro-RO"/>
              </w:rPr>
            </w:pPr>
            <w:r w:rsidRPr="00E0488D">
              <w:rPr>
                <w:lang w:val="ro-RO"/>
              </w:rPr>
              <w:t>0,56</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1,4%</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sz w:val="22"/>
          <w:szCs w:val="22"/>
          <w:u w:val="single"/>
          <w:lang w:val="ro-RO" w:eastAsia="en-GB"/>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APDF Giurgiu, probabil în colaborare cu un operator privat al terminalului. </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B7E09">
      <w:pPr>
        <w:pStyle w:val="NumberedParas"/>
        <w:rPr>
          <w:b/>
        </w:rPr>
      </w:pPr>
      <w:r w:rsidRPr="00E0488D">
        <w:t xml:space="preserve">Implementarea ar putea începe de îndată ce se finalizează procedura de aprobare a proiectului; cu toate acestea, pentru a înregistra cât mai multe beneficii se recomandă ca finalizarea proiectului să fie programată după finalizarea proiectelor de îmbunătățire a navigabilității Fluviului Dunărea (a se vedea mai târziu).  Având în vedere faptul că portul operează containere în prezent, proiectul ar trebui să fie etapizat pentru a răspunde condițiilor dominante pe piață. </w:t>
      </w:r>
    </w:p>
    <w:p w:rsidR="00B4550A" w:rsidRPr="00E0488D" w:rsidRDefault="00B4550A" w:rsidP="00B4550A">
      <w:pPr>
        <w:rPr>
          <w:sz w:val="22"/>
          <w:szCs w:val="22"/>
          <w:lang w:val="ro-RO"/>
        </w:rPr>
      </w:pPr>
      <w:r w:rsidRPr="00E0488D">
        <w:rPr>
          <w:lang w:val="ro-RO"/>
        </w:rPr>
        <w:br w:type="page"/>
      </w:r>
    </w:p>
    <w:p w:rsidR="00B4550A" w:rsidRPr="00E0488D" w:rsidRDefault="00B4550A" w:rsidP="00B4550A">
      <w:pPr>
        <w:spacing w:line="276" w:lineRule="auto"/>
        <w:rPr>
          <w:b/>
          <w:sz w:val="22"/>
          <w:szCs w:val="22"/>
          <w:lang w:val="ro-RO"/>
        </w:rPr>
      </w:pPr>
      <w:r w:rsidRPr="00E0488D">
        <w:rPr>
          <w:b/>
          <w:sz w:val="22"/>
          <w:szCs w:val="22"/>
          <w:lang w:val="ro-RO"/>
        </w:rPr>
        <w:t xml:space="preserve">Lucrări de infrastructură și modernizare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Giurgiu este un port mare de importanță strategică care are Bucureștiul ca parte din hinterland. O parte din infrastructura sa nu mai este potrivită pentru a acomoda cerințe logistice moderne. Această propunere va include:</w:t>
      </w:r>
    </w:p>
    <w:p w:rsidR="00B4550A" w:rsidRPr="00E0488D" w:rsidRDefault="00B4550A" w:rsidP="00BC2B57">
      <w:pPr>
        <w:pStyle w:val="BulletLevel1"/>
      </w:pPr>
      <w:r w:rsidRPr="00E0488D">
        <w:t xml:space="preserve">Modernizarea danelor </w:t>
      </w:r>
      <w:r w:rsidR="005B1BFA" w:rsidRPr="00E0488D">
        <w:t>potrivit proiectului D.A.N.U.B.E – Rețea de acces către Dunăre</w:t>
      </w:r>
    </w:p>
    <w:p w:rsidR="00B4550A" w:rsidRPr="00E0488D" w:rsidRDefault="00B4550A" w:rsidP="00B4550A">
      <w:pPr>
        <w:spacing w:line="276" w:lineRule="auto"/>
        <w:rPr>
          <w:sz w:val="22"/>
          <w:szCs w:val="22"/>
          <w:lang w:val="ro-RO" w:eastAsia="en-GB"/>
        </w:rPr>
      </w:pPr>
      <w:r w:rsidRPr="00E0488D">
        <w:rPr>
          <w:noProof/>
          <w:sz w:val="22"/>
          <w:szCs w:val="22"/>
          <w:lang w:val="ro-RO" w:eastAsia="ro-RO"/>
        </w:rPr>
        <w:drawing>
          <wp:inline distT="0" distB="0" distL="0" distR="0">
            <wp:extent cx="5262880" cy="2668905"/>
            <wp:effectExtent l="19050" t="0" r="0" b="0"/>
            <wp:docPr id="6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5262880" cy="2668905"/>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6.1</w:t>
      </w:r>
      <w:r w:rsidR="005B1BFA" w:rsidRPr="00E0488D">
        <w:rPr>
          <w:b/>
          <w:sz w:val="22"/>
          <w:szCs w:val="22"/>
          <w:lang w:val="ro-RO" w:eastAsia="en-GB"/>
        </w:rPr>
        <w:t>7</w:t>
      </w:r>
      <w:r w:rsidRPr="00E0488D">
        <w:rPr>
          <w:b/>
          <w:sz w:val="22"/>
          <w:szCs w:val="22"/>
          <w:lang w:val="ro-RO" w:eastAsia="en-GB"/>
        </w:rPr>
        <w:t xml:space="preserve"> – Infrastructură și planuri de modernizare la Giurgiu </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Se intenționează creșterea capacității portului de a opera containere dar trebuie asigurat și faptul că infrastructura poate face față. Această intervenție ar atinge următoarele probleme: </w:t>
      </w:r>
    </w:p>
    <w:p w:rsidR="00B4550A" w:rsidRPr="00E0488D" w:rsidRDefault="00B4550A" w:rsidP="00BC2B57">
      <w:pPr>
        <w:pStyle w:val="BulletLevel1"/>
      </w:pPr>
      <w:r w:rsidRPr="00E0488D">
        <w:t xml:space="preserve">Infrastructura învechită care nu este bine echipată pentru nevoile logistice moderne </w:t>
      </w:r>
    </w:p>
    <w:p w:rsidR="00B4550A" w:rsidRPr="00E0488D" w:rsidRDefault="00B4550A" w:rsidP="00BC2B57">
      <w:pPr>
        <w:pStyle w:val="BulletLevel1"/>
      </w:pP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3C7FC8" w:rsidRPr="00E0488D" w:rsidRDefault="003C7FC8" w:rsidP="00BC2B57">
      <w:pPr>
        <w:pStyle w:val="BulletLevel1"/>
      </w:pPr>
      <w:r w:rsidRPr="00E0488D">
        <w:t xml:space="preserve">OW3 – Deblocarea barierelor pentru eficiență operațională </w:t>
      </w:r>
    </w:p>
    <w:p w:rsidR="003C7FC8" w:rsidRPr="00E0488D" w:rsidRDefault="003C7FC8" w:rsidP="00BC2B57">
      <w:pPr>
        <w:pStyle w:val="BulletLevel1"/>
      </w:pPr>
      <w:r w:rsidRPr="00E0488D">
        <w:t xml:space="preserve">OW4 – Reducerea costurilor prin eficiență operațională </w:t>
      </w:r>
    </w:p>
    <w:p w:rsidR="003C7FC8" w:rsidRPr="00E0488D" w:rsidRDefault="003C7FC8"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BC2B57">
      <w:pPr>
        <w:pStyle w:val="BulletLevel1"/>
      </w:pPr>
      <w:r w:rsidRPr="00E0488D">
        <w:t xml:space="preserve">Această propunere s-ar adresa tuturor operațiunilor din Giurgiu, inclusiv operării de cereale și cereale. </w:t>
      </w:r>
    </w:p>
    <w:p w:rsidR="00B4550A" w:rsidRPr="00E0488D" w:rsidRDefault="00B4550A" w:rsidP="00BC2B57">
      <w:pPr>
        <w:pStyle w:val="BulletLevel1"/>
      </w:pP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6.35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5B1BFA">
            <w:pPr>
              <w:spacing w:before="120" w:line="276" w:lineRule="auto"/>
              <w:rPr>
                <w:b/>
                <w:bCs/>
                <w:lang w:val="ro-RO"/>
              </w:rPr>
            </w:pPr>
            <w:r w:rsidRPr="00E0488D">
              <w:rPr>
                <w:b/>
                <w:bCs/>
                <w:lang w:val="ro-RO"/>
              </w:rPr>
              <w:t>C</w:t>
            </w:r>
            <w:r w:rsidR="005B1BFA" w:rsidRPr="00E0488D">
              <w:rPr>
                <w:b/>
                <w:bCs/>
                <w:lang w:val="ro-RO"/>
              </w:rPr>
              <w:t>ost</w:t>
            </w:r>
          </w:p>
        </w:tc>
        <w:tc>
          <w:tcPr>
            <w:tcW w:w="1330" w:type="pct"/>
            <w:vAlign w:val="center"/>
          </w:tcPr>
          <w:p w:rsidR="00B4550A" w:rsidRPr="00E0488D" w:rsidRDefault="005B1BFA" w:rsidP="003C7FC8">
            <w:pPr>
              <w:spacing w:before="120" w:line="276" w:lineRule="auto"/>
              <w:jc w:val="center"/>
              <w:rPr>
                <w:b/>
                <w:bCs/>
                <w:lang w:val="ro-RO"/>
              </w:rPr>
            </w:pPr>
            <w:r w:rsidRPr="00E0488D">
              <w:rPr>
                <w:b/>
                <w:bCs/>
                <w:lang w:val="ro-RO"/>
              </w:rPr>
              <w:t>4,3</w:t>
            </w:r>
          </w:p>
        </w:tc>
        <w:tc>
          <w:tcPr>
            <w:tcW w:w="2948" w:type="pct"/>
          </w:tcPr>
          <w:p w:rsidR="00B4550A" w:rsidRPr="00E0488D" w:rsidRDefault="005B1BFA" w:rsidP="003C7FC8">
            <w:pPr>
              <w:spacing w:before="120" w:line="276" w:lineRule="auto"/>
              <w:rPr>
                <w:b/>
                <w:bCs/>
                <w:lang w:val="ro-RO"/>
              </w:rPr>
            </w:pPr>
            <w:r w:rsidRPr="00E0488D">
              <w:rPr>
                <w:b/>
                <w:bCs/>
                <w:lang w:val="ro-RO"/>
              </w:rPr>
              <w:t>Reabilitarea danelor</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Intervenția garantează beneficii satisfăcătoare cu un raport beneficiu-cost (</w:t>
      </w:r>
      <w:r w:rsidR="005B1BFA" w:rsidRPr="00E0488D">
        <w:t>RB</w:t>
      </w:r>
      <w:r w:rsidRPr="00E0488D">
        <w:t xml:space="preserve">C) de 17,53. Se estimează că propunerea va genera peste 54.000 de tone de transport suplimentare până în 2020. Se recomandă includerea acestui proiect în cadrul Master Planului. </w:t>
      </w:r>
    </w:p>
    <w:p w:rsidR="00B4550A" w:rsidRPr="00E0488D" w:rsidRDefault="00B4550A" w:rsidP="002B7E09">
      <w:pPr>
        <w:pStyle w:val="NumberedParas"/>
        <w:numPr>
          <w:ilvl w:val="0"/>
          <w:numId w:val="0"/>
        </w:numPr>
        <w:rPr>
          <w:lang w:eastAsia="en-GB"/>
        </w:rPr>
      </w:pPr>
      <w:r w:rsidRPr="00E0488D">
        <w:rPr>
          <w:lang w:eastAsia="en-GB"/>
        </w:rPr>
        <w:t xml:space="preserve">Tabelul  6.36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P-GR-S (W37)</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54.372</w:t>
            </w:r>
          </w:p>
        </w:tc>
      </w:tr>
      <w:tr w:rsidR="00B4550A" w:rsidRPr="00E0488D" w:rsidTr="003C7FC8">
        <w:tc>
          <w:tcPr>
            <w:tcW w:w="3818" w:type="dxa"/>
            <w:vAlign w:val="center"/>
          </w:tcPr>
          <w:p w:rsidR="00B4550A" w:rsidRPr="00E0488D" w:rsidRDefault="00B4550A" w:rsidP="005B1BFA">
            <w:pPr>
              <w:rPr>
                <w:b/>
                <w:lang w:val="ro-RO"/>
              </w:rPr>
            </w:pPr>
            <w:r w:rsidRPr="00E0488D">
              <w:rPr>
                <w:b/>
                <w:lang w:val="ro-RO"/>
              </w:rPr>
              <w:t>VN</w:t>
            </w:r>
            <w:r w:rsidR="005B1BFA"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46</w:t>
            </w:r>
          </w:p>
        </w:tc>
      </w:tr>
      <w:tr w:rsidR="00B4550A" w:rsidRPr="00E0488D" w:rsidTr="003C7FC8">
        <w:tc>
          <w:tcPr>
            <w:tcW w:w="3818" w:type="dxa"/>
            <w:vAlign w:val="center"/>
          </w:tcPr>
          <w:p w:rsidR="00B4550A" w:rsidRPr="00E0488D" w:rsidRDefault="00A87AD5" w:rsidP="003C7FC8">
            <w:pPr>
              <w:rPr>
                <w:b/>
                <w:lang w:val="ro-RO"/>
              </w:rPr>
            </w:pPr>
            <w:r w:rsidRPr="00E0488D">
              <w:rPr>
                <w:b/>
                <w:lang w:val="ro-RO"/>
              </w:rPr>
              <w:t>RB</w:t>
            </w:r>
            <w:r w:rsidR="00B4550A" w:rsidRPr="00E0488D">
              <w:rPr>
                <w:b/>
                <w:lang w:val="ro-RO"/>
              </w:rPr>
              <w:t>C</w:t>
            </w:r>
          </w:p>
        </w:tc>
        <w:tc>
          <w:tcPr>
            <w:tcW w:w="1628" w:type="dxa"/>
          </w:tcPr>
          <w:p w:rsidR="00B4550A" w:rsidRPr="00E0488D" w:rsidRDefault="00B4550A" w:rsidP="003C7FC8">
            <w:pPr>
              <w:spacing w:line="276" w:lineRule="auto"/>
              <w:jc w:val="center"/>
              <w:rPr>
                <w:i/>
                <w:u w:val="single"/>
                <w:lang w:val="ro-RO"/>
              </w:rPr>
            </w:pPr>
            <w:r w:rsidRPr="00E0488D">
              <w:rPr>
                <w:lang w:val="ro-RO"/>
              </w:rPr>
              <w:t>17,53</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24,3%</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u w:val="single"/>
          <w:lang w:val="ro-RO" w:eastAsia="en-GB"/>
        </w:rPr>
      </w:pPr>
    </w:p>
    <w:p w:rsidR="00B4550A" w:rsidRPr="00E0488D" w:rsidRDefault="00A74DEB" w:rsidP="00B4550A">
      <w:pPr>
        <w:spacing w:line="276" w:lineRule="auto"/>
        <w:rPr>
          <w:i/>
          <w:u w:val="single"/>
          <w:lang w:val="ro-RO" w:eastAsia="en-GB"/>
        </w:rPr>
      </w:pPr>
      <w:r w:rsidRPr="00E0488D">
        <w:rPr>
          <w:i/>
          <w:noProof/>
          <w:u w:val="single"/>
          <w:lang w:val="ro-RO" w:eastAsia="ro-RO"/>
        </w:rPr>
        <w:drawing>
          <wp:inline distT="0" distB="0" distL="0" distR="0">
            <wp:extent cx="4733430" cy="2303813"/>
            <wp:effectExtent l="19050" t="0" r="10020" b="1237"/>
            <wp:docPr id="1"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6.18 –Tone </w:t>
      </w:r>
      <w:r w:rsidR="00A74DEB" w:rsidRPr="00E0488D">
        <w:rPr>
          <w:b/>
          <w:sz w:val="22"/>
          <w:szCs w:val="22"/>
          <w:lang w:val="ro-RO" w:eastAsia="en-GB"/>
        </w:rPr>
        <w:t xml:space="preserve">marfă </w:t>
      </w:r>
      <w:r w:rsidRPr="00E0488D">
        <w:rPr>
          <w:b/>
          <w:sz w:val="22"/>
          <w:szCs w:val="22"/>
          <w:lang w:val="ro-RO" w:eastAsia="en-GB"/>
        </w:rPr>
        <w:t>operate în portul Giurgiu în perioada 2007-2011 și estimările pentru 2020</w:t>
      </w:r>
    </w:p>
    <w:p w:rsidR="00B4550A" w:rsidRPr="00E0488D" w:rsidRDefault="00B4550A" w:rsidP="00B4550A">
      <w:pPr>
        <w:spacing w:line="276" w:lineRule="auto"/>
        <w:rPr>
          <w:i/>
          <w:u w:val="single"/>
          <w:lang w:val="ro-RO" w:eastAsia="en-GB"/>
        </w:rPr>
      </w:pPr>
    </w:p>
    <w:p w:rsidR="00B4550A" w:rsidRPr="00E0488D" w:rsidRDefault="00A87AD5" w:rsidP="002B7E09">
      <w:pPr>
        <w:pStyle w:val="NumberedParas"/>
        <w:rPr>
          <w:lang w:eastAsia="en-GB"/>
        </w:rPr>
      </w:pPr>
      <w:r w:rsidRPr="00E0488D">
        <w:rPr>
          <w:lang w:eastAsia="en-GB"/>
        </w:rPr>
        <w:t xml:space="preserve">Conform cifrelor exprimate, portul Giurgiu are o capacitate teoretică maximă de 2.5 milioane de </w:t>
      </w:r>
      <w:r w:rsidR="001205D0">
        <w:rPr>
          <w:lang w:eastAsia="en-GB"/>
        </w:rPr>
        <w:t>t</w:t>
      </w:r>
      <w:r w:rsidRPr="00E0488D">
        <w:rPr>
          <w:lang w:eastAsia="en-GB"/>
        </w:rPr>
        <w:t xml:space="preserve">one pe an. Portul nu atinge acest nivel deoarece infrastructura curentă nu este adecvată. </w:t>
      </w:r>
      <w:r w:rsidR="00804426" w:rsidRPr="00E0488D">
        <w:rPr>
          <w:lang w:eastAsia="en-GB"/>
        </w:rPr>
        <w:t xml:space="preserve">Renovarea terminalului și înlocuirea </w:t>
      </w:r>
      <w:r w:rsidR="001205D0" w:rsidRPr="00E0488D">
        <w:rPr>
          <w:lang w:eastAsia="en-GB"/>
        </w:rPr>
        <w:t>echipamentelor</w:t>
      </w:r>
      <w:r w:rsidR="00804426" w:rsidRPr="00E0488D">
        <w:rPr>
          <w:lang w:eastAsia="en-GB"/>
        </w:rPr>
        <w:t xml:space="preserve"> va ajuta la creșterea volumelor de mărfuri operate în port.</w:t>
      </w:r>
    </w:p>
    <w:p w:rsidR="00B4550A" w:rsidRPr="00E0488D" w:rsidRDefault="00B4550A" w:rsidP="002B7E09">
      <w:pPr>
        <w:pStyle w:val="NumberedParas"/>
        <w:numPr>
          <w:ilvl w:val="0"/>
          <w:numId w:val="0"/>
        </w:numPr>
        <w:rPr>
          <w:lang w:eastAsia="en-GB"/>
        </w:rPr>
      </w:pPr>
      <w:r w:rsidRPr="00E0488D">
        <w:rPr>
          <w:lang w:eastAsia="en-GB"/>
        </w:rPr>
        <w:t>Tabelul  6.37 – Utilizarea prognozată a portului Giurgiu</w:t>
      </w:r>
    </w:p>
    <w:tbl>
      <w:tblPr>
        <w:tblW w:w="678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141"/>
        <w:gridCol w:w="987"/>
        <w:gridCol w:w="266"/>
        <w:gridCol w:w="1135"/>
        <w:gridCol w:w="1199"/>
        <w:gridCol w:w="960"/>
      </w:tblGrid>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2128"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59"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 </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58%</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126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48%</w:t>
            </w:r>
          </w:p>
        </w:tc>
        <w:tc>
          <w:tcPr>
            <w:tcW w:w="266" w:type="dxa"/>
            <w:shd w:val="clear" w:color="000000" w:fill="25406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90%</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29%</w:t>
            </w:r>
          </w:p>
        </w:tc>
      </w:tr>
      <w:tr w:rsidR="00B4550A" w:rsidRPr="00E0488D" w:rsidTr="003C7FC8">
        <w:trPr>
          <w:trHeight w:val="300"/>
        </w:trPr>
        <w:tc>
          <w:tcPr>
            <w:tcW w:w="1116" w:type="dxa"/>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1205D0"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52%</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69%</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47%</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31%</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05%</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87%</w:t>
            </w:r>
          </w:p>
        </w:tc>
      </w:tr>
    </w:tbl>
    <w:p w:rsidR="00B4550A" w:rsidRPr="00E0488D" w:rsidRDefault="00840CCC" w:rsidP="002B7E09">
      <w:pPr>
        <w:pStyle w:val="NumberedParas"/>
        <w:rPr>
          <w:lang w:eastAsia="en-GB"/>
        </w:rPr>
      </w:pPr>
      <w:r w:rsidRPr="00E0488D">
        <w:rPr>
          <w:lang w:eastAsia="en-GB"/>
        </w:rPr>
        <w:t xml:space="preserve">Datele din tabel arată faptul că modernizarea și retehnologizarea terminalului vor ajuta la creșterea capacității portului astfel deficitul de capacitate prognozat nu va mai reprezenta o problemă. </w:t>
      </w:r>
    </w:p>
    <w:p w:rsidR="00B4550A" w:rsidRPr="00E0488D" w:rsidRDefault="00B4550A" w:rsidP="00B4550A">
      <w:pPr>
        <w:spacing w:line="276" w:lineRule="auto"/>
        <w:rPr>
          <w:i/>
          <w:u w:val="single"/>
          <w:lang w:val="ro-RO" w:eastAsia="en-GB"/>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APDF Giurgiu, probabil în colaborare cu un operator privat al terminalului. </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pPr>
      <w:r w:rsidRPr="00E0488D">
        <w:t xml:space="preserve">Implementarea ar putea începe imediat după aprobarea proiectului; totuși pentru obținerea unor beneficii maxime se recomandă ca finalizarea proiectului să fie programată după finalizarea proiectelor de îmbunătățire a navigabilității pe Fluviul Dunărea (a se vedea mai târziu). </w:t>
      </w:r>
    </w:p>
    <w:p w:rsidR="00B4550A" w:rsidRPr="00E0488D" w:rsidRDefault="00B4550A" w:rsidP="002B7E09">
      <w:pPr>
        <w:pStyle w:val="NumberedParas"/>
        <w:numPr>
          <w:ilvl w:val="0"/>
          <w:numId w:val="0"/>
        </w:numPr>
        <w:ind w:left="1531"/>
      </w:pPr>
    </w:p>
    <w:p w:rsidR="00B4550A" w:rsidRPr="00E0488D" w:rsidRDefault="00B4550A" w:rsidP="00B4550A">
      <w:pPr>
        <w:spacing w:line="276" w:lineRule="auto"/>
        <w:rPr>
          <w:b/>
          <w:sz w:val="22"/>
          <w:szCs w:val="22"/>
          <w:lang w:val="ro-RO"/>
        </w:rPr>
      </w:pPr>
      <w:r w:rsidRPr="00E0488D">
        <w:rPr>
          <w:b/>
          <w:sz w:val="22"/>
          <w:szCs w:val="22"/>
          <w:lang w:val="ro-RO"/>
        </w:rPr>
        <w:t>Corabia:</w:t>
      </w:r>
    </w:p>
    <w:p w:rsidR="00B4550A" w:rsidRPr="00E0488D" w:rsidRDefault="00B4550A" w:rsidP="00B4550A">
      <w:pPr>
        <w:spacing w:line="276" w:lineRule="auto"/>
        <w:rPr>
          <w:b/>
          <w:sz w:val="22"/>
          <w:szCs w:val="22"/>
          <w:lang w:val="ro-RO"/>
        </w:rPr>
      </w:pPr>
      <w:r w:rsidRPr="00E0488D">
        <w:rPr>
          <w:b/>
          <w:sz w:val="22"/>
          <w:szCs w:val="22"/>
          <w:lang w:val="ro-RO"/>
        </w:rPr>
        <w:t xml:space="preserve">Modernizarea și reabilitarea infrastructurii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Corabia are un amplasament bun dar, în prezent, operează </w:t>
      </w:r>
      <w:r w:rsidR="00840CCC" w:rsidRPr="00E0488D">
        <w:t>un volum mic</w:t>
      </w:r>
      <w:r w:rsidRPr="00E0488D">
        <w:t xml:space="preserve"> de mărfuri și este într-o stare avansată de uzură, cu excepția unor facilități pentru transportul și depozitarea cerealelor. Această propunere presupune reabilitarea infrastructurii uzate și modernizarea pentru a putea răspunde practicilor logistice moderne. Mai precis, propunerea include: </w:t>
      </w:r>
    </w:p>
    <w:p w:rsidR="00B4550A" w:rsidRPr="00E0488D" w:rsidRDefault="00B4550A" w:rsidP="00BC2B57">
      <w:pPr>
        <w:pStyle w:val="BulletLevel1"/>
      </w:pPr>
      <w:r w:rsidRPr="00E0488D">
        <w:t xml:space="preserve">Reabilitarea danelor </w:t>
      </w:r>
    </w:p>
    <w:p w:rsidR="00B4550A" w:rsidRPr="00E0488D" w:rsidRDefault="00B4550A" w:rsidP="00BC2B57">
      <w:pPr>
        <w:pStyle w:val="BulletLevel1"/>
      </w:pPr>
      <w:r w:rsidRPr="00E0488D">
        <w:t xml:space="preserve">Lucrări de remediere pentru o parte din infrastructură </w:t>
      </w:r>
    </w:p>
    <w:p w:rsidR="00B4550A" w:rsidRPr="00E0488D" w:rsidRDefault="00B4550A" w:rsidP="00BC2B57">
      <w:pPr>
        <w:pStyle w:val="BulletLevel1"/>
      </w:pPr>
      <w:r w:rsidRPr="00E0488D">
        <w:t xml:space="preserve">Modernizare pentru acomodarea cerințelor logistice moderne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Problemele atinse de această propunere sunt:</w:t>
      </w:r>
    </w:p>
    <w:p w:rsidR="00B4550A" w:rsidRPr="00E0488D" w:rsidRDefault="00B4550A" w:rsidP="00BC2B57">
      <w:pPr>
        <w:pStyle w:val="BulletLevel1"/>
      </w:pPr>
      <w:r w:rsidRPr="00E0488D">
        <w:t xml:space="preserve">Modernizarea va atrage alte fluxuri de transport ceea ce va duce la creșterea numărului de tone operate de port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3C7FC8" w:rsidRPr="00E0488D" w:rsidRDefault="003C7FC8" w:rsidP="00BC2B57">
      <w:pPr>
        <w:pStyle w:val="BulletLevel1"/>
      </w:pPr>
      <w:r w:rsidRPr="00E0488D">
        <w:t xml:space="preserve">OW3 – Deblocarea barierelor pentru eficiență operațională </w:t>
      </w:r>
    </w:p>
    <w:p w:rsidR="003C7FC8" w:rsidRPr="00E0488D" w:rsidRDefault="003C7FC8" w:rsidP="00BC2B57">
      <w:pPr>
        <w:pStyle w:val="BulletLevel1"/>
      </w:pPr>
      <w:r w:rsidRPr="00E0488D">
        <w:t xml:space="preserve">OW4 – Reducerea costurilor prin eficiență operațională </w:t>
      </w:r>
    </w:p>
    <w:p w:rsidR="003C7FC8" w:rsidRPr="00E0488D" w:rsidRDefault="003C7FC8"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 xml:space="preserve">Această propunere ar aduce beneficii operațiunilor curente cu cereale și cereale din portul Corabia dar și altor potențiale mărfuri identificate în studiul de fezabilitate.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faptul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6.38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r w:rsidRPr="00E0488D">
              <w:rPr>
                <w:b/>
                <w:bCs/>
                <w:lang w:val="ro-RO"/>
              </w:rPr>
              <w:t>l</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840CCC" w:rsidP="003C7FC8">
            <w:pPr>
              <w:spacing w:before="120" w:line="276" w:lineRule="auto"/>
              <w:rPr>
                <w:b/>
                <w:bCs/>
                <w:lang w:val="ro-RO"/>
              </w:rPr>
            </w:pPr>
            <w:r w:rsidRPr="00E0488D">
              <w:rPr>
                <w:b/>
                <w:bCs/>
                <w:lang w:val="ro-RO"/>
              </w:rPr>
              <w:t>Cost</w:t>
            </w:r>
          </w:p>
        </w:tc>
        <w:tc>
          <w:tcPr>
            <w:tcW w:w="1330" w:type="pct"/>
            <w:vAlign w:val="center"/>
          </w:tcPr>
          <w:p w:rsidR="00B4550A" w:rsidRPr="00E0488D" w:rsidRDefault="00840CCC" w:rsidP="003C7FC8">
            <w:pPr>
              <w:spacing w:before="120" w:line="276" w:lineRule="auto"/>
              <w:jc w:val="center"/>
              <w:rPr>
                <w:b/>
                <w:bCs/>
                <w:lang w:val="ro-RO"/>
              </w:rPr>
            </w:pPr>
            <w:r w:rsidRPr="00E0488D">
              <w:rPr>
                <w:b/>
                <w:bCs/>
                <w:lang w:val="ro-RO"/>
              </w:rPr>
              <w:t>4,5</w:t>
            </w:r>
          </w:p>
        </w:tc>
        <w:tc>
          <w:tcPr>
            <w:tcW w:w="2948" w:type="pct"/>
          </w:tcPr>
          <w:p w:rsidR="00B4550A" w:rsidRPr="00E0488D" w:rsidRDefault="00B4550A" w:rsidP="003C7FC8">
            <w:pPr>
              <w:spacing w:before="120" w:line="276" w:lineRule="auto"/>
              <w:rPr>
                <w:b/>
                <w:bCs/>
                <w:lang w:val="ro-RO"/>
              </w:rPr>
            </w:pPr>
            <w:r w:rsidRPr="00E0488D">
              <w:rPr>
                <w:b/>
                <w:bCs/>
                <w:lang w:val="ro-RO"/>
              </w:rPr>
              <w:t>Dane reabilitate</w:t>
            </w:r>
          </w:p>
          <w:p w:rsidR="00B4550A" w:rsidRPr="00E0488D" w:rsidRDefault="00B4550A" w:rsidP="003C7FC8">
            <w:pPr>
              <w:spacing w:before="120" w:line="276" w:lineRule="auto"/>
              <w:rPr>
                <w:b/>
                <w:bCs/>
                <w:lang w:val="ro-RO"/>
              </w:rPr>
            </w:pPr>
            <w:r w:rsidRPr="00E0488D">
              <w:rPr>
                <w:b/>
                <w:bCs/>
                <w:lang w:val="ro-RO"/>
              </w:rPr>
              <w:t xml:space="preserve">Infrastructură modernizată și modernizată </w:t>
            </w:r>
          </w:p>
          <w:p w:rsidR="00B4550A" w:rsidRPr="00E0488D" w:rsidRDefault="00B4550A" w:rsidP="003C7FC8">
            <w:pPr>
              <w:spacing w:before="120" w:line="276" w:lineRule="auto"/>
              <w:rPr>
                <w:b/>
                <w:bCs/>
                <w:lang w:val="ro-RO"/>
              </w:rPr>
            </w:pP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Intervenția oferă beneficii satisfăcătoare cu un raport beneficiu-cost (</w:t>
      </w:r>
      <w:r w:rsidR="00840CCC" w:rsidRPr="00E0488D">
        <w:t>RB</w:t>
      </w:r>
      <w:r w:rsidRPr="00E0488D">
        <w:t xml:space="preserve">C) de 11,04. Se estimează că propunerea va genera peste 73.000 de tone de mărfuri suplimentare până în 2020. Se recomandă includerea acestui proiect în Master Plan. </w:t>
      </w:r>
    </w:p>
    <w:p w:rsidR="00B4550A" w:rsidRPr="00E0488D" w:rsidRDefault="00B4550A" w:rsidP="002B7E09">
      <w:pPr>
        <w:pStyle w:val="NumberedParas"/>
        <w:numPr>
          <w:ilvl w:val="0"/>
          <w:numId w:val="0"/>
        </w:numPr>
        <w:rPr>
          <w:lang w:eastAsia="en-GB"/>
        </w:rPr>
      </w:pPr>
      <w:r w:rsidRPr="00E0488D">
        <w:rPr>
          <w:lang w:eastAsia="en-GB"/>
        </w:rPr>
        <w:t xml:space="preserve">Tabelul  6.39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P-CB-S (W32)</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73.848</w:t>
            </w:r>
          </w:p>
        </w:tc>
      </w:tr>
      <w:tr w:rsidR="00B4550A" w:rsidRPr="00E0488D" w:rsidTr="003C7FC8">
        <w:tc>
          <w:tcPr>
            <w:tcW w:w="3818" w:type="dxa"/>
            <w:vAlign w:val="center"/>
          </w:tcPr>
          <w:p w:rsidR="00B4550A" w:rsidRPr="00E0488D" w:rsidRDefault="00840CCC" w:rsidP="003C7FC8">
            <w:pPr>
              <w:rPr>
                <w:b/>
                <w:lang w:val="ro-RO"/>
              </w:rPr>
            </w:pPr>
            <w:r w:rsidRPr="00E0488D">
              <w:rPr>
                <w:b/>
                <w:lang w:val="ro-RO"/>
              </w:rPr>
              <w:t>VNA</w:t>
            </w:r>
            <w:r w:rsidR="00B4550A"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29</w:t>
            </w:r>
          </w:p>
        </w:tc>
      </w:tr>
      <w:tr w:rsidR="00B4550A" w:rsidRPr="00E0488D" w:rsidTr="003C7FC8">
        <w:tc>
          <w:tcPr>
            <w:tcW w:w="3818" w:type="dxa"/>
            <w:vAlign w:val="center"/>
          </w:tcPr>
          <w:p w:rsidR="00B4550A" w:rsidRPr="00E0488D" w:rsidRDefault="00840CCC" w:rsidP="003C7FC8">
            <w:pPr>
              <w:rPr>
                <w:b/>
                <w:lang w:val="ro-RO"/>
              </w:rPr>
            </w:pPr>
            <w:r w:rsidRPr="00E0488D">
              <w:rPr>
                <w:b/>
                <w:lang w:val="ro-RO"/>
              </w:rPr>
              <w:t>RBC</w:t>
            </w:r>
          </w:p>
        </w:tc>
        <w:tc>
          <w:tcPr>
            <w:tcW w:w="1628" w:type="dxa"/>
          </w:tcPr>
          <w:p w:rsidR="00B4550A" w:rsidRPr="00E0488D" w:rsidRDefault="00B4550A" w:rsidP="003C7FC8">
            <w:pPr>
              <w:spacing w:line="276" w:lineRule="auto"/>
              <w:jc w:val="center"/>
              <w:rPr>
                <w:i/>
                <w:u w:val="single"/>
                <w:lang w:val="ro-RO"/>
              </w:rPr>
            </w:pPr>
            <w:r w:rsidRPr="00E0488D">
              <w:rPr>
                <w:lang w:val="ro-RO"/>
              </w:rPr>
              <w:t>11,04</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25,1%</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u w:val="single"/>
          <w:lang w:val="ro-RO" w:eastAsia="en-GB"/>
        </w:rPr>
      </w:pPr>
    </w:p>
    <w:p w:rsidR="00B4550A" w:rsidRPr="00E0488D" w:rsidRDefault="00447592" w:rsidP="00B4550A">
      <w:pPr>
        <w:spacing w:line="276" w:lineRule="auto"/>
        <w:rPr>
          <w:i/>
          <w:u w:val="single"/>
          <w:lang w:val="ro-RO" w:eastAsia="en-GB"/>
        </w:rPr>
      </w:pPr>
      <w:r w:rsidRPr="00E0488D">
        <w:rPr>
          <w:i/>
          <w:noProof/>
          <w:u w:val="single"/>
          <w:lang w:val="ro-RO" w:eastAsia="ro-RO"/>
        </w:rPr>
        <w:drawing>
          <wp:inline distT="0" distB="0" distL="0" distR="0">
            <wp:extent cx="4570796" cy="2066306"/>
            <wp:effectExtent l="19050" t="0" r="20254" b="0"/>
            <wp:docPr id="5"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6.19 –Tone</w:t>
      </w:r>
      <w:r w:rsidR="00447592" w:rsidRPr="00E0488D">
        <w:rPr>
          <w:b/>
          <w:sz w:val="22"/>
          <w:szCs w:val="22"/>
          <w:lang w:val="ro-RO" w:eastAsia="en-GB"/>
        </w:rPr>
        <w:t xml:space="preserve"> marfă </w:t>
      </w:r>
      <w:r w:rsidRPr="00E0488D">
        <w:rPr>
          <w:b/>
          <w:sz w:val="22"/>
          <w:szCs w:val="22"/>
          <w:lang w:val="ro-RO" w:eastAsia="en-GB"/>
        </w:rPr>
        <w:t>operate în portul Corabia în perioada 2007-2011 și estimările pentru 2020</w:t>
      </w:r>
    </w:p>
    <w:p w:rsidR="00B4550A" w:rsidRPr="00E0488D" w:rsidRDefault="00B4550A" w:rsidP="00B4550A">
      <w:pPr>
        <w:spacing w:line="276" w:lineRule="auto"/>
        <w:rPr>
          <w:i/>
          <w:sz w:val="22"/>
          <w:szCs w:val="22"/>
          <w:u w:val="single"/>
          <w:lang w:val="ro-RO" w:eastAsia="en-GB"/>
        </w:rPr>
      </w:pPr>
    </w:p>
    <w:p w:rsidR="00B4550A" w:rsidRPr="00E0488D" w:rsidRDefault="00B4550A" w:rsidP="002B7E09">
      <w:pPr>
        <w:pStyle w:val="NumberedParas"/>
        <w:numPr>
          <w:ilvl w:val="0"/>
          <w:numId w:val="0"/>
        </w:numPr>
        <w:rPr>
          <w:lang w:eastAsia="en-GB"/>
        </w:rPr>
      </w:pPr>
      <w:r w:rsidRPr="00E0488D">
        <w:rPr>
          <w:lang w:eastAsia="en-GB"/>
        </w:rPr>
        <w:t>Tabelul  6.40 – Utilizarea prognozată a portului Corabia</w:t>
      </w:r>
    </w:p>
    <w:tbl>
      <w:tblPr>
        <w:tblW w:w="678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r>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58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21%</w:t>
            </w:r>
          </w:p>
        </w:tc>
        <w:tc>
          <w:tcPr>
            <w:tcW w:w="987"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107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16%</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99"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12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16%</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20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76%</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Cereale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54%</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03%</w:t>
            </w:r>
          </w:p>
        </w:tc>
      </w:tr>
    </w:tbl>
    <w:p w:rsidR="0078272C" w:rsidRPr="00E0488D" w:rsidRDefault="0078272C" w:rsidP="002B7E09">
      <w:pPr>
        <w:pStyle w:val="NumberedParas"/>
        <w:rPr>
          <w:bCs/>
          <w:i/>
          <w:u w:val="single"/>
        </w:rPr>
      </w:pPr>
      <w:r w:rsidRPr="00E0488D">
        <w:t xml:space="preserve">Datele din tabel arată faptul că modernizarea și reabilitarea infrastructurii portului Corabia va crește eficiența portului prin îmbunătățirea capacității acestuia astfel încât problemele de capacitate prognozate în viitor vor fi rezolvate.  </w:t>
      </w:r>
    </w:p>
    <w:p w:rsidR="00B4550A" w:rsidRPr="00E0488D" w:rsidRDefault="00B4550A" w:rsidP="002B7E09">
      <w:pPr>
        <w:pStyle w:val="NumberedParas"/>
        <w:numPr>
          <w:ilvl w:val="0"/>
          <w:numId w:val="0"/>
        </w:numPr>
      </w:pPr>
      <w:r w:rsidRPr="00E0488D">
        <w:t>Unitatea de implementare:</w:t>
      </w:r>
    </w:p>
    <w:p w:rsidR="00B4550A" w:rsidRPr="00E0488D" w:rsidRDefault="00B4550A" w:rsidP="002B7E09">
      <w:pPr>
        <w:pStyle w:val="NumberedParas"/>
      </w:pPr>
      <w:r w:rsidRPr="00E0488D">
        <w:t xml:space="preserve">Acest proiect ar trebui să fie implementat de APDF Giurgiu, posibil în cooperare cu un operator privat al terminalului. </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pPr>
      <w:r w:rsidRPr="00E0488D">
        <w:t>Această implementare ar putea fi începută imediat după finalizarea aprobării proiectului, cu toate acestea, pentru atingerea unor beneficii maxime se recomandă ca finalizarea proiectului să fie programată după terminarea lucrărilor de îmbunătățire a navi</w:t>
      </w:r>
      <w:r w:rsidR="0078272C" w:rsidRPr="00E0488D">
        <w:t>gabilității pe Fluviul Dunărea</w:t>
      </w:r>
      <w:r w:rsidRPr="00E0488D">
        <w:t xml:space="preserve">. </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Calafat:</w:t>
      </w:r>
    </w:p>
    <w:p w:rsidR="00B4550A" w:rsidRPr="00E0488D" w:rsidRDefault="00B4550A" w:rsidP="00B4550A">
      <w:pPr>
        <w:spacing w:line="276" w:lineRule="auto"/>
        <w:rPr>
          <w:b/>
          <w:sz w:val="22"/>
          <w:szCs w:val="22"/>
          <w:lang w:val="ro-RO"/>
        </w:rPr>
      </w:pPr>
      <w:r w:rsidRPr="00E0488D">
        <w:rPr>
          <w:b/>
          <w:sz w:val="22"/>
          <w:szCs w:val="22"/>
          <w:lang w:val="ro-RO"/>
        </w:rPr>
        <w:t>Dezvoltarea infrastructurii de operare a mărfurilor</w:t>
      </w:r>
      <w:r w:rsidR="0078272C" w:rsidRPr="00E0488D">
        <w:rPr>
          <w:b/>
          <w:sz w:val="22"/>
          <w:szCs w:val="22"/>
          <w:lang w:val="ro-RO"/>
        </w:rPr>
        <w:t xml:space="preserve"> vrac</w:t>
      </w:r>
      <w:r w:rsidRPr="00E0488D">
        <w:rPr>
          <w:b/>
          <w:sz w:val="22"/>
          <w:szCs w:val="22"/>
          <w:lang w:val="ro-RO"/>
        </w:rPr>
        <w:t xml:space="preserve"> solid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Corabia este legată de Vidin, Bulgaria și portul este amplasat lângă podul nou deschis. Pentru maximizarea beneficiilor acestei noi legături cu portul este nevoie de dezvoltarea infrastructurii de operare. Propunerea ar include: </w:t>
      </w:r>
    </w:p>
    <w:p w:rsidR="00B4550A" w:rsidRPr="00E0488D" w:rsidRDefault="00B4550A" w:rsidP="00BC2B57">
      <w:pPr>
        <w:pStyle w:val="BulletLevel1"/>
      </w:pPr>
      <w:r w:rsidRPr="00E0488D">
        <w:t xml:space="preserve">Renovarea și extinderea danelor </w:t>
      </w:r>
    </w:p>
    <w:p w:rsidR="00B4550A" w:rsidRPr="00E0488D" w:rsidRDefault="00B4550A" w:rsidP="00BC2B57">
      <w:pPr>
        <w:pStyle w:val="BulletLevel1"/>
      </w:pPr>
      <w:r w:rsidRPr="00E0488D">
        <w:t xml:space="preserve">Construcția unor dane noi pentru noile volume de transport </w:t>
      </w:r>
    </w:p>
    <w:p w:rsidR="00B4550A" w:rsidRPr="00E0488D" w:rsidRDefault="00B4550A" w:rsidP="00B4550A">
      <w:pPr>
        <w:spacing w:line="276" w:lineRule="auto"/>
        <w:rPr>
          <w:sz w:val="22"/>
          <w:szCs w:val="22"/>
          <w:lang w:val="ro-RO" w:eastAsia="en-GB"/>
        </w:rPr>
      </w:pPr>
      <w:r w:rsidRPr="00E0488D">
        <w:rPr>
          <w:noProof/>
          <w:sz w:val="22"/>
          <w:szCs w:val="22"/>
          <w:lang w:val="ro-RO" w:eastAsia="ro-RO"/>
        </w:rPr>
        <w:drawing>
          <wp:inline distT="0" distB="0" distL="0" distR="0">
            <wp:extent cx="5249619" cy="1733107"/>
            <wp:effectExtent l="19050" t="0" r="8181" b="0"/>
            <wp:docPr id="67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5252720" cy="1734131"/>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rPr>
      </w:pPr>
      <w:r w:rsidRPr="00E0488D">
        <w:rPr>
          <w:b/>
          <w:sz w:val="22"/>
          <w:szCs w:val="22"/>
          <w:lang w:val="ro-RO" w:eastAsia="en-GB"/>
        </w:rPr>
        <w:t>Figura 6.</w:t>
      </w:r>
      <w:r w:rsidR="0078272C" w:rsidRPr="00E0488D">
        <w:rPr>
          <w:b/>
          <w:sz w:val="22"/>
          <w:szCs w:val="22"/>
          <w:lang w:val="ro-RO" w:eastAsia="en-GB"/>
        </w:rPr>
        <w:t>20</w:t>
      </w:r>
      <w:r w:rsidRPr="00E0488D">
        <w:rPr>
          <w:b/>
          <w:sz w:val="22"/>
          <w:szCs w:val="22"/>
          <w:lang w:val="ro-RO" w:eastAsia="en-GB"/>
        </w:rPr>
        <w:t xml:space="preserve"> – Planuri de dezvoltare a infrastructurii de operare a mărfurilor solide din portul Calafat</w:t>
      </w:r>
    </w:p>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Problemele atinse de această propunere sunt:</w:t>
      </w:r>
    </w:p>
    <w:p w:rsidR="00B4550A" w:rsidRPr="00E0488D" w:rsidRDefault="00B4550A" w:rsidP="00BC2B57">
      <w:pPr>
        <w:pStyle w:val="BulletLevel1"/>
      </w:pPr>
      <w:r w:rsidRPr="00E0488D">
        <w:t xml:space="preserve">Tendințele curente de creștere care sugerează că portul își va depăși capacitatea </w:t>
      </w:r>
    </w:p>
    <w:p w:rsidR="00B4550A" w:rsidRPr="00E0488D" w:rsidRDefault="00B4550A" w:rsidP="00BC2B57">
      <w:pPr>
        <w:pStyle w:val="BulletLevel1"/>
      </w:pPr>
      <w:r w:rsidRPr="00E0488D">
        <w:t xml:space="preserve">Unele dintre dane nu sunt organizate pentru nevoile logistice moderne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3C7FC8" w:rsidRPr="00E0488D" w:rsidRDefault="003C7FC8" w:rsidP="00BC2B57">
      <w:pPr>
        <w:pStyle w:val="BulletLevel1"/>
      </w:pPr>
      <w:r w:rsidRPr="00E0488D">
        <w:t xml:space="preserve">OW3 – Deblocarea barierelor pentru eficiență operațională </w:t>
      </w:r>
    </w:p>
    <w:p w:rsidR="003C7FC8" w:rsidRPr="00E0488D" w:rsidRDefault="003C7FC8" w:rsidP="00BC2B57">
      <w:pPr>
        <w:pStyle w:val="BulletLevel1"/>
      </w:pPr>
      <w:r w:rsidRPr="00E0488D">
        <w:t xml:space="preserve">OW4 – Reducerea costurilor prin eficiență operațională </w:t>
      </w:r>
    </w:p>
    <w:p w:rsidR="003C7FC8" w:rsidRPr="00E0488D" w:rsidRDefault="003C7FC8" w:rsidP="00BC2B57">
      <w:pPr>
        <w:pStyle w:val="BulletLevel1"/>
      </w:pPr>
      <w:r w:rsidRPr="00E0488D">
        <w:t xml:space="preserve">OW10 – Creșterea volumului de mărfuri transportate prin moduri de transport sustenabile </w:t>
      </w:r>
    </w:p>
    <w:p w:rsidR="00B4550A" w:rsidRPr="003D4E3C" w:rsidRDefault="003D4E3C" w:rsidP="003D4E3C">
      <w:pPr>
        <w:spacing w:line="276" w:lineRule="auto"/>
        <w:rPr>
          <w:i/>
          <w:sz w:val="22"/>
          <w:szCs w:val="22"/>
          <w:u w:val="single"/>
          <w:lang w:val="ro-RO"/>
        </w:rPr>
      </w:pPr>
      <w:r>
        <w:rPr>
          <w:i/>
          <w:sz w:val="22"/>
          <w:szCs w:val="22"/>
          <w:u w:val="single"/>
          <w:lang w:val="ro-RO"/>
        </w:rPr>
        <w:t>Piață potențială</w:t>
      </w:r>
    </w:p>
    <w:p w:rsidR="00B4550A" w:rsidRPr="00E0488D" w:rsidRDefault="00B4550A" w:rsidP="002B7E09">
      <w:pPr>
        <w:pStyle w:val="NumberedParas"/>
      </w:pPr>
      <w:r w:rsidRPr="00E0488D">
        <w:t xml:space="preserve">Această propunere se adresează operațiunilor curente din portul Calafat precum și fluxurilor suplimentare ca urmare a construcției podului.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neactualizare: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6.41 – </w:t>
      </w:r>
      <w:r w:rsidR="001205D0">
        <w:rPr>
          <w:lang w:eastAsia="en-GB"/>
        </w:rPr>
        <w:t>Costuri neactualizate ale proiectului</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neactualizare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78272C">
            <w:pPr>
              <w:spacing w:before="120" w:line="276" w:lineRule="auto"/>
              <w:rPr>
                <w:b/>
                <w:bCs/>
                <w:lang w:val="ro-RO"/>
              </w:rPr>
            </w:pPr>
            <w:r w:rsidRPr="00E0488D">
              <w:rPr>
                <w:b/>
                <w:bCs/>
                <w:lang w:val="ro-RO"/>
              </w:rPr>
              <w:t>C</w:t>
            </w:r>
            <w:r w:rsidR="0078272C" w:rsidRPr="00E0488D">
              <w:rPr>
                <w:b/>
                <w:bCs/>
                <w:lang w:val="ro-RO"/>
              </w:rPr>
              <w:t>ost</w:t>
            </w:r>
          </w:p>
        </w:tc>
        <w:tc>
          <w:tcPr>
            <w:tcW w:w="1330" w:type="pct"/>
            <w:vAlign w:val="center"/>
          </w:tcPr>
          <w:p w:rsidR="00B4550A" w:rsidRPr="00E0488D" w:rsidRDefault="0078272C" w:rsidP="003C7FC8">
            <w:pPr>
              <w:spacing w:before="120" w:line="276" w:lineRule="auto"/>
              <w:jc w:val="center"/>
              <w:rPr>
                <w:b/>
                <w:bCs/>
                <w:lang w:val="ro-RO"/>
              </w:rPr>
            </w:pPr>
            <w:r w:rsidRPr="00E0488D">
              <w:rPr>
                <w:b/>
                <w:bCs/>
                <w:lang w:val="ro-RO"/>
              </w:rPr>
              <w:t>20</w:t>
            </w:r>
          </w:p>
        </w:tc>
        <w:tc>
          <w:tcPr>
            <w:tcW w:w="2948" w:type="pct"/>
          </w:tcPr>
          <w:p w:rsidR="00B4550A" w:rsidRPr="00E0488D" w:rsidRDefault="0078272C" w:rsidP="003C7FC8">
            <w:pPr>
              <w:spacing w:before="120" w:line="276" w:lineRule="auto"/>
              <w:rPr>
                <w:b/>
                <w:bCs/>
                <w:lang w:val="ro-RO"/>
              </w:rPr>
            </w:pPr>
            <w:r w:rsidRPr="00E0488D">
              <w:rPr>
                <w:b/>
                <w:bCs/>
                <w:lang w:val="ro-RO"/>
              </w:rPr>
              <w:t>Reabilitarea danelor existente</w:t>
            </w:r>
          </w:p>
          <w:p w:rsidR="00B4550A" w:rsidRPr="00E0488D" w:rsidRDefault="0078272C" w:rsidP="003C7FC8">
            <w:pPr>
              <w:spacing w:before="120" w:line="276" w:lineRule="auto"/>
              <w:rPr>
                <w:b/>
                <w:bCs/>
                <w:lang w:val="ro-RO"/>
              </w:rPr>
            </w:pPr>
            <w:r w:rsidRPr="00E0488D">
              <w:rPr>
                <w:b/>
                <w:bCs/>
                <w:lang w:val="ro-RO"/>
              </w:rPr>
              <w:t>Construcția de dane noi</w:t>
            </w:r>
          </w:p>
          <w:p w:rsidR="00B4550A" w:rsidRPr="00E0488D" w:rsidRDefault="00B4550A" w:rsidP="003C7FC8">
            <w:pPr>
              <w:spacing w:before="120" w:line="276" w:lineRule="auto"/>
              <w:rPr>
                <w:b/>
                <w:bCs/>
                <w:lang w:val="ro-RO"/>
              </w:rPr>
            </w:pP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Intervenția oferă beneficii reduse cu un raport beneficiu-cost (</w:t>
      </w:r>
      <w:r w:rsidR="008809AC" w:rsidRPr="00E0488D">
        <w:t>RB</w:t>
      </w:r>
      <w:r w:rsidRPr="00E0488D">
        <w:t xml:space="preserve">C) de 0,6. Se estimează că propunerea va genera peste 11.000 de tone de mărfuri până în 2020. Cum RIRE este sub 3%, acest proiect nu este recomandat pentru includere în Master Plan. </w:t>
      </w:r>
    </w:p>
    <w:p w:rsidR="00B4550A" w:rsidRPr="00E0488D" w:rsidRDefault="00B4550A" w:rsidP="002B7E09">
      <w:pPr>
        <w:pStyle w:val="NumberedParas"/>
        <w:numPr>
          <w:ilvl w:val="0"/>
          <w:numId w:val="0"/>
        </w:numPr>
        <w:rPr>
          <w:lang w:eastAsia="en-GB"/>
        </w:rPr>
      </w:pPr>
      <w:r w:rsidRPr="00E0488D">
        <w:rPr>
          <w:lang w:eastAsia="en-GB"/>
        </w:rPr>
        <w:t xml:space="preserve">Tabelul  6.42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P-CF-S (W27)</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11.871</w:t>
            </w:r>
          </w:p>
        </w:tc>
      </w:tr>
      <w:tr w:rsidR="00B4550A" w:rsidRPr="00E0488D" w:rsidTr="003C7FC8">
        <w:tc>
          <w:tcPr>
            <w:tcW w:w="3818" w:type="dxa"/>
            <w:vAlign w:val="center"/>
          </w:tcPr>
          <w:p w:rsidR="00B4550A" w:rsidRPr="00E0488D" w:rsidRDefault="00B4550A" w:rsidP="00447592">
            <w:pPr>
              <w:rPr>
                <w:b/>
                <w:lang w:val="ro-RO"/>
              </w:rPr>
            </w:pPr>
            <w:r w:rsidRPr="00E0488D">
              <w:rPr>
                <w:b/>
                <w:lang w:val="ro-RO"/>
              </w:rPr>
              <w:t>VN</w:t>
            </w:r>
            <w:r w:rsidR="00447592"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-5</w:t>
            </w:r>
          </w:p>
        </w:tc>
      </w:tr>
      <w:tr w:rsidR="00B4550A" w:rsidRPr="00E0488D" w:rsidTr="003C7FC8">
        <w:tc>
          <w:tcPr>
            <w:tcW w:w="3818" w:type="dxa"/>
            <w:vAlign w:val="center"/>
          </w:tcPr>
          <w:p w:rsidR="00B4550A" w:rsidRPr="00E0488D" w:rsidRDefault="00447592" w:rsidP="00447592">
            <w:pPr>
              <w:rPr>
                <w:b/>
                <w:lang w:val="ro-RO"/>
              </w:rPr>
            </w:pPr>
            <w:r w:rsidRPr="00E0488D">
              <w:rPr>
                <w:b/>
                <w:lang w:val="ro-RO"/>
              </w:rPr>
              <w:t>R</w:t>
            </w:r>
            <w:r w:rsidR="00B4550A" w:rsidRPr="00E0488D">
              <w:rPr>
                <w:b/>
                <w:lang w:val="ro-RO"/>
              </w:rPr>
              <w:t>BC</w:t>
            </w:r>
          </w:p>
        </w:tc>
        <w:tc>
          <w:tcPr>
            <w:tcW w:w="1628" w:type="dxa"/>
          </w:tcPr>
          <w:p w:rsidR="00B4550A" w:rsidRPr="00E0488D" w:rsidRDefault="00B4550A" w:rsidP="003C7FC8">
            <w:pPr>
              <w:spacing w:line="276" w:lineRule="auto"/>
              <w:jc w:val="center"/>
              <w:rPr>
                <w:i/>
                <w:u w:val="single"/>
                <w:lang w:val="ro-RO"/>
              </w:rPr>
            </w:pPr>
            <w:r w:rsidRPr="00E0488D">
              <w:rPr>
                <w:lang w:val="ro-RO"/>
              </w:rPr>
              <w:t>0,60</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2,4%</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FF0000"/>
                <w:lang w:val="ro-RO"/>
              </w:rPr>
              <w:sym w:font="Wingdings" w:char="F0FB"/>
            </w:r>
          </w:p>
        </w:tc>
      </w:tr>
    </w:tbl>
    <w:p w:rsidR="00B4550A" w:rsidRPr="00E0488D" w:rsidRDefault="00B4550A" w:rsidP="00B4550A">
      <w:pPr>
        <w:spacing w:line="276" w:lineRule="auto"/>
        <w:rPr>
          <w:i/>
          <w:u w:val="single"/>
          <w:lang w:val="ro-RO" w:eastAsia="en-GB"/>
        </w:rPr>
      </w:pPr>
    </w:p>
    <w:p w:rsidR="004D7C71" w:rsidRPr="00E0488D" w:rsidRDefault="004D7C71" w:rsidP="00B4550A">
      <w:pPr>
        <w:spacing w:line="276" w:lineRule="auto"/>
        <w:rPr>
          <w:b/>
          <w:sz w:val="22"/>
          <w:szCs w:val="22"/>
          <w:lang w:val="ro-RO" w:eastAsia="en-GB"/>
        </w:rPr>
      </w:pPr>
      <w:r w:rsidRPr="00E0488D">
        <w:rPr>
          <w:noProof/>
          <w:lang w:val="ro-RO" w:eastAsia="ro-RO"/>
        </w:rPr>
        <w:drawing>
          <wp:inline distT="0" distB="0" distL="0" distR="0">
            <wp:extent cx="4574659" cy="2747896"/>
            <wp:effectExtent l="19050" t="0" r="16391" b="0"/>
            <wp:docPr id="210"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6.20 –Tone operate în portul Calafat în perioada 2007-2011 și estimările pentru 2020</w:t>
      </w:r>
    </w:p>
    <w:p w:rsidR="00B4550A" w:rsidRPr="00E0488D" w:rsidRDefault="004D7C71" w:rsidP="002B7E09">
      <w:pPr>
        <w:pStyle w:val="NumberedParas"/>
      </w:pPr>
      <w:r w:rsidRPr="00E0488D">
        <w:t xml:space="preserve">Din analiza cifrelor referitoare la capacitate, rezultă că portul Calafat are o capacitate </w:t>
      </w:r>
      <w:r w:rsidR="00392D69" w:rsidRPr="00E0488D">
        <w:t xml:space="preserve">teoretică </w:t>
      </w:r>
      <w:r w:rsidRPr="00E0488D">
        <w:t xml:space="preserve">maximă de </w:t>
      </w:r>
      <w:r w:rsidR="00B4550A" w:rsidRPr="00E0488D">
        <w:t>518</w:t>
      </w:r>
      <w:r w:rsidRPr="00E0488D">
        <w:t>.</w:t>
      </w:r>
      <w:r w:rsidR="00B4550A" w:rsidRPr="00E0488D">
        <w:t>000 ton</w:t>
      </w:r>
      <w:r w:rsidRPr="00E0488D">
        <w:t>e</w:t>
      </w:r>
      <w:r w:rsidR="00B4550A" w:rsidRPr="00E0488D">
        <w:t xml:space="preserve"> pe</w:t>
      </w:r>
      <w:r w:rsidRPr="00E0488D">
        <w:t xml:space="preserve"> an</w:t>
      </w:r>
      <w:r w:rsidR="00B4550A" w:rsidRPr="00E0488D">
        <w:t xml:space="preserve">. </w:t>
      </w:r>
    </w:p>
    <w:p w:rsidR="00B4550A" w:rsidRPr="00E0488D" w:rsidRDefault="00B4550A" w:rsidP="002B7E09">
      <w:pPr>
        <w:pStyle w:val="NumberedParas"/>
        <w:numPr>
          <w:ilvl w:val="0"/>
          <w:numId w:val="0"/>
        </w:numPr>
        <w:rPr>
          <w:lang w:eastAsia="en-GB"/>
        </w:rPr>
      </w:pPr>
      <w:r w:rsidRPr="00E0488D">
        <w:rPr>
          <w:lang w:eastAsia="en-GB"/>
        </w:rPr>
        <w:t>Tabelul  6.43 – Utilizarea prognozată a portului Calafat</w:t>
      </w:r>
    </w:p>
    <w:tbl>
      <w:tblPr>
        <w:tblW w:w="67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60"/>
      </w:tblGrid>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2128"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59"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90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98%</w:t>
            </w:r>
          </w:p>
        </w:tc>
        <w:tc>
          <w:tcPr>
            <w:tcW w:w="987"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113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51%</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99"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32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63%</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43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55%</w:t>
            </w:r>
          </w:p>
        </w:tc>
      </w:tr>
    </w:tbl>
    <w:p w:rsidR="00B4550A" w:rsidRPr="00E0488D" w:rsidRDefault="004D7C71" w:rsidP="002B7E09">
      <w:pPr>
        <w:pStyle w:val="NumberedParas"/>
      </w:pPr>
      <w:r w:rsidRPr="00E0488D">
        <w:t xml:space="preserve">Tabelul de mai sus arată faptul că prin dezvoltarea </w:t>
      </w:r>
      <w:r w:rsidR="001205D0" w:rsidRPr="00E0488D">
        <w:t>terminalului</w:t>
      </w:r>
      <w:r w:rsidRPr="00E0488D">
        <w:t xml:space="preserve"> de mărfuri vrac, portul va avea o capacitate suficientă pentru a opera volumele necesare cererii prognozate în viitor</w:t>
      </w:r>
      <w:r w:rsidR="00B4550A" w:rsidRPr="00E0488D">
        <w:t>.</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Drobeta</w:t>
      </w:r>
      <w:r w:rsidR="0034199D" w:rsidRPr="00E0488D">
        <w:rPr>
          <w:b/>
          <w:sz w:val="22"/>
          <w:szCs w:val="22"/>
          <w:lang w:val="ro-RO"/>
        </w:rPr>
        <w:t xml:space="preserve"> Turnu Severin</w:t>
      </w:r>
      <w:r w:rsidRPr="00E0488D">
        <w:rPr>
          <w:b/>
          <w:sz w:val="22"/>
          <w:szCs w:val="22"/>
          <w:lang w:val="ro-RO"/>
        </w:rPr>
        <w:t>:</w:t>
      </w:r>
    </w:p>
    <w:p w:rsidR="00B4550A" w:rsidRPr="00E0488D" w:rsidRDefault="00B4550A" w:rsidP="00B4550A">
      <w:pPr>
        <w:spacing w:line="276" w:lineRule="auto"/>
        <w:rPr>
          <w:b/>
          <w:sz w:val="22"/>
          <w:szCs w:val="22"/>
          <w:lang w:val="ro-RO"/>
        </w:rPr>
      </w:pPr>
      <w:r w:rsidRPr="00E0488D">
        <w:rPr>
          <w:b/>
          <w:sz w:val="22"/>
          <w:szCs w:val="22"/>
          <w:lang w:val="ro-RO"/>
        </w:rPr>
        <w:t xml:space="preserve">Construcția unui nou terminal trimodal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Drobeta este amplasat strategic pentru a beneficiat de un terminal trimodal intermodal ca parte a rețelei intermodale a României. Dezvoltarea facilităților intermodale va dezvolta portul și se va dovedi că hinterlandul acestuia este un activ util. Mai precis, propunerea va include:</w:t>
      </w:r>
    </w:p>
    <w:p w:rsidR="00B4550A" w:rsidRPr="00E0488D" w:rsidRDefault="00B4550A" w:rsidP="00BC2B57">
      <w:pPr>
        <w:pStyle w:val="BulletLevel1"/>
      </w:pPr>
      <w:r w:rsidRPr="00E0488D">
        <w:t xml:space="preserve">Un terminal intermodal cu o dimensiune de 6-8 hectare și echipamentul de operare aferent </w:t>
      </w:r>
    </w:p>
    <w:p w:rsidR="00B4550A" w:rsidRPr="00E0488D" w:rsidRDefault="00B4550A" w:rsidP="00BC2B57">
      <w:pPr>
        <w:pStyle w:val="BulletLevel1"/>
      </w:pPr>
      <w:r w:rsidRPr="00E0488D">
        <w:t xml:space="preserve">2 linii de cale ferată cu ecartament autorizat cu o lungime de 750m </w:t>
      </w:r>
    </w:p>
    <w:p w:rsidR="00B4550A" w:rsidRPr="00E0488D" w:rsidRDefault="00B4550A" w:rsidP="00BC2B57">
      <w:pPr>
        <w:pStyle w:val="BulletLevel1"/>
      </w:pPr>
      <w:r w:rsidRPr="00E0488D">
        <w:t xml:space="preserve">Legături rutiere îmbunătățite </w:t>
      </w:r>
    </w:p>
    <w:p w:rsidR="00B4550A" w:rsidRPr="00E0488D" w:rsidRDefault="00B4550A" w:rsidP="00B4550A">
      <w:pPr>
        <w:spacing w:line="276" w:lineRule="auto"/>
        <w:rPr>
          <w:sz w:val="22"/>
          <w:szCs w:val="22"/>
          <w:lang w:val="ro-RO" w:eastAsia="en-GB"/>
        </w:rPr>
      </w:pPr>
      <w:r w:rsidRPr="00E0488D">
        <w:rPr>
          <w:noProof/>
          <w:sz w:val="22"/>
          <w:szCs w:val="22"/>
          <w:lang w:val="ro-RO" w:eastAsia="ro-RO"/>
        </w:rPr>
        <w:drawing>
          <wp:inline distT="0" distB="0" distL="0" distR="0">
            <wp:extent cx="5241925" cy="1839595"/>
            <wp:effectExtent l="19050" t="0" r="0" b="0"/>
            <wp:docPr id="677" name="Picture 13" descr="DTS Inte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S InterM.png"/>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5241925" cy="1839595"/>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6.2</w:t>
      </w:r>
      <w:r w:rsidR="0034199D" w:rsidRPr="00E0488D">
        <w:rPr>
          <w:b/>
          <w:sz w:val="22"/>
          <w:szCs w:val="22"/>
          <w:lang w:val="ro-RO" w:eastAsia="en-GB"/>
        </w:rPr>
        <w:t>1</w:t>
      </w:r>
      <w:r w:rsidRPr="00E0488D">
        <w:rPr>
          <w:b/>
          <w:sz w:val="22"/>
          <w:szCs w:val="22"/>
          <w:lang w:val="ro-RO" w:eastAsia="en-GB"/>
        </w:rPr>
        <w:t xml:space="preserve"> – Planuri terminal trimodal la Drobeta</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În prezent, portul Drobeta nu este bine echipat pentru a opera containere. Problemele atinse de această propunere:</w:t>
      </w:r>
    </w:p>
    <w:p w:rsidR="00B4550A" w:rsidRPr="00E0488D" w:rsidRDefault="00B4550A" w:rsidP="00BC2B57">
      <w:pPr>
        <w:pStyle w:val="BulletLevel1"/>
      </w:pPr>
      <w:r w:rsidRPr="00E0488D">
        <w:t xml:space="preserve">Un terminal de containere poate duce la o operare mai eficientă a acestora </w:t>
      </w:r>
    </w:p>
    <w:p w:rsidR="00B4550A" w:rsidRPr="00E0488D" w:rsidRDefault="00B4550A" w:rsidP="00BC2B57">
      <w:pPr>
        <w:pStyle w:val="BulletLevel1"/>
      </w:pPr>
      <w:r w:rsidRPr="00E0488D">
        <w:t xml:space="preserve">Transformarea portului Drobeta în port regional de containere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3C7FC8" w:rsidRPr="00E0488D" w:rsidRDefault="003C7FC8" w:rsidP="00BC2B57">
      <w:pPr>
        <w:pStyle w:val="BulletLevel1"/>
      </w:pPr>
      <w:r w:rsidRPr="00E0488D">
        <w:t xml:space="preserve">OW3 – Deblocarea barierelor pentru eficiență operațională </w:t>
      </w:r>
    </w:p>
    <w:p w:rsidR="003C7FC8" w:rsidRPr="00E0488D" w:rsidRDefault="003C7FC8" w:rsidP="00BC2B57">
      <w:pPr>
        <w:pStyle w:val="BulletLevel1"/>
      </w:pPr>
      <w:r w:rsidRPr="00E0488D">
        <w:t xml:space="preserve">OW4 – Reducerea costurilor prin eficiență operațională </w:t>
      </w:r>
    </w:p>
    <w:p w:rsidR="003C7FC8" w:rsidRPr="00E0488D" w:rsidRDefault="003C7FC8" w:rsidP="00BC2B57">
      <w:pPr>
        <w:pStyle w:val="BulletLevel1"/>
      </w:pPr>
      <w:r w:rsidRPr="00E0488D">
        <w:t xml:space="preserve">OW10 – Creșterea volumului de mărfuri transportate prin moduri de transport sustenabile </w:t>
      </w:r>
    </w:p>
    <w:p w:rsidR="00B4550A" w:rsidRPr="00E0488D" w:rsidRDefault="00B4550A" w:rsidP="00BC2B57">
      <w:pPr>
        <w:pStyle w:val="BulletLevel1"/>
      </w:pPr>
      <w:r w:rsidRPr="00E0488D">
        <w:t xml:space="preserve">OW12 – </w:t>
      </w:r>
      <w:r w:rsidR="001205D0">
        <w:t>Creșterea gradului de utilizare a transportului intermodal</w:t>
      </w:r>
    </w:p>
    <w:p w:rsidR="00B4550A" w:rsidRPr="00E0488D" w:rsidRDefault="00B4550A" w:rsidP="00BC2B57">
      <w:pPr>
        <w:pStyle w:val="BulletLevel1"/>
      </w:pP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 xml:space="preserve">Această propunere ar privi operarea de containere.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6.44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92D69">
            <w:pPr>
              <w:spacing w:before="120" w:line="276" w:lineRule="auto"/>
              <w:rPr>
                <w:b/>
                <w:bCs/>
                <w:lang w:val="ro-RO"/>
              </w:rPr>
            </w:pPr>
            <w:r w:rsidRPr="00E0488D">
              <w:rPr>
                <w:b/>
                <w:bCs/>
                <w:lang w:val="ro-RO"/>
              </w:rPr>
              <w:t>C</w:t>
            </w:r>
            <w:r w:rsidR="00392D69" w:rsidRPr="00E0488D">
              <w:rPr>
                <w:b/>
                <w:bCs/>
                <w:lang w:val="ro-RO"/>
              </w:rPr>
              <w:t>ost</w:t>
            </w:r>
          </w:p>
        </w:tc>
        <w:tc>
          <w:tcPr>
            <w:tcW w:w="1330" w:type="pct"/>
            <w:vAlign w:val="center"/>
          </w:tcPr>
          <w:p w:rsidR="00B4550A" w:rsidRPr="00E0488D" w:rsidRDefault="00392D69" w:rsidP="003C7FC8">
            <w:pPr>
              <w:spacing w:before="120" w:line="276" w:lineRule="auto"/>
              <w:jc w:val="center"/>
              <w:rPr>
                <w:b/>
                <w:bCs/>
                <w:lang w:val="ro-RO"/>
              </w:rPr>
            </w:pPr>
            <w:r w:rsidRPr="00E0488D">
              <w:rPr>
                <w:b/>
                <w:bCs/>
                <w:lang w:val="ro-RO"/>
              </w:rPr>
              <w:t>8</w:t>
            </w:r>
          </w:p>
        </w:tc>
        <w:tc>
          <w:tcPr>
            <w:tcW w:w="2948" w:type="pct"/>
          </w:tcPr>
          <w:p w:rsidR="00B4550A" w:rsidRPr="00E0488D" w:rsidRDefault="00B4550A" w:rsidP="003C7FC8">
            <w:pPr>
              <w:spacing w:before="120" w:line="276" w:lineRule="auto"/>
              <w:rPr>
                <w:b/>
                <w:bCs/>
                <w:lang w:val="ro-RO"/>
              </w:rPr>
            </w:pPr>
            <w:r w:rsidRPr="00E0488D">
              <w:rPr>
                <w:b/>
                <w:bCs/>
                <w:lang w:val="ro-RO"/>
              </w:rPr>
              <w:t>Terminal intermodal de 6-8 hectare</w:t>
            </w:r>
          </w:p>
          <w:p w:rsidR="00B4550A" w:rsidRPr="00E0488D" w:rsidRDefault="00B4550A" w:rsidP="003C7FC8">
            <w:pPr>
              <w:spacing w:before="120" w:line="276" w:lineRule="auto"/>
              <w:rPr>
                <w:b/>
                <w:bCs/>
                <w:lang w:val="ro-RO"/>
              </w:rPr>
            </w:pPr>
            <w:r w:rsidRPr="00E0488D">
              <w:rPr>
                <w:b/>
                <w:bCs/>
                <w:lang w:val="ro-RO"/>
              </w:rPr>
              <w:t xml:space="preserve">Echipament de operare </w:t>
            </w:r>
          </w:p>
          <w:p w:rsidR="00B4550A" w:rsidRPr="00E0488D" w:rsidRDefault="00B4550A" w:rsidP="003C7FC8">
            <w:pPr>
              <w:spacing w:before="120" w:line="276" w:lineRule="auto"/>
              <w:rPr>
                <w:b/>
                <w:bCs/>
                <w:lang w:val="ro-RO"/>
              </w:rPr>
            </w:pPr>
            <w:r w:rsidRPr="00E0488D">
              <w:rPr>
                <w:b/>
                <w:bCs/>
                <w:lang w:val="ro-RO"/>
              </w:rPr>
              <w:t>2 linii de cale ferată cu ecartament autorizat</w:t>
            </w:r>
          </w:p>
          <w:p w:rsidR="00B4550A" w:rsidRPr="00E0488D" w:rsidRDefault="00B4550A" w:rsidP="003C7FC8">
            <w:pPr>
              <w:spacing w:before="120" w:line="276" w:lineRule="auto"/>
              <w:rPr>
                <w:b/>
                <w:bCs/>
                <w:lang w:val="ro-RO"/>
              </w:rPr>
            </w:pPr>
            <w:r w:rsidRPr="00E0488D">
              <w:rPr>
                <w:b/>
                <w:bCs/>
                <w:lang w:val="ro-RO"/>
              </w:rPr>
              <w:t xml:space="preserve">Legături rutiere îmbunătățite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Această intervenție oferă beneficii limitate cu un raport beneficiu cost (</w:t>
      </w:r>
      <w:r w:rsidR="00392D69" w:rsidRPr="00E0488D">
        <w:t>RB</w:t>
      </w:r>
      <w:r w:rsidRPr="00E0488D">
        <w:t xml:space="preserve">C) de 0,6. Se estimează că propunerea va genera peste 11.000 de tone de mărfuri suplimentare până în 2020. Deși rezultatele modelului sunt limitate, se recomandă includerea acestui proiect în Master Plan. </w:t>
      </w:r>
    </w:p>
    <w:p w:rsidR="00B4550A" w:rsidRPr="00E0488D" w:rsidRDefault="00B4550A" w:rsidP="002B7E09">
      <w:pPr>
        <w:pStyle w:val="NumberedParas"/>
        <w:numPr>
          <w:ilvl w:val="0"/>
          <w:numId w:val="0"/>
        </w:numPr>
        <w:rPr>
          <w:lang w:eastAsia="en-GB"/>
        </w:rPr>
      </w:pPr>
      <w:r w:rsidRPr="00E0488D">
        <w:rPr>
          <w:lang w:eastAsia="en-GB"/>
        </w:rPr>
        <w:t xml:space="preserve">Tabelul  6.45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2B7E09">
            <w:pPr>
              <w:pStyle w:val="NumberedParas"/>
              <w:numPr>
                <w:ilvl w:val="0"/>
                <w:numId w:val="0"/>
              </w:numPr>
              <w:rPr>
                <w:lang w:eastAsia="en-GB"/>
              </w:rPr>
            </w:pPr>
            <w:r w:rsidRPr="00E0488D">
              <w:rPr>
                <w:lang w:eastAsia="en-GB"/>
              </w:rPr>
              <w:t xml:space="preserve">Cod test </w:t>
            </w:r>
          </w:p>
        </w:tc>
        <w:tc>
          <w:tcPr>
            <w:tcW w:w="1628" w:type="dxa"/>
            <w:vAlign w:val="center"/>
          </w:tcPr>
          <w:p w:rsidR="00B4550A" w:rsidRPr="00E0488D" w:rsidRDefault="00B4550A" w:rsidP="002B7E09">
            <w:pPr>
              <w:pStyle w:val="NumberedParas"/>
              <w:numPr>
                <w:ilvl w:val="0"/>
                <w:numId w:val="0"/>
              </w:numPr>
              <w:rPr>
                <w:lang w:eastAsia="en-GB"/>
              </w:rPr>
            </w:pPr>
            <w:r w:rsidRPr="00E0488D">
              <w:rPr>
                <w:lang w:eastAsia="en-GB"/>
              </w:rPr>
              <w:t>I-DB-S (W19)</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100.514</w:t>
            </w:r>
          </w:p>
        </w:tc>
      </w:tr>
      <w:tr w:rsidR="00B4550A" w:rsidRPr="00E0488D" w:rsidTr="003C7FC8">
        <w:tc>
          <w:tcPr>
            <w:tcW w:w="3818" w:type="dxa"/>
            <w:vAlign w:val="center"/>
          </w:tcPr>
          <w:p w:rsidR="00B4550A" w:rsidRPr="00E0488D" w:rsidRDefault="00B4550A" w:rsidP="00392D69">
            <w:pPr>
              <w:rPr>
                <w:b/>
                <w:lang w:val="ro-RO"/>
              </w:rPr>
            </w:pPr>
            <w:r w:rsidRPr="00E0488D">
              <w:rPr>
                <w:b/>
                <w:lang w:val="ro-RO"/>
              </w:rPr>
              <w:t>VN</w:t>
            </w:r>
            <w:r w:rsidR="00392D69"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1</w:t>
            </w:r>
          </w:p>
        </w:tc>
      </w:tr>
      <w:tr w:rsidR="00B4550A" w:rsidRPr="00E0488D" w:rsidTr="003C7FC8">
        <w:tc>
          <w:tcPr>
            <w:tcW w:w="3818" w:type="dxa"/>
            <w:vAlign w:val="center"/>
          </w:tcPr>
          <w:p w:rsidR="00B4550A" w:rsidRPr="00E0488D" w:rsidRDefault="00392D69" w:rsidP="003C7FC8">
            <w:pPr>
              <w:rPr>
                <w:b/>
                <w:lang w:val="ro-RO"/>
              </w:rPr>
            </w:pPr>
            <w:r w:rsidRPr="00E0488D">
              <w:rPr>
                <w:b/>
                <w:lang w:val="ro-RO"/>
              </w:rPr>
              <w:t>RB</w:t>
            </w:r>
            <w:r w:rsidR="00B4550A" w:rsidRPr="00E0488D">
              <w:rPr>
                <w:b/>
                <w:lang w:val="ro-RO"/>
              </w:rPr>
              <w:t>C</w:t>
            </w:r>
          </w:p>
        </w:tc>
        <w:tc>
          <w:tcPr>
            <w:tcW w:w="1628" w:type="dxa"/>
          </w:tcPr>
          <w:p w:rsidR="00B4550A" w:rsidRPr="00E0488D" w:rsidRDefault="00B4550A" w:rsidP="003C7FC8">
            <w:pPr>
              <w:spacing w:line="276" w:lineRule="auto"/>
              <w:jc w:val="center"/>
              <w:rPr>
                <w:i/>
                <w:u w:val="single"/>
                <w:lang w:val="ro-RO"/>
              </w:rPr>
            </w:pPr>
            <w:r w:rsidRPr="00E0488D">
              <w:rPr>
                <w:lang w:val="ro-RO"/>
              </w:rPr>
              <w:t>1.11</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5.6%</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bCs/>
          <w:i/>
          <w:sz w:val="22"/>
          <w:szCs w:val="22"/>
          <w:u w:val="single"/>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APDF Giurgiu, probabil în cooperare cu un operator privat al terminalului. </w:t>
      </w:r>
    </w:p>
    <w:p w:rsidR="00B4550A" w:rsidRPr="00E0488D" w:rsidRDefault="00B4550A" w:rsidP="00B4550A">
      <w:pPr>
        <w:spacing w:line="276" w:lineRule="auto"/>
        <w:rPr>
          <w:bCs/>
          <w:i/>
          <w:sz w:val="22"/>
          <w:szCs w:val="22"/>
          <w:u w:val="single"/>
          <w:lang w:val="ro-RO"/>
        </w:rPr>
      </w:pP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2021-2030</w:t>
      </w:r>
    </w:p>
    <w:p w:rsidR="00B4550A" w:rsidRPr="00E0488D" w:rsidRDefault="00B4550A" w:rsidP="002B7E09">
      <w:pPr>
        <w:pStyle w:val="NumberedParas"/>
      </w:pPr>
      <w:r w:rsidRPr="00E0488D">
        <w:t xml:space="preserve">Implementarea ar putea să înceapă imediat ce proiectul este aprobat; totuși, pentru a atinge beneficii maxime se recomandă ca finalizarea proiectului să fie programată după terminarea proiectelor de îmbunătățire a navigabilității pe Fluviul Dunărea (a se vedea mai târziu). </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1531"/>
      </w:pPr>
    </w:p>
    <w:p w:rsidR="00B4550A" w:rsidRPr="00E0488D" w:rsidRDefault="00B4550A" w:rsidP="00B4550A">
      <w:pPr>
        <w:spacing w:line="276" w:lineRule="auto"/>
        <w:rPr>
          <w:b/>
          <w:sz w:val="22"/>
          <w:szCs w:val="22"/>
          <w:lang w:val="ro-RO"/>
        </w:rPr>
      </w:pPr>
      <w:r w:rsidRPr="00E0488D">
        <w:rPr>
          <w:b/>
          <w:sz w:val="22"/>
          <w:szCs w:val="22"/>
          <w:lang w:val="ro-RO"/>
        </w:rPr>
        <w:t xml:space="preserve">Dezvoltarea infrastructurii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392D69" w:rsidRPr="00E0488D" w:rsidRDefault="00B4550A" w:rsidP="002B7E09">
      <w:pPr>
        <w:pStyle w:val="NumberedParas"/>
      </w:pPr>
      <w:r w:rsidRPr="00E0488D">
        <w:t>Infrastructura din portul Drobeta</w:t>
      </w:r>
      <w:r w:rsidR="00392D69" w:rsidRPr="00E0488D">
        <w:t xml:space="preserve"> Turnu Severin</w:t>
      </w:r>
      <w:r w:rsidRPr="00E0488D">
        <w:t xml:space="preserve"> trebuie să fie îmbunătățită pentru a putea opera </w:t>
      </w:r>
      <w:r w:rsidR="00392D69" w:rsidRPr="00E0488D">
        <w:t>trafic de mărfuri</w:t>
      </w:r>
      <w:r w:rsidRPr="00E0488D">
        <w:t xml:space="preserve">. Operațiunile mai eficiente ar crește capacitatea de operare a portului. </w:t>
      </w:r>
      <w:r w:rsidR="001205D0" w:rsidRPr="00E0488D">
        <w:t>Capacitatea</w:t>
      </w:r>
      <w:r w:rsidR="00392D69" w:rsidRPr="00E0488D">
        <w:t xml:space="preserve"> curentă de operare pentru mărfurile generale este de doar 30 de tone pe oră, ceea ce este un factor limitativ. Această propunere va include:</w:t>
      </w:r>
    </w:p>
    <w:p w:rsidR="00B4550A" w:rsidRPr="00E0488D" w:rsidRDefault="00392D69" w:rsidP="00BC2B57">
      <w:pPr>
        <w:pStyle w:val="BulletLevel1"/>
      </w:pPr>
      <w:r w:rsidRPr="00E0488D">
        <w:t xml:space="preserve"> </w:t>
      </w:r>
      <w:r w:rsidR="00B4550A" w:rsidRPr="00E0488D">
        <w:t xml:space="preserve">Îmbunătățirea echipamentului și facilităților de operare existente </w:t>
      </w:r>
    </w:p>
    <w:p w:rsidR="00B4550A" w:rsidRPr="00E0488D" w:rsidRDefault="00B4550A" w:rsidP="00BC2B57">
      <w:pPr>
        <w:pStyle w:val="BulletLevel1"/>
      </w:pPr>
      <w:r w:rsidRPr="00E0488D">
        <w:t xml:space="preserve">Dane noi </w:t>
      </w:r>
    </w:p>
    <w:p w:rsidR="00B4550A" w:rsidRPr="00E0488D" w:rsidRDefault="00B4550A" w:rsidP="00BC2B57">
      <w:pPr>
        <w:pStyle w:val="BulletLevel1"/>
      </w:pPr>
      <w:r w:rsidRPr="00E0488D">
        <w:t xml:space="preserve">Zone suplimentare pentru operarea mărfurilor prin reamenajarea facilităților din port </w:t>
      </w:r>
    </w:p>
    <w:p w:rsidR="00B4550A" w:rsidRPr="00E0488D" w:rsidRDefault="00B4550A" w:rsidP="00B4550A">
      <w:pPr>
        <w:spacing w:line="276" w:lineRule="auto"/>
        <w:rPr>
          <w:lang w:val="ro-RO" w:eastAsia="en-GB"/>
        </w:rPr>
      </w:pPr>
      <w:r w:rsidRPr="00E0488D">
        <w:rPr>
          <w:noProof/>
          <w:lang w:val="ro-RO" w:eastAsia="ro-RO"/>
        </w:rPr>
        <w:drawing>
          <wp:inline distT="0" distB="0" distL="0" distR="0">
            <wp:extent cx="5247079" cy="2083982"/>
            <wp:effectExtent l="19050" t="0" r="0" b="0"/>
            <wp:docPr id="6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5252720" cy="2086222"/>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6.22 – Planurile de dezvoltare din portul Drobeta</w:t>
      </w:r>
    </w:p>
    <w:p w:rsidR="00B4550A" w:rsidRPr="00E0488D" w:rsidRDefault="00B4550A" w:rsidP="00B4550A">
      <w:pPr>
        <w:spacing w:line="276" w:lineRule="auto"/>
        <w:rPr>
          <w:lang w:val="ro-RO" w:eastAsia="en-GB"/>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Problemele atinse de această propunere sunt:</w:t>
      </w:r>
    </w:p>
    <w:p w:rsidR="00B4550A" w:rsidRPr="00E0488D" w:rsidRDefault="00B4550A" w:rsidP="00BC2B57">
      <w:pPr>
        <w:pStyle w:val="BulletLevel1"/>
      </w:pPr>
      <w:r w:rsidRPr="00E0488D">
        <w:t xml:space="preserve">Configurația curentă a portului nu maximizează utilizarea eficientă a facilităților din port și a terenului </w:t>
      </w:r>
    </w:p>
    <w:p w:rsidR="00B4550A" w:rsidRPr="00E0488D" w:rsidRDefault="00B4550A" w:rsidP="00BC2B57">
      <w:pPr>
        <w:pStyle w:val="BulletLevel1"/>
      </w:pPr>
      <w:r w:rsidRPr="00E0488D">
        <w:t xml:space="preserve">Echipamentul de operare existent nu este potrivit pentru cerințele moderne de transport de mărfuri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OW10 – Creșterea volumului de mărfuri transportate prin moduri de transport sustenabile </w:t>
      </w:r>
    </w:p>
    <w:p w:rsidR="00B4550A" w:rsidRPr="00E0488D" w:rsidRDefault="00B4550A" w:rsidP="00BC2B57">
      <w:pPr>
        <w:pStyle w:val="BulletLevel1"/>
      </w:pP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 xml:space="preserve">Această propunere ar viza toate operațiunile din portul Drobeta, inclusiv comerțul cu petrol și minereu de fier.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Se estimează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6.46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92D69">
            <w:pPr>
              <w:spacing w:before="120" w:line="276" w:lineRule="auto"/>
              <w:rPr>
                <w:b/>
                <w:bCs/>
                <w:lang w:val="ro-RO"/>
              </w:rPr>
            </w:pPr>
            <w:r w:rsidRPr="00E0488D">
              <w:rPr>
                <w:b/>
                <w:bCs/>
                <w:lang w:val="ro-RO"/>
              </w:rPr>
              <w:t>C</w:t>
            </w:r>
            <w:r w:rsidR="00392D69" w:rsidRPr="00E0488D">
              <w:rPr>
                <w:b/>
                <w:bCs/>
                <w:lang w:val="ro-RO"/>
              </w:rPr>
              <w:t>ost</w:t>
            </w:r>
            <w:r w:rsidRPr="00E0488D">
              <w:rPr>
                <w:b/>
                <w:bCs/>
                <w:lang w:val="ro-RO"/>
              </w:rPr>
              <w:t xml:space="preserve"> </w:t>
            </w:r>
          </w:p>
        </w:tc>
        <w:tc>
          <w:tcPr>
            <w:tcW w:w="1330" w:type="pct"/>
            <w:vAlign w:val="center"/>
          </w:tcPr>
          <w:p w:rsidR="00B4550A" w:rsidRPr="00E0488D" w:rsidRDefault="00392D69" w:rsidP="003C7FC8">
            <w:pPr>
              <w:spacing w:before="120" w:line="276" w:lineRule="auto"/>
              <w:jc w:val="center"/>
              <w:rPr>
                <w:b/>
                <w:bCs/>
                <w:lang w:val="ro-RO"/>
              </w:rPr>
            </w:pPr>
            <w:r w:rsidRPr="00E0488D">
              <w:rPr>
                <w:b/>
                <w:bCs/>
                <w:lang w:val="ro-RO"/>
              </w:rPr>
              <w:t>17,3</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Îmbunătățirea echipamentului și facilităților de operare </w:t>
            </w:r>
          </w:p>
          <w:p w:rsidR="00B4550A" w:rsidRPr="00E0488D" w:rsidRDefault="00B4550A" w:rsidP="003C7FC8">
            <w:pPr>
              <w:spacing w:before="120" w:line="276" w:lineRule="auto"/>
              <w:rPr>
                <w:b/>
                <w:bCs/>
                <w:lang w:val="ro-RO"/>
              </w:rPr>
            </w:pPr>
            <w:r w:rsidRPr="00E0488D">
              <w:rPr>
                <w:b/>
                <w:bCs/>
                <w:lang w:val="ro-RO"/>
              </w:rPr>
              <w:t xml:space="preserve">Dane noi </w:t>
            </w:r>
          </w:p>
          <w:p w:rsidR="00B4550A" w:rsidRPr="00E0488D" w:rsidRDefault="00B4550A" w:rsidP="003C7FC8">
            <w:pPr>
              <w:spacing w:before="120" w:line="276" w:lineRule="auto"/>
              <w:rPr>
                <w:b/>
                <w:bCs/>
                <w:lang w:val="ro-RO"/>
              </w:rPr>
            </w:pPr>
            <w:r w:rsidRPr="00E0488D">
              <w:rPr>
                <w:b/>
                <w:bCs/>
                <w:lang w:val="ro-RO"/>
              </w:rPr>
              <w:t xml:space="preserve">Schimbarea configurației portului </w:t>
            </w:r>
          </w:p>
        </w:tc>
      </w:tr>
    </w:tbl>
    <w:p w:rsidR="00B4550A" w:rsidRPr="00E0488D" w:rsidRDefault="00B4550A" w:rsidP="00B4550A">
      <w:pPr>
        <w:spacing w:line="276" w:lineRule="auto"/>
        <w:rPr>
          <w:i/>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Intervenția oferă beneficii limitate cu un raport beneficiu-cost (</w:t>
      </w:r>
      <w:r w:rsidR="00392D69" w:rsidRPr="00E0488D">
        <w:t>RBC</w:t>
      </w:r>
      <w:r w:rsidRPr="00E0488D">
        <w:t xml:space="preserve">) de 0,6. Se estimează că propunerea poate genera peste 11.000 de tone de mărfuri suplimentare până în 2020. Deși rezultatele din cadrul modelului sunt limitate, acest proiect este recomandat pentru includere în Master Plan. </w:t>
      </w:r>
    </w:p>
    <w:p w:rsidR="00B4550A" w:rsidRPr="00E0488D" w:rsidRDefault="00B4550A" w:rsidP="002B7E09">
      <w:pPr>
        <w:pStyle w:val="NumberedParas"/>
        <w:numPr>
          <w:ilvl w:val="0"/>
          <w:numId w:val="0"/>
        </w:numPr>
        <w:rPr>
          <w:lang w:eastAsia="en-GB"/>
        </w:rPr>
      </w:pPr>
      <w:r w:rsidRPr="00E0488D">
        <w:rPr>
          <w:lang w:eastAsia="en-GB"/>
        </w:rPr>
        <w:t xml:space="preserve">Tabelul  6.47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Cod test </w:t>
            </w:r>
          </w:p>
        </w:tc>
        <w:tc>
          <w:tcPr>
            <w:tcW w:w="1628" w:type="dxa"/>
            <w:vAlign w:val="center"/>
          </w:tcPr>
          <w:p w:rsidR="00B4550A" w:rsidRPr="00E0488D" w:rsidRDefault="00B4550A" w:rsidP="003C7FC8">
            <w:pPr>
              <w:rPr>
                <w:sz w:val="20"/>
                <w:szCs w:val="20"/>
                <w:lang w:val="ro-RO"/>
              </w:rPr>
            </w:pPr>
            <w:r w:rsidRPr="00E0488D">
              <w:rPr>
                <w:sz w:val="20"/>
                <w:szCs w:val="20"/>
                <w:lang w:val="ro-RO"/>
              </w:rPr>
              <w:t>P-DB-S (W23)</w:t>
            </w:r>
          </w:p>
        </w:tc>
      </w:tr>
      <w:tr w:rsidR="00B4550A" w:rsidRPr="00E0488D" w:rsidTr="003C7FC8">
        <w:tc>
          <w:tcPr>
            <w:tcW w:w="3818" w:type="dxa"/>
          </w:tcPr>
          <w:p w:rsidR="00B4550A" w:rsidRPr="00E0488D" w:rsidRDefault="00B4550A" w:rsidP="003C7FC8">
            <w:pPr>
              <w:rPr>
                <w:b/>
                <w:sz w:val="20"/>
                <w:szCs w:val="20"/>
                <w:lang w:val="ro-RO"/>
              </w:rPr>
            </w:pPr>
            <w:r w:rsidRPr="00E0488D">
              <w:rPr>
                <w:b/>
                <w:sz w:val="20"/>
                <w:szCs w:val="20"/>
                <w:lang w:val="ro-RO"/>
              </w:rPr>
              <w:t>Modificare tonaj transportat pe apă anual (2020)</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108.401</w:t>
            </w:r>
          </w:p>
        </w:tc>
      </w:tr>
      <w:tr w:rsidR="00B4550A" w:rsidRPr="00E0488D" w:rsidTr="003C7FC8">
        <w:tc>
          <w:tcPr>
            <w:tcW w:w="3818" w:type="dxa"/>
            <w:vAlign w:val="center"/>
          </w:tcPr>
          <w:p w:rsidR="00B4550A" w:rsidRPr="00E0488D" w:rsidRDefault="00B4550A" w:rsidP="00447592">
            <w:pPr>
              <w:rPr>
                <w:b/>
                <w:sz w:val="20"/>
                <w:szCs w:val="20"/>
                <w:lang w:val="ro-RO"/>
              </w:rPr>
            </w:pPr>
            <w:r w:rsidRPr="00E0488D">
              <w:rPr>
                <w:b/>
                <w:sz w:val="20"/>
                <w:szCs w:val="20"/>
                <w:lang w:val="ro-RO"/>
              </w:rPr>
              <w:t>VN</w:t>
            </w:r>
            <w:r w:rsidR="00447592" w:rsidRPr="00E0488D">
              <w:rPr>
                <w:b/>
                <w:sz w:val="20"/>
                <w:szCs w:val="20"/>
                <w:lang w:val="ro-RO"/>
              </w:rPr>
              <w:t>A</w:t>
            </w:r>
            <w:r w:rsidRPr="00E0488D">
              <w:rPr>
                <w:b/>
                <w:sz w:val="20"/>
                <w:szCs w:val="20"/>
                <w:lang w:val="ro-RO"/>
              </w:rPr>
              <w:t xml:space="preserve"> mil € (preturi 2014)</w:t>
            </w:r>
          </w:p>
        </w:tc>
        <w:tc>
          <w:tcPr>
            <w:tcW w:w="1628" w:type="dxa"/>
          </w:tcPr>
          <w:p w:rsidR="00B4550A" w:rsidRPr="00E0488D" w:rsidRDefault="00B4550A" w:rsidP="003C7FC8">
            <w:pPr>
              <w:spacing w:line="276" w:lineRule="auto"/>
              <w:jc w:val="center"/>
              <w:rPr>
                <w:sz w:val="20"/>
                <w:szCs w:val="20"/>
                <w:lang w:val="ro-RO"/>
              </w:rPr>
            </w:pPr>
            <w:r w:rsidRPr="00E0488D">
              <w:rPr>
                <w:sz w:val="20"/>
                <w:szCs w:val="20"/>
                <w:lang w:val="ro-RO"/>
              </w:rPr>
              <w:t>117</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RBC</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11,68</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RIRE</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22,8%</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Recomandare Master Plan </w:t>
            </w:r>
          </w:p>
        </w:tc>
        <w:tc>
          <w:tcPr>
            <w:tcW w:w="1628" w:type="dxa"/>
          </w:tcPr>
          <w:p w:rsidR="00B4550A" w:rsidRPr="00E0488D" w:rsidRDefault="00B4550A" w:rsidP="003C7FC8">
            <w:pPr>
              <w:spacing w:line="276" w:lineRule="auto"/>
              <w:jc w:val="center"/>
              <w:rPr>
                <w:sz w:val="20"/>
                <w:szCs w:val="20"/>
                <w:lang w:val="ro-RO"/>
              </w:rPr>
            </w:pPr>
            <w:r w:rsidRPr="00E0488D">
              <w:rPr>
                <w:color w:val="00B050"/>
                <w:sz w:val="20"/>
                <w:szCs w:val="20"/>
                <w:lang w:val="ro-RO"/>
              </w:rPr>
              <w:sym w:font="Wingdings" w:char="F0FC"/>
            </w:r>
          </w:p>
        </w:tc>
      </w:tr>
    </w:tbl>
    <w:p w:rsidR="00B4550A" w:rsidRPr="00E0488D" w:rsidRDefault="00B4550A" w:rsidP="00B4550A">
      <w:pPr>
        <w:spacing w:line="276" w:lineRule="auto"/>
        <w:rPr>
          <w:i/>
          <w:u w:val="single"/>
          <w:lang w:val="ro-RO" w:eastAsia="en-GB"/>
        </w:rPr>
      </w:pPr>
    </w:p>
    <w:p w:rsidR="00B4550A" w:rsidRPr="00E0488D" w:rsidRDefault="00392D69" w:rsidP="00B4550A">
      <w:pPr>
        <w:spacing w:line="276" w:lineRule="auto"/>
        <w:rPr>
          <w:lang w:val="ro-RO" w:eastAsia="en-GB"/>
        </w:rPr>
      </w:pPr>
      <w:r w:rsidRPr="00E0488D">
        <w:rPr>
          <w:noProof/>
          <w:lang w:val="ro-RO" w:eastAsia="ro-RO"/>
        </w:rPr>
        <w:drawing>
          <wp:inline distT="0" distB="0" distL="0" distR="0">
            <wp:extent cx="5228194" cy="1413163"/>
            <wp:effectExtent l="19050" t="0" r="10556" b="0"/>
            <wp:docPr id="21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6.23 –Tone operate în portul Drobeta</w:t>
      </w:r>
      <w:r w:rsidR="00392D69" w:rsidRPr="00E0488D">
        <w:rPr>
          <w:b/>
          <w:sz w:val="22"/>
          <w:szCs w:val="22"/>
          <w:lang w:val="ro-RO" w:eastAsia="en-GB"/>
        </w:rPr>
        <w:t xml:space="preserve"> Turnu Severin </w:t>
      </w:r>
      <w:r w:rsidRPr="00E0488D">
        <w:rPr>
          <w:b/>
          <w:sz w:val="22"/>
          <w:szCs w:val="22"/>
          <w:lang w:val="ro-RO" w:eastAsia="en-GB"/>
        </w:rPr>
        <w:t>în perioada 2007-2011 și estimările pentru 2020</w:t>
      </w:r>
    </w:p>
    <w:p w:rsidR="00B4550A" w:rsidRPr="00E0488D" w:rsidRDefault="00B4550A" w:rsidP="00B4550A">
      <w:pPr>
        <w:spacing w:line="276" w:lineRule="auto"/>
        <w:rPr>
          <w:sz w:val="22"/>
          <w:szCs w:val="22"/>
          <w:lang w:val="ro-RO" w:eastAsia="en-GB"/>
        </w:rPr>
      </w:pPr>
    </w:p>
    <w:p w:rsidR="00D5187C" w:rsidRPr="00E0488D" w:rsidRDefault="004D5265" w:rsidP="002B7E09">
      <w:pPr>
        <w:pStyle w:val="NumberedParas"/>
        <w:rPr>
          <w:lang w:eastAsia="en-GB"/>
        </w:rPr>
      </w:pPr>
      <w:r w:rsidRPr="00E0488D">
        <w:rPr>
          <w:lang w:eastAsia="en-GB"/>
        </w:rPr>
        <w:t xml:space="preserve">Din analiza cifrelor referitoare la capacitate, </w:t>
      </w:r>
      <w:r w:rsidR="004A2D5A" w:rsidRPr="00E0488D">
        <w:rPr>
          <w:lang w:eastAsia="en-GB"/>
        </w:rPr>
        <w:t xml:space="preserve">rezultă că </w:t>
      </w:r>
      <w:r w:rsidRPr="00E0488D">
        <w:rPr>
          <w:lang w:eastAsia="en-GB"/>
        </w:rPr>
        <w:t>portul are o capac</w:t>
      </w:r>
      <w:r w:rsidR="004A2D5A" w:rsidRPr="00E0488D">
        <w:rPr>
          <w:lang w:eastAsia="en-GB"/>
        </w:rPr>
        <w:t>itate teoretică maximă de 500.000 de tone pe an. Până în 2020 se prognozează o depășire</w:t>
      </w:r>
      <w:r w:rsidR="00D5187C" w:rsidRPr="00E0488D">
        <w:rPr>
          <w:lang w:eastAsia="en-GB"/>
        </w:rPr>
        <w:t xml:space="preserve"> a capacității maxime, și astfel proiectele recomandate vor sprijini portul în atingerea potențialului.</w:t>
      </w:r>
    </w:p>
    <w:p w:rsidR="00B4550A" w:rsidRPr="00E0488D" w:rsidRDefault="00D5187C" w:rsidP="002B7E09">
      <w:pPr>
        <w:pStyle w:val="NumberedParas"/>
        <w:numPr>
          <w:ilvl w:val="0"/>
          <w:numId w:val="0"/>
        </w:numPr>
        <w:rPr>
          <w:lang w:eastAsia="en-GB"/>
        </w:rPr>
      </w:pPr>
      <w:r w:rsidRPr="00E0488D">
        <w:rPr>
          <w:lang w:eastAsia="en-GB"/>
        </w:rPr>
        <w:t xml:space="preserve"> </w:t>
      </w:r>
      <w:r w:rsidR="00B4550A" w:rsidRPr="00E0488D">
        <w:rPr>
          <w:lang w:eastAsia="en-GB"/>
        </w:rPr>
        <w:t>Tabelul 6.48 –Utilizarea prognozată a portului Drobeta Turnu Severin</w:t>
      </w:r>
    </w:p>
    <w:tbl>
      <w:tblPr>
        <w:tblW w:w="678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141"/>
        <w:gridCol w:w="987"/>
        <w:gridCol w:w="266"/>
        <w:gridCol w:w="1135"/>
        <w:gridCol w:w="1199"/>
        <w:gridCol w:w="960"/>
      </w:tblGrid>
      <w:tr w:rsidR="00B4550A" w:rsidRPr="00E0488D" w:rsidTr="003C7FC8">
        <w:trPr>
          <w:trHeight w:val="315"/>
        </w:trPr>
        <w:tc>
          <w:tcPr>
            <w:tcW w:w="1116" w:type="dxa"/>
            <w:shd w:val="clear" w:color="000000" w:fill="376091"/>
            <w:noWrap/>
            <w:vAlign w:val="bottom"/>
            <w:hideMark/>
          </w:tcPr>
          <w:p w:rsidR="00B4550A" w:rsidRPr="00E0488D" w:rsidRDefault="00B4550A" w:rsidP="00D74E9B">
            <w:pPr>
              <w:spacing w:line="276" w:lineRule="auto"/>
              <w:rPr>
                <w:b/>
                <w:lang w:val="ro-RO" w:eastAsia="en-GB"/>
              </w:rPr>
            </w:pPr>
          </w:p>
        </w:tc>
        <w:tc>
          <w:tcPr>
            <w:tcW w:w="2128" w:type="dxa"/>
            <w:gridSpan w:val="2"/>
            <w:shd w:val="clear" w:color="000000" w:fill="376091"/>
            <w:noWrap/>
            <w:vAlign w:val="bottom"/>
            <w:hideMark/>
          </w:tcPr>
          <w:p w:rsidR="00B4550A" w:rsidRPr="00E0488D" w:rsidRDefault="00B4550A" w:rsidP="00D74E9B">
            <w:pPr>
              <w:spacing w:line="276" w:lineRule="auto"/>
              <w:rPr>
                <w:b/>
                <w:color w:val="FFFFFF" w:themeColor="background1"/>
                <w:lang w:val="ro-RO" w:eastAsia="en-GB"/>
              </w:rPr>
            </w:pPr>
            <w:r w:rsidRPr="00E0488D">
              <w:rPr>
                <w:b/>
                <w:color w:val="FFFFFF" w:themeColor="background1"/>
                <w:lang w:val="ro-RO" w:eastAsia="en-GB"/>
              </w:rPr>
              <w:t>Scenariul de referință</w:t>
            </w:r>
          </w:p>
        </w:tc>
        <w:tc>
          <w:tcPr>
            <w:tcW w:w="266" w:type="dxa"/>
            <w:shd w:val="clear" w:color="000000" w:fill="254061"/>
            <w:noWrap/>
            <w:vAlign w:val="bottom"/>
            <w:hideMark/>
          </w:tcPr>
          <w:p w:rsidR="00B4550A" w:rsidRPr="00E0488D" w:rsidRDefault="00B4550A" w:rsidP="00D74E9B">
            <w:pPr>
              <w:spacing w:line="276" w:lineRule="auto"/>
              <w:rPr>
                <w:b/>
                <w:color w:val="FFFFFF" w:themeColor="background1"/>
                <w:lang w:val="ro-RO" w:eastAsia="en-GB"/>
              </w:rPr>
            </w:pPr>
          </w:p>
        </w:tc>
        <w:tc>
          <w:tcPr>
            <w:tcW w:w="1116" w:type="dxa"/>
            <w:shd w:val="clear" w:color="000000" w:fill="376091"/>
            <w:noWrap/>
            <w:vAlign w:val="bottom"/>
            <w:hideMark/>
          </w:tcPr>
          <w:p w:rsidR="00B4550A" w:rsidRPr="00E0488D" w:rsidRDefault="00B4550A" w:rsidP="00D74E9B">
            <w:pPr>
              <w:spacing w:line="276" w:lineRule="auto"/>
              <w:rPr>
                <w:b/>
                <w:color w:val="FFFFFF" w:themeColor="background1"/>
                <w:lang w:val="ro-RO" w:eastAsia="en-GB"/>
              </w:rPr>
            </w:pPr>
          </w:p>
        </w:tc>
        <w:tc>
          <w:tcPr>
            <w:tcW w:w="2159" w:type="dxa"/>
            <w:gridSpan w:val="2"/>
            <w:shd w:val="clear" w:color="000000" w:fill="376091"/>
            <w:noWrap/>
            <w:vAlign w:val="bottom"/>
            <w:hideMark/>
          </w:tcPr>
          <w:p w:rsidR="00B4550A" w:rsidRPr="00E0488D" w:rsidRDefault="00B4550A" w:rsidP="00D74E9B">
            <w:pPr>
              <w:spacing w:line="276" w:lineRule="auto"/>
              <w:rPr>
                <w:b/>
                <w:color w:val="FFFFFF" w:themeColor="background1"/>
                <w:lang w:val="ro-RO" w:eastAsia="en-GB"/>
              </w:rPr>
            </w:pPr>
            <w:r w:rsidRPr="00E0488D">
              <w:rPr>
                <w:b/>
                <w:color w:val="FFFFFF" w:themeColor="background1"/>
                <w:lang w:val="ro-RO" w:eastAsia="en-GB"/>
              </w:rPr>
              <w:t>Do Something</w:t>
            </w:r>
          </w:p>
        </w:tc>
      </w:tr>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50%</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91%</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92%</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74%</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08%</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84%</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22</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48%</w:t>
            </w:r>
          </w:p>
        </w:tc>
      </w:tr>
      <w:tr w:rsidR="00B4550A" w:rsidRPr="00E0488D" w:rsidTr="003C7FC8">
        <w:trPr>
          <w:trHeight w:val="300"/>
        </w:trPr>
        <w:tc>
          <w:tcPr>
            <w:tcW w:w="1116" w:type="dxa"/>
            <w:shd w:val="clear" w:color="000000" w:fill="95B3D7"/>
            <w:vAlign w:val="bottom"/>
            <w:hideMark/>
          </w:tcPr>
          <w:p w:rsidR="00B4550A" w:rsidRPr="00E0488D" w:rsidRDefault="00B4550A" w:rsidP="00D5187C">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w:t>
            </w:r>
            <w:r w:rsidR="00D5187C" w:rsidRPr="00E0488D">
              <w:rPr>
                <w:rFonts w:ascii="Gill Sans MT" w:hAnsi="Gill Sans MT"/>
                <w:color w:val="000000"/>
                <w:sz w:val="20"/>
                <w:szCs w:val="20"/>
                <w:lang w:val="ro-RO" w:eastAsia="en-GB"/>
              </w:rPr>
              <w:t>e</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87"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D5187C">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Container</w:t>
            </w:r>
            <w:r w:rsidR="00D5187C" w:rsidRPr="00E0488D">
              <w:rPr>
                <w:rFonts w:ascii="Gill Sans MT" w:hAnsi="Gill Sans MT"/>
                <w:color w:val="000000"/>
                <w:sz w:val="20"/>
                <w:szCs w:val="20"/>
                <w:lang w:val="ro-RO" w:eastAsia="en-GB"/>
              </w:rPr>
              <w:t>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35%</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57%</w:t>
            </w:r>
          </w:p>
        </w:tc>
      </w:tr>
      <w:tr w:rsidR="00B4550A" w:rsidRPr="00E0488D" w:rsidTr="003C7FC8">
        <w:trPr>
          <w:trHeight w:val="330"/>
        </w:trPr>
        <w:tc>
          <w:tcPr>
            <w:tcW w:w="1116" w:type="dxa"/>
            <w:shd w:val="clear" w:color="000000" w:fill="95B3D7"/>
            <w:noWrap/>
            <w:vAlign w:val="bottom"/>
            <w:hideMark/>
          </w:tcPr>
          <w:p w:rsidR="00B4550A" w:rsidRPr="00E0488D" w:rsidRDefault="00D5187C"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Altele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28%</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11%</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noWrap/>
            <w:vAlign w:val="bottom"/>
            <w:hideMark/>
          </w:tcPr>
          <w:p w:rsidR="00B4550A" w:rsidRPr="00E0488D" w:rsidRDefault="00D5187C"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32%</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33</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01%</w:t>
            </w:r>
          </w:p>
        </w:tc>
      </w:tr>
    </w:tbl>
    <w:p w:rsidR="0080656E" w:rsidRPr="00E0488D" w:rsidRDefault="0080656E" w:rsidP="002B7E09">
      <w:pPr>
        <w:pStyle w:val="NumberedParas"/>
        <w:rPr>
          <w:lang w:eastAsia="en-GB"/>
        </w:rPr>
      </w:pPr>
      <w:r w:rsidRPr="00E0488D">
        <w:rPr>
          <w:lang w:eastAsia="en-GB"/>
        </w:rPr>
        <w:t xml:space="preserve">Datele din tabel arată faptul că dezvoltarea infrastructurii portului va avea ca efect asigurarea unei capacități suficiente pentru a face față problemelor de utilizare prognozate. </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Acest proiect ar trebui să fie implementat de APDF Giurgiu, probabil în colaborare cu un operator privat al terminalului.</w:t>
      </w:r>
    </w:p>
    <w:p w:rsidR="00B4550A" w:rsidRPr="00E0488D" w:rsidRDefault="00B4550A" w:rsidP="00B4550A">
      <w:pPr>
        <w:spacing w:line="276" w:lineRule="auto"/>
        <w:rPr>
          <w:bCs/>
          <w:i/>
          <w:sz w:val="22"/>
          <w:szCs w:val="22"/>
          <w:u w:val="single"/>
          <w:lang w:val="ro-RO"/>
        </w:rPr>
      </w:pP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pPr>
      <w:r w:rsidRPr="00E0488D">
        <w:t xml:space="preserve">Această implementare ar putea să înceapă după finalizarea procesului de aprobare a proiectului; cu toate acestea, pentru atragerea cât mai multor beneficii se recomandă ca finalizarea proiectului să fie programată după finalizarea proiectelor de îmbunătățire a navigabilității Fluviului Dunărea. </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Orșova:</w:t>
      </w:r>
    </w:p>
    <w:p w:rsidR="00B4550A" w:rsidRPr="00E0488D" w:rsidRDefault="00B4550A" w:rsidP="00B4550A">
      <w:pPr>
        <w:spacing w:line="276" w:lineRule="auto"/>
        <w:rPr>
          <w:b/>
          <w:sz w:val="22"/>
          <w:szCs w:val="22"/>
          <w:lang w:val="ro-RO"/>
        </w:rPr>
      </w:pPr>
      <w:r w:rsidRPr="00E0488D">
        <w:rPr>
          <w:b/>
          <w:sz w:val="22"/>
          <w:szCs w:val="22"/>
          <w:lang w:val="ro-RO"/>
        </w:rPr>
        <w:t xml:space="preserve">Modernizarea portului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Infrastructura din Orșova este veche și trebuie să fie modernizată. Mai precis, propunerea include: </w:t>
      </w:r>
    </w:p>
    <w:p w:rsidR="00B4550A" w:rsidRPr="00E0488D" w:rsidRDefault="00B4550A" w:rsidP="00BC2B57">
      <w:pPr>
        <w:pStyle w:val="BulletLevel1"/>
      </w:pPr>
      <w:r w:rsidRPr="00E0488D">
        <w:t xml:space="preserve">Îmbunătățiri în zona danelor </w:t>
      </w:r>
    </w:p>
    <w:p w:rsidR="00B4550A" w:rsidRPr="00E0488D" w:rsidRDefault="00B4550A" w:rsidP="00BC2B57">
      <w:pPr>
        <w:pStyle w:val="BulletLevel1"/>
      </w:pPr>
      <w:r w:rsidRPr="00E0488D">
        <w:t xml:space="preserve">Îmbunătățirea semnalizării </w:t>
      </w:r>
    </w:p>
    <w:p w:rsidR="00B4550A" w:rsidRPr="00E0488D" w:rsidRDefault="00B4550A" w:rsidP="00BC2B57">
      <w:pPr>
        <w:pStyle w:val="BulletLevel1"/>
      </w:pPr>
      <w:r w:rsidRPr="00E0488D">
        <w:t xml:space="preserve">Crearea de noi dane pentru a opera mărfuri moderne </w:t>
      </w:r>
    </w:p>
    <w:p w:rsidR="00B4550A" w:rsidRPr="00E0488D" w:rsidRDefault="00B4550A" w:rsidP="00B4550A">
      <w:pPr>
        <w:spacing w:line="276" w:lineRule="auto"/>
        <w:rPr>
          <w:sz w:val="22"/>
          <w:szCs w:val="22"/>
          <w:lang w:val="ro-RO" w:eastAsia="en-GB"/>
        </w:rPr>
      </w:pPr>
      <w:r w:rsidRPr="00E0488D">
        <w:rPr>
          <w:noProof/>
          <w:sz w:val="22"/>
          <w:szCs w:val="22"/>
          <w:lang w:val="ro-RO" w:eastAsia="ro-RO"/>
        </w:rPr>
        <w:drawing>
          <wp:inline distT="0" distB="0" distL="0" distR="0">
            <wp:extent cx="5943600" cy="1212215"/>
            <wp:effectExtent l="19050" t="0" r="0" b="0"/>
            <wp:docPr id="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5943600" cy="1212215"/>
                    </a:xfrm>
                    <a:prstGeom prst="rect">
                      <a:avLst/>
                    </a:prstGeom>
                    <a:noFill/>
                    <a:ln w="9525">
                      <a:noFill/>
                      <a:miter lim="800000"/>
                      <a:headEnd/>
                      <a:tailEnd/>
                    </a:ln>
                  </pic:spPr>
                </pic:pic>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Figura 6.2</w:t>
      </w:r>
      <w:r w:rsidR="0080656E" w:rsidRPr="00E0488D">
        <w:rPr>
          <w:b/>
          <w:sz w:val="22"/>
          <w:szCs w:val="22"/>
          <w:lang w:val="ro-RO" w:eastAsia="en-GB"/>
        </w:rPr>
        <w:t>4</w:t>
      </w:r>
      <w:r w:rsidRPr="00E0488D">
        <w:rPr>
          <w:b/>
          <w:sz w:val="22"/>
          <w:szCs w:val="22"/>
          <w:lang w:val="ro-RO" w:eastAsia="en-GB"/>
        </w:rPr>
        <w:t xml:space="preserve"> – Planuri de modernizare la Orșova </w:t>
      </w:r>
    </w:p>
    <w:p w:rsidR="00B4550A" w:rsidRPr="00E0488D" w:rsidRDefault="00B4550A" w:rsidP="00B4550A">
      <w:pPr>
        <w:spacing w:line="276" w:lineRule="auto"/>
        <w:rPr>
          <w:sz w:val="22"/>
          <w:szCs w:val="22"/>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Problemele atinse de această propunere sunt:</w:t>
      </w:r>
    </w:p>
    <w:p w:rsidR="00B4550A" w:rsidRPr="00E0488D" w:rsidRDefault="00B4550A" w:rsidP="00BC2B57">
      <w:pPr>
        <w:pStyle w:val="BulletLevel1"/>
      </w:pPr>
      <w:r w:rsidRPr="00E0488D">
        <w:t xml:space="preserve">Tonele operate de la un an la altul variază astfel încât un program </w:t>
      </w:r>
      <w:r w:rsidR="007531C0" w:rsidRPr="00E0488D">
        <w:t>general</w:t>
      </w:r>
      <w:r w:rsidRPr="00E0488D">
        <w:t xml:space="preserve"> de modernizare a portului vor genera mai multă stabilitate </w:t>
      </w:r>
    </w:p>
    <w:p w:rsidR="00B4550A" w:rsidRPr="00E0488D" w:rsidRDefault="00B4550A" w:rsidP="00BC2B57">
      <w:pPr>
        <w:pStyle w:val="BulletLevel1"/>
      </w:pPr>
      <w:r w:rsidRPr="00E0488D">
        <w:t xml:space="preserve">Infrastructura veche nu este potrivită pentru cerințele tipurilor de mărfuri moderne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 xml:space="preserve">Această propunere ar aduce beneficii tuturor operațiunilor din port precum cele cu materiale de construcții și produse minerale și ar putea atrage noi fluxuri de mărfuri.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faptul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6.49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r w:rsidRPr="00E0488D">
              <w:rPr>
                <w:b/>
                <w:bCs/>
                <w:lang w:val="ro-RO"/>
              </w:rPr>
              <w:t xml:space="preserve">Articol </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neactualizare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80656E">
            <w:pPr>
              <w:spacing w:before="120" w:line="276" w:lineRule="auto"/>
              <w:rPr>
                <w:b/>
                <w:bCs/>
                <w:lang w:val="ro-RO"/>
              </w:rPr>
            </w:pPr>
            <w:r w:rsidRPr="00E0488D">
              <w:rPr>
                <w:b/>
                <w:bCs/>
                <w:lang w:val="ro-RO"/>
              </w:rPr>
              <w:t>C</w:t>
            </w:r>
            <w:r w:rsidR="0080656E" w:rsidRPr="00E0488D">
              <w:rPr>
                <w:b/>
                <w:bCs/>
                <w:lang w:val="ro-RO"/>
              </w:rPr>
              <w:t>ost</w:t>
            </w:r>
          </w:p>
        </w:tc>
        <w:tc>
          <w:tcPr>
            <w:tcW w:w="1330" w:type="pct"/>
            <w:vAlign w:val="center"/>
          </w:tcPr>
          <w:p w:rsidR="00B4550A" w:rsidRPr="00E0488D" w:rsidRDefault="0080656E" w:rsidP="003C7FC8">
            <w:pPr>
              <w:spacing w:before="120" w:line="276" w:lineRule="auto"/>
              <w:jc w:val="center"/>
              <w:rPr>
                <w:b/>
                <w:bCs/>
                <w:lang w:val="ro-RO"/>
              </w:rPr>
            </w:pPr>
            <w:r w:rsidRPr="00E0488D">
              <w:rPr>
                <w:b/>
                <w:bCs/>
                <w:lang w:val="ro-RO"/>
              </w:rPr>
              <w:t>7,8</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Îmbunătățiri în zona danelor </w:t>
            </w:r>
          </w:p>
          <w:p w:rsidR="00B4550A" w:rsidRPr="00E0488D" w:rsidRDefault="0080656E" w:rsidP="003C7FC8">
            <w:pPr>
              <w:spacing w:before="120" w:line="276" w:lineRule="auto"/>
              <w:rPr>
                <w:b/>
                <w:bCs/>
                <w:lang w:val="ro-RO"/>
              </w:rPr>
            </w:pPr>
            <w:r w:rsidRPr="00E0488D">
              <w:rPr>
                <w:b/>
                <w:bCs/>
                <w:lang w:val="ro-RO"/>
              </w:rPr>
              <w:t>Dane noi</w:t>
            </w:r>
          </w:p>
          <w:p w:rsidR="00B4550A" w:rsidRPr="00E0488D" w:rsidRDefault="00B4550A" w:rsidP="003C7FC8">
            <w:pPr>
              <w:spacing w:before="120" w:line="276" w:lineRule="auto"/>
              <w:rPr>
                <w:b/>
                <w:bCs/>
                <w:lang w:val="ro-RO"/>
              </w:rPr>
            </w:pPr>
            <w:r w:rsidRPr="00E0488D">
              <w:rPr>
                <w:b/>
                <w:bCs/>
                <w:lang w:val="ro-RO"/>
              </w:rPr>
              <w:t xml:space="preserve">Îmbunătățirea semnalizării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Această intervenție oferă suficiente beneficii cu un raport beneficiu-cost (</w:t>
      </w:r>
      <w:r w:rsidR="0080656E" w:rsidRPr="00E0488D">
        <w:t>R</w:t>
      </w:r>
      <w:r w:rsidRPr="00E0488D">
        <w:t xml:space="preserve">BC) de 12,7. Se anticipează că propunerea va genera peste 66.000 de tone de mărfuri suplimentare până în 2020. Se recomandă includerea acestui proiect în Master Plan. </w:t>
      </w:r>
    </w:p>
    <w:p w:rsidR="00B4550A" w:rsidRPr="00E0488D" w:rsidRDefault="00B4550A" w:rsidP="00D74E9B">
      <w:pPr>
        <w:spacing w:line="276" w:lineRule="auto"/>
        <w:rPr>
          <w:lang w:val="ro-RO"/>
        </w:rPr>
      </w:pPr>
      <w:r w:rsidRPr="00E0488D">
        <w:rPr>
          <w:b/>
          <w:lang w:val="ro-RO" w:eastAsia="en-GB"/>
        </w:rPr>
        <w:t xml:space="preserve">Tabelul  6.50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P-OV-S (W23)</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66.045</w:t>
            </w:r>
          </w:p>
        </w:tc>
      </w:tr>
      <w:tr w:rsidR="00B4550A" w:rsidRPr="00E0488D" w:rsidTr="003C7FC8">
        <w:tc>
          <w:tcPr>
            <w:tcW w:w="3818" w:type="dxa"/>
            <w:vAlign w:val="center"/>
          </w:tcPr>
          <w:p w:rsidR="00B4550A" w:rsidRPr="00E0488D" w:rsidRDefault="00B4550A" w:rsidP="0080656E">
            <w:pPr>
              <w:rPr>
                <w:b/>
                <w:lang w:val="ro-RO"/>
              </w:rPr>
            </w:pPr>
            <w:r w:rsidRPr="00E0488D">
              <w:rPr>
                <w:b/>
                <w:lang w:val="ro-RO"/>
              </w:rPr>
              <w:t>VN</w:t>
            </w:r>
            <w:r w:rsidR="0080656E"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58</w:t>
            </w:r>
          </w:p>
        </w:tc>
      </w:tr>
      <w:tr w:rsidR="00B4550A" w:rsidRPr="00E0488D" w:rsidTr="003C7FC8">
        <w:tc>
          <w:tcPr>
            <w:tcW w:w="3818" w:type="dxa"/>
            <w:vAlign w:val="center"/>
          </w:tcPr>
          <w:p w:rsidR="00B4550A" w:rsidRPr="00E0488D" w:rsidRDefault="0080656E" w:rsidP="003C7FC8">
            <w:pPr>
              <w:rPr>
                <w:b/>
                <w:lang w:val="ro-RO"/>
              </w:rPr>
            </w:pPr>
            <w:r w:rsidRPr="00E0488D">
              <w:rPr>
                <w:b/>
                <w:lang w:val="ro-RO"/>
              </w:rPr>
              <w:t>RB</w:t>
            </w:r>
            <w:r w:rsidR="00B4550A" w:rsidRPr="00E0488D">
              <w:rPr>
                <w:b/>
                <w:lang w:val="ro-RO"/>
              </w:rPr>
              <w:t>C</w:t>
            </w:r>
          </w:p>
        </w:tc>
        <w:tc>
          <w:tcPr>
            <w:tcW w:w="1628" w:type="dxa"/>
          </w:tcPr>
          <w:p w:rsidR="00B4550A" w:rsidRPr="00E0488D" w:rsidRDefault="00B4550A" w:rsidP="003C7FC8">
            <w:pPr>
              <w:spacing w:line="276" w:lineRule="auto"/>
              <w:jc w:val="center"/>
              <w:rPr>
                <w:i/>
                <w:u w:val="single"/>
                <w:lang w:val="ro-RO"/>
              </w:rPr>
            </w:pPr>
            <w:r w:rsidRPr="00E0488D">
              <w:rPr>
                <w:lang w:val="ro-RO"/>
              </w:rPr>
              <w:t>12,70</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24,8%</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u w:val="single"/>
          <w:lang w:val="ro-RO" w:eastAsia="en-GB"/>
        </w:rPr>
      </w:pPr>
    </w:p>
    <w:p w:rsidR="00B4550A" w:rsidRPr="00E0488D" w:rsidRDefault="0080656E" w:rsidP="00B4550A">
      <w:pPr>
        <w:spacing w:line="276" w:lineRule="auto"/>
        <w:rPr>
          <w:i/>
          <w:u w:val="single"/>
          <w:lang w:val="ro-RO" w:eastAsia="en-GB"/>
        </w:rPr>
      </w:pPr>
      <w:r w:rsidRPr="00E0488D">
        <w:rPr>
          <w:i/>
          <w:noProof/>
          <w:u w:val="single"/>
          <w:lang w:val="ro-RO" w:eastAsia="ro-RO"/>
        </w:rPr>
        <w:drawing>
          <wp:inline distT="0" distB="0" distL="0" distR="0">
            <wp:extent cx="5290935" cy="1603168"/>
            <wp:effectExtent l="19050" t="0" r="24015" b="0"/>
            <wp:docPr id="2"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6.25 – Tone operate în portul Orșova în perioada 2007 – 2011 și estimările pentru 2020 </w:t>
      </w:r>
    </w:p>
    <w:p w:rsidR="00B4550A" w:rsidRPr="00E0488D" w:rsidRDefault="004602D5" w:rsidP="002B7E09">
      <w:pPr>
        <w:pStyle w:val="NumberedParas"/>
        <w:rPr>
          <w:i/>
          <w:u w:val="single"/>
          <w:lang w:eastAsia="en-GB"/>
        </w:rPr>
      </w:pPr>
      <w:r w:rsidRPr="00E0488D">
        <w:rPr>
          <w:lang w:eastAsia="en-GB"/>
        </w:rPr>
        <w:t xml:space="preserve">Din analiza cifrelor referitoare la capacitate că portul Orșova are o capacitate teoretică maximă de 806.000 de tone pe an. Cu toate acestea, infrastructura portului este învechită și este improbabil că portul ar putea atinge această limită în realitate. Modernizarea va ajuta portul să își realizeze potențialul. </w:t>
      </w:r>
    </w:p>
    <w:p w:rsidR="00B4550A" w:rsidRPr="00E0488D" w:rsidRDefault="00B4550A" w:rsidP="002B7E09">
      <w:pPr>
        <w:pStyle w:val="NumberedParas"/>
        <w:numPr>
          <w:ilvl w:val="0"/>
          <w:numId w:val="0"/>
        </w:numPr>
        <w:rPr>
          <w:lang w:eastAsia="en-GB"/>
        </w:rPr>
      </w:pPr>
      <w:r w:rsidRPr="00E0488D">
        <w:rPr>
          <w:lang w:eastAsia="en-GB"/>
        </w:rPr>
        <w:t xml:space="preserve">Tabelul 6.51 –Utilizarea prognozată a portului </w:t>
      </w:r>
      <w:r w:rsidR="001205D0" w:rsidRPr="00E0488D">
        <w:rPr>
          <w:lang w:eastAsia="en-GB"/>
        </w:rPr>
        <w:t>Orșova</w:t>
      </w:r>
    </w:p>
    <w:tbl>
      <w:tblPr>
        <w:tblW w:w="681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141"/>
        <w:gridCol w:w="987"/>
        <w:gridCol w:w="266"/>
        <w:gridCol w:w="1116"/>
        <w:gridCol w:w="1199"/>
        <w:gridCol w:w="987"/>
      </w:tblGrid>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2128"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86"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trPr>
        <w:tc>
          <w:tcPr>
            <w:tcW w:w="1116"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116"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87"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47%</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39%</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17</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28%</w:t>
            </w:r>
          </w:p>
        </w:tc>
      </w:tr>
      <w:tr w:rsidR="00B4550A" w:rsidRPr="00E0488D" w:rsidTr="003C7FC8">
        <w:trPr>
          <w:trHeight w:val="300"/>
        </w:trPr>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71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20%</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110</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86%</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85%</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29%</w:t>
            </w:r>
          </w:p>
        </w:tc>
      </w:tr>
      <w:tr w:rsidR="00B4550A" w:rsidRPr="00E0488D" w:rsidTr="0080656E">
        <w:trPr>
          <w:trHeight w:val="363"/>
        </w:trPr>
        <w:tc>
          <w:tcPr>
            <w:tcW w:w="1116" w:type="dxa"/>
            <w:shd w:val="clear" w:color="000000" w:fill="95B3D7"/>
            <w:noWrap/>
            <w:vAlign w:val="bottom"/>
            <w:hideMark/>
          </w:tcPr>
          <w:p w:rsidR="00B4550A" w:rsidRPr="00E0488D" w:rsidRDefault="0080656E"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1</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83%</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48%</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116" w:type="dxa"/>
            <w:shd w:val="clear" w:color="000000" w:fill="95B3D7"/>
            <w:noWrap/>
            <w:vAlign w:val="bottom"/>
            <w:hideMark/>
          </w:tcPr>
          <w:p w:rsidR="00B4550A" w:rsidRPr="00E0488D" w:rsidRDefault="0080656E" w:rsidP="0080656E">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Altele</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39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23%</w:t>
            </w:r>
          </w:p>
        </w:tc>
        <w:tc>
          <w:tcPr>
            <w:tcW w:w="987"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66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r>
    </w:tbl>
    <w:p w:rsidR="00B4550A" w:rsidRPr="00E0488D" w:rsidRDefault="00B4550A" w:rsidP="00B4550A">
      <w:pPr>
        <w:spacing w:line="276" w:lineRule="auto"/>
        <w:rPr>
          <w:i/>
          <w:u w:val="single"/>
          <w:lang w:val="ro-RO" w:eastAsia="en-GB"/>
        </w:rPr>
      </w:pPr>
    </w:p>
    <w:p w:rsidR="00B4550A" w:rsidRPr="00E0488D" w:rsidRDefault="004602D5" w:rsidP="002B7E09">
      <w:pPr>
        <w:pStyle w:val="NumberedParas"/>
        <w:rPr>
          <w:lang w:eastAsia="en-GB"/>
        </w:rPr>
      </w:pPr>
      <w:r w:rsidRPr="00E0488D">
        <w:rPr>
          <w:lang w:eastAsia="en-GB"/>
        </w:rPr>
        <w:t xml:space="preserve">Modernizarea portului va avea ca efect operațiuni mai eficiente care vor duce la creșterea capacității acestuia. Creșterea capacității rezolvă problemele de </w:t>
      </w:r>
      <w:r w:rsidR="001205D0" w:rsidRPr="00E0488D">
        <w:rPr>
          <w:lang w:eastAsia="en-GB"/>
        </w:rPr>
        <w:t>utilizare</w:t>
      </w:r>
      <w:r w:rsidRPr="00E0488D">
        <w:rPr>
          <w:lang w:eastAsia="en-GB"/>
        </w:rPr>
        <w:t xml:space="preserve"> prognozate. </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APDF Giurgiu, probabil în colaborare cu un operator privat al terminalului. </w:t>
      </w:r>
    </w:p>
    <w:p w:rsidR="00B4550A" w:rsidRPr="00E0488D" w:rsidRDefault="00B4550A" w:rsidP="00B4550A">
      <w:pPr>
        <w:spacing w:line="276" w:lineRule="auto"/>
        <w:rPr>
          <w:bCs/>
          <w:i/>
          <w:sz w:val="22"/>
          <w:szCs w:val="22"/>
          <w:u w:val="single"/>
          <w:lang w:val="ro-RO"/>
        </w:rPr>
      </w:pP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pPr>
      <w:r w:rsidRPr="00E0488D">
        <w:t xml:space="preserve">Implementarea ar putea începe imediat după aprobarea proiectului, cu toate acestea, pentru atragerea cât mai multor beneficii se recomandă ca finalizarea proiectului să fie programată după terminarea proiectelor de îmbunătățire a navigabilității pe Fluviul Dunărea (a se vedea mai târziu). </w:t>
      </w:r>
    </w:p>
    <w:p w:rsidR="00B4550A" w:rsidRPr="00E0488D" w:rsidRDefault="00B4550A" w:rsidP="00B4550A">
      <w:pPr>
        <w:spacing w:line="276" w:lineRule="auto"/>
        <w:rPr>
          <w:i/>
          <w:sz w:val="22"/>
          <w:szCs w:val="22"/>
          <w:u w:val="single"/>
          <w:lang w:val="ro-RO" w:eastAsia="en-GB"/>
        </w:rPr>
      </w:pPr>
    </w:p>
    <w:p w:rsidR="00B4550A" w:rsidRPr="00E0488D" w:rsidRDefault="00B4550A" w:rsidP="00B4550A">
      <w:pPr>
        <w:spacing w:line="276" w:lineRule="auto"/>
        <w:rPr>
          <w:b/>
          <w:sz w:val="22"/>
          <w:szCs w:val="22"/>
          <w:lang w:val="ro-RO"/>
        </w:rPr>
      </w:pPr>
      <w:r w:rsidRPr="00E0488D">
        <w:rPr>
          <w:b/>
          <w:sz w:val="22"/>
          <w:szCs w:val="22"/>
          <w:lang w:val="ro-RO"/>
        </w:rPr>
        <w:t>Moldova Veche:</w:t>
      </w:r>
    </w:p>
    <w:p w:rsidR="00B4550A" w:rsidRPr="00E0488D" w:rsidRDefault="00B4550A" w:rsidP="00B4550A">
      <w:pPr>
        <w:spacing w:line="276" w:lineRule="auto"/>
        <w:rPr>
          <w:b/>
          <w:sz w:val="22"/>
          <w:szCs w:val="22"/>
          <w:lang w:val="ro-RO"/>
        </w:rPr>
      </w:pPr>
      <w:r w:rsidRPr="00E0488D">
        <w:rPr>
          <w:b/>
          <w:sz w:val="22"/>
          <w:szCs w:val="22"/>
          <w:lang w:val="ro-RO"/>
        </w:rPr>
        <w:t xml:space="preserve">Dezvoltarea infrastructurii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Volumul de mărfuri care trec prin portul Moldova Veche variază considerabil astfel încât dezvoltarea infrastructurii din port este menită să genereze niște volume mai constante. În mod specific, propunerea include: </w:t>
      </w:r>
    </w:p>
    <w:p w:rsidR="00B4550A" w:rsidRPr="00E0488D" w:rsidRDefault="00B4550A" w:rsidP="00BC2B57">
      <w:pPr>
        <w:pStyle w:val="BulletLevel1"/>
      </w:pPr>
      <w:r w:rsidRPr="00E0488D">
        <w:t xml:space="preserve">Îmbunătățirea celor 2 dane existente </w:t>
      </w:r>
      <w:r w:rsidR="00D43129" w:rsidRPr="00E0488D">
        <w:t>și 3</w:t>
      </w:r>
      <w:r w:rsidRPr="00E0488D">
        <w:t xml:space="preserve"> dane noi </w:t>
      </w:r>
    </w:p>
    <w:p w:rsidR="00B4550A" w:rsidRPr="00E0488D" w:rsidRDefault="00B4550A" w:rsidP="00BC2B57">
      <w:pPr>
        <w:pStyle w:val="BulletLevel1"/>
      </w:pPr>
      <w:r w:rsidRPr="00E0488D">
        <w:t xml:space="preserve">Dragarea bazinului din port </w:t>
      </w:r>
    </w:p>
    <w:p w:rsidR="00B4550A" w:rsidRPr="00E0488D" w:rsidRDefault="00B4550A" w:rsidP="00BC2B57">
      <w:pPr>
        <w:pStyle w:val="BulletLevel1"/>
      </w:pPr>
      <w:r w:rsidRPr="00E0488D">
        <w:t xml:space="preserve">Îmbunătățirea serviciilor din port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Problemele atinse de această propunere sunt:</w:t>
      </w:r>
    </w:p>
    <w:p w:rsidR="00B4550A" w:rsidRPr="00E0488D" w:rsidRDefault="00B4550A" w:rsidP="00BC2B57">
      <w:pPr>
        <w:pStyle w:val="BulletLevel1"/>
      </w:pPr>
      <w:r w:rsidRPr="00E0488D">
        <w:t xml:space="preserve">Tonele operate de la un an la altul variază astfel încât un program Mărfuri generale  de dezvoltare a portului va genera mai multă stabilitate </w:t>
      </w:r>
    </w:p>
    <w:p w:rsidR="00B4550A" w:rsidRPr="00E0488D" w:rsidRDefault="00B4550A" w:rsidP="00BC2B57">
      <w:pPr>
        <w:pStyle w:val="BulletLevel1"/>
      </w:pPr>
      <w:r w:rsidRPr="00E0488D">
        <w:t xml:space="preserve">Infrastructura veche nu este potrivită pentru cerințele moderne de operare a mărfurilor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 xml:space="preserve">Această propunere ar trebui să ducă la atragerea de noi fluxuri de mărfuri în port, lucru care ar putea fi identificat într-un studiu de fezabilitate detaliat. </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6.52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223F0B" w:rsidP="003C7FC8">
            <w:pPr>
              <w:spacing w:before="120" w:line="276" w:lineRule="auto"/>
              <w:rPr>
                <w:b/>
                <w:bCs/>
                <w:lang w:val="ro-RO"/>
              </w:rPr>
            </w:pPr>
            <w:r w:rsidRPr="00E0488D">
              <w:rPr>
                <w:b/>
                <w:bCs/>
                <w:lang w:val="ro-RO"/>
              </w:rPr>
              <w:t>Cost</w:t>
            </w:r>
          </w:p>
        </w:tc>
        <w:tc>
          <w:tcPr>
            <w:tcW w:w="1330" w:type="pct"/>
            <w:vAlign w:val="center"/>
          </w:tcPr>
          <w:p w:rsidR="00B4550A" w:rsidRPr="00E0488D" w:rsidRDefault="00223F0B" w:rsidP="003C7FC8">
            <w:pPr>
              <w:spacing w:before="120" w:line="276" w:lineRule="auto"/>
              <w:jc w:val="center"/>
              <w:rPr>
                <w:b/>
                <w:bCs/>
                <w:lang w:val="ro-RO"/>
              </w:rPr>
            </w:pPr>
            <w:r w:rsidRPr="00E0488D">
              <w:rPr>
                <w:b/>
                <w:bCs/>
                <w:lang w:val="ro-RO"/>
              </w:rPr>
              <w:t>3,7</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Îmbunătățirea zonei de dane </w:t>
            </w:r>
          </w:p>
          <w:p w:rsidR="00B4550A" w:rsidRPr="00E0488D" w:rsidRDefault="00B4550A" w:rsidP="003C7FC8">
            <w:pPr>
              <w:spacing w:before="120" w:line="276" w:lineRule="auto"/>
              <w:rPr>
                <w:b/>
                <w:bCs/>
                <w:lang w:val="ro-RO"/>
              </w:rPr>
            </w:pPr>
            <w:r w:rsidRPr="00E0488D">
              <w:rPr>
                <w:b/>
                <w:bCs/>
                <w:lang w:val="ro-RO"/>
              </w:rPr>
              <w:t xml:space="preserve">Noi dane </w:t>
            </w:r>
          </w:p>
          <w:p w:rsidR="00B4550A" w:rsidRPr="00E0488D" w:rsidRDefault="00B4550A" w:rsidP="003C7FC8">
            <w:pPr>
              <w:spacing w:before="120" w:line="276" w:lineRule="auto"/>
              <w:rPr>
                <w:b/>
                <w:bCs/>
                <w:lang w:val="ro-RO"/>
              </w:rPr>
            </w:pPr>
            <w:r w:rsidRPr="00E0488D">
              <w:rPr>
                <w:b/>
                <w:bCs/>
                <w:lang w:val="ro-RO"/>
              </w:rPr>
              <w:t xml:space="preserve">Dragarea bazinului din port </w:t>
            </w:r>
          </w:p>
          <w:p w:rsidR="00B4550A" w:rsidRPr="00E0488D" w:rsidRDefault="00B4550A" w:rsidP="003C7FC8">
            <w:pPr>
              <w:spacing w:before="120" w:line="276" w:lineRule="auto"/>
              <w:rPr>
                <w:b/>
                <w:bCs/>
                <w:lang w:val="ro-RO"/>
              </w:rPr>
            </w:pPr>
            <w:r w:rsidRPr="00E0488D">
              <w:rPr>
                <w:b/>
                <w:bCs/>
                <w:lang w:val="ro-RO"/>
              </w:rPr>
              <w:t xml:space="preserve">Îmbunătățirea serviciilor din port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Această intervenție oferă suficiente beneficii cu un raport beneficiu-cost (B/C) de 1,51. Din acest motiv, proiectul este recomandat pentru includere în cadrul Master Planului. </w:t>
      </w:r>
    </w:p>
    <w:p w:rsidR="00B4550A" w:rsidRPr="00E0488D" w:rsidRDefault="00B4550A" w:rsidP="002B7E09">
      <w:pPr>
        <w:pStyle w:val="NumberedParas"/>
        <w:numPr>
          <w:ilvl w:val="0"/>
          <w:numId w:val="0"/>
        </w:numPr>
        <w:rPr>
          <w:lang w:eastAsia="en-GB"/>
        </w:rPr>
      </w:pPr>
      <w:r w:rsidRPr="00E0488D">
        <w:rPr>
          <w:lang w:eastAsia="en-GB"/>
        </w:rPr>
        <w:t xml:space="preserve">Tabelul  6.52 – Costurile neactualizate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P-MV-S (W29)</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2.961</w:t>
            </w:r>
          </w:p>
        </w:tc>
      </w:tr>
      <w:tr w:rsidR="00B4550A" w:rsidRPr="00E0488D" w:rsidTr="003C7FC8">
        <w:tc>
          <w:tcPr>
            <w:tcW w:w="3818" w:type="dxa"/>
            <w:vAlign w:val="center"/>
          </w:tcPr>
          <w:p w:rsidR="00B4550A" w:rsidRPr="00E0488D" w:rsidRDefault="00B4550A" w:rsidP="00223F0B">
            <w:pPr>
              <w:rPr>
                <w:b/>
                <w:lang w:val="ro-RO"/>
              </w:rPr>
            </w:pPr>
            <w:r w:rsidRPr="00E0488D">
              <w:rPr>
                <w:b/>
                <w:lang w:val="ro-RO"/>
              </w:rPr>
              <w:t>VN</w:t>
            </w:r>
            <w:r w:rsidR="00223F0B"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1</w:t>
            </w:r>
          </w:p>
        </w:tc>
      </w:tr>
      <w:tr w:rsidR="00B4550A" w:rsidRPr="00E0488D" w:rsidTr="003C7FC8">
        <w:tc>
          <w:tcPr>
            <w:tcW w:w="3818" w:type="dxa"/>
            <w:vAlign w:val="center"/>
          </w:tcPr>
          <w:p w:rsidR="00B4550A" w:rsidRPr="00E0488D" w:rsidRDefault="00223F0B" w:rsidP="00223F0B">
            <w:pPr>
              <w:rPr>
                <w:b/>
                <w:lang w:val="ro-RO"/>
              </w:rPr>
            </w:pPr>
            <w:r w:rsidRPr="00E0488D">
              <w:rPr>
                <w:b/>
                <w:lang w:val="ro-RO"/>
              </w:rPr>
              <w:t>RB</w:t>
            </w:r>
            <w:r w:rsidR="00B4550A" w:rsidRPr="00E0488D">
              <w:rPr>
                <w:b/>
                <w:lang w:val="ro-RO"/>
              </w:rPr>
              <w:t>C</w:t>
            </w:r>
          </w:p>
        </w:tc>
        <w:tc>
          <w:tcPr>
            <w:tcW w:w="1628" w:type="dxa"/>
          </w:tcPr>
          <w:p w:rsidR="00B4550A" w:rsidRPr="00E0488D" w:rsidRDefault="00B4550A" w:rsidP="003C7FC8">
            <w:pPr>
              <w:spacing w:line="276" w:lineRule="auto"/>
              <w:jc w:val="center"/>
              <w:rPr>
                <w:i/>
                <w:u w:val="single"/>
                <w:lang w:val="ro-RO"/>
              </w:rPr>
            </w:pPr>
            <w:r w:rsidRPr="00E0488D">
              <w:rPr>
                <w:lang w:val="ro-RO"/>
              </w:rPr>
              <w:t>1,51</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7,2%</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sz w:val="22"/>
          <w:szCs w:val="22"/>
          <w:u w:val="single"/>
          <w:lang w:val="ro-RO" w:eastAsia="en-GB"/>
        </w:rPr>
      </w:pPr>
    </w:p>
    <w:p w:rsidR="00B4550A" w:rsidRPr="00E0488D" w:rsidRDefault="00223F0B" w:rsidP="00B4550A">
      <w:pPr>
        <w:spacing w:line="276" w:lineRule="auto"/>
        <w:rPr>
          <w:i/>
          <w:sz w:val="22"/>
          <w:szCs w:val="22"/>
          <w:u w:val="single"/>
          <w:lang w:val="ro-RO" w:eastAsia="en-GB"/>
        </w:rPr>
      </w:pPr>
      <w:r w:rsidRPr="00E0488D">
        <w:rPr>
          <w:i/>
          <w:noProof/>
          <w:sz w:val="22"/>
          <w:szCs w:val="22"/>
          <w:u w:val="single"/>
          <w:lang w:val="ro-RO" w:eastAsia="ro-RO"/>
        </w:rPr>
        <w:drawing>
          <wp:inline distT="0" distB="0" distL="0" distR="0">
            <wp:extent cx="5285665" cy="1793174"/>
            <wp:effectExtent l="19050" t="0" r="10235" b="0"/>
            <wp:docPr id="4"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B4550A" w:rsidRPr="00E0488D" w:rsidRDefault="00B4550A" w:rsidP="00B4550A">
      <w:pPr>
        <w:spacing w:line="276" w:lineRule="auto"/>
        <w:rPr>
          <w:b/>
          <w:sz w:val="22"/>
          <w:szCs w:val="22"/>
          <w:lang w:val="ro-RO" w:eastAsia="en-GB"/>
        </w:rPr>
      </w:pPr>
      <w:r w:rsidRPr="00E0488D">
        <w:rPr>
          <w:b/>
          <w:sz w:val="22"/>
          <w:szCs w:val="22"/>
          <w:lang w:val="ro-RO" w:eastAsia="en-GB"/>
        </w:rPr>
        <w:t xml:space="preserve">Figura 6.26 –Tone operate în portul </w:t>
      </w:r>
      <w:r w:rsidR="00075FD4" w:rsidRPr="00E0488D">
        <w:rPr>
          <w:b/>
          <w:sz w:val="22"/>
          <w:szCs w:val="22"/>
          <w:lang w:val="ro-RO" w:eastAsia="en-GB"/>
        </w:rPr>
        <w:t>Moldova Veche</w:t>
      </w:r>
      <w:r w:rsidRPr="00E0488D">
        <w:rPr>
          <w:b/>
          <w:sz w:val="22"/>
          <w:szCs w:val="22"/>
          <w:lang w:val="ro-RO" w:eastAsia="en-GB"/>
        </w:rPr>
        <w:t xml:space="preserve"> în perioada 2007-2011 și estimările pentru 2020</w:t>
      </w:r>
    </w:p>
    <w:p w:rsidR="00B4550A" w:rsidRPr="00E0488D" w:rsidRDefault="00B4550A" w:rsidP="00B4550A">
      <w:pPr>
        <w:spacing w:line="276" w:lineRule="auto"/>
        <w:rPr>
          <w:i/>
          <w:sz w:val="22"/>
          <w:szCs w:val="22"/>
          <w:u w:val="single"/>
          <w:lang w:val="ro-RO" w:eastAsia="en-GB"/>
        </w:rPr>
      </w:pPr>
    </w:p>
    <w:p w:rsidR="00B4550A" w:rsidRPr="00E0488D" w:rsidRDefault="00223F0B" w:rsidP="002B7E09">
      <w:pPr>
        <w:pStyle w:val="NumberedParas"/>
        <w:rPr>
          <w:lang w:eastAsia="en-GB"/>
        </w:rPr>
      </w:pPr>
      <w:r w:rsidRPr="00E0488D">
        <w:rPr>
          <w:lang w:eastAsia="en-GB"/>
        </w:rPr>
        <w:t xml:space="preserve">Din analiza cifrelor referitoare la capacitate rezultă că portul </w:t>
      </w:r>
      <w:r w:rsidR="00075FD4" w:rsidRPr="00E0488D">
        <w:rPr>
          <w:lang w:eastAsia="en-GB"/>
        </w:rPr>
        <w:t>Moldova Veche</w:t>
      </w:r>
      <w:r w:rsidRPr="00E0488D">
        <w:rPr>
          <w:lang w:eastAsia="en-GB"/>
        </w:rPr>
        <w:t xml:space="preserve"> are o capacitate teoretică maximă de 374.000 de tone. Cu toate acestea unele dane sunt vechi și prost echipate, ceea ce înseamnă că atingerea capacității maxime este imposibilă. Dezvoltarea infrastructurii poate ajuta la </w:t>
      </w:r>
      <w:r w:rsidR="00075FD4" w:rsidRPr="00E0488D">
        <w:rPr>
          <w:lang w:eastAsia="en-GB"/>
        </w:rPr>
        <w:t>atingerea acestei capacități.</w:t>
      </w:r>
    </w:p>
    <w:p w:rsidR="00B4550A" w:rsidRPr="00E0488D" w:rsidRDefault="00B4550A" w:rsidP="002B7E09">
      <w:pPr>
        <w:pStyle w:val="NumberedParas"/>
        <w:numPr>
          <w:ilvl w:val="0"/>
          <w:numId w:val="0"/>
        </w:numPr>
        <w:rPr>
          <w:lang w:eastAsia="en-GB"/>
        </w:rPr>
      </w:pPr>
      <w:r w:rsidRPr="00E0488D">
        <w:rPr>
          <w:lang w:eastAsia="en-GB"/>
        </w:rPr>
        <w:t>Tabelul 6.54 –Utilizarea prognozată a portului Moldova Veche</w:t>
      </w:r>
    </w:p>
    <w:tbl>
      <w:tblPr>
        <w:tblW w:w="65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141"/>
        <w:gridCol w:w="960"/>
        <w:gridCol w:w="266"/>
        <w:gridCol w:w="1028"/>
        <w:gridCol w:w="1199"/>
        <w:gridCol w:w="960"/>
      </w:tblGrid>
      <w:tr w:rsidR="00B4550A" w:rsidRPr="00E0488D" w:rsidTr="003C7FC8">
        <w:trPr>
          <w:trHeight w:val="315"/>
        </w:trPr>
        <w:tc>
          <w:tcPr>
            <w:tcW w:w="1008"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p>
        </w:tc>
        <w:tc>
          <w:tcPr>
            <w:tcW w:w="2101"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Scenariul de referință</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1028"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p>
        </w:tc>
        <w:tc>
          <w:tcPr>
            <w:tcW w:w="2159" w:type="dxa"/>
            <w:gridSpan w:val="2"/>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Do Something</w:t>
            </w:r>
          </w:p>
        </w:tc>
      </w:tr>
      <w:tr w:rsidR="00B4550A" w:rsidRPr="00E0488D" w:rsidTr="003C7FC8">
        <w:trPr>
          <w:trHeight w:val="315"/>
        </w:trPr>
        <w:tc>
          <w:tcPr>
            <w:tcW w:w="1008" w:type="dxa"/>
            <w:shd w:val="clear" w:color="000000" w:fill="376091"/>
            <w:noWrap/>
            <w:vAlign w:val="bottom"/>
            <w:hideMark/>
          </w:tcPr>
          <w:p w:rsidR="00B4550A" w:rsidRPr="00E0488D" w:rsidRDefault="00B4550A" w:rsidP="003C7FC8">
            <w:pPr>
              <w:jc w:val="center"/>
              <w:rPr>
                <w:rFonts w:ascii="Calibri" w:hAnsi="Calibri"/>
                <w:color w:val="FFFFFF"/>
                <w:sz w:val="22"/>
                <w:szCs w:val="22"/>
                <w:lang w:val="ro-RO" w:eastAsia="en-GB"/>
              </w:rPr>
            </w:pPr>
            <w:r w:rsidRPr="00E0488D">
              <w:rPr>
                <w:rFonts w:ascii="Calibri" w:hAnsi="Calibri"/>
                <w:color w:val="FFFFFF"/>
                <w:sz w:val="22"/>
                <w:szCs w:val="22"/>
                <w:lang w:val="ro-RO" w:eastAsia="en-GB"/>
              </w:rPr>
              <w:t>Terminal</w:t>
            </w:r>
          </w:p>
        </w:tc>
        <w:tc>
          <w:tcPr>
            <w:tcW w:w="1141"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c>
          <w:tcPr>
            <w:tcW w:w="266" w:type="dxa"/>
            <w:shd w:val="clear" w:color="000000" w:fill="25406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 </w:t>
            </w:r>
          </w:p>
        </w:tc>
        <w:tc>
          <w:tcPr>
            <w:tcW w:w="1028"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Terminal</w:t>
            </w:r>
          </w:p>
        </w:tc>
        <w:tc>
          <w:tcPr>
            <w:tcW w:w="1199"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2020</w:t>
            </w:r>
          </w:p>
        </w:tc>
        <w:tc>
          <w:tcPr>
            <w:tcW w:w="960" w:type="dxa"/>
            <w:shd w:val="clear" w:color="000000" w:fill="376091"/>
            <w:noWrap/>
            <w:vAlign w:val="bottom"/>
            <w:hideMark/>
          </w:tcPr>
          <w:p w:rsidR="00B4550A" w:rsidRPr="00E0488D" w:rsidRDefault="00B4550A" w:rsidP="003C7FC8">
            <w:pPr>
              <w:jc w:val="center"/>
              <w:rPr>
                <w:rFonts w:ascii="Calibri" w:hAnsi="Calibri"/>
                <w:b/>
                <w:bCs/>
                <w:color w:val="FFFFFF"/>
                <w:sz w:val="22"/>
                <w:szCs w:val="22"/>
                <w:lang w:val="ro-RO" w:eastAsia="en-GB"/>
              </w:rPr>
            </w:pPr>
            <w:r w:rsidRPr="00E0488D">
              <w:rPr>
                <w:rFonts w:ascii="Calibri" w:hAnsi="Calibri"/>
                <w:b/>
                <w:bCs/>
                <w:color w:val="FFFFFF"/>
                <w:sz w:val="22"/>
                <w:szCs w:val="22"/>
                <w:lang w:val="ro-RO" w:eastAsia="en-GB"/>
              </w:rPr>
              <w:t>2030</w:t>
            </w:r>
          </w:p>
        </w:tc>
      </w:tr>
      <w:tr w:rsidR="00B4550A" w:rsidRPr="00E0488D" w:rsidTr="003C7FC8">
        <w:trPr>
          <w:trHeight w:val="300"/>
        </w:trPr>
        <w:tc>
          <w:tcPr>
            <w:tcW w:w="1008"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41" w:type="dxa"/>
            <w:shd w:val="clear" w:color="000000" w:fill="DBE5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960" w:type="dxa"/>
            <w:shd w:val="clear" w:color="000000" w:fill="C5D9F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xml:space="preserve"> </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028"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generale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29</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18%</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46</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17%</w:t>
            </w:r>
          </w:p>
        </w:tc>
      </w:tr>
      <w:tr w:rsidR="00B4550A" w:rsidRPr="00E0488D" w:rsidTr="003C7FC8">
        <w:trPr>
          <w:trHeight w:val="300"/>
        </w:trPr>
        <w:tc>
          <w:tcPr>
            <w:tcW w:w="1008"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41"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00%</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4</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38%</w:t>
            </w:r>
          </w:p>
        </w:tc>
        <w:tc>
          <w:tcPr>
            <w:tcW w:w="266" w:type="dxa"/>
            <w:shd w:val="clear" w:color="000000" w:fill="254061"/>
            <w:noWrap/>
            <w:vAlign w:val="bottom"/>
            <w:hideMark/>
          </w:tcPr>
          <w:p w:rsidR="00B4550A" w:rsidRPr="00E0488D" w:rsidRDefault="00B4550A" w:rsidP="003C7FC8">
            <w:pPr>
              <w:rPr>
                <w:rFonts w:ascii="Calibri" w:hAnsi="Calibri"/>
                <w:color w:val="000000"/>
                <w:sz w:val="22"/>
                <w:szCs w:val="22"/>
                <w:lang w:val="ro-RO" w:eastAsia="en-GB"/>
              </w:rPr>
            </w:pPr>
            <w:r w:rsidRPr="00E0488D">
              <w:rPr>
                <w:rFonts w:ascii="Calibri" w:hAnsi="Calibri"/>
                <w:color w:val="000000"/>
                <w:sz w:val="22"/>
                <w:szCs w:val="22"/>
                <w:lang w:val="ro-RO" w:eastAsia="en-GB"/>
              </w:rPr>
              <w:t> </w:t>
            </w:r>
          </w:p>
        </w:tc>
        <w:tc>
          <w:tcPr>
            <w:tcW w:w="1028" w:type="dxa"/>
            <w:shd w:val="clear" w:color="000000" w:fill="95B3D7"/>
            <w:vAlign w:val="bottom"/>
            <w:hideMark/>
          </w:tcPr>
          <w:p w:rsidR="00B4550A" w:rsidRPr="00E0488D" w:rsidRDefault="00B4550A" w:rsidP="003C7FC8">
            <w:pPr>
              <w:rPr>
                <w:rFonts w:ascii="Gill Sans MT" w:hAnsi="Gill Sans MT"/>
                <w:color w:val="000000"/>
                <w:sz w:val="20"/>
                <w:szCs w:val="20"/>
                <w:lang w:val="ro-RO" w:eastAsia="en-GB"/>
              </w:rPr>
            </w:pPr>
            <w:r w:rsidRPr="00E0488D">
              <w:rPr>
                <w:rFonts w:ascii="Gill Sans MT" w:hAnsi="Gill Sans MT"/>
                <w:color w:val="000000"/>
                <w:sz w:val="20"/>
                <w:szCs w:val="20"/>
                <w:lang w:val="ro-RO" w:eastAsia="en-GB"/>
              </w:rPr>
              <w:t xml:space="preserve">Mărfuri vrac </w:t>
            </w:r>
          </w:p>
        </w:tc>
        <w:tc>
          <w:tcPr>
            <w:tcW w:w="1199" w:type="dxa"/>
            <w:shd w:val="clear" w:color="000000" w:fill="DBE5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5</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64%</w:t>
            </w:r>
          </w:p>
        </w:tc>
        <w:tc>
          <w:tcPr>
            <w:tcW w:w="960" w:type="dxa"/>
            <w:shd w:val="clear" w:color="000000" w:fill="C5D9F1"/>
            <w:noWrap/>
            <w:vAlign w:val="bottom"/>
            <w:hideMark/>
          </w:tcPr>
          <w:p w:rsidR="00B4550A" w:rsidRPr="00E0488D" w:rsidRDefault="00B4550A" w:rsidP="003C7FC8">
            <w:pPr>
              <w:jc w:val="right"/>
              <w:rPr>
                <w:rFonts w:ascii="Calibri" w:hAnsi="Calibri"/>
                <w:color w:val="000000"/>
                <w:sz w:val="22"/>
                <w:szCs w:val="22"/>
                <w:lang w:val="ro-RO" w:eastAsia="en-GB"/>
              </w:rPr>
            </w:pPr>
            <w:r w:rsidRPr="00E0488D">
              <w:rPr>
                <w:rFonts w:ascii="Calibri" w:hAnsi="Calibri"/>
                <w:color w:val="000000"/>
                <w:sz w:val="22"/>
                <w:szCs w:val="22"/>
                <w:lang w:val="ro-RO" w:eastAsia="en-GB"/>
              </w:rPr>
              <w:t>8</w:t>
            </w:r>
            <w:r w:rsidR="00141AFC" w:rsidRPr="00E0488D">
              <w:rPr>
                <w:rFonts w:ascii="Calibri" w:hAnsi="Calibri"/>
                <w:color w:val="000000"/>
                <w:sz w:val="22"/>
                <w:szCs w:val="22"/>
                <w:lang w:val="ro-RO" w:eastAsia="en-GB"/>
              </w:rPr>
              <w:t>,</w:t>
            </w:r>
            <w:r w:rsidRPr="00E0488D">
              <w:rPr>
                <w:rFonts w:ascii="Calibri" w:hAnsi="Calibri"/>
                <w:color w:val="000000"/>
                <w:sz w:val="22"/>
                <w:szCs w:val="22"/>
                <w:lang w:val="ro-RO" w:eastAsia="en-GB"/>
              </w:rPr>
              <w:t>93%</w:t>
            </w:r>
          </w:p>
        </w:tc>
      </w:tr>
    </w:tbl>
    <w:p w:rsidR="00B4550A" w:rsidRPr="00E0488D" w:rsidRDefault="00B4550A" w:rsidP="00B4550A">
      <w:pPr>
        <w:spacing w:line="276" w:lineRule="auto"/>
        <w:rPr>
          <w:i/>
          <w:sz w:val="22"/>
          <w:szCs w:val="22"/>
          <w:u w:val="single"/>
          <w:lang w:val="ro-RO" w:eastAsia="en-GB"/>
        </w:rPr>
      </w:pPr>
    </w:p>
    <w:p w:rsidR="00E82B76" w:rsidRPr="00E0488D" w:rsidRDefault="00E82B76" w:rsidP="002B7E09">
      <w:pPr>
        <w:pStyle w:val="NumberedParas"/>
        <w:rPr>
          <w:lang w:eastAsia="en-GB"/>
        </w:rPr>
      </w:pPr>
      <w:r w:rsidRPr="00E0488D">
        <w:rPr>
          <w:lang w:eastAsia="en-GB"/>
        </w:rPr>
        <w:t>Datele din tabel arată că dezvoltarea infrastructurii porului va permite operarea volumelor mai mari de mărfuri în viitor.</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Acest proiect ar trebui să fie implementat de APDF Giurgiu, probabil în cooperare cu un operator privat al terminalului. </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2021-2030</w:t>
      </w:r>
    </w:p>
    <w:p w:rsidR="00B4550A" w:rsidRPr="00E0488D" w:rsidRDefault="00B4550A" w:rsidP="002B7E09">
      <w:pPr>
        <w:pStyle w:val="NumberedParas"/>
      </w:pPr>
      <w:r w:rsidRPr="00E0488D">
        <w:t xml:space="preserve">Implementarea ar putea să înceapă imediat după finalizarea proiectului, dar, pentru maximizarea beneficiilor se recomandă ca finalizarea proiectului să fie programată după terminarea proiectelor de îmbunătățire a navigabilității Fluviului Dunărea (a se vedea </w:t>
      </w:r>
      <w:r w:rsidR="00E82B76" w:rsidRPr="00E0488D">
        <w:t>în secțiunile următoare</w:t>
      </w:r>
      <w:r w:rsidRPr="00E0488D">
        <w:t>).</w:t>
      </w:r>
    </w:p>
    <w:p w:rsidR="00B4550A" w:rsidRPr="00E0488D" w:rsidRDefault="00B4550A" w:rsidP="00B4550A">
      <w:pPr>
        <w:pStyle w:val="Hdg3"/>
      </w:pPr>
      <w:r w:rsidRPr="00E0488D">
        <w:t>Căi navigabile:</w:t>
      </w:r>
    </w:p>
    <w:p w:rsidR="00B4550A" w:rsidRPr="00E0488D" w:rsidRDefault="00B4550A" w:rsidP="00B4550A">
      <w:pPr>
        <w:pStyle w:val="Hdg3"/>
      </w:pPr>
      <w:r w:rsidRPr="00E0488D">
        <w:t xml:space="preserve">Îmbunătățirea navigabilității Dunării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Dunărea poate înregistra zile cu grad de navigabilitate scăzut, care poate fi cauzat de mai mulți factori precum colmatare, nivel scăzut sau ridicat al apei și îngheț. Această propunere ar face referire la: </w:t>
      </w:r>
    </w:p>
    <w:p w:rsidR="00B4550A" w:rsidRPr="00E0488D" w:rsidRDefault="00B4550A" w:rsidP="00BC2B57">
      <w:pPr>
        <w:pStyle w:val="BulletLevel1"/>
      </w:pPr>
      <w:r w:rsidRPr="00E0488D">
        <w:t xml:space="preserve">Dragarea fluviului Dunărea pentru a obține un nivel adecvat al șenalului navigabil </w:t>
      </w:r>
    </w:p>
    <w:p w:rsidR="00B4550A" w:rsidRPr="00E0488D" w:rsidRDefault="00B4550A" w:rsidP="00BC2B57">
      <w:pPr>
        <w:pStyle w:val="BulletLevel1"/>
      </w:pPr>
      <w:r w:rsidRPr="00E0488D">
        <w:t xml:space="preserve">Achiziționarea unor spărgătoare de gheață dedicate </w:t>
      </w:r>
    </w:p>
    <w:p w:rsidR="00B4550A" w:rsidRPr="00E0488D" w:rsidRDefault="00B4550A" w:rsidP="00BC2B57">
      <w:pPr>
        <w:pStyle w:val="BulletLevel1"/>
      </w:pPr>
      <w:r w:rsidRPr="00E0488D">
        <w:t xml:space="preserve">Furnizarea unui buget adecvat de întreținere </w:t>
      </w:r>
    </w:p>
    <w:p w:rsidR="00B4550A" w:rsidRPr="00E0488D" w:rsidRDefault="00B4550A" w:rsidP="00BC2B57">
      <w:pPr>
        <w:pStyle w:val="BulletLevel1"/>
      </w:pPr>
      <w:r w:rsidRPr="00E0488D">
        <w:t>Probleme atinse:</w:t>
      </w:r>
    </w:p>
    <w:p w:rsidR="004A2AD5" w:rsidRPr="00E0488D" w:rsidRDefault="00B4550A" w:rsidP="005653A8">
      <w:pPr>
        <w:spacing w:line="276" w:lineRule="auto"/>
        <w:rPr>
          <w:i/>
          <w:sz w:val="22"/>
          <w:szCs w:val="22"/>
          <w:u w:val="single"/>
          <w:lang w:val="ro-RO"/>
        </w:rPr>
      </w:pPr>
      <w:r w:rsidRPr="00E0488D">
        <w:rPr>
          <w:i/>
          <w:sz w:val="22"/>
          <w:szCs w:val="22"/>
          <w:u w:val="single"/>
          <w:lang w:val="ro-RO"/>
        </w:rPr>
        <w:t xml:space="preserve">Problemele atinse </w:t>
      </w:r>
    </w:p>
    <w:p w:rsidR="00B4550A" w:rsidRPr="00E0488D" w:rsidRDefault="004A2AD5" w:rsidP="002B7E09">
      <w:pPr>
        <w:pStyle w:val="NumberedParas"/>
      </w:pPr>
      <w:r w:rsidRPr="00E0488D">
        <w:t xml:space="preserve">Problemele rezolvate prin </w:t>
      </w:r>
      <w:r w:rsidR="00B4550A" w:rsidRPr="00E0488D">
        <w:t>această propunere sunt:</w:t>
      </w:r>
    </w:p>
    <w:p w:rsidR="00B4550A" w:rsidRPr="00E0488D" w:rsidRDefault="004A2AD5" w:rsidP="00BC2B57">
      <w:pPr>
        <w:pStyle w:val="BulletLevel1"/>
      </w:pPr>
      <w:r w:rsidRPr="00E0488D">
        <w:t xml:space="preserve">Depunerile de aluviuni </w:t>
      </w:r>
      <w:r w:rsidR="005653A8" w:rsidRPr="00E0488D">
        <w:t>pe șenalul navigabil al</w:t>
      </w:r>
      <w:r w:rsidR="00B4550A" w:rsidRPr="00E0488D">
        <w:t xml:space="preserve"> Dunării v</w:t>
      </w:r>
      <w:r w:rsidRPr="00E0488D">
        <w:t>or</w:t>
      </w:r>
      <w:r w:rsidR="00B4550A" w:rsidRPr="00E0488D">
        <w:t xml:space="preserve"> fi </w:t>
      </w:r>
      <w:r w:rsidRPr="00E0488D">
        <w:t>eliminate</w:t>
      </w:r>
      <w:r w:rsidR="00B4550A" w:rsidRPr="00E0488D">
        <w:t xml:space="preserve"> printr-o dragare semnificativă unică și dragare de întreținere planificată </w:t>
      </w:r>
    </w:p>
    <w:p w:rsidR="00B4550A" w:rsidRPr="00E0488D" w:rsidRDefault="00B4550A" w:rsidP="00BC2B57">
      <w:pPr>
        <w:pStyle w:val="BulletLevel1"/>
      </w:pPr>
      <w:r w:rsidRPr="00E0488D">
        <w:t xml:space="preserve">Gheața va fi spartă de un spărgător de gheață dedicat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OW1 – Îmbunătățirea navigabilității Dunării </w:t>
      </w:r>
    </w:p>
    <w:p w:rsidR="00CE6120" w:rsidRPr="00E0488D" w:rsidRDefault="00CE6120" w:rsidP="00BC2B57">
      <w:pPr>
        <w:pStyle w:val="BulletLevel1"/>
      </w:pPr>
      <w:r w:rsidRPr="00E0488D">
        <w:t xml:space="preserve">OW2 – Îmbunătățirea legăturilor cu Dunărea pentru a reduce costurile și timpul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OW10 – Creșterea volumului de mărfuri transportate prin moduri de transport sustenabile </w:t>
      </w:r>
    </w:p>
    <w:p w:rsidR="00B4550A" w:rsidRPr="00E0488D" w:rsidRDefault="00B4550A" w:rsidP="00B4550A">
      <w:pPr>
        <w:spacing w:line="276" w:lineRule="auto"/>
        <w:rPr>
          <w:i/>
          <w:sz w:val="22"/>
          <w:szCs w:val="22"/>
          <w:u w:val="single"/>
          <w:lang w:val="ro-RO"/>
        </w:rPr>
      </w:pPr>
      <w:r w:rsidRPr="00E0488D">
        <w:rPr>
          <w:i/>
          <w:sz w:val="22"/>
          <w:szCs w:val="22"/>
          <w:u w:val="single"/>
          <w:lang w:val="ro-RO"/>
        </w:rPr>
        <w:t xml:space="preserve">Potențială piață </w:t>
      </w:r>
    </w:p>
    <w:p w:rsidR="00B4550A" w:rsidRPr="00E0488D" w:rsidRDefault="00B4550A" w:rsidP="002B7E09">
      <w:pPr>
        <w:pStyle w:val="NumberedParas"/>
      </w:pPr>
      <w:r w:rsidRPr="00E0488D">
        <w:t>Această propunere ar aduce beneficii tuturor operațiunilor pe Dunăre.</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faptul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6.55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lang w:val="ro-RO"/>
              </w:rPr>
            </w:pPr>
            <w:r w:rsidRPr="00E0488D">
              <w:rPr>
                <w:b/>
                <w:bCs/>
                <w:lang w:val="ro-RO"/>
              </w:rPr>
              <w:t>Articol</w:t>
            </w: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actualizate</w:t>
            </w:r>
          </w:p>
          <w:p w:rsidR="00B4550A" w:rsidRPr="00E0488D" w:rsidRDefault="00B4550A" w:rsidP="003C7FC8">
            <w:pPr>
              <w:spacing w:before="120" w:line="276" w:lineRule="auto"/>
              <w:jc w:val="center"/>
              <w:rPr>
                <w:b/>
                <w:bCs/>
                <w:lang w:val="ro-RO"/>
              </w:rPr>
            </w:pPr>
            <w:r w:rsidRPr="00E0488D">
              <w:rPr>
                <w:b/>
                <w:bCs/>
                <w:lang w:val="ro-RO"/>
              </w:rPr>
              <w:t xml:space="preserv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C7FC8">
            <w:pPr>
              <w:spacing w:before="120" w:line="276" w:lineRule="auto"/>
              <w:rPr>
                <w:b/>
                <w:bCs/>
                <w:lang w:val="ro-RO"/>
              </w:rPr>
            </w:pPr>
            <w:r w:rsidRPr="00E0488D">
              <w:rPr>
                <w:b/>
                <w:bCs/>
                <w:lang w:val="ro-RO"/>
              </w:rPr>
              <w:t xml:space="preserve">CAPEX </w:t>
            </w:r>
          </w:p>
        </w:tc>
        <w:tc>
          <w:tcPr>
            <w:tcW w:w="1330" w:type="pct"/>
            <w:vAlign w:val="center"/>
          </w:tcPr>
          <w:p w:rsidR="00B4550A" w:rsidRPr="00E0488D" w:rsidRDefault="00912E51" w:rsidP="003C7FC8">
            <w:pPr>
              <w:spacing w:before="120" w:line="276" w:lineRule="auto"/>
              <w:jc w:val="center"/>
              <w:rPr>
                <w:b/>
                <w:bCs/>
                <w:lang w:val="ro-RO"/>
              </w:rPr>
            </w:pPr>
            <w:r w:rsidRPr="00E0488D">
              <w:rPr>
                <w:b/>
                <w:bCs/>
                <w:lang w:val="ro-RO"/>
              </w:rPr>
              <w:t>103</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Dragarea șenalului navigabil al Dunării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 xml:space="preserve">Această intervenție oferă suficiente beneficii cu un raport beneficiu-cost (RBC) de 4,70. Se estimează că propunerea va genera peste 307.000 de tone de mărfuri până în 2020 astfel încât acest proiect este recomandat pentru includere în Master Plan. </w:t>
      </w:r>
    </w:p>
    <w:p w:rsidR="00B4550A" w:rsidRPr="00E0488D" w:rsidRDefault="00B4550A" w:rsidP="002B7E09">
      <w:pPr>
        <w:pStyle w:val="NumberedParas"/>
        <w:numPr>
          <w:ilvl w:val="0"/>
          <w:numId w:val="0"/>
        </w:numPr>
        <w:ind w:left="1531"/>
      </w:pPr>
    </w:p>
    <w:p w:rsidR="00B4550A" w:rsidRPr="00E0488D" w:rsidRDefault="00B4550A" w:rsidP="002B7E09">
      <w:pPr>
        <w:pStyle w:val="NumberedParas"/>
        <w:numPr>
          <w:ilvl w:val="0"/>
          <w:numId w:val="0"/>
        </w:numPr>
        <w:rPr>
          <w:lang w:eastAsia="en-GB"/>
        </w:rPr>
      </w:pPr>
      <w:r w:rsidRPr="00E0488D">
        <w:rPr>
          <w:lang w:eastAsia="en-GB"/>
        </w:rPr>
        <w:t xml:space="preserve">Tabelul  6.56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Cod test </w:t>
            </w:r>
          </w:p>
        </w:tc>
        <w:tc>
          <w:tcPr>
            <w:tcW w:w="1628" w:type="dxa"/>
            <w:vAlign w:val="center"/>
          </w:tcPr>
          <w:p w:rsidR="00B4550A" w:rsidRPr="00E0488D" w:rsidRDefault="00B4550A" w:rsidP="003C7FC8">
            <w:pPr>
              <w:rPr>
                <w:lang w:val="ro-RO"/>
              </w:rPr>
            </w:pPr>
            <w:r w:rsidRPr="00E0488D">
              <w:rPr>
                <w:lang w:val="ro-RO"/>
              </w:rPr>
              <w:t>W1</w:t>
            </w:r>
          </w:p>
        </w:tc>
      </w:tr>
      <w:tr w:rsidR="00B4550A" w:rsidRPr="00E0488D" w:rsidTr="003C7FC8">
        <w:tc>
          <w:tcPr>
            <w:tcW w:w="3818" w:type="dxa"/>
          </w:tcPr>
          <w:p w:rsidR="00B4550A" w:rsidRPr="00E0488D" w:rsidRDefault="00B4550A" w:rsidP="003C7FC8">
            <w:pPr>
              <w:rPr>
                <w:b/>
                <w:lang w:val="ro-RO"/>
              </w:rPr>
            </w:pPr>
            <w:r w:rsidRPr="00E0488D">
              <w:rPr>
                <w:b/>
                <w:lang w:val="ro-RO"/>
              </w:rPr>
              <w:t>Modificare tonaj transportat pe apă anual (2020)</w:t>
            </w:r>
          </w:p>
        </w:tc>
        <w:tc>
          <w:tcPr>
            <w:tcW w:w="1628" w:type="dxa"/>
          </w:tcPr>
          <w:p w:rsidR="00B4550A" w:rsidRPr="00E0488D" w:rsidRDefault="00B4550A" w:rsidP="003C7FC8">
            <w:pPr>
              <w:spacing w:line="276" w:lineRule="auto"/>
              <w:jc w:val="center"/>
              <w:rPr>
                <w:i/>
                <w:u w:val="single"/>
                <w:lang w:val="ro-RO"/>
              </w:rPr>
            </w:pPr>
            <w:r w:rsidRPr="00E0488D">
              <w:rPr>
                <w:lang w:val="ro-RO"/>
              </w:rPr>
              <w:t>307.672</w:t>
            </w:r>
            <w:r w:rsidRPr="00E0488D">
              <w:rPr>
                <w:vertAlign w:val="superscript"/>
                <w:lang w:val="ro-RO"/>
              </w:rPr>
              <w:footnoteReference w:id="29"/>
            </w:r>
          </w:p>
        </w:tc>
      </w:tr>
      <w:tr w:rsidR="00B4550A" w:rsidRPr="00E0488D" w:rsidTr="003C7FC8">
        <w:tc>
          <w:tcPr>
            <w:tcW w:w="3818" w:type="dxa"/>
            <w:vAlign w:val="center"/>
          </w:tcPr>
          <w:p w:rsidR="00B4550A" w:rsidRPr="00E0488D" w:rsidRDefault="00B4550A" w:rsidP="00912E51">
            <w:pPr>
              <w:rPr>
                <w:b/>
                <w:lang w:val="ro-RO"/>
              </w:rPr>
            </w:pPr>
            <w:r w:rsidRPr="00E0488D">
              <w:rPr>
                <w:b/>
                <w:lang w:val="ro-RO"/>
              </w:rPr>
              <w:t>VN</w:t>
            </w:r>
            <w:r w:rsidR="00912E51" w:rsidRPr="00E0488D">
              <w:rPr>
                <w:b/>
                <w:lang w:val="ro-RO"/>
              </w:rPr>
              <w:t>A</w:t>
            </w:r>
            <w:r w:rsidRPr="00E0488D">
              <w:rPr>
                <w:b/>
                <w:lang w:val="ro-RO"/>
              </w:rPr>
              <w:t xml:space="preserve"> mil € (preturi 2014)</w:t>
            </w:r>
          </w:p>
        </w:tc>
        <w:tc>
          <w:tcPr>
            <w:tcW w:w="1628" w:type="dxa"/>
          </w:tcPr>
          <w:p w:rsidR="00B4550A" w:rsidRPr="00E0488D" w:rsidRDefault="00B4550A" w:rsidP="003C7FC8">
            <w:pPr>
              <w:spacing w:line="276" w:lineRule="auto"/>
              <w:jc w:val="center"/>
              <w:rPr>
                <w:lang w:val="ro-RO"/>
              </w:rPr>
            </w:pPr>
            <w:r w:rsidRPr="00E0488D">
              <w:rPr>
                <w:lang w:val="ro-RO"/>
              </w:rPr>
              <w:t>612</w:t>
            </w:r>
          </w:p>
        </w:tc>
      </w:tr>
      <w:tr w:rsidR="00B4550A" w:rsidRPr="00E0488D" w:rsidTr="003C7FC8">
        <w:tc>
          <w:tcPr>
            <w:tcW w:w="3818" w:type="dxa"/>
            <w:vAlign w:val="center"/>
          </w:tcPr>
          <w:p w:rsidR="00B4550A" w:rsidRPr="00E0488D" w:rsidRDefault="00912E51" w:rsidP="00912E51">
            <w:pPr>
              <w:rPr>
                <w:b/>
                <w:lang w:val="ro-RO"/>
              </w:rPr>
            </w:pPr>
            <w:r w:rsidRPr="00E0488D">
              <w:rPr>
                <w:b/>
                <w:lang w:val="ro-RO"/>
              </w:rPr>
              <w:t>R</w:t>
            </w:r>
            <w:r w:rsidR="00B4550A" w:rsidRPr="00E0488D">
              <w:rPr>
                <w:b/>
                <w:lang w:val="ro-RO"/>
              </w:rPr>
              <w:t>BC</w:t>
            </w:r>
          </w:p>
        </w:tc>
        <w:tc>
          <w:tcPr>
            <w:tcW w:w="1628" w:type="dxa"/>
          </w:tcPr>
          <w:p w:rsidR="00B4550A" w:rsidRPr="00E0488D" w:rsidRDefault="00B4550A" w:rsidP="003C7FC8">
            <w:pPr>
              <w:spacing w:line="276" w:lineRule="auto"/>
              <w:jc w:val="center"/>
              <w:rPr>
                <w:i/>
                <w:u w:val="single"/>
                <w:lang w:val="ro-RO"/>
              </w:rPr>
            </w:pPr>
            <w:r w:rsidRPr="00E0488D">
              <w:rPr>
                <w:lang w:val="ro-RO"/>
              </w:rPr>
              <w:t>4,70</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RIRE</w:t>
            </w:r>
          </w:p>
        </w:tc>
        <w:tc>
          <w:tcPr>
            <w:tcW w:w="1628" w:type="dxa"/>
          </w:tcPr>
          <w:p w:rsidR="00B4550A" w:rsidRPr="00E0488D" w:rsidRDefault="00B4550A" w:rsidP="003C7FC8">
            <w:pPr>
              <w:spacing w:line="276" w:lineRule="auto"/>
              <w:jc w:val="center"/>
              <w:rPr>
                <w:i/>
                <w:u w:val="single"/>
                <w:lang w:val="ro-RO"/>
              </w:rPr>
            </w:pPr>
            <w:r w:rsidRPr="00E0488D">
              <w:rPr>
                <w:lang w:val="ro-RO"/>
              </w:rPr>
              <w:t>19,6%</w:t>
            </w:r>
          </w:p>
        </w:tc>
      </w:tr>
      <w:tr w:rsidR="00B4550A" w:rsidRPr="00E0488D" w:rsidTr="003C7FC8">
        <w:tc>
          <w:tcPr>
            <w:tcW w:w="3818" w:type="dxa"/>
            <w:vAlign w:val="center"/>
          </w:tcPr>
          <w:p w:rsidR="00B4550A" w:rsidRPr="00E0488D" w:rsidRDefault="00B4550A" w:rsidP="003C7FC8">
            <w:pPr>
              <w:rPr>
                <w:b/>
                <w:lang w:val="ro-RO"/>
              </w:rPr>
            </w:pPr>
            <w:r w:rsidRPr="00E0488D">
              <w:rPr>
                <w:b/>
                <w:lang w:val="ro-RO"/>
              </w:rPr>
              <w:t xml:space="preserve">Recomandare Master Plan </w:t>
            </w:r>
          </w:p>
        </w:tc>
        <w:tc>
          <w:tcPr>
            <w:tcW w:w="1628" w:type="dxa"/>
          </w:tcPr>
          <w:p w:rsidR="00B4550A" w:rsidRPr="00E0488D" w:rsidRDefault="00B4550A" w:rsidP="003C7FC8">
            <w:pPr>
              <w:spacing w:line="276" w:lineRule="auto"/>
              <w:jc w:val="center"/>
              <w:rPr>
                <w:lang w:val="ro-RO"/>
              </w:rPr>
            </w:pPr>
            <w:r w:rsidRPr="00E0488D">
              <w:rPr>
                <w:b/>
                <w:color w:val="00B050"/>
                <w:lang w:val="ro-RO"/>
              </w:rPr>
              <w:sym w:font="Wingdings" w:char="F0FC"/>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Acest proiect ar trebui să fie implementat de AFDJ Galați.</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Perioada de implementare:</w:t>
      </w:r>
      <w:r w:rsidRPr="00E0488D">
        <w:rPr>
          <w:bCs/>
          <w:i/>
          <w:sz w:val="22"/>
          <w:szCs w:val="22"/>
          <w:lang w:val="ro-RO"/>
        </w:rPr>
        <w:t xml:space="preserve"> 2014-2020</w:t>
      </w:r>
    </w:p>
    <w:p w:rsidR="00B4550A" w:rsidRPr="00E0488D" w:rsidRDefault="00B4550A" w:rsidP="002B7E09">
      <w:pPr>
        <w:pStyle w:val="NumberedParas"/>
      </w:pPr>
      <w:r w:rsidRPr="00E0488D">
        <w:t xml:space="preserve">Acest proiect ar trebui să fie implementat cât mai curând posibil pentru că va afecta toate porturile incluse în acest Master Plan. </w:t>
      </w:r>
    </w:p>
    <w:p w:rsidR="00B4550A" w:rsidRPr="00E0488D" w:rsidRDefault="00B4550A" w:rsidP="00B4550A">
      <w:pPr>
        <w:spacing w:line="276" w:lineRule="auto"/>
        <w:rPr>
          <w:b/>
          <w:sz w:val="22"/>
          <w:szCs w:val="22"/>
          <w:lang w:val="ro-RO"/>
        </w:rPr>
      </w:pPr>
    </w:p>
    <w:p w:rsidR="00B4550A" w:rsidRPr="00E0488D" w:rsidRDefault="00B4550A" w:rsidP="00B4550A">
      <w:pPr>
        <w:spacing w:line="276" w:lineRule="auto"/>
        <w:rPr>
          <w:b/>
          <w:sz w:val="22"/>
          <w:szCs w:val="22"/>
          <w:lang w:val="ro-RO"/>
        </w:rPr>
      </w:pPr>
      <w:r w:rsidRPr="00E0488D">
        <w:rPr>
          <w:b/>
          <w:sz w:val="22"/>
          <w:szCs w:val="22"/>
          <w:lang w:val="ro-RO"/>
        </w:rPr>
        <w:t xml:space="preserve">Canalul București – Dunăre </w:t>
      </w:r>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Acest lucru ar presupune crearea unei legături directe între București și fluviul Dunărea. Lucrările pentru o astfel de legătură au fost începute în 1980 dar nu au fost finalizate niciodată. Mai precis propunerea include: </w:t>
      </w:r>
    </w:p>
    <w:p w:rsidR="00B4550A" w:rsidRPr="00E0488D" w:rsidRDefault="00B4550A" w:rsidP="00BC2B57">
      <w:pPr>
        <w:pStyle w:val="BulletLevel1"/>
      </w:pPr>
      <w:r w:rsidRPr="00E0488D">
        <w:t xml:space="preserve">Crearea a 104 km de </w:t>
      </w:r>
      <w:r w:rsidR="006425A8" w:rsidRPr="00E0488D">
        <w:t>cale navigabilă</w:t>
      </w:r>
      <w:r w:rsidRPr="00E0488D">
        <w:t xml:space="preserve"> inclusiv crearea unui canal navigabil pe Argeș </w:t>
      </w:r>
    </w:p>
    <w:p w:rsidR="00B4550A" w:rsidRPr="00E0488D" w:rsidRDefault="00B4550A" w:rsidP="00BC2B57">
      <w:pPr>
        <w:pStyle w:val="BulletLevel1"/>
      </w:pPr>
      <w:r w:rsidRPr="00E0488D">
        <w:t xml:space="preserve">Crearea unui terminal de transport pe căi navigabile la București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rPr>
          <w:i/>
          <w:u w:val="single"/>
        </w:rPr>
      </w:pPr>
      <w:r w:rsidRPr="00E0488D">
        <w:t xml:space="preserve">Constanța nu are legături directe cu Dunărea astfel încât pasagerii și mărfurile trebuie transbordate, în </w:t>
      </w:r>
      <w:r w:rsidR="006425A8" w:rsidRPr="00E0488D">
        <w:t>general</w:t>
      </w:r>
      <w:r w:rsidRPr="00E0488D">
        <w:t xml:space="preserve">  la Giurgiu.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OW1 – Îmbunătățirea navigabilității Dunării </w:t>
      </w:r>
    </w:p>
    <w:p w:rsidR="00CE6120" w:rsidRPr="00E0488D" w:rsidRDefault="00CE6120" w:rsidP="00BC2B57">
      <w:pPr>
        <w:pStyle w:val="BulletLevel1"/>
      </w:pPr>
      <w:r w:rsidRPr="00E0488D">
        <w:t xml:space="preserve">OW2 – Îmbunătățirea legăturilor cu Dunărea pentru a reduce costurile și timpul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OW9 – Reducerea emisiilor de și a dioxidului de sulf </w:t>
      </w:r>
    </w:p>
    <w:p w:rsidR="00CE6120" w:rsidRPr="00E0488D" w:rsidRDefault="00CE6120" w:rsidP="00BC2B57">
      <w:pPr>
        <w:pStyle w:val="BulletLevel1"/>
      </w:pPr>
      <w:r w:rsidRPr="00E0488D">
        <w:t xml:space="preserve">OW10 – Creșterea volumului de mărfuri transportate prin moduri de </w:t>
      </w:r>
    </w:p>
    <w:p w:rsidR="006425A8" w:rsidRPr="00E0488D" w:rsidRDefault="006425A8" w:rsidP="006425A8">
      <w:pPr>
        <w:spacing w:line="276" w:lineRule="auto"/>
        <w:rPr>
          <w:i/>
          <w:sz w:val="22"/>
          <w:szCs w:val="22"/>
          <w:u w:val="single"/>
          <w:lang w:val="ro-RO"/>
        </w:rPr>
      </w:pPr>
      <w:r w:rsidRPr="00E0488D">
        <w:rPr>
          <w:i/>
          <w:sz w:val="22"/>
          <w:szCs w:val="22"/>
          <w:u w:val="single"/>
          <w:lang w:val="ro-RO"/>
        </w:rPr>
        <w:t>Potențială Piață</w:t>
      </w:r>
    </w:p>
    <w:p w:rsidR="006425A8" w:rsidRPr="00E0488D" w:rsidRDefault="006425A8" w:rsidP="002B7E09">
      <w:pPr>
        <w:pStyle w:val="NumberedParas"/>
      </w:pPr>
      <w:r w:rsidRPr="00E0488D">
        <w:t>Această propunere va aduce beneficii tuturor operațiunilor, în special celor legate de materiale de construcții și de combustibili minerali solizi.</w:t>
      </w:r>
    </w:p>
    <w:p w:rsidR="00B4550A" w:rsidRPr="00E0488D" w:rsidRDefault="00B4550A" w:rsidP="00B4550A">
      <w:pPr>
        <w:spacing w:line="276" w:lineRule="auto"/>
        <w:rPr>
          <w:i/>
          <w:sz w:val="22"/>
          <w:szCs w:val="22"/>
          <w:u w:val="single"/>
          <w:lang w:val="ro-RO"/>
        </w:rPr>
      </w:pPr>
      <w:r w:rsidRPr="00E0488D">
        <w:rPr>
          <w:i/>
          <w:sz w:val="22"/>
          <w:szCs w:val="22"/>
          <w:u w:val="single"/>
          <w:lang w:val="ro-RO"/>
        </w:rPr>
        <w:t>Costuri neactualizate:</w:t>
      </w:r>
    </w:p>
    <w:p w:rsidR="00B4550A" w:rsidRPr="00E0488D" w:rsidRDefault="00B4550A" w:rsidP="002B7E09">
      <w:pPr>
        <w:pStyle w:val="NumberedParas"/>
        <w:rPr>
          <w:i/>
          <w:u w:val="single"/>
        </w:rPr>
      </w:pPr>
      <w:r w:rsidRPr="00E0488D">
        <w:t>A fost estimat că proiectul va înregistra următoarele costuri:</w:t>
      </w:r>
    </w:p>
    <w:p w:rsidR="00B4550A" w:rsidRPr="00E0488D" w:rsidRDefault="00B4550A" w:rsidP="002B7E09">
      <w:pPr>
        <w:pStyle w:val="NumberedParas"/>
        <w:numPr>
          <w:ilvl w:val="0"/>
          <w:numId w:val="0"/>
        </w:numPr>
        <w:rPr>
          <w:lang w:eastAsia="en-GB"/>
        </w:rPr>
      </w:pPr>
      <w:r w:rsidRPr="00E0488D">
        <w:rPr>
          <w:lang w:eastAsia="en-GB"/>
        </w:rPr>
        <w:t xml:space="preserve">Tabelul  6.57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141AFC">
        <w:trPr>
          <w:cantSplit/>
          <w:tblHeader/>
        </w:trPr>
        <w:tc>
          <w:tcPr>
            <w:tcW w:w="722" w:type="pct"/>
            <w:vAlign w:val="center"/>
          </w:tcPr>
          <w:p w:rsidR="00B4550A" w:rsidRPr="00E0488D" w:rsidRDefault="00B4550A" w:rsidP="003C7FC8">
            <w:pPr>
              <w:spacing w:before="120" w:line="276" w:lineRule="auto"/>
              <w:jc w:val="center"/>
              <w:rPr>
                <w:b/>
                <w:bCs/>
                <w:lang w:val="ro-RO"/>
              </w:rPr>
            </w:pPr>
          </w:p>
        </w:tc>
        <w:tc>
          <w:tcPr>
            <w:tcW w:w="1330" w:type="pct"/>
            <w:vAlign w:val="center"/>
          </w:tcPr>
          <w:p w:rsidR="00B4550A" w:rsidRPr="00E0488D" w:rsidRDefault="00B4550A" w:rsidP="003C7FC8">
            <w:pPr>
              <w:spacing w:before="120" w:line="276" w:lineRule="auto"/>
              <w:jc w:val="center"/>
              <w:rPr>
                <w:b/>
                <w:bCs/>
                <w:lang w:val="ro-RO"/>
              </w:rPr>
            </w:pPr>
            <w:r w:rsidRPr="00E0488D">
              <w:rPr>
                <w:b/>
                <w:bCs/>
                <w:lang w:val="ro-RO"/>
              </w:rPr>
              <w:t>Costuri neactualizate (milioane €, prețuri 2014)</w:t>
            </w:r>
          </w:p>
        </w:tc>
        <w:tc>
          <w:tcPr>
            <w:tcW w:w="2948" w:type="pct"/>
            <w:vAlign w:val="center"/>
          </w:tcPr>
          <w:p w:rsidR="00B4550A" w:rsidRPr="00E0488D" w:rsidRDefault="00B4550A" w:rsidP="003C7FC8">
            <w:pPr>
              <w:spacing w:before="120" w:line="276" w:lineRule="auto"/>
              <w:jc w:val="center"/>
              <w:rPr>
                <w:b/>
                <w:bCs/>
                <w:lang w:val="ro-RO"/>
              </w:rPr>
            </w:pPr>
            <w:r w:rsidRPr="00E0488D">
              <w:rPr>
                <w:b/>
                <w:bCs/>
                <w:lang w:val="ro-RO"/>
              </w:rPr>
              <w:t>Descrierea îmbunătățirilor incluse</w:t>
            </w:r>
          </w:p>
        </w:tc>
      </w:tr>
      <w:tr w:rsidR="00B4550A" w:rsidRPr="00E0488D" w:rsidTr="00141AFC">
        <w:trPr>
          <w:cantSplit/>
          <w:trHeight w:val="680"/>
        </w:trPr>
        <w:tc>
          <w:tcPr>
            <w:tcW w:w="722" w:type="pct"/>
            <w:vAlign w:val="center"/>
          </w:tcPr>
          <w:p w:rsidR="00B4550A" w:rsidRPr="00E0488D" w:rsidRDefault="006425A8" w:rsidP="003C7FC8">
            <w:pPr>
              <w:spacing w:before="120" w:line="276" w:lineRule="auto"/>
              <w:rPr>
                <w:b/>
                <w:bCs/>
                <w:lang w:val="ro-RO"/>
              </w:rPr>
            </w:pPr>
            <w:r w:rsidRPr="00E0488D">
              <w:rPr>
                <w:b/>
                <w:bCs/>
                <w:lang w:val="ro-RO"/>
              </w:rPr>
              <w:t>Cost</w:t>
            </w:r>
          </w:p>
        </w:tc>
        <w:tc>
          <w:tcPr>
            <w:tcW w:w="1330" w:type="pct"/>
            <w:vAlign w:val="center"/>
          </w:tcPr>
          <w:p w:rsidR="00B4550A" w:rsidRPr="00E0488D" w:rsidRDefault="006425A8" w:rsidP="003C7FC8">
            <w:pPr>
              <w:spacing w:before="120" w:line="276" w:lineRule="auto"/>
              <w:jc w:val="center"/>
              <w:rPr>
                <w:b/>
                <w:bCs/>
                <w:lang w:val="ro-RO"/>
              </w:rPr>
            </w:pPr>
            <w:r w:rsidRPr="00E0488D">
              <w:rPr>
                <w:b/>
                <w:bCs/>
                <w:lang w:val="ro-RO"/>
              </w:rPr>
              <w:t>1.500</w:t>
            </w:r>
          </w:p>
        </w:tc>
        <w:tc>
          <w:tcPr>
            <w:tcW w:w="2948" w:type="pct"/>
          </w:tcPr>
          <w:p w:rsidR="00B4550A" w:rsidRPr="00E0488D" w:rsidRDefault="00B4550A" w:rsidP="003C7FC8">
            <w:pPr>
              <w:spacing w:before="120" w:line="276" w:lineRule="auto"/>
              <w:rPr>
                <w:b/>
                <w:bCs/>
                <w:lang w:val="ro-RO"/>
              </w:rPr>
            </w:pPr>
            <w:r w:rsidRPr="00E0488D">
              <w:rPr>
                <w:b/>
                <w:bCs/>
                <w:lang w:val="ro-RO"/>
              </w:rPr>
              <w:t xml:space="preserve">Finalizarea Canalului București – Dunăre </w:t>
            </w:r>
          </w:p>
          <w:p w:rsidR="00B4550A" w:rsidRPr="00E0488D" w:rsidRDefault="00B4550A" w:rsidP="006425A8">
            <w:pPr>
              <w:spacing w:before="120" w:line="276" w:lineRule="auto"/>
              <w:rPr>
                <w:b/>
                <w:bCs/>
                <w:lang w:val="ro-RO"/>
              </w:rPr>
            </w:pPr>
            <w:r w:rsidRPr="00E0488D">
              <w:rPr>
                <w:b/>
                <w:bCs/>
                <w:lang w:val="ro-RO"/>
              </w:rPr>
              <w:t xml:space="preserve">Crearea unui terminal de transport </w:t>
            </w:r>
            <w:r w:rsidR="006425A8" w:rsidRPr="00E0488D">
              <w:rPr>
                <w:b/>
                <w:bCs/>
                <w:lang w:val="ro-RO"/>
              </w:rPr>
              <w:t>naval</w:t>
            </w:r>
            <w:r w:rsidRPr="00E0488D">
              <w:rPr>
                <w:b/>
                <w:bCs/>
                <w:lang w:val="ro-RO"/>
              </w:rPr>
              <w:t xml:space="preserve"> la București </w:t>
            </w:r>
          </w:p>
        </w:tc>
      </w:tr>
    </w:tbl>
    <w:p w:rsidR="00B4550A" w:rsidRPr="00E0488D" w:rsidRDefault="00B4550A" w:rsidP="00B4550A">
      <w:pPr>
        <w:spacing w:line="276" w:lineRule="auto"/>
        <w:rPr>
          <w:i/>
          <w:sz w:val="22"/>
          <w:szCs w:val="22"/>
          <w:u w:val="single"/>
          <w:lang w:val="ro-RO"/>
        </w:rPr>
      </w:pPr>
    </w:p>
    <w:p w:rsidR="00B4550A" w:rsidRPr="00E0488D" w:rsidRDefault="00B4550A" w:rsidP="00B4550A">
      <w:pPr>
        <w:spacing w:line="276" w:lineRule="auto"/>
        <w:rPr>
          <w:i/>
          <w:sz w:val="22"/>
          <w:szCs w:val="22"/>
          <w:u w:val="single"/>
          <w:lang w:val="ro-RO"/>
        </w:rPr>
      </w:pPr>
      <w:r w:rsidRPr="00E0488D">
        <w:rPr>
          <w:i/>
          <w:sz w:val="22"/>
          <w:szCs w:val="22"/>
          <w:u w:val="single"/>
          <w:lang w:val="ro-RO"/>
        </w:rPr>
        <w:t>Rezultate:</w:t>
      </w:r>
    </w:p>
    <w:p w:rsidR="00B4550A" w:rsidRPr="00E0488D" w:rsidRDefault="00B4550A" w:rsidP="002B7E09">
      <w:pPr>
        <w:pStyle w:val="NumberedParas"/>
      </w:pPr>
      <w:r w:rsidRPr="00E0488D">
        <w:t>Această intervenție oferă beneficii limitate cu un raport beneficiu-cost (</w:t>
      </w:r>
      <w:r w:rsidR="006425A8" w:rsidRPr="00E0488D">
        <w:t>R</w:t>
      </w:r>
      <w:r w:rsidRPr="00E0488D">
        <w:t xml:space="preserve">BC) de 0,95. Se estimează că propunerea va genera peste 2,7 milioane de tone de mărfuri până în anul 2020. Acest proiect este recomandat pentru a fi inclus în Master Plan, deși ar trebui să mai fie revizuit, mai în detaliu, aproape de 2030, printr-un studiu de fezabilitate detaliat. </w:t>
      </w:r>
    </w:p>
    <w:p w:rsidR="00B4550A" w:rsidRPr="00E0488D" w:rsidRDefault="00B4550A" w:rsidP="002B7E09">
      <w:pPr>
        <w:pStyle w:val="NumberedParas"/>
        <w:numPr>
          <w:ilvl w:val="0"/>
          <w:numId w:val="0"/>
        </w:numPr>
        <w:rPr>
          <w:lang w:eastAsia="en-GB"/>
        </w:rPr>
      </w:pPr>
      <w:r w:rsidRPr="00E0488D">
        <w:rPr>
          <w:lang w:eastAsia="en-GB"/>
        </w:rPr>
        <w:t xml:space="preserve">Tabelul  6.58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Cod test </w:t>
            </w:r>
          </w:p>
        </w:tc>
        <w:tc>
          <w:tcPr>
            <w:tcW w:w="1628" w:type="dxa"/>
            <w:vAlign w:val="center"/>
          </w:tcPr>
          <w:p w:rsidR="00B4550A" w:rsidRPr="00E0488D" w:rsidRDefault="00B4550A" w:rsidP="003C7FC8">
            <w:pPr>
              <w:rPr>
                <w:sz w:val="20"/>
                <w:szCs w:val="20"/>
                <w:lang w:val="ro-RO"/>
              </w:rPr>
            </w:pPr>
            <w:r w:rsidRPr="00E0488D">
              <w:rPr>
                <w:sz w:val="20"/>
                <w:szCs w:val="20"/>
                <w:lang w:val="ro-RO"/>
              </w:rPr>
              <w:t>W36</w:t>
            </w:r>
          </w:p>
        </w:tc>
      </w:tr>
      <w:tr w:rsidR="00B4550A" w:rsidRPr="00E0488D" w:rsidTr="003C7FC8">
        <w:tc>
          <w:tcPr>
            <w:tcW w:w="3818" w:type="dxa"/>
          </w:tcPr>
          <w:p w:rsidR="00B4550A" w:rsidRPr="00E0488D" w:rsidRDefault="00B4550A" w:rsidP="003C7FC8">
            <w:pPr>
              <w:rPr>
                <w:b/>
                <w:sz w:val="20"/>
                <w:szCs w:val="20"/>
                <w:lang w:val="ro-RO"/>
              </w:rPr>
            </w:pPr>
            <w:r w:rsidRPr="00E0488D">
              <w:rPr>
                <w:b/>
                <w:sz w:val="20"/>
                <w:szCs w:val="20"/>
                <w:lang w:val="ro-RO"/>
              </w:rPr>
              <w:t>Modificare tonaj transportat pe apă anual (2020)</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2.760.878</w:t>
            </w:r>
          </w:p>
        </w:tc>
      </w:tr>
      <w:tr w:rsidR="00B4550A" w:rsidRPr="00E0488D" w:rsidTr="003C7FC8">
        <w:tc>
          <w:tcPr>
            <w:tcW w:w="3818" w:type="dxa"/>
            <w:vAlign w:val="center"/>
          </w:tcPr>
          <w:p w:rsidR="00B4550A" w:rsidRPr="00E0488D" w:rsidRDefault="006425A8" w:rsidP="003C7FC8">
            <w:pPr>
              <w:rPr>
                <w:b/>
                <w:sz w:val="20"/>
                <w:szCs w:val="20"/>
                <w:lang w:val="ro-RO"/>
              </w:rPr>
            </w:pPr>
            <w:r w:rsidRPr="00E0488D">
              <w:rPr>
                <w:b/>
                <w:sz w:val="20"/>
                <w:szCs w:val="20"/>
                <w:lang w:val="ro-RO"/>
              </w:rPr>
              <w:t>VNA</w:t>
            </w:r>
            <w:r w:rsidR="00B4550A" w:rsidRPr="00E0488D">
              <w:rPr>
                <w:b/>
                <w:sz w:val="20"/>
                <w:szCs w:val="20"/>
                <w:lang w:val="ro-RO"/>
              </w:rPr>
              <w:t xml:space="preserve"> mil € (preturi 2014)</w:t>
            </w:r>
          </w:p>
        </w:tc>
        <w:tc>
          <w:tcPr>
            <w:tcW w:w="1628" w:type="dxa"/>
          </w:tcPr>
          <w:p w:rsidR="00B4550A" w:rsidRPr="00E0488D" w:rsidRDefault="00B4550A" w:rsidP="003C7FC8">
            <w:pPr>
              <w:spacing w:line="276" w:lineRule="auto"/>
              <w:jc w:val="center"/>
              <w:rPr>
                <w:sz w:val="20"/>
                <w:szCs w:val="20"/>
                <w:lang w:val="ro-RO"/>
              </w:rPr>
            </w:pPr>
            <w:r w:rsidRPr="00E0488D">
              <w:rPr>
                <w:sz w:val="20"/>
                <w:szCs w:val="20"/>
                <w:lang w:val="ro-RO"/>
              </w:rPr>
              <w:t>-48</w:t>
            </w:r>
          </w:p>
        </w:tc>
      </w:tr>
      <w:tr w:rsidR="00B4550A" w:rsidRPr="00E0488D" w:rsidTr="003C7FC8">
        <w:tc>
          <w:tcPr>
            <w:tcW w:w="3818" w:type="dxa"/>
            <w:vAlign w:val="center"/>
          </w:tcPr>
          <w:p w:rsidR="00B4550A" w:rsidRPr="00E0488D" w:rsidRDefault="006425A8" w:rsidP="003C7FC8">
            <w:pPr>
              <w:rPr>
                <w:b/>
                <w:sz w:val="20"/>
                <w:szCs w:val="20"/>
                <w:lang w:val="ro-RO"/>
              </w:rPr>
            </w:pPr>
            <w:r w:rsidRPr="00E0488D">
              <w:rPr>
                <w:b/>
                <w:sz w:val="20"/>
                <w:szCs w:val="20"/>
                <w:lang w:val="ro-RO"/>
              </w:rPr>
              <w:t>R</w:t>
            </w:r>
            <w:r w:rsidR="00B4550A" w:rsidRPr="00E0488D">
              <w:rPr>
                <w:b/>
                <w:sz w:val="20"/>
                <w:szCs w:val="20"/>
                <w:lang w:val="ro-RO"/>
              </w:rPr>
              <w:t>B/C</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0,95</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RIRE</w:t>
            </w:r>
          </w:p>
        </w:tc>
        <w:tc>
          <w:tcPr>
            <w:tcW w:w="1628" w:type="dxa"/>
          </w:tcPr>
          <w:p w:rsidR="00B4550A" w:rsidRPr="00E0488D" w:rsidRDefault="00B4550A" w:rsidP="003C7FC8">
            <w:pPr>
              <w:spacing w:line="276" w:lineRule="auto"/>
              <w:jc w:val="center"/>
              <w:rPr>
                <w:i/>
                <w:sz w:val="20"/>
                <w:szCs w:val="20"/>
                <w:u w:val="single"/>
                <w:lang w:val="ro-RO"/>
              </w:rPr>
            </w:pPr>
            <w:r w:rsidRPr="00E0488D">
              <w:rPr>
                <w:sz w:val="20"/>
                <w:szCs w:val="20"/>
                <w:lang w:val="ro-RO"/>
              </w:rPr>
              <w:t>4,7%</w:t>
            </w:r>
          </w:p>
        </w:tc>
      </w:tr>
      <w:tr w:rsidR="00B4550A" w:rsidRPr="00E0488D" w:rsidTr="003C7FC8">
        <w:tc>
          <w:tcPr>
            <w:tcW w:w="3818" w:type="dxa"/>
            <w:vAlign w:val="center"/>
          </w:tcPr>
          <w:p w:rsidR="00B4550A" w:rsidRPr="00E0488D" w:rsidRDefault="00B4550A" w:rsidP="003C7FC8">
            <w:pPr>
              <w:rPr>
                <w:b/>
                <w:sz w:val="20"/>
                <w:szCs w:val="20"/>
                <w:lang w:val="ro-RO"/>
              </w:rPr>
            </w:pPr>
            <w:r w:rsidRPr="00E0488D">
              <w:rPr>
                <w:b/>
                <w:sz w:val="20"/>
                <w:szCs w:val="20"/>
                <w:lang w:val="ro-RO"/>
              </w:rPr>
              <w:t xml:space="preserve">Recomandare Master Plan </w:t>
            </w:r>
          </w:p>
        </w:tc>
        <w:tc>
          <w:tcPr>
            <w:tcW w:w="1628" w:type="dxa"/>
          </w:tcPr>
          <w:p w:rsidR="00B4550A" w:rsidRPr="00E0488D" w:rsidRDefault="00B4550A" w:rsidP="003C7FC8">
            <w:pPr>
              <w:spacing w:line="276" w:lineRule="auto"/>
              <w:jc w:val="center"/>
              <w:rPr>
                <w:sz w:val="20"/>
                <w:szCs w:val="20"/>
                <w:lang w:val="ro-RO"/>
              </w:rPr>
            </w:pPr>
            <w:r w:rsidRPr="00E0488D">
              <w:rPr>
                <w:b/>
                <w:color w:val="00B050"/>
                <w:sz w:val="20"/>
                <w:szCs w:val="20"/>
                <w:lang w:val="ro-RO"/>
              </w:rPr>
              <w:sym w:font="Wingdings" w:char="F0FC"/>
            </w:r>
          </w:p>
        </w:tc>
      </w:tr>
    </w:tbl>
    <w:p w:rsidR="00B4550A" w:rsidRPr="00E0488D" w:rsidRDefault="00B4550A" w:rsidP="00B4550A">
      <w:pPr>
        <w:spacing w:line="276" w:lineRule="auto"/>
        <w:rPr>
          <w:bCs/>
          <w:i/>
          <w:sz w:val="22"/>
          <w:szCs w:val="22"/>
          <w:u w:val="single"/>
          <w:lang w:val="ro-RO"/>
        </w:rPr>
      </w:pPr>
    </w:p>
    <w:p w:rsidR="00B4550A" w:rsidRPr="00E0488D" w:rsidRDefault="00C64DDE" w:rsidP="00B4550A">
      <w:pPr>
        <w:spacing w:line="276" w:lineRule="auto"/>
        <w:rPr>
          <w:i/>
          <w:sz w:val="22"/>
          <w:szCs w:val="22"/>
          <w:u w:val="single"/>
          <w:lang w:val="ro-RO" w:eastAsia="en-GB"/>
        </w:rPr>
      </w:pPr>
      <w:r w:rsidRPr="00E0488D">
        <w:rPr>
          <w:i/>
          <w:noProof/>
          <w:sz w:val="22"/>
          <w:szCs w:val="22"/>
          <w:u w:val="single"/>
          <w:lang w:val="ro-RO" w:eastAsia="ro-RO"/>
        </w:rPr>
        <w:drawing>
          <wp:inline distT="0" distB="0" distL="0" distR="0">
            <wp:extent cx="4574659" cy="2747896"/>
            <wp:effectExtent l="19050" t="0" r="16391" b="0"/>
            <wp:docPr id="6"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B4550A" w:rsidRPr="00E0488D" w:rsidRDefault="00B4550A" w:rsidP="00B4550A">
      <w:pPr>
        <w:spacing w:line="276" w:lineRule="auto"/>
        <w:rPr>
          <w:b/>
          <w:sz w:val="22"/>
          <w:szCs w:val="22"/>
          <w:lang w:val="ro-RO"/>
        </w:rPr>
      </w:pPr>
      <w:r w:rsidRPr="00E0488D">
        <w:rPr>
          <w:b/>
          <w:sz w:val="22"/>
          <w:szCs w:val="22"/>
          <w:lang w:val="ro-RO" w:eastAsia="en-GB"/>
        </w:rPr>
        <w:t xml:space="preserve">Figura 6.27 – Tonele de mărfuri transportate pe Canalul București – Dunăre </w:t>
      </w:r>
      <w:r w:rsidRPr="00E0488D">
        <w:rPr>
          <w:b/>
          <w:sz w:val="22"/>
          <w:szCs w:val="22"/>
          <w:lang w:val="ro-RO"/>
        </w:rPr>
        <w:t>(pe an)</w:t>
      </w:r>
    </w:p>
    <w:p w:rsidR="00B4550A" w:rsidRPr="00E0488D" w:rsidRDefault="00B4550A" w:rsidP="00B4550A">
      <w:pPr>
        <w:spacing w:line="276" w:lineRule="auto"/>
        <w:rPr>
          <w:b/>
          <w:bCs/>
          <w:sz w:val="22"/>
          <w:szCs w:val="22"/>
          <w:lang w:val="ro-RO"/>
        </w:rPr>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Un canal nou va avea nevoie de o nouă autoritate pentru a administra și întreține canalul, la fel cum ACN administrează Canalul Dunăre – Marea Neagră. Se sugerează ca MT să fie organizația care să coordoneze acest proiect, ca autoritate interimară.  </w:t>
      </w:r>
    </w:p>
    <w:p w:rsidR="00B4550A" w:rsidRPr="00E0488D" w:rsidRDefault="00B4550A" w:rsidP="00B4550A">
      <w:pPr>
        <w:spacing w:line="276" w:lineRule="auto"/>
        <w:rPr>
          <w:bCs/>
          <w:i/>
          <w:sz w:val="22"/>
          <w:szCs w:val="22"/>
          <w:lang w:val="ro-RO"/>
        </w:rPr>
      </w:pPr>
      <w:r w:rsidRPr="00E0488D">
        <w:rPr>
          <w:bCs/>
          <w:i/>
          <w:sz w:val="22"/>
          <w:szCs w:val="22"/>
          <w:u w:val="single"/>
          <w:lang w:val="ro-RO"/>
        </w:rPr>
        <w:t>Perioadă de implementare:</w:t>
      </w:r>
      <w:r w:rsidRPr="00E0488D">
        <w:rPr>
          <w:bCs/>
          <w:i/>
          <w:sz w:val="22"/>
          <w:szCs w:val="22"/>
          <w:lang w:val="ro-RO"/>
        </w:rPr>
        <w:t xml:space="preserve"> După 2030</w:t>
      </w:r>
    </w:p>
    <w:p w:rsidR="00B4550A" w:rsidRPr="00E0488D" w:rsidRDefault="00B4550A" w:rsidP="002B7E09">
      <w:pPr>
        <w:pStyle w:val="NumberedParas"/>
      </w:pPr>
      <w:r w:rsidRPr="00E0488D">
        <w:t xml:space="preserve">Acesta este un proiect pe termen lung și nu este acceptat ca o prioritate în cadrul Master Planului, astfel încât se sugerează ca perioada de implementare să fie după 2030. </w:t>
      </w:r>
    </w:p>
    <w:p w:rsidR="00B4550A" w:rsidRPr="00E0488D" w:rsidRDefault="00B4550A" w:rsidP="002B7E09">
      <w:pPr>
        <w:pStyle w:val="NumberedParas"/>
        <w:numPr>
          <w:ilvl w:val="0"/>
          <w:numId w:val="0"/>
        </w:numPr>
        <w:ind w:left="822"/>
      </w:pPr>
    </w:p>
    <w:p w:rsidR="00B4550A" w:rsidRPr="00E0488D" w:rsidRDefault="00C64DDE" w:rsidP="00B4550A">
      <w:pPr>
        <w:spacing w:line="276" w:lineRule="auto"/>
        <w:rPr>
          <w:b/>
          <w:sz w:val="22"/>
          <w:szCs w:val="22"/>
          <w:lang w:val="ro-RO"/>
        </w:rPr>
      </w:pPr>
      <w:r w:rsidRPr="00E0488D">
        <w:rPr>
          <w:b/>
          <w:sz w:val="22"/>
          <w:szCs w:val="22"/>
          <w:lang w:val="ro-RO"/>
        </w:rPr>
        <w:t>Îmbunătățiri ale Canalului S</w:t>
      </w:r>
      <w:r w:rsidR="00B4550A" w:rsidRPr="00E0488D">
        <w:rPr>
          <w:b/>
          <w:sz w:val="22"/>
          <w:szCs w:val="22"/>
          <w:lang w:val="ro-RO"/>
        </w:rPr>
        <w:t xml:space="preserve">ulina </w:t>
      </w:r>
    </w:p>
    <w:p w:rsidR="00B4550A" w:rsidRPr="00E0488D" w:rsidRDefault="00C64DDE"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r w:rsidR="00B4550A" w:rsidRPr="00E0488D">
        <w:rPr>
          <w:i/>
          <w:sz w:val="22"/>
          <w:szCs w:val="22"/>
          <w:u w:val="single"/>
          <w:lang w:val="ro-RO"/>
        </w:rPr>
        <w:t>:</w:t>
      </w:r>
    </w:p>
    <w:p w:rsidR="00B4550A" w:rsidRPr="00E0488D" w:rsidRDefault="00C64DDE" w:rsidP="002B7E09">
      <w:pPr>
        <w:pStyle w:val="NumberedParas"/>
      </w:pPr>
      <w:r w:rsidRPr="00E0488D">
        <w:t>Aceasta ar implica introducerea măsurilor de restaurare și protejare a malurilor, care ar avea ca efect:</w:t>
      </w:r>
    </w:p>
    <w:p w:rsidR="00C64DDE" w:rsidRPr="00E0488D" w:rsidRDefault="00B4550A" w:rsidP="002B7E09">
      <w:pPr>
        <w:pStyle w:val="NumberedParas"/>
        <w:numPr>
          <w:ilvl w:val="0"/>
          <w:numId w:val="0"/>
        </w:numPr>
        <w:ind w:left="1673"/>
      </w:pPr>
      <w:r w:rsidRPr="00E0488D">
        <w:t xml:space="preserve">- </w:t>
      </w:r>
      <w:r w:rsidR="00C64DDE" w:rsidRPr="00E0488D">
        <w:t>Stoparea fenomenului de eroziune în unele zone prin protejarea malurilor;</w:t>
      </w:r>
    </w:p>
    <w:p w:rsidR="00C64DDE" w:rsidRPr="00E0488D" w:rsidRDefault="00C64DDE" w:rsidP="002B7E09">
      <w:pPr>
        <w:pStyle w:val="NumberedParas"/>
        <w:numPr>
          <w:ilvl w:val="0"/>
          <w:numId w:val="0"/>
        </w:numPr>
        <w:ind w:left="1673"/>
      </w:pPr>
      <w:r w:rsidRPr="00E0488D">
        <w:t>- Stabilizarea și securizarea navigabilității canalului;</w:t>
      </w:r>
    </w:p>
    <w:p w:rsidR="00C64DDE" w:rsidRPr="00E0488D" w:rsidRDefault="00C64DDE" w:rsidP="002B7E09">
      <w:pPr>
        <w:pStyle w:val="NumberedParas"/>
        <w:numPr>
          <w:ilvl w:val="0"/>
          <w:numId w:val="0"/>
        </w:numPr>
        <w:ind w:left="1673"/>
      </w:pPr>
      <w:r w:rsidRPr="00E0488D">
        <w:t>- Reducerea riscului de inundații ale așezărilor costiere și facilități economice de-a lungul canalului;</w:t>
      </w:r>
    </w:p>
    <w:p w:rsidR="00C64DDE" w:rsidRPr="00E0488D" w:rsidRDefault="00C64DDE" w:rsidP="002B7E09">
      <w:pPr>
        <w:pStyle w:val="NumberedParas"/>
        <w:numPr>
          <w:ilvl w:val="0"/>
          <w:numId w:val="0"/>
        </w:numPr>
        <w:ind w:left="1673"/>
      </w:pPr>
      <w:r w:rsidRPr="00E0488D">
        <w:t>- Îmbunătățirea nivelului de protecție a mediului din sector</w:t>
      </w:r>
    </w:p>
    <w:p w:rsidR="00B4550A" w:rsidRPr="00E0488D" w:rsidRDefault="00C64DDE" w:rsidP="002B7E09">
      <w:pPr>
        <w:pStyle w:val="NumberedParas"/>
      </w:pPr>
      <w:r w:rsidRPr="00E0488D">
        <w:t>Aceasta este faza a doua a unui proiect aflat în desfășurare pe canalul Sulina.</w:t>
      </w:r>
      <w:r w:rsidR="00B4550A" w:rsidRPr="00E0488D">
        <w:t>.</w:t>
      </w:r>
    </w:p>
    <w:p w:rsidR="00B4550A" w:rsidRPr="00E0488D" w:rsidRDefault="00B4550A" w:rsidP="00B4550A">
      <w:pPr>
        <w:rPr>
          <w:i/>
          <w:sz w:val="22"/>
          <w:szCs w:val="22"/>
          <w:u w:val="single"/>
          <w:lang w:val="ro-RO"/>
        </w:rPr>
      </w:pPr>
    </w:p>
    <w:p w:rsidR="00B4550A" w:rsidRPr="00E0488D" w:rsidRDefault="00C64DDE" w:rsidP="00B4550A">
      <w:pPr>
        <w:spacing w:line="276" w:lineRule="auto"/>
        <w:rPr>
          <w:i/>
          <w:sz w:val="22"/>
          <w:szCs w:val="22"/>
          <w:u w:val="single"/>
          <w:lang w:val="ro-RO"/>
        </w:rPr>
      </w:pPr>
      <w:r w:rsidRPr="00E0488D">
        <w:rPr>
          <w:i/>
          <w:sz w:val="22"/>
          <w:szCs w:val="22"/>
          <w:u w:val="single"/>
          <w:lang w:val="ro-RO"/>
        </w:rPr>
        <w:t>Probleme abordate</w:t>
      </w:r>
    </w:p>
    <w:p w:rsidR="00B4550A" w:rsidRPr="00E0488D" w:rsidRDefault="00C64DDE" w:rsidP="002B7E09">
      <w:pPr>
        <w:pStyle w:val="NumberedParas"/>
      </w:pPr>
      <w:r w:rsidRPr="00E0488D">
        <w:t xml:space="preserve">Adoptarea acestor măsuri va duce la creșterea siguranței navigației prin asigurarea </w:t>
      </w:r>
      <w:r w:rsidR="001205D0" w:rsidRPr="00E0488D">
        <w:t>stabilității</w:t>
      </w:r>
      <w:r w:rsidRPr="00E0488D">
        <w:t xml:space="preserve"> generale ale canalului.</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OW1 – Îmbunătățirea navigabilității Dunării </w:t>
      </w:r>
    </w:p>
    <w:p w:rsidR="00CE6120" w:rsidRPr="00E0488D" w:rsidRDefault="00CE6120" w:rsidP="00BC2B57">
      <w:pPr>
        <w:pStyle w:val="BulletLevel1"/>
      </w:pPr>
      <w:r w:rsidRPr="00E0488D">
        <w:t xml:space="preserve">OW2 – Îmbunătățirea legăturilor cu Dunărea pentru a reduce costurile și timpul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OW9 – Reducerea emisiilor de și a dioxidului de sulf </w:t>
      </w:r>
    </w:p>
    <w:p w:rsidR="00CE6120" w:rsidRPr="00E0488D" w:rsidRDefault="00CE6120" w:rsidP="00BC2B57">
      <w:pPr>
        <w:pStyle w:val="BulletLevel1"/>
      </w:pPr>
      <w:r w:rsidRPr="00E0488D">
        <w:t xml:space="preserve">OW10 – Creșterea volumului de mărfuri transportate prin moduri de </w:t>
      </w:r>
      <w:r w:rsidR="00C64DDE" w:rsidRPr="00E0488D">
        <w:t>transport sustenabile</w:t>
      </w:r>
    </w:p>
    <w:p w:rsidR="00CE6120" w:rsidRPr="00E0488D" w:rsidRDefault="00CE6120" w:rsidP="002B7E09">
      <w:pPr>
        <w:pStyle w:val="NumberedParas"/>
        <w:numPr>
          <w:ilvl w:val="0"/>
          <w:numId w:val="0"/>
        </w:numPr>
        <w:ind w:left="2240"/>
      </w:pPr>
    </w:p>
    <w:p w:rsidR="00B4550A" w:rsidRPr="00E0488D" w:rsidRDefault="00C64DDE" w:rsidP="00B4550A">
      <w:pPr>
        <w:spacing w:line="276" w:lineRule="auto"/>
        <w:rPr>
          <w:i/>
          <w:sz w:val="22"/>
          <w:szCs w:val="22"/>
          <w:u w:val="single"/>
          <w:lang w:val="ro-RO"/>
        </w:rPr>
      </w:pPr>
      <w:r w:rsidRPr="00E0488D">
        <w:rPr>
          <w:i/>
          <w:sz w:val="22"/>
          <w:szCs w:val="22"/>
          <w:u w:val="single"/>
          <w:lang w:val="ro-RO"/>
        </w:rPr>
        <w:t xml:space="preserve">Piața potențială </w:t>
      </w:r>
    </w:p>
    <w:p w:rsidR="00B4550A" w:rsidRPr="00E0488D" w:rsidRDefault="001205D0" w:rsidP="002B7E09">
      <w:pPr>
        <w:pStyle w:val="NumberedParas"/>
      </w:pPr>
      <w:r w:rsidRPr="00E0488D">
        <w:t>Această</w:t>
      </w:r>
      <w:r w:rsidR="00C64DDE" w:rsidRPr="00E0488D">
        <w:t xml:space="preserve"> propunere ar aduce beneficii tuturor tipurilor de operațiuni și în special celor aferente materialelor de construcții și combustibililor minerali.</w:t>
      </w:r>
    </w:p>
    <w:p w:rsidR="00B4550A" w:rsidRPr="00E0488D" w:rsidRDefault="001205D0" w:rsidP="00B4550A">
      <w:pPr>
        <w:spacing w:line="276" w:lineRule="auto"/>
        <w:rPr>
          <w:i/>
          <w:sz w:val="22"/>
          <w:szCs w:val="22"/>
          <w:u w:val="single"/>
          <w:lang w:val="ro-RO"/>
        </w:rPr>
      </w:pPr>
      <w:r w:rsidRPr="00E0488D">
        <w:rPr>
          <w:i/>
          <w:sz w:val="22"/>
          <w:szCs w:val="22"/>
          <w:u w:val="single"/>
          <w:lang w:val="ro-RO"/>
        </w:rPr>
        <w:t>Costuri</w:t>
      </w:r>
      <w:r w:rsidR="00C64DDE" w:rsidRPr="00E0488D">
        <w:rPr>
          <w:i/>
          <w:sz w:val="22"/>
          <w:szCs w:val="22"/>
          <w:u w:val="single"/>
          <w:lang w:val="ro-RO"/>
        </w:rPr>
        <w:t xml:space="preserve"> neactualizate</w:t>
      </w:r>
      <w:r w:rsidR="00B4550A" w:rsidRPr="00E0488D">
        <w:rPr>
          <w:i/>
          <w:sz w:val="22"/>
          <w:szCs w:val="22"/>
          <w:u w:val="single"/>
          <w:lang w:val="ro-RO"/>
        </w:rPr>
        <w:t>:</w:t>
      </w:r>
    </w:p>
    <w:p w:rsidR="00B4550A" w:rsidRPr="00E0488D" w:rsidRDefault="00C64DDE" w:rsidP="002B7E09">
      <w:pPr>
        <w:pStyle w:val="NumberedParas"/>
        <w:rPr>
          <w:i/>
          <w:u w:val="single"/>
        </w:rPr>
      </w:pPr>
      <w:r w:rsidRPr="00E0488D">
        <w:t xml:space="preserve">A fost estimat că proiectul va implica următoarele costuri: </w:t>
      </w:r>
    </w:p>
    <w:p w:rsidR="00B4550A" w:rsidRPr="00E0488D" w:rsidRDefault="00B4550A" w:rsidP="002B7E09">
      <w:pPr>
        <w:pStyle w:val="NumberedParas"/>
        <w:numPr>
          <w:ilvl w:val="0"/>
          <w:numId w:val="0"/>
        </w:numPr>
        <w:rPr>
          <w:lang w:eastAsia="en-GB"/>
        </w:rPr>
      </w:pPr>
      <w:r w:rsidRPr="00E0488D">
        <w:rPr>
          <w:lang w:eastAsia="en-GB"/>
        </w:rPr>
        <w:t xml:space="preserve">Tabelul 6.57 – Costurile neactualizate ale proiectului </w:t>
      </w:r>
    </w:p>
    <w:tbl>
      <w:tblPr>
        <w:tblW w:w="46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0"/>
        <w:gridCol w:w="2598"/>
        <w:gridCol w:w="5759"/>
      </w:tblGrid>
      <w:tr w:rsidR="00B4550A" w:rsidRPr="00E0488D" w:rsidTr="003C7FC8">
        <w:trPr>
          <w:cantSplit/>
          <w:tblHeader/>
        </w:trPr>
        <w:tc>
          <w:tcPr>
            <w:tcW w:w="722" w:type="pct"/>
            <w:vAlign w:val="center"/>
          </w:tcPr>
          <w:p w:rsidR="00B4550A" w:rsidRPr="00E0488D" w:rsidRDefault="00B4550A" w:rsidP="003C7FC8">
            <w:pPr>
              <w:spacing w:before="120" w:line="276" w:lineRule="auto"/>
              <w:jc w:val="center"/>
              <w:rPr>
                <w:b/>
                <w:bCs/>
                <w:sz w:val="22"/>
                <w:szCs w:val="22"/>
                <w:lang w:val="ro-RO"/>
              </w:rPr>
            </w:pPr>
          </w:p>
        </w:tc>
        <w:tc>
          <w:tcPr>
            <w:tcW w:w="1330" w:type="pct"/>
            <w:vAlign w:val="center"/>
          </w:tcPr>
          <w:p w:rsidR="00B4550A" w:rsidRPr="00E0488D" w:rsidRDefault="00C64DDE" w:rsidP="001205D0">
            <w:pPr>
              <w:spacing w:before="120" w:line="276" w:lineRule="auto"/>
              <w:jc w:val="center"/>
              <w:rPr>
                <w:b/>
                <w:bCs/>
                <w:sz w:val="22"/>
                <w:szCs w:val="22"/>
                <w:lang w:val="ro-RO"/>
              </w:rPr>
            </w:pPr>
            <w:r w:rsidRPr="00E0488D">
              <w:rPr>
                <w:b/>
                <w:bCs/>
                <w:sz w:val="22"/>
                <w:szCs w:val="22"/>
                <w:lang w:val="ro-RO"/>
              </w:rPr>
              <w:t>Costuri neactualizate</w:t>
            </w:r>
            <w:r w:rsidR="001205D0">
              <w:rPr>
                <w:b/>
                <w:bCs/>
                <w:sz w:val="22"/>
                <w:szCs w:val="22"/>
                <w:lang w:val="ro-RO"/>
              </w:rPr>
              <w:t xml:space="preserve"> (m</w:t>
            </w:r>
            <w:r w:rsidR="00B4550A" w:rsidRPr="00E0488D">
              <w:rPr>
                <w:b/>
                <w:bCs/>
                <w:sz w:val="22"/>
                <w:szCs w:val="22"/>
                <w:lang w:val="ro-RO"/>
              </w:rPr>
              <w:t>il</w:t>
            </w:r>
            <w:r w:rsidRPr="00E0488D">
              <w:rPr>
                <w:b/>
                <w:bCs/>
                <w:sz w:val="22"/>
                <w:szCs w:val="22"/>
                <w:lang w:val="ro-RO"/>
              </w:rPr>
              <w:t>ioan</w:t>
            </w:r>
            <w:r w:rsidR="001205D0">
              <w:rPr>
                <w:b/>
                <w:bCs/>
                <w:sz w:val="22"/>
                <w:szCs w:val="22"/>
                <w:lang w:val="ro-RO"/>
              </w:rPr>
              <w:t>e</w:t>
            </w:r>
            <w:r w:rsidR="00B4550A" w:rsidRPr="00E0488D">
              <w:rPr>
                <w:b/>
                <w:bCs/>
                <w:sz w:val="22"/>
                <w:szCs w:val="22"/>
                <w:lang w:val="ro-RO"/>
              </w:rPr>
              <w:t xml:space="preserve"> €,</w:t>
            </w:r>
            <w:r w:rsidRPr="00E0488D">
              <w:rPr>
                <w:b/>
                <w:bCs/>
                <w:sz w:val="22"/>
                <w:szCs w:val="22"/>
                <w:lang w:val="ro-RO"/>
              </w:rPr>
              <w:t xml:space="preserve"> prețuri</w:t>
            </w:r>
            <w:r w:rsidR="00B4550A" w:rsidRPr="00E0488D">
              <w:rPr>
                <w:b/>
                <w:bCs/>
                <w:sz w:val="22"/>
                <w:szCs w:val="22"/>
                <w:lang w:val="ro-RO"/>
              </w:rPr>
              <w:t xml:space="preserve"> 2014)</w:t>
            </w:r>
          </w:p>
        </w:tc>
        <w:tc>
          <w:tcPr>
            <w:tcW w:w="2948" w:type="pct"/>
            <w:vAlign w:val="center"/>
          </w:tcPr>
          <w:p w:rsidR="00B4550A" w:rsidRPr="00E0488D" w:rsidRDefault="00C64DDE" w:rsidP="003C7FC8">
            <w:pPr>
              <w:spacing w:before="120" w:line="276" w:lineRule="auto"/>
              <w:jc w:val="center"/>
              <w:rPr>
                <w:b/>
                <w:bCs/>
                <w:sz w:val="22"/>
                <w:szCs w:val="22"/>
                <w:lang w:val="ro-RO"/>
              </w:rPr>
            </w:pPr>
            <w:r w:rsidRPr="00E0488D">
              <w:rPr>
                <w:b/>
                <w:bCs/>
                <w:sz w:val="22"/>
                <w:szCs w:val="22"/>
                <w:lang w:val="ro-RO"/>
              </w:rPr>
              <w:t>Descrierea îmbunătățirilor incluse</w:t>
            </w:r>
          </w:p>
        </w:tc>
      </w:tr>
      <w:tr w:rsidR="00B4550A" w:rsidRPr="00E0488D" w:rsidTr="003C7FC8">
        <w:trPr>
          <w:cantSplit/>
          <w:trHeight w:val="680"/>
        </w:trPr>
        <w:tc>
          <w:tcPr>
            <w:tcW w:w="722" w:type="pct"/>
            <w:vAlign w:val="center"/>
          </w:tcPr>
          <w:p w:rsidR="00B4550A" w:rsidRPr="00E0488D" w:rsidRDefault="00B4550A" w:rsidP="003C7FC8">
            <w:pPr>
              <w:spacing w:before="120" w:line="276" w:lineRule="auto"/>
              <w:rPr>
                <w:b/>
                <w:bCs/>
                <w:sz w:val="22"/>
                <w:szCs w:val="22"/>
                <w:lang w:val="ro-RO"/>
              </w:rPr>
            </w:pPr>
            <w:r w:rsidRPr="00E0488D">
              <w:rPr>
                <w:b/>
                <w:bCs/>
                <w:sz w:val="22"/>
                <w:szCs w:val="22"/>
                <w:lang w:val="ro-RO"/>
              </w:rPr>
              <w:t>Cost</w:t>
            </w:r>
          </w:p>
        </w:tc>
        <w:tc>
          <w:tcPr>
            <w:tcW w:w="1330" w:type="pct"/>
            <w:vAlign w:val="center"/>
          </w:tcPr>
          <w:p w:rsidR="00B4550A" w:rsidRPr="00E0488D" w:rsidRDefault="00B4550A" w:rsidP="003C7FC8">
            <w:pPr>
              <w:spacing w:before="120" w:line="276" w:lineRule="auto"/>
              <w:jc w:val="center"/>
              <w:rPr>
                <w:b/>
                <w:bCs/>
                <w:sz w:val="22"/>
                <w:szCs w:val="22"/>
                <w:lang w:val="ro-RO"/>
              </w:rPr>
            </w:pPr>
            <w:r w:rsidRPr="00E0488D">
              <w:rPr>
                <w:b/>
                <w:bCs/>
                <w:sz w:val="22"/>
                <w:szCs w:val="22"/>
                <w:lang w:val="ro-RO"/>
              </w:rPr>
              <w:t>20</w:t>
            </w:r>
          </w:p>
        </w:tc>
        <w:tc>
          <w:tcPr>
            <w:tcW w:w="2948" w:type="pct"/>
          </w:tcPr>
          <w:p w:rsidR="00B4550A" w:rsidRPr="00E0488D" w:rsidRDefault="00C64DDE" w:rsidP="003C7FC8">
            <w:pPr>
              <w:spacing w:before="120" w:line="276" w:lineRule="auto"/>
              <w:rPr>
                <w:b/>
                <w:bCs/>
                <w:sz w:val="22"/>
                <w:szCs w:val="22"/>
                <w:lang w:val="ro-RO"/>
              </w:rPr>
            </w:pPr>
            <w:r w:rsidRPr="00E0488D">
              <w:rPr>
                <w:b/>
                <w:bCs/>
                <w:sz w:val="22"/>
                <w:szCs w:val="22"/>
                <w:lang w:val="ro-RO"/>
              </w:rPr>
              <w:t xml:space="preserve">Întărirea structurilor hidraulice și protecția malurilor </w:t>
            </w:r>
          </w:p>
          <w:p w:rsidR="00B4550A" w:rsidRPr="00E0488D" w:rsidRDefault="00C64DDE" w:rsidP="003C7FC8">
            <w:pPr>
              <w:spacing w:before="120" w:line="276" w:lineRule="auto"/>
              <w:rPr>
                <w:b/>
                <w:bCs/>
                <w:sz w:val="22"/>
                <w:szCs w:val="22"/>
                <w:lang w:val="ro-RO"/>
              </w:rPr>
            </w:pPr>
            <w:r w:rsidRPr="00E0488D">
              <w:rPr>
                <w:b/>
                <w:bCs/>
                <w:sz w:val="22"/>
                <w:szCs w:val="22"/>
                <w:lang w:val="ro-RO"/>
              </w:rPr>
              <w:t>Reabilitarea canalu</w:t>
            </w:r>
            <w:r w:rsidR="004A1D8F" w:rsidRPr="00E0488D">
              <w:rPr>
                <w:b/>
                <w:bCs/>
                <w:sz w:val="22"/>
                <w:szCs w:val="22"/>
                <w:lang w:val="ro-RO"/>
              </w:rPr>
              <w:t>lu</w:t>
            </w:r>
            <w:r w:rsidRPr="00E0488D">
              <w:rPr>
                <w:b/>
                <w:bCs/>
                <w:sz w:val="22"/>
                <w:szCs w:val="22"/>
                <w:lang w:val="ro-RO"/>
              </w:rPr>
              <w:t xml:space="preserve">i </w:t>
            </w:r>
            <w:r w:rsidR="001205D0" w:rsidRPr="00E0488D">
              <w:rPr>
                <w:b/>
                <w:bCs/>
                <w:sz w:val="22"/>
                <w:szCs w:val="22"/>
                <w:lang w:val="ro-RO"/>
              </w:rPr>
              <w:t>Sulina</w:t>
            </w:r>
          </w:p>
        </w:tc>
      </w:tr>
    </w:tbl>
    <w:p w:rsidR="00B4550A" w:rsidRPr="00E0488D" w:rsidRDefault="00B4550A" w:rsidP="00B4550A">
      <w:pPr>
        <w:rPr>
          <w:i/>
          <w:sz w:val="22"/>
          <w:szCs w:val="22"/>
          <w:u w:val="single"/>
          <w:lang w:val="ro-RO"/>
        </w:rPr>
      </w:pPr>
    </w:p>
    <w:p w:rsidR="00B4550A" w:rsidRPr="00E0488D" w:rsidRDefault="004A1D8F" w:rsidP="004A1D8F">
      <w:pPr>
        <w:tabs>
          <w:tab w:val="left" w:pos="1603"/>
        </w:tabs>
        <w:spacing w:line="276" w:lineRule="auto"/>
        <w:rPr>
          <w:i/>
          <w:sz w:val="22"/>
          <w:szCs w:val="22"/>
          <w:u w:val="single"/>
          <w:lang w:val="ro-RO"/>
        </w:rPr>
      </w:pPr>
      <w:r w:rsidRPr="00E0488D">
        <w:rPr>
          <w:i/>
          <w:sz w:val="22"/>
          <w:szCs w:val="22"/>
          <w:u w:val="single"/>
          <w:lang w:val="ro-RO"/>
        </w:rPr>
        <w:t>Rezultate</w:t>
      </w:r>
      <w:r w:rsidR="00B4550A" w:rsidRPr="00E0488D">
        <w:rPr>
          <w:i/>
          <w:sz w:val="22"/>
          <w:szCs w:val="22"/>
          <w:u w:val="single"/>
          <w:lang w:val="ro-RO"/>
        </w:rPr>
        <w:t>:</w:t>
      </w:r>
    </w:p>
    <w:p w:rsidR="004A1D8F" w:rsidRPr="00E0488D" w:rsidRDefault="004A1D8F" w:rsidP="002B7E09">
      <w:pPr>
        <w:pStyle w:val="NumberedParas"/>
        <w:rPr>
          <w:b/>
          <w:lang w:eastAsia="en-GB"/>
        </w:rPr>
      </w:pPr>
      <w:r w:rsidRPr="00E0488D">
        <w:t xml:space="preserve">Intervenția are un raport beneficiu – cost (RBC) de 1,55. Proiectul este recomandat pentru a fi inclus în Master Plan. </w:t>
      </w:r>
    </w:p>
    <w:p w:rsidR="00B4550A" w:rsidRPr="00E0488D" w:rsidRDefault="00B4550A" w:rsidP="002B7E09">
      <w:pPr>
        <w:pStyle w:val="NumberedParas"/>
        <w:numPr>
          <w:ilvl w:val="0"/>
          <w:numId w:val="0"/>
        </w:numPr>
        <w:ind w:left="1106"/>
        <w:rPr>
          <w:lang w:eastAsia="en-GB"/>
        </w:rPr>
      </w:pPr>
    </w:p>
    <w:p w:rsidR="00B4550A" w:rsidRPr="00E0488D" w:rsidRDefault="00B4550A" w:rsidP="002B7E09">
      <w:pPr>
        <w:pStyle w:val="NumberedParas"/>
        <w:numPr>
          <w:ilvl w:val="0"/>
          <w:numId w:val="0"/>
        </w:numPr>
        <w:rPr>
          <w:lang w:eastAsia="en-GB"/>
        </w:rPr>
      </w:pPr>
      <w:r w:rsidRPr="00E0488D">
        <w:rPr>
          <w:lang w:eastAsia="en-GB"/>
        </w:rPr>
        <w:t xml:space="preserve">Tabelul 6.59 – Rezultatele modelate ale proiectului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1628"/>
      </w:tblGrid>
      <w:tr w:rsidR="004A1D8F" w:rsidRPr="00E0488D" w:rsidTr="002F030B">
        <w:tc>
          <w:tcPr>
            <w:tcW w:w="3818" w:type="dxa"/>
            <w:vAlign w:val="center"/>
          </w:tcPr>
          <w:p w:rsidR="004A1D8F" w:rsidRPr="00E0488D" w:rsidRDefault="004A1D8F" w:rsidP="002F030B">
            <w:pPr>
              <w:rPr>
                <w:b/>
                <w:sz w:val="20"/>
                <w:szCs w:val="20"/>
                <w:lang w:val="ro-RO"/>
              </w:rPr>
            </w:pPr>
            <w:r w:rsidRPr="00E0488D">
              <w:rPr>
                <w:b/>
                <w:sz w:val="20"/>
                <w:szCs w:val="20"/>
                <w:lang w:val="ro-RO"/>
              </w:rPr>
              <w:t xml:space="preserve">Cod test </w:t>
            </w:r>
          </w:p>
        </w:tc>
        <w:tc>
          <w:tcPr>
            <w:tcW w:w="1628" w:type="dxa"/>
            <w:vAlign w:val="center"/>
          </w:tcPr>
          <w:p w:rsidR="004A1D8F" w:rsidRPr="00E0488D" w:rsidRDefault="004A1D8F" w:rsidP="003C7FC8">
            <w:pPr>
              <w:rPr>
                <w:sz w:val="22"/>
                <w:szCs w:val="22"/>
                <w:lang w:val="ro-RO"/>
              </w:rPr>
            </w:pPr>
            <w:r w:rsidRPr="00E0488D">
              <w:rPr>
                <w:sz w:val="22"/>
                <w:szCs w:val="22"/>
                <w:lang w:val="ro-RO"/>
              </w:rPr>
              <w:t>SULINA</w:t>
            </w:r>
          </w:p>
        </w:tc>
      </w:tr>
      <w:tr w:rsidR="004A1D8F" w:rsidRPr="00E0488D" w:rsidTr="002F030B">
        <w:tc>
          <w:tcPr>
            <w:tcW w:w="3818" w:type="dxa"/>
          </w:tcPr>
          <w:p w:rsidR="004A1D8F" w:rsidRPr="00E0488D" w:rsidRDefault="004A1D8F" w:rsidP="002F030B">
            <w:pPr>
              <w:rPr>
                <w:b/>
                <w:sz w:val="20"/>
                <w:szCs w:val="20"/>
                <w:lang w:val="ro-RO"/>
              </w:rPr>
            </w:pPr>
            <w:r w:rsidRPr="00E0488D">
              <w:rPr>
                <w:b/>
                <w:sz w:val="20"/>
                <w:szCs w:val="20"/>
                <w:lang w:val="ro-RO"/>
              </w:rPr>
              <w:t>Modificare tonaj transportat pe apă anual (2020)</w:t>
            </w:r>
          </w:p>
        </w:tc>
        <w:tc>
          <w:tcPr>
            <w:tcW w:w="1628" w:type="dxa"/>
          </w:tcPr>
          <w:p w:rsidR="004A1D8F" w:rsidRPr="00E0488D" w:rsidRDefault="004A1D8F" w:rsidP="003C7FC8">
            <w:pPr>
              <w:spacing w:line="276" w:lineRule="auto"/>
              <w:jc w:val="center"/>
              <w:rPr>
                <w:i/>
                <w:sz w:val="22"/>
                <w:szCs w:val="22"/>
                <w:u w:val="single"/>
                <w:lang w:val="ro-RO"/>
              </w:rPr>
            </w:pPr>
          </w:p>
        </w:tc>
      </w:tr>
      <w:tr w:rsidR="004A1D8F" w:rsidRPr="00E0488D" w:rsidTr="002F030B">
        <w:tc>
          <w:tcPr>
            <w:tcW w:w="3818" w:type="dxa"/>
            <w:vAlign w:val="center"/>
          </w:tcPr>
          <w:p w:rsidR="004A1D8F" w:rsidRPr="00E0488D" w:rsidRDefault="004A1D8F" w:rsidP="002F030B">
            <w:pPr>
              <w:rPr>
                <w:b/>
                <w:sz w:val="20"/>
                <w:szCs w:val="20"/>
                <w:lang w:val="ro-RO"/>
              </w:rPr>
            </w:pPr>
            <w:r w:rsidRPr="00E0488D">
              <w:rPr>
                <w:b/>
                <w:sz w:val="20"/>
                <w:szCs w:val="20"/>
                <w:lang w:val="ro-RO"/>
              </w:rPr>
              <w:t>VNA mil € (preturi 2014)</w:t>
            </w:r>
          </w:p>
        </w:tc>
        <w:tc>
          <w:tcPr>
            <w:tcW w:w="1628" w:type="dxa"/>
          </w:tcPr>
          <w:p w:rsidR="004A1D8F" w:rsidRPr="00E0488D" w:rsidRDefault="004A1D8F" w:rsidP="003C7FC8">
            <w:pPr>
              <w:spacing w:line="276" w:lineRule="auto"/>
              <w:jc w:val="center"/>
              <w:rPr>
                <w:sz w:val="22"/>
                <w:szCs w:val="22"/>
                <w:lang w:val="ro-RO"/>
              </w:rPr>
            </w:pPr>
            <w:r w:rsidRPr="00E0488D">
              <w:rPr>
                <w:sz w:val="22"/>
                <w:szCs w:val="22"/>
                <w:lang w:val="ro-RO"/>
              </w:rPr>
              <w:t>13</w:t>
            </w:r>
          </w:p>
        </w:tc>
      </w:tr>
      <w:tr w:rsidR="004A1D8F" w:rsidRPr="00E0488D" w:rsidTr="002F030B">
        <w:tc>
          <w:tcPr>
            <w:tcW w:w="3818" w:type="dxa"/>
            <w:vAlign w:val="center"/>
          </w:tcPr>
          <w:p w:rsidR="004A1D8F" w:rsidRPr="00E0488D" w:rsidRDefault="004A1D8F" w:rsidP="002F030B">
            <w:pPr>
              <w:rPr>
                <w:b/>
                <w:sz w:val="20"/>
                <w:szCs w:val="20"/>
                <w:lang w:val="ro-RO"/>
              </w:rPr>
            </w:pPr>
            <w:r w:rsidRPr="00E0488D">
              <w:rPr>
                <w:b/>
                <w:sz w:val="20"/>
                <w:szCs w:val="20"/>
                <w:lang w:val="ro-RO"/>
              </w:rPr>
              <w:t>RB/C</w:t>
            </w:r>
          </w:p>
        </w:tc>
        <w:tc>
          <w:tcPr>
            <w:tcW w:w="1628" w:type="dxa"/>
          </w:tcPr>
          <w:p w:rsidR="004A1D8F" w:rsidRPr="00E0488D" w:rsidRDefault="004A1D8F" w:rsidP="003C7FC8">
            <w:pPr>
              <w:spacing w:line="276" w:lineRule="auto"/>
              <w:jc w:val="center"/>
              <w:rPr>
                <w:i/>
                <w:sz w:val="22"/>
                <w:szCs w:val="22"/>
                <w:u w:val="single"/>
                <w:lang w:val="ro-RO"/>
              </w:rPr>
            </w:pPr>
            <w:r w:rsidRPr="00E0488D">
              <w:rPr>
                <w:sz w:val="22"/>
                <w:szCs w:val="22"/>
                <w:lang w:val="ro-RO"/>
              </w:rPr>
              <w:t>1.55</w:t>
            </w:r>
          </w:p>
        </w:tc>
      </w:tr>
      <w:tr w:rsidR="004A1D8F" w:rsidRPr="00E0488D" w:rsidTr="002F030B">
        <w:tc>
          <w:tcPr>
            <w:tcW w:w="3818" w:type="dxa"/>
            <w:vAlign w:val="center"/>
          </w:tcPr>
          <w:p w:rsidR="004A1D8F" w:rsidRPr="00E0488D" w:rsidRDefault="004A1D8F" w:rsidP="002F030B">
            <w:pPr>
              <w:rPr>
                <w:b/>
                <w:sz w:val="20"/>
                <w:szCs w:val="20"/>
                <w:lang w:val="ro-RO"/>
              </w:rPr>
            </w:pPr>
            <w:r w:rsidRPr="00E0488D">
              <w:rPr>
                <w:b/>
                <w:sz w:val="20"/>
                <w:szCs w:val="20"/>
                <w:lang w:val="ro-RO"/>
              </w:rPr>
              <w:t>RIRE</w:t>
            </w:r>
          </w:p>
        </w:tc>
        <w:tc>
          <w:tcPr>
            <w:tcW w:w="1628" w:type="dxa"/>
          </w:tcPr>
          <w:p w:rsidR="004A1D8F" w:rsidRPr="00E0488D" w:rsidRDefault="004A1D8F" w:rsidP="003C7FC8">
            <w:pPr>
              <w:spacing w:line="276" w:lineRule="auto"/>
              <w:jc w:val="center"/>
              <w:rPr>
                <w:i/>
                <w:sz w:val="22"/>
                <w:szCs w:val="22"/>
                <w:u w:val="single"/>
                <w:lang w:val="ro-RO"/>
              </w:rPr>
            </w:pPr>
            <w:r w:rsidRPr="00E0488D">
              <w:rPr>
                <w:sz w:val="22"/>
                <w:szCs w:val="22"/>
                <w:lang w:val="ro-RO"/>
              </w:rPr>
              <w:t>9.51%</w:t>
            </w:r>
          </w:p>
        </w:tc>
      </w:tr>
      <w:tr w:rsidR="004A1D8F" w:rsidRPr="00E0488D" w:rsidTr="002F030B">
        <w:tc>
          <w:tcPr>
            <w:tcW w:w="3818" w:type="dxa"/>
            <w:vAlign w:val="center"/>
          </w:tcPr>
          <w:p w:rsidR="004A1D8F" w:rsidRPr="00E0488D" w:rsidRDefault="004A1D8F" w:rsidP="002F030B">
            <w:pPr>
              <w:rPr>
                <w:b/>
                <w:sz w:val="20"/>
                <w:szCs w:val="20"/>
                <w:lang w:val="ro-RO"/>
              </w:rPr>
            </w:pPr>
            <w:r w:rsidRPr="00E0488D">
              <w:rPr>
                <w:b/>
                <w:sz w:val="20"/>
                <w:szCs w:val="20"/>
                <w:lang w:val="ro-RO"/>
              </w:rPr>
              <w:t xml:space="preserve">Recomandare Master Plan </w:t>
            </w:r>
          </w:p>
        </w:tc>
        <w:tc>
          <w:tcPr>
            <w:tcW w:w="1628" w:type="dxa"/>
          </w:tcPr>
          <w:p w:rsidR="004A1D8F" w:rsidRPr="00E0488D" w:rsidRDefault="004A1D8F" w:rsidP="003C7FC8">
            <w:pPr>
              <w:spacing w:line="276" w:lineRule="auto"/>
              <w:jc w:val="center"/>
              <w:rPr>
                <w:sz w:val="22"/>
                <w:szCs w:val="22"/>
                <w:lang w:val="ro-RO"/>
              </w:rPr>
            </w:pPr>
            <w:r w:rsidRPr="00E0488D">
              <w:rPr>
                <w:b/>
                <w:color w:val="00B050"/>
                <w:sz w:val="22"/>
                <w:szCs w:val="22"/>
                <w:lang w:val="ro-RO"/>
              </w:rPr>
              <w:sym w:font="Wingdings" w:char="F0FC"/>
            </w:r>
          </w:p>
        </w:tc>
      </w:tr>
    </w:tbl>
    <w:p w:rsidR="00B4550A" w:rsidRPr="00E0488D" w:rsidRDefault="00B4550A" w:rsidP="00B4550A">
      <w:pPr>
        <w:spacing w:line="276" w:lineRule="auto"/>
        <w:rPr>
          <w:bCs/>
          <w:i/>
          <w:sz w:val="22"/>
          <w:szCs w:val="22"/>
          <w:u w:val="single"/>
          <w:lang w:val="ro-RO"/>
        </w:rPr>
      </w:pPr>
    </w:p>
    <w:p w:rsidR="00B4550A" w:rsidRPr="00E0488D" w:rsidRDefault="000D1565" w:rsidP="002B7E09">
      <w:pPr>
        <w:pStyle w:val="NumberedParas"/>
      </w:pPr>
      <w:r w:rsidRPr="00E0488D">
        <w:t xml:space="preserve">Valoarea RIRE este de </w:t>
      </w:r>
      <w:r w:rsidR="00B4550A" w:rsidRPr="00E0488D">
        <w:t xml:space="preserve">9.51% </w:t>
      </w:r>
      <w:r w:rsidRPr="00E0488D">
        <w:t>care se situează peste pragul de 3% pentru includere în Master Plan.</w:t>
      </w:r>
    </w:p>
    <w:p w:rsidR="00B4550A" w:rsidRPr="00E0488D" w:rsidRDefault="001205D0" w:rsidP="00B4550A">
      <w:pPr>
        <w:spacing w:line="276" w:lineRule="auto"/>
        <w:rPr>
          <w:bCs/>
          <w:i/>
          <w:sz w:val="22"/>
          <w:szCs w:val="22"/>
          <w:u w:val="single"/>
          <w:lang w:val="ro-RO"/>
        </w:rPr>
      </w:pPr>
      <w:r>
        <w:rPr>
          <w:bCs/>
          <w:i/>
          <w:sz w:val="22"/>
          <w:szCs w:val="22"/>
          <w:u w:val="single"/>
          <w:lang w:val="ro-RO"/>
        </w:rPr>
        <w:t>Unitatea de implementare</w:t>
      </w:r>
      <w:r w:rsidR="00B4550A" w:rsidRPr="00E0488D">
        <w:rPr>
          <w:bCs/>
          <w:i/>
          <w:sz w:val="22"/>
          <w:szCs w:val="22"/>
          <w:u w:val="single"/>
          <w:lang w:val="ro-RO"/>
        </w:rPr>
        <w:t>:</w:t>
      </w:r>
    </w:p>
    <w:p w:rsidR="00B4550A" w:rsidRPr="00E0488D" w:rsidRDefault="000D1565" w:rsidP="002B7E09">
      <w:pPr>
        <w:pStyle w:val="NumberedParas"/>
      </w:pPr>
      <w:r w:rsidRPr="00E0488D">
        <w:t xml:space="preserve">Acesta ar trebui implementat de </w:t>
      </w:r>
      <w:r w:rsidR="00B4550A" w:rsidRPr="00E0488D">
        <w:t xml:space="preserve">AFDJ </w:t>
      </w:r>
      <w:r w:rsidR="001205D0" w:rsidRPr="00E0488D">
        <w:t>Galați</w:t>
      </w:r>
      <w:r w:rsidR="00B4550A" w:rsidRPr="00E0488D">
        <w:t xml:space="preserve"> </w:t>
      </w:r>
      <w:r w:rsidRPr="00E0488D">
        <w:t>deoarece ei sunt cei care gestionează</w:t>
      </w:r>
      <w:r w:rsidR="00B4550A" w:rsidRPr="00E0488D">
        <w:t xml:space="preserve"> 1.</w:t>
      </w:r>
    </w:p>
    <w:p w:rsidR="00B4550A" w:rsidRPr="00E0488D" w:rsidRDefault="000D1565" w:rsidP="00B4550A">
      <w:pPr>
        <w:spacing w:line="276" w:lineRule="auto"/>
        <w:rPr>
          <w:bCs/>
          <w:i/>
          <w:sz w:val="22"/>
          <w:szCs w:val="22"/>
          <w:lang w:val="ro-RO"/>
        </w:rPr>
      </w:pPr>
      <w:r w:rsidRPr="00E0488D">
        <w:rPr>
          <w:bCs/>
          <w:i/>
          <w:sz w:val="22"/>
          <w:szCs w:val="22"/>
          <w:u w:val="single"/>
          <w:lang w:val="ro-RO"/>
        </w:rPr>
        <w:t>Ani de implementare</w:t>
      </w:r>
      <w:r w:rsidR="00B4550A" w:rsidRPr="00E0488D">
        <w:rPr>
          <w:bCs/>
          <w:i/>
          <w:sz w:val="22"/>
          <w:szCs w:val="22"/>
          <w:u w:val="single"/>
          <w:lang w:val="ro-RO"/>
        </w:rPr>
        <w:t>:</w:t>
      </w:r>
      <w:r w:rsidR="00B4550A" w:rsidRPr="00E0488D">
        <w:rPr>
          <w:bCs/>
          <w:i/>
          <w:sz w:val="22"/>
          <w:szCs w:val="22"/>
          <w:lang w:val="ro-RO"/>
        </w:rPr>
        <w:t xml:space="preserve"> 2014-2020</w:t>
      </w:r>
    </w:p>
    <w:p w:rsidR="00B4550A" w:rsidRPr="00E0488D" w:rsidRDefault="00B4550A" w:rsidP="002B7E09">
      <w:pPr>
        <w:pStyle w:val="NumberedParas"/>
        <w:numPr>
          <w:ilvl w:val="0"/>
          <w:numId w:val="0"/>
        </w:numPr>
        <w:ind w:left="822"/>
      </w:pP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22"/>
      </w:pPr>
    </w:p>
    <w:p w:rsidR="00B4550A" w:rsidRPr="003D4E3C" w:rsidRDefault="00B4550A" w:rsidP="003D4E3C">
      <w:pPr>
        <w:pStyle w:val="ListParagraph"/>
        <w:spacing w:before="120" w:after="120" w:line="276" w:lineRule="auto"/>
        <w:ind w:left="0"/>
        <w:rPr>
          <w:b/>
          <w:sz w:val="22"/>
          <w:szCs w:val="22"/>
          <w:lang w:val="ro-RO"/>
        </w:rPr>
      </w:pPr>
      <w:bookmarkStart w:id="557" w:name="_Toc398279334"/>
      <w:bookmarkStart w:id="558" w:name="_Toc397041158"/>
      <w:r w:rsidRPr="003D4E3C">
        <w:rPr>
          <w:b/>
          <w:sz w:val="22"/>
          <w:szCs w:val="22"/>
          <w:lang w:val="ro-RO"/>
        </w:rPr>
        <w:t>Întreținerea fluviului Dunărea</w:t>
      </w:r>
      <w:bookmarkEnd w:id="557"/>
      <w:r w:rsidRPr="003D4E3C">
        <w:rPr>
          <w:b/>
          <w:sz w:val="22"/>
          <w:szCs w:val="22"/>
          <w:lang w:val="ro-RO"/>
        </w:rPr>
        <w:t xml:space="preserve"> </w:t>
      </w:r>
      <w:bookmarkEnd w:id="558"/>
    </w:p>
    <w:p w:rsidR="00B4550A" w:rsidRPr="00E0488D" w:rsidRDefault="00B4550A" w:rsidP="00B4550A">
      <w:pPr>
        <w:pStyle w:val="ListParagraph"/>
        <w:spacing w:before="120"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B7E09">
      <w:pPr>
        <w:pStyle w:val="NumberedParas"/>
      </w:pPr>
      <w:r w:rsidRPr="00E0488D">
        <w:t xml:space="preserve">Întreținerea Dunării poate să fie împărțită în trei: întreținere de rutină, întreținere în situații speciale și întreținere de urgență. Prin întreținere AECOM înțelege menținerea viabilității Dunării pentru navigabilitate. </w:t>
      </w:r>
    </w:p>
    <w:p w:rsidR="00B4550A" w:rsidRPr="00E0488D" w:rsidRDefault="00761917" w:rsidP="002B7E09">
      <w:pPr>
        <w:pStyle w:val="NumberedParas"/>
      </w:pPr>
      <w:r w:rsidRPr="00E0488D">
        <w:t xml:space="preserve">Întreținere de rutină </w:t>
      </w:r>
      <w:r w:rsidR="00B4550A" w:rsidRPr="00E0488D">
        <w:t xml:space="preserve">Aceasta este întreținerea care a fost planificată și care este necesară cu regularitate pe Dunăre. Aceasta va include întreținere de rutină programată pe șenalul navigabil al Dunării și pe malurile râurilor. Mai precis este vorba de întreținerea zilnică a Dunării. Întreținerea preventivă planificată este inclusă în cadrul întreținerii de rutină. Cheltuirea unor sume de bani pentru întreținerea Dunării și păstrarea acesteia în condiții bune pentru navigare, face ca fluviul să necesite mai puțină întreținere de urgență, mai scumpă pe viitor pentru că prevenirea este mereu mai ieftină decât rezolvarea unei probleme apărute. </w:t>
      </w:r>
    </w:p>
    <w:p w:rsidR="00B4550A" w:rsidRPr="00E0488D" w:rsidRDefault="00761917" w:rsidP="002B7E09">
      <w:pPr>
        <w:pStyle w:val="NumberedParas"/>
      </w:pPr>
      <w:r w:rsidRPr="00E0488D">
        <w:t xml:space="preserve">Întreținerea în situații speciale </w:t>
      </w:r>
      <w:r w:rsidR="00B4550A" w:rsidRPr="00E0488D">
        <w:t xml:space="preserve">Acel tip de întreținere care poate fi prevăzută dar nu este nevoie de ea cu regularitate. Aceasta poate include spargerea gheții în timpul lunilor de iarnă când este posibilă această operațiune pentru a permite navigarea în condiții de siguranță. </w:t>
      </w:r>
    </w:p>
    <w:p w:rsidR="00B4550A" w:rsidRPr="00E0488D" w:rsidRDefault="00761917" w:rsidP="002B7E09">
      <w:pPr>
        <w:pStyle w:val="NumberedParas"/>
      </w:pPr>
      <w:r w:rsidRPr="00E0488D">
        <w:t xml:space="preserve">Întreținerea de urgență </w:t>
      </w:r>
      <w:r w:rsidR="00B4550A" w:rsidRPr="00E0488D">
        <w:t xml:space="preserve">Acest tip de întreținere este necesară în situații care nu pot fi anticipate în Mărfuri generale , precum cedarea critică a infrastructurii Dunării, în urma unor inundații sau secete severe. Orice reparații care au loc ca urmare a întreținerii de urgență ar trebui să fie făcute cât mai curând posibil pentru a scădea cât mai mult neplăcerile create utilizatorilor fluviului Dunărea. </w:t>
      </w:r>
    </w:p>
    <w:p w:rsidR="00B4550A" w:rsidRPr="00E0488D" w:rsidRDefault="00B4550A" w:rsidP="00B4550A">
      <w:pPr>
        <w:spacing w:line="276" w:lineRule="auto"/>
        <w:rPr>
          <w:i/>
          <w:sz w:val="22"/>
          <w:szCs w:val="22"/>
          <w:u w:val="single"/>
          <w:lang w:val="ro-RO"/>
        </w:rPr>
      </w:pPr>
      <w:r w:rsidRPr="00E0488D">
        <w:rPr>
          <w:i/>
          <w:sz w:val="22"/>
          <w:szCs w:val="22"/>
          <w:u w:val="single"/>
          <w:lang w:val="ro-RO"/>
        </w:rPr>
        <w:t>Probleme atinse:</w:t>
      </w:r>
    </w:p>
    <w:p w:rsidR="00B4550A" w:rsidRPr="00E0488D" w:rsidRDefault="00B4550A" w:rsidP="002B7E09">
      <w:pPr>
        <w:pStyle w:val="NumberedParas"/>
      </w:pPr>
      <w:r w:rsidRPr="00E0488D">
        <w:t xml:space="preserve">Odată ce dragarea unică a Dunării este finalizată va fi necesară asigurarea faptului că situația nu revine la cea prezentă prin intermediul întreținerii planificate, regulate. Bugetul de întreținere pe care România îl pune la dispoziție pentru Dunăre este destul de redus în prezent, comparativ cu alte țări, ceea ce ar putea contribui la problemele curente de navigabilitate care sunt înregistrate pe partea românească a Dunării.  Am înțeles că există un buget și mai redus în Bulgaria. </w:t>
      </w:r>
    </w:p>
    <w:p w:rsidR="00B4550A" w:rsidRPr="00E0488D" w:rsidRDefault="00B4550A" w:rsidP="00B4550A">
      <w:pPr>
        <w:spacing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pPr>
      <w:r w:rsidRPr="00E0488D">
        <w:t>Această intervenție va atinge următoarele obiective operaționale :</w:t>
      </w:r>
    </w:p>
    <w:p w:rsidR="00CE6120" w:rsidRPr="00E0488D" w:rsidRDefault="00CE6120" w:rsidP="00BC2B57">
      <w:pPr>
        <w:pStyle w:val="BulletLevel1"/>
      </w:pPr>
      <w:r w:rsidRPr="00E0488D">
        <w:t xml:space="preserve">OW1 – Îmbunătățirea navigabilității Dunării </w:t>
      </w:r>
    </w:p>
    <w:p w:rsidR="00CE6120" w:rsidRPr="00E0488D" w:rsidRDefault="00CE6120" w:rsidP="00BC2B57">
      <w:pPr>
        <w:pStyle w:val="BulletLevel1"/>
      </w:pPr>
      <w:r w:rsidRPr="00E0488D">
        <w:t xml:space="preserve">OW2 – Îmbunătățirea legăturilor cu Dunărea pentru a reduce costurile și timpul </w:t>
      </w:r>
    </w:p>
    <w:p w:rsidR="00CE6120" w:rsidRPr="00E0488D" w:rsidRDefault="00CE6120" w:rsidP="00BC2B57">
      <w:pPr>
        <w:pStyle w:val="BulletLevel1"/>
      </w:pPr>
      <w:r w:rsidRPr="00E0488D">
        <w:t xml:space="preserve">OW3 – Deblocarea barierelor pentru eficiență operațională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OW9 – Reducerea emisiilor de și a dioxidului de sulf </w:t>
      </w:r>
    </w:p>
    <w:p w:rsidR="00CE6120" w:rsidRPr="00E0488D" w:rsidRDefault="00CE6120" w:rsidP="00BC2B57">
      <w:pPr>
        <w:pStyle w:val="BulletLevel1"/>
      </w:pPr>
      <w:r w:rsidRPr="00E0488D">
        <w:t xml:space="preserve">OW10 – Creșterea volumului de mărfuri transportate prin moduri de </w:t>
      </w:r>
      <w:r w:rsidR="007946A6" w:rsidRPr="00E0488D">
        <w:t xml:space="preserve">transport sustenabile </w:t>
      </w:r>
    </w:p>
    <w:p w:rsidR="00B4550A" w:rsidRPr="00E0488D" w:rsidRDefault="00B4550A" w:rsidP="002B7E09">
      <w:pPr>
        <w:pStyle w:val="NumberedParas"/>
        <w:numPr>
          <w:ilvl w:val="0"/>
          <w:numId w:val="0"/>
        </w:numPr>
        <w:ind w:left="1531"/>
      </w:pP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B7E09">
      <w:pPr>
        <w:pStyle w:val="NumberedParas"/>
      </w:pPr>
      <w:r w:rsidRPr="00E0488D">
        <w:t xml:space="preserve">AFDJ este responsabilă pentru administrarea întregului sector românesc al Dunării. Principalul obiectiv al AFDJ Galați este să faciliteze transportul pe Dunăre cu scopul de a menține o adâncime minimă de 2,5 m pe sectorul „fluvial” și 8,5m pe sectorul „maritim”. Alte responsabilități cheie includ monitorizarea adâncimii, dragarea, întreținerea sistemelor de navigație și furnizarea de informații. </w:t>
      </w:r>
    </w:p>
    <w:p w:rsidR="00B4550A" w:rsidRPr="00E0488D" w:rsidRDefault="00B4550A" w:rsidP="00B4550A">
      <w:pPr>
        <w:spacing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B7E09">
      <w:pPr>
        <w:pStyle w:val="NumberedParas"/>
      </w:pPr>
      <w:r w:rsidRPr="00E0488D">
        <w:t xml:space="preserve">După finalizarea dragării unice descrise anterior. </w:t>
      </w:r>
    </w:p>
    <w:p w:rsidR="00B4550A" w:rsidRPr="00E0488D" w:rsidRDefault="00B4550A" w:rsidP="00BD59B2">
      <w:pPr>
        <w:pStyle w:val="Hdg2"/>
      </w:pPr>
      <w:bookmarkStart w:id="559" w:name="_Toc398279335"/>
      <w:bookmarkStart w:id="560" w:name="_Toc413060334"/>
      <w:r w:rsidRPr="00E0488D">
        <w:t>Reforma instituțională</w:t>
      </w:r>
      <w:bookmarkEnd w:id="559"/>
      <w:bookmarkEnd w:id="560"/>
      <w:r w:rsidRPr="00E0488D">
        <w:t xml:space="preserve"> </w:t>
      </w:r>
    </w:p>
    <w:p w:rsidR="00B4550A" w:rsidRPr="00E0488D" w:rsidRDefault="00B4550A" w:rsidP="002B7E09">
      <w:pPr>
        <w:pStyle w:val="NumberedParas"/>
      </w:pPr>
      <w:r w:rsidRPr="00E0488D">
        <w:t>Următoarele sunt reforme instituționale recomandate de AECOM care, odată puse în aplicare, ar trebui să transforme căile navigabile într-un mod de transport mai atractiv:</w:t>
      </w:r>
    </w:p>
    <w:p w:rsidR="00B4550A" w:rsidRPr="00E0488D" w:rsidRDefault="00B4550A" w:rsidP="002A7286">
      <w:pPr>
        <w:pStyle w:val="Hdg3"/>
        <w:spacing w:before="0" w:after="120" w:line="276" w:lineRule="auto"/>
        <w:rPr>
          <w:i w:val="0"/>
          <w:color w:val="auto"/>
        </w:rPr>
      </w:pPr>
      <w:r w:rsidRPr="00E0488D">
        <w:rPr>
          <w:i w:val="0"/>
          <w:color w:val="auto"/>
        </w:rPr>
        <w:t>Management și operațiuni</w:t>
      </w:r>
      <w:r w:rsidRPr="00E0488D">
        <w:t>:</w:t>
      </w:r>
    </w:p>
    <w:p w:rsidR="00B4550A" w:rsidRPr="00E0488D" w:rsidRDefault="004F11BF" w:rsidP="002A7286">
      <w:pPr>
        <w:tabs>
          <w:tab w:val="left" w:pos="2705"/>
        </w:tabs>
        <w:spacing w:after="120" w:line="276" w:lineRule="auto"/>
        <w:rPr>
          <w:b/>
          <w:sz w:val="22"/>
          <w:szCs w:val="22"/>
          <w:lang w:val="ro-RO"/>
        </w:rPr>
      </w:pPr>
      <w:r w:rsidRPr="00E0488D">
        <w:rPr>
          <w:b/>
          <w:sz w:val="22"/>
          <w:szCs w:val="22"/>
          <w:lang w:val="ro-RO"/>
        </w:rPr>
        <w:t xml:space="preserve">Flexibilitatea </w:t>
      </w:r>
      <w:r w:rsidR="00F30239" w:rsidRPr="00E0488D">
        <w:rPr>
          <w:b/>
          <w:sz w:val="22"/>
          <w:szCs w:val="22"/>
          <w:lang w:val="ro-RO"/>
        </w:rPr>
        <w:t xml:space="preserve">autorităților </w:t>
      </w:r>
      <w:r w:rsidR="009D2C7A" w:rsidRPr="00E0488D">
        <w:rPr>
          <w:b/>
          <w:sz w:val="22"/>
          <w:szCs w:val="22"/>
          <w:lang w:val="ro-RO"/>
        </w:rPr>
        <w:t>cu privire la programul de funcționare al porturilor</w:t>
      </w:r>
    </w:p>
    <w:p w:rsidR="00B4550A" w:rsidRPr="00E0488D" w:rsidRDefault="00B4550A" w:rsidP="002A7286">
      <w:pPr>
        <w:pStyle w:val="ListParagraph"/>
        <w:tabs>
          <w:tab w:val="left" w:pos="3441"/>
        </w:tabs>
        <w:spacing w:after="120" w:line="276" w:lineRule="auto"/>
        <w:ind w:left="0"/>
        <w:rPr>
          <w:i/>
          <w:sz w:val="22"/>
          <w:szCs w:val="22"/>
          <w:u w:val="single"/>
          <w:lang w:val="ro-RO"/>
        </w:rPr>
      </w:pPr>
      <w:r w:rsidRPr="00E0488D">
        <w:rPr>
          <w:i/>
          <w:sz w:val="22"/>
          <w:szCs w:val="22"/>
          <w:u w:val="single"/>
          <w:lang w:val="ro-RO"/>
        </w:rPr>
        <w:t>Descrierea propunerii:</w:t>
      </w:r>
      <w:r w:rsidR="000A2EA7" w:rsidRPr="00E0488D">
        <w:rPr>
          <w:i/>
          <w:sz w:val="22"/>
          <w:szCs w:val="22"/>
          <w:u w:val="single"/>
          <w:lang w:val="ro-RO"/>
        </w:rPr>
        <w:tab/>
      </w:r>
    </w:p>
    <w:p w:rsidR="00B4550A" w:rsidRPr="00E0488D" w:rsidRDefault="002F030B" w:rsidP="002B7E09">
      <w:pPr>
        <w:pStyle w:val="NumberedParas"/>
        <w:numPr>
          <w:ilvl w:val="0"/>
          <w:numId w:val="0"/>
        </w:numPr>
        <w:ind w:left="1106"/>
      </w:pPr>
      <w:r w:rsidRPr="00E0488D">
        <w:t>Autoritățile portuare trebuie</w:t>
      </w:r>
      <w:r w:rsidR="00B4550A" w:rsidRPr="00E0488D">
        <w:t xml:space="preserve"> </w:t>
      </w:r>
      <w:r w:rsidRPr="00E0488D">
        <w:t>să fie fle</w:t>
      </w:r>
      <w:r w:rsidR="00B4550A" w:rsidRPr="00E0488D">
        <w:t xml:space="preserve">xibile </w:t>
      </w:r>
      <w:r w:rsidRPr="00E0488D">
        <w:t>în</w:t>
      </w:r>
      <w:r w:rsidR="00B4550A" w:rsidRPr="00E0488D">
        <w:t xml:space="preserve"> ceea ce privește orele / zilele de funcționare astfel încât facilități precum autoritățile vamale, birourile de rezervări și terminalele </w:t>
      </w:r>
      <w:r w:rsidR="001205D0" w:rsidRPr="00E0488D">
        <w:t>si</w:t>
      </w:r>
      <w:r w:rsidR="00B4550A" w:rsidRPr="00E0488D">
        <w:t xml:space="preserve"> fie disponibile dacă există cerere. </w:t>
      </w:r>
    </w:p>
    <w:p w:rsidR="00B36999" w:rsidRPr="00E0488D" w:rsidRDefault="00B36999" w:rsidP="002B7E09">
      <w:pPr>
        <w:pStyle w:val="NumberedParas"/>
        <w:numPr>
          <w:ilvl w:val="0"/>
          <w:numId w:val="0"/>
        </w:numPr>
      </w:pPr>
      <w:r w:rsidRPr="00E0488D">
        <w:t>Probleme abordate</w:t>
      </w:r>
    </w:p>
    <w:p w:rsidR="00B36999" w:rsidRPr="00E0488D" w:rsidRDefault="00B36999" w:rsidP="002B7E09">
      <w:pPr>
        <w:pStyle w:val="NumberedParas"/>
        <w:numPr>
          <w:ilvl w:val="0"/>
          <w:numId w:val="0"/>
        </w:numPr>
      </w:pPr>
      <w:r w:rsidRPr="00E0488D">
        <w:t>Funcțiile portului sunt uneori indisponibile la solicitarea operatorilor navali de mărfuri, fapt ce cauzează costuri și întârzieri care nu sunt necesare</w:t>
      </w:r>
    </w:p>
    <w:p w:rsidR="00B36999" w:rsidRPr="00E0488D" w:rsidRDefault="00B36999" w:rsidP="002A7286">
      <w:pPr>
        <w:spacing w:after="120" w:line="276" w:lineRule="auto"/>
        <w:rPr>
          <w:i/>
          <w:sz w:val="22"/>
          <w:szCs w:val="22"/>
          <w:u w:val="single"/>
          <w:lang w:val="ro-RO"/>
        </w:rPr>
      </w:pPr>
      <w:r w:rsidRPr="00E0488D">
        <w:rPr>
          <w:i/>
          <w:sz w:val="22"/>
          <w:szCs w:val="22"/>
          <w:u w:val="single"/>
          <w:lang w:val="ro-RO"/>
        </w:rPr>
        <w:t>Obiective operaționale atinse:</w:t>
      </w:r>
    </w:p>
    <w:p w:rsidR="00B36999" w:rsidRPr="00E0488D" w:rsidRDefault="00B36999" w:rsidP="002B7E09">
      <w:pPr>
        <w:pStyle w:val="NumberedParas"/>
        <w:numPr>
          <w:ilvl w:val="0"/>
          <w:numId w:val="0"/>
        </w:numPr>
      </w:pPr>
      <w:r w:rsidRPr="00E0488D">
        <w:t>Această intervenție va atinge următoarele obiective operaționale :</w:t>
      </w:r>
    </w:p>
    <w:p w:rsidR="00B36999" w:rsidRPr="00E0488D" w:rsidRDefault="00B36999" w:rsidP="00BC2B57">
      <w:pPr>
        <w:pStyle w:val="BulletLevel1"/>
      </w:pPr>
      <w:r w:rsidRPr="00E0488D">
        <w:t xml:space="preserve">OW3 – Deblocarea barierelor pentru eficiență operațională </w:t>
      </w:r>
    </w:p>
    <w:p w:rsidR="00B36999" w:rsidRPr="00E0488D" w:rsidRDefault="00B36999" w:rsidP="00BC2B57">
      <w:pPr>
        <w:pStyle w:val="BulletLevel1"/>
      </w:pPr>
      <w:r w:rsidRPr="00E0488D">
        <w:t xml:space="preserve">OW4 – Reducerea costurilor prin eficiență operațională </w:t>
      </w:r>
    </w:p>
    <w:p w:rsidR="00B36999" w:rsidRPr="00E0488D" w:rsidRDefault="00B36999" w:rsidP="00BC2B57">
      <w:pPr>
        <w:pStyle w:val="BulletLevel1"/>
      </w:pPr>
      <w:r w:rsidRPr="00E0488D">
        <w:t xml:space="preserve">OW6 – Revizuirea activelor existente pentru concentrarea pe creșterea capacității </w:t>
      </w:r>
    </w:p>
    <w:p w:rsidR="00B36999" w:rsidRPr="00E0488D" w:rsidRDefault="00B36999" w:rsidP="00BC2B57">
      <w:pPr>
        <w:pStyle w:val="BulletLevel1"/>
      </w:pPr>
      <w:r w:rsidRPr="00E0488D">
        <w:t xml:space="preserve">OW7 – Reducerea întârzierilor procedurale pentru transportul naval </w:t>
      </w:r>
    </w:p>
    <w:p w:rsidR="004F11BF" w:rsidRPr="00E0488D" w:rsidRDefault="004F11BF" w:rsidP="002A7286">
      <w:pPr>
        <w:spacing w:after="120" w:line="276" w:lineRule="auto"/>
        <w:rPr>
          <w:bCs/>
          <w:i/>
          <w:sz w:val="22"/>
          <w:szCs w:val="22"/>
          <w:u w:val="single"/>
          <w:lang w:val="ro-RO"/>
        </w:rPr>
      </w:pPr>
      <w:r w:rsidRPr="00E0488D">
        <w:rPr>
          <w:bCs/>
          <w:i/>
          <w:sz w:val="22"/>
          <w:szCs w:val="22"/>
          <w:u w:val="single"/>
          <w:lang w:val="ro-RO"/>
        </w:rPr>
        <w:t>Unitatea de implementare:</w:t>
      </w:r>
    </w:p>
    <w:p w:rsidR="004F11BF" w:rsidRPr="00E0488D" w:rsidRDefault="004F11BF" w:rsidP="002A7286">
      <w:pPr>
        <w:pStyle w:val="ListParagraph"/>
        <w:spacing w:after="120" w:line="276" w:lineRule="auto"/>
        <w:ind w:left="680"/>
        <w:rPr>
          <w:sz w:val="22"/>
          <w:szCs w:val="22"/>
          <w:lang w:val="ro-RO"/>
        </w:rPr>
      </w:pPr>
      <w:r w:rsidRPr="00E0488D">
        <w:rPr>
          <w:sz w:val="22"/>
          <w:szCs w:val="22"/>
          <w:lang w:val="ro-RO"/>
        </w:rPr>
        <w:t xml:space="preserve">Toate autoritățile portuare și navale </w:t>
      </w:r>
    </w:p>
    <w:p w:rsidR="004F11BF" w:rsidRPr="00E0488D" w:rsidRDefault="004F11BF" w:rsidP="002A7286">
      <w:pPr>
        <w:spacing w:after="120" w:line="276" w:lineRule="auto"/>
        <w:rPr>
          <w:bCs/>
          <w:i/>
          <w:sz w:val="22"/>
          <w:szCs w:val="22"/>
          <w:u w:val="single"/>
          <w:lang w:val="ro-RO"/>
        </w:rPr>
      </w:pPr>
      <w:r w:rsidRPr="00E0488D">
        <w:rPr>
          <w:bCs/>
          <w:i/>
          <w:sz w:val="22"/>
          <w:szCs w:val="22"/>
          <w:u w:val="single"/>
          <w:lang w:val="ro-RO"/>
        </w:rPr>
        <w:t>Perioada de implementare:</w:t>
      </w:r>
    </w:p>
    <w:p w:rsidR="004F11BF" w:rsidRPr="00E0488D" w:rsidRDefault="004F11BF" w:rsidP="002A7286">
      <w:pPr>
        <w:pStyle w:val="ListParagraph"/>
        <w:spacing w:after="120" w:line="276" w:lineRule="auto"/>
        <w:ind w:left="680"/>
        <w:rPr>
          <w:sz w:val="22"/>
          <w:szCs w:val="22"/>
          <w:lang w:val="ro-RO"/>
        </w:rPr>
      </w:pPr>
      <w:r w:rsidRPr="00E0488D">
        <w:rPr>
          <w:sz w:val="22"/>
          <w:szCs w:val="22"/>
          <w:lang w:val="ro-RO"/>
        </w:rPr>
        <w:t>Imediat</w:t>
      </w:r>
    </w:p>
    <w:p w:rsidR="00AC20EF" w:rsidRPr="00E0488D" w:rsidRDefault="00AC20EF" w:rsidP="002A7286">
      <w:pPr>
        <w:pStyle w:val="ListParagraph"/>
        <w:spacing w:after="120" w:line="276" w:lineRule="auto"/>
        <w:ind w:left="680"/>
        <w:rPr>
          <w:sz w:val="22"/>
          <w:szCs w:val="22"/>
          <w:lang w:val="ro-RO"/>
        </w:rPr>
      </w:pPr>
    </w:p>
    <w:p w:rsidR="00B36999" w:rsidRPr="00E0488D" w:rsidRDefault="00F30239" w:rsidP="002B7E09">
      <w:pPr>
        <w:pStyle w:val="NumberedParas"/>
        <w:numPr>
          <w:ilvl w:val="0"/>
          <w:numId w:val="0"/>
        </w:numPr>
      </w:pPr>
      <w:r w:rsidRPr="00E0488D">
        <w:t>Transfer</w:t>
      </w:r>
      <w:r w:rsidR="004507D9" w:rsidRPr="00E0488D">
        <w:t>ul</w:t>
      </w:r>
      <w:r w:rsidRPr="00E0488D">
        <w:t xml:space="preserve"> de proprietate </w:t>
      </w:r>
      <w:r w:rsidR="004507D9" w:rsidRPr="00E0488D">
        <w:t>asupra infrastructurii feroviare la autoritățile portuare</w:t>
      </w:r>
    </w:p>
    <w:p w:rsidR="004507D9" w:rsidRPr="00E0488D" w:rsidRDefault="004507D9" w:rsidP="002A7286">
      <w:pPr>
        <w:pStyle w:val="ListParagraph"/>
        <w:tabs>
          <w:tab w:val="left" w:pos="3719"/>
        </w:tabs>
        <w:spacing w:after="120" w:line="276" w:lineRule="auto"/>
        <w:ind w:left="0"/>
        <w:rPr>
          <w:i/>
          <w:sz w:val="22"/>
          <w:szCs w:val="22"/>
          <w:u w:val="single"/>
          <w:lang w:val="ro-RO"/>
        </w:rPr>
      </w:pPr>
      <w:r w:rsidRPr="00E0488D">
        <w:rPr>
          <w:i/>
          <w:sz w:val="22"/>
          <w:szCs w:val="22"/>
          <w:u w:val="single"/>
          <w:lang w:val="ro-RO"/>
        </w:rPr>
        <w:t>Descrierea propunerii:</w:t>
      </w:r>
    </w:p>
    <w:p w:rsidR="004507D9" w:rsidRPr="00E0488D" w:rsidRDefault="004507D9" w:rsidP="002B7E09">
      <w:pPr>
        <w:pStyle w:val="NumberedParas"/>
        <w:numPr>
          <w:ilvl w:val="0"/>
          <w:numId w:val="0"/>
        </w:numPr>
        <w:ind w:left="426"/>
      </w:pPr>
      <w:r w:rsidRPr="00E0488D">
        <w:t>Dreptul de proprietate asupra infrastructurii feroviare trebuie transferat către autoritățile portuare în cazurile în care porturile au demonstrat intenția și angajamentul de a îmbunătăți și moderniza infrastructura feroviară.</w:t>
      </w:r>
    </w:p>
    <w:p w:rsidR="004507D9" w:rsidRPr="00E0488D" w:rsidRDefault="004507D9" w:rsidP="002B7E09">
      <w:pPr>
        <w:pStyle w:val="NumberedParas"/>
        <w:numPr>
          <w:ilvl w:val="0"/>
          <w:numId w:val="0"/>
        </w:numPr>
      </w:pPr>
      <w:r w:rsidRPr="00E0488D">
        <w:t>Probleme abordate</w:t>
      </w:r>
    </w:p>
    <w:p w:rsidR="004507D9" w:rsidRPr="00E0488D" w:rsidRDefault="00402204" w:rsidP="002B7E09">
      <w:pPr>
        <w:pStyle w:val="NumberedParas"/>
        <w:numPr>
          <w:ilvl w:val="0"/>
          <w:numId w:val="0"/>
        </w:numPr>
      </w:pPr>
      <w:r w:rsidRPr="00E0488D">
        <w:t xml:space="preserve">Infrastructura feroviară este în prezent deținută și gestionată de CFR. Cu toate acestea, această infrastructură nu este considerată o prioritate pentru întreținere sau modernizare. Ca atare, starea prezentă a acestei infrastructuri este foarte precară în anumite porturi (cum ar fi Galați). </w:t>
      </w:r>
    </w:p>
    <w:p w:rsidR="004507D9" w:rsidRPr="00E0488D" w:rsidRDefault="004507D9" w:rsidP="002A7286">
      <w:pPr>
        <w:spacing w:after="120" w:line="276" w:lineRule="auto"/>
        <w:rPr>
          <w:i/>
          <w:sz w:val="22"/>
          <w:szCs w:val="22"/>
          <w:u w:val="single"/>
          <w:lang w:val="ro-RO"/>
        </w:rPr>
      </w:pPr>
      <w:r w:rsidRPr="00E0488D">
        <w:rPr>
          <w:i/>
          <w:sz w:val="22"/>
          <w:szCs w:val="22"/>
          <w:u w:val="single"/>
          <w:lang w:val="ro-RO"/>
        </w:rPr>
        <w:t>Obiective operaționale atinse:</w:t>
      </w:r>
    </w:p>
    <w:p w:rsidR="004507D9" w:rsidRPr="00E0488D" w:rsidRDefault="004507D9" w:rsidP="002B7E09">
      <w:pPr>
        <w:pStyle w:val="NumberedParas"/>
        <w:numPr>
          <w:ilvl w:val="0"/>
          <w:numId w:val="0"/>
        </w:numPr>
      </w:pPr>
      <w:r w:rsidRPr="00E0488D">
        <w:t>Această intervenție va atinge următoarele obiective operaționale :</w:t>
      </w:r>
    </w:p>
    <w:p w:rsidR="004507D9" w:rsidRPr="00E0488D" w:rsidRDefault="004507D9" w:rsidP="00BC2B57">
      <w:pPr>
        <w:pStyle w:val="BulletLevel1"/>
      </w:pPr>
      <w:r w:rsidRPr="00E0488D">
        <w:t xml:space="preserve">OW3 – Deblocarea barierelor pentru eficiență operațională </w:t>
      </w:r>
    </w:p>
    <w:p w:rsidR="004507D9" w:rsidRPr="00E0488D" w:rsidRDefault="004507D9" w:rsidP="00BC2B57">
      <w:pPr>
        <w:pStyle w:val="BulletLevel1"/>
      </w:pPr>
      <w:r w:rsidRPr="00E0488D">
        <w:t xml:space="preserve">OW4 – Reducerea costurilor prin eficiență operațională </w:t>
      </w:r>
    </w:p>
    <w:p w:rsidR="004507D9" w:rsidRPr="00E0488D" w:rsidRDefault="004507D9" w:rsidP="00BC2B57">
      <w:pPr>
        <w:pStyle w:val="BulletLevel1"/>
      </w:pPr>
      <w:r w:rsidRPr="00E0488D">
        <w:t xml:space="preserve">OW6 – Revizuirea activelor existente pentru concentrarea pe creșterea capacității </w:t>
      </w:r>
    </w:p>
    <w:p w:rsidR="004507D9" w:rsidRPr="00E0488D" w:rsidRDefault="00A1448F" w:rsidP="00BC2B57">
      <w:pPr>
        <w:pStyle w:val="BulletLevel1"/>
      </w:pPr>
      <w:r w:rsidRPr="00E0488D">
        <w:t>OW10 – Creșterea volumului de mărfuri transportate prin moduri de transport sustenabile</w:t>
      </w:r>
    </w:p>
    <w:p w:rsidR="004507D9" w:rsidRPr="00E0488D" w:rsidRDefault="004507D9" w:rsidP="002A7286">
      <w:pPr>
        <w:spacing w:after="120" w:line="276" w:lineRule="auto"/>
        <w:rPr>
          <w:bCs/>
          <w:i/>
          <w:sz w:val="22"/>
          <w:szCs w:val="22"/>
          <w:u w:val="single"/>
          <w:lang w:val="ro-RO"/>
        </w:rPr>
      </w:pPr>
      <w:r w:rsidRPr="00E0488D">
        <w:rPr>
          <w:bCs/>
          <w:i/>
          <w:sz w:val="22"/>
          <w:szCs w:val="22"/>
          <w:u w:val="single"/>
          <w:lang w:val="ro-RO"/>
        </w:rPr>
        <w:t>Unitatea de implementare:</w:t>
      </w:r>
    </w:p>
    <w:p w:rsidR="004507D9" w:rsidRPr="00E0488D" w:rsidRDefault="004507D9" w:rsidP="002A7286">
      <w:pPr>
        <w:pStyle w:val="ListParagraph"/>
        <w:spacing w:after="120" w:line="276" w:lineRule="auto"/>
        <w:ind w:left="680"/>
        <w:rPr>
          <w:sz w:val="22"/>
          <w:szCs w:val="22"/>
          <w:lang w:val="ro-RO"/>
        </w:rPr>
      </w:pPr>
      <w:r w:rsidRPr="00E0488D">
        <w:rPr>
          <w:sz w:val="22"/>
          <w:szCs w:val="22"/>
          <w:lang w:val="ro-RO"/>
        </w:rPr>
        <w:t xml:space="preserve">Toate autoritățile portuare și navale </w:t>
      </w:r>
    </w:p>
    <w:p w:rsidR="004507D9" w:rsidRPr="00E0488D" w:rsidRDefault="004507D9" w:rsidP="002A7286">
      <w:pPr>
        <w:spacing w:after="120" w:line="276" w:lineRule="auto"/>
        <w:rPr>
          <w:bCs/>
          <w:i/>
          <w:sz w:val="22"/>
          <w:szCs w:val="22"/>
          <w:u w:val="single"/>
          <w:lang w:val="ro-RO"/>
        </w:rPr>
      </w:pPr>
      <w:r w:rsidRPr="00E0488D">
        <w:rPr>
          <w:bCs/>
          <w:i/>
          <w:sz w:val="22"/>
          <w:szCs w:val="22"/>
          <w:u w:val="single"/>
          <w:lang w:val="ro-RO"/>
        </w:rPr>
        <w:t>Perioada de implementare:</w:t>
      </w:r>
    </w:p>
    <w:p w:rsidR="004507D9" w:rsidRPr="00E0488D" w:rsidRDefault="004507D9" w:rsidP="002A7286">
      <w:pPr>
        <w:pStyle w:val="ListParagraph"/>
        <w:spacing w:after="120" w:line="276" w:lineRule="auto"/>
        <w:ind w:left="680"/>
        <w:rPr>
          <w:sz w:val="22"/>
          <w:szCs w:val="22"/>
          <w:lang w:val="ro-RO"/>
        </w:rPr>
      </w:pPr>
      <w:r w:rsidRPr="00E0488D">
        <w:rPr>
          <w:sz w:val="22"/>
          <w:szCs w:val="22"/>
          <w:lang w:val="ro-RO"/>
        </w:rPr>
        <w:t>Imediat</w:t>
      </w:r>
    </w:p>
    <w:p w:rsidR="004507D9" w:rsidRPr="00E0488D" w:rsidRDefault="004507D9" w:rsidP="002B7E09">
      <w:pPr>
        <w:pStyle w:val="NumberedParas"/>
        <w:numPr>
          <w:ilvl w:val="0"/>
          <w:numId w:val="0"/>
        </w:numPr>
      </w:pPr>
    </w:p>
    <w:p w:rsidR="00B4550A" w:rsidRPr="00E0488D" w:rsidRDefault="00B4550A" w:rsidP="002A7286">
      <w:pPr>
        <w:spacing w:after="120" w:line="276" w:lineRule="auto"/>
        <w:rPr>
          <w:b/>
          <w:sz w:val="22"/>
          <w:szCs w:val="22"/>
          <w:lang w:val="ro-RO"/>
        </w:rPr>
      </w:pPr>
      <w:r w:rsidRPr="00E0488D">
        <w:rPr>
          <w:b/>
          <w:sz w:val="22"/>
          <w:szCs w:val="22"/>
          <w:lang w:val="ro-RO"/>
        </w:rPr>
        <w:t xml:space="preserve">Adoptarea unei Atitudini Comerciale </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 xml:space="preserve">Adoptarea unei atitudini comerciale și revizuirea taxelor portuare pentru operatori pentru a asigura competitivitatea căilor navigabile. </w:t>
      </w:r>
    </w:p>
    <w:p w:rsidR="00B4550A" w:rsidRPr="00E0488D" w:rsidRDefault="002F030B" w:rsidP="002A7286">
      <w:pPr>
        <w:spacing w:after="120" w:line="276" w:lineRule="auto"/>
        <w:rPr>
          <w:i/>
          <w:sz w:val="22"/>
          <w:szCs w:val="22"/>
          <w:u w:val="single"/>
          <w:lang w:val="ro-RO"/>
        </w:rPr>
      </w:pPr>
      <w:r w:rsidRPr="00E0488D">
        <w:rPr>
          <w:i/>
          <w:sz w:val="22"/>
          <w:szCs w:val="22"/>
          <w:u w:val="single"/>
          <w:lang w:val="ro-RO"/>
        </w:rPr>
        <w:t>Probleme abordate</w:t>
      </w:r>
      <w:r w:rsidR="00B4550A" w:rsidRPr="00E0488D">
        <w:rPr>
          <w:i/>
          <w:sz w:val="22"/>
          <w:szCs w:val="22"/>
          <w:u w:val="single"/>
          <w:lang w:val="ro-RO"/>
        </w:rPr>
        <w:t>:</w:t>
      </w:r>
    </w:p>
    <w:p w:rsidR="00B4550A" w:rsidRPr="00E0488D" w:rsidRDefault="00B4550A" w:rsidP="002A7286">
      <w:pPr>
        <w:spacing w:after="120" w:line="276" w:lineRule="auto"/>
        <w:rPr>
          <w:sz w:val="22"/>
          <w:szCs w:val="22"/>
          <w:lang w:val="ro-RO"/>
        </w:rPr>
      </w:pPr>
      <w:r w:rsidRPr="00E0488D">
        <w:rPr>
          <w:sz w:val="22"/>
          <w:szCs w:val="22"/>
          <w:lang w:val="ro-RO"/>
        </w:rPr>
        <w:t xml:space="preserve">Metodele de taxare învechite fac transportul pe căile navigabile mai puțin competitiv comparativ cu alte moduri de transport. Adoptarea unei abordări comerciale va </w:t>
      </w:r>
      <w:r w:rsidR="002F030B" w:rsidRPr="00E0488D">
        <w:rPr>
          <w:sz w:val="22"/>
          <w:szCs w:val="22"/>
          <w:lang w:val="ro-RO"/>
        </w:rPr>
        <w:t>rezolva</w:t>
      </w:r>
      <w:r w:rsidRPr="00E0488D">
        <w:rPr>
          <w:sz w:val="22"/>
          <w:szCs w:val="22"/>
          <w:lang w:val="ro-RO"/>
        </w:rPr>
        <w:t xml:space="preserve"> această problemă. </w:t>
      </w:r>
    </w:p>
    <w:p w:rsidR="002F030B" w:rsidRPr="00E0488D" w:rsidRDefault="002F030B" w:rsidP="002A7286">
      <w:pPr>
        <w:spacing w:after="120" w:line="276" w:lineRule="auto"/>
        <w:rPr>
          <w:i/>
          <w:sz w:val="22"/>
          <w:szCs w:val="22"/>
          <w:u w:val="single"/>
          <w:lang w:val="ro-RO"/>
        </w:rPr>
      </w:pPr>
      <w:r w:rsidRPr="00E0488D">
        <w:rPr>
          <w:i/>
          <w:sz w:val="22"/>
          <w:szCs w:val="22"/>
          <w:u w:val="single"/>
          <w:lang w:val="ro-RO"/>
        </w:rPr>
        <w:t>Obiective operaționale atinse:</w:t>
      </w:r>
    </w:p>
    <w:p w:rsidR="00B4550A" w:rsidRPr="00E0488D" w:rsidRDefault="00B4550A" w:rsidP="002B7E09">
      <w:pPr>
        <w:pStyle w:val="NumberedParas"/>
        <w:numPr>
          <w:ilvl w:val="0"/>
          <w:numId w:val="0"/>
        </w:numPr>
      </w:pPr>
      <w:r w:rsidRPr="00E0488D">
        <w:t>Această intervenție va atinge următoarele obiective operaționale :</w:t>
      </w:r>
    </w:p>
    <w:p w:rsidR="00CE6120" w:rsidRPr="00E0488D" w:rsidRDefault="00CE6120" w:rsidP="00BC2B57">
      <w:pPr>
        <w:pStyle w:val="BulletLevel1"/>
      </w:pPr>
      <w:r w:rsidRPr="00E0488D">
        <w:t xml:space="preserve">OW4 – Reducerea costurilor prin eficiență operațională </w:t>
      </w:r>
    </w:p>
    <w:p w:rsidR="00CE6120" w:rsidRPr="00E0488D" w:rsidRDefault="00CE6120" w:rsidP="00BC2B57">
      <w:pPr>
        <w:pStyle w:val="BulletLevel1"/>
      </w:pPr>
      <w:r w:rsidRPr="00E0488D">
        <w:t xml:space="preserve">OW7 – Reducerea întârzierilor procedurale pentru transportul naval </w:t>
      </w:r>
    </w:p>
    <w:p w:rsidR="00A1448F" w:rsidRPr="00E0488D" w:rsidRDefault="00A1448F" w:rsidP="00BC2B57">
      <w:pPr>
        <w:pStyle w:val="BulletLevel1"/>
      </w:pPr>
      <w:r w:rsidRPr="00E0488D">
        <w:t>OW10 – Creșterea volumului de mărfuri transportate prin moduri de transport sustenabile</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Toate autoritățile portuare și navale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A7286">
      <w:pPr>
        <w:spacing w:after="120" w:line="276" w:lineRule="auto"/>
        <w:rPr>
          <w:sz w:val="22"/>
          <w:szCs w:val="22"/>
          <w:lang w:val="ro-RO"/>
        </w:rPr>
      </w:pPr>
      <w:r w:rsidRPr="00E0488D">
        <w:rPr>
          <w:sz w:val="22"/>
          <w:szCs w:val="22"/>
          <w:lang w:val="ro-RO"/>
        </w:rPr>
        <w:t>Imediat</w:t>
      </w:r>
    </w:p>
    <w:p w:rsidR="00B4550A" w:rsidRPr="00E0488D" w:rsidRDefault="00B4550A" w:rsidP="002A7286">
      <w:pPr>
        <w:spacing w:after="120" w:line="276" w:lineRule="auto"/>
        <w:rPr>
          <w:sz w:val="22"/>
          <w:szCs w:val="22"/>
          <w:lang w:val="ro-RO"/>
        </w:rPr>
      </w:pPr>
    </w:p>
    <w:p w:rsidR="00B4550A" w:rsidRPr="00E0488D" w:rsidRDefault="00B4550A" w:rsidP="002A7286">
      <w:pPr>
        <w:spacing w:after="120" w:line="276" w:lineRule="auto"/>
        <w:rPr>
          <w:b/>
          <w:sz w:val="22"/>
          <w:szCs w:val="22"/>
          <w:lang w:val="ro-RO"/>
        </w:rPr>
      </w:pPr>
      <w:r w:rsidRPr="00E0488D">
        <w:rPr>
          <w:b/>
          <w:sz w:val="22"/>
          <w:szCs w:val="22"/>
          <w:lang w:val="ro-RO"/>
        </w:rPr>
        <w:t xml:space="preserve">Cooperare internațională </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Este necesar ca România să coopereze cu alte țări de pe Dunăre pentru a ajunge la un acord cu privire la planuri operaționale care vor ajuta la rezolvarea problemelor identificate.</w:t>
      </w:r>
    </w:p>
    <w:p w:rsidR="00B4550A" w:rsidRPr="00E0488D" w:rsidRDefault="00B4550A" w:rsidP="002A7286">
      <w:pPr>
        <w:spacing w:after="120" w:line="276" w:lineRule="auto"/>
        <w:rPr>
          <w:i/>
          <w:sz w:val="22"/>
          <w:szCs w:val="22"/>
          <w:u w:val="single"/>
          <w:lang w:val="ro-RO"/>
        </w:rPr>
      </w:pPr>
      <w:r w:rsidRPr="00E0488D">
        <w:rPr>
          <w:i/>
          <w:sz w:val="22"/>
          <w:szCs w:val="22"/>
          <w:u w:val="single"/>
          <w:lang w:val="ro-RO"/>
        </w:rPr>
        <w:t xml:space="preserve">Problemele </w:t>
      </w:r>
      <w:r w:rsidR="00A1448F" w:rsidRPr="00E0488D">
        <w:rPr>
          <w:i/>
          <w:sz w:val="22"/>
          <w:szCs w:val="22"/>
          <w:u w:val="single"/>
          <w:lang w:val="ro-RO"/>
        </w:rPr>
        <w:t>abordate</w:t>
      </w:r>
      <w:r w:rsidRPr="00E0488D">
        <w:rPr>
          <w:i/>
          <w:sz w:val="22"/>
          <w:szCs w:val="22"/>
          <w:u w:val="single"/>
          <w:lang w:val="ro-RO"/>
        </w:rPr>
        <w:t>:</w:t>
      </w:r>
    </w:p>
    <w:p w:rsidR="00B4550A" w:rsidRPr="00E0488D" w:rsidRDefault="00B4550A" w:rsidP="002A7286">
      <w:pPr>
        <w:spacing w:after="120" w:line="276" w:lineRule="auto"/>
        <w:rPr>
          <w:sz w:val="22"/>
          <w:szCs w:val="22"/>
          <w:lang w:val="ro-RO"/>
        </w:rPr>
      </w:pPr>
      <w:r w:rsidRPr="00E0488D">
        <w:rPr>
          <w:sz w:val="22"/>
          <w:szCs w:val="22"/>
          <w:lang w:val="ro-RO"/>
        </w:rPr>
        <w:t>Problemele identificate sunt:</w:t>
      </w:r>
    </w:p>
    <w:p w:rsidR="00B4550A" w:rsidRPr="00E0488D" w:rsidRDefault="00B4550A" w:rsidP="002A7286">
      <w:pPr>
        <w:numPr>
          <w:ilvl w:val="0"/>
          <w:numId w:val="51"/>
        </w:numPr>
        <w:spacing w:after="120" w:line="276" w:lineRule="auto"/>
        <w:jc w:val="both"/>
        <w:rPr>
          <w:sz w:val="22"/>
          <w:szCs w:val="22"/>
          <w:lang w:val="ro-RO"/>
        </w:rPr>
      </w:pPr>
      <w:r w:rsidRPr="00E0488D">
        <w:rPr>
          <w:sz w:val="22"/>
          <w:szCs w:val="22"/>
          <w:lang w:val="ro-RO"/>
        </w:rPr>
        <w:t xml:space="preserve">Bugete de întreținere diferite </w:t>
      </w:r>
    </w:p>
    <w:p w:rsidR="00B4550A" w:rsidRPr="00E0488D" w:rsidRDefault="00B4550A" w:rsidP="002A7286">
      <w:pPr>
        <w:numPr>
          <w:ilvl w:val="0"/>
          <w:numId w:val="51"/>
        </w:numPr>
        <w:spacing w:after="120" w:line="276" w:lineRule="auto"/>
        <w:jc w:val="both"/>
        <w:rPr>
          <w:sz w:val="22"/>
          <w:szCs w:val="22"/>
          <w:lang w:val="ro-RO"/>
        </w:rPr>
      </w:pPr>
      <w:r w:rsidRPr="00E0488D">
        <w:rPr>
          <w:sz w:val="22"/>
          <w:szCs w:val="22"/>
          <w:lang w:val="ro-RO"/>
        </w:rPr>
        <w:t xml:space="preserve">Reguli diferite cu privire la standardele de mediu </w:t>
      </w:r>
    </w:p>
    <w:p w:rsidR="00B4550A" w:rsidRPr="00E0488D" w:rsidRDefault="00B4550A" w:rsidP="002A7286">
      <w:pPr>
        <w:numPr>
          <w:ilvl w:val="0"/>
          <w:numId w:val="51"/>
        </w:numPr>
        <w:spacing w:after="120" w:line="276" w:lineRule="auto"/>
        <w:jc w:val="both"/>
        <w:rPr>
          <w:sz w:val="22"/>
          <w:szCs w:val="22"/>
          <w:lang w:val="ro-RO"/>
        </w:rPr>
      </w:pPr>
      <w:r w:rsidRPr="00E0488D">
        <w:rPr>
          <w:sz w:val="22"/>
          <w:szCs w:val="22"/>
          <w:lang w:val="ro-RO"/>
        </w:rPr>
        <w:t xml:space="preserve">Sunt utilizate sisteme diferite pe Dunăre </w:t>
      </w:r>
    </w:p>
    <w:p w:rsidR="00B4550A" w:rsidRPr="00E0488D" w:rsidRDefault="00A1448F" w:rsidP="002A7286">
      <w:pPr>
        <w:spacing w:after="120" w:line="276" w:lineRule="auto"/>
        <w:jc w:val="both"/>
        <w:rPr>
          <w:sz w:val="22"/>
          <w:szCs w:val="22"/>
          <w:lang w:val="ro-RO"/>
        </w:rPr>
      </w:pPr>
      <w:r w:rsidRPr="00E0488D">
        <w:rPr>
          <w:i/>
          <w:sz w:val="22"/>
          <w:szCs w:val="22"/>
          <w:u w:val="single"/>
          <w:lang w:val="ro-RO"/>
        </w:rPr>
        <w:t>Obiective operaționale atinse</w:t>
      </w:r>
    </w:p>
    <w:p w:rsidR="00A1448F" w:rsidRPr="00E0488D" w:rsidRDefault="00A1448F" w:rsidP="00BC2B57">
      <w:pPr>
        <w:pStyle w:val="BulletLevel1"/>
      </w:pPr>
      <w:r w:rsidRPr="00E0488D">
        <w:t xml:space="preserve">OW3 – Deblocarea barierelor pentru eficiență operațională </w:t>
      </w:r>
    </w:p>
    <w:p w:rsidR="00A1448F" w:rsidRPr="00E0488D" w:rsidRDefault="00A1448F" w:rsidP="00BC2B57">
      <w:pPr>
        <w:pStyle w:val="BulletLevel1"/>
      </w:pPr>
      <w:r w:rsidRPr="00E0488D">
        <w:t xml:space="preserve">OW4 – Reducerea costurilor prin eficiență operațională </w:t>
      </w:r>
    </w:p>
    <w:p w:rsidR="00A1448F" w:rsidRPr="00E0488D" w:rsidRDefault="00A1448F" w:rsidP="00BC2B57">
      <w:pPr>
        <w:pStyle w:val="BulletLevel1"/>
      </w:pPr>
      <w:r w:rsidRPr="00E0488D">
        <w:t xml:space="preserve">OW5 – Îmbunătățirea coordonării la nivel guvernamental și înlesnirea investițiilor </w:t>
      </w:r>
    </w:p>
    <w:p w:rsidR="00A1448F" w:rsidRPr="00E0488D" w:rsidRDefault="00A1448F" w:rsidP="00BC2B57">
      <w:pPr>
        <w:pStyle w:val="BulletLevel1"/>
      </w:pPr>
      <w:r w:rsidRPr="00E0488D">
        <w:t xml:space="preserve">OW7 – Reducerea întârzierilor procedurale pentru transportul naval </w:t>
      </w:r>
    </w:p>
    <w:p w:rsidR="00A1448F" w:rsidRPr="00E0488D" w:rsidRDefault="00A1448F" w:rsidP="00BC2B57">
      <w:pPr>
        <w:pStyle w:val="BulletLevel1"/>
      </w:pPr>
      <w:r w:rsidRPr="00E0488D">
        <w:t xml:space="preserve">OW10 – Creșterea volumului de mărfuri transportate prin moduri de transport sustenabile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Țările de pe Dunăre, mai precis Ministerele de Transport ale acestora.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A7286">
      <w:pPr>
        <w:spacing w:after="120" w:line="276" w:lineRule="auto"/>
        <w:rPr>
          <w:sz w:val="22"/>
          <w:szCs w:val="22"/>
          <w:lang w:val="ro-RO"/>
        </w:rPr>
      </w:pPr>
      <w:r w:rsidRPr="00E0488D">
        <w:rPr>
          <w:sz w:val="22"/>
          <w:szCs w:val="22"/>
          <w:lang w:val="ro-RO"/>
        </w:rPr>
        <w:t>Imediat</w:t>
      </w:r>
    </w:p>
    <w:p w:rsidR="00B4550A" w:rsidRPr="00E0488D" w:rsidRDefault="00B4550A" w:rsidP="002A7286">
      <w:pPr>
        <w:spacing w:after="120" w:line="276" w:lineRule="auto"/>
        <w:rPr>
          <w:b/>
          <w:sz w:val="22"/>
          <w:szCs w:val="22"/>
          <w:lang w:val="ro-RO"/>
        </w:rPr>
      </w:pPr>
    </w:p>
    <w:p w:rsidR="00B4550A" w:rsidRPr="00E0488D" w:rsidRDefault="00B4550A" w:rsidP="002A7286">
      <w:pPr>
        <w:spacing w:after="120" w:line="276" w:lineRule="auto"/>
        <w:rPr>
          <w:b/>
          <w:sz w:val="22"/>
          <w:szCs w:val="22"/>
          <w:lang w:val="ro-RO"/>
        </w:rPr>
      </w:pPr>
      <w:r w:rsidRPr="00E0488D">
        <w:rPr>
          <w:b/>
          <w:sz w:val="22"/>
          <w:szCs w:val="22"/>
          <w:lang w:val="ro-RO"/>
        </w:rPr>
        <w:t>Instruire</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 xml:space="preserve">Determinarea nevoilor de instruire ale sectorului naval. </w:t>
      </w:r>
    </w:p>
    <w:p w:rsidR="00B4550A" w:rsidRPr="00E0488D" w:rsidRDefault="00B4550A" w:rsidP="002A7286">
      <w:pPr>
        <w:spacing w:after="120" w:line="276" w:lineRule="auto"/>
        <w:rPr>
          <w:i/>
          <w:sz w:val="22"/>
          <w:szCs w:val="22"/>
          <w:u w:val="single"/>
          <w:lang w:val="ro-RO"/>
        </w:rPr>
      </w:pPr>
      <w:r w:rsidRPr="00E0488D">
        <w:rPr>
          <w:i/>
          <w:sz w:val="22"/>
          <w:szCs w:val="22"/>
          <w:u w:val="single"/>
          <w:lang w:val="ro-RO"/>
        </w:rPr>
        <w:t>Probleme atinse:</w:t>
      </w:r>
    </w:p>
    <w:p w:rsidR="00B4550A" w:rsidRPr="00E0488D" w:rsidRDefault="00B4550A" w:rsidP="002A7286">
      <w:pPr>
        <w:spacing w:after="120" w:line="276" w:lineRule="auto"/>
        <w:jc w:val="both"/>
        <w:rPr>
          <w:sz w:val="22"/>
          <w:szCs w:val="22"/>
          <w:lang w:val="ro-RO"/>
        </w:rPr>
      </w:pPr>
      <w:r w:rsidRPr="00E0488D">
        <w:rPr>
          <w:sz w:val="22"/>
          <w:szCs w:val="22"/>
          <w:lang w:val="ro-RO"/>
        </w:rPr>
        <w:t xml:space="preserve">În prezent, în fiecare an se înregistrează între 50 și 100 de accidente pe sectorul românesc al Dunării, accidente care implică rănirea personalului. Pentru anul 2011, costul acestor accidente a fost estimat în jur de 2,8m euro. </w:t>
      </w:r>
      <w:r w:rsidR="00A1448F" w:rsidRPr="00E0488D">
        <w:rPr>
          <w:sz w:val="22"/>
          <w:szCs w:val="22"/>
          <w:lang w:val="ro-RO"/>
        </w:rPr>
        <w:t xml:space="preserve">Accidentele care apar în porturi au un impact semnificativ datorită lipsei măsurilor de protecție și unei instruiri adecvate a personalului. </w:t>
      </w:r>
      <w:r w:rsidRPr="00E0488D">
        <w:rPr>
          <w:sz w:val="22"/>
          <w:szCs w:val="22"/>
          <w:lang w:val="ro-RO"/>
        </w:rPr>
        <w:t xml:space="preserve">Instruirea corectă ar ajuta la reducerea frecvenței producerii acestor accidente. </w:t>
      </w:r>
    </w:p>
    <w:p w:rsidR="002A634C" w:rsidRPr="00E0488D" w:rsidRDefault="002A634C" w:rsidP="002A7286">
      <w:pPr>
        <w:spacing w:after="120" w:line="276" w:lineRule="auto"/>
        <w:jc w:val="both"/>
        <w:rPr>
          <w:sz w:val="22"/>
          <w:szCs w:val="22"/>
          <w:lang w:val="ro-RO"/>
        </w:rPr>
      </w:pPr>
      <w:r w:rsidRPr="00E0488D">
        <w:rPr>
          <w:i/>
          <w:sz w:val="22"/>
          <w:szCs w:val="22"/>
          <w:u w:val="single"/>
          <w:lang w:val="ro-RO"/>
        </w:rPr>
        <w:t>Obiective operaționale atinse</w:t>
      </w:r>
    </w:p>
    <w:p w:rsidR="002A634C" w:rsidRPr="00E0488D" w:rsidRDefault="002A634C" w:rsidP="00BC2B57">
      <w:pPr>
        <w:pStyle w:val="BulletLevel1"/>
      </w:pPr>
      <w:r w:rsidRPr="00E0488D">
        <w:t xml:space="preserve">OW3 – Deblocarea barierelor pentru eficiență operațională </w:t>
      </w:r>
    </w:p>
    <w:p w:rsidR="002A634C" w:rsidRPr="00E0488D" w:rsidRDefault="002A634C" w:rsidP="00BC2B57">
      <w:pPr>
        <w:pStyle w:val="BulletLevel1"/>
      </w:pPr>
      <w:r w:rsidRPr="00E0488D">
        <w:t xml:space="preserve">OW4 – Reducerea costurilor prin eficiență operațională </w:t>
      </w:r>
    </w:p>
    <w:p w:rsidR="002A634C" w:rsidRPr="00E0488D" w:rsidRDefault="002A634C" w:rsidP="00BC2B57">
      <w:pPr>
        <w:pStyle w:val="BulletLevel1"/>
      </w:pPr>
      <w:r w:rsidRPr="00E0488D">
        <w:t xml:space="preserve">OW8 – Reducerea numărului de accidente pe Dunăre și a costurilor generate de acestea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ANR, Autoritatea Navală Română este responsabilă pentru siguranța navigației civile și ar trebui să fie responsabilă pentru acest lucru în colaborarea cu furnizori de instruire certificați. </w:t>
      </w:r>
    </w:p>
    <w:p w:rsidR="00B4550A" w:rsidRPr="00E0488D" w:rsidRDefault="00B4550A" w:rsidP="002A7286">
      <w:pPr>
        <w:spacing w:after="120" w:line="276" w:lineRule="auto"/>
        <w:rPr>
          <w:bCs/>
          <w:i/>
          <w:sz w:val="22"/>
          <w:szCs w:val="22"/>
          <w:u w:val="single"/>
          <w:lang w:val="ro-RO"/>
        </w:rPr>
      </w:pPr>
      <w:r w:rsidRPr="00E0488D">
        <w:rPr>
          <w:sz w:val="22"/>
          <w:szCs w:val="22"/>
          <w:lang w:val="ro-RO"/>
        </w:rPr>
        <w:t xml:space="preserve"> </w:t>
      </w:r>
      <w:r w:rsidRPr="00E0488D">
        <w:rPr>
          <w:bCs/>
          <w:i/>
          <w:sz w:val="22"/>
          <w:szCs w:val="22"/>
          <w:u w:val="single"/>
          <w:lang w:val="ro-RO"/>
        </w:rPr>
        <w:t>Perioada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Imediat; deși ar trebui acordată atenție calității instruirii furnizate în prezent, cât și conținutului utilizat pentru a evalua dacă acestea sunt adecvate. </w:t>
      </w:r>
    </w:p>
    <w:p w:rsidR="00B4550A" w:rsidRPr="00E0488D" w:rsidRDefault="00B4550A" w:rsidP="002A7286">
      <w:pPr>
        <w:spacing w:after="120" w:line="276" w:lineRule="auto"/>
        <w:rPr>
          <w:b/>
          <w:sz w:val="22"/>
          <w:szCs w:val="22"/>
          <w:lang w:val="ro-RO"/>
        </w:rPr>
      </w:pPr>
      <w:r w:rsidRPr="00E0488D">
        <w:rPr>
          <w:sz w:val="22"/>
          <w:szCs w:val="22"/>
          <w:lang w:val="ro-RO"/>
        </w:rPr>
        <w:t xml:space="preserve"> </w:t>
      </w:r>
    </w:p>
    <w:p w:rsidR="00B4550A" w:rsidRPr="00E0488D" w:rsidRDefault="00B4550A" w:rsidP="002A7286">
      <w:pPr>
        <w:spacing w:after="120" w:line="276" w:lineRule="auto"/>
        <w:rPr>
          <w:b/>
          <w:sz w:val="22"/>
          <w:szCs w:val="22"/>
          <w:lang w:val="ro-RO"/>
        </w:rPr>
      </w:pPr>
      <w:r w:rsidRPr="00E0488D">
        <w:rPr>
          <w:b/>
          <w:sz w:val="22"/>
          <w:szCs w:val="22"/>
          <w:lang w:val="ro-RO"/>
        </w:rPr>
        <w:t>Utilizare</w:t>
      </w:r>
      <w:r w:rsidR="002A634C" w:rsidRPr="00E0488D">
        <w:rPr>
          <w:b/>
          <w:sz w:val="22"/>
          <w:szCs w:val="22"/>
          <w:lang w:val="ro-RO"/>
        </w:rPr>
        <w:t>a</w:t>
      </w:r>
      <w:r w:rsidRPr="00E0488D">
        <w:rPr>
          <w:b/>
          <w:sz w:val="22"/>
          <w:szCs w:val="22"/>
          <w:lang w:val="ro-RO"/>
        </w:rPr>
        <w:t xml:space="preserve"> sisteme</w:t>
      </w:r>
      <w:r w:rsidR="002A634C" w:rsidRPr="00E0488D">
        <w:rPr>
          <w:b/>
          <w:sz w:val="22"/>
          <w:szCs w:val="22"/>
          <w:lang w:val="ro-RO"/>
        </w:rPr>
        <w:t>lor</w:t>
      </w:r>
      <w:r w:rsidRPr="00E0488D">
        <w:rPr>
          <w:b/>
          <w:sz w:val="22"/>
          <w:szCs w:val="22"/>
          <w:lang w:val="ro-RO"/>
        </w:rPr>
        <w:t xml:space="preserve"> moderne </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 xml:space="preserve">Încurajarea industriei să utilizeze sisteme integrate moderne pentru punctele vamale, navigație, reglementare și administrare. Spre exemplul sistemul de informare DoRIS este acum disponibil prin APP pentru telefoane mobile din Austria. </w:t>
      </w:r>
    </w:p>
    <w:p w:rsidR="00B4550A" w:rsidRPr="00E0488D" w:rsidRDefault="00B4550A" w:rsidP="002A7286">
      <w:pPr>
        <w:spacing w:after="120" w:line="276" w:lineRule="auto"/>
        <w:rPr>
          <w:i/>
          <w:sz w:val="22"/>
          <w:szCs w:val="22"/>
          <w:u w:val="single"/>
          <w:lang w:val="ro-RO"/>
        </w:rPr>
      </w:pPr>
      <w:r w:rsidRPr="00E0488D">
        <w:rPr>
          <w:i/>
          <w:sz w:val="22"/>
          <w:szCs w:val="22"/>
          <w:u w:val="single"/>
          <w:lang w:val="ro-RO"/>
        </w:rPr>
        <w:t>Probleme atinse:</w:t>
      </w:r>
    </w:p>
    <w:p w:rsidR="00B4550A" w:rsidRPr="00E0488D" w:rsidRDefault="00B4550A" w:rsidP="002A7286">
      <w:pPr>
        <w:spacing w:after="120" w:line="276" w:lineRule="auto"/>
        <w:rPr>
          <w:sz w:val="22"/>
          <w:szCs w:val="22"/>
          <w:lang w:val="ro-RO"/>
        </w:rPr>
      </w:pPr>
      <w:r w:rsidRPr="00E0488D">
        <w:rPr>
          <w:sz w:val="22"/>
          <w:szCs w:val="22"/>
          <w:lang w:val="ro-RO"/>
        </w:rPr>
        <w:t>Diferite țări utilizează sisteme și echipamente diferite. România ar trebui să urmeze acordurile Mărfuri generale e pentru a evita probleme pe parcurs.</w:t>
      </w:r>
    </w:p>
    <w:p w:rsidR="00E14EE6" w:rsidRPr="00E0488D" w:rsidRDefault="00E14EE6" w:rsidP="002A7286">
      <w:pPr>
        <w:spacing w:after="120" w:line="276" w:lineRule="auto"/>
        <w:jc w:val="both"/>
        <w:rPr>
          <w:sz w:val="22"/>
          <w:szCs w:val="22"/>
          <w:lang w:val="ro-RO"/>
        </w:rPr>
      </w:pPr>
      <w:r w:rsidRPr="00E0488D">
        <w:rPr>
          <w:i/>
          <w:sz w:val="22"/>
          <w:szCs w:val="22"/>
          <w:u w:val="single"/>
          <w:lang w:val="ro-RO"/>
        </w:rPr>
        <w:t>Obiective operaționale atinse</w:t>
      </w:r>
    </w:p>
    <w:p w:rsidR="00E14EE6" w:rsidRPr="00E0488D" w:rsidRDefault="00E14EE6" w:rsidP="00BC2B57">
      <w:pPr>
        <w:pStyle w:val="BulletLevel1"/>
      </w:pPr>
      <w:r w:rsidRPr="00E0488D">
        <w:t xml:space="preserve">OW3 – Deblocarea barierelor pentru eficiență operațională </w:t>
      </w:r>
    </w:p>
    <w:p w:rsidR="00E14EE6" w:rsidRPr="00E0488D" w:rsidRDefault="00E14EE6" w:rsidP="00BC2B57">
      <w:pPr>
        <w:pStyle w:val="BulletLevel1"/>
      </w:pPr>
      <w:r w:rsidRPr="00E0488D">
        <w:t xml:space="preserve">OW4 – Reducerea costurilor prin eficiență operațională </w:t>
      </w:r>
    </w:p>
    <w:p w:rsidR="00E14EE6" w:rsidRPr="00E0488D" w:rsidRDefault="00E14EE6" w:rsidP="00BC2B57">
      <w:pPr>
        <w:pStyle w:val="BulletLevel1"/>
      </w:pPr>
      <w:r w:rsidRPr="00E0488D">
        <w:t xml:space="preserve">OW7 – Reducerea întârzierilor procedurale pentru transportul naval </w:t>
      </w:r>
    </w:p>
    <w:p w:rsidR="00E14EE6" w:rsidRPr="00E0488D" w:rsidRDefault="00E14EE6" w:rsidP="00BC2B57">
      <w:pPr>
        <w:pStyle w:val="BulletLevel1"/>
        <w:rPr>
          <w:szCs w:val="22"/>
        </w:rPr>
      </w:pPr>
      <w:r w:rsidRPr="00E0488D">
        <w:t>OW8 – Reducerea numărului de accidente pe Dunăre și a costurilor generate de acestea</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MT în calitatea sa de organism supraierarhic pentru organizații precum AFDJ.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Consultarea și cooperarea cu alte țări de pe cursul Dunării ar trebui să înceapă imediat iar o decizie cu privire la sistemele care ar trebui să fie adoptate ar trebui să fie luată în cinci ani. </w:t>
      </w:r>
    </w:p>
    <w:p w:rsidR="00B4550A" w:rsidRPr="00E0488D" w:rsidRDefault="00B4550A" w:rsidP="002A7286">
      <w:pPr>
        <w:spacing w:after="120" w:line="276" w:lineRule="auto"/>
        <w:rPr>
          <w:sz w:val="22"/>
          <w:szCs w:val="22"/>
          <w:lang w:val="ro-RO"/>
        </w:rPr>
      </w:pPr>
    </w:p>
    <w:p w:rsidR="00B4550A" w:rsidRPr="00E0488D" w:rsidRDefault="00B4550A" w:rsidP="002A7286">
      <w:pPr>
        <w:spacing w:after="120" w:line="276" w:lineRule="auto"/>
        <w:rPr>
          <w:b/>
          <w:sz w:val="22"/>
          <w:szCs w:val="22"/>
          <w:lang w:val="ro-RO"/>
        </w:rPr>
      </w:pPr>
      <w:r w:rsidRPr="00E0488D">
        <w:rPr>
          <w:b/>
          <w:sz w:val="22"/>
          <w:szCs w:val="22"/>
          <w:lang w:val="ro-RO"/>
        </w:rPr>
        <w:t xml:space="preserve">Securitatea pe Dunăre </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 xml:space="preserve">Creșterea gradului de securitate pentru a reduce furtul de pe nave și din facilitățile din port. </w:t>
      </w:r>
    </w:p>
    <w:p w:rsidR="00B4550A" w:rsidRPr="00E0488D" w:rsidRDefault="00B4550A" w:rsidP="002A7286">
      <w:pPr>
        <w:spacing w:after="120" w:line="276" w:lineRule="auto"/>
        <w:rPr>
          <w:i/>
          <w:sz w:val="22"/>
          <w:szCs w:val="22"/>
          <w:u w:val="single"/>
          <w:lang w:val="ro-RO"/>
        </w:rPr>
      </w:pPr>
      <w:r w:rsidRPr="00E0488D">
        <w:rPr>
          <w:i/>
          <w:sz w:val="22"/>
          <w:szCs w:val="22"/>
          <w:u w:val="single"/>
          <w:lang w:val="ro-RO"/>
        </w:rPr>
        <w:t>Probleme atinse:</w:t>
      </w:r>
    </w:p>
    <w:p w:rsidR="00B4550A" w:rsidRPr="00E0488D" w:rsidRDefault="00B4550A" w:rsidP="002A7286">
      <w:pPr>
        <w:spacing w:after="120" w:line="276" w:lineRule="auto"/>
        <w:rPr>
          <w:sz w:val="22"/>
          <w:szCs w:val="22"/>
          <w:lang w:val="ro-RO"/>
        </w:rPr>
      </w:pPr>
      <w:r w:rsidRPr="00E0488D">
        <w:rPr>
          <w:sz w:val="22"/>
          <w:szCs w:val="22"/>
          <w:lang w:val="ro-RO"/>
        </w:rPr>
        <w:t xml:space="preserve">Furturile cauzează tuturor părților implicate pierderi de timp și costuri și afectează serios reputația transportului pe căile navigabile ca mod de transport modern. Creșterea gradului de siguranță pentru prevenirea unor pierderi suplimentare va rezolva această problemă. </w:t>
      </w:r>
    </w:p>
    <w:p w:rsidR="00E14EE6" w:rsidRPr="00E0488D" w:rsidRDefault="00E14EE6" w:rsidP="002A7286">
      <w:pPr>
        <w:spacing w:after="120" w:line="276" w:lineRule="auto"/>
        <w:jc w:val="both"/>
        <w:rPr>
          <w:sz w:val="22"/>
          <w:szCs w:val="22"/>
          <w:lang w:val="ro-RO"/>
        </w:rPr>
      </w:pPr>
      <w:r w:rsidRPr="00E0488D">
        <w:rPr>
          <w:i/>
          <w:sz w:val="22"/>
          <w:szCs w:val="22"/>
          <w:u w:val="single"/>
          <w:lang w:val="ro-RO"/>
        </w:rPr>
        <w:t>Obiective operaționale atinse</w:t>
      </w:r>
    </w:p>
    <w:p w:rsidR="00E14EE6" w:rsidRPr="00E0488D" w:rsidRDefault="00E14EE6" w:rsidP="00BC2B57">
      <w:pPr>
        <w:pStyle w:val="BulletLevel1"/>
      </w:pPr>
      <w:r w:rsidRPr="00E0488D">
        <w:t xml:space="preserve">OW3 – Deblocarea barierelor pentru eficiență operațională </w:t>
      </w:r>
    </w:p>
    <w:p w:rsidR="00E14EE6" w:rsidRPr="00E0488D" w:rsidRDefault="00E14EE6" w:rsidP="00BC2B57">
      <w:pPr>
        <w:pStyle w:val="BulletLevel1"/>
      </w:pPr>
      <w:r w:rsidRPr="00E0488D">
        <w:t xml:space="preserve">OW4 – Reducerea costurilor prin eficiență operațională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Autoritățile portuare și operatorii de transport pe căile navigabile ar trebui să își asume responsabilitatea pentru creșterea gradului de securitate.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Ar trebui acționat imediat. </w:t>
      </w:r>
    </w:p>
    <w:p w:rsidR="00B4550A" w:rsidRPr="00E0488D" w:rsidRDefault="00B4550A" w:rsidP="002A7286">
      <w:pPr>
        <w:spacing w:after="120" w:line="276" w:lineRule="auto"/>
        <w:rPr>
          <w:sz w:val="22"/>
          <w:szCs w:val="22"/>
          <w:lang w:val="ro-RO"/>
        </w:rPr>
      </w:pPr>
    </w:p>
    <w:p w:rsidR="00B4550A" w:rsidRPr="00E0488D" w:rsidRDefault="00B4550A" w:rsidP="002A7286">
      <w:pPr>
        <w:spacing w:after="120" w:line="276" w:lineRule="auto"/>
        <w:rPr>
          <w:b/>
          <w:sz w:val="22"/>
          <w:szCs w:val="22"/>
          <w:lang w:val="ro-RO"/>
        </w:rPr>
      </w:pPr>
      <w:r w:rsidRPr="00E0488D">
        <w:rPr>
          <w:b/>
          <w:sz w:val="22"/>
          <w:szCs w:val="22"/>
          <w:lang w:val="ro-RO"/>
        </w:rPr>
        <w:t>Siguranță și reglementări:</w:t>
      </w:r>
    </w:p>
    <w:p w:rsidR="00B4550A" w:rsidRPr="00E0488D" w:rsidRDefault="00B4550A" w:rsidP="002A7286">
      <w:pPr>
        <w:spacing w:after="120" w:line="276" w:lineRule="auto"/>
        <w:rPr>
          <w:b/>
          <w:sz w:val="22"/>
          <w:szCs w:val="22"/>
          <w:lang w:val="ro-RO"/>
        </w:rPr>
      </w:pPr>
      <w:r w:rsidRPr="00E0488D">
        <w:rPr>
          <w:b/>
          <w:sz w:val="22"/>
          <w:szCs w:val="22"/>
          <w:lang w:val="ro-RO"/>
        </w:rPr>
        <w:t xml:space="preserve">Revizuirea procedurilor administrative din port și de la punctele vamale </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 xml:space="preserve">Revizuirea procedurilor din port și din punctele </w:t>
      </w:r>
      <w:r w:rsidR="00E14EE6" w:rsidRPr="00E0488D">
        <w:rPr>
          <w:sz w:val="22"/>
          <w:szCs w:val="22"/>
          <w:lang w:val="ro-RO"/>
        </w:rPr>
        <w:t xml:space="preserve">de trecere a frontierei, procedurilor de administrare vamală pentru validarea mărfurilor și altor proceduri care trebuie respectate pentru importul/exportul/tranzitul mărfii, împreună cu raționalizarea și îmbunătățirea comunicării. </w:t>
      </w:r>
    </w:p>
    <w:p w:rsidR="00B4550A" w:rsidRPr="00E0488D" w:rsidRDefault="00B4550A" w:rsidP="002A7286">
      <w:pPr>
        <w:spacing w:after="120" w:line="276" w:lineRule="auto"/>
        <w:rPr>
          <w:i/>
          <w:sz w:val="22"/>
          <w:szCs w:val="22"/>
          <w:u w:val="single"/>
          <w:lang w:val="ro-RO"/>
        </w:rPr>
      </w:pPr>
      <w:r w:rsidRPr="00E0488D">
        <w:rPr>
          <w:i/>
          <w:sz w:val="22"/>
          <w:szCs w:val="22"/>
          <w:u w:val="single"/>
          <w:lang w:val="ro-RO"/>
        </w:rPr>
        <w:t>Probleme atinse:</w:t>
      </w:r>
    </w:p>
    <w:p w:rsidR="00B4550A" w:rsidRPr="00E0488D" w:rsidRDefault="00B4550A" w:rsidP="002A7286">
      <w:pPr>
        <w:spacing w:after="120" w:line="276" w:lineRule="auto"/>
        <w:rPr>
          <w:sz w:val="22"/>
          <w:szCs w:val="22"/>
          <w:lang w:val="ro-RO"/>
        </w:rPr>
      </w:pPr>
      <w:r w:rsidRPr="00E0488D">
        <w:rPr>
          <w:sz w:val="22"/>
          <w:szCs w:val="22"/>
          <w:lang w:val="ro-RO"/>
        </w:rPr>
        <w:t xml:space="preserve">Birocrația limitează eficiența transportului pe căile navigabile comparativ cu alte moduri de transport. Reducerea birocrației va rezolva impactul negativ. </w:t>
      </w:r>
    </w:p>
    <w:p w:rsidR="00CA35F4" w:rsidRPr="00E0488D" w:rsidRDefault="00CA35F4" w:rsidP="002A7286">
      <w:pPr>
        <w:spacing w:after="120" w:line="276" w:lineRule="auto"/>
        <w:jc w:val="both"/>
        <w:rPr>
          <w:sz w:val="22"/>
          <w:szCs w:val="22"/>
          <w:lang w:val="ro-RO"/>
        </w:rPr>
      </w:pPr>
      <w:r w:rsidRPr="00E0488D">
        <w:rPr>
          <w:i/>
          <w:sz w:val="22"/>
          <w:szCs w:val="22"/>
          <w:u w:val="single"/>
          <w:lang w:val="ro-RO"/>
        </w:rPr>
        <w:t>Obiective operaționale atinse</w:t>
      </w:r>
    </w:p>
    <w:p w:rsidR="00CA35F4" w:rsidRPr="00E0488D" w:rsidRDefault="00CA35F4" w:rsidP="00BC2B57">
      <w:pPr>
        <w:pStyle w:val="BulletLevel1"/>
      </w:pPr>
      <w:r w:rsidRPr="00E0488D">
        <w:t xml:space="preserve">OW3 – Deblocarea barierelor pentru eficiență operațională </w:t>
      </w:r>
    </w:p>
    <w:p w:rsidR="00CA35F4" w:rsidRPr="00E0488D" w:rsidRDefault="00CA35F4" w:rsidP="00BC2B57">
      <w:pPr>
        <w:pStyle w:val="BulletLevel1"/>
      </w:pPr>
      <w:r w:rsidRPr="00E0488D">
        <w:t xml:space="preserve">OW4 – Reducerea costurilor prin eficiență operațională </w:t>
      </w:r>
    </w:p>
    <w:p w:rsidR="00CA35F4" w:rsidRPr="00E0488D" w:rsidRDefault="00CA35F4" w:rsidP="00BC2B57">
      <w:pPr>
        <w:pStyle w:val="BulletLevel1"/>
      </w:pPr>
      <w:r w:rsidRPr="00E0488D">
        <w:t xml:space="preserve">OW5 – Îmbunătățirea coordonării la nivel guvernamental și înlesnirea investițiilor </w:t>
      </w:r>
    </w:p>
    <w:p w:rsidR="00CA35F4" w:rsidRPr="00E0488D" w:rsidRDefault="00CA35F4" w:rsidP="00BC2B57">
      <w:pPr>
        <w:pStyle w:val="BulletLevel1"/>
      </w:pPr>
      <w:r w:rsidRPr="00E0488D">
        <w:t xml:space="preserve">OW7 – Reducerea întârzierilor procedurale pentru transportul naval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Toate autoritățile portuare și de la punctele de frontieră.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A7286">
      <w:pPr>
        <w:spacing w:after="120" w:line="276" w:lineRule="auto"/>
        <w:rPr>
          <w:sz w:val="22"/>
          <w:szCs w:val="22"/>
          <w:lang w:val="ro-RO"/>
        </w:rPr>
      </w:pPr>
      <w:r w:rsidRPr="00E0488D">
        <w:rPr>
          <w:sz w:val="22"/>
          <w:szCs w:val="22"/>
          <w:lang w:val="ro-RO"/>
        </w:rPr>
        <w:t>Ar trebui acționat imediat pentru rezolvarea acestor probleme.</w:t>
      </w:r>
    </w:p>
    <w:p w:rsidR="00B4550A" w:rsidRPr="00E0488D" w:rsidRDefault="00B4550A" w:rsidP="002A7286">
      <w:pPr>
        <w:spacing w:after="120" w:line="276" w:lineRule="auto"/>
        <w:rPr>
          <w:sz w:val="22"/>
          <w:szCs w:val="22"/>
          <w:lang w:val="ro-RO"/>
        </w:rPr>
      </w:pPr>
    </w:p>
    <w:p w:rsidR="00B4550A" w:rsidRPr="00E0488D" w:rsidRDefault="00B4550A" w:rsidP="002A7286">
      <w:pPr>
        <w:spacing w:after="120" w:line="276" w:lineRule="auto"/>
        <w:rPr>
          <w:b/>
          <w:sz w:val="22"/>
          <w:szCs w:val="22"/>
          <w:lang w:val="ro-RO"/>
        </w:rPr>
      </w:pPr>
      <w:r w:rsidRPr="00E0488D">
        <w:rPr>
          <w:b/>
          <w:sz w:val="22"/>
          <w:szCs w:val="22"/>
          <w:lang w:val="ro-RO"/>
        </w:rPr>
        <w:t xml:space="preserve">Instruire cu privire la probleme de siguranță </w:t>
      </w:r>
    </w:p>
    <w:p w:rsidR="00B4550A" w:rsidRPr="00E0488D" w:rsidRDefault="00B4550A" w:rsidP="002A7286">
      <w:pPr>
        <w:pStyle w:val="ListParagraph"/>
        <w:spacing w:after="120" w:line="276" w:lineRule="auto"/>
        <w:ind w:left="0"/>
        <w:rPr>
          <w:i/>
          <w:sz w:val="22"/>
          <w:szCs w:val="22"/>
          <w:u w:val="single"/>
          <w:lang w:val="ro-RO"/>
        </w:rPr>
      </w:pPr>
      <w:r w:rsidRPr="00E0488D">
        <w:rPr>
          <w:i/>
          <w:sz w:val="22"/>
          <w:szCs w:val="22"/>
          <w:u w:val="single"/>
          <w:lang w:val="ro-RO"/>
        </w:rPr>
        <w:t>Descrierea propunerii:</w:t>
      </w:r>
    </w:p>
    <w:p w:rsidR="00B4550A" w:rsidRPr="00E0488D" w:rsidRDefault="00B4550A" w:rsidP="002A7286">
      <w:pPr>
        <w:spacing w:after="120" w:line="276" w:lineRule="auto"/>
        <w:rPr>
          <w:sz w:val="22"/>
          <w:szCs w:val="22"/>
          <w:lang w:val="ro-RO"/>
        </w:rPr>
      </w:pPr>
      <w:r w:rsidRPr="00E0488D">
        <w:rPr>
          <w:sz w:val="22"/>
          <w:szCs w:val="22"/>
          <w:lang w:val="ro-RO"/>
        </w:rPr>
        <w:t xml:space="preserve">Dezvoltarea unui plan de siguranță care să includă instruire cu privire la reducerea accidentelor. </w:t>
      </w:r>
    </w:p>
    <w:p w:rsidR="00B4550A" w:rsidRPr="00E0488D" w:rsidRDefault="00B4550A" w:rsidP="002A7286">
      <w:pPr>
        <w:spacing w:after="120" w:line="276" w:lineRule="auto"/>
        <w:rPr>
          <w:i/>
          <w:sz w:val="22"/>
          <w:szCs w:val="22"/>
          <w:u w:val="single"/>
          <w:lang w:val="ro-RO"/>
        </w:rPr>
      </w:pPr>
      <w:r w:rsidRPr="00E0488D">
        <w:rPr>
          <w:i/>
          <w:sz w:val="22"/>
          <w:szCs w:val="22"/>
          <w:u w:val="single"/>
          <w:lang w:val="ro-RO"/>
        </w:rPr>
        <w:t>Probleme atinse:</w:t>
      </w:r>
    </w:p>
    <w:p w:rsidR="00B4550A" w:rsidRPr="00E0488D" w:rsidRDefault="00B4550A" w:rsidP="002A7286">
      <w:pPr>
        <w:spacing w:after="120" w:line="276" w:lineRule="auto"/>
        <w:rPr>
          <w:sz w:val="22"/>
          <w:szCs w:val="22"/>
          <w:lang w:val="ro-RO"/>
        </w:rPr>
      </w:pPr>
      <w:r w:rsidRPr="00E0488D">
        <w:rPr>
          <w:sz w:val="22"/>
          <w:szCs w:val="22"/>
          <w:lang w:val="ro-RO"/>
        </w:rPr>
        <w:t xml:space="preserve">Instruirea mai bună cu privire la siguranță va rezolva o parte din problemele legate de accidentele care au loc pe Dunăre. </w:t>
      </w:r>
    </w:p>
    <w:p w:rsidR="00CA35F4" w:rsidRPr="00E0488D" w:rsidRDefault="00CA35F4" w:rsidP="002A7286">
      <w:pPr>
        <w:spacing w:after="120" w:line="276" w:lineRule="auto"/>
        <w:jc w:val="both"/>
        <w:rPr>
          <w:sz w:val="22"/>
          <w:szCs w:val="22"/>
          <w:lang w:val="ro-RO"/>
        </w:rPr>
      </w:pPr>
      <w:r w:rsidRPr="00E0488D">
        <w:rPr>
          <w:i/>
          <w:sz w:val="22"/>
          <w:szCs w:val="22"/>
          <w:u w:val="single"/>
          <w:lang w:val="ro-RO"/>
        </w:rPr>
        <w:t>Obiective operaționale atinse</w:t>
      </w:r>
    </w:p>
    <w:p w:rsidR="00CA35F4" w:rsidRPr="00E0488D" w:rsidRDefault="00CA35F4" w:rsidP="00BC2B57">
      <w:pPr>
        <w:pStyle w:val="BulletLevel1"/>
      </w:pPr>
      <w:r w:rsidRPr="00E0488D">
        <w:t xml:space="preserve">OW3 – Deblocarea barierelor pentru eficiență operațională </w:t>
      </w:r>
    </w:p>
    <w:p w:rsidR="00CA35F4" w:rsidRPr="00E0488D" w:rsidRDefault="00CA35F4" w:rsidP="00BC2B57">
      <w:pPr>
        <w:pStyle w:val="BulletLevel1"/>
      </w:pPr>
      <w:r w:rsidRPr="00E0488D">
        <w:t xml:space="preserve">OW4 – Reducerea costurilor prin eficiență operațională </w:t>
      </w:r>
    </w:p>
    <w:p w:rsidR="00CA35F4" w:rsidRPr="00E0488D" w:rsidRDefault="00CA35F4" w:rsidP="00BC2B57">
      <w:pPr>
        <w:pStyle w:val="BulletLevel1"/>
      </w:pPr>
      <w:r w:rsidRPr="00E0488D">
        <w:t xml:space="preserve">OW8 – Reducerea numărului de accidente pe Dunăre și a costurilor generate de acestea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Unitatea de implementare:</w:t>
      </w:r>
    </w:p>
    <w:p w:rsidR="00B4550A" w:rsidRPr="00E0488D" w:rsidRDefault="00B4550A" w:rsidP="002A7286">
      <w:pPr>
        <w:spacing w:after="120" w:line="276" w:lineRule="auto"/>
        <w:rPr>
          <w:sz w:val="22"/>
          <w:szCs w:val="22"/>
          <w:lang w:val="ro-RO"/>
        </w:rPr>
      </w:pPr>
      <w:r w:rsidRPr="00E0488D">
        <w:rPr>
          <w:sz w:val="22"/>
          <w:szCs w:val="22"/>
          <w:lang w:val="ro-RO"/>
        </w:rPr>
        <w:t xml:space="preserve">ANR, Autoritatea Navală Română este responsabilă pentru siguranța navigației civile și ar trebui să fie responsabilă pentru acest lucru împreună cu furnizori de instruire autorizați. </w:t>
      </w:r>
    </w:p>
    <w:p w:rsidR="00B4550A" w:rsidRPr="00E0488D" w:rsidRDefault="00B4550A" w:rsidP="002A7286">
      <w:pPr>
        <w:spacing w:after="120" w:line="276" w:lineRule="auto"/>
        <w:rPr>
          <w:bCs/>
          <w:i/>
          <w:sz w:val="22"/>
          <w:szCs w:val="22"/>
          <w:u w:val="single"/>
          <w:lang w:val="ro-RO"/>
        </w:rPr>
      </w:pPr>
      <w:r w:rsidRPr="00E0488D">
        <w:rPr>
          <w:bCs/>
          <w:i/>
          <w:sz w:val="22"/>
          <w:szCs w:val="22"/>
          <w:u w:val="single"/>
          <w:lang w:val="ro-RO"/>
        </w:rPr>
        <w:t>Perioada de implementare:</w:t>
      </w:r>
    </w:p>
    <w:p w:rsidR="00B4550A" w:rsidRPr="00E0488D" w:rsidRDefault="00B4550A" w:rsidP="002A7286">
      <w:pPr>
        <w:pStyle w:val="Body"/>
        <w:spacing w:before="0" w:after="120"/>
        <w:ind w:left="0"/>
        <w:rPr>
          <w:i w:val="0"/>
          <w:lang w:val="ro-RO"/>
        </w:rPr>
      </w:pPr>
      <w:r w:rsidRPr="00E0488D">
        <w:rPr>
          <w:i w:val="0"/>
          <w:lang w:val="ro-RO"/>
        </w:rPr>
        <w:t>Imediat; deși ar trebui acordată atenție calității instruirii furnizate în prezent, cât și conținutului utilizat pentru a evalua dacă acestea sunt adecvate.</w:t>
      </w:r>
    </w:p>
    <w:p w:rsidR="00AC20EF" w:rsidRPr="00E0488D" w:rsidRDefault="00AC20EF" w:rsidP="002A7286">
      <w:pPr>
        <w:spacing w:after="120" w:line="276" w:lineRule="auto"/>
        <w:rPr>
          <w:sz w:val="22"/>
          <w:szCs w:val="22"/>
          <w:lang w:val="ro-RO"/>
        </w:rPr>
      </w:pPr>
      <w:r w:rsidRPr="00E0488D">
        <w:rPr>
          <w:i/>
          <w:lang w:val="ro-RO"/>
        </w:rPr>
        <w:br w:type="page"/>
      </w:r>
    </w:p>
    <w:p w:rsidR="00AC20EF" w:rsidRPr="00E0488D" w:rsidRDefault="00AC20EF" w:rsidP="00AC20EF">
      <w:pPr>
        <w:pStyle w:val="Body"/>
        <w:ind w:left="0"/>
        <w:rPr>
          <w:i w:val="0"/>
          <w:lang w:val="ro-RO"/>
        </w:rPr>
      </w:pPr>
    </w:p>
    <w:p w:rsidR="00B4550A" w:rsidRPr="00E0488D" w:rsidRDefault="00B4550A" w:rsidP="00BD59B2">
      <w:pPr>
        <w:pStyle w:val="Hdg2"/>
      </w:pPr>
      <w:bookmarkStart w:id="561" w:name="_Toc398279336"/>
      <w:bookmarkStart w:id="562" w:name="_Toc413060335"/>
      <w:r w:rsidRPr="00E0488D">
        <w:t>Rezumat al intervențiilor</w:t>
      </w:r>
      <w:bookmarkEnd w:id="561"/>
      <w:bookmarkEnd w:id="562"/>
      <w:r w:rsidRPr="00E0488D">
        <w:t xml:space="preserve"> </w:t>
      </w:r>
    </w:p>
    <w:p w:rsidR="00B4550A" w:rsidRPr="00E0488D" w:rsidRDefault="00B4550A" w:rsidP="002B7E09">
      <w:pPr>
        <w:pStyle w:val="NumberedParas"/>
      </w:pPr>
      <w:r w:rsidRPr="00E0488D">
        <w:t xml:space="preserve">Acest sector prezintă un rezumat al intervențiilor care au fost testate prin intermediul Modelului Național de Transport. </w:t>
      </w:r>
    </w:p>
    <w:p w:rsidR="00B4550A" w:rsidRPr="00E0488D" w:rsidRDefault="00B4550A" w:rsidP="00B4550A">
      <w:pPr>
        <w:spacing w:line="276" w:lineRule="auto"/>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963"/>
        <w:gridCol w:w="120"/>
        <w:gridCol w:w="1195"/>
        <w:gridCol w:w="1473"/>
        <w:gridCol w:w="1073"/>
        <w:gridCol w:w="1094"/>
        <w:gridCol w:w="1417"/>
        <w:gridCol w:w="1539"/>
      </w:tblGrid>
      <w:tr w:rsidR="004C7C0C" w:rsidRPr="00E0488D" w:rsidTr="0030066D">
        <w:trPr>
          <w:tblHeader/>
        </w:trPr>
        <w:tc>
          <w:tcPr>
            <w:tcW w:w="888" w:type="pct"/>
            <w:shd w:val="clear" w:color="auto" w:fill="B8CCE4" w:themeFill="accent1" w:themeFillTint="66"/>
            <w:vAlign w:val="center"/>
          </w:tcPr>
          <w:p w:rsidR="004C7C0C" w:rsidRPr="00E0488D" w:rsidRDefault="004C7C0C" w:rsidP="003C7FC8">
            <w:pPr>
              <w:spacing w:line="276" w:lineRule="auto"/>
              <w:rPr>
                <w:b/>
                <w:sz w:val="20"/>
                <w:szCs w:val="20"/>
                <w:lang w:val="ro-RO"/>
              </w:rPr>
            </w:pPr>
            <w:r w:rsidRPr="00E0488D">
              <w:rPr>
                <w:b/>
                <w:sz w:val="20"/>
                <w:szCs w:val="20"/>
                <w:lang w:val="ro-RO"/>
              </w:rPr>
              <w:t xml:space="preserve">Intervenție </w:t>
            </w:r>
          </w:p>
        </w:tc>
        <w:tc>
          <w:tcPr>
            <w:tcW w:w="541" w:type="pct"/>
            <w:gridSpan w:val="2"/>
            <w:shd w:val="clear" w:color="auto" w:fill="B8CCE4" w:themeFill="accent1" w:themeFillTint="66"/>
            <w:vAlign w:val="center"/>
          </w:tcPr>
          <w:p w:rsidR="004C7C0C" w:rsidRPr="00E0488D" w:rsidRDefault="004C7C0C" w:rsidP="004C7C0C">
            <w:pPr>
              <w:spacing w:line="276" w:lineRule="auto"/>
              <w:jc w:val="center"/>
              <w:rPr>
                <w:b/>
                <w:sz w:val="20"/>
                <w:szCs w:val="20"/>
                <w:lang w:val="ro-RO"/>
              </w:rPr>
            </w:pPr>
            <w:r w:rsidRPr="00E0488D">
              <w:rPr>
                <w:b/>
                <w:sz w:val="20"/>
                <w:szCs w:val="20"/>
                <w:lang w:val="ro-RO"/>
              </w:rPr>
              <w:t>Referință</w:t>
            </w:r>
          </w:p>
        </w:tc>
        <w:tc>
          <w:tcPr>
            <w:tcW w:w="541" w:type="pct"/>
            <w:shd w:val="clear" w:color="auto" w:fill="B8CCE4" w:themeFill="accent1" w:themeFillTint="66"/>
            <w:vAlign w:val="center"/>
          </w:tcPr>
          <w:p w:rsidR="004C7C0C" w:rsidRPr="00E0488D" w:rsidRDefault="004C7C0C" w:rsidP="003C7FC8">
            <w:pPr>
              <w:spacing w:line="276" w:lineRule="auto"/>
              <w:jc w:val="center"/>
              <w:rPr>
                <w:b/>
                <w:sz w:val="20"/>
                <w:szCs w:val="20"/>
                <w:lang w:val="ro-RO"/>
              </w:rPr>
            </w:pPr>
            <w:r w:rsidRPr="00E0488D">
              <w:rPr>
                <w:b/>
                <w:sz w:val="20"/>
                <w:szCs w:val="20"/>
                <w:lang w:val="ro-RO"/>
              </w:rPr>
              <w:t>Localizare</w:t>
            </w:r>
          </w:p>
        </w:tc>
        <w:tc>
          <w:tcPr>
            <w:tcW w:w="782" w:type="pct"/>
            <w:shd w:val="clear" w:color="auto" w:fill="B8CCE4" w:themeFill="accent1" w:themeFillTint="66"/>
            <w:vAlign w:val="center"/>
          </w:tcPr>
          <w:p w:rsidR="004C7C0C" w:rsidRPr="00E0488D" w:rsidRDefault="00B828CE" w:rsidP="003C7FC8">
            <w:pPr>
              <w:spacing w:line="276" w:lineRule="auto"/>
              <w:jc w:val="center"/>
              <w:rPr>
                <w:b/>
                <w:sz w:val="20"/>
                <w:szCs w:val="20"/>
                <w:lang w:val="ro-RO"/>
              </w:rPr>
            </w:pPr>
            <w:r w:rsidRPr="00E0488D">
              <w:rPr>
                <w:b/>
                <w:sz w:val="20"/>
                <w:szCs w:val="20"/>
                <w:lang w:val="ro-RO"/>
              </w:rPr>
              <w:t>Costuri neactualizate (m</w:t>
            </w:r>
            <w:r w:rsidRPr="00E0488D">
              <w:rPr>
                <w:b/>
                <w:bCs/>
                <w:sz w:val="22"/>
                <w:szCs w:val="22"/>
                <w:lang w:val="ro-RO"/>
              </w:rPr>
              <w:t>€, prețuri 2014)</w:t>
            </w:r>
            <w:r w:rsidRPr="00E0488D">
              <w:rPr>
                <w:b/>
                <w:sz w:val="20"/>
                <w:szCs w:val="20"/>
                <w:lang w:val="ro-RO"/>
              </w:rPr>
              <w:t xml:space="preserve"> </w:t>
            </w:r>
          </w:p>
        </w:tc>
        <w:tc>
          <w:tcPr>
            <w:tcW w:w="603" w:type="pct"/>
            <w:shd w:val="clear" w:color="auto" w:fill="B8CCE4" w:themeFill="accent1" w:themeFillTint="66"/>
            <w:vAlign w:val="center"/>
          </w:tcPr>
          <w:p w:rsidR="004C7C0C" w:rsidRPr="00E0488D" w:rsidRDefault="009C6421" w:rsidP="003C7FC8">
            <w:pPr>
              <w:spacing w:line="276" w:lineRule="auto"/>
              <w:jc w:val="center"/>
              <w:rPr>
                <w:b/>
                <w:sz w:val="20"/>
                <w:szCs w:val="20"/>
                <w:lang w:val="ro-RO"/>
              </w:rPr>
            </w:pPr>
            <w:r w:rsidRPr="00E0488D">
              <w:rPr>
                <w:b/>
                <w:sz w:val="20"/>
                <w:szCs w:val="20"/>
                <w:lang w:val="ro-RO"/>
              </w:rPr>
              <w:t>Beneficii</w:t>
            </w:r>
          </w:p>
        </w:tc>
        <w:tc>
          <w:tcPr>
            <w:tcW w:w="541" w:type="pct"/>
            <w:shd w:val="clear" w:color="auto" w:fill="B8CCE4" w:themeFill="accent1" w:themeFillTint="66"/>
            <w:vAlign w:val="center"/>
          </w:tcPr>
          <w:p w:rsidR="004C7C0C" w:rsidRPr="00E0488D" w:rsidRDefault="004C7C0C" w:rsidP="003C7FC8">
            <w:pPr>
              <w:spacing w:line="276" w:lineRule="auto"/>
              <w:jc w:val="center"/>
              <w:rPr>
                <w:b/>
                <w:sz w:val="20"/>
                <w:szCs w:val="20"/>
                <w:lang w:val="ro-RO"/>
              </w:rPr>
            </w:pPr>
            <w:r w:rsidRPr="00E0488D">
              <w:rPr>
                <w:b/>
                <w:sz w:val="20"/>
                <w:szCs w:val="20"/>
                <w:lang w:val="ro-RO"/>
              </w:rPr>
              <w:t>Raportul beneficiu cost</w:t>
            </w:r>
          </w:p>
        </w:tc>
        <w:tc>
          <w:tcPr>
            <w:tcW w:w="541" w:type="pct"/>
            <w:shd w:val="clear" w:color="auto" w:fill="B8CCE4" w:themeFill="accent1" w:themeFillTint="66"/>
            <w:vAlign w:val="center"/>
          </w:tcPr>
          <w:p w:rsidR="004C7C0C" w:rsidRPr="00E0488D" w:rsidRDefault="004C7C0C" w:rsidP="003C7FC8">
            <w:pPr>
              <w:spacing w:line="276" w:lineRule="auto"/>
              <w:jc w:val="center"/>
              <w:rPr>
                <w:b/>
                <w:sz w:val="20"/>
                <w:szCs w:val="20"/>
                <w:lang w:val="ro-RO"/>
              </w:rPr>
            </w:pPr>
            <w:r w:rsidRPr="00E0488D">
              <w:rPr>
                <w:b/>
                <w:sz w:val="20"/>
                <w:szCs w:val="20"/>
                <w:lang w:val="ro-RO"/>
              </w:rPr>
              <w:t>Rata Internă de Rentabilitate Economică</w:t>
            </w:r>
          </w:p>
        </w:tc>
        <w:tc>
          <w:tcPr>
            <w:tcW w:w="563" w:type="pct"/>
            <w:shd w:val="clear" w:color="auto" w:fill="B8CCE4" w:themeFill="accent1" w:themeFillTint="66"/>
            <w:vAlign w:val="center"/>
          </w:tcPr>
          <w:p w:rsidR="004C7C0C" w:rsidRPr="00E0488D" w:rsidRDefault="004C7C0C" w:rsidP="003C7FC8">
            <w:pPr>
              <w:spacing w:line="276" w:lineRule="auto"/>
              <w:jc w:val="center"/>
              <w:rPr>
                <w:b/>
                <w:sz w:val="20"/>
                <w:szCs w:val="20"/>
                <w:lang w:val="ro-RO"/>
              </w:rPr>
            </w:pPr>
            <w:r w:rsidRPr="00E0488D">
              <w:rPr>
                <w:b/>
                <w:sz w:val="20"/>
                <w:szCs w:val="20"/>
                <w:lang w:val="ro-RO"/>
              </w:rPr>
              <w:t>Recomandare Master Plan</w:t>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Construcția unui nou terminal de containere la Constanța (III &amp; IVS)</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6.4.3</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Constanța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€351,1m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€452m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2,02</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8,9%</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4C7C0C">
            <w:pPr>
              <w:spacing w:line="276" w:lineRule="auto"/>
              <w:rPr>
                <w:sz w:val="20"/>
                <w:szCs w:val="20"/>
                <w:lang w:val="ro-RO"/>
              </w:rPr>
            </w:pPr>
            <w:r w:rsidRPr="00E0488D">
              <w:rPr>
                <w:sz w:val="20"/>
                <w:szCs w:val="20"/>
                <w:lang w:val="ro-RO"/>
              </w:rPr>
              <w:t xml:space="preserve">Dezvoltarea unui terminal cargo în port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6.4.12</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Tulcea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€10,15m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€6m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0,59</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-1,1%</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r w:rsidRPr="00E0488D">
              <w:rPr>
                <w:rStyle w:val="FootnoteReference"/>
                <w:sz w:val="20"/>
                <w:szCs w:val="20"/>
                <w:lang w:val="ro-RO"/>
              </w:rPr>
              <w:footnoteReference w:id="30"/>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Îmbunătățirea </w:t>
            </w:r>
          </w:p>
          <w:p w:rsidR="005A4E29" w:rsidRPr="00E0488D" w:rsidRDefault="005A4E29" w:rsidP="003C7FC8">
            <w:pPr>
              <w:spacing w:line="276" w:lineRule="auto"/>
              <w:rPr>
                <w:sz w:val="20"/>
                <w:szCs w:val="20"/>
                <w:lang w:val="ro-RO"/>
              </w:rPr>
            </w:pPr>
            <w:r w:rsidRPr="00E0488D">
              <w:rPr>
                <w:sz w:val="20"/>
                <w:szCs w:val="20"/>
                <w:lang w:val="ro-RO"/>
              </w:rPr>
              <w:t xml:space="preserve">serviciilor  existente de transport călători  cu feribotul, pentru transportul de la Tulcea la Sulina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6.4.20</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Tulcea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€19,2m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€28,2m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1,47</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4,4%</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Construcția unui nou terminal trimodal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6.4.28</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Galați</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€14,4m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€17m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0,94</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4,7%</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r w:rsidRPr="00E0488D">
              <w:rPr>
                <w:rStyle w:val="FootnoteReference"/>
                <w:b/>
                <w:sz w:val="20"/>
                <w:szCs w:val="20"/>
                <w:lang w:val="ro-RO"/>
              </w:rPr>
              <w:footnoteReference w:id="31"/>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Modernizarea terminalelor de mărfuri solide existente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6.4.37</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Galați</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€17,6m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€359m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32,89</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39,9%</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Dezvoltarea infrastructurii</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6.4.47</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Cernavodă</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€6,9m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€30m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6,98</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22,4%</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Modernizarea infrastructurii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6.4.54</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Basarabi</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€3,51m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€1,63m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0,46</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1,2%</w:t>
            </w:r>
          </w:p>
        </w:tc>
        <w:tc>
          <w:tcPr>
            <w:tcW w:w="563" w:type="pct"/>
            <w:vAlign w:val="center"/>
          </w:tcPr>
          <w:p w:rsidR="005A4E29" w:rsidRPr="00E0488D" w:rsidRDefault="005A4E29" w:rsidP="003C7FC8">
            <w:pPr>
              <w:spacing w:line="276" w:lineRule="auto"/>
              <w:jc w:val="center"/>
              <w:rPr>
                <w:b/>
                <w:color w:val="FF0000"/>
                <w:sz w:val="20"/>
                <w:szCs w:val="20"/>
                <w:lang w:val="ro-RO"/>
              </w:rPr>
            </w:pPr>
            <w:r w:rsidRPr="00E0488D">
              <w:rPr>
                <w:b/>
                <w:color w:val="FF0000"/>
                <w:sz w:val="20"/>
                <w:szCs w:val="20"/>
                <w:lang w:val="ro-RO"/>
              </w:rPr>
              <w:sym w:font="Wingdings" w:char="F0FB"/>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Dezvoltarea infrastructurii de operare a mărfurilor solide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6.4.61</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Oltenița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€5,6m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€103m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29,35</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30,1%</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Construcția unui nou terminal trimodal</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6.4.70</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Giurgiu</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€6,8m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€5,8m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0,56</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1,4%</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Infrastructură și lucrări de modernizare</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6.4.78</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Giurgiu</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€4,3m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€48m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17,53</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24,3%</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eastAsia="en-GB"/>
              </w:rPr>
              <w:t xml:space="preserve">Modernizarea și reabilitarea infrastructurii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6.4.87</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Corabia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€4,5m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€31m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11,04</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25,1%</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Construcția unui nou terminal trimodal</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6.4.104</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Drobeta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€5,2m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€9,7m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1,11</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5,6%</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Dezvoltarea infrastructurii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6.4.112</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Drobeta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€17,3m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€128m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11,68</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22,8%</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Modernizarea portului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6.4.122</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Orșova</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€7,8m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€63m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12,70</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24,8%</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Dezvoltarea infrastructurii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6.4.132</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Moldova Veche</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€3,7m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€3m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1,51</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7,2%</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FF0000"/>
                <w:sz w:val="20"/>
                <w:szCs w:val="20"/>
                <w:lang w:val="ro-RO"/>
              </w:rPr>
              <w:sym w:font="Wingdings" w:char="F0FB"/>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Îmbunătățirea navigabilității pe Dunăre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6.4.142</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Dunăre</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€136m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€777,7m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4,70</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19,6%</w:t>
            </w:r>
          </w:p>
        </w:tc>
        <w:tc>
          <w:tcPr>
            <w:tcW w:w="563" w:type="pct"/>
            <w:vAlign w:val="center"/>
          </w:tcPr>
          <w:p w:rsidR="005A4E29" w:rsidRPr="00E0488D" w:rsidRDefault="005A4E29" w:rsidP="003C7FC8">
            <w:pPr>
              <w:spacing w:line="276" w:lineRule="auto"/>
              <w:jc w:val="center"/>
              <w:rPr>
                <w:b/>
                <w:color w:val="00B050"/>
                <w:sz w:val="20"/>
                <w:szCs w:val="20"/>
                <w:lang w:val="ro-RO"/>
              </w:rPr>
            </w:pPr>
            <w:r w:rsidRPr="00E0488D">
              <w:rPr>
                <w:b/>
                <w:color w:val="00B050"/>
                <w:sz w:val="20"/>
                <w:szCs w:val="20"/>
                <w:lang w:val="ro-RO"/>
              </w:rPr>
              <w:sym w:font="Wingdings" w:char="F0FC"/>
            </w:r>
          </w:p>
        </w:tc>
      </w:tr>
      <w:tr w:rsidR="005A4E29" w:rsidRPr="00E0488D" w:rsidTr="0030066D">
        <w:tc>
          <w:tcPr>
            <w:tcW w:w="888" w:type="pct"/>
            <w:vAlign w:val="center"/>
          </w:tcPr>
          <w:p w:rsidR="005A4E29" w:rsidRPr="00E0488D" w:rsidRDefault="005A4E29" w:rsidP="003C7FC8">
            <w:pPr>
              <w:spacing w:line="276" w:lineRule="auto"/>
              <w:rPr>
                <w:sz w:val="20"/>
                <w:szCs w:val="20"/>
                <w:lang w:val="ro-RO"/>
              </w:rPr>
            </w:pPr>
            <w:r w:rsidRPr="00E0488D">
              <w:rPr>
                <w:sz w:val="20"/>
                <w:szCs w:val="20"/>
                <w:lang w:val="ro-RO"/>
              </w:rPr>
              <w:t xml:space="preserve">Crearea Canalului București – Dunăre </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6.4.150</w:t>
            </w:r>
          </w:p>
        </w:tc>
        <w:tc>
          <w:tcPr>
            <w:tcW w:w="541" w:type="pct"/>
            <w:vAlign w:val="center"/>
          </w:tcPr>
          <w:p w:rsidR="005A4E29" w:rsidRPr="00E0488D" w:rsidRDefault="005A4E29" w:rsidP="003C7FC8">
            <w:pPr>
              <w:spacing w:line="276" w:lineRule="auto"/>
              <w:jc w:val="center"/>
              <w:rPr>
                <w:sz w:val="20"/>
                <w:szCs w:val="20"/>
                <w:lang w:val="ro-RO"/>
              </w:rPr>
            </w:pPr>
            <w:r w:rsidRPr="00E0488D">
              <w:rPr>
                <w:sz w:val="20"/>
                <w:szCs w:val="20"/>
                <w:lang w:val="ro-RO"/>
              </w:rPr>
              <w:t>Dunăre –București</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€939m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€891,1m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0,95</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4,7%</w:t>
            </w:r>
          </w:p>
        </w:tc>
        <w:tc>
          <w:tcPr>
            <w:tcW w:w="563" w:type="pct"/>
            <w:vAlign w:val="center"/>
          </w:tcPr>
          <w:p w:rsidR="005A4E29" w:rsidRPr="00E0488D" w:rsidRDefault="005A4E29" w:rsidP="003C7FC8">
            <w:pPr>
              <w:spacing w:line="276" w:lineRule="auto"/>
              <w:jc w:val="center"/>
              <w:rPr>
                <w:b/>
                <w:color w:val="FF0000"/>
                <w:sz w:val="20"/>
                <w:szCs w:val="20"/>
                <w:lang w:val="ro-RO"/>
              </w:rPr>
            </w:pPr>
            <w:r w:rsidRPr="00E0488D">
              <w:rPr>
                <w:b/>
                <w:color w:val="FF0000"/>
                <w:sz w:val="20"/>
                <w:szCs w:val="20"/>
                <w:lang w:val="ro-RO"/>
              </w:rPr>
              <w:sym w:font="Wingdings" w:char="F0FB"/>
            </w:r>
          </w:p>
        </w:tc>
      </w:tr>
      <w:tr w:rsidR="005A4E29" w:rsidRPr="00E0488D" w:rsidTr="0030066D">
        <w:tc>
          <w:tcPr>
            <w:tcW w:w="888" w:type="pct"/>
          </w:tcPr>
          <w:p w:rsidR="005A4E29" w:rsidRPr="00E0488D" w:rsidRDefault="005A4E29" w:rsidP="00313BD8">
            <w:pPr>
              <w:spacing w:line="276" w:lineRule="auto"/>
              <w:rPr>
                <w:sz w:val="22"/>
                <w:szCs w:val="22"/>
                <w:lang w:val="ro-RO"/>
              </w:rPr>
            </w:pPr>
            <w:r w:rsidRPr="00E0488D">
              <w:rPr>
                <w:sz w:val="22"/>
                <w:szCs w:val="22"/>
                <w:lang w:val="ro-RO"/>
              </w:rPr>
              <w:t>Îmbunătățiri pentru Canalul Sulina</w:t>
            </w:r>
          </w:p>
        </w:tc>
        <w:tc>
          <w:tcPr>
            <w:tcW w:w="541" w:type="pct"/>
            <w:gridSpan w:val="2"/>
          </w:tcPr>
          <w:p w:rsidR="005A4E29" w:rsidRPr="00E0488D" w:rsidRDefault="005A4E29" w:rsidP="00313BD8">
            <w:pPr>
              <w:spacing w:line="276" w:lineRule="auto"/>
              <w:rPr>
                <w:sz w:val="22"/>
                <w:szCs w:val="22"/>
                <w:lang w:val="ro-RO"/>
              </w:rPr>
            </w:pPr>
            <w:r w:rsidRPr="00E0488D">
              <w:rPr>
                <w:sz w:val="22"/>
                <w:szCs w:val="22"/>
                <w:lang w:val="ro-RO"/>
              </w:rPr>
              <w:t>6.4.167</w:t>
            </w:r>
          </w:p>
        </w:tc>
        <w:tc>
          <w:tcPr>
            <w:tcW w:w="541" w:type="pct"/>
          </w:tcPr>
          <w:p w:rsidR="005A4E29" w:rsidRPr="00E0488D" w:rsidRDefault="005A4E29" w:rsidP="00313BD8">
            <w:pPr>
              <w:spacing w:line="276" w:lineRule="auto"/>
              <w:rPr>
                <w:sz w:val="22"/>
                <w:szCs w:val="22"/>
                <w:lang w:val="ro-RO"/>
              </w:rPr>
            </w:pPr>
            <w:r w:rsidRPr="00E0488D">
              <w:rPr>
                <w:sz w:val="22"/>
                <w:szCs w:val="22"/>
                <w:lang w:val="ro-RO"/>
              </w:rPr>
              <w:t xml:space="preserve">Canalul Sulina </w:t>
            </w:r>
          </w:p>
        </w:tc>
        <w:tc>
          <w:tcPr>
            <w:tcW w:w="782"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€20,5m</w:t>
            </w:r>
          </w:p>
        </w:tc>
        <w:tc>
          <w:tcPr>
            <w:tcW w:w="603"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€84m</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1,55</w:t>
            </w:r>
          </w:p>
        </w:tc>
        <w:tc>
          <w:tcPr>
            <w:tcW w:w="541" w:type="pct"/>
            <w:vAlign w:val="center"/>
          </w:tcPr>
          <w:p w:rsidR="005A4E29" w:rsidRPr="00E0488D" w:rsidRDefault="005A4E29" w:rsidP="00313BD8">
            <w:pPr>
              <w:spacing w:line="276" w:lineRule="auto"/>
              <w:jc w:val="right"/>
              <w:rPr>
                <w:sz w:val="22"/>
                <w:szCs w:val="22"/>
                <w:lang w:val="ro-RO"/>
              </w:rPr>
            </w:pPr>
            <w:r w:rsidRPr="00E0488D">
              <w:rPr>
                <w:sz w:val="22"/>
                <w:szCs w:val="22"/>
                <w:lang w:val="ro-RO"/>
              </w:rPr>
              <w:t>9,51%</w:t>
            </w:r>
          </w:p>
        </w:tc>
        <w:tc>
          <w:tcPr>
            <w:tcW w:w="563" w:type="pct"/>
            <w:vAlign w:val="center"/>
          </w:tcPr>
          <w:p w:rsidR="005A4E29" w:rsidRPr="00E0488D" w:rsidRDefault="005A4E29" w:rsidP="00313BD8">
            <w:pPr>
              <w:spacing w:line="276" w:lineRule="auto"/>
              <w:jc w:val="center"/>
              <w:rPr>
                <w:b/>
                <w:color w:val="FF0000"/>
                <w:sz w:val="22"/>
                <w:szCs w:val="22"/>
                <w:lang w:val="ro-RO"/>
              </w:rPr>
            </w:pPr>
            <w:r w:rsidRPr="00E0488D">
              <w:rPr>
                <w:b/>
                <w:color w:val="00B050"/>
                <w:sz w:val="22"/>
                <w:szCs w:val="22"/>
                <w:lang w:val="ro-RO"/>
              </w:rPr>
              <w:sym w:font="Wingdings" w:char="F0FC"/>
            </w:r>
          </w:p>
        </w:tc>
      </w:tr>
      <w:tr w:rsidR="00B828CE" w:rsidRPr="00E0488D" w:rsidTr="0030066D">
        <w:tc>
          <w:tcPr>
            <w:tcW w:w="5000" w:type="pct"/>
            <w:gridSpan w:val="9"/>
          </w:tcPr>
          <w:p w:rsidR="00B828CE" w:rsidRPr="00E0488D" w:rsidRDefault="00B828CE" w:rsidP="00313BD8">
            <w:pPr>
              <w:spacing w:line="276" w:lineRule="auto"/>
              <w:jc w:val="center"/>
              <w:rPr>
                <w:b/>
                <w:color w:val="FF0000"/>
                <w:sz w:val="22"/>
                <w:szCs w:val="22"/>
                <w:lang w:val="ro-RO"/>
              </w:rPr>
            </w:pPr>
            <w:r w:rsidRPr="00E0488D">
              <w:rPr>
                <w:b/>
                <w:color w:val="FF0000"/>
                <w:sz w:val="22"/>
                <w:szCs w:val="22"/>
                <w:lang w:val="ro-RO"/>
              </w:rPr>
              <w:t xml:space="preserve">Proiect recomandat care nu a atins punctajul necesar trecerii pragului de includere </w:t>
            </w:r>
          </w:p>
        </w:tc>
      </w:tr>
      <w:tr w:rsidR="00B828CE" w:rsidRPr="00E0488D" w:rsidTr="0030066D">
        <w:tc>
          <w:tcPr>
            <w:tcW w:w="888" w:type="pct"/>
          </w:tcPr>
          <w:p w:rsidR="00B828CE" w:rsidRPr="00E0488D" w:rsidRDefault="00B828CE" w:rsidP="00313BD8">
            <w:pPr>
              <w:spacing w:line="276" w:lineRule="auto"/>
              <w:rPr>
                <w:sz w:val="22"/>
                <w:szCs w:val="22"/>
                <w:lang w:val="ro-RO"/>
              </w:rPr>
            </w:pPr>
            <w:r w:rsidRPr="00E0488D">
              <w:rPr>
                <w:sz w:val="22"/>
                <w:szCs w:val="22"/>
                <w:lang w:val="ro-RO"/>
              </w:rPr>
              <w:t>Dezvoltarea infrastructurii de operare mărfuri vrac solid</w:t>
            </w:r>
          </w:p>
        </w:tc>
        <w:tc>
          <w:tcPr>
            <w:tcW w:w="481" w:type="pct"/>
          </w:tcPr>
          <w:p w:rsidR="00B828CE" w:rsidRPr="00E0488D" w:rsidRDefault="00B828CE" w:rsidP="00313BD8">
            <w:pPr>
              <w:spacing w:line="276" w:lineRule="auto"/>
              <w:rPr>
                <w:sz w:val="22"/>
                <w:szCs w:val="22"/>
                <w:lang w:val="ro-RO"/>
              </w:rPr>
            </w:pPr>
            <w:r w:rsidRPr="00E0488D">
              <w:rPr>
                <w:sz w:val="22"/>
                <w:szCs w:val="22"/>
                <w:lang w:val="ro-RO"/>
              </w:rPr>
              <w:t>6.4.96</w:t>
            </w:r>
          </w:p>
        </w:tc>
        <w:tc>
          <w:tcPr>
            <w:tcW w:w="601" w:type="pct"/>
            <w:gridSpan w:val="2"/>
          </w:tcPr>
          <w:p w:rsidR="00B828CE" w:rsidRPr="00E0488D" w:rsidRDefault="00B828CE" w:rsidP="00313BD8">
            <w:pPr>
              <w:spacing w:line="276" w:lineRule="auto"/>
              <w:rPr>
                <w:sz w:val="22"/>
                <w:szCs w:val="22"/>
                <w:lang w:val="ro-RO"/>
              </w:rPr>
            </w:pPr>
            <w:r w:rsidRPr="00E0488D">
              <w:rPr>
                <w:sz w:val="22"/>
                <w:szCs w:val="22"/>
                <w:lang w:val="ro-RO"/>
              </w:rPr>
              <w:t>Calafat</w:t>
            </w:r>
          </w:p>
        </w:tc>
        <w:tc>
          <w:tcPr>
            <w:tcW w:w="782" w:type="pct"/>
            <w:vAlign w:val="center"/>
          </w:tcPr>
          <w:p w:rsidR="00B828CE" w:rsidRPr="00E0488D" w:rsidRDefault="00B828CE" w:rsidP="00313BD8">
            <w:pPr>
              <w:spacing w:line="276" w:lineRule="auto"/>
              <w:jc w:val="right"/>
              <w:rPr>
                <w:sz w:val="22"/>
                <w:szCs w:val="22"/>
                <w:lang w:val="ro-RO"/>
              </w:rPr>
            </w:pPr>
            <w:r w:rsidRPr="00E0488D">
              <w:rPr>
                <w:sz w:val="22"/>
                <w:szCs w:val="22"/>
                <w:lang w:val="ro-RO"/>
              </w:rPr>
              <w:t>€20m</w:t>
            </w:r>
          </w:p>
        </w:tc>
        <w:tc>
          <w:tcPr>
            <w:tcW w:w="603" w:type="pct"/>
            <w:vAlign w:val="center"/>
          </w:tcPr>
          <w:p w:rsidR="00B828CE" w:rsidRPr="00E0488D" w:rsidRDefault="00B828CE" w:rsidP="00313BD8">
            <w:pPr>
              <w:spacing w:line="276" w:lineRule="auto"/>
              <w:jc w:val="right"/>
              <w:rPr>
                <w:sz w:val="22"/>
                <w:szCs w:val="22"/>
                <w:lang w:val="ro-RO"/>
              </w:rPr>
            </w:pPr>
            <w:r w:rsidRPr="00E0488D">
              <w:rPr>
                <w:sz w:val="22"/>
                <w:szCs w:val="22"/>
                <w:lang w:val="ro-RO"/>
              </w:rPr>
              <w:t>€7m</w:t>
            </w:r>
          </w:p>
        </w:tc>
        <w:tc>
          <w:tcPr>
            <w:tcW w:w="541" w:type="pct"/>
            <w:vAlign w:val="center"/>
          </w:tcPr>
          <w:p w:rsidR="00B828CE" w:rsidRPr="00E0488D" w:rsidRDefault="00B828CE" w:rsidP="005A4E29">
            <w:pPr>
              <w:spacing w:line="276" w:lineRule="auto"/>
              <w:jc w:val="right"/>
              <w:rPr>
                <w:sz w:val="22"/>
                <w:szCs w:val="22"/>
                <w:lang w:val="ro-RO"/>
              </w:rPr>
            </w:pPr>
            <w:r w:rsidRPr="00E0488D">
              <w:rPr>
                <w:sz w:val="22"/>
                <w:szCs w:val="22"/>
                <w:lang w:val="ro-RO"/>
              </w:rPr>
              <w:t>0</w:t>
            </w:r>
            <w:r w:rsidR="005A4E29" w:rsidRPr="00E0488D">
              <w:rPr>
                <w:sz w:val="22"/>
                <w:szCs w:val="22"/>
                <w:lang w:val="ro-RO"/>
              </w:rPr>
              <w:t>,</w:t>
            </w:r>
            <w:r w:rsidRPr="00E0488D">
              <w:rPr>
                <w:sz w:val="22"/>
                <w:szCs w:val="22"/>
                <w:lang w:val="ro-RO"/>
              </w:rPr>
              <w:t>60</w:t>
            </w:r>
          </w:p>
        </w:tc>
        <w:tc>
          <w:tcPr>
            <w:tcW w:w="541" w:type="pct"/>
            <w:vAlign w:val="center"/>
          </w:tcPr>
          <w:p w:rsidR="00B828CE" w:rsidRPr="00E0488D" w:rsidRDefault="00B828CE" w:rsidP="005A4E29">
            <w:pPr>
              <w:spacing w:line="276" w:lineRule="auto"/>
              <w:jc w:val="right"/>
              <w:rPr>
                <w:sz w:val="22"/>
                <w:szCs w:val="22"/>
                <w:lang w:val="ro-RO"/>
              </w:rPr>
            </w:pPr>
            <w:r w:rsidRPr="00E0488D">
              <w:rPr>
                <w:sz w:val="22"/>
                <w:szCs w:val="22"/>
                <w:lang w:val="ro-RO"/>
              </w:rPr>
              <w:t>2</w:t>
            </w:r>
            <w:r w:rsidR="005A4E29" w:rsidRPr="00E0488D">
              <w:rPr>
                <w:sz w:val="22"/>
                <w:szCs w:val="22"/>
                <w:lang w:val="ro-RO"/>
              </w:rPr>
              <w:t>,</w:t>
            </w:r>
            <w:r w:rsidRPr="00E0488D">
              <w:rPr>
                <w:sz w:val="22"/>
                <w:szCs w:val="22"/>
                <w:lang w:val="ro-RO"/>
              </w:rPr>
              <w:t>4%</w:t>
            </w:r>
          </w:p>
        </w:tc>
        <w:tc>
          <w:tcPr>
            <w:tcW w:w="563" w:type="pct"/>
            <w:vAlign w:val="center"/>
          </w:tcPr>
          <w:p w:rsidR="00B828CE" w:rsidRPr="00E0488D" w:rsidRDefault="00B828CE" w:rsidP="00313BD8">
            <w:pPr>
              <w:spacing w:line="276" w:lineRule="auto"/>
              <w:jc w:val="center"/>
              <w:rPr>
                <w:b/>
                <w:color w:val="FF0000"/>
                <w:sz w:val="22"/>
                <w:szCs w:val="22"/>
                <w:lang w:val="ro-RO"/>
              </w:rPr>
            </w:pPr>
            <w:r w:rsidRPr="00E0488D">
              <w:rPr>
                <w:b/>
                <w:color w:val="00B050"/>
                <w:sz w:val="22"/>
                <w:szCs w:val="22"/>
                <w:lang w:val="ro-RO"/>
              </w:rPr>
              <w:sym w:font="Wingdings" w:char="F0FC"/>
            </w:r>
          </w:p>
        </w:tc>
      </w:tr>
    </w:tbl>
    <w:p w:rsidR="00B4550A" w:rsidRPr="00E0488D" w:rsidRDefault="005A4E29" w:rsidP="002B7E09">
      <w:pPr>
        <w:pStyle w:val="NumberedParas"/>
      </w:pPr>
      <w:r w:rsidRPr="00E0488D">
        <w:t>Cea mai mare parte a infrastructurii portuare din România a fost proiectată original pentru operarea materialelor pentru industria grea, cum ar fi industria siderurgică. Eco</w:t>
      </w:r>
      <w:r w:rsidR="00172B65" w:rsidRPr="00E0488D">
        <w:t>nomia Români</w:t>
      </w:r>
      <w:r w:rsidRPr="00E0488D">
        <w:t>e</w:t>
      </w:r>
      <w:r w:rsidR="00172B65" w:rsidRPr="00E0488D">
        <w:t>i</w:t>
      </w:r>
      <w:r w:rsidRPr="00E0488D">
        <w:t xml:space="preserve"> este în schimbare iar aceste industrii grele se af</w:t>
      </w:r>
      <w:r w:rsidR="009C6421">
        <w:t>l</w:t>
      </w:r>
      <w:r w:rsidRPr="00E0488D">
        <w:t xml:space="preserve">ă într-un </w:t>
      </w:r>
      <w:r w:rsidR="00172B65" w:rsidRPr="00E0488D">
        <w:t xml:space="preserve"> proces de scădere, </w:t>
      </w:r>
      <w:r w:rsidRPr="00E0488D">
        <w:t xml:space="preserve">consecința acestui fapt pentru porturi </w:t>
      </w:r>
      <w:r w:rsidR="00172B65" w:rsidRPr="00E0488D">
        <w:t xml:space="preserve">fiind </w:t>
      </w:r>
      <w:r w:rsidRPr="00E0488D">
        <w:t>că în momentul de față porturile oferă, într-o anumită măsură, un tip greșit de capacitate. În prezen</w:t>
      </w:r>
      <w:r w:rsidR="006609C9" w:rsidRPr="00E0488D">
        <w:t>t se pot containeriza mai multe tipuri de mărfuri ca niciodată, iar t</w:t>
      </w:r>
      <w:r w:rsidRPr="00E0488D">
        <w:t xml:space="preserve">ransportatorii preferă să folosească containerele </w:t>
      </w:r>
      <w:r w:rsidR="006609C9" w:rsidRPr="00E0488D">
        <w:t xml:space="preserve">pentru că reprezintă un standard acceptat la nivel internațional. </w:t>
      </w:r>
      <w:r w:rsidR="00172B65" w:rsidRPr="00E0488D">
        <w:t>Prin urmare</w:t>
      </w:r>
      <w:r w:rsidR="006609C9" w:rsidRPr="00E0488D">
        <w:t xml:space="preserve">, intervențiile sugerate de Master Planul General de Transport pentru </w:t>
      </w:r>
      <w:r w:rsidR="009C6421" w:rsidRPr="00E0488D">
        <w:t>portul</w:t>
      </w:r>
      <w:r w:rsidR="006609C9" w:rsidRPr="00E0488D">
        <w:t xml:space="preserve"> se concentrează pe reconfigurarea capacității porturilor fie în vederea posibilității de acceptare a containerelor (în</w:t>
      </w:r>
      <w:r w:rsidR="00FA66C6" w:rsidRPr="00E0488D">
        <w:t xml:space="preserve"> cazul terminalelor trimodale) fie pentru dezvoltarea capacității terminalelor care se apropie de limita maximă de utilizare</w:t>
      </w:r>
      <w:r w:rsidR="00B4550A" w:rsidRPr="00E0488D">
        <w:t xml:space="preserve">. </w:t>
      </w:r>
    </w:p>
    <w:p w:rsidR="00597EA4" w:rsidRPr="00E0488D" w:rsidRDefault="00597EA4">
      <w:pPr>
        <w:rPr>
          <w:sz w:val="22"/>
          <w:szCs w:val="22"/>
          <w:lang w:val="ro-RO"/>
        </w:rPr>
      </w:pPr>
      <w:r w:rsidRPr="00E0488D">
        <w:rPr>
          <w:lang w:val="ro-RO"/>
        </w:rPr>
        <w:br w:type="page"/>
      </w:r>
    </w:p>
    <w:p w:rsidR="00597EA4" w:rsidRPr="00E0488D" w:rsidRDefault="00597EA4" w:rsidP="00597EA4">
      <w:pPr>
        <w:spacing w:line="276" w:lineRule="auto"/>
        <w:rPr>
          <w:b/>
          <w:sz w:val="22"/>
          <w:szCs w:val="22"/>
          <w:lang w:val="ro-RO"/>
        </w:rPr>
      </w:pPr>
      <w:r w:rsidRPr="00E0488D">
        <w:rPr>
          <w:b/>
          <w:sz w:val="22"/>
          <w:szCs w:val="22"/>
          <w:lang w:val="ro-RO"/>
        </w:rPr>
        <w:t>Tab</w:t>
      </w:r>
      <w:r w:rsidR="00931714" w:rsidRPr="00E0488D">
        <w:rPr>
          <w:b/>
          <w:sz w:val="22"/>
          <w:szCs w:val="22"/>
          <w:lang w:val="ro-RO"/>
        </w:rPr>
        <w:t xml:space="preserve">elul </w:t>
      </w:r>
      <w:r w:rsidRPr="00E0488D">
        <w:rPr>
          <w:b/>
          <w:sz w:val="22"/>
          <w:szCs w:val="22"/>
          <w:lang w:val="ro-RO"/>
        </w:rPr>
        <w:t xml:space="preserve">6.61 – </w:t>
      </w:r>
      <w:r w:rsidR="00931714" w:rsidRPr="00E0488D">
        <w:rPr>
          <w:b/>
          <w:sz w:val="22"/>
          <w:szCs w:val="22"/>
          <w:lang w:val="ro-RO"/>
        </w:rPr>
        <w:t xml:space="preserve"> Sumarul tonajelor </w:t>
      </w:r>
      <w:r w:rsidR="00013B78" w:rsidRPr="00E0488D">
        <w:rPr>
          <w:b/>
          <w:sz w:val="22"/>
          <w:szCs w:val="22"/>
          <w:lang w:val="ro-RO"/>
        </w:rPr>
        <w:t>pentru intervențiile testate</w:t>
      </w:r>
      <w:r w:rsidRPr="00E0488D">
        <w:rPr>
          <w:b/>
          <w:sz w:val="22"/>
          <w:szCs w:val="22"/>
          <w:lang w:val="ro-RO"/>
        </w:rPr>
        <w:t xml:space="preserve"> (</w:t>
      </w:r>
      <w:r w:rsidR="00013B78" w:rsidRPr="00E0488D">
        <w:rPr>
          <w:b/>
          <w:sz w:val="22"/>
          <w:szCs w:val="22"/>
          <w:lang w:val="ro-RO"/>
        </w:rPr>
        <w:t xml:space="preserve">Porturi, exclusive traficul intermodal și </w:t>
      </w:r>
      <w:r w:rsidR="009C6421" w:rsidRPr="00E0488D">
        <w:rPr>
          <w:b/>
          <w:sz w:val="22"/>
          <w:szCs w:val="22"/>
          <w:lang w:val="ro-RO"/>
        </w:rPr>
        <w:t>traficul</w:t>
      </w:r>
      <w:r w:rsidR="00013B78" w:rsidRPr="00E0488D">
        <w:rPr>
          <w:b/>
          <w:sz w:val="22"/>
          <w:szCs w:val="22"/>
          <w:lang w:val="ro-RO"/>
        </w:rPr>
        <w:t xml:space="preserve"> de pasageri</w:t>
      </w:r>
      <w:r w:rsidRPr="00E0488D">
        <w:rPr>
          <w:b/>
          <w:sz w:val="22"/>
          <w:szCs w:val="22"/>
          <w:lang w:val="ro-RO"/>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1683"/>
        <w:gridCol w:w="1683"/>
        <w:gridCol w:w="1683"/>
        <w:gridCol w:w="1683"/>
        <w:gridCol w:w="1681"/>
      </w:tblGrid>
      <w:tr w:rsidR="00597EA4" w:rsidRPr="00E0488D" w:rsidTr="0030066D">
        <w:trPr>
          <w:tblHeader/>
        </w:trPr>
        <w:tc>
          <w:tcPr>
            <w:tcW w:w="996" w:type="pct"/>
            <w:shd w:val="clear" w:color="auto" w:fill="B8CCE4" w:themeFill="accent1" w:themeFillTint="66"/>
            <w:vAlign w:val="center"/>
          </w:tcPr>
          <w:p w:rsidR="00597EA4" w:rsidRPr="00E0488D" w:rsidRDefault="00597EA4" w:rsidP="00013B78">
            <w:pPr>
              <w:spacing w:line="276" w:lineRule="auto"/>
              <w:jc w:val="center"/>
              <w:rPr>
                <w:b/>
                <w:sz w:val="22"/>
                <w:szCs w:val="22"/>
                <w:lang w:val="ro-RO"/>
              </w:rPr>
            </w:pPr>
            <w:r w:rsidRPr="00E0488D">
              <w:rPr>
                <w:b/>
                <w:sz w:val="22"/>
                <w:szCs w:val="22"/>
                <w:lang w:val="ro-RO"/>
              </w:rPr>
              <w:t>Interven</w:t>
            </w:r>
            <w:r w:rsidR="00013B78" w:rsidRPr="00E0488D">
              <w:rPr>
                <w:b/>
                <w:sz w:val="22"/>
                <w:szCs w:val="22"/>
                <w:lang w:val="ro-RO"/>
              </w:rPr>
              <w:t>ție</w:t>
            </w:r>
          </w:p>
        </w:tc>
        <w:tc>
          <w:tcPr>
            <w:tcW w:w="801" w:type="pct"/>
            <w:shd w:val="clear" w:color="auto" w:fill="B8CCE4" w:themeFill="accent1" w:themeFillTint="66"/>
            <w:vAlign w:val="center"/>
          </w:tcPr>
          <w:p w:rsidR="00597EA4" w:rsidRPr="00E0488D" w:rsidRDefault="00013B78" w:rsidP="00013B78">
            <w:pPr>
              <w:spacing w:line="276" w:lineRule="auto"/>
              <w:jc w:val="center"/>
              <w:rPr>
                <w:b/>
                <w:sz w:val="22"/>
                <w:szCs w:val="22"/>
                <w:lang w:val="ro-RO"/>
              </w:rPr>
            </w:pPr>
            <w:r w:rsidRPr="00E0488D">
              <w:rPr>
                <w:b/>
                <w:sz w:val="22"/>
                <w:szCs w:val="22"/>
                <w:lang w:val="ro-RO"/>
              </w:rPr>
              <w:t>Referință</w:t>
            </w:r>
          </w:p>
        </w:tc>
        <w:tc>
          <w:tcPr>
            <w:tcW w:w="801" w:type="pct"/>
            <w:shd w:val="clear" w:color="auto" w:fill="B8CCE4" w:themeFill="accent1" w:themeFillTint="66"/>
            <w:vAlign w:val="center"/>
          </w:tcPr>
          <w:p w:rsidR="00597EA4" w:rsidRPr="00E0488D" w:rsidRDefault="00597EA4" w:rsidP="00013B78">
            <w:pPr>
              <w:spacing w:line="276" w:lineRule="auto"/>
              <w:jc w:val="center"/>
              <w:rPr>
                <w:b/>
                <w:sz w:val="22"/>
                <w:szCs w:val="22"/>
                <w:lang w:val="ro-RO"/>
              </w:rPr>
            </w:pPr>
            <w:r w:rsidRPr="00E0488D">
              <w:rPr>
                <w:b/>
                <w:sz w:val="22"/>
                <w:szCs w:val="22"/>
                <w:lang w:val="ro-RO"/>
              </w:rPr>
              <w:t>Loc</w:t>
            </w:r>
            <w:r w:rsidR="00013B78" w:rsidRPr="00E0488D">
              <w:rPr>
                <w:b/>
                <w:sz w:val="22"/>
                <w:szCs w:val="22"/>
                <w:lang w:val="ro-RO"/>
              </w:rPr>
              <w:t>ație</w:t>
            </w:r>
          </w:p>
        </w:tc>
        <w:tc>
          <w:tcPr>
            <w:tcW w:w="801" w:type="pct"/>
            <w:shd w:val="clear" w:color="auto" w:fill="B8CCE4" w:themeFill="accent1" w:themeFillTint="66"/>
            <w:vAlign w:val="center"/>
          </w:tcPr>
          <w:p w:rsidR="00597EA4" w:rsidRPr="00E0488D" w:rsidRDefault="00013B78" w:rsidP="00313BD8">
            <w:pPr>
              <w:spacing w:line="276" w:lineRule="auto"/>
              <w:jc w:val="center"/>
              <w:rPr>
                <w:b/>
                <w:sz w:val="22"/>
                <w:szCs w:val="22"/>
                <w:lang w:val="ro-RO"/>
              </w:rPr>
            </w:pPr>
            <w:r w:rsidRPr="00E0488D">
              <w:rPr>
                <w:b/>
                <w:sz w:val="22"/>
                <w:szCs w:val="22"/>
                <w:lang w:val="ro-RO"/>
              </w:rPr>
              <w:t>2011 Ton</w:t>
            </w:r>
            <w:r w:rsidR="00597EA4" w:rsidRPr="00E0488D">
              <w:rPr>
                <w:b/>
                <w:sz w:val="22"/>
                <w:szCs w:val="22"/>
                <w:lang w:val="ro-RO"/>
              </w:rPr>
              <w:t>e</w:t>
            </w:r>
          </w:p>
          <w:p w:rsidR="00597EA4" w:rsidRPr="00E0488D" w:rsidRDefault="00013B78" w:rsidP="00013B78">
            <w:pPr>
              <w:spacing w:line="276" w:lineRule="auto"/>
              <w:jc w:val="center"/>
              <w:rPr>
                <w:b/>
                <w:sz w:val="22"/>
                <w:szCs w:val="22"/>
                <w:lang w:val="ro-RO"/>
              </w:rPr>
            </w:pPr>
            <w:r w:rsidRPr="00E0488D">
              <w:rPr>
                <w:b/>
                <w:sz w:val="22"/>
                <w:szCs w:val="22"/>
                <w:lang w:val="ro-RO"/>
              </w:rPr>
              <w:t>(Reale</w:t>
            </w:r>
            <w:r w:rsidR="00597EA4" w:rsidRPr="00E0488D">
              <w:rPr>
                <w:b/>
                <w:sz w:val="22"/>
                <w:szCs w:val="22"/>
                <w:lang w:val="ro-RO"/>
              </w:rPr>
              <w:t>)</w:t>
            </w:r>
          </w:p>
        </w:tc>
        <w:tc>
          <w:tcPr>
            <w:tcW w:w="801" w:type="pct"/>
            <w:shd w:val="clear" w:color="auto" w:fill="B8CCE4" w:themeFill="accent1" w:themeFillTint="66"/>
            <w:vAlign w:val="center"/>
          </w:tcPr>
          <w:p w:rsidR="00597EA4" w:rsidRPr="00E0488D" w:rsidRDefault="00013B78" w:rsidP="00013B78">
            <w:pPr>
              <w:spacing w:line="276" w:lineRule="auto"/>
              <w:jc w:val="center"/>
              <w:rPr>
                <w:b/>
                <w:sz w:val="22"/>
                <w:szCs w:val="22"/>
                <w:lang w:val="ro-RO"/>
              </w:rPr>
            </w:pPr>
            <w:r w:rsidRPr="00E0488D">
              <w:rPr>
                <w:b/>
                <w:sz w:val="22"/>
                <w:szCs w:val="22"/>
                <w:lang w:val="ro-RO"/>
              </w:rPr>
              <w:t xml:space="preserve">Tone </w:t>
            </w:r>
            <w:r w:rsidR="00597EA4" w:rsidRPr="00E0488D">
              <w:rPr>
                <w:b/>
                <w:sz w:val="22"/>
                <w:szCs w:val="22"/>
                <w:lang w:val="ro-RO"/>
              </w:rPr>
              <w:t>2020 (</w:t>
            </w:r>
            <w:r w:rsidRPr="00E0488D">
              <w:rPr>
                <w:b/>
                <w:sz w:val="22"/>
                <w:szCs w:val="22"/>
                <w:lang w:val="ro-RO"/>
              </w:rPr>
              <w:t>Scenariul de referință)</w:t>
            </w:r>
          </w:p>
        </w:tc>
        <w:tc>
          <w:tcPr>
            <w:tcW w:w="800" w:type="pct"/>
            <w:shd w:val="clear" w:color="auto" w:fill="B8CCE4" w:themeFill="accent1" w:themeFillTint="66"/>
            <w:vAlign w:val="center"/>
          </w:tcPr>
          <w:p w:rsidR="00597EA4" w:rsidRPr="00E0488D" w:rsidRDefault="00597EA4" w:rsidP="00313BD8">
            <w:pPr>
              <w:spacing w:line="276" w:lineRule="auto"/>
              <w:jc w:val="center"/>
              <w:rPr>
                <w:b/>
                <w:sz w:val="22"/>
                <w:szCs w:val="22"/>
                <w:lang w:val="ro-RO"/>
              </w:rPr>
            </w:pPr>
            <w:r w:rsidRPr="00E0488D">
              <w:rPr>
                <w:b/>
                <w:sz w:val="22"/>
                <w:szCs w:val="22"/>
                <w:lang w:val="ro-RO"/>
              </w:rPr>
              <w:t>Tonnes</w:t>
            </w:r>
            <w:r w:rsidR="00013B78" w:rsidRPr="00E0488D">
              <w:rPr>
                <w:b/>
                <w:sz w:val="22"/>
                <w:szCs w:val="22"/>
                <w:lang w:val="ro-RO"/>
              </w:rPr>
              <w:t>2020</w:t>
            </w:r>
          </w:p>
          <w:p w:rsidR="00597EA4" w:rsidRPr="00E0488D" w:rsidRDefault="00597EA4" w:rsidP="00313BD8">
            <w:pPr>
              <w:spacing w:line="276" w:lineRule="auto"/>
              <w:jc w:val="center"/>
              <w:rPr>
                <w:b/>
                <w:sz w:val="22"/>
                <w:szCs w:val="22"/>
                <w:lang w:val="ro-RO"/>
              </w:rPr>
            </w:pPr>
            <w:r w:rsidRPr="00E0488D">
              <w:rPr>
                <w:b/>
                <w:sz w:val="22"/>
                <w:szCs w:val="22"/>
                <w:lang w:val="ro-RO"/>
              </w:rPr>
              <w:t>(Do Something)</w:t>
            </w:r>
          </w:p>
        </w:tc>
      </w:tr>
      <w:tr w:rsidR="00597EA4" w:rsidRPr="00E0488D" w:rsidTr="00313BD8">
        <w:tc>
          <w:tcPr>
            <w:tcW w:w="996" w:type="pct"/>
          </w:tcPr>
          <w:p w:rsidR="00597EA4" w:rsidRPr="00E0488D" w:rsidRDefault="00E37BD3" w:rsidP="00313BD8">
            <w:pPr>
              <w:spacing w:line="276" w:lineRule="auto"/>
              <w:rPr>
                <w:sz w:val="22"/>
                <w:szCs w:val="22"/>
                <w:lang w:val="ro-RO"/>
              </w:rPr>
            </w:pPr>
            <w:r w:rsidRPr="00E0488D">
              <w:rPr>
                <w:sz w:val="20"/>
                <w:szCs w:val="20"/>
                <w:lang w:val="ro-RO"/>
              </w:rPr>
              <w:t>Construcția unui nou terminal de containere la Constanța (III &amp; IVS)</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6.4.3</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Constanta</w:t>
            </w:r>
          </w:p>
        </w:tc>
        <w:tc>
          <w:tcPr>
            <w:tcW w:w="801" w:type="pct"/>
            <w:vAlign w:val="center"/>
          </w:tcPr>
          <w:p w:rsidR="00597EA4" w:rsidRPr="00E0488D" w:rsidRDefault="00597EA4" w:rsidP="00313BD8">
            <w:pPr>
              <w:spacing w:line="276" w:lineRule="auto"/>
              <w:jc w:val="right"/>
              <w:rPr>
                <w:rFonts w:cs="Arial"/>
                <w:sz w:val="22"/>
                <w:szCs w:val="22"/>
                <w:lang w:val="ro-RO"/>
              </w:rPr>
            </w:pPr>
            <w:r w:rsidRPr="00E0488D">
              <w:rPr>
                <w:rFonts w:cs="Arial"/>
                <w:color w:val="000000"/>
                <w:sz w:val="22"/>
                <w:szCs w:val="22"/>
                <w:lang w:val="ro-RO"/>
              </w:rPr>
              <w:t>8</w:t>
            </w:r>
            <w:r w:rsidR="00313BD8" w:rsidRPr="00E0488D">
              <w:rPr>
                <w:rFonts w:cs="Arial"/>
                <w:color w:val="000000"/>
                <w:sz w:val="22"/>
                <w:szCs w:val="22"/>
                <w:lang w:val="ro-RO"/>
              </w:rPr>
              <w:t>.</w:t>
            </w:r>
            <w:r w:rsidRPr="00E0488D">
              <w:rPr>
                <w:rFonts w:cs="Arial"/>
                <w:color w:val="000000"/>
                <w:sz w:val="22"/>
                <w:szCs w:val="22"/>
                <w:lang w:val="ro-RO"/>
              </w:rPr>
              <w:t>747</w:t>
            </w:r>
            <w:r w:rsidR="00313BD8" w:rsidRPr="00E0488D">
              <w:rPr>
                <w:rFonts w:cs="Arial"/>
                <w:color w:val="000000"/>
                <w:sz w:val="22"/>
                <w:szCs w:val="22"/>
                <w:lang w:val="ro-RO"/>
              </w:rPr>
              <w:t>.</w:t>
            </w:r>
            <w:r w:rsidRPr="00E0488D">
              <w:rPr>
                <w:rFonts w:cs="Arial"/>
                <w:color w:val="000000"/>
                <w:sz w:val="22"/>
                <w:szCs w:val="22"/>
                <w:lang w:val="ro-RO"/>
              </w:rPr>
              <w:t>432</w:t>
            </w:r>
          </w:p>
        </w:tc>
        <w:tc>
          <w:tcPr>
            <w:tcW w:w="801" w:type="pct"/>
            <w:vAlign w:val="center"/>
          </w:tcPr>
          <w:p w:rsidR="00597EA4" w:rsidRPr="00E0488D" w:rsidRDefault="00597EA4" w:rsidP="00313BD8">
            <w:pPr>
              <w:spacing w:line="276" w:lineRule="auto"/>
              <w:jc w:val="right"/>
              <w:rPr>
                <w:rFonts w:cs="Arial"/>
                <w:sz w:val="22"/>
                <w:szCs w:val="22"/>
                <w:lang w:val="ro-RO"/>
              </w:rPr>
            </w:pPr>
            <w:r w:rsidRPr="00E0488D">
              <w:rPr>
                <w:rFonts w:cs="Arial"/>
                <w:color w:val="000000"/>
                <w:sz w:val="22"/>
                <w:szCs w:val="22"/>
                <w:lang w:val="ro-RO"/>
              </w:rPr>
              <w:t>12</w:t>
            </w:r>
            <w:r w:rsidR="00313BD8" w:rsidRPr="00E0488D">
              <w:rPr>
                <w:rFonts w:cs="Arial"/>
                <w:color w:val="000000"/>
                <w:sz w:val="22"/>
                <w:szCs w:val="22"/>
                <w:lang w:val="ro-RO"/>
              </w:rPr>
              <w:t>.</w:t>
            </w:r>
            <w:r w:rsidRPr="00E0488D">
              <w:rPr>
                <w:rFonts w:cs="Arial"/>
                <w:color w:val="000000"/>
                <w:sz w:val="22"/>
                <w:szCs w:val="22"/>
                <w:lang w:val="ro-RO"/>
              </w:rPr>
              <w:t>308</w:t>
            </w:r>
            <w:r w:rsidR="00313BD8" w:rsidRPr="00E0488D">
              <w:rPr>
                <w:rFonts w:cs="Arial"/>
                <w:color w:val="000000"/>
                <w:sz w:val="22"/>
                <w:szCs w:val="22"/>
                <w:lang w:val="ro-RO"/>
              </w:rPr>
              <w:t>.</w:t>
            </w:r>
            <w:r w:rsidRPr="00E0488D">
              <w:rPr>
                <w:rFonts w:cs="Arial"/>
                <w:color w:val="000000"/>
                <w:sz w:val="22"/>
                <w:szCs w:val="22"/>
                <w:lang w:val="ro-RO"/>
              </w:rPr>
              <w:t>789</w:t>
            </w:r>
          </w:p>
        </w:tc>
        <w:tc>
          <w:tcPr>
            <w:tcW w:w="800"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12</w:t>
            </w:r>
            <w:r w:rsidR="00313BD8" w:rsidRPr="00E0488D">
              <w:rPr>
                <w:rFonts w:cs="Arial"/>
                <w:color w:val="000000"/>
                <w:sz w:val="22"/>
                <w:szCs w:val="22"/>
                <w:lang w:val="ro-RO"/>
              </w:rPr>
              <w:t>.</w:t>
            </w:r>
            <w:r w:rsidRPr="00E0488D">
              <w:rPr>
                <w:rFonts w:cs="Arial"/>
                <w:color w:val="000000"/>
                <w:sz w:val="22"/>
                <w:szCs w:val="22"/>
                <w:lang w:val="ro-RO"/>
              </w:rPr>
              <w:t>908</w:t>
            </w:r>
            <w:r w:rsidR="00313BD8" w:rsidRPr="00E0488D">
              <w:rPr>
                <w:rFonts w:cs="Arial"/>
                <w:color w:val="000000"/>
                <w:sz w:val="22"/>
                <w:szCs w:val="22"/>
                <w:lang w:val="ro-RO"/>
              </w:rPr>
              <w:t>.</w:t>
            </w:r>
            <w:r w:rsidRPr="00E0488D">
              <w:rPr>
                <w:rFonts w:cs="Arial"/>
                <w:color w:val="000000"/>
                <w:sz w:val="22"/>
                <w:szCs w:val="22"/>
                <w:lang w:val="ro-RO"/>
              </w:rPr>
              <w:t>344</w:t>
            </w:r>
          </w:p>
        </w:tc>
      </w:tr>
      <w:tr w:rsidR="00597EA4" w:rsidRPr="00E0488D" w:rsidTr="00313BD8">
        <w:tc>
          <w:tcPr>
            <w:tcW w:w="996" w:type="pct"/>
          </w:tcPr>
          <w:p w:rsidR="00597EA4" w:rsidRPr="00E0488D" w:rsidRDefault="00E37BD3" w:rsidP="00313BD8">
            <w:pPr>
              <w:spacing w:line="276" w:lineRule="auto"/>
              <w:rPr>
                <w:sz w:val="22"/>
                <w:szCs w:val="22"/>
                <w:lang w:val="ro-RO"/>
              </w:rPr>
            </w:pPr>
            <w:r w:rsidRPr="00E0488D">
              <w:rPr>
                <w:sz w:val="20"/>
                <w:szCs w:val="20"/>
                <w:lang w:val="ro-RO"/>
              </w:rPr>
              <w:t>Dezvoltarea unui terminal cargo în port</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6.4.12</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Tulcea</w:t>
            </w:r>
          </w:p>
        </w:tc>
        <w:tc>
          <w:tcPr>
            <w:tcW w:w="801" w:type="pct"/>
            <w:vAlign w:val="center"/>
          </w:tcPr>
          <w:p w:rsidR="00597EA4" w:rsidRPr="00E0488D" w:rsidRDefault="00597EA4" w:rsidP="00313BD8">
            <w:pPr>
              <w:jc w:val="right"/>
              <w:rPr>
                <w:rFonts w:cs="Arial"/>
                <w:bCs/>
                <w:sz w:val="22"/>
                <w:szCs w:val="22"/>
                <w:lang w:val="ro-RO"/>
              </w:rPr>
            </w:pPr>
            <w:r w:rsidRPr="00E0488D">
              <w:rPr>
                <w:rFonts w:cs="Arial"/>
                <w:bCs/>
                <w:sz w:val="22"/>
                <w:szCs w:val="22"/>
                <w:lang w:val="ro-RO"/>
              </w:rPr>
              <w:t>1</w:t>
            </w:r>
            <w:r w:rsidR="00313BD8" w:rsidRPr="00E0488D">
              <w:rPr>
                <w:rFonts w:cs="Arial"/>
                <w:bCs/>
                <w:sz w:val="22"/>
                <w:szCs w:val="22"/>
                <w:lang w:val="ro-RO"/>
              </w:rPr>
              <w:t>.</w:t>
            </w:r>
            <w:r w:rsidRPr="00E0488D">
              <w:rPr>
                <w:rFonts w:cs="Arial"/>
                <w:bCs/>
                <w:sz w:val="22"/>
                <w:szCs w:val="22"/>
                <w:lang w:val="ro-RO"/>
              </w:rPr>
              <w:t>650</w:t>
            </w:r>
            <w:r w:rsidR="00313BD8" w:rsidRPr="00E0488D">
              <w:rPr>
                <w:rFonts w:cs="Arial"/>
                <w:bCs/>
                <w:sz w:val="22"/>
                <w:szCs w:val="22"/>
                <w:lang w:val="ro-RO"/>
              </w:rPr>
              <w:t>.</w:t>
            </w:r>
            <w:r w:rsidRPr="00E0488D">
              <w:rPr>
                <w:rFonts w:cs="Arial"/>
                <w:bCs/>
                <w:sz w:val="22"/>
                <w:szCs w:val="22"/>
                <w:lang w:val="ro-RO"/>
              </w:rPr>
              <w:t>320</w:t>
            </w:r>
          </w:p>
        </w:tc>
        <w:tc>
          <w:tcPr>
            <w:tcW w:w="801" w:type="pct"/>
            <w:vAlign w:val="center"/>
          </w:tcPr>
          <w:p w:rsidR="00597EA4" w:rsidRPr="00E0488D" w:rsidRDefault="00597EA4" w:rsidP="00313BD8">
            <w:pPr>
              <w:jc w:val="right"/>
              <w:rPr>
                <w:rFonts w:cs="Arial"/>
                <w:sz w:val="22"/>
                <w:szCs w:val="22"/>
                <w:lang w:val="ro-RO"/>
              </w:rPr>
            </w:pPr>
            <w:r w:rsidRPr="00E0488D">
              <w:rPr>
                <w:rFonts w:cs="Arial"/>
                <w:sz w:val="22"/>
                <w:szCs w:val="22"/>
                <w:lang w:val="ro-RO"/>
              </w:rPr>
              <w:t>1</w:t>
            </w:r>
            <w:r w:rsidR="00313BD8" w:rsidRPr="00E0488D">
              <w:rPr>
                <w:rFonts w:cs="Arial"/>
                <w:sz w:val="22"/>
                <w:szCs w:val="22"/>
                <w:lang w:val="ro-RO"/>
              </w:rPr>
              <w:t>.</w:t>
            </w:r>
            <w:r w:rsidRPr="00E0488D">
              <w:rPr>
                <w:rFonts w:cs="Arial"/>
                <w:sz w:val="22"/>
                <w:szCs w:val="22"/>
                <w:lang w:val="ro-RO"/>
              </w:rPr>
              <w:t>147</w:t>
            </w:r>
            <w:r w:rsidR="00313BD8" w:rsidRPr="00E0488D">
              <w:rPr>
                <w:rFonts w:cs="Arial"/>
                <w:sz w:val="22"/>
                <w:szCs w:val="22"/>
                <w:lang w:val="ro-RO"/>
              </w:rPr>
              <w:t>.</w:t>
            </w:r>
            <w:r w:rsidRPr="00E0488D">
              <w:rPr>
                <w:rFonts w:cs="Arial"/>
                <w:sz w:val="22"/>
                <w:szCs w:val="22"/>
                <w:lang w:val="ro-RO"/>
              </w:rPr>
              <w:t>443</w:t>
            </w:r>
          </w:p>
        </w:tc>
        <w:tc>
          <w:tcPr>
            <w:tcW w:w="800" w:type="pct"/>
            <w:vAlign w:val="center"/>
          </w:tcPr>
          <w:p w:rsidR="00597EA4" w:rsidRPr="00E0488D" w:rsidRDefault="00597EA4" w:rsidP="00313BD8">
            <w:pPr>
              <w:jc w:val="right"/>
              <w:rPr>
                <w:rFonts w:cs="Arial"/>
                <w:sz w:val="22"/>
                <w:szCs w:val="22"/>
                <w:lang w:val="ro-RO"/>
              </w:rPr>
            </w:pPr>
            <w:r w:rsidRPr="00E0488D">
              <w:rPr>
                <w:rFonts w:cs="Arial"/>
                <w:sz w:val="22"/>
                <w:szCs w:val="22"/>
                <w:lang w:val="ro-RO"/>
              </w:rPr>
              <w:t>1</w:t>
            </w:r>
            <w:r w:rsidR="00313BD8" w:rsidRPr="00E0488D">
              <w:rPr>
                <w:rFonts w:cs="Arial"/>
                <w:sz w:val="22"/>
                <w:szCs w:val="22"/>
                <w:lang w:val="ro-RO"/>
              </w:rPr>
              <w:t>.</w:t>
            </w:r>
            <w:r w:rsidRPr="00E0488D">
              <w:rPr>
                <w:rFonts w:cs="Arial"/>
                <w:sz w:val="22"/>
                <w:szCs w:val="22"/>
                <w:lang w:val="ro-RO"/>
              </w:rPr>
              <w:t>475</w:t>
            </w:r>
            <w:r w:rsidR="00313BD8" w:rsidRPr="00E0488D">
              <w:rPr>
                <w:rFonts w:cs="Arial"/>
                <w:sz w:val="22"/>
                <w:szCs w:val="22"/>
                <w:lang w:val="ro-RO"/>
              </w:rPr>
              <w:t>.</w:t>
            </w:r>
            <w:r w:rsidRPr="00E0488D">
              <w:rPr>
                <w:rFonts w:cs="Arial"/>
                <w:sz w:val="22"/>
                <w:szCs w:val="22"/>
                <w:lang w:val="ro-RO"/>
              </w:rPr>
              <w:t>970</w:t>
            </w:r>
          </w:p>
        </w:tc>
      </w:tr>
      <w:tr w:rsidR="00597EA4" w:rsidRPr="00E0488D" w:rsidTr="00313BD8">
        <w:tc>
          <w:tcPr>
            <w:tcW w:w="996" w:type="pct"/>
          </w:tcPr>
          <w:p w:rsidR="00597EA4" w:rsidRPr="00E0488D" w:rsidRDefault="00E37BD3" w:rsidP="00313BD8">
            <w:pPr>
              <w:spacing w:line="276" w:lineRule="auto"/>
              <w:rPr>
                <w:sz w:val="22"/>
                <w:szCs w:val="22"/>
                <w:lang w:val="ro-RO"/>
              </w:rPr>
            </w:pPr>
            <w:r w:rsidRPr="00E0488D">
              <w:rPr>
                <w:sz w:val="20"/>
                <w:szCs w:val="20"/>
                <w:lang w:val="ro-RO"/>
              </w:rPr>
              <w:t>Modernizarea terminalelor de mărfuri solide existente</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6.4.37</w:t>
            </w:r>
          </w:p>
        </w:tc>
        <w:tc>
          <w:tcPr>
            <w:tcW w:w="801" w:type="pct"/>
          </w:tcPr>
          <w:p w:rsidR="00597EA4" w:rsidRPr="00E0488D" w:rsidRDefault="009C6421" w:rsidP="00313BD8">
            <w:pPr>
              <w:spacing w:line="276" w:lineRule="auto"/>
              <w:rPr>
                <w:sz w:val="22"/>
                <w:szCs w:val="22"/>
                <w:lang w:val="ro-RO"/>
              </w:rPr>
            </w:pPr>
            <w:r w:rsidRPr="00E0488D">
              <w:rPr>
                <w:sz w:val="22"/>
                <w:szCs w:val="22"/>
                <w:lang w:val="ro-RO"/>
              </w:rPr>
              <w:t>Galați</w:t>
            </w:r>
          </w:p>
        </w:tc>
        <w:tc>
          <w:tcPr>
            <w:tcW w:w="801"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5</w:t>
            </w:r>
            <w:r w:rsidR="00313BD8" w:rsidRPr="00E0488D">
              <w:rPr>
                <w:rFonts w:cs="Arial"/>
                <w:color w:val="000000"/>
                <w:sz w:val="22"/>
                <w:szCs w:val="22"/>
                <w:lang w:val="ro-RO"/>
              </w:rPr>
              <w:t>.</w:t>
            </w:r>
            <w:r w:rsidRPr="00E0488D">
              <w:rPr>
                <w:rFonts w:cs="Arial"/>
                <w:color w:val="000000"/>
                <w:sz w:val="22"/>
                <w:szCs w:val="22"/>
                <w:lang w:val="ro-RO"/>
              </w:rPr>
              <w:t>099</w:t>
            </w:r>
            <w:r w:rsidR="00313BD8" w:rsidRPr="00E0488D">
              <w:rPr>
                <w:rFonts w:cs="Arial"/>
                <w:color w:val="000000"/>
                <w:sz w:val="22"/>
                <w:szCs w:val="22"/>
                <w:lang w:val="ro-RO"/>
              </w:rPr>
              <w:t>.</w:t>
            </w:r>
            <w:r w:rsidRPr="00E0488D">
              <w:rPr>
                <w:rFonts w:cs="Arial"/>
                <w:color w:val="000000"/>
                <w:sz w:val="22"/>
                <w:szCs w:val="22"/>
                <w:lang w:val="ro-RO"/>
              </w:rPr>
              <w:t>714</w:t>
            </w:r>
          </w:p>
        </w:tc>
        <w:tc>
          <w:tcPr>
            <w:tcW w:w="801"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5</w:t>
            </w:r>
            <w:r w:rsidR="00313BD8" w:rsidRPr="00E0488D">
              <w:rPr>
                <w:rFonts w:cs="Arial"/>
                <w:color w:val="000000"/>
                <w:sz w:val="22"/>
                <w:szCs w:val="22"/>
                <w:lang w:val="ro-RO"/>
              </w:rPr>
              <w:t>.</w:t>
            </w:r>
            <w:r w:rsidRPr="00E0488D">
              <w:rPr>
                <w:rFonts w:cs="Arial"/>
                <w:color w:val="000000"/>
                <w:sz w:val="22"/>
                <w:szCs w:val="22"/>
                <w:lang w:val="ro-RO"/>
              </w:rPr>
              <w:t>823</w:t>
            </w:r>
            <w:r w:rsidR="00313BD8" w:rsidRPr="00E0488D">
              <w:rPr>
                <w:rFonts w:cs="Arial"/>
                <w:color w:val="000000"/>
                <w:sz w:val="22"/>
                <w:szCs w:val="22"/>
                <w:lang w:val="ro-RO"/>
              </w:rPr>
              <w:t>.</w:t>
            </w:r>
            <w:r w:rsidRPr="00E0488D">
              <w:rPr>
                <w:rFonts w:cs="Arial"/>
                <w:color w:val="000000"/>
                <w:sz w:val="22"/>
                <w:szCs w:val="22"/>
                <w:lang w:val="ro-RO"/>
              </w:rPr>
              <w:t>027</w:t>
            </w:r>
          </w:p>
        </w:tc>
        <w:tc>
          <w:tcPr>
            <w:tcW w:w="800"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6</w:t>
            </w:r>
            <w:r w:rsidR="00313BD8" w:rsidRPr="00E0488D">
              <w:rPr>
                <w:rFonts w:cs="Arial"/>
                <w:color w:val="000000"/>
                <w:sz w:val="22"/>
                <w:szCs w:val="22"/>
                <w:lang w:val="ro-RO"/>
              </w:rPr>
              <w:t>.</w:t>
            </w:r>
            <w:r w:rsidRPr="00E0488D">
              <w:rPr>
                <w:rFonts w:cs="Arial"/>
                <w:color w:val="000000"/>
                <w:sz w:val="22"/>
                <w:szCs w:val="22"/>
                <w:lang w:val="ro-RO"/>
              </w:rPr>
              <w:t>441</w:t>
            </w:r>
            <w:r w:rsidR="00313BD8" w:rsidRPr="00E0488D">
              <w:rPr>
                <w:rFonts w:cs="Arial"/>
                <w:color w:val="000000"/>
                <w:sz w:val="22"/>
                <w:szCs w:val="22"/>
                <w:lang w:val="ro-RO"/>
              </w:rPr>
              <w:t>.</w:t>
            </w:r>
            <w:r w:rsidRPr="00E0488D">
              <w:rPr>
                <w:rFonts w:cs="Arial"/>
                <w:color w:val="000000"/>
                <w:sz w:val="22"/>
                <w:szCs w:val="22"/>
                <w:lang w:val="ro-RO"/>
              </w:rPr>
              <w:t>528</w:t>
            </w:r>
          </w:p>
        </w:tc>
      </w:tr>
      <w:tr w:rsidR="00597EA4" w:rsidRPr="00E0488D" w:rsidTr="00313BD8">
        <w:tc>
          <w:tcPr>
            <w:tcW w:w="996" w:type="pct"/>
          </w:tcPr>
          <w:p w:rsidR="00597EA4" w:rsidRPr="00E0488D" w:rsidRDefault="00E37BD3" w:rsidP="00313BD8">
            <w:pPr>
              <w:spacing w:line="276" w:lineRule="auto"/>
              <w:rPr>
                <w:sz w:val="22"/>
                <w:szCs w:val="22"/>
                <w:lang w:val="ro-RO"/>
              </w:rPr>
            </w:pPr>
            <w:r w:rsidRPr="00E0488D">
              <w:rPr>
                <w:sz w:val="20"/>
                <w:szCs w:val="20"/>
                <w:lang w:val="ro-RO"/>
              </w:rPr>
              <w:t>Dezvoltarea infrastructurii</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6.4.47</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Cernavoda</w:t>
            </w:r>
          </w:p>
        </w:tc>
        <w:tc>
          <w:tcPr>
            <w:tcW w:w="801"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131</w:t>
            </w:r>
            <w:r w:rsidR="00313BD8" w:rsidRPr="00E0488D">
              <w:rPr>
                <w:rFonts w:cs="Arial"/>
                <w:color w:val="000000"/>
                <w:sz w:val="22"/>
                <w:szCs w:val="22"/>
                <w:lang w:val="ro-RO"/>
              </w:rPr>
              <w:t>.</w:t>
            </w:r>
            <w:r w:rsidRPr="00E0488D">
              <w:rPr>
                <w:rFonts w:cs="Arial"/>
                <w:color w:val="000000"/>
                <w:sz w:val="22"/>
                <w:szCs w:val="22"/>
                <w:lang w:val="ro-RO"/>
              </w:rPr>
              <w:t>833</w:t>
            </w:r>
          </w:p>
        </w:tc>
        <w:tc>
          <w:tcPr>
            <w:tcW w:w="801"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249</w:t>
            </w:r>
            <w:r w:rsidR="00313BD8" w:rsidRPr="00E0488D">
              <w:rPr>
                <w:rFonts w:cs="Arial"/>
                <w:color w:val="000000"/>
                <w:sz w:val="22"/>
                <w:szCs w:val="22"/>
                <w:lang w:val="ro-RO"/>
              </w:rPr>
              <w:t>.</w:t>
            </w:r>
            <w:r w:rsidRPr="00E0488D">
              <w:rPr>
                <w:rFonts w:cs="Arial"/>
                <w:color w:val="000000"/>
                <w:sz w:val="22"/>
                <w:szCs w:val="22"/>
                <w:lang w:val="ro-RO"/>
              </w:rPr>
              <w:t>360</w:t>
            </w:r>
          </w:p>
        </w:tc>
        <w:tc>
          <w:tcPr>
            <w:tcW w:w="800"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614</w:t>
            </w:r>
            <w:r w:rsidR="00313BD8" w:rsidRPr="00E0488D">
              <w:rPr>
                <w:rFonts w:cs="Arial"/>
                <w:color w:val="000000"/>
                <w:sz w:val="22"/>
                <w:szCs w:val="22"/>
                <w:lang w:val="ro-RO"/>
              </w:rPr>
              <w:t>.</w:t>
            </w:r>
            <w:r w:rsidRPr="00E0488D">
              <w:rPr>
                <w:rFonts w:cs="Arial"/>
                <w:color w:val="000000"/>
                <w:sz w:val="22"/>
                <w:szCs w:val="22"/>
                <w:lang w:val="ro-RO"/>
              </w:rPr>
              <w:t>711</w:t>
            </w:r>
          </w:p>
        </w:tc>
      </w:tr>
      <w:tr w:rsidR="00E37BD3" w:rsidRPr="00E0488D" w:rsidTr="00313BD8">
        <w:tc>
          <w:tcPr>
            <w:tcW w:w="996" w:type="pct"/>
            <w:vAlign w:val="center"/>
          </w:tcPr>
          <w:p w:rsidR="00E37BD3" w:rsidRPr="00E0488D" w:rsidRDefault="00E37BD3" w:rsidP="00313BD8">
            <w:pPr>
              <w:spacing w:line="276" w:lineRule="auto"/>
              <w:rPr>
                <w:sz w:val="20"/>
                <w:szCs w:val="20"/>
                <w:lang w:val="ro-RO"/>
              </w:rPr>
            </w:pPr>
            <w:r w:rsidRPr="00E0488D">
              <w:rPr>
                <w:sz w:val="20"/>
                <w:szCs w:val="20"/>
                <w:lang w:val="ro-RO"/>
              </w:rPr>
              <w:t xml:space="preserve">Modernizarea infrastructurii </w:t>
            </w:r>
          </w:p>
        </w:tc>
        <w:tc>
          <w:tcPr>
            <w:tcW w:w="801" w:type="pct"/>
          </w:tcPr>
          <w:p w:rsidR="00E37BD3" w:rsidRPr="00E0488D" w:rsidRDefault="00E37BD3" w:rsidP="00313BD8">
            <w:pPr>
              <w:spacing w:line="276" w:lineRule="auto"/>
              <w:rPr>
                <w:sz w:val="22"/>
                <w:szCs w:val="22"/>
                <w:lang w:val="ro-RO"/>
              </w:rPr>
            </w:pPr>
            <w:r w:rsidRPr="00E0488D">
              <w:rPr>
                <w:sz w:val="22"/>
                <w:szCs w:val="22"/>
                <w:lang w:val="ro-RO"/>
              </w:rPr>
              <w:t>6.4.54</w:t>
            </w:r>
          </w:p>
        </w:tc>
        <w:tc>
          <w:tcPr>
            <w:tcW w:w="801" w:type="pct"/>
          </w:tcPr>
          <w:p w:rsidR="00E37BD3" w:rsidRPr="00E0488D" w:rsidRDefault="00E37BD3" w:rsidP="00313BD8">
            <w:pPr>
              <w:spacing w:line="276" w:lineRule="auto"/>
              <w:rPr>
                <w:sz w:val="22"/>
                <w:szCs w:val="22"/>
                <w:lang w:val="ro-RO"/>
              </w:rPr>
            </w:pPr>
            <w:r w:rsidRPr="00E0488D">
              <w:rPr>
                <w:sz w:val="22"/>
                <w:szCs w:val="22"/>
                <w:lang w:val="ro-RO"/>
              </w:rPr>
              <w:t>Basarabi</w:t>
            </w:r>
          </w:p>
        </w:tc>
        <w:tc>
          <w:tcPr>
            <w:tcW w:w="801" w:type="pct"/>
            <w:vAlign w:val="center"/>
          </w:tcPr>
          <w:p w:rsidR="00E37BD3" w:rsidRPr="00E0488D" w:rsidRDefault="00E37BD3" w:rsidP="00313BD8">
            <w:pPr>
              <w:jc w:val="right"/>
              <w:rPr>
                <w:rFonts w:cs="Arial"/>
                <w:bCs/>
                <w:sz w:val="22"/>
                <w:szCs w:val="22"/>
                <w:lang w:val="ro-RO"/>
              </w:rPr>
            </w:pPr>
            <w:r w:rsidRPr="00E0488D">
              <w:rPr>
                <w:rFonts w:cs="Arial"/>
                <w:bCs/>
                <w:sz w:val="22"/>
                <w:szCs w:val="22"/>
                <w:lang w:val="ro-RO"/>
              </w:rPr>
              <w:t>1</w:t>
            </w:r>
            <w:r w:rsidR="00313BD8" w:rsidRPr="00E0488D">
              <w:rPr>
                <w:rFonts w:cs="Arial"/>
                <w:bCs/>
                <w:sz w:val="22"/>
                <w:szCs w:val="22"/>
                <w:lang w:val="ro-RO"/>
              </w:rPr>
              <w:t>.</w:t>
            </w:r>
            <w:r w:rsidRPr="00E0488D">
              <w:rPr>
                <w:rFonts w:cs="Arial"/>
                <w:bCs/>
                <w:sz w:val="22"/>
                <w:szCs w:val="22"/>
                <w:lang w:val="ro-RO"/>
              </w:rPr>
              <w:t>719</w:t>
            </w:r>
            <w:r w:rsidR="00313BD8" w:rsidRPr="00E0488D">
              <w:rPr>
                <w:rFonts w:cs="Arial"/>
                <w:bCs/>
                <w:sz w:val="22"/>
                <w:szCs w:val="22"/>
                <w:lang w:val="ro-RO"/>
              </w:rPr>
              <w:t>.</w:t>
            </w:r>
            <w:r w:rsidRPr="00E0488D">
              <w:rPr>
                <w:rFonts w:cs="Arial"/>
                <w:bCs/>
                <w:sz w:val="22"/>
                <w:szCs w:val="22"/>
                <w:lang w:val="ro-RO"/>
              </w:rPr>
              <w:t>000</w:t>
            </w:r>
          </w:p>
        </w:tc>
        <w:tc>
          <w:tcPr>
            <w:tcW w:w="801" w:type="pct"/>
            <w:vAlign w:val="center"/>
          </w:tcPr>
          <w:p w:rsidR="00E37BD3" w:rsidRPr="00E0488D" w:rsidRDefault="00E37BD3" w:rsidP="00313BD8">
            <w:pPr>
              <w:jc w:val="right"/>
              <w:rPr>
                <w:rFonts w:cs="Arial"/>
                <w:bCs/>
                <w:sz w:val="22"/>
                <w:szCs w:val="22"/>
                <w:lang w:val="ro-RO"/>
              </w:rPr>
            </w:pPr>
            <w:r w:rsidRPr="00E0488D">
              <w:rPr>
                <w:rFonts w:cs="Arial"/>
                <w:bCs/>
                <w:sz w:val="22"/>
                <w:szCs w:val="22"/>
                <w:lang w:val="ro-RO"/>
              </w:rPr>
              <w:t>40</w:t>
            </w:r>
            <w:r w:rsidR="00313BD8" w:rsidRPr="00E0488D">
              <w:rPr>
                <w:rFonts w:cs="Arial"/>
                <w:bCs/>
                <w:sz w:val="22"/>
                <w:szCs w:val="22"/>
                <w:lang w:val="ro-RO"/>
              </w:rPr>
              <w:t>.</w:t>
            </w:r>
            <w:r w:rsidRPr="00E0488D">
              <w:rPr>
                <w:rFonts w:cs="Arial"/>
                <w:bCs/>
                <w:sz w:val="22"/>
                <w:szCs w:val="22"/>
                <w:lang w:val="ro-RO"/>
              </w:rPr>
              <w:t>397</w:t>
            </w:r>
          </w:p>
        </w:tc>
        <w:tc>
          <w:tcPr>
            <w:tcW w:w="800" w:type="pct"/>
            <w:vAlign w:val="center"/>
          </w:tcPr>
          <w:p w:rsidR="00E37BD3" w:rsidRPr="00E0488D" w:rsidRDefault="00E37BD3" w:rsidP="00313BD8">
            <w:pPr>
              <w:jc w:val="right"/>
              <w:rPr>
                <w:rFonts w:cs="Arial"/>
                <w:bCs/>
                <w:sz w:val="22"/>
                <w:szCs w:val="22"/>
                <w:lang w:val="ro-RO"/>
              </w:rPr>
            </w:pPr>
            <w:r w:rsidRPr="00E0488D">
              <w:rPr>
                <w:rFonts w:cs="Arial"/>
                <w:bCs/>
                <w:sz w:val="22"/>
                <w:szCs w:val="22"/>
                <w:lang w:val="ro-RO"/>
              </w:rPr>
              <w:t>46</w:t>
            </w:r>
            <w:r w:rsidR="00313BD8" w:rsidRPr="00E0488D">
              <w:rPr>
                <w:rFonts w:cs="Arial"/>
                <w:bCs/>
                <w:sz w:val="22"/>
                <w:szCs w:val="22"/>
                <w:lang w:val="ro-RO"/>
              </w:rPr>
              <w:t>.</w:t>
            </w:r>
            <w:r w:rsidRPr="00E0488D">
              <w:rPr>
                <w:rFonts w:cs="Arial"/>
                <w:bCs/>
                <w:sz w:val="22"/>
                <w:szCs w:val="22"/>
                <w:lang w:val="ro-RO"/>
              </w:rPr>
              <w:t>955</w:t>
            </w:r>
          </w:p>
        </w:tc>
      </w:tr>
      <w:tr w:rsidR="00E37BD3" w:rsidRPr="00E0488D" w:rsidTr="00313BD8">
        <w:tc>
          <w:tcPr>
            <w:tcW w:w="996" w:type="pct"/>
            <w:vAlign w:val="center"/>
          </w:tcPr>
          <w:p w:rsidR="00E37BD3" w:rsidRPr="00E0488D" w:rsidRDefault="00E37BD3" w:rsidP="00313BD8">
            <w:pPr>
              <w:spacing w:line="276" w:lineRule="auto"/>
              <w:rPr>
                <w:sz w:val="20"/>
                <w:szCs w:val="20"/>
                <w:lang w:val="ro-RO"/>
              </w:rPr>
            </w:pPr>
            <w:r w:rsidRPr="00E0488D">
              <w:rPr>
                <w:sz w:val="20"/>
                <w:szCs w:val="20"/>
                <w:lang w:val="ro-RO"/>
              </w:rPr>
              <w:t xml:space="preserve">Dezvoltarea infrastructurii de operare a mărfurilor solide </w:t>
            </w:r>
          </w:p>
        </w:tc>
        <w:tc>
          <w:tcPr>
            <w:tcW w:w="801" w:type="pct"/>
          </w:tcPr>
          <w:p w:rsidR="00E37BD3" w:rsidRPr="00E0488D" w:rsidRDefault="00E37BD3" w:rsidP="00313BD8">
            <w:pPr>
              <w:spacing w:line="276" w:lineRule="auto"/>
              <w:rPr>
                <w:sz w:val="22"/>
                <w:szCs w:val="22"/>
                <w:lang w:val="ro-RO"/>
              </w:rPr>
            </w:pPr>
            <w:r w:rsidRPr="00E0488D">
              <w:rPr>
                <w:sz w:val="22"/>
                <w:szCs w:val="22"/>
                <w:lang w:val="ro-RO"/>
              </w:rPr>
              <w:t>6.4.61</w:t>
            </w:r>
          </w:p>
        </w:tc>
        <w:tc>
          <w:tcPr>
            <w:tcW w:w="801" w:type="pct"/>
          </w:tcPr>
          <w:p w:rsidR="00E37BD3" w:rsidRPr="00E0488D" w:rsidRDefault="009C6421" w:rsidP="00313BD8">
            <w:pPr>
              <w:spacing w:line="276" w:lineRule="auto"/>
              <w:rPr>
                <w:sz w:val="22"/>
                <w:szCs w:val="22"/>
                <w:lang w:val="ro-RO"/>
              </w:rPr>
            </w:pPr>
            <w:r w:rsidRPr="00E0488D">
              <w:rPr>
                <w:sz w:val="22"/>
                <w:szCs w:val="22"/>
                <w:lang w:val="ro-RO"/>
              </w:rPr>
              <w:t>Oltenița</w:t>
            </w:r>
          </w:p>
        </w:tc>
        <w:tc>
          <w:tcPr>
            <w:tcW w:w="801" w:type="pct"/>
            <w:vAlign w:val="center"/>
          </w:tcPr>
          <w:p w:rsidR="00E37BD3" w:rsidRPr="00E0488D" w:rsidRDefault="00E37BD3" w:rsidP="00313BD8">
            <w:pPr>
              <w:jc w:val="right"/>
              <w:rPr>
                <w:rFonts w:cs="Arial"/>
                <w:color w:val="000000"/>
                <w:sz w:val="22"/>
                <w:szCs w:val="22"/>
                <w:lang w:val="ro-RO"/>
              </w:rPr>
            </w:pPr>
            <w:r w:rsidRPr="00E0488D">
              <w:rPr>
                <w:rFonts w:cs="Arial"/>
                <w:color w:val="000000"/>
                <w:sz w:val="22"/>
                <w:szCs w:val="22"/>
                <w:lang w:val="ro-RO"/>
              </w:rPr>
              <w:t>508</w:t>
            </w:r>
            <w:r w:rsidR="00313BD8" w:rsidRPr="00E0488D">
              <w:rPr>
                <w:rFonts w:cs="Arial"/>
                <w:color w:val="000000"/>
                <w:sz w:val="22"/>
                <w:szCs w:val="22"/>
                <w:lang w:val="ro-RO"/>
              </w:rPr>
              <w:t>.</w:t>
            </w:r>
            <w:r w:rsidRPr="00E0488D">
              <w:rPr>
                <w:rFonts w:cs="Arial"/>
                <w:color w:val="000000"/>
                <w:sz w:val="22"/>
                <w:szCs w:val="22"/>
                <w:lang w:val="ro-RO"/>
              </w:rPr>
              <w:t>407</w:t>
            </w:r>
          </w:p>
        </w:tc>
        <w:tc>
          <w:tcPr>
            <w:tcW w:w="801" w:type="pct"/>
            <w:vAlign w:val="center"/>
          </w:tcPr>
          <w:p w:rsidR="00E37BD3" w:rsidRPr="00E0488D" w:rsidRDefault="00E37BD3" w:rsidP="00313BD8">
            <w:pPr>
              <w:jc w:val="right"/>
              <w:rPr>
                <w:rFonts w:cs="Arial"/>
                <w:color w:val="000000"/>
                <w:sz w:val="22"/>
                <w:szCs w:val="22"/>
                <w:lang w:val="ro-RO"/>
              </w:rPr>
            </w:pPr>
            <w:r w:rsidRPr="00E0488D">
              <w:rPr>
                <w:rFonts w:cs="Arial"/>
                <w:color w:val="000000"/>
                <w:sz w:val="22"/>
                <w:szCs w:val="22"/>
                <w:lang w:val="ro-RO"/>
              </w:rPr>
              <w:t>672</w:t>
            </w:r>
            <w:r w:rsidR="00313BD8" w:rsidRPr="00E0488D">
              <w:rPr>
                <w:rFonts w:cs="Arial"/>
                <w:color w:val="000000"/>
                <w:sz w:val="22"/>
                <w:szCs w:val="22"/>
                <w:lang w:val="ro-RO"/>
              </w:rPr>
              <w:t>.</w:t>
            </w:r>
            <w:r w:rsidRPr="00E0488D">
              <w:rPr>
                <w:rFonts w:cs="Arial"/>
                <w:color w:val="000000"/>
                <w:sz w:val="22"/>
                <w:szCs w:val="22"/>
                <w:lang w:val="ro-RO"/>
              </w:rPr>
              <w:t>085</w:t>
            </w:r>
          </w:p>
        </w:tc>
        <w:tc>
          <w:tcPr>
            <w:tcW w:w="800" w:type="pct"/>
            <w:vAlign w:val="center"/>
          </w:tcPr>
          <w:p w:rsidR="00E37BD3" w:rsidRPr="00E0488D" w:rsidRDefault="00E37BD3" w:rsidP="00313BD8">
            <w:pPr>
              <w:jc w:val="right"/>
              <w:rPr>
                <w:rFonts w:cs="Arial"/>
                <w:color w:val="000000"/>
                <w:sz w:val="22"/>
                <w:szCs w:val="22"/>
                <w:lang w:val="ro-RO"/>
              </w:rPr>
            </w:pPr>
            <w:r w:rsidRPr="00E0488D">
              <w:rPr>
                <w:rFonts w:cs="Arial"/>
                <w:color w:val="000000"/>
                <w:sz w:val="22"/>
                <w:szCs w:val="22"/>
                <w:lang w:val="ro-RO"/>
              </w:rPr>
              <w:t>707</w:t>
            </w:r>
            <w:r w:rsidR="00313BD8" w:rsidRPr="00E0488D">
              <w:rPr>
                <w:rFonts w:cs="Arial"/>
                <w:color w:val="000000"/>
                <w:sz w:val="22"/>
                <w:szCs w:val="22"/>
                <w:lang w:val="ro-RO"/>
              </w:rPr>
              <w:t>.</w:t>
            </w:r>
            <w:r w:rsidRPr="00E0488D">
              <w:rPr>
                <w:rFonts w:cs="Arial"/>
                <w:color w:val="000000"/>
                <w:sz w:val="22"/>
                <w:szCs w:val="22"/>
                <w:lang w:val="ro-RO"/>
              </w:rPr>
              <w:t>994</w:t>
            </w:r>
          </w:p>
        </w:tc>
      </w:tr>
      <w:tr w:rsidR="00597EA4" w:rsidRPr="00E0488D" w:rsidTr="00313BD8">
        <w:tc>
          <w:tcPr>
            <w:tcW w:w="996" w:type="pct"/>
          </w:tcPr>
          <w:p w:rsidR="00597EA4" w:rsidRPr="00E0488D" w:rsidRDefault="00E37BD3" w:rsidP="00313BD8">
            <w:pPr>
              <w:spacing w:line="276" w:lineRule="auto"/>
              <w:rPr>
                <w:sz w:val="22"/>
                <w:szCs w:val="22"/>
                <w:lang w:val="ro-RO"/>
              </w:rPr>
            </w:pPr>
            <w:r w:rsidRPr="00E0488D">
              <w:rPr>
                <w:sz w:val="20"/>
                <w:szCs w:val="20"/>
                <w:lang w:val="ro-RO"/>
              </w:rPr>
              <w:t>Infrastructură și lucrări de modernizare</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6.4.78</w:t>
            </w:r>
          </w:p>
        </w:tc>
        <w:tc>
          <w:tcPr>
            <w:tcW w:w="801" w:type="pct"/>
          </w:tcPr>
          <w:p w:rsidR="00597EA4" w:rsidRPr="00E0488D" w:rsidRDefault="00597EA4" w:rsidP="00313BD8">
            <w:pPr>
              <w:spacing w:line="276" w:lineRule="auto"/>
              <w:rPr>
                <w:sz w:val="22"/>
                <w:szCs w:val="22"/>
                <w:lang w:val="ro-RO"/>
              </w:rPr>
            </w:pPr>
            <w:r w:rsidRPr="00E0488D">
              <w:rPr>
                <w:sz w:val="22"/>
                <w:szCs w:val="22"/>
                <w:lang w:val="ro-RO"/>
              </w:rPr>
              <w:t>Giurgiu</w:t>
            </w:r>
          </w:p>
        </w:tc>
        <w:tc>
          <w:tcPr>
            <w:tcW w:w="801"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256</w:t>
            </w:r>
            <w:r w:rsidR="00313BD8" w:rsidRPr="00E0488D">
              <w:rPr>
                <w:rFonts w:cs="Arial"/>
                <w:color w:val="000000"/>
                <w:sz w:val="22"/>
                <w:szCs w:val="22"/>
                <w:lang w:val="ro-RO"/>
              </w:rPr>
              <w:t>.</w:t>
            </w:r>
            <w:r w:rsidRPr="00E0488D">
              <w:rPr>
                <w:rFonts w:cs="Arial"/>
                <w:color w:val="000000"/>
                <w:sz w:val="22"/>
                <w:szCs w:val="22"/>
                <w:lang w:val="ro-RO"/>
              </w:rPr>
              <w:t>288</w:t>
            </w:r>
          </w:p>
        </w:tc>
        <w:tc>
          <w:tcPr>
            <w:tcW w:w="801"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459</w:t>
            </w:r>
            <w:r w:rsidR="00313BD8" w:rsidRPr="00E0488D">
              <w:rPr>
                <w:rFonts w:cs="Arial"/>
                <w:color w:val="000000"/>
                <w:sz w:val="22"/>
                <w:szCs w:val="22"/>
                <w:lang w:val="ro-RO"/>
              </w:rPr>
              <w:t>.</w:t>
            </w:r>
            <w:r w:rsidRPr="00E0488D">
              <w:rPr>
                <w:rFonts w:cs="Arial"/>
                <w:color w:val="000000"/>
                <w:sz w:val="22"/>
                <w:szCs w:val="22"/>
                <w:lang w:val="ro-RO"/>
              </w:rPr>
              <w:t>373</w:t>
            </w:r>
          </w:p>
        </w:tc>
        <w:tc>
          <w:tcPr>
            <w:tcW w:w="800" w:type="pct"/>
            <w:vAlign w:val="center"/>
          </w:tcPr>
          <w:p w:rsidR="00597EA4" w:rsidRPr="00E0488D" w:rsidRDefault="00597EA4" w:rsidP="00313BD8">
            <w:pPr>
              <w:jc w:val="right"/>
              <w:rPr>
                <w:rFonts w:cs="Arial"/>
                <w:color w:val="000000"/>
                <w:sz w:val="22"/>
                <w:szCs w:val="22"/>
                <w:lang w:val="ro-RO"/>
              </w:rPr>
            </w:pPr>
            <w:r w:rsidRPr="00E0488D">
              <w:rPr>
                <w:rFonts w:cs="Arial"/>
                <w:color w:val="000000"/>
                <w:sz w:val="22"/>
                <w:szCs w:val="22"/>
                <w:lang w:val="ro-RO"/>
              </w:rPr>
              <w:t>513</w:t>
            </w:r>
            <w:r w:rsidR="00313BD8" w:rsidRPr="00E0488D">
              <w:rPr>
                <w:rFonts w:cs="Arial"/>
                <w:color w:val="000000"/>
                <w:sz w:val="22"/>
                <w:szCs w:val="22"/>
                <w:lang w:val="ro-RO"/>
              </w:rPr>
              <w:t>.</w:t>
            </w:r>
            <w:r w:rsidRPr="00E0488D">
              <w:rPr>
                <w:rFonts w:cs="Arial"/>
                <w:color w:val="000000"/>
                <w:sz w:val="22"/>
                <w:szCs w:val="22"/>
                <w:lang w:val="ro-RO"/>
              </w:rPr>
              <w:t>745</w:t>
            </w:r>
          </w:p>
        </w:tc>
      </w:tr>
      <w:tr w:rsidR="00E37BD3" w:rsidRPr="00E0488D" w:rsidTr="00313BD8">
        <w:tc>
          <w:tcPr>
            <w:tcW w:w="996" w:type="pct"/>
            <w:vAlign w:val="center"/>
          </w:tcPr>
          <w:p w:rsidR="00E37BD3" w:rsidRPr="00E0488D" w:rsidRDefault="00E37BD3" w:rsidP="00313BD8">
            <w:pPr>
              <w:spacing w:line="276" w:lineRule="auto"/>
              <w:rPr>
                <w:sz w:val="20"/>
                <w:szCs w:val="20"/>
                <w:lang w:val="ro-RO"/>
              </w:rPr>
            </w:pPr>
            <w:r w:rsidRPr="00E0488D">
              <w:rPr>
                <w:sz w:val="20"/>
                <w:szCs w:val="20"/>
                <w:lang w:val="ro-RO" w:eastAsia="en-GB"/>
              </w:rPr>
              <w:t xml:space="preserve">Modernizarea și reabilitarea infrastructurii </w:t>
            </w:r>
          </w:p>
        </w:tc>
        <w:tc>
          <w:tcPr>
            <w:tcW w:w="801" w:type="pct"/>
          </w:tcPr>
          <w:p w:rsidR="00E37BD3" w:rsidRPr="00E0488D" w:rsidRDefault="00E37BD3" w:rsidP="00313BD8">
            <w:pPr>
              <w:spacing w:line="276" w:lineRule="auto"/>
              <w:rPr>
                <w:sz w:val="22"/>
                <w:szCs w:val="22"/>
                <w:lang w:val="ro-RO"/>
              </w:rPr>
            </w:pPr>
            <w:r w:rsidRPr="00E0488D">
              <w:rPr>
                <w:sz w:val="22"/>
                <w:szCs w:val="22"/>
                <w:lang w:val="ro-RO"/>
              </w:rPr>
              <w:t>6.4.87</w:t>
            </w:r>
          </w:p>
        </w:tc>
        <w:tc>
          <w:tcPr>
            <w:tcW w:w="801" w:type="pct"/>
          </w:tcPr>
          <w:p w:rsidR="00E37BD3" w:rsidRPr="00E0488D" w:rsidRDefault="00E37BD3" w:rsidP="00313BD8">
            <w:pPr>
              <w:spacing w:line="276" w:lineRule="auto"/>
              <w:rPr>
                <w:sz w:val="22"/>
                <w:szCs w:val="22"/>
                <w:lang w:val="ro-RO"/>
              </w:rPr>
            </w:pPr>
            <w:r w:rsidRPr="00E0488D">
              <w:rPr>
                <w:sz w:val="22"/>
                <w:szCs w:val="22"/>
                <w:lang w:val="ro-RO"/>
              </w:rPr>
              <w:t>Corabia</w:t>
            </w:r>
          </w:p>
        </w:tc>
        <w:tc>
          <w:tcPr>
            <w:tcW w:w="801" w:type="pct"/>
            <w:vAlign w:val="center"/>
          </w:tcPr>
          <w:p w:rsidR="00E37BD3" w:rsidRPr="00E0488D" w:rsidRDefault="00E37BD3" w:rsidP="00313BD8">
            <w:pPr>
              <w:jc w:val="right"/>
              <w:rPr>
                <w:rFonts w:cs="Arial"/>
                <w:bCs/>
                <w:sz w:val="22"/>
                <w:szCs w:val="22"/>
                <w:lang w:val="ro-RO"/>
              </w:rPr>
            </w:pPr>
            <w:r w:rsidRPr="00E0488D">
              <w:rPr>
                <w:rFonts w:cs="Arial"/>
                <w:bCs/>
                <w:sz w:val="22"/>
                <w:szCs w:val="22"/>
                <w:lang w:val="ro-RO"/>
              </w:rPr>
              <w:t>22</w:t>
            </w:r>
            <w:r w:rsidR="00313BD8" w:rsidRPr="00E0488D">
              <w:rPr>
                <w:rFonts w:cs="Arial"/>
                <w:bCs/>
                <w:sz w:val="22"/>
                <w:szCs w:val="22"/>
                <w:lang w:val="ro-RO"/>
              </w:rPr>
              <w:t>.</w:t>
            </w:r>
            <w:r w:rsidRPr="00E0488D">
              <w:rPr>
                <w:rFonts w:cs="Arial"/>
                <w:bCs/>
                <w:sz w:val="22"/>
                <w:szCs w:val="22"/>
                <w:lang w:val="ro-RO"/>
              </w:rPr>
              <w:t>613</w:t>
            </w:r>
          </w:p>
          <w:p w:rsidR="00E37BD3" w:rsidRPr="00E0488D" w:rsidRDefault="00E37BD3" w:rsidP="00313BD8">
            <w:pPr>
              <w:spacing w:line="276" w:lineRule="auto"/>
              <w:jc w:val="right"/>
              <w:rPr>
                <w:rFonts w:cs="Arial"/>
                <w:sz w:val="22"/>
                <w:szCs w:val="22"/>
                <w:lang w:val="ro-RO"/>
              </w:rPr>
            </w:pPr>
          </w:p>
        </w:tc>
        <w:tc>
          <w:tcPr>
            <w:tcW w:w="801" w:type="pct"/>
            <w:vAlign w:val="center"/>
          </w:tcPr>
          <w:p w:rsidR="00E37BD3" w:rsidRPr="00E0488D" w:rsidRDefault="00E37BD3" w:rsidP="00313BD8">
            <w:pPr>
              <w:jc w:val="right"/>
              <w:rPr>
                <w:rFonts w:cs="Arial"/>
                <w:sz w:val="22"/>
                <w:szCs w:val="22"/>
                <w:lang w:val="ro-RO"/>
              </w:rPr>
            </w:pPr>
            <w:r w:rsidRPr="00E0488D">
              <w:rPr>
                <w:rFonts w:cs="Arial"/>
                <w:sz w:val="22"/>
                <w:szCs w:val="22"/>
                <w:lang w:val="ro-RO"/>
              </w:rPr>
              <w:t>70</w:t>
            </w:r>
            <w:r w:rsidR="00313BD8" w:rsidRPr="00E0488D">
              <w:rPr>
                <w:rFonts w:cs="Arial"/>
                <w:sz w:val="22"/>
                <w:szCs w:val="22"/>
                <w:lang w:val="ro-RO"/>
              </w:rPr>
              <w:t>.</w:t>
            </w:r>
            <w:r w:rsidRPr="00E0488D">
              <w:rPr>
                <w:rFonts w:cs="Arial"/>
                <w:sz w:val="22"/>
                <w:szCs w:val="22"/>
                <w:lang w:val="ro-RO"/>
              </w:rPr>
              <w:t>123</w:t>
            </w:r>
          </w:p>
          <w:p w:rsidR="00E37BD3" w:rsidRPr="00E0488D" w:rsidRDefault="00E37BD3" w:rsidP="00313BD8">
            <w:pPr>
              <w:spacing w:line="276" w:lineRule="auto"/>
              <w:jc w:val="right"/>
              <w:rPr>
                <w:rFonts w:cs="Arial"/>
                <w:sz w:val="22"/>
                <w:szCs w:val="22"/>
                <w:lang w:val="ro-RO"/>
              </w:rPr>
            </w:pPr>
          </w:p>
        </w:tc>
        <w:tc>
          <w:tcPr>
            <w:tcW w:w="800" w:type="pct"/>
            <w:vAlign w:val="center"/>
          </w:tcPr>
          <w:p w:rsidR="00E37BD3" w:rsidRPr="00E0488D" w:rsidRDefault="00E37BD3" w:rsidP="00313BD8">
            <w:pPr>
              <w:jc w:val="right"/>
              <w:rPr>
                <w:rFonts w:cs="Arial"/>
                <w:sz w:val="22"/>
                <w:szCs w:val="22"/>
                <w:lang w:val="ro-RO"/>
              </w:rPr>
            </w:pPr>
            <w:r w:rsidRPr="00E0488D">
              <w:rPr>
                <w:rFonts w:cs="Arial"/>
                <w:sz w:val="22"/>
                <w:szCs w:val="22"/>
                <w:lang w:val="ro-RO"/>
              </w:rPr>
              <w:t>143</w:t>
            </w:r>
            <w:r w:rsidR="00313BD8" w:rsidRPr="00E0488D">
              <w:rPr>
                <w:rFonts w:cs="Arial"/>
                <w:sz w:val="22"/>
                <w:szCs w:val="22"/>
                <w:lang w:val="ro-RO"/>
              </w:rPr>
              <w:t>.</w:t>
            </w:r>
            <w:r w:rsidRPr="00E0488D">
              <w:rPr>
                <w:rFonts w:cs="Arial"/>
                <w:sz w:val="22"/>
                <w:szCs w:val="22"/>
                <w:lang w:val="ro-RO"/>
              </w:rPr>
              <w:t>971</w:t>
            </w:r>
          </w:p>
          <w:p w:rsidR="00E37BD3" w:rsidRPr="00E0488D" w:rsidRDefault="00E37BD3" w:rsidP="00313BD8">
            <w:pPr>
              <w:spacing w:line="276" w:lineRule="auto"/>
              <w:jc w:val="right"/>
              <w:rPr>
                <w:rFonts w:cs="Arial"/>
                <w:sz w:val="22"/>
                <w:szCs w:val="22"/>
                <w:lang w:val="ro-RO"/>
              </w:rPr>
            </w:pPr>
          </w:p>
        </w:tc>
      </w:tr>
      <w:tr w:rsidR="00321173" w:rsidRPr="00E0488D" w:rsidTr="00313BD8">
        <w:tc>
          <w:tcPr>
            <w:tcW w:w="996" w:type="pct"/>
            <w:vAlign w:val="center"/>
          </w:tcPr>
          <w:p w:rsidR="00321173" w:rsidRPr="00E0488D" w:rsidRDefault="00321173" w:rsidP="00313BD8">
            <w:pPr>
              <w:spacing w:line="276" w:lineRule="auto"/>
              <w:rPr>
                <w:sz w:val="20"/>
                <w:szCs w:val="20"/>
                <w:lang w:val="ro-RO"/>
              </w:rPr>
            </w:pPr>
            <w:r w:rsidRPr="00E0488D">
              <w:rPr>
                <w:sz w:val="20"/>
                <w:szCs w:val="20"/>
                <w:lang w:val="ro-RO"/>
              </w:rPr>
              <w:t xml:space="preserve">Dezvoltarea infrastructurii </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6.4.96</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Calafat</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139</w:t>
            </w:r>
            <w:r w:rsidR="00313BD8" w:rsidRPr="00E0488D">
              <w:rPr>
                <w:rFonts w:cs="Arial"/>
                <w:color w:val="000000"/>
                <w:sz w:val="22"/>
                <w:szCs w:val="22"/>
                <w:lang w:val="ro-RO"/>
              </w:rPr>
              <w:t>.</w:t>
            </w:r>
            <w:r w:rsidRPr="00E0488D">
              <w:rPr>
                <w:rFonts w:cs="Arial"/>
                <w:color w:val="000000"/>
                <w:sz w:val="22"/>
                <w:szCs w:val="22"/>
                <w:lang w:val="ro-RO"/>
              </w:rPr>
              <w:t>105</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156</w:t>
            </w:r>
            <w:r w:rsidR="00313BD8" w:rsidRPr="00E0488D">
              <w:rPr>
                <w:rFonts w:cs="Arial"/>
                <w:color w:val="000000"/>
                <w:sz w:val="22"/>
                <w:szCs w:val="22"/>
                <w:lang w:val="ro-RO"/>
              </w:rPr>
              <w:t>.</w:t>
            </w:r>
            <w:r w:rsidRPr="00E0488D">
              <w:rPr>
                <w:rFonts w:cs="Arial"/>
                <w:color w:val="000000"/>
                <w:sz w:val="22"/>
                <w:szCs w:val="22"/>
                <w:lang w:val="ro-RO"/>
              </w:rPr>
              <w:t>016</w:t>
            </w:r>
          </w:p>
        </w:tc>
        <w:tc>
          <w:tcPr>
            <w:tcW w:w="800"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167</w:t>
            </w:r>
            <w:r w:rsidR="00313BD8" w:rsidRPr="00E0488D">
              <w:rPr>
                <w:rFonts w:cs="Arial"/>
                <w:color w:val="000000"/>
                <w:sz w:val="22"/>
                <w:szCs w:val="22"/>
                <w:lang w:val="ro-RO"/>
              </w:rPr>
              <w:t>.</w:t>
            </w:r>
            <w:r w:rsidRPr="00E0488D">
              <w:rPr>
                <w:rFonts w:cs="Arial"/>
                <w:color w:val="000000"/>
                <w:sz w:val="22"/>
                <w:szCs w:val="22"/>
                <w:lang w:val="ro-RO"/>
              </w:rPr>
              <w:t>887</w:t>
            </w:r>
          </w:p>
        </w:tc>
      </w:tr>
      <w:tr w:rsidR="00321173" w:rsidRPr="00E0488D" w:rsidTr="00313BD8">
        <w:tc>
          <w:tcPr>
            <w:tcW w:w="996" w:type="pct"/>
            <w:vAlign w:val="center"/>
          </w:tcPr>
          <w:p w:rsidR="00321173" w:rsidRPr="00E0488D" w:rsidRDefault="00321173" w:rsidP="00313BD8">
            <w:pPr>
              <w:spacing w:line="276" w:lineRule="auto"/>
              <w:rPr>
                <w:sz w:val="20"/>
                <w:szCs w:val="20"/>
                <w:lang w:val="ro-RO"/>
              </w:rPr>
            </w:pPr>
            <w:r w:rsidRPr="00E0488D">
              <w:rPr>
                <w:sz w:val="20"/>
                <w:szCs w:val="20"/>
                <w:lang w:val="ro-RO"/>
              </w:rPr>
              <w:t xml:space="preserve">Dezvoltarea infrastructurii </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6.4.104</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Drobeta Turnu Severin</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490</w:t>
            </w:r>
            <w:r w:rsidR="00313BD8" w:rsidRPr="00E0488D">
              <w:rPr>
                <w:rFonts w:cs="Arial"/>
                <w:color w:val="000000"/>
                <w:sz w:val="22"/>
                <w:szCs w:val="22"/>
                <w:lang w:val="ro-RO"/>
              </w:rPr>
              <w:t>.</w:t>
            </w:r>
            <w:r w:rsidRPr="00E0488D">
              <w:rPr>
                <w:rFonts w:cs="Arial"/>
                <w:color w:val="000000"/>
                <w:sz w:val="22"/>
                <w:szCs w:val="22"/>
                <w:lang w:val="ro-RO"/>
              </w:rPr>
              <w:t>112</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594</w:t>
            </w:r>
            <w:r w:rsidR="00313BD8" w:rsidRPr="00E0488D">
              <w:rPr>
                <w:rFonts w:cs="Arial"/>
                <w:color w:val="000000"/>
                <w:sz w:val="22"/>
                <w:szCs w:val="22"/>
                <w:lang w:val="ro-RO"/>
              </w:rPr>
              <w:t>.</w:t>
            </w:r>
            <w:r w:rsidRPr="00E0488D">
              <w:rPr>
                <w:rFonts w:cs="Arial"/>
                <w:color w:val="000000"/>
                <w:sz w:val="22"/>
                <w:szCs w:val="22"/>
                <w:lang w:val="ro-RO"/>
              </w:rPr>
              <w:t>367</w:t>
            </w:r>
          </w:p>
        </w:tc>
        <w:tc>
          <w:tcPr>
            <w:tcW w:w="800"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702</w:t>
            </w:r>
            <w:r w:rsidR="00313BD8" w:rsidRPr="00E0488D">
              <w:rPr>
                <w:rFonts w:cs="Arial"/>
                <w:color w:val="000000"/>
                <w:sz w:val="22"/>
                <w:szCs w:val="22"/>
                <w:lang w:val="ro-RO"/>
              </w:rPr>
              <w:t>.</w:t>
            </w:r>
            <w:r w:rsidRPr="00E0488D">
              <w:rPr>
                <w:rFonts w:cs="Arial"/>
                <w:color w:val="000000"/>
                <w:sz w:val="22"/>
                <w:szCs w:val="22"/>
                <w:lang w:val="ro-RO"/>
              </w:rPr>
              <w:t>769</w:t>
            </w:r>
          </w:p>
        </w:tc>
      </w:tr>
      <w:tr w:rsidR="00321173" w:rsidRPr="00E0488D" w:rsidTr="00313BD8">
        <w:tc>
          <w:tcPr>
            <w:tcW w:w="996" w:type="pct"/>
            <w:vAlign w:val="center"/>
          </w:tcPr>
          <w:p w:rsidR="00321173" w:rsidRPr="00E0488D" w:rsidRDefault="00321173" w:rsidP="00313BD8">
            <w:pPr>
              <w:spacing w:line="276" w:lineRule="auto"/>
              <w:rPr>
                <w:sz w:val="20"/>
                <w:szCs w:val="20"/>
                <w:lang w:val="ro-RO"/>
              </w:rPr>
            </w:pPr>
            <w:r w:rsidRPr="00E0488D">
              <w:rPr>
                <w:sz w:val="20"/>
                <w:szCs w:val="20"/>
                <w:lang w:val="ro-RO"/>
              </w:rPr>
              <w:t xml:space="preserve">Modernizarea portului </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6.4.122</w:t>
            </w:r>
          </w:p>
        </w:tc>
        <w:tc>
          <w:tcPr>
            <w:tcW w:w="801" w:type="pct"/>
          </w:tcPr>
          <w:p w:rsidR="00321173" w:rsidRPr="00E0488D" w:rsidRDefault="009C6421" w:rsidP="00313BD8">
            <w:pPr>
              <w:spacing w:line="276" w:lineRule="auto"/>
              <w:rPr>
                <w:sz w:val="22"/>
                <w:szCs w:val="22"/>
                <w:lang w:val="ro-RO"/>
              </w:rPr>
            </w:pPr>
            <w:r w:rsidRPr="00E0488D">
              <w:rPr>
                <w:sz w:val="22"/>
                <w:szCs w:val="22"/>
                <w:lang w:val="ro-RO"/>
              </w:rPr>
              <w:t>Orșova</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187</w:t>
            </w:r>
            <w:r w:rsidR="00313BD8" w:rsidRPr="00E0488D">
              <w:rPr>
                <w:rFonts w:cs="Arial"/>
                <w:color w:val="000000"/>
                <w:sz w:val="22"/>
                <w:szCs w:val="22"/>
                <w:lang w:val="ro-RO"/>
              </w:rPr>
              <w:t>.</w:t>
            </w:r>
            <w:r w:rsidRPr="00E0488D">
              <w:rPr>
                <w:rFonts w:cs="Arial"/>
                <w:color w:val="000000"/>
                <w:sz w:val="22"/>
                <w:szCs w:val="22"/>
                <w:lang w:val="ro-RO"/>
              </w:rPr>
              <w:t>752</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291</w:t>
            </w:r>
            <w:r w:rsidR="00313BD8" w:rsidRPr="00E0488D">
              <w:rPr>
                <w:rFonts w:cs="Arial"/>
                <w:color w:val="000000"/>
                <w:sz w:val="22"/>
                <w:szCs w:val="22"/>
                <w:lang w:val="ro-RO"/>
              </w:rPr>
              <w:t>.</w:t>
            </w:r>
            <w:r w:rsidRPr="00E0488D">
              <w:rPr>
                <w:rFonts w:cs="Arial"/>
                <w:color w:val="000000"/>
                <w:sz w:val="22"/>
                <w:szCs w:val="22"/>
                <w:lang w:val="ro-RO"/>
              </w:rPr>
              <w:t>081.</w:t>
            </w:r>
          </w:p>
        </w:tc>
        <w:tc>
          <w:tcPr>
            <w:tcW w:w="800"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357</w:t>
            </w:r>
            <w:r w:rsidR="00313BD8" w:rsidRPr="00E0488D">
              <w:rPr>
                <w:rFonts w:cs="Arial"/>
                <w:color w:val="000000"/>
                <w:sz w:val="22"/>
                <w:szCs w:val="22"/>
                <w:lang w:val="ro-RO"/>
              </w:rPr>
              <w:t>.</w:t>
            </w:r>
            <w:r w:rsidRPr="00E0488D">
              <w:rPr>
                <w:rFonts w:cs="Arial"/>
                <w:color w:val="000000"/>
                <w:sz w:val="22"/>
                <w:szCs w:val="22"/>
                <w:lang w:val="ro-RO"/>
              </w:rPr>
              <w:t>127.</w:t>
            </w:r>
          </w:p>
        </w:tc>
      </w:tr>
      <w:tr w:rsidR="00321173" w:rsidRPr="00E0488D" w:rsidTr="00313BD8">
        <w:tc>
          <w:tcPr>
            <w:tcW w:w="996" w:type="pct"/>
            <w:vAlign w:val="center"/>
          </w:tcPr>
          <w:p w:rsidR="00321173" w:rsidRPr="00E0488D" w:rsidRDefault="00321173" w:rsidP="00313BD8">
            <w:pPr>
              <w:spacing w:line="276" w:lineRule="auto"/>
              <w:rPr>
                <w:sz w:val="20"/>
                <w:szCs w:val="20"/>
                <w:lang w:val="ro-RO"/>
              </w:rPr>
            </w:pPr>
            <w:r w:rsidRPr="00E0488D">
              <w:rPr>
                <w:sz w:val="20"/>
                <w:szCs w:val="20"/>
                <w:lang w:val="ro-RO"/>
              </w:rPr>
              <w:t xml:space="preserve">Dezvoltarea infrastructurii </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6.4.1232</w:t>
            </w:r>
          </w:p>
        </w:tc>
        <w:tc>
          <w:tcPr>
            <w:tcW w:w="801" w:type="pct"/>
          </w:tcPr>
          <w:p w:rsidR="00321173" w:rsidRPr="00E0488D" w:rsidRDefault="00321173" w:rsidP="00313BD8">
            <w:pPr>
              <w:spacing w:line="276" w:lineRule="auto"/>
              <w:rPr>
                <w:sz w:val="22"/>
                <w:szCs w:val="22"/>
                <w:lang w:val="ro-RO"/>
              </w:rPr>
            </w:pPr>
            <w:r w:rsidRPr="00E0488D">
              <w:rPr>
                <w:sz w:val="22"/>
                <w:szCs w:val="22"/>
                <w:lang w:val="ro-RO"/>
              </w:rPr>
              <w:t>Moldova Veche</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21</w:t>
            </w:r>
            <w:r w:rsidR="00313BD8" w:rsidRPr="00E0488D">
              <w:rPr>
                <w:rFonts w:cs="Arial"/>
                <w:color w:val="000000"/>
                <w:sz w:val="22"/>
                <w:szCs w:val="22"/>
                <w:lang w:val="ro-RO"/>
              </w:rPr>
              <w:t>.</w:t>
            </w:r>
            <w:r w:rsidRPr="00E0488D">
              <w:rPr>
                <w:rFonts w:cs="Arial"/>
                <w:color w:val="000000"/>
                <w:sz w:val="22"/>
                <w:szCs w:val="22"/>
                <w:lang w:val="ro-RO"/>
              </w:rPr>
              <w:t>505</w:t>
            </w:r>
          </w:p>
        </w:tc>
        <w:tc>
          <w:tcPr>
            <w:tcW w:w="801"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25</w:t>
            </w:r>
            <w:r w:rsidR="00313BD8" w:rsidRPr="00E0488D">
              <w:rPr>
                <w:rFonts w:cs="Arial"/>
                <w:color w:val="000000"/>
                <w:sz w:val="22"/>
                <w:szCs w:val="22"/>
                <w:lang w:val="ro-RO"/>
              </w:rPr>
              <w:t>.</w:t>
            </w:r>
            <w:r w:rsidRPr="00E0488D">
              <w:rPr>
                <w:rFonts w:cs="Arial"/>
                <w:color w:val="000000"/>
                <w:sz w:val="22"/>
                <w:szCs w:val="22"/>
                <w:lang w:val="ro-RO"/>
              </w:rPr>
              <w:t>726</w:t>
            </w:r>
          </w:p>
        </w:tc>
        <w:tc>
          <w:tcPr>
            <w:tcW w:w="800" w:type="pct"/>
            <w:vAlign w:val="center"/>
          </w:tcPr>
          <w:p w:rsidR="00321173" w:rsidRPr="00E0488D" w:rsidRDefault="00321173" w:rsidP="00313BD8">
            <w:pPr>
              <w:jc w:val="right"/>
              <w:rPr>
                <w:rFonts w:cs="Arial"/>
                <w:color w:val="000000"/>
                <w:sz w:val="22"/>
                <w:szCs w:val="22"/>
                <w:lang w:val="ro-RO"/>
              </w:rPr>
            </w:pPr>
            <w:r w:rsidRPr="00E0488D">
              <w:rPr>
                <w:rFonts w:cs="Arial"/>
                <w:color w:val="000000"/>
                <w:sz w:val="22"/>
                <w:szCs w:val="22"/>
                <w:lang w:val="ro-RO"/>
              </w:rPr>
              <w:t>28</w:t>
            </w:r>
            <w:r w:rsidR="00313BD8" w:rsidRPr="00E0488D">
              <w:rPr>
                <w:rFonts w:cs="Arial"/>
                <w:color w:val="000000"/>
                <w:sz w:val="22"/>
                <w:szCs w:val="22"/>
                <w:lang w:val="ro-RO"/>
              </w:rPr>
              <w:t>.</w:t>
            </w:r>
            <w:r w:rsidRPr="00E0488D">
              <w:rPr>
                <w:rFonts w:cs="Arial"/>
                <w:color w:val="000000"/>
                <w:sz w:val="22"/>
                <w:szCs w:val="22"/>
                <w:lang w:val="ro-RO"/>
              </w:rPr>
              <w:t>688</w:t>
            </w:r>
          </w:p>
        </w:tc>
      </w:tr>
    </w:tbl>
    <w:p w:rsidR="00597EA4" w:rsidRPr="00E0488D" w:rsidRDefault="00313BD8" w:rsidP="002B7E09">
      <w:pPr>
        <w:pStyle w:val="NumberedParas"/>
        <w:numPr>
          <w:ilvl w:val="0"/>
          <w:numId w:val="0"/>
        </w:numPr>
        <w:ind w:left="1106"/>
      </w:pPr>
      <w:r w:rsidRPr="00E0488D">
        <w:t>Acest tabel sintetizează intervențiile suplimentare care, prin natura lor nu pot fi modelate folosind Modelul Național de Transport dar pe care AECOM le recomandă pentru a fi incluse ca parte a Master Planului.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7120"/>
        <w:gridCol w:w="2217"/>
      </w:tblGrid>
      <w:tr w:rsidR="00B4550A" w:rsidRPr="00E0488D" w:rsidTr="003C7FC8">
        <w:tc>
          <w:tcPr>
            <w:tcW w:w="0" w:type="auto"/>
            <w:shd w:val="clear" w:color="auto" w:fill="B8CCE4" w:themeFill="accent1" w:themeFillTint="66"/>
          </w:tcPr>
          <w:p w:rsidR="00B4550A" w:rsidRPr="00E0488D" w:rsidRDefault="00B4550A" w:rsidP="003C7FC8">
            <w:pPr>
              <w:spacing w:line="276" w:lineRule="auto"/>
              <w:rPr>
                <w:b/>
                <w:sz w:val="22"/>
                <w:szCs w:val="22"/>
                <w:lang w:val="ro-RO"/>
              </w:rPr>
            </w:pPr>
            <w:r w:rsidRPr="00E0488D">
              <w:rPr>
                <w:b/>
                <w:sz w:val="22"/>
                <w:szCs w:val="22"/>
                <w:lang w:val="ro-RO"/>
              </w:rPr>
              <w:t>Referință</w:t>
            </w:r>
          </w:p>
        </w:tc>
        <w:tc>
          <w:tcPr>
            <w:tcW w:w="0" w:type="auto"/>
            <w:shd w:val="clear" w:color="auto" w:fill="B8CCE4" w:themeFill="accent1" w:themeFillTint="66"/>
          </w:tcPr>
          <w:p w:rsidR="00B4550A" w:rsidRPr="00E0488D" w:rsidRDefault="00B4550A" w:rsidP="003C7FC8">
            <w:pPr>
              <w:spacing w:line="276" w:lineRule="auto"/>
              <w:rPr>
                <w:b/>
                <w:sz w:val="22"/>
                <w:szCs w:val="22"/>
                <w:lang w:val="ro-RO"/>
              </w:rPr>
            </w:pPr>
            <w:r w:rsidRPr="00E0488D">
              <w:rPr>
                <w:b/>
                <w:sz w:val="22"/>
                <w:szCs w:val="22"/>
                <w:lang w:val="ro-RO"/>
              </w:rPr>
              <w:t>Intervenție</w:t>
            </w:r>
          </w:p>
        </w:tc>
        <w:tc>
          <w:tcPr>
            <w:tcW w:w="0" w:type="auto"/>
            <w:shd w:val="clear" w:color="auto" w:fill="B8CCE4" w:themeFill="accent1" w:themeFillTint="66"/>
          </w:tcPr>
          <w:p w:rsidR="00B4550A" w:rsidRPr="00E0488D" w:rsidRDefault="00B4550A" w:rsidP="003C7FC8">
            <w:pPr>
              <w:spacing w:line="276" w:lineRule="auto"/>
              <w:rPr>
                <w:b/>
                <w:sz w:val="22"/>
                <w:szCs w:val="22"/>
                <w:lang w:val="ro-RO"/>
              </w:rPr>
            </w:pPr>
            <w:r w:rsidRPr="00E0488D">
              <w:rPr>
                <w:b/>
                <w:sz w:val="22"/>
                <w:szCs w:val="22"/>
                <w:lang w:val="ro-RO"/>
              </w:rPr>
              <w:t>Localizare</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W3</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 xml:space="preserve">Investirea în facilități de spargere a gheții inclusiv înlocuirea spărgătorului de gheață Perseus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 xml:space="preserve">Dunăre </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W4</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Creșterea bugetelor de întreținere pentru a fi mai aproape de cele din alte țări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Dunăre</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W5</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Adresarea unei recomandări autorităților de a fi flexibile în ceea ce privește orele / zilele de funcționare astfel încât facilități precum punctele vamale, birourile de rezervări și terminalele să fie disponibile la cerere.</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Toate porturile</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W6</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Adoptarea unei atitudini comerciale și revizuirea taxelor pentru operatori din port pentru a asigura competitivitatea transportului pe căile navigabile</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Toată infrastructura</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W7</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România ar trebui să coopereze cu țările de pe Dunăre pentru a ajunge la un acord cu privire la planurile operaționale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NA</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W8</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Revizuirea procedurilor administrative din port și de la punctele vamale și raționalizarea și îmbunătățirea comunicării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Toate porturile</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W9</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Organizarea unor sesiuni de instruire sustenabile pentru a răspunde nevoilor sectorului naval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NA</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W10</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Încurajarea industriei să utilizeze sisteme integrate moderne pentru punctele vamale, navigație, reglementare și administrare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NA</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W11</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Dezvoltarea unui plan de siguranță care să includă instruire pentru a reduce accidentele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NA</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W12</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Creșterea gradului de securitate pentru a reduce furturile de pe vase și facilitățile din port la porturile incluse în Rețeaua Economică Primară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 xml:space="preserve">Toată infrastructura și toate navele </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W13</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Reducerea emisiilor ca urmare a activităților navale prin adoptarea celor mai bune practici: aplicarea regulamentelor UE cu privire la emisiile navelor non-UE</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NA</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W14</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Păzirea terenurilor și facilităților din porturile mici și sub</w:t>
            </w:r>
            <w:r w:rsidR="009C6421">
              <w:rPr>
                <w:sz w:val="22"/>
                <w:szCs w:val="22"/>
                <w:lang w:val="ro-RO"/>
              </w:rPr>
              <w:t>-</w:t>
            </w:r>
            <w:r w:rsidRPr="00E0488D">
              <w:rPr>
                <w:sz w:val="22"/>
                <w:szCs w:val="22"/>
                <w:lang w:val="ro-RO"/>
              </w:rPr>
              <w:t xml:space="preserve">utilizate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Toate porturile</w:t>
            </w:r>
          </w:p>
        </w:tc>
      </w:tr>
      <w:tr w:rsidR="00B4550A" w:rsidRPr="00E0488D" w:rsidTr="003C7FC8">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W15</w:t>
            </w:r>
          </w:p>
        </w:tc>
        <w:tc>
          <w:tcPr>
            <w:tcW w:w="0" w:type="auto"/>
            <w:vAlign w:val="center"/>
          </w:tcPr>
          <w:p w:rsidR="00B4550A" w:rsidRPr="00E0488D" w:rsidRDefault="00B4550A" w:rsidP="003C7FC8">
            <w:pPr>
              <w:spacing w:line="276" w:lineRule="auto"/>
              <w:rPr>
                <w:sz w:val="22"/>
                <w:szCs w:val="22"/>
                <w:lang w:val="ro-RO"/>
              </w:rPr>
            </w:pPr>
            <w:r w:rsidRPr="00E0488D">
              <w:rPr>
                <w:sz w:val="22"/>
                <w:szCs w:val="22"/>
                <w:lang w:val="ro-RO"/>
              </w:rPr>
              <w:t xml:space="preserve">Îmbunătățirea legăturilor rutiere / feroviare locale și interne </w:t>
            </w:r>
          </w:p>
        </w:tc>
        <w:tc>
          <w:tcPr>
            <w:tcW w:w="0" w:type="auto"/>
          </w:tcPr>
          <w:p w:rsidR="00B4550A" w:rsidRPr="00E0488D" w:rsidRDefault="00B4550A" w:rsidP="003C7FC8">
            <w:pPr>
              <w:spacing w:line="276" w:lineRule="auto"/>
              <w:rPr>
                <w:sz w:val="22"/>
                <w:szCs w:val="22"/>
                <w:lang w:val="ro-RO"/>
              </w:rPr>
            </w:pPr>
            <w:r w:rsidRPr="00E0488D">
              <w:rPr>
                <w:sz w:val="22"/>
                <w:szCs w:val="22"/>
                <w:lang w:val="ro-RO"/>
              </w:rPr>
              <w:t xml:space="preserve">Galați, Calafat, Giurgiu, Drobeta, Brăila  </w:t>
            </w:r>
          </w:p>
        </w:tc>
      </w:tr>
      <w:tr w:rsidR="006A11CD" w:rsidRPr="00E0488D" w:rsidTr="003C7FC8">
        <w:tc>
          <w:tcPr>
            <w:tcW w:w="0" w:type="auto"/>
            <w:vAlign w:val="center"/>
          </w:tcPr>
          <w:p w:rsidR="006A11CD" w:rsidRPr="00E0488D" w:rsidRDefault="006A11CD" w:rsidP="003C7FC8">
            <w:pPr>
              <w:spacing w:line="276" w:lineRule="auto"/>
              <w:rPr>
                <w:sz w:val="22"/>
                <w:szCs w:val="22"/>
                <w:lang w:val="ro-RO"/>
              </w:rPr>
            </w:pPr>
            <w:r w:rsidRPr="00E0488D">
              <w:rPr>
                <w:sz w:val="22"/>
                <w:szCs w:val="22"/>
                <w:lang w:val="ro-RO"/>
              </w:rPr>
              <w:t>W16</w:t>
            </w:r>
          </w:p>
        </w:tc>
        <w:tc>
          <w:tcPr>
            <w:tcW w:w="0" w:type="auto"/>
            <w:vAlign w:val="center"/>
          </w:tcPr>
          <w:p w:rsidR="006A11CD" w:rsidRPr="00E0488D" w:rsidRDefault="006A11CD" w:rsidP="009C6421">
            <w:pPr>
              <w:spacing w:line="276" w:lineRule="auto"/>
              <w:rPr>
                <w:sz w:val="22"/>
                <w:szCs w:val="22"/>
                <w:lang w:val="ro-RO"/>
              </w:rPr>
            </w:pPr>
            <w:r w:rsidRPr="00E0488D">
              <w:rPr>
                <w:sz w:val="22"/>
                <w:szCs w:val="22"/>
                <w:lang w:val="ro-RO"/>
              </w:rPr>
              <w:t>Transferarea proprietății asupra infrastructurii fer</w:t>
            </w:r>
            <w:r w:rsidR="009C6421">
              <w:rPr>
                <w:sz w:val="22"/>
                <w:szCs w:val="22"/>
                <w:lang w:val="ro-RO"/>
              </w:rPr>
              <w:t>o</w:t>
            </w:r>
            <w:r w:rsidRPr="00E0488D">
              <w:rPr>
                <w:sz w:val="22"/>
                <w:szCs w:val="22"/>
                <w:lang w:val="ro-RO"/>
              </w:rPr>
              <w:t>viare către porturi</w:t>
            </w:r>
          </w:p>
        </w:tc>
        <w:tc>
          <w:tcPr>
            <w:tcW w:w="0" w:type="auto"/>
          </w:tcPr>
          <w:p w:rsidR="006A11CD" w:rsidRPr="00E0488D" w:rsidRDefault="006A11CD" w:rsidP="003C7FC8">
            <w:pPr>
              <w:spacing w:line="276" w:lineRule="auto"/>
              <w:rPr>
                <w:sz w:val="22"/>
                <w:szCs w:val="22"/>
                <w:lang w:val="ro-RO"/>
              </w:rPr>
            </w:pPr>
            <w:r w:rsidRPr="00E0488D">
              <w:rPr>
                <w:sz w:val="22"/>
                <w:szCs w:val="22"/>
                <w:lang w:val="ro-RO"/>
              </w:rPr>
              <w:t>Toate porturile</w:t>
            </w:r>
          </w:p>
        </w:tc>
      </w:tr>
    </w:tbl>
    <w:p w:rsidR="00B4550A" w:rsidRPr="00E0488D" w:rsidRDefault="00B4550A" w:rsidP="00B4550A">
      <w:pPr>
        <w:spacing w:line="276" w:lineRule="auto"/>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285"/>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286"/>
          <w:footerReference w:type="default" r:id="rId287"/>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t>Transport aerian</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ind w:left="851" w:hanging="851"/>
      </w:pPr>
      <w:bookmarkStart w:id="563" w:name="_Toc413060336"/>
      <w:r w:rsidRPr="00E0488D">
        <w:t>Transport aerian</w:t>
      </w:r>
      <w:bookmarkEnd w:id="563"/>
    </w:p>
    <w:p w:rsidR="00B4550A" w:rsidRPr="00E0488D" w:rsidRDefault="00B4550A" w:rsidP="00BD59B2">
      <w:pPr>
        <w:pStyle w:val="Hdg2"/>
      </w:pPr>
      <w:bookmarkStart w:id="564" w:name="_Toc413060337"/>
      <w:r w:rsidRPr="00E0488D">
        <w:t>Introducere</w:t>
      </w:r>
      <w:bookmarkEnd w:id="564"/>
    </w:p>
    <w:p w:rsidR="00B4550A" w:rsidRPr="00E0488D" w:rsidRDefault="00B4550A" w:rsidP="002B7E09">
      <w:pPr>
        <w:pStyle w:val="NumberedParas"/>
      </w:pPr>
      <w:r w:rsidRPr="00E0488D">
        <w:t xml:space="preserve">Această secțiune reprezintă o privire Mărfuri generale ă a situației existente în sectorul aeronautic românesc. În cadrul acestei secțiuni se prezintă pe scurt tendințele înregistrate în traficul aerian din trecut, se descriu rolurile și clasificarea aeroporturilro și se prezintă prognoze ale traficului viitor de pasageir și marfă. Aceste progonze sunt apoi folosite pentru evaluarea nivelului cererii de infrastructură din viitor și a capacității fiecărui aeroport. </w:t>
      </w:r>
    </w:p>
    <w:p w:rsidR="00B4550A" w:rsidRPr="00E0488D" w:rsidRDefault="00B4550A" w:rsidP="002B7E09">
      <w:pPr>
        <w:pStyle w:val="NumberedParas"/>
      </w:pPr>
      <w:r w:rsidRPr="00E0488D">
        <w:t xml:space="preserve">În final, această secțiune stabilește obiectivele strategice pentru sectorul aeronautic, obiectivele operaționale și intervențiile propuse pentru fiecare dintre obiectivele operaționale exprimate. </w:t>
      </w:r>
    </w:p>
    <w:p w:rsidR="00B4550A" w:rsidRPr="00E0488D" w:rsidRDefault="00B4550A" w:rsidP="00BD59B2">
      <w:pPr>
        <w:pStyle w:val="Hdg2"/>
      </w:pPr>
      <w:bookmarkStart w:id="565" w:name="_Toc413060338"/>
      <w:r w:rsidRPr="00E0488D">
        <w:t>Situația existentă</w:t>
      </w:r>
      <w:bookmarkEnd w:id="565"/>
    </w:p>
    <w:p w:rsidR="00B4550A" w:rsidRPr="00E0488D" w:rsidRDefault="00B4550A" w:rsidP="002B7E09">
      <w:pPr>
        <w:pStyle w:val="NumberedParas"/>
      </w:pPr>
      <w:r w:rsidRPr="00E0488D">
        <w:t xml:space="preserve">Infrastructura de transport aerian a României are scopul de a oferi centrelor regionale un mijloc de transport rapid către capitala București și către alte centre regionale. Transportul aerian este, de asemenea, un mijloc important pentru asigurarea conectivității internaționale. Cum rețeaua de autostrăzi din România este încă în dezvoltare iar cea mai rapidă linie de cale ferată (în prezent cea dintre București și Constanța) este supusă restricțiilor de viteză, transportul aerian este o opțiune preferată pentru transportul autohton pe distanțe lungi, în cazurile în care duratele de parcurs mici și nu neapărat costul de transport reprezintă factorul critic. </w:t>
      </w:r>
    </w:p>
    <w:p w:rsidR="00B4550A" w:rsidRPr="00E0488D" w:rsidRDefault="00B4550A" w:rsidP="002B7E09">
      <w:pPr>
        <w:pStyle w:val="NumberedParas"/>
      </w:pPr>
      <w:r w:rsidRPr="00E0488D">
        <w:t xml:space="preserve">Publicația de Informare Aeronautică (AIP) listează un număr total 21 de aerodromuri pe teritoriul României. Cincisprezece dintre aceste aeroporturi desfășoară în prezent operațiuni de zbor planificate. În unele cazuri aceste servicii planificate nu se pot desfășura pe tot parcursul anului ci doar în anumite sezoane. Patru aeroporturi sunt în subordinea Guvernului României (Henri Coandă – principalul aeroport din București, Traian Vuia din Timișoara și Mihail Kogălniceanu din Constanța), celelalte aeroporturi aflându-se în subordinea autorităților locale. Din cele 21 de aerodromuri publicate în AIP Romania, trei sunt în proprietate privată (Tuzla, Sibiu, Măgura și Vatra Dornei) iar din acestea trei, doar Tuzla are tarife pentru transport comercial publicate în AIP Romania. </w:t>
      </w:r>
    </w:p>
    <w:p w:rsidR="00B4550A" w:rsidRPr="00E0488D" w:rsidRDefault="00B4550A" w:rsidP="002B7E09">
      <w:pPr>
        <w:pStyle w:val="NumberedParas"/>
      </w:pPr>
      <w:r w:rsidRPr="00E0488D">
        <w:t xml:space="preserve">Autoritatea Aeronautică Civilă Română (AACR) a fost înființată în 1993 ca regie autonomă responsabilă pentru supervizarea  siguranței în industria aviației civile din România și ca braț executiv al Direcției de Aviație Civilă. Obiectul de activitate al AACR este reprezentat de asigurarea respectării reglementărilor naționale și asigurarea procedurilor și instrucțiunilor pentru aplicarea acestor reglementări. AACR acționează de asemenea și ca Autoritate Competentă a Agenției Naționale de Securitate. </w:t>
      </w:r>
    </w:p>
    <w:p w:rsidR="00B4550A" w:rsidRPr="00E0488D" w:rsidRDefault="00B4550A" w:rsidP="002B7E09">
      <w:pPr>
        <w:pStyle w:val="NumberedParas"/>
      </w:pPr>
      <w:r w:rsidRPr="00E0488D">
        <w:t>Centrul de Investigații și Analiză pentru Siguranța Aviației Civile (CIAS) este organismul tehnic specializat pentru efectuarea investigațiilor ce țin de siguranța aviației civile. România se clasează pe locul 4 în Europa și pe locul 10 în lume în domeniul siguranței aviației civile</w:t>
      </w:r>
      <w:r w:rsidRPr="00E0488D">
        <w:rPr>
          <w:rStyle w:val="FootnoteReference"/>
        </w:rPr>
        <w:footnoteReference w:id="32"/>
      </w:r>
      <w:r w:rsidRPr="00E0488D">
        <w:t xml:space="preserve">. </w:t>
      </w:r>
    </w:p>
    <w:p w:rsidR="00B4550A" w:rsidRPr="00E0488D" w:rsidRDefault="00B4550A" w:rsidP="00B4550A">
      <w:pPr>
        <w:pStyle w:val="Hdg3"/>
      </w:pPr>
      <w:r w:rsidRPr="00E0488D">
        <w:t>Tendințe înregistrate în traficul aerian</w:t>
      </w:r>
    </w:p>
    <w:p w:rsidR="00B4550A" w:rsidRPr="00E0488D" w:rsidRDefault="00B4550A" w:rsidP="002B7E09">
      <w:pPr>
        <w:pStyle w:val="NumberedParas"/>
      </w:pPr>
      <w:r w:rsidRPr="00E0488D">
        <w:t>Numărul pasagerilor a crescut de la 7,8 milioane de pasageri pe an (mppa) în 2007 la 10.8 mppa în 2011.</w:t>
      </w:r>
    </w:p>
    <w:p w:rsidR="00B4550A" w:rsidRPr="00E0488D" w:rsidRDefault="00B4550A" w:rsidP="00B4550A">
      <w:pPr>
        <w:rPr>
          <w:b/>
          <w:sz w:val="22"/>
          <w:szCs w:val="22"/>
          <w:lang w:val="ro-RO"/>
        </w:rPr>
      </w:pPr>
    </w:p>
    <w:p w:rsidR="00B4550A" w:rsidRPr="00E0488D" w:rsidRDefault="00B4550A" w:rsidP="00B4550A">
      <w:pPr>
        <w:ind w:left="851"/>
        <w:rPr>
          <w:b/>
          <w:sz w:val="22"/>
          <w:szCs w:val="22"/>
          <w:lang w:val="ro-RO"/>
        </w:rPr>
      </w:pPr>
      <w:r w:rsidRPr="00E0488D">
        <w:rPr>
          <w:noProof/>
          <w:sz w:val="22"/>
          <w:szCs w:val="22"/>
          <w:lang w:val="ro-RO" w:eastAsia="ro-RO"/>
        </w:rPr>
        <w:drawing>
          <wp:inline distT="0" distB="0" distL="0" distR="0">
            <wp:extent cx="5467350" cy="2686050"/>
            <wp:effectExtent l="19050" t="0" r="19050" b="0"/>
            <wp:docPr id="68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B4550A" w:rsidRPr="00E0488D" w:rsidRDefault="00B4550A" w:rsidP="00B4550A">
      <w:pPr>
        <w:jc w:val="center"/>
        <w:rPr>
          <w:sz w:val="22"/>
          <w:szCs w:val="22"/>
          <w:lang w:val="ro-RO"/>
        </w:rPr>
      </w:pPr>
    </w:p>
    <w:p w:rsidR="00B4550A" w:rsidRPr="00E0488D" w:rsidRDefault="00B4550A" w:rsidP="00B4550A">
      <w:pPr>
        <w:rPr>
          <w:sz w:val="22"/>
          <w:szCs w:val="22"/>
          <w:lang w:val="ro-RO"/>
        </w:rPr>
      </w:pPr>
    </w:p>
    <w:p w:rsidR="00B4550A" w:rsidRPr="00E0488D" w:rsidRDefault="00B4550A" w:rsidP="00B4550A">
      <w:pPr>
        <w:ind w:left="851"/>
        <w:rPr>
          <w:b/>
          <w:sz w:val="22"/>
          <w:szCs w:val="22"/>
          <w:lang w:val="ro-RO"/>
        </w:rPr>
      </w:pPr>
      <w:r w:rsidRPr="00E0488D">
        <w:rPr>
          <w:b/>
          <w:sz w:val="22"/>
          <w:szCs w:val="22"/>
          <w:lang w:val="ro-RO"/>
        </w:rPr>
        <w:t xml:space="preserve">Figura 7.1: Tendințe istorice ale traficului aerian </w:t>
      </w:r>
    </w:p>
    <w:p w:rsidR="00B4550A" w:rsidRPr="00E0488D" w:rsidRDefault="00B4550A" w:rsidP="00B4550A">
      <w:pPr>
        <w:rPr>
          <w:sz w:val="22"/>
          <w:szCs w:val="22"/>
          <w:lang w:val="ro-RO"/>
        </w:rPr>
      </w:pPr>
    </w:p>
    <w:p w:rsidR="00B4550A" w:rsidRPr="00E0488D" w:rsidRDefault="00B4550A" w:rsidP="002B7E09">
      <w:pPr>
        <w:pStyle w:val="NumberedParas"/>
      </w:pPr>
      <w:r w:rsidRPr="00E0488D">
        <w:t>Tabelul 7.1 prezintă numărul de pasageri înregistrați în traficul aerian intern și internațional în anul 2011.</w:t>
      </w:r>
    </w:p>
    <w:p w:rsidR="00B4550A" w:rsidRPr="00E0488D" w:rsidRDefault="00B4550A" w:rsidP="00B4550A">
      <w:pPr>
        <w:rPr>
          <w:b/>
          <w:sz w:val="22"/>
          <w:szCs w:val="22"/>
          <w:lang w:val="ro-RO"/>
        </w:rPr>
      </w:pPr>
      <w:r w:rsidRPr="00E0488D">
        <w:rPr>
          <w:b/>
          <w:sz w:val="22"/>
          <w:szCs w:val="22"/>
          <w:lang w:val="ro-RO"/>
        </w:rPr>
        <w:t>Tabelul 7.1: Numărul pasagerilor înregistrați în traficul aerian intern și internațional în anul 2011. Cifrele se referă la aeroporturile din România</w:t>
      </w:r>
    </w:p>
    <w:tbl>
      <w:tblPr>
        <w:tblpPr w:leftFromText="180" w:rightFromText="180" w:vertAnchor="text" w:horzAnchor="margin" w:tblpY="40"/>
        <w:tblW w:w="7111" w:type="dxa"/>
        <w:tblLook w:val="04A0" w:firstRow="1" w:lastRow="0" w:firstColumn="1" w:lastColumn="0" w:noHBand="0" w:noVBand="1"/>
      </w:tblPr>
      <w:tblGrid>
        <w:gridCol w:w="2838"/>
        <w:gridCol w:w="1418"/>
        <w:gridCol w:w="1537"/>
        <w:gridCol w:w="1318"/>
      </w:tblGrid>
      <w:tr w:rsidR="00B4550A" w:rsidRPr="00E0488D" w:rsidTr="003C7FC8">
        <w:trPr>
          <w:trHeight w:val="300"/>
          <w:tblHeader/>
        </w:trPr>
        <w:tc>
          <w:tcPr>
            <w:tcW w:w="2838" w:type="dxa"/>
            <w:tcBorders>
              <w:top w:val="single" w:sz="4" w:space="0" w:color="auto"/>
              <w:left w:val="single" w:sz="4" w:space="0" w:color="auto"/>
              <w:bottom w:val="single" w:sz="4" w:space="0" w:color="auto"/>
              <w:right w:val="single" w:sz="4" w:space="0" w:color="auto"/>
            </w:tcBorders>
            <w:shd w:val="clear" w:color="auto" w:fill="8DB3E2"/>
            <w:noWrap/>
            <w:vAlign w:val="center"/>
            <w:hideMark/>
          </w:tcPr>
          <w:p w:rsidR="00B4550A" w:rsidRPr="00E0488D" w:rsidRDefault="00B4550A" w:rsidP="003C7FC8">
            <w:pPr>
              <w:rPr>
                <w:b/>
                <w:bCs/>
                <w:color w:val="000000"/>
                <w:lang w:val="ro-RO"/>
              </w:rPr>
            </w:pPr>
            <w:r w:rsidRPr="00E0488D">
              <w:rPr>
                <w:b/>
                <w:bCs/>
                <w:color w:val="000000"/>
                <w:lang w:val="ro-RO"/>
              </w:rPr>
              <w:t>Aeroport</w:t>
            </w:r>
          </w:p>
        </w:tc>
        <w:tc>
          <w:tcPr>
            <w:tcW w:w="1418" w:type="dxa"/>
            <w:tcBorders>
              <w:top w:val="single" w:sz="4" w:space="0" w:color="auto"/>
              <w:left w:val="nil"/>
              <w:bottom w:val="single" w:sz="4" w:space="0" w:color="auto"/>
              <w:right w:val="single" w:sz="4" w:space="0" w:color="auto"/>
            </w:tcBorders>
            <w:shd w:val="clear" w:color="auto" w:fill="8DB3E2"/>
            <w:noWrap/>
            <w:vAlign w:val="center"/>
            <w:hideMark/>
          </w:tcPr>
          <w:p w:rsidR="00B4550A" w:rsidRPr="00E0488D" w:rsidRDefault="00B4550A" w:rsidP="003C7FC8">
            <w:pPr>
              <w:jc w:val="center"/>
              <w:rPr>
                <w:b/>
                <w:bCs/>
                <w:color w:val="000000"/>
                <w:lang w:val="ro-RO"/>
              </w:rPr>
            </w:pPr>
            <w:r w:rsidRPr="00E0488D">
              <w:rPr>
                <w:b/>
                <w:bCs/>
                <w:color w:val="000000"/>
                <w:lang w:val="ro-RO"/>
              </w:rPr>
              <w:t>Pasageri</w:t>
            </w:r>
          </w:p>
          <w:p w:rsidR="00B4550A" w:rsidRPr="00E0488D" w:rsidRDefault="00B4550A" w:rsidP="003C7FC8">
            <w:pPr>
              <w:jc w:val="center"/>
              <w:rPr>
                <w:b/>
                <w:bCs/>
                <w:color w:val="000000"/>
                <w:lang w:val="ro-RO"/>
              </w:rPr>
            </w:pPr>
            <w:r w:rsidRPr="00E0488D">
              <w:rPr>
                <w:b/>
                <w:bCs/>
                <w:color w:val="000000"/>
                <w:lang w:val="ro-RO"/>
              </w:rPr>
              <w:t>Intern</w:t>
            </w:r>
          </w:p>
        </w:tc>
        <w:tc>
          <w:tcPr>
            <w:tcW w:w="1537" w:type="dxa"/>
            <w:tcBorders>
              <w:top w:val="single" w:sz="4" w:space="0" w:color="auto"/>
              <w:left w:val="nil"/>
              <w:bottom w:val="single" w:sz="4" w:space="0" w:color="auto"/>
              <w:right w:val="single" w:sz="4" w:space="0" w:color="auto"/>
            </w:tcBorders>
            <w:shd w:val="clear" w:color="auto" w:fill="8DB3E2"/>
            <w:vAlign w:val="center"/>
          </w:tcPr>
          <w:p w:rsidR="00B4550A" w:rsidRPr="00E0488D" w:rsidRDefault="00B4550A" w:rsidP="003C7FC8">
            <w:pPr>
              <w:jc w:val="center"/>
              <w:rPr>
                <w:b/>
                <w:bCs/>
                <w:color w:val="000000"/>
                <w:lang w:val="ro-RO"/>
              </w:rPr>
            </w:pPr>
            <w:r w:rsidRPr="00E0488D">
              <w:rPr>
                <w:b/>
                <w:bCs/>
                <w:color w:val="000000"/>
                <w:lang w:val="ro-RO"/>
              </w:rPr>
              <w:t>Pasageri</w:t>
            </w:r>
          </w:p>
          <w:p w:rsidR="00B4550A" w:rsidRPr="00E0488D" w:rsidRDefault="00B4550A" w:rsidP="003C7FC8">
            <w:pPr>
              <w:jc w:val="center"/>
              <w:rPr>
                <w:b/>
                <w:bCs/>
                <w:color w:val="000000"/>
                <w:lang w:val="ro-RO"/>
              </w:rPr>
            </w:pPr>
            <w:r w:rsidRPr="00E0488D">
              <w:rPr>
                <w:b/>
                <w:bCs/>
                <w:color w:val="000000"/>
                <w:lang w:val="ro-RO"/>
              </w:rPr>
              <w:t>Internațional</w:t>
            </w:r>
          </w:p>
        </w:tc>
        <w:tc>
          <w:tcPr>
            <w:tcW w:w="1318" w:type="dxa"/>
            <w:tcBorders>
              <w:top w:val="single" w:sz="4" w:space="0" w:color="auto"/>
              <w:left w:val="nil"/>
              <w:bottom w:val="single" w:sz="4" w:space="0" w:color="auto"/>
              <w:right w:val="single" w:sz="4" w:space="0" w:color="auto"/>
            </w:tcBorders>
            <w:shd w:val="clear" w:color="auto" w:fill="8DB3E2"/>
            <w:vAlign w:val="center"/>
          </w:tcPr>
          <w:p w:rsidR="00B4550A" w:rsidRPr="00E0488D" w:rsidRDefault="00B4550A" w:rsidP="003C7FC8">
            <w:pPr>
              <w:jc w:val="center"/>
              <w:rPr>
                <w:b/>
                <w:bCs/>
                <w:color w:val="000000"/>
                <w:lang w:val="ro-RO"/>
              </w:rPr>
            </w:pPr>
            <w:r w:rsidRPr="00E0488D">
              <w:rPr>
                <w:b/>
                <w:bCs/>
                <w:color w:val="000000"/>
                <w:lang w:val="ro-RO"/>
              </w:rPr>
              <w:t>Pasageri</w:t>
            </w:r>
          </w:p>
          <w:p w:rsidR="00B4550A" w:rsidRPr="00E0488D" w:rsidRDefault="00B4550A" w:rsidP="003C7FC8">
            <w:pPr>
              <w:jc w:val="center"/>
              <w:rPr>
                <w:b/>
                <w:bCs/>
                <w:color w:val="000000"/>
                <w:lang w:val="ro-RO"/>
              </w:rPr>
            </w:pPr>
            <w:r w:rsidRPr="00E0488D">
              <w:rPr>
                <w:b/>
                <w:bCs/>
                <w:color w:val="000000"/>
                <w:lang w:val="ro-RO"/>
              </w:rPr>
              <w:t>TOTAL</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București  Henri Coandă</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649.682</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6.670.,884</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7.320.566</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Timișoara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336.152</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1.019.,867</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1.356.019</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Cluj-Napoca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189.139</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815.682</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1.004,821</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Bacău</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21.106</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306.308</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327,414</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Târgu Mureș</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10.477</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216.361</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226,838</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Iasi</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139.185</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45.298</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184,483</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Sibiu</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26.482</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150.424</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176.906</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Constanta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11.647</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64.817</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76.464</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Oradea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58.887</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1.659</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60.546</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Craiova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19.397</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11.872</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31.269</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Suceava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26.224</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984</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27.208</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Satu Mare</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19.534</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3.207</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22.741</w:t>
            </w:r>
          </w:p>
        </w:tc>
      </w:tr>
      <w:tr w:rsidR="00B4550A" w:rsidRPr="00E0488D" w:rsidTr="003C7FC8">
        <w:trPr>
          <w:trHeight w:val="300"/>
        </w:trPr>
        <w:tc>
          <w:tcPr>
            <w:tcW w:w="2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Baia Mare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18.017</w:t>
            </w:r>
          </w:p>
        </w:tc>
        <w:tc>
          <w:tcPr>
            <w:tcW w:w="1537" w:type="dxa"/>
            <w:tcBorders>
              <w:top w:val="single" w:sz="4" w:space="0" w:color="auto"/>
              <w:left w:val="single" w:sz="4" w:space="0" w:color="auto"/>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551</w:t>
            </w:r>
          </w:p>
        </w:tc>
        <w:tc>
          <w:tcPr>
            <w:tcW w:w="1318" w:type="dxa"/>
            <w:tcBorders>
              <w:top w:val="single" w:sz="4" w:space="0" w:color="auto"/>
              <w:left w:val="single" w:sz="4" w:space="0" w:color="auto"/>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18.568</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Arad</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0</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0</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0</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Brașov</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0</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0</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0</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rPr>
                <w:color w:val="000000"/>
                <w:lang w:val="ro-RO"/>
              </w:rPr>
            </w:pPr>
            <w:r w:rsidRPr="00E0488D">
              <w:rPr>
                <w:color w:val="000000"/>
                <w:lang w:val="ro-RO"/>
              </w:rPr>
              <w:t>Tulcea</w:t>
            </w:r>
          </w:p>
        </w:tc>
        <w:tc>
          <w:tcPr>
            <w:tcW w:w="1418"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color w:val="000000"/>
                <w:lang w:val="ro-RO"/>
              </w:rPr>
            </w:pPr>
            <w:r w:rsidRPr="00E0488D">
              <w:rPr>
                <w:color w:val="000000"/>
                <w:lang w:val="ro-RO"/>
              </w:rPr>
              <w:t>0</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0</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color w:val="000000"/>
                <w:lang w:val="ro-RO"/>
              </w:rPr>
            </w:pPr>
            <w:r w:rsidRPr="00E0488D">
              <w:rPr>
                <w:color w:val="000000"/>
                <w:lang w:val="ro-RO"/>
              </w:rPr>
              <w:t>0</w:t>
            </w:r>
          </w:p>
        </w:tc>
      </w:tr>
      <w:tr w:rsidR="00B4550A" w:rsidRPr="00E0488D" w:rsidTr="003C7FC8">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tcPr>
          <w:p w:rsidR="00B4550A" w:rsidRPr="00E0488D" w:rsidRDefault="00B4550A" w:rsidP="003C7FC8">
            <w:pPr>
              <w:rPr>
                <w:b/>
                <w:color w:val="000000"/>
                <w:lang w:val="ro-RO"/>
              </w:rPr>
            </w:pPr>
          </w:p>
          <w:p w:rsidR="00B4550A" w:rsidRPr="00E0488D" w:rsidRDefault="00B4550A" w:rsidP="003C7FC8">
            <w:pPr>
              <w:rPr>
                <w:b/>
                <w:color w:val="000000"/>
                <w:lang w:val="ro-RO"/>
              </w:rPr>
            </w:pPr>
            <w:r w:rsidRPr="00E0488D">
              <w:rPr>
                <w:b/>
                <w:color w:val="000000"/>
                <w:lang w:val="ro-RO"/>
              </w:rPr>
              <w:t>TOTAL</w:t>
            </w:r>
          </w:p>
        </w:tc>
        <w:tc>
          <w:tcPr>
            <w:tcW w:w="1418" w:type="dxa"/>
            <w:tcBorders>
              <w:top w:val="nil"/>
              <w:left w:val="nil"/>
              <w:bottom w:val="single" w:sz="4" w:space="0" w:color="auto"/>
              <w:right w:val="single" w:sz="4" w:space="0" w:color="auto"/>
            </w:tcBorders>
            <w:shd w:val="clear" w:color="auto" w:fill="auto"/>
            <w:noWrap/>
            <w:vAlign w:val="center"/>
          </w:tcPr>
          <w:p w:rsidR="00B4550A" w:rsidRPr="00E0488D" w:rsidRDefault="00B4550A" w:rsidP="003C7FC8">
            <w:pPr>
              <w:jc w:val="center"/>
              <w:rPr>
                <w:b/>
                <w:color w:val="000000"/>
                <w:lang w:val="ro-RO"/>
              </w:rPr>
            </w:pPr>
            <w:r w:rsidRPr="00E0488D">
              <w:rPr>
                <w:b/>
                <w:color w:val="000000"/>
                <w:lang w:val="ro-RO"/>
              </w:rPr>
              <w:t>1.525.929</w:t>
            </w:r>
          </w:p>
        </w:tc>
        <w:tc>
          <w:tcPr>
            <w:tcW w:w="1537" w:type="dxa"/>
            <w:tcBorders>
              <w:top w:val="nil"/>
              <w:left w:val="nil"/>
              <w:bottom w:val="single" w:sz="4" w:space="0" w:color="auto"/>
              <w:right w:val="single" w:sz="4" w:space="0" w:color="auto"/>
            </w:tcBorders>
            <w:vAlign w:val="center"/>
          </w:tcPr>
          <w:p w:rsidR="00B4550A" w:rsidRPr="00E0488D" w:rsidRDefault="00B4550A" w:rsidP="003C7FC8">
            <w:pPr>
              <w:jc w:val="center"/>
              <w:rPr>
                <w:b/>
                <w:color w:val="000000"/>
                <w:lang w:val="ro-RO"/>
              </w:rPr>
            </w:pPr>
            <w:r w:rsidRPr="00E0488D">
              <w:rPr>
                <w:b/>
                <w:color w:val="000000"/>
                <w:lang w:val="ro-RO"/>
              </w:rPr>
              <w:t>9.307.914</w:t>
            </w:r>
          </w:p>
        </w:tc>
        <w:tc>
          <w:tcPr>
            <w:tcW w:w="1318" w:type="dxa"/>
            <w:tcBorders>
              <w:top w:val="nil"/>
              <w:left w:val="nil"/>
              <w:bottom w:val="single" w:sz="4" w:space="0" w:color="auto"/>
              <w:right w:val="single" w:sz="4" w:space="0" w:color="auto"/>
            </w:tcBorders>
            <w:vAlign w:val="center"/>
          </w:tcPr>
          <w:p w:rsidR="00B4550A" w:rsidRPr="00E0488D" w:rsidRDefault="00B4550A" w:rsidP="003C7FC8">
            <w:pPr>
              <w:jc w:val="center"/>
              <w:rPr>
                <w:b/>
                <w:bCs/>
                <w:color w:val="000000"/>
                <w:lang w:val="ro-RO"/>
              </w:rPr>
            </w:pPr>
            <w:r w:rsidRPr="00E0488D">
              <w:rPr>
                <w:b/>
                <w:bCs/>
                <w:color w:val="000000"/>
                <w:lang w:val="ro-RO"/>
              </w:rPr>
              <w:t>10.833.843</w:t>
            </w:r>
          </w:p>
        </w:tc>
      </w:tr>
    </w:tbl>
    <w:p w:rsidR="00B4550A" w:rsidRPr="00E0488D" w:rsidRDefault="00B4550A" w:rsidP="00B4550A">
      <w:pPr>
        <w:rPr>
          <w:b/>
          <w:sz w:val="22"/>
          <w:szCs w:val="22"/>
          <w:lang w:val="ro-RO"/>
        </w:rPr>
      </w:pPr>
    </w:p>
    <w:p w:rsidR="00B4550A" w:rsidRPr="00E0488D" w:rsidRDefault="00B4550A" w:rsidP="00B4550A">
      <w:pPr>
        <w:rPr>
          <w:b/>
          <w:sz w:val="22"/>
          <w:szCs w:val="22"/>
          <w:lang w:val="ro-RO"/>
        </w:rPr>
      </w:pPr>
    </w:p>
    <w:p w:rsidR="00B4550A" w:rsidRPr="00E0488D" w:rsidRDefault="00B4550A" w:rsidP="00B4550A">
      <w:pPr>
        <w:rPr>
          <w:lang w:val="ro-RO"/>
        </w:r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2B7E09">
      <w:pPr>
        <w:pStyle w:val="NumberedParas"/>
        <w:numPr>
          <w:ilvl w:val="0"/>
          <w:numId w:val="0"/>
        </w:numPr>
      </w:pPr>
    </w:p>
    <w:p w:rsidR="00B4550A" w:rsidRPr="00E0488D" w:rsidRDefault="00B4550A" w:rsidP="00B4550A">
      <w:pPr>
        <w:pStyle w:val="ListParagraph"/>
        <w:ind w:left="680"/>
        <w:rPr>
          <w:i/>
          <w:sz w:val="18"/>
          <w:szCs w:val="18"/>
          <w:lang w:val="ro-RO"/>
        </w:rPr>
      </w:pPr>
    </w:p>
    <w:p w:rsidR="00B4550A" w:rsidRPr="00E0488D" w:rsidRDefault="00B4550A" w:rsidP="00B4550A">
      <w:pPr>
        <w:pStyle w:val="ListParagraph"/>
        <w:ind w:left="-142"/>
        <w:rPr>
          <w:i/>
          <w:sz w:val="18"/>
          <w:szCs w:val="18"/>
          <w:lang w:val="ro-RO"/>
        </w:rPr>
      </w:pPr>
      <w:r w:rsidRPr="00E0488D">
        <w:rPr>
          <w:i/>
          <w:sz w:val="18"/>
          <w:szCs w:val="18"/>
          <w:lang w:val="ro-RO"/>
        </w:rPr>
        <w:t xml:space="preserve">Sursa: Numărul real de plecări înregistrate pe aeroport, oferite de autoritățile aeroportuare și folosite ca cifre de bază pentru Modelul de Prognoză a traficului aerian </w:t>
      </w:r>
    </w:p>
    <w:p w:rsidR="00B4550A" w:rsidRPr="00E0488D" w:rsidRDefault="00B4550A" w:rsidP="00B4550A">
      <w:pPr>
        <w:pStyle w:val="ListParagraph"/>
        <w:ind w:left="-142"/>
        <w:rPr>
          <w:i/>
          <w:sz w:val="18"/>
          <w:szCs w:val="18"/>
          <w:lang w:val="ro-RO"/>
        </w:rPr>
      </w:pPr>
    </w:p>
    <w:p w:rsidR="00B4550A" w:rsidRPr="00E0488D" w:rsidRDefault="00B4550A" w:rsidP="00B4550A">
      <w:pPr>
        <w:pStyle w:val="ListParagraph"/>
        <w:ind w:left="-142"/>
        <w:rPr>
          <w:i/>
          <w:sz w:val="18"/>
          <w:szCs w:val="18"/>
          <w:lang w:val="ro-RO"/>
        </w:rPr>
      </w:pPr>
    </w:p>
    <w:p w:rsidR="00B4550A" w:rsidRPr="00E0488D" w:rsidRDefault="00B4550A" w:rsidP="002B7E09">
      <w:pPr>
        <w:pStyle w:val="NumberedParas"/>
      </w:pPr>
      <w:r w:rsidRPr="00E0488D">
        <w:t xml:space="preserve">În anul 2011 un număr total de 10,8 milioane de pasageri au fost înregistrați în aeroporturile din România. Din acest număr total, peste 50% din pasageri au fost înregistrați la aeroportul internațional Henri Coandă – ceea ce denotă tendința de concentrare pe capitală a sistemului de transport aerian al țării. </w:t>
      </w:r>
    </w:p>
    <w:p w:rsidR="00B4550A" w:rsidRPr="00E0488D" w:rsidRDefault="00B4550A" w:rsidP="002B7E09">
      <w:pPr>
        <w:pStyle w:val="NumberedParas"/>
      </w:pPr>
      <w:r w:rsidRPr="00E0488D">
        <w:t xml:space="preserve">Se pot face comparații cu situația Poloniei în ce privește situația României după integrarea acesteia în UE. Fenomenul migrației polonezilor către Marea Britanie și Irlanda a exercitat, fără îndoială, o mare influență asupra dezvoltării transportului low-cost în Polonia. Traficul de intrare, prin intermediul operatorilor low-cost a crescut considerabil, în special odată cu deschiderea rutelor către Europa Centrală și de Est, în special Polonia. Aceasta a coincis cu creșterea numărului de cetățeni din Europa centrală și de Est care și-au găsit locuri de muncă în Marea Britanie după extinderea UE. </w:t>
      </w:r>
    </w:p>
    <w:p w:rsidR="00B4550A" w:rsidRPr="00E0488D" w:rsidRDefault="00B4550A" w:rsidP="002B7E09">
      <w:pPr>
        <w:pStyle w:val="NumberedParas"/>
      </w:pPr>
      <w:r w:rsidRPr="00E0488D">
        <w:t>Companiile aeriene low-cost au operat rute către țările care reprezentau principalele direcții de migrație economică a polonezilor. Conexiunile cu Marea Britanie și Irlanda au format aproape 60% din călătoriile low-cost înregistrate de polonezi. În anul 2000 existau doar cinci zboruri programate între Marea Britanie și Polonia. Șase ani mai târziu, potrivit cifrelor de la Autoritatea Aeronautică Civilă, au fost identificate 27 de conexiuni diferite între 12 orașe din Polonia și Marea Britanie.</w:t>
      </w:r>
    </w:p>
    <w:p w:rsidR="00B4550A" w:rsidRPr="00E0488D" w:rsidRDefault="00B4550A" w:rsidP="002B7E09">
      <w:pPr>
        <w:pStyle w:val="NumberedParas"/>
      </w:pPr>
      <w:r w:rsidRPr="00E0488D">
        <w:t>Dezvoltarea aeroporturilor regionale din Polonia a început după aderarea acesteia la UE. În 2004 trei aeroporturi deserveau 31.1% din numărul total de pasageri. Cota acestora în ce privește numărul pasagerilor a crescut gradual de la an la an iar în 2008 s-a ridicat la 54.32%. Această tendință este deja observată în România, cu noul Hub WizzAir  la Aeroportul Craiova.</w:t>
      </w:r>
    </w:p>
    <w:p w:rsidR="00B4550A" w:rsidRPr="00E0488D" w:rsidRDefault="00B4550A" w:rsidP="00B4550A">
      <w:pPr>
        <w:pStyle w:val="Hdg3"/>
      </w:pPr>
      <w:r w:rsidRPr="00E0488D">
        <w:t>Rolul și clasificarea aeroporturilor</w:t>
      </w:r>
    </w:p>
    <w:p w:rsidR="00B4550A" w:rsidRPr="00E0488D" w:rsidRDefault="00B4550A" w:rsidP="002B7E09">
      <w:pPr>
        <w:pStyle w:val="NumberedParas"/>
      </w:pPr>
      <w:r w:rsidRPr="00E0488D">
        <w:t xml:space="preserve">În acord cu Rețelele Economice Primare definite pentru modul rutier și feroviar, este important să se dezvolte o ierarhie a aeroporturilor din România pe baza rolului și potențialului acestora de a atrage atât trafic intern cât și trafic internațional. </w:t>
      </w:r>
    </w:p>
    <w:p w:rsidR="00B4550A" w:rsidRPr="00E0488D" w:rsidRDefault="00B4550A" w:rsidP="002B7E09">
      <w:pPr>
        <w:pStyle w:val="NumberedParas"/>
      </w:pPr>
      <w:r w:rsidRPr="00E0488D">
        <w:t>Aeroporturile existente în România se înscriu în patru categorii. Alocarea aeroporturilor pe categorii s-a făcut pe baza tiparelor de servicii din 2011:</w:t>
      </w:r>
    </w:p>
    <w:p w:rsidR="00B4550A" w:rsidRPr="00E0488D" w:rsidRDefault="00B4550A" w:rsidP="00BC2B57">
      <w:pPr>
        <w:pStyle w:val="BulletLevel1"/>
      </w:pPr>
      <w:r w:rsidRPr="00E0488D">
        <w:t>Aeroport Hub Internațional Major (Henri Coandă, București)</w:t>
      </w:r>
    </w:p>
    <w:p w:rsidR="00B4550A" w:rsidRPr="00E0488D" w:rsidRDefault="00B4550A" w:rsidP="00BC2B57">
      <w:pPr>
        <w:pStyle w:val="BulletLevel1"/>
      </w:pPr>
      <w:r w:rsidRPr="00E0488D">
        <w:t>Aeroport Hub Internațional (Timișoara și Cluj-Napoca)</w:t>
      </w:r>
    </w:p>
    <w:p w:rsidR="00B4550A" w:rsidRPr="00E0488D" w:rsidRDefault="00B4550A" w:rsidP="00BC2B57">
      <w:pPr>
        <w:pStyle w:val="BulletLevel1"/>
      </w:pPr>
      <w:r w:rsidRPr="00E0488D">
        <w:t>Aeroport Regional (Bacău, Iași, Sibiu și Târgu Mureș)</w:t>
      </w:r>
    </w:p>
    <w:p w:rsidR="00B4550A" w:rsidRPr="00E0488D" w:rsidRDefault="00B4550A" w:rsidP="00BC2B57">
      <w:pPr>
        <w:pStyle w:val="BulletLevel1"/>
      </w:pPr>
      <w:r w:rsidRPr="00E0488D">
        <w:t>Aeroport Regional Mic (Baia Mare, Constanta, Craiova, Oradea, Satu Mare, Suceava și Tulcea, București Băneasa, Tuzla)</w:t>
      </w:r>
    </w:p>
    <w:p w:rsidR="00B4550A" w:rsidRPr="00E0488D" w:rsidRDefault="00B4550A" w:rsidP="002B7E09">
      <w:pPr>
        <w:pStyle w:val="NumberedParas"/>
      </w:pPr>
      <w:r w:rsidRPr="00E0488D">
        <w:t>Figura 7.1 prezintă localizarea și clasificarea aeroporturilor în 2011.</w:t>
      </w: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rPr>
          <w:b/>
          <w:sz w:val="22"/>
          <w:szCs w:val="22"/>
          <w:lang w:val="ro-RO"/>
        </w:rPr>
      </w:pPr>
    </w:p>
    <w:p w:rsidR="00B4550A" w:rsidRPr="00E0488D" w:rsidRDefault="00B4550A" w:rsidP="00B4550A">
      <w:pPr>
        <w:rPr>
          <w:b/>
          <w:lang w:val="ro-RO"/>
        </w:rPr>
      </w:pPr>
      <w:r w:rsidRPr="00E0488D">
        <w:rPr>
          <w:b/>
          <w:noProof/>
          <w:lang w:val="ro-RO" w:eastAsia="ro-RO"/>
        </w:rPr>
        <w:drawing>
          <wp:inline distT="0" distB="0" distL="0" distR="0">
            <wp:extent cx="6086475" cy="4305300"/>
            <wp:effectExtent l="19050" t="0" r="9525" b="0"/>
            <wp:docPr id="685" name="Picture 1" descr="C:\Users\elsj\Documents\Romania\Maps\8 May 2014\Romanian Airports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j\Documents\Romania\Maps\8 May 2014\Romanian Airports 2011.jpg"/>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6086475" cy="4305300"/>
                    </a:xfrm>
                    <a:prstGeom prst="rect">
                      <a:avLst/>
                    </a:prstGeom>
                    <a:noFill/>
                    <a:ln w="9525">
                      <a:noFill/>
                      <a:miter lim="800000"/>
                      <a:headEnd/>
                      <a:tailEnd/>
                    </a:ln>
                  </pic:spPr>
                </pic:pic>
              </a:graphicData>
            </a:graphic>
          </wp:inline>
        </w:drawing>
      </w:r>
    </w:p>
    <w:p w:rsidR="00B4550A" w:rsidRPr="00E0488D" w:rsidRDefault="00B4550A" w:rsidP="00B4550A">
      <w:pPr>
        <w:pStyle w:val="ListParagraph"/>
        <w:ind w:left="680"/>
        <w:rPr>
          <w:i/>
          <w:sz w:val="18"/>
          <w:szCs w:val="18"/>
          <w:lang w:val="ro-RO"/>
        </w:rPr>
      </w:pPr>
      <w:r w:rsidRPr="00E0488D">
        <w:rPr>
          <w:b/>
          <w:sz w:val="22"/>
          <w:szCs w:val="22"/>
          <w:lang w:val="ro-RO"/>
        </w:rPr>
        <w:t>Figura 7.1: Localizarea și clasificarea aeroporturilor din România, în anul 2011</w:t>
      </w:r>
    </w:p>
    <w:p w:rsidR="00B4550A" w:rsidRPr="00E0488D" w:rsidRDefault="00B4550A" w:rsidP="00B4550A">
      <w:pPr>
        <w:pStyle w:val="ListParagraph"/>
        <w:ind w:left="680"/>
        <w:rPr>
          <w:i/>
          <w:sz w:val="18"/>
          <w:szCs w:val="18"/>
          <w:lang w:val="ro-RO"/>
        </w:rPr>
      </w:pPr>
      <w:r w:rsidRPr="00E0488D">
        <w:rPr>
          <w:i/>
          <w:sz w:val="18"/>
          <w:szCs w:val="18"/>
          <w:lang w:val="ro-RO"/>
        </w:rPr>
        <w:t>Sursa: Analiza AECOM</w:t>
      </w:r>
    </w:p>
    <w:p w:rsidR="00B4550A" w:rsidRPr="00E0488D" w:rsidRDefault="00B4550A" w:rsidP="002B7E09">
      <w:pPr>
        <w:pStyle w:val="NumberedParas"/>
      </w:pPr>
      <w:r w:rsidRPr="00E0488D">
        <w:t xml:space="preserve">Numărul de zboruri și pasageri înregistrat în fiecare dintre aceste aeroporturi este foarte diferit, așadar schimbările intervenite în rolul unui aeroport, care implică schimbarea categoriilor de zboruri oferite de acel aeroport va avea un impact major asupra cererii de trafic aerian prognozate. Folosind acest principiu și luând în considerare variabilele menționate mai sus, a fost posibilă construirea unui model al cererii pentru prognozarea caracteristicilor viitoare ale aeroporturilor. </w:t>
      </w:r>
    </w:p>
    <w:p w:rsidR="00B4550A" w:rsidRPr="00E0488D" w:rsidRDefault="00B4550A" w:rsidP="002B7E09">
      <w:pPr>
        <w:pStyle w:val="NumberedParas"/>
      </w:pPr>
      <w:r w:rsidRPr="00E0488D">
        <w:t>Datele de intrare pentru model colectate de la fiecare aeroport au inclus:</w:t>
      </w:r>
    </w:p>
    <w:p w:rsidR="00B4550A" w:rsidRPr="00E0488D" w:rsidRDefault="00B4550A" w:rsidP="00BC2B57">
      <w:pPr>
        <w:pStyle w:val="BulletLevel1"/>
      </w:pPr>
      <w:r w:rsidRPr="00E0488D">
        <w:t xml:space="preserve">Orașul și zona mai largă de captare a populației </w:t>
      </w:r>
    </w:p>
    <w:p w:rsidR="00B4550A" w:rsidRPr="00E0488D" w:rsidRDefault="00B4550A" w:rsidP="00BC2B57">
      <w:pPr>
        <w:pStyle w:val="BulletLevel1"/>
      </w:pPr>
      <w:r w:rsidRPr="00E0488D">
        <w:t>Numărul total de curse aeriene defalcat pe categoriile intern și internațional (date 2011)</w:t>
      </w:r>
    </w:p>
    <w:p w:rsidR="00B4550A" w:rsidRPr="00E0488D" w:rsidRDefault="00B4550A" w:rsidP="00BC2B57">
      <w:pPr>
        <w:pStyle w:val="BulletLevel1"/>
      </w:pPr>
      <w:r w:rsidRPr="00E0488D">
        <w:t>Total Numărul total de pasageri defalcat pe categoriile intern și internațional (date 2011)</w:t>
      </w:r>
    </w:p>
    <w:p w:rsidR="00B4550A" w:rsidRPr="00E0488D" w:rsidRDefault="00B4550A" w:rsidP="00BC2B57">
      <w:pPr>
        <w:pStyle w:val="BulletLevel1"/>
      </w:pPr>
      <w:r w:rsidRPr="00E0488D">
        <w:t>Rata gradului de motorizare în zonele de captare ca indicator al nivelului relativ al veniturilor</w:t>
      </w:r>
    </w:p>
    <w:p w:rsidR="00B4550A" w:rsidRPr="00E0488D" w:rsidRDefault="00B4550A" w:rsidP="002B7E09">
      <w:pPr>
        <w:pStyle w:val="NumberedParas"/>
      </w:pPr>
      <w:r w:rsidRPr="00E0488D">
        <w:t xml:space="preserve">Clasificarea viitoare a aeroporturilor se bazează pe dimensiunea zonei de captare și categoria de servicii oferite (spre exemplu, zboruri interne/internaționale și numărul de zboruri). Astfel, dacă un aeroport își schimbă rolul și trece la o categorie superioară, acesta are potențialul de a oferi categorii de servicii și prețuri ale călătoriilor  practicate de aeroporturile care se află deja în categoria superioară respectivă. </w:t>
      </w:r>
    </w:p>
    <w:p w:rsidR="00B4550A" w:rsidRPr="00E0488D" w:rsidRDefault="00B4550A" w:rsidP="002B7E09">
      <w:pPr>
        <w:pStyle w:val="NumberedParas"/>
      </w:pPr>
      <w:r w:rsidRPr="00E0488D">
        <w:t xml:space="preserve">Tabelul 7.2 prezintă nivelul populației din zona de captare și clasificarea viitoare. Cu un nivel al populației în zona de captare de peste 5 milioane de persoane, aeroportul este clasificat ca Aeroport Hub Internațional Major. Cu o populație între 1 și 5 milioane de persoane aeroportul intră în categoria Aeroport Hub Internațional. Pentru un nivel al populației între 500.000 și 1 milion aeropoprtul va fi considerat Aeroport Regional iar sub 500.000 va fi Aeroport Regional Mic. </w:t>
      </w:r>
    </w:p>
    <w:p w:rsidR="00B4550A" w:rsidRPr="00E0488D" w:rsidRDefault="00B4550A" w:rsidP="00B4550A">
      <w:pPr>
        <w:rPr>
          <w:sz w:val="22"/>
          <w:szCs w:val="22"/>
          <w:lang w:val="ro-RO"/>
        </w:rPr>
      </w:pPr>
    </w:p>
    <w:p w:rsidR="00B4550A" w:rsidRPr="00E0488D" w:rsidRDefault="00B4550A" w:rsidP="00B4550A">
      <w:pPr>
        <w:ind w:left="851"/>
        <w:rPr>
          <w:b/>
          <w:sz w:val="22"/>
          <w:szCs w:val="22"/>
          <w:lang w:val="ro-RO"/>
        </w:rPr>
      </w:pPr>
      <w:r w:rsidRPr="00E0488D">
        <w:rPr>
          <w:b/>
          <w:sz w:val="22"/>
          <w:szCs w:val="22"/>
          <w:lang w:val="ro-RO"/>
        </w:rPr>
        <w:t xml:space="preserve">Tabelul 7.2: Zona de captare a aeroporturilor și clasificarea viitoare a acestora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52"/>
        <w:gridCol w:w="3517"/>
      </w:tblGrid>
      <w:tr w:rsidR="00B4550A" w:rsidRPr="00E0488D" w:rsidTr="003C7FC8">
        <w:trPr>
          <w:tblHeader/>
        </w:trPr>
        <w:tc>
          <w:tcPr>
            <w:tcW w:w="2376" w:type="dxa"/>
            <w:shd w:val="clear" w:color="auto" w:fill="B8CCE4" w:themeFill="accent1" w:themeFillTint="66"/>
          </w:tcPr>
          <w:p w:rsidR="00B4550A" w:rsidRPr="00E0488D" w:rsidRDefault="00B4550A" w:rsidP="003C7FC8">
            <w:pPr>
              <w:tabs>
                <w:tab w:val="center" w:pos="4153"/>
                <w:tab w:val="right" w:pos="8306"/>
              </w:tabs>
              <w:rPr>
                <w:b/>
                <w:sz w:val="22"/>
                <w:szCs w:val="22"/>
                <w:lang w:val="ro-RO"/>
              </w:rPr>
            </w:pPr>
            <w:r w:rsidRPr="00E0488D">
              <w:rPr>
                <w:b/>
                <w:sz w:val="22"/>
                <w:szCs w:val="22"/>
                <w:lang w:val="ro-RO"/>
              </w:rPr>
              <w:t>Aeroport</w:t>
            </w:r>
          </w:p>
        </w:tc>
        <w:tc>
          <w:tcPr>
            <w:tcW w:w="2552" w:type="dxa"/>
            <w:shd w:val="clear" w:color="auto" w:fill="B8CCE4" w:themeFill="accent1" w:themeFillTint="66"/>
          </w:tcPr>
          <w:p w:rsidR="00B4550A" w:rsidRPr="00E0488D" w:rsidRDefault="00B4550A" w:rsidP="003C7FC8">
            <w:pPr>
              <w:tabs>
                <w:tab w:val="center" w:pos="4153"/>
                <w:tab w:val="right" w:pos="8306"/>
              </w:tabs>
              <w:rPr>
                <w:b/>
                <w:sz w:val="22"/>
                <w:szCs w:val="22"/>
                <w:lang w:val="ro-RO"/>
              </w:rPr>
            </w:pPr>
            <w:r w:rsidRPr="00E0488D">
              <w:rPr>
                <w:b/>
                <w:sz w:val="22"/>
                <w:szCs w:val="22"/>
                <w:lang w:val="ro-RO"/>
              </w:rPr>
              <w:t>Populație în zona de captare</w:t>
            </w:r>
          </w:p>
        </w:tc>
        <w:tc>
          <w:tcPr>
            <w:tcW w:w="3517" w:type="dxa"/>
            <w:shd w:val="clear" w:color="auto" w:fill="B8CCE4" w:themeFill="accent1" w:themeFillTint="66"/>
          </w:tcPr>
          <w:p w:rsidR="00B4550A" w:rsidRPr="00E0488D" w:rsidRDefault="00B4550A" w:rsidP="003C7FC8">
            <w:pPr>
              <w:tabs>
                <w:tab w:val="center" w:pos="4153"/>
                <w:tab w:val="right" w:pos="8306"/>
              </w:tabs>
              <w:rPr>
                <w:b/>
                <w:sz w:val="22"/>
                <w:szCs w:val="22"/>
                <w:lang w:val="ro-RO"/>
              </w:rPr>
            </w:pPr>
            <w:r w:rsidRPr="00E0488D">
              <w:rPr>
                <w:b/>
                <w:sz w:val="22"/>
                <w:szCs w:val="22"/>
                <w:lang w:val="ro-RO"/>
              </w:rPr>
              <w:t>Clasificare viitoare</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București</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6.170.897</w:t>
            </w:r>
          </w:p>
        </w:tc>
        <w:tc>
          <w:tcPr>
            <w:tcW w:w="3517" w:type="dxa"/>
          </w:tcPr>
          <w:p w:rsidR="00B4550A" w:rsidRPr="00E0488D" w:rsidRDefault="00B4550A" w:rsidP="003C7FC8">
            <w:pPr>
              <w:tabs>
                <w:tab w:val="center" w:pos="4153"/>
                <w:tab w:val="right" w:pos="8306"/>
              </w:tabs>
              <w:rPr>
                <w:sz w:val="22"/>
                <w:szCs w:val="22"/>
                <w:lang w:val="ro-RO"/>
              </w:rPr>
            </w:pPr>
            <w:r w:rsidRPr="00E0488D">
              <w:rPr>
                <w:sz w:val="22"/>
                <w:szCs w:val="22"/>
                <w:lang w:val="ro-RO"/>
              </w:rPr>
              <w:t>Aeroport Hub Internațional Major</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Craiova</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2.146.082</w:t>
            </w:r>
          </w:p>
        </w:tc>
        <w:tc>
          <w:tcPr>
            <w:tcW w:w="3517" w:type="dxa"/>
          </w:tcPr>
          <w:p w:rsidR="00B4550A" w:rsidRPr="00E0488D" w:rsidRDefault="00B4550A" w:rsidP="003C7FC8">
            <w:pPr>
              <w:tabs>
                <w:tab w:val="center" w:pos="4153"/>
                <w:tab w:val="right" w:pos="8306"/>
              </w:tabs>
              <w:rPr>
                <w:sz w:val="22"/>
                <w:szCs w:val="22"/>
                <w:lang w:val="ro-RO"/>
              </w:rPr>
            </w:pPr>
            <w:r w:rsidRPr="00E0488D">
              <w:rPr>
                <w:sz w:val="22"/>
                <w:szCs w:val="22"/>
                <w:lang w:val="ro-RO"/>
              </w:rPr>
              <w:t>Aeroport Hub Internațional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Timișoara</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1.466.773</w:t>
            </w:r>
          </w:p>
        </w:tc>
        <w:tc>
          <w:tcPr>
            <w:tcW w:w="3517" w:type="dxa"/>
          </w:tcPr>
          <w:p w:rsidR="00B4550A" w:rsidRPr="00E0488D" w:rsidRDefault="00B4550A" w:rsidP="003C7FC8">
            <w:pPr>
              <w:rPr>
                <w:lang w:val="ro-RO"/>
              </w:rPr>
            </w:pPr>
            <w:r w:rsidRPr="00E0488D">
              <w:rPr>
                <w:sz w:val="22"/>
                <w:szCs w:val="22"/>
                <w:lang w:val="ro-RO"/>
              </w:rPr>
              <w:t>Aeroport Hub Internațional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Sibiu</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1.302.866</w:t>
            </w:r>
          </w:p>
        </w:tc>
        <w:tc>
          <w:tcPr>
            <w:tcW w:w="3517" w:type="dxa"/>
          </w:tcPr>
          <w:p w:rsidR="00B4550A" w:rsidRPr="00E0488D" w:rsidRDefault="00B4550A" w:rsidP="003C7FC8">
            <w:pPr>
              <w:rPr>
                <w:lang w:val="ro-RO"/>
              </w:rPr>
            </w:pPr>
            <w:r w:rsidRPr="00E0488D">
              <w:rPr>
                <w:sz w:val="22"/>
                <w:szCs w:val="22"/>
                <w:lang w:val="ro-RO"/>
              </w:rPr>
              <w:t>Aeroport Hub Internațional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Cluj</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1.031.213</w:t>
            </w:r>
          </w:p>
        </w:tc>
        <w:tc>
          <w:tcPr>
            <w:tcW w:w="3517" w:type="dxa"/>
          </w:tcPr>
          <w:p w:rsidR="00B4550A" w:rsidRPr="00E0488D" w:rsidRDefault="00B4550A" w:rsidP="003C7FC8">
            <w:pPr>
              <w:rPr>
                <w:lang w:val="ro-RO"/>
              </w:rPr>
            </w:pPr>
            <w:r w:rsidRPr="00E0488D">
              <w:rPr>
                <w:sz w:val="22"/>
                <w:szCs w:val="22"/>
                <w:lang w:val="ro-RO"/>
              </w:rPr>
              <w:t>Aeroport Hub Internațional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Bacău</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1.702.721</w:t>
            </w:r>
          </w:p>
        </w:tc>
        <w:tc>
          <w:tcPr>
            <w:tcW w:w="3517" w:type="dxa"/>
          </w:tcPr>
          <w:p w:rsidR="00B4550A" w:rsidRPr="00E0488D" w:rsidRDefault="00B4550A" w:rsidP="003C7FC8">
            <w:pPr>
              <w:rPr>
                <w:lang w:val="ro-RO"/>
              </w:rPr>
            </w:pPr>
            <w:r w:rsidRPr="00E0488D">
              <w:rPr>
                <w:sz w:val="22"/>
                <w:szCs w:val="22"/>
                <w:lang w:val="ro-RO"/>
              </w:rPr>
              <w:t>Aeroport Hub Internațional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Iași</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1.040.752</w:t>
            </w:r>
          </w:p>
        </w:tc>
        <w:tc>
          <w:tcPr>
            <w:tcW w:w="3517" w:type="dxa"/>
          </w:tcPr>
          <w:p w:rsidR="00B4550A" w:rsidRPr="00E0488D" w:rsidRDefault="00B4550A" w:rsidP="003C7FC8">
            <w:pPr>
              <w:rPr>
                <w:lang w:val="ro-RO"/>
              </w:rPr>
            </w:pPr>
            <w:r w:rsidRPr="00E0488D">
              <w:rPr>
                <w:sz w:val="22"/>
                <w:szCs w:val="22"/>
                <w:lang w:val="ro-RO"/>
              </w:rPr>
              <w:t>Aeroport Hub Internațional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Târgu Mureș</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710.953</w:t>
            </w:r>
          </w:p>
        </w:tc>
        <w:tc>
          <w:tcPr>
            <w:tcW w:w="3517" w:type="dxa"/>
          </w:tcPr>
          <w:p w:rsidR="00B4550A" w:rsidRPr="00E0488D" w:rsidRDefault="00B4550A" w:rsidP="003C7FC8">
            <w:pPr>
              <w:tabs>
                <w:tab w:val="center" w:pos="4153"/>
                <w:tab w:val="right" w:pos="8306"/>
              </w:tabs>
              <w:rPr>
                <w:sz w:val="22"/>
                <w:szCs w:val="22"/>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Oradea</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653.170</w:t>
            </w:r>
          </w:p>
        </w:tc>
        <w:tc>
          <w:tcPr>
            <w:tcW w:w="3517" w:type="dxa"/>
          </w:tcPr>
          <w:p w:rsidR="00B4550A" w:rsidRPr="00E0488D" w:rsidRDefault="00B4550A" w:rsidP="003C7FC8">
            <w:pPr>
              <w:rPr>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Brașov</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595.543</w:t>
            </w:r>
          </w:p>
        </w:tc>
        <w:tc>
          <w:tcPr>
            <w:tcW w:w="3517" w:type="dxa"/>
          </w:tcPr>
          <w:p w:rsidR="00B4550A" w:rsidRPr="00E0488D" w:rsidRDefault="00B4550A" w:rsidP="003C7FC8">
            <w:pPr>
              <w:rPr>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Constanta</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664.680</w:t>
            </w:r>
          </w:p>
        </w:tc>
        <w:tc>
          <w:tcPr>
            <w:tcW w:w="3517" w:type="dxa"/>
          </w:tcPr>
          <w:p w:rsidR="00B4550A" w:rsidRPr="00E0488D" w:rsidRDefault="00B4550A" w:rsidP="003C7FC8">
            <w:pPr>
              <w:rPr>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Suceava</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972.480</w:t>
            </w:r>
          </w:p>
        </w:tc>
        <w:tc>
          <w:tcPr>
            <w:tcW w:w="3517" w:type="dxa"/>
          </w:tcPr>
          <w:p w:rsidR="00B4550A" w:rsidRPr="00E0488D" w:rsidRDefault="00B4550A" w:rsidP="003C7FC8">
            <w:pPr>
              <w:rPr>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Tulcea</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911.819</w:t>
            </w:r>
          </w:p>
        </w:tc>
        <w:tc>
          <w:tcPr>
            <w:tcW w:w="3517" w:type="dxa"/>
          </w:tcPr>
          <w:p w:rsidR="00B4550A" w:rsidRPr="00E0488D" w:rsidRDefault="00B4550A" w:rsidP="003C7FC8">
            <w:pPr>
              <w:rPr>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Baia Mare</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640,587</w:t>
            </w:r>
          </w:p>
        </w:tc>
        <w:tc>
          <w:tcPr>
            <w:tcW w:w="3517" w:type="dxa"/>
          </w:tcPr>
          <w:p w:rsidR="00B4550A" w:rsidRPr="00E0488D" w:rsidRDefault="00B4550A" w:rsidP="003C7FC8">
            <w:pPr>
              <w:rPr>
                <w:lang w:val="ro-RO"/>
              </w:rPr>
            </w:pPr>
            <w:r w:rsidRPr="00E0488D">
              <w:rPr>
                <w:sz w:val="22"/>
                <w:szCs w:val="22"/>
                <w:lang w:val="ro-RO"/>
              </w:rPr>
              <w:t>Aeroport Regional</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Arad</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371.077</w:t>
            </w:r>
          </w:p>
        </w:tc>
        <w:tc>
          <w:tcPr>
            <w:tcW w:w="3517" w:type="dxa"/>
          </w:tcPr>
          <w:p w:rsidR="00B4550A" w:rsidRPr="00E0488D" w:rsidRDefault="00B4550A" w:rsidP="003C7FC8">
            <w:pPr>
              <w:tabs>
                <w:tab w:val="center" w:pos="4153"/>
                <w:tab w:val="right" w:pos="8306"/>
              </w:tabs>
              <w:rPr>
                <w:sz w:val="22"/>
                <w:szCs w:val="22"/>
                <w:lang w:val="ro-RO"/>
              </w:rPr>
            </w:pPr>
            <w:r w:rsidRPr="00E0488D">
              <w:rPr>
                <w:sz w:val="22"/>
                <w:szCs w:val="22"/>
                <w:lang w:val="ro-RO"/>
              </w:rPr>
              <w:t>Aeroport Regional Mic</w:t>
            </w:r>
          </w:p>
        </w:tc>
      </w:tr>
      <w:tr w:rsidR="00B4550A" w:rsidRPr="00E0488D" w:rsidTr="003C7FC8">
        <w:tc>
          <w:tcPr>
            <w:tcW w:w="2376" w:type="dxa"/>
            <w:vAlign w:val="bottom"/>
          </w:tcPr>
          <w:p w:rsidR="00B4550A" w:rsidRPr="00E0488D" w:rsidRDefault="00B4550A" w:rsidP="003C7FC8">
            <w:pPr>
              <w:tabs>
                <w:tab w:val="center" w:pos="4153"/>
                <w:tab w:val="right" w:pos="8306"/>
              </w:tabs>
              <w:rPr>
                <w:color w:val="000000"/>
                <w:sz w:val="22"/>
                <w:szCs w:val="22"/>
                <w:lang w:val="ro-RO"/>
              </w:rPr>
            </w:pPr>
            <w:r w:rsidRPr="00E0488D">
              <w:rPr>
                <w:color w:val="000000"/>
                <w:sz w:val="22"/>
                <w:szCs w:val="22"/>
                <w:lang w:val="ro-RO"/>
              </w:rPr>
              <w:t>Satu Mare</w:t>
            </w:r>
          </w:p>
        </w:tc>
        <w:tc>
          <w:tcPr>
            <w:tcW w:w="2552" w:type="dxa"/>
            <w:vAlign w:val="bottom"/>
          </w:tcPr>
          <w:p w:rsidR="00B4550A" w:rsidRPr="00E0488D" w:rsidRDefault="00B4550A" w:rsidP="003C7FC8">
            <w:pPr>
              <w:tabs>
                <w:tab w:val="center" w:pos="4153"/>
                <w:tab w:val="right" w:pos="8306"/>
              </w:tabs>
              <w:jc w:val="center"/>
              <w:rPr>
                <w:color w:val="000000"/>
                <w:sz w:val="22"/>
                <w:szCs w:val="22"/>
                <w:lang w:val="ro-RO"/>
              </w:rPr>
            </w:pPr>
            <w:r w:rsidRPr="00E0488D">
              <w:rPr>
                <w:color w:val="000000"/>
                <w:sz w:val="22"/>
                <w:szCs w:val="22"/>
                <w:lang w:val="ro-RO"/>
              </w:rPr>
              <w:t>368.169</w:t>
            </w:r>
          </w:p>
        </w:tc>
        <w:tc>
          <w:tcPr>
            <w:tcW w:w="3517" w:type="dxa"/>
          </w:tcPr>
          <w:p w:rsidR="00B4550A" w:rsidRPr="00E0488D" w:rsidRDefault="00B4550A" w:rsidP="003C7FC8">
            <w:pPr>
              <w:tabs>
                <w:tab w:val="center" w:pos="4153"/>
                <w:tab w:val="right" w:pos="8306"/>
              </w:tabs>
              <w:rPr>
                <w:sz w:val="22"/>
                <w:szCs w:val="22"/>
                <w:lang w:val="ro-RO"/>
              </w:rPr>
            </w:pPr>
            <w:r w:rsidRPr="00E0488D">
              <w:rPr>
                <w:sz w:val="22"/>
                <w:szCs w:val="22"/>
                <w:lang w:val="ro-RO"/>
              </w:rPr>
              <w:t>Aeroport Regional Mic</w:t>
            </w:r>
          </w:p>
        </w:tc>
      </w:tr>
    </w:tbl>
    <w:p w:rsidR="00B4550A" w:rsidRPr="00E0488D" w:rsidRDefault="00B4550A" w:rsidP="00B4550A">
      <w:pPr>
        <w:ind w:left="851"/>
        <w:rPr>
          <w:b/>
          <w:sz w:val="22"/>
          <w:szCs w:val="22"/>
          <w:lang w:val="ro-RO"/>
        </w:rPr>
      </w:pPr>
    </w:p>
    <w:p w:rsidR="00B4550A" w:rsidRPr="00E0488D" w:rsidRDefault="00B4550A" w:rsidP="00B4550A">
      <w:pPr>
        <w:rPr>
          <w:lang w:val="ro-RO"/>
        </w:rPr>
      </w:pPr>
    </w:p>
    <w:p w:rsidR="00B4550A" w:rsidRPr="00E0488D" w:rsidRDefault="00B4550A" w:rsidP="002B7E09">
      <w:pPr>
        <w:pStyle w:val="NumberedParas"/>
      </w:pPr>
      <w:r w:rsidRPr="00E0488D">
        <w:t xml:space="preserve">Figura 7.2 oferă o imagine a zonelor de captare pentru diferite aeroporturi, după cum reiese din modelul de prognoză pentru sectorul aerian. În scopul estimării cererii totale, un pasger nu se poate afla în două arii de captare diferite deoarece aceasta ar duce la calculare dublă a nivelului cererii, care poate duce la asigurarea unui surplus de facilități. În practică, bineînțeles, granițele dintre zonele de captare nu sunt rigide. </w:t>
      </w:r>
    </w:p>
    <w:p w:rsidR="00B4550A" w:rsidRPr="00E0488D" w:rsidRDefault="00966D0E" w:rsidP="00BD59B2">
      <w:pPr>
        <w:ind w:left="567"/>
        <w:rPr>
          <w:lang w:val="ro-RO"/>
        </w:rPr>
      </w:pPr>
      <w:r>
        <w:rPr>
          <w:lang w:val="ro-RO"/>
        </w:rPr>
      </w:r>
      <w:r>
        <w:rPr>
          <w:lang w:val="ro-RO"/>
        </w:rPr>
        <w:pict>
          <v:group id="Group 12" o:spid="_x0000_s1449" style="width:452.25pt;height:366pt;mso-position-horizontal-relative:char;mso-position-vertical-relative:line" coordsize="91440,68580">
            <v:group id="Group 395" o:spid="_x0000_s1450" style="position:absolute;left:1440;top:1800;width:88833;height:64194" coordorigin="1440,1800" coordsize="88833,64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Picture 397" o:spid="_x0000_s1451" type="#_x0000_t75" alt="airport_catchment.jpg" style="position:absolute;left:1440;top:1800;width:88833;height:641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ruLLEAAAA3AAAAA8AAABkcnMvZG93bnJldi54bWxET01rwkAQvRf8D8sIvdVNpEibukoVAr2E&#10;YrSQ45Adk7TZ2bC7atpf7wpCb/N4n7Ncj6YXZ3K+s6wgnSUgiGurO24UHPb50wsIH5A19pZJwS95&#10;WK8mD0vMtL3wjs5laEQMYZ+hgjaEIZPS1y0Z9DM7EEfuaJ3BEKFrpHZ4ieGml/MkWUiDHceGFgfa&#10;tlT/lCejoPg6pnO3qV6H/K/4zqti81kmO6Uep+P7G4hAY/gX390fOs5Pn+H2TLx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ruLLEAAAA3AAAAA8AAAAAAAAAAAAAAAAA&#10;nwIAAGRycy9kb3ducmV2LnhtbFBLBQYAAAAABAAEAPcAAACQAwAAAAA=&#10;">
                <v:imagedata r:id="rId290" o:title="airport_catchment" croptop="390f" cropbottom="390f" cropleft="9965f" cropright="13952f"/>
                <v:path arrowok="t"/>
              </v:shape>
              <v:shape id="Freeform 398" o:spid="_x0000_s1452" style="position:absolute;left:72913;top:38814;width:10002;height:8763;visibility:visible;v-text-anchor:middle" coordsize="1000125,876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zrx8IA&#10;AADcAAAADwAAAGRycy9kb3ducmV2LnhtbERPTWvCQBC9F/wPywje6kbBItFVNCD1YA81HvQ2ZMds&#10;NDsbstsk/ffdQqG3ebzPWW8HW4uOWl85VjCbJiCIC6crLhVc8sPrEoQPyBprx6TgmzxsN6OXNaba&#10;9fxJ3TmUIoawT1GBCaFJpfSFIYt+6hriyN1dazFE2JZSt9jHcFvLeZK8SYsVxwaDDWWGiuf5yyro&#10;73a/fKfuduse4eNkTJ5ds1ypyXjYrUAEGsK/+M991HH+bAG/z8QL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jOvHwgAAANwAAAAPAAAAAAAAAAAAAAAAAJgCAABkcnMvZG93&#10;bnJldi54bWxQSwUGAAAAAAQABAD1AAAAhwMAAAAA&#10;" adj="-11796480,,5400" path="m,l9525,71437r9525,100013l109537,223837r-9525,33338l142875,371475r4762,61912l147637,490537r,109538l138112,652462r-14287,38100l209550,766762r104775,-4762l457200,790575r166687,28575l766762,852487r61913,23813l1000125,857250e" filled="f" strokecolor="gray [1629]" strokeweight=".25pt">
                <v:stroke joinstyle="miter"/>
                <v:formulas/>
                <v:path arrowok="t" o:connecttype="custom" o:connectlocs="0,0;95,714;191,1715;1095,2238;1000,2572;1429,3715;1476,4334;1476,4905;1476,6001;1381,6525;1238,6906;2096,7668;3143,7620;4572,7906;6239,8192;7668,8525;8287,8763;10002,8573" o:connectangles="0,0,0,0,0,0,0,0,0,0,0,0,0,0,0,0,0,0" textboxrect="0,0,1000125,876300"/>
                <v:textbox style="mso-next-textbox:#Freeform 398">
                  <w:txbxContent>
                    <w:p w:rsidR="001F544B" w:rsidRDefault="001F544B" w:rsidP="00BD59B2"/>
                  </w:txbxContent>
                </v:textbox>
              </v:shape>
              <v:oval id="Oval 399" o:spid="_x0000_s1453" style="position:absolute;left:79920;top:41760;width:720;height:7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IsMA&#10;AADcAAAADwAAAGRycy9kb3ducmV2LnhtbERPzWrCQBC+C77DMkIvohsrhBLdiBYK7SElpnmAITsm&#10;IdnZmN1q+vZuodDbfHy/sz9Mphc3Gl1rWcFmHYEgrqxuuVZQfr2tXkA4j6yxt0wKfsjBIZ3P9pho&#10;e+cz3QpfixDCLkEFjfdDIqWrGjLo1nYgDtzFjgZ9gGMt9Yj3EG56+RxFsTTYcmhocKDXhqqu+DYK&#10;ruyz/HN7XrrTlLnoIy95yDqlnhbTcQfC0+T/xX/udx3mb2L4fSZcI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JIsMAAADcAAAADwAAAAAAAAAAAAAAAACYAgAAZHJzL2Rv&#10;d25yZXYueG1sUEsFBgAAAAAEAAQA9QAAAIgDAAAAAA==&#10;" fillcolor="red" strokecolor="black [3213]" strokeweight=".25pt">
                <v:textbox style="mso-next-textbox:#Oval 399">
                  <w:txbxContent>
                    <w:p w:rsidR="001F544B" w:rsidRDefault="001F544B" w:rsidP="00BD59B2"/>
                  </w:txbxContent>
                </v:textbox>
              </v:oval>
              <v:shape id="TextBox 9" o:spid="_x0000_s1454" type="#_x0000_t202" style="position:absolute;left:78840;top:42207;width:8380;height:328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4tSMUA&#10;AADcAAAADwAAAGRycy9kb3ducmV2LnhtbESPzW7CQAyE75X6DitX4lY20BZByoIQBam38vcAVtZk&#10;02S9UXaB0KevD5V6szXjmc/zZe8bdaUuVoENjIYZKOIi2IpLA6fj9nkKKiZki01gMnCnCMvF48Mc&#10;cxtuvKfrIZVKQjjmaMCl1OZax8KRxzgMLbFo59B5TLJ2pbYd3iTcN3qcZRPtsWJpcNjS2lFRHy7e&#10;wDTzX3U9G++if/0Zvbn1R9i038YMnvrVO6hEffo3/11/WsF/EXx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i1IxQAAANwAAAAPAAAAAAAAAAAAAAAAAJgCAABkcnMv&#10;ZG93bnJldi54bWxQSwUGAAAAAAQABAD1AAAAigMAAAAA&#10;" filled="f" stroked="f">
                <v:textbox style="mso-fit-shape-to-text:t">
                  <w:txbxContent>
                    <w:p w:rsidR="001F544B" w:rsidRDefault="001F544B" w:rsidP="00BD59B2">
                      <w:r>
                        <w:t>Tulcea</w:t>
                      </w:r>
                    </w:p>
                  </w:txbxContent>
                </v:textbox>
              </v:shape>
            </v:group>
            <v:rect id="Rectangle 396" o:spid="_x0000_s1455" style="position:absolute;width:91440;height:685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67wA&#10;AADcAAAADwAAAGRycy9kb3ducmV2LnhtbERPzQrCMAy+C75DieDNdSqITKuIIIienOI5rHEbrulY&#10;q9a3t4LgLR/fb5brYBrxpM7VlhWMkxQEcWF1zaWCy3k3moNwHlljY5kUvMnBetXvLTHT9sUneua+&#10;FDGEXYYKKu/bTEpXVGTQJbYljtzNdgZ9hF0pdYevGG4aOUnTmTRYc2yosKVtRcU9fxgF1/lJl5dw&#10;yM1x+tjeJjNngndKDQdhswDhKfi/+Ofe6zh/OobvM/ECufo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9NIHrvAAAANwAAAAPAAAAAAAAAAAAAAAAAJgCAABkcnMvZG93bnJldi54&#10;bWxQSwUGAAAAAAQABAD1AAAAgQMAAAAA&#10;" filled="f" strokecolor="black [3213]" strokeweight=".5pt">
              <v:textbox style="mso-next-textbox:#Rectangle 396">
                <w:txbxContent>
                  <w:p w:rsidR="001F544B" w:rsidRDefault="001F544B" w:rsidP="00BD59B2">
                    <w:pPr>
                      <w:jc w:val="center"/>
                    </w:pPr>
                  </w:p>
                </w:txbxContent>
              </v:textbox>
            </v:rect>
            <w10:anchorlock/>
          </v:group>
        </w:pict>
      </w:r>
    </w:p>
    <w:p w:rsidR="00B4550A" w:rsidRPr="00E0488D" w:rsidRDefault="00B4550A" w:rsidP="00B4550A">
      <w:pPr>
        <w:pStyle w:val="Body"/>
        <w:rPr>
          <w:lang w:val="ro-RO"/>
        </w:rPr>
      </w:pPr>
      <w:r w:rsidRPr="00E0488D">
        <w:rPr>
          <w:lang w:val="ro-RO"/>
        </w:rPr>
        <w:t xml:space="preserve">Figura 7.2: Localizarea și ariile de captare ale aeroporturilor în prezent </w:t>
      </w:r>
    </w:p>
    <w:p w:rsidR="00B4550A" w:rsidRPr="00E0488D" w:rsidRDefault="00B4550A" w:rsidP="002B7E09">
      <w:pPr>
        <w:pStyle w:val="NumberedParas"/>
      </w:pPr>
      <w:r w:rsidRPr="00E0488D">
        <w:t xml:space="preserve">Clasificarea propusă pentru aeroporturi în viitor este prezentată în Figura 7.3. Structura și localizarea acestor aeroporturi oferă o bună acoperire a aeroporturilor care ar trebui să aibă rolul de Hub Internațional, din diferite regiuni ale țării, sprijinite de o rețea mai densă de aeroporturi regionale. </w:t>
      </w:r>
    </w:p>
    <w:p w:rsidR="00B4550A" w:rsidRPr="00E0488D" w:rsidRDefault="00B4550A" w:rsidP="00B4550A">
      <w:pPr>
        <w:rPr>
          <w:b/>
          <w:lang w:val="ro-RO"/>
        </w:rPr>
      </w:pPr>
      <w:r w:rsidRPr="00E0488D">
        <w:rPr>
          <w:b/>
          <w:noProof/>
          <w:lang w:val="ro-RO" w:eastAsia="ro-RO"/>
        </w:rPr>
        <w:drawing>
          <wp:inline distT="0" distB="0" distL="0" distR="0">
            <wp:extent cx="6124575" cy="4333875"/>
            <wp:effectExtent l="19050" t="0" r="9525" b="0"/>
            <wp:docPr id="687" name="Picture 1" descr="F:\Projects\Freight Team\Johan\Romania 20 March 2014\Maps\Future classification Romanian Airports 8 July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jects\Freight Team\Johan\Romania 20 March 2014\Maps\Future classification Romanian Airports 8 July 2014.jpg"/>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6124575" cy="4333875"/>
                    </a:xfrm>
                    <a:prstGeom prst="rect">
                      <a:avLst/>
                    </a:prstGeom>
                    <a:noFill/>
                    <a:ln w="9525">
                      <a:noFill/>
                      <a:miter lim="800000"/>
                      <a:headEnd/>
                      <a:tailEnd/>
                    </a:ln>
                  </pic:spPr>
                </pic:pic>
              </a:graphicData>
            </a:graphic>
          </wp:inline>
        </w:drawing>
      </w:r>
    </w:p>
    <w:p w:rsidR="00B4550A" w:rsidRPr="00E0488D" w:rsidRDefault="00B4550A" w:rsidP="00B4550A">
      <w:pPr>
        <w:pStyle w:val="ListParagraph"/>
        <w:ind w:left="680"/>
        <w:rPr>
          <w:i/>
          <w:sz w:val="18"/>
          <w:szCs w:val="18"/>
          <w:lang w:val="ro-RO"/>
        </w:rPr>
      </w:pPr>
      <w:r w:rsidRPr="00E0488D">
        <w:rPr>
          <w:i/>
          <w:sz w:val="18"/>
          <w:szCs w:val="18"/>
          <w:lang w:val="ro-RO"/>
        </w:rPr>
        <w:t>Sursa: Analiza AECOM</w:t>
      </w:r>
    </w:p>
    <w:p w:rsidR="00B4550A" w:rsidRPr="00E0488D" w:rsidRDefault="00B4550A" w:rsidP="00B4550A">
      <w:pPr>
        <w:rPr>
          <w:lang w:val="ro-RO"/>
        </w:rPr>
      </w:pPr>
    </w:p>
    <w:p w:rsidR="00B4550A" w:rsidRPr="00E0488D" w:rsidRDefault="00B4550A" w:rsidP="00B4550A">
      <w:pPr>
        <w:rPr>
          <w:b/>
          <w:sz w:val="22"/>
          <w:szCs w:val="22"/>
          <w:lang w:val="ro-RO"/>
        </w:rPr>
      </w:pPr>
      <w:r w:rsidRPr="00E0488D">
        <w:rPr>
          <w:b/>
          <w:sz w:val="22"/>
          <w:szCs w:val="22"/>
          <w:lang w:val="ro-RO"/>
        </w:rPr>
        <w:t xml:space="preserve">Figura 7.3: Localizarea și clasificarea viitoare a aeroporturilor din România </w:t>
      </w:r>
    </w:p>
    <w:p w:rsidR="00B4550A" w:rsidRPr="00E0488D" w:rsidRDefault="00B4550A" w:rsidP="00B4550A">
      <w:pPr>
        <w:rPr>
          <w:lang w:val="ro-RO"/>
        </w:rPr>
      </w:pPr>
    </w:p>
    <w:p w:rsidR="00B4550A" w:rsidRPr="00E0488D" w:rsidRDefault="00B4550A" w:rsidP="00B4550A">
      <w:pPr>
        <w:pStyle w:val="Hdg3"/>
      </w:pPr>
      <w:r w:rsidRPr="00E0488D">
        <w:t>Prognoze de trafic aerian</w:t>
      </w:r>
    </w:p>
    <w:p w:rsidR="00B4550A" w:rsidRPr="00E0488D" w:rsidRDefault="00B4550A" w:rsidP="002B7E09">
      <w:pPr>
        <w:pStyle w:val="NumberedParas"/>
      </w:pPr>
      <w:r w:rsidRPr="00E0488D">
        <w:t>După cum am menționat în paragraful 7.2.19, în vederea asigurării unei baze de prognoză a nivelului traficului aerian viitor a fost elaborat un model dedicat traficului aerian. Cererea de transport aerian pentru pasageri este o funcție a</w:t>
      </w:r>
    </w:p>
    <w:p w:rsidR="00B4550A" w:rsidRPr="00E0488D" w:rsidRDefault="00B4550A" w:rsidP="00BC2B57">
      <w:pPr>
        <w:pStyle w:val="BulletLevel1"/>
      </w:pPr>
      <w:r w:rsidRPr="00E0488D">
        <w:t>Mărimii zonei de captare a aeroportului în termenii populației și capacității de atracție a turiștilor;</w:t>
      </w:r>
    </w:p>
    <w:p w:rsidR="00B4550A" w:rsidRPr="00E0488D" w:rsidRDefault="00B4550A" w:rsidP="00BC2B57">
      <w:pPr>
        <w:pStyle w:val="BulletLevel1"/>
      </w:pPr>
      <w:r w:rsidRPr="00E0488D">
        <w:t>Venitului mediu al populației din zona de captare deoarece ariile cu venituri mai mari ale populației generează mai multe deplasări pe cap de locuitor;</w:t>
      </w:r>
    </w:p>
    <w:p w:rsidR="00B4550A" w:rsidRPr="00E0488D" w:rsidRDefault="00B4550A" w:rsidP="00BC2B57">
      <w:pPr>
        <w:pStyle w:val="BulletLevel1"/>
      </w:pPr>
      <w:r w:rsidRPr="00E0488D">
        <w:t>Naturii curselor aeriene disponibile în aeroport (interne/internaționale) și numărului de zboruri;</w:t>
      </w:r>
    </w:p>
    <w:p w:rsidR="00B4550A" w:rsidRPr="00E0488D" w:rsidRDefault="00B4550A" w:rsidP="00BC2B57">
      <w:pPr>
        <w:pStyle w:val="BulletLevel1"/>
      </w:pPr>
      <w:r w:rsidRPr="00E0488D">
        <w:t>Cererii viitoare de trafic aerian, care s-a demonstrat a fi strâns legată de creșterea Produsului Intern Brut și</w:t>
      </w:r>
    </w:p>
    <w:p w:rsidR="00B4550A" w:rsidRPr="00E0488D" w:rsidRDefault="00B4550A" w:rsidP="00BC2B57">
      <w:pPr>
        <w:pStyle w:val="BulletLevel1"/>
      </w:pPr>
      <w:r w:rsidRPr="00E0488D">
        <w:t xml:space="preserve">Capacității aeroportului în ce privește numărul de curse aeriene posibile și capacitatea terminalelor de pasageri. Conform abordării selectate, a fost estimată inițial cererea potențială, pe baza rolului viitor propus al aeroportului și serviciile pe care acest rol le implică după care a fost evaluat deficitul de capacitate. </w:t>
      </w:r>
    </w:p>
    <w:p w:rsidR="00B4550A" w:rsidRPr="00E0488D" w:rsidRDefault="00B4550A" w:rsidP="002B7E09">
      <w:pPr>
        <w:pStyle w:val="NumberedParas"/>
      </w:pPr>
      <w:r w:rsidRPr="00E0488D">
        <w:t xml:space="preserve">Derivarea unui model pentru a prognoza cererile viitoare de trafic aerian necesită analiza aprofundată a fiecărei componente menționate mai sus, în vederea dezvoltării parametrilor modali și proceselor de prognoză. Unul dintre principalii factori determinanți ai variațiilor importante din nivelul cererii este schimbarea categoriei aeroportului ca rezultat al investițiilor în infrastructura aeroportuară și al succesului în atracția de noi operatori de trafic aerian care să asigure noi curse aeriene pe acel aeroport. Trebuie subliniat faptul că în cazul unui aeroport, creșterea nu este dependentă numai de îmbunătățirea capacității și facilitaților disponibile ci depinde și de cursele angajate de acel aeroport. Nicio investiție nu trebuie făcută dacă nu există toate asigurările privind serviciile viitoare, dat fiind faptul că acestea sunt cele care determină nivelul cererii. </w:t>
      </w:r>
    </w:p>
    <w:p w:rsidR="00B4550A" w:rsidRPr="00E0488D" w:rsidRDefault="00B4550A" w:rsidP="002B7E09">
      <w:pPr>
        <w:pStyle w:val="NumberedParas"/>
      </w:pPr>
      <w:r w:rsidRPr="00E0488D">
        <w:t xml:space="preserve">O descriere a modelului este cuprinsă într-o Notă Tehnică separată. </w:t>
      </w:r>
    </w:p>
    <w:p w:rsidR="00B4550A" w:rsidRPr="00E0488D" w:rsidRDefault="00B4550A" w:rsidP="002B7E09">
      <w:pPr>
        <w:pStyle w:val="NumberedParas"/>
      </w:pPr>
      <w:r w:rsidRPr="00E0488D">
        <w:t>Tabelele 7.3 si 7.4 includ prognozele pentru 2020 si 2025 pentru fiecare aeroport, relația cu rețeaua TEN-T și clasificarea propusă.</w:t>
      </w:r>
    </w:p>
    <w:p w:rsidR="00B4550A" w:rsidRPr="00E0488D" w:rsidRDefault="00B4550A" w:rsidP="00B4550A">
      <w:pPr>
        <w:ind w:left="851"/>
        <w:rPr>
          <w:b/>
          <w:sz w:val="22"/>
          <w:szCs w:val="22"/>
          <w:lang w:val="ro-RO"/>
        </w:rPr>
      </w:pPr>
      <w:r w:rsidRPr="00E0488D">
        <w:rPr>
          <w:b/>
          <w:sz w:val="22"/>
          <w:szCs w:val="22"/>
          <w:lang w:val="ro-RO"/>
        </w:rPr>
        <w:t>Tabelul 7.3: Aeroporturi din România, Prognoze 2020, clasificare TEN-T și clasificarea viitoare a AECOM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1906"/>
        <w:gridCol w:w="1288"/>
        <w:gridCol w:w="1574"/>
        <w:gridCol w:w="1416"/>
        <w:gridCol w:w="2833"/>
      </w:tblGrid>
      <w:tr w:rsidR="00B4550A" w:rsidRPr="00E0488D" w:rsidTr="003C7FC8">
        <w:tc>
          <w:tcPr>
            <w:tcW w:w="709" w:type="pct"/>
            <w:vMerge w:val="restar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Aeroport</w:t>
            </w:r>
          </w:p>
        </w:tc>
        <w:tc>
          <w:tcPr>
            <w:tcW w:w="907"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 xml:space="preserve">Clasificare TEN-T </w:t>
            </w:r>
          </w:p>
        </w:tc>
        <w:tc>
          <w:tcPr>
            <w:tcW w:w="2036" w:type="pct"/>
            <w:gridSpan w:val="3"/>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 xml:space="preserve">Prognoze 2020 </w:t>
            </w:r>
          </w:p>
        </w:tc>
        <w:tc>
          <w:tcPr>
            <w:tcW w:w="1348"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AECOM</w:t>
            </w:r>
          </w:p>
        </w:tc>
      </w:tr>
      <w:tr w:rsidR="00B4550A" w:rsidRPr="00E0488D" w:rsidTr="003C7FC8">
        <w:tc>
          <w:tcPr>
            <w:tcW w:w="709" w:type="pct"/>
            <w:vMerge/>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p>
        </w:tc>
        <w:tc>
          <w:tcPr>
            <w:tcW w:w="907"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Centrală/ Extinsă</w:t>
            </w:r>
          </w:p>
        </w:tc>
        <w:tc>
          <w:tcPr>
            <w:tcW w:w="613"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Intern</w:t>
            </w:r>
          </w:p>
        </w:tc>
        <w:tc>
          <w:tcPr>
            <w:tcW w:w="749"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International</w:t>
            </w:r>
          </w:p>
        </w:tc>
        <w:tc>
          <w:tcPr>
            <w:tcW w:w="674"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TOTAL</w:t>
            </w:r>
          </w:p>
        </w:tc>
        <w:tc>
          <w:tcPr>
            <w:tcW w:w="1348" w:type="pct"/>
            <w:shd w:val="clear" w:color="auto" w:fill="B8CCE4" w:themeFill="accent1" w:themeFillTint="66"/>
            <w:vAlign w:val="center"/>
          </w:tcPr>
          <w:p w:rsidR="00B4550A" w:rsidRPr="00E0488D" w:rsidRDefault="00B4550A" w:rsidP="003C7FC8">
            <w:pPr>
              <w:tabs>
                <w:tab w:val="center" w:pos="4153"/>
                <w:tab w:val="right" w:pos="8306"/>
              </w:tabs>
              <w:jc w:val="center"/>
              <w:rPr>
                <w:b/>
                <w:sz w:val="20"/>
                <w:szCs w:val="20"/>
                <w:lang w:val="ro-RO"/>
              </w:rPr>
            </w:pPr>
            <w:r w:rsidRPr="00E0488D">
              <w:rPr>
                <w:b/>
                <w:sz w:val="20"/>
                <w:szCs w:val="20"/>
                <w:lang w:val="ro-RO"/>
              </w:rPr>
              <w:t>Clasificare</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București</w:t>
            </w:r>
          </w:p>
        </w:tc>
        <w:tc>
          <w:tcPr>
            <w:tcW w:w="907" w:type="pct"/>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Centrală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861.945</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8.850.387</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9.712.332</w:t>
            </w:r>
          </w:p>
        </w:tc>
        <w:tc>
          <w:tcPr>
            <w:tcW w:w="1348" w:type="pct"/>
          </w:tcPr>
          <w:p w:rsidR="00B4550A" w:rsidRPr="00E0488D" w:rsidRDefault="00B4550A" w:rsidP="003C7FC8">
            <w:pPr>
              <w:tabs>
                <w:tab w:val="center" w:pos="4153"/>
                <w:tab w:val="right" w:pos="8306"/>
              </w:tabs>
              <w:rPr>
                <w:sz w:val="20"/>
                <w:szCs w:val="20"/>
                <w:lang w:val="ro-RO"/>
              </w:rPr>
            </w:pPr>
            <w:r w:rsidRPr="00E0488D">
              <w:rPr>
                <w:sz w:val="20"/>
                <w:szCs w:val="20"/>
                <w:lang w:val="ro-RO"/>
              </w:rPr>
              <w:t>Aeroport Hub Internațional Major</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Craiova</w:t>
            </w:r>
          </w:p>
        </w:tc>
        <w:tc>
          <w:tcPr>
            <w:tcW w:w="907" w:type="pct"/>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437.186</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1.574.902</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2.012.088</w:t>
            </w:r>
          </w:p>
        </w:tc>
        <w:tc>
          <w:tcPr>
            <w:tcW w:w="1348" w:type="pct"/>
          </w:tcPr>
          <w:p w:rsidR="00B4550A" w:rsidRPr="00E0488D" w:rsidRDefault="00B4550A" w:rsidP="003C7FC8">
            <w:pPr>
              <w:tabs>
                <w:tab w:val="center" w:pos="4153"/>
                <w:tab w:val="right" w:pos="8306"/>
              </w:tabs>
              <w:rPr>
                <w:sz w:val="20"/>
                <w:szCs w:val="20"/>
                <w:lang w:val="ro-RO"/>
              </w:rPr>
            </w:pPr>
            <w:r w:rsidRPr="00E0488D">
              <w:rPr>
                <w:sz w:val="20"/>
                <w:szCs w:val="20"/>
                <w:lang w:val="ro-RO"/>
              </w:rPr>
              <w:t>Aeroport Hub Internațional</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Timișoara</w:t>
            </w:r>
          </w:p>
        </w:tc>
        <w:tc>
          <w:tcPr>
            <w:tcW w:w="907" w:type="pct"/>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Core</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444.687</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1.349.157</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1.793.844</w:t>
            </w:r>
          </w:p>
        </w:tc>
        <w:tc>
          <w:tcPr>
            <w:tcW w:w="1348" w:type="pct"/>
          </w:tcPr>
          <w:p w:rsidR="00B4550A" w:rsidRPr="00E0488D" w:rsidRDefault="00B4550A" w:rsidP="003C7FC8">
            <w:pPr>
              <w:rPr>
                <w:lang w:val="ro-RO"/>
              </w:rPr>
            </w:pPr>
            <w:r w:rsidRPr="00E0488D">
              <w:rPr>
                <w:sz w:val="20"/>
                <w:szCs w:val="20"/>
                <w:lang w:val="ro-RO"/>
              </w:rPr>
              <w:t>Aeroport Hub Internațional</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Sibiu</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329.746</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1.187.865</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1.517.612</w:t>
            </w:r>
          </w:p>
        </w:tc>
        <w:tc>
          <w:tcPr>
            <w:tcW w:w="1348" w:type="pct"/>
          </w:tcPr>
          <w:p w:rsidR="00B4550A" w:rsidRPr="00E0488D" w:rsidRDefault="00B4550A" w:rsidP="003C7FC8">
            <w:pPr>
              <w:rPr>
                <w:lang w:val="ro-RO"/>
              </w:rPr>
            </w:pPr>
            <w:r w:rsidRPr="00E0488D">
              <w:rPr>
                <w:sz w:val="20"/>
                <w:szCs w:val="20"/>
                <w:lang w:val="ro-RO"/>
              </w:rPr>
              <w:t>Aeroport Hub Internațional</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Cluj</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253,842</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1.094.722</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1.348.564</w:t>
            </w:r>
          </w:p>
        </w:tc>
        <w:tc>
          <w:tcPr>
            <w:tcW w:w="1348" w:type="pct"/>
          </w:tcPr>
          <w:p w:rsidR="00B4550A" w:rsidRPr="00E0488D" w:rsidRDefault="00B4550A" w:rsidP="003C7FC8">
            <w:pPr>
              <w:rPr>
                <w:lang w:val="ro-RO"/>
              </w:rPr>
            </w:pPr>
            <w:r w:rsidRPr="00E0488D">
              <w:rPr>
                <w:sz w:val="20"/>
                <w:szCs w:val="20"/>
                <w:lang w:val="ro-RO"/>
              </w:rPr>
              <w:t>Aeroport Hub Internațional</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Bacău</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258.620</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931.641</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1.190.261</w:t>
            </w:r>
          </w:p>
        </w:tc>
        <w:tc>
          <w:tcPr>
            <w:tcW w:w="1348" w:type="pct"/>
          </w:tcPr>
          <w:p w:rsidR="00B4550A" w:rsidRPr="00E0488D" w:rsidRDefault="00B4550A" w:rsidP="003C7FC8">
            <w:pPr>
              <w:rPr>
                <w:lang w:val="ro-RO"/>
              </w:rPr>
            </w:pPr>
            <w:r w:rsidRPr="00E0488D">
              <w:rPr>
                <w:sz w:val="20"/>
                <w:szCs w:val="20"/>
                <w:lang w:val="ro-RO"/>
              </w:rPr>
              <w:t>Aeroport Hub Internațional</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Iași</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155.122</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558.807</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713.929</w:t>
            </w:r>
          </w:p>
        </w:tc>
        <w:tc>
          <w:tcPr>
            <w:tcW w:w="1348" w:type="pct"/>
          </w:tcPr>
          <w:p w:rsidR="00B4550A" w:rsidRPr="00E0488D" w:rsidRDefault="00B4550A" w:rsidP="003C7FC8">
            <w:pPr>
              <w:rPr>
                <w:lang w:val="ro-RO"/>
              </w:rPr>
            </w:pPr>
            <w:r w:rsidRPr="00E0488D">
              <w:rPr>
                <w:sz w:val="20"/>
                <w:szCs w:val="20"/>
                <w:lang w:val="ro-RO"/>
              </w:rPr>
              <w:t>Aeroport Hub Internațional</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Târgu Mureș</w:t>
            </w:r>
          </w:p>
        </w:tc>
        <w:tc>
          <w:tcPr>
            <w:tcW w:w="907" w:type="pct"/>
            <w:vAlign w:val="center"/>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N/A</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lang w:val="ro-RO"/>
              </w:rPr>
              <w:t>149.948</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lang w:val="ro-RO"/>
              </w:rPr>
              <w:t>540.166</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lang w:val="ro-RO"/>
              </w:rPr>
              <w:t>690.114</w:t>
            </w:r>
          </w:p>
        </w:tc>
        <w:tc>
          <w:tcPr>
            <w:tcW w:w="1348" w:type="pct"/>
          </w:tcPr>
          <w:p w:rsidR="00B4550A" w:rsidRPr="00E0488D" w:rsidRDefault="00B4550A" w:rsidP="003C7FC8">
            <w:pPr>
              <w:tabs>
                <w:tab w:val="center" w:pos="4153"/>
                <w:tab w:val="right" w:pos="8306"/>
              </w:tabs>
              <w:rPr>
                <w:sz w:val="20"/>
                <w:szCs w:val="20"/>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Oradea</w:t>
            </w:r>
          </w:p>
        </w:tc>
        <w:tc>
          <w:tcPr>
            <w:tcW w:w="907" w:type="pct"/>
            <w:vAlign w:val="center"/>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52.305</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185.671</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237.976</w:t>
            </w:r>
          </w:p>
        </w:tc>
        <w:tc>
          <w:tcPr>
            <w:tcW w:w="1348" w:type="pct"/>
          </w:tcPr>
          <w:p w:rsidR="00B4550A" w:rsidRPr="00E0488D" w:rsidRDefault="00B4550A" w:rsidP="003C7FC8">
            <w:pPr>
              <w:rPr>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Brașov</w:t>
            </w:r>
          </w:p>
        </w:tc>
        <w:tc>
          <w:tcPr>
            <w:tcW w:w="907" w:type="pct"/>
            <w:vAlign w:val="center"/>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N/A</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52.199</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185.297</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237.496</w:t>
            </w:r>
          </w:p>
        </w:tc>
        <w:tc>
          <w:tcPr>
            <w:tcW w:w="1348" w:type="pct"/>
          </w:tcPr>
          <w:p w:rsidR="00B4550A" w:rsidRPr="00E0488D" w:rsidRDefault="00B4550A" w:rsidP="003C7FC8">
            <w:pPr>
              <w:rPr>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Constanta</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51.479</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182.740</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234.219</w:t>
            </w:r>
          </w:p>
        </w:tc>
        <w:tc>
          <w:tcPr>
            <w:tcW w:w="1348" w:type="pct"/>
          </w:tcPr>
          <w:p w:rsidR="00B4550A" w:rsidRPr="00E0488D" w:rsidRDefault="00B4550A" w:rsidP="003C7FC8">
            <w:pPr>
              <w:rPr>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Suceava</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51.390</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182.425</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233.816</w:t>
            </w:r>
          </w:p>
        </w:tc>
        <w:tc>
          <w:tcPr>
            <w:tcW w:w="1348" w:type="pct"/>
          </w:tcPr>
          <w:p w:rsidR="00B4550A" w:rsidRPr="00E0488D" w:rsidRDefault="00B4550A" w:rsidP="003C7FC8">
            <w:pPr>
              <w:rPr>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Tulcea</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42.081</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149.378</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191.459</w:t>
            </w:r>
          </w:p>
        </w:tc>
        <w:tc>
          <w:tcPr>
            <w:tcW w:w="1348" w:type="pct"/>
          </w:tcPr>
          <w:p w:rsidR="00B4550A" w:rsidRPr="00E0488D" w:rsidRDefault="00B4550A" w:rsidP="003C7FC8">
            <w:pPr>
              <w:rPr>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Baia Mare</w:t>
            </w:r>
          </w:p>
        </w:tc>
        <w:tc>
          <w:tcPr>
            <w:tcW w:w="907" w:type="pct"/>
            <w:vAlign w:val="center"/>
          </w:tcPr>
          <w:p w:rsidR="00B4550A" w:rsidRPr="00E0488D" w:rsidRDefault="00B4550A" w:rsidP="003C7FC8">
            <w:pPr>
              <w:jc w:val="center"/>
              <w:rPr>
                <w:lang w:val="ro-RO"/>
              </w:rPr>
            </w:pPr>
            <w:r w:rsidRPr="00E0488D">
              <w:rPr>
                <w:sz w:val="20"/>
                <w:szCs w:val="20"/>
                <w:lang w:val="ro-RO"/>
              </w:rPr>
              <w:t>Extinsă</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39.405</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139.882</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179.287</w:t>
            </w:r>
          </w:p>
        </w:tc>
        <w:tc>
          <w:tcPr>
            <w:tcW w:w="1348" w:type="pct"/>
          </w:tcPr>
          <w:p w:rsidR="00B4550A" w:rsidRPr="00E0488D" w:rsidRDefault="00B4550A" w:rsidP="003C7FC8">
            <w:pPr>
              <w:rPr>
                <w:lang w:val="ro-RO"/>
              </w:rPr>
            </w:pPr>
            <w:r w:rsidRPr="00E0488D">
              <w:rPr>
                <w:sz w:val="20"/>
                <w:szCs w:val="20"/>
                <w:lang w:val="ro-RO"/>
              </w:rPr>
              <w:t xml:space="preserve">Aeroport Regional </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Arad</w:t>
            </w:r>
          </w:p>
        </w:tc>
        <w:tc>
          <w:tcPr>
            <w:tcW w:w="907" w:type="pct"/>
            <w:vAlign w:val="center"/>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N/A</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24.147</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12.475</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36.621</w:t>
            </w:r>
          </w:p>
        </w:tc>
        <w:tc>
          <w:tcPr>
            <w:tcW w:w="1348" w:type="pct"/>
          </w:tcPr>
          <w:p w:rsidR="00B4550A" w:rsidRPr="00E0488D" w:rsidRDefault="00B4550A" w:rsidP="003C7FC8">
            <w:pPr>
              <w:tabs>
                <w:tab w:val="center" w:pos="4153"/>
                <w:tab w:val="right" w:pos="8306"/>
              </w:tabs>
              <w:rPr>
                <w:sz w:val="20"/>
                <w:szCs w:val="20"/>
                <w:lang w:val="ro-RO"/>
              </w:rPr>
            </w:pPr>
            <w:r w:rsidRPr="00E0488D">
              <w:rPr>
                <w:sz w:val="20"/>
                <w:szCs w:val="20"/>
                <w:lang w:val="ro-RO"/>
              </w:rPr>
              <w:t>Aeroport Regional Mic</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r w:rsidRPr="00E0488D">
              <w:rPr>
                <w:color w:val="000000"/>
                <w:sz w:val="20"/>
                <w:szCs w:val="20"/>
                <w:lang w:val="ro-RO"/>
              </w:rPr>
              <w:t>Satu Mare</w:t>
            </w:r>
          </w:p>
        </w:tc>
        <w:tc>
          <w:tcPr>
            <w:tcW w:w="907" w:type="pct"/>
            <w:vAlign w:val="center"/>
          </w:tcPr>
          <w:p w:rsidR="00B4550A" w:rsidRPr="00E0488D" w:rsidRDefault="00B4550A" w:rsidP="003C7FC8">
            <w:pPr>
              <w:tabs>
                <w:tab w:val="center" w:pos="4153"/>
                <w:tab w:val="right" w:pos="8306"/>
              </w:tabs>
              <w:jc w:val="center"/>
              <w:rPr>
                <w:sz w:val="20"/>
                <w:szCs w:val="20"/>
                <w:lang w:val="ro-RO"/>
              </w:rPr>
            </w:pPr>
            <w:r w:rsidRPr="00E0488D">
              <w:rPr>
                <w:sz w:val="20"/>
                <w:szCs w:val="20"/>
                <w:lang w:val="ro-RO"/>
              </w:rPr>
              <w:t>N/A</w:t>
            </w:r>
          </w:p>
        </w:tc>
        <w:tc>
          <w:tcPr>
            <w:tcW w:w="613"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26.241</w:t>
            </w:r>
          </w:p>
        </w:tc>
        <w:tc>
          <w:tcPr>
            <w:tcW w:w="749"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4.308</w:t>
            </w:r>
          </w:p>
        </w:tc>
        <w:tc>
          <w:tcPr>
            <w:tcW w:w="674" w:type="pct"/>
            <w:vAlign w:val="bottom"/>
          </w:tcPr>
          <w:p w:rsidR="00B4550A" w:rsidRPr="00E0488D" w:rsidRDefault="00B4550A" w:rsidP="003C7FC8">
            <w:pPr>
              <w:tabs>
                <w:tab w:val="center" w:pos="4153"/>
                <w:tab w:val="right" w:pos="8306"/>
              </w:tabs>
              <w:jc w:val="center"/>
              <w:rPr>
                <w:color w:val="000000"/>
                <w:sz w:val="20"/>
                <w:szCs w:val="20"/>
                <w:lang w:val="ro-RO"/>
              </w:rPr>
            </w:pPr>
            <w:r w:rsidRPr="00E0488D">
              <w:rPr>
                <w:color w:val="000000"/>
                <w:sz w:val="20"/>
                <w:szCs w:val="20"/>
                <w:lang w:val="ro-RO"/>
              </w:rPr>
              <w:t>30.550</w:t>
            </w:r>
          </w:p>
        </w:tc>
        <w:tc>
          <w:tcPr>
            <w:tcW w:w="1348" w:type="pct"/>
          </w:tcPr>
          <w:p w:rsidR="00B4550A" w:rsidRPr="00E0488D" w:rsidRDefault="00B4550A" w:rsidP="003C7FC8">
            <w:pPr>
              <w:tabs>
                <w:tab w:val="center" w:pos="4153"/>
                <w:tab w:val="right" w:pos="8306"/>
              </w:tabs>
              <w:rPr>
                <w:sz w:val="20"/>
                <w:szCs w:val="20"/>
                <w:lang w:val="ro-RO"/>
              </w:rPr>
            </w:pPr>
            <w:r w:rsidRPr="00E0488D">
              <w:rPr>
                <w:sz w:val="20"/>
                <w:szCs w:val="20"/>
                <w:lang w:val="ro-RO"/>
              </w:rPr>
              <w:t>Aeroport Regional Mic</w:t>
            </w:r>
          </w:p>
        </w:tc>
      </w:tr>
      <w:tr w:rsidR="00B4550A" w:rsidRPr="00E0488D" w:rsidTr="003C7FC8">
        <w:tc>
          <w:tcPr>
            <w:tcW w:w="709" w:type="pct"/>
            <w:vAlign w:val="bottom"/>
          </w:tcPr>
          <w:p w:rsidR="00B4550A" w:rsidRPr="00E0488D" w:rsidRDefault="00B4550A" w:rsidP="003C7FC8">
            <w:pPr>
              <w:tabs>
                <w:tab w:val="center" w:pos="4153"/>
                <w:tab w:val="right" w:pos="8306"/>
              </w:tabs>
              <w:rPr>
                <w:color w:val="000000"/>
                <w:sz w:val="20"/>
                <w:szCs w:val="20"/>
                <w:lang w:val="ro-RO"/>
              </w:rPr>
            </w:pPr>
          </w:p>
        </w:tc>
        <w:tc>
          <w:tcPr>
            <w:tcW w:w="907" w:type="pct"/>
          </w:tcPr>
          <w:p w:rsidR="00B4550A" w:rsidRPr="00E0488D" w:rsidRDefault="00B4550A" w:rsidP="003C7FC8">
            <w:pPr>
              <w:tabs>
                <w:tab w:val="center" w:pos="4153"/>
                <w:tab w:val="right" w:pos="8306"/>
              </w:tabs>
              <w:jc w:val="center"/>
              <w:rPr>
                <w:sz w:val="20"/>
                <w:szCs w:val="20"/>
                <w:lang w:val="ro-RO"/>
              </w:rPr>
            </w:pPr>
          </w:p>
        </w:tc>
        <w:tc>
          <w:tcPr>
            <w:tcW w:w="613" w:type="pct"/>
            <w:vAlign w:val="bottom"/>
          </w:tcPr>
          <w:p w:rsidR="00B4550A" w:rsidRPr="00E0488D" w:rsidRDefault="00B4550A" w:rsidP="003C7FC8">
            <w:pPr>
              <w:tabs>
                <w:tab w:val="center" w:pos="4153"/>
                <w:tab w:val="right" w:pos="8306"/>
              </w:tabs>
              <w:jc w:val="center"/>
              <w:rPr>
                <w:b/>
                <w:bCs/>
                <w:color w:val="000000"/>
                <w:sz w:val="20"/>
                <w:szCs w:val="20"/>
                <w:lang w:val="ro-RO"/>
              </w:rPr>
            </w:pPr>
            <w:r w:rsidRPr="00E0488D">
              <w:rPr>
                <w:b/>
                <w:bCs/>
                <w:color w:val="000000"/>
                <w:sz w:val="20"/>
                <w:szCs w:val="20"/>
                <w:lang w:val="ro-RO"/>
              </w:rPr>
              <w:t>3.094.350</w:t>
            </w:r>
          </w:p>
        </w:tc>
        <w:tc>
          <w:tcPr>
            <w:tcW w:w="749" w:type="pct"/>
            <w:vAlign w:val="bottom"/>
          </w:tcPr>
          <w:p w:rsidR="00B4550A" w:rsidRPr="00E0488D" w:rsidRDefault="00B4550A" w:rsidP="003C7FC8">
            <w:pPr>
              <w:tabs>
                <w:tab w:val="center" w:pos="4153"/>
                <w:tab w:val="right" w:pos="8306"/>
              </w:tabs>
              <w:jc w:val="center"/>
              <w:rPr>
                <w:b/>
                <w:bCs/>
                <w:color w:val="000000"/>
                <w:sz w:val="20"/>
                <w:szCs w:val="20"/>
                <w:lang w:val="ro-RO"/>
              </w:rPr>
            </w:pPr>
            <w:r w:rsidRPr="00E0488D">
              <w:rPr>
                <w:b/>
                <w:bCs/>
                <w:color w:val="000000"/>
                <w:sz w:val="20"/>
                <w:szCs w:val="20"/>
                <w:lang w:val="ro-RO"/>
              </w:rPr>
              <w:t>16.877.817</w:t>
            </w:r>
          </w:p>
        </w:tc>
        <w:tc>
          <w:tcPr>
            <w:tcW w:w="674" w:type="pct"/>
            <w:vAlign w:val="bottom"/>
          </w:tcPr>
          <w:p w:rsidR="00B4550A" w:rsidRPr="00E0488D" w:rsidRDefault="00B4550A" w:rsidP="003C7FC8">
            <w:pPr>
              <w:tabs>
                <w:tab w:val="center" w:pos="4153"/>
                <w:tab w:val="right" w:pos="8306"/>
              </w:tabs>
              <w:jc w:val="center"/>
              <w:rPr>
                <w:b/>
                <w:bCs/>
                <w:color w:val="000000"/>
                <w:sz w:val="20"/>
                <w:szCs w:val="20"/>
                <w:lang w:val="ro-RO"/>
              </w:rPr>
            </w:pPr>
            <w:r w:rsidRPr="00E0488D">
              <w:rPr>
                <w:b/>
                <w:bCs/>
                <w:color w:val="000000"/>
                <w:sz w:val="20"/>
                <w:szCs w:val="20"/>
                <w:lang w:val="ro-RO"/>
              </w:rPr>
              <w:t>19.972.167</w:t>
            </w:r>
          </w:p>
        </w:tc>
        <w:tc>
          <w:tcPr>
            <w:tcW w:w="1348" w:type="pct"/>
          </w:tcPr>
          <w:p w:rsidR="00B4550A" w:rsidRPr="00E0488D" w:rsidRDefault="00B4550A" w:rsidP="003C7FC8">
            <w:pPr>
              <w:tabs>
                <w:tab w:val="center" w:pos="4153"/>
                <w:tab w:val="right" w:pos="8306"/>
              </w:tabs>
              <w:rPr>
                <w:sz w:val="20"/>
                <w:szCs w:val="20"/>
                <w:lang w:val="ro-RO"/>
              </w:rPr>
            </w:pPr>
          </w:p>
        </w:tc>
      </w:tr>
    </w:tbl>
    <w:p w:rsidR="00B4550A" w:rsidRPr="00E0488D" w:rsidRDefault="00B4550A" w:rsidP="00B4550A">
      <w:pPr>
        <w:spacing w:after="200" w:line="276" w:lineRule="auto"/>
        <w:ind w:left="851"/>
        <w:rPr>
          <w:rFonts w:ascii="Calibri" w:eastAsia="Calibri" w:hAnsi="Calibri"/>
          <w:i/>
          <w:lang w:val="ro-RO"/>
        </w:rPr>
      </w:pPr>
      <w:r w:rsidRPr="00E0488D">
        <w:rPr>
          <w:rFonts w:ascii="Calibri" w:eastAsia="Calibri" w:hAnsi="Calibri"/>
          <w:i/>
          <w:lang w:val="ro-RO"/>
        </w:rPr>
        <w:t>Sursa: Analiza AECOM</w:t>
      </w:r>
    </w:p>
    <w:p w:rsidR="00B4550A" w:rsidRPr="00E0488D" w:rsidRDefault="00B4550A" w:rsidP="00B4550A">
      <w:pPr>
        <w:spacing w:after="200" w:line="276" w:lineRule="auto"/>
        <w:ind w:left="851"/>
        <w:rPr>
          <w:rFonts w:ascii="Calibri" w:eastAsia="Calibri" w:hAnsi="Calibri"/>
          <w:i/>
          <w:lang w:val="ro-RO"/>
        </w:rPr>
      </w:pP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spacing w:after="200" w:line="276" w:lineRule="auto"/>
        <w:ind w:left="851"/>
        <w:rPr>
          <w:b/>
          <w:sz w:val="22"/>
          <w:szCs w:val="22"/>
          <w:lang w:val="ro-RO"/>
        </w:rPr>
      </w:pPr>
      <w:r w:rsidRPr="00E0488D">
        <w:rPr>
          <w:b/>
          <w:sz w:val="22"/>
          <w:szCs w:val="22"/>
          <w:lang w:val="ro-RO"/>
        </w:rPr>
        <w:t>Tabelul 7.4: Aeroporturi din România, Prognoze 2025, Clasificare TEN-T și clasificarea viitoare AECOM</w:t>
      </w:r>
    </w:p>
    <w:tbl>
      <w:tblPr>
        <w:tblW w:w="997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477"/>
        <w:gridCol w:w="1670"/>
        <w:gridCol w:w="2106"/>
        <w:gridCol w:w="2106"/>
        <w:gridCol w:w="1485"/>
      </w:tblGrid>
      <w:tr w:rsidR="00B4550A" w:rsidRPr="00E0488D" w:rsidTr="003C7FC8">
        <w:tc>
          <w:tcPr>
            <w:tcW w:w="1150" w:type="dxa"/>
            <w:vMerge w:val="restart"/>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Aeroport</w:t>
            </w:r>
          </w:p>
        </w:tc>
        <w:tc>
          <w:tcPr>
            <w:tcW w:w="1218"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 xml:space="preserve">Clasificare TEN-T </w:t>
            </w:r>
          </w:p>
        </w:tc>
        <w:tc>
          <w:tcPr>
            <w:tcW w:w="6052" w:type="dxa"/>
            <w:gridSpan w:val="3"/>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 xml:space="preserve">Prognoze 2025 </w:t>
            </w:r>
          </w:p>
        </w:tc>
        <w:tc>
          <w:tcPr>
            <w:tcW w:w="1553"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AECOM</w:t>
            </w:r>
          </w:p>
        </w:tc>
      </w:tr>
      <w:tr w:rsidR="00B4550A" w:rsidRPr="00E0488D" w:rsidTr="003C7FC8">
        <w:tc>
          <w:tcPr>
            <w:tcW w:w="1150" w:type="dxa"/>
            <w:vMerge/>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p>
        </w:tc>
        <w:tc>
          <w:tcPr>
            <w:tcW w:w="1218"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sz w:val="20"/>
                <w:szCs w:val="20"/>
                <w:lang w:val="ro-RO"/>
              </w:rPr>
              <w:t>Centrală/ Extinsă</w:t>
            </w:r>
            <w:r w:rsidRPr="00E0488D">
              <w:rPr>
                <w:b/>
                <w:lang w:val="ro-RO"/>
              </w:rPr>
              <w:t xml:space="preserve"> </w:t>
            </w:r>
          </w:p>
        </w:tc>
        <w:tc>
          <w:tcPr>
            <w:tcW w:w="1722"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Intern</w:t>
            </w:r>
          </w:p>
        </w:tc>
        <w:tc>
          <w:tcPr>
            <w:tcW w:w="2165"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Internațional</w:t>
            </w:r>
          </w:p>
        </w:tc>
        <w:tc>
          <w:tcPr>
            <w:tcW w:w="2165"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TOTAL</w:t>
            </w:r>
          </w:p>
        </w:tc>
        <w:tc>
          <w:tcPr>
            <w:tcW w:w="1553" w:type="dxa"/>
            <w:shd w:val="clear" w:color="auto" w:fill="B8CCE4" w:themeFill="accent1" w:themeFillTint="66"/>
            <w:vAlign w:val="center"/>
          </w:tcPr>
          <w:p w:rsidR="00B4550A" w:rsidRPr="00E0488D" w:rsidRDefault="00B4550A" w:rsidP="003C7FC8">
            <w:pPr>
              <w:tabs>
                <w:tab w:val="center" w:pos="4153"/>
                <w:tab w:val="right" w:pos="8306"/>
              </w:tabs>
              <w:jc w:val="center"/>
              <w:rPr>
                <w:b/>
                <w:lang w:val="ro-RO"/>
              </w:rPr>
            </w:pPr>
            <w:r w:rsidRPr="00E0488D">
              <w:rPr>
                <w:b/>
                <w:lang w:val="ro-RO"/>
              </w:rPr>
              <w:t>Clasificare</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 xml:space="preserve">București </w:t>
            </w:r>
          </w:p>
        </w:tc>
        <w:tc>
          <w:tcPr>
            <w:tcW w:w="1218" w:type="dxa"/>
            <w:vAlign w:val="center"/>
          </w:tcPr>
          <w:p w:rsidR="00B4550A" w:rsidRPr="00E0488D" w:rsidRDefault="00B4550A" w:rsidP="003C7FC8">
            <w:pPr>
              <w:tabs>
                <w:tab w:val="center" w:pos="4153"/>
                <w:tab w:val="right" w:pos="8306"/>
              </w:tabs>
              <w:jc w:val="center"/>
              <w:rPr>
                <w:lang w:val="ro-RO"/>
              </w:rPr>
            </w:pPr>
            <w:r w:rsidRPr="00E0488D">
              <w:rPr>
                <w:lang w:val="ro-RO"/>
              </w:rPr>
              <w:t>Centrală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1.067.966</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10.965.787</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12.033.752</w:t>
            </w:r>
          </w:p>
        </w:tc>
        <w:tc>
          <w:tcPr>
            <w:tcW w:w="1553" w:type="dxa"/>
          </w:tcPr>
          <w:p w:rsidR="00B4550A" w:rsidRPr="00E0488D" w:rsidRDefault="00B4550A" w:rsidP="003C7FC8">
            <w:pPr>
              <w:tabs>
                <w:tab w:val="center" w:pos="4153"/>
                <w:tab w:val="right" w:pos="8306"/>
              </w:tabs>
              <w:rPr>
                <w:lang w:val="ro-RO"/>
              </w:rPr>
            </w:pPr>
            <w:r w:rsidRPr="00E0488D">
              <w:rPr>
                <w:lang w:val="ro-RO"/>
              </w:rPr>
              <w:t>Aeroport Hub Internațional Major</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Craiova</w:t>
            </w:r>
          </w:p>
        </w:tc>
        <w:tc>
          <w:tcPr>
            <w:tcW w:w="1218" w:type="dxa"/>
            <w:vAlign w:val="center"/>
          </w:tcPr>
          <w:p w:rsidR="00B4550A" w:rsidRPr="00E0488D" w:rsidRDefault="00B4550A" w:rsidP="003C7FC8">
            <w:pPr>
              <w:tabs>
                <w:tab w:val="center" w:pos="4153"/>
                <w:tab w:val="right" w:pos="8306"/>
              </w:tabs>
              <w:jc w:val="center"/>
              <w:rPr>
                <w:lang w:val="ro-RO"/>
              </w:rPr>
            </w:pPr>
            <w:r w:rsidRPr="00E0488D">
              <w:rPr>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555.340</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2.000.536</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2.555.877</w:t>
            </w:r>
          </w:p>
        </w:tc>
        <w:tc>
          <w:tcPr>
            <w:tcW w:w="1553" w:type="dxa"/>
          </w:tcPr>
          <w:p w:rsidR="00B4550A" w:rsidRPr="00E0488D" w:rsidRDefault="00B4550A" w:rsidP="003C7FC8">
            <w:pPr>
              <w:tabs>
                <w:tab w:val="center" w:pos="4153"/>
                <w:tab w:val="right" w:pos="8306"/>
              </w:tabs>
              <w:rPr>
                <w:lang w:val="ro-RO"/>
              </w:rPr>
            </w:pPr>
            <w:r w:rsidRPr="00E0488D">
              <w:rPr>
                <w:lang w:val="ro-RO"/>
              </w:rPr>
              <w:t>Aeroport Hub Internațional</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Timișoara</w:t>
            </w:r>
          </w:p>
        </w:tc>
        <w:tc>
          <w:tcPr>
            <w:tcW w:w="1218" w:type="dxa"/>
            <w:vAlign w:val="center"/>
          </w:tcPr>
          <w:p w:rsidR="00B4550A" w:rsidRPr="00E0488D" w:rsidRDefault="00B4550A" w:rsidP="003C7FC8">
            <w:pPr>
              <w:tabs>
                <w:tab w:val="center" w:pos="4153"/>
                <w:tab w:val="right" w:pos="8306"/>
              </w:tabs>
              <w:jc w:val="center"/>
              <w:rPr>
                <w:lang w:val="ro-RO"/>
              </w:rPr>
            </w:pPr>
            <w:r w:rsidRPr="00E0488D">
              <w:rPr>
                <w:lang w:val="ro-RO"/>
              </w:rPr>
              <w:t>Centrală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549.561</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1.667.339</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2.216.900</w:t>
            </w:r>
          </w:p>
        </w:tc>
        <w:tc>
          <w:tcPr>
            <w:tcW w:w="1553" w:type="dxa"/>
          </w:tcPr>
          <w:p w:rsidR="00B4550A" w:rsidRPr="00E0488D" w:rsidRDefault="00B4550A" w:rsidP="003C7FC8">
            <w:pPr>
              <w:rPr>
                <w:lang w:val="ro-RO"/>
              </w:rPr>
            </w:pPr>
            <w:r w:rsidRPr="00E0488D">
              <w:rPr>
                <w:lang w:val="ro-RO"/>
              </w:rPr>
              <w:t>Aeroport Hub Internațional</w:t>
            </w:r>
          </w:p>
        </w:tc>
      </w:tr>
      <w:tr w:rsidR="00B4550A" w:rsidRPr="00E0488D" w:rsidTr="003C7FC8">
        <w:trPr>
          <w:trHeight w:val="363"/>
        </w:trPr>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Sibiu</w:t>
            </w:r>
          </w:p>
        </w:tc>
        <w:tc>
          <w:tcPr>
            <w:tcW w:w="1218" w:type="dxa"/>
            <w:vAlign w:val="center"/>
          </w:tcPr>
          <w:p w:rsidR="00B4550A" w:rsidRPr="00E0488D" w:rsidRDefault="00B4550A" w:rsidP="003C7FC8">
            <w:pPr>
              <w:tabs>
                <w:tab w:val="center" w:pos="4153"/>
                <w:tab w:val="right" w:pos="8306"/>
              </w:tabs>
              <w:jc w:val="center"/>
              <w:rPr>
                <w:lang w:val="ro-RO"/>
              </w:rPr>
            </w:pPr>
            <w:r w:rsidRPr="00E0488D">
              <w:rPr>
                <w:lang w:val="ro-RO"/>
              </w:rPr>
              <w:t>Comprehensive</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409.844</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1.476.408</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1.886.252</w:t>
            </w:r>
          </w:p>
        </w:tc>
        <w:tc>
          <w:tcPr>
            <w:tcW w:w="1553" w:type="dxa"/>
          </w:tcPr>
          <w:p w:rsidR="00B4550A" w:rsidRPr="00E0488D" w:rsidRDefault="00B4550A" w:rsidP="003C7FC8">
            <w:pPr>
              <w:rPr>
                <w:lang w:val="ro-RO"/>
              </w:rPr>
            </w:pPr>
            <w:r w:rsidRPr="00E0488D">
              <w:rPr>
                <w:lang w:val="ro-RO"/>
              </w:rPr>
              <w:t>Aeroport Hub Internațional</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Cluj</w:t>
            </w:r>
          </w:p>
        </w:tc>
        <w:tc>
          <w:tcPr>
            <w:tcW w:w="1218" w:type="dxa"/>
            <w:vAlign w:val="center"/>
          </w:tcPr>
          <w:p w:rsidR="00B4550A" w:rsidRPr="00E0488D" w:rsidRDefault="00B4550A" w:rsidP="003C7FC8">
            <w:pPr>
              <w:jc w:val="center"/>
              <w:rPr>
                <w:lang w:val="ro-RO"/>
              </w:rPr>
            </w:pPr>
            <w:r w:rsidRPr="00E0488D">
              <w:rPr>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317.455</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1.369.059</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1.686.514</w:t>
            </w:r>
          </w:p>
        </w:tc>
        <w:tc>
          <w:tcPr>
            <w:tcW w:w="1553" w:type="dxa"/>
          </w:tcPr>
          <w:p w:rsidR="00B4550A" w:rsidRPr="00E0488D" w:rsidRDefault="00B4550A" w:rsidP="003C7FC8">
            <w:pPr>
              <w:rPr>
                <w:lang w:val="ro-RO"/>
              </w:rPr>
            </w:pPr>
            <w:r w:rsidRPr="00E0488D">
              <w:rPr>
                <w:lang w:val="ro-RO"/>
              </w:rPr>
              <w:t>Aeroport Hub Internațional</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Bacău</w:t>
            </w:r>
          </w:p>
        </w:tc>
        <w:tc>
          <w:tcPr>
            <w:tcW w:w="1218" w:type="dxa"/>
            <w:vAlign w:val="center"/>
          </w:tcPr>
          <w:p w:rsidR="00B4550A" w:rsidRPr="00E0488D" w:rsidRDefault="00B4550A" w:rsidP="003C7FC8">
            <w:pPr>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left" w:pos="423"/>
                <w:tab w:val="center" w:pos="4153"/>
                <w:tab w:val="right" w:pos="8306"/>
                <w:tab w:val="right" w:leader="dot" w:pos="10291"/>
              </w:tabs>
              <w:ind w:left="1281" w:right="170" w:hanging="858"/>
              <w:jc w:val="center"/>
              <w:rPr>
                <w:color w:val="000000"/>
                <w:lang w:val="ro-RO"/>
              </w:rPr>
            </w:pPr>
            <w:r w:rsidRPr="00E0488D">
              <w:rPr>
                <w:color w:val="000000"/>
                <w:lang w:val="ro-RO"/>
              </w:rPr>
              <w:t>320.053</w:t>
            </w:r>
          </w:p>
        </w:tc>
        <w:tc>
          <w:tcPr>
            <w:tcW w:w="2165" w:type="dxa"/>
            <w:vAlign w:val="bottom"/>
          </w:tcPr>
          <w:p w:rsidR="00B4550A" w:rsidRPr="00E0488D" w:rsidRDefault="00B4550A" w:rsidP="003C7FC8">
            <w:pPr>
              <w:tabs>
                <w:tab w:val="left" w:pos="680"/>
                <w:tab w:val="center" w:pos="4153"/>
                <w:tab w:val="right" w:pos="8306"/>
                <w:tab w:val="right" w:leader="dot" w:pos="10291"/>
              </w:tabs>
              <w:ind w:left="1360" w:right="170" w:hanging="680"/>
              <w:rPr>
                <w:color w:val="000000"/>
                <w:lang w:val="ro-RO"/>
              </w:rPr>
            </w:pPr>
            <w:r w:rsidRPr="00E0488D">
              <w:rPr>
                <w:color w:val="000000"/>
                <w:lang w:val="ro-RO"/>
              </w:rPr>
              <w:t>1.152,948</w:t>
            </w:r>
          </w:p>
        </w:tc>
        <w:tc>
          <w:tcPr>
            <w:tcW w:w="2165" w:type="dxa"/>
            <w:vAlign w:val="bottom"/>
          </w:tcPr>
          <w:p w:rsidR="00B4550A" w:rsidRPr="00E0488D" w:rsidRDefault="00B4550A" w:rsidP="003C7FC8">
            <w:pPr>
              <w:tabs>
                <w:tab w:val="left" w:pos="680"/>
                <w:tab w:val="center" w:pos="4153"/>
                <w:tab w:val="right" w:pos="8306"/>
                <w:tab w:val="right" w:leader="dot" w:pos="10291"/>
              </w:tabs>
              <w:ind w:left="1360" w:right="170" w:hanging="680"/>
              <w:rPr>
                <w:color w:val="000000"/>
                <w:lang w:val="ro-RO"/>
              </w:rPr>
            </w:pPr>
            <w:r w:rsidRPr="00E0488D">
              <w:rPr>
                <w:color w:val="000000"/>
                <w:lang w:val="ro-RO"/>
              </w:rPr>
              <w:t>1.473,002</w:t>
            </w:r>
          </w:p>
        </w:tc>
        <w:tc>
          <w:tcPr>
            <w:tcW w:w="1553" w:type="dxa"/>
          </w:tcPr>
          <w:p w:rsidR="00B4550A" w:rsidRPr="00E0488D" w:rsidRDefault="00B4550A" w:rsidP="003C7FC8">
            <w:pPr>
              <w:rPr>
                <w:lang w:val="ro-RO"/>
              </w:rPr>
            </w:pPr>
            <w:r w:rsidRPr="00E0488D">
              <w:rPr>
                <w:lang w:val="ro-RO"/>
              </w:rPr>
              <w:t>Aeroport Hub Internațional</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Iași</w:t>
            </w:r>
          </w:p>
        </w:tc>
        <w:tc>
          <w:tcPr>
            <w:tcW w:w="1218" w:type="dxa"/>
            <w:vAlign w:val="center"/>
          </w:tcPr>
          <w:p w:rsidR="00B4550A" w:rsidRPr="00E0488D" w:rsidRDefault="00B4550A" w:rsidP="003C7FC8">
            <w:pPr>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194.879</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702.024</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896.903</w:t>
            </w:r>
          </w:p>
        </w:tc>
        <w:tc>
          <w:tcPr>
            <w:tcW w:w="1553" w:type="dxa"/>
          </w:tcPr>
          <w:p w:rsidR="00B4550A" w:rsidRPr="00E0488D" w:rsidRDefault="00B4550A" w:rsidP="003C7FC8">
            <w:pPr>
              <w:rPr>
                <w:color w:val="000000"/>
                <w:lang w:val="ro-RO"/>
              </w:rPr>
            </w:pPr>
            <w:r w:rsidRPr="00E0488D">
              <w:rPr>
                <w:lang w:val="ro-RO"/>
              </w:rPr>
              <w:t>Aeroport Hub Internațional</w:t>
            </w:r>
          </w:p>
        </w:tc>
      </w:tr>
      <w:tr w:rsidR="00B4550A" w:rsidRPr="00E0488D" w:rsidTr="003C7FC8">
        <w:tc>
          <w:tcPr>
            <w:tcW w:w="1150" w:type="dxa"/>
            <w:vAlign w:val="bottom"/>
          </w:tcPr>
          <w:p w:rsidR="00B4550A" w:rsidRPr="00E0488D" w:rsidRDefault="00B4550A" w:rsidP="003C7FC8">
            <w:pPr>
              <w:tabs>
                <w:tab w:val="center" w:pos="4153"/>
                <w:tab w:val="right" w:pos="8306"/>
              </w:tabs>
              <w:ind w:right="-210"/>
              <w:rPr>
                <w:color w:val="000000"/>
                <w:lang w:val="ro-RO"/>
              </w:rPr>
            </w:pPr>
            <w:r w:rsidRPr="00E0488D">
              <w:rPr>
                <w:color w:val="000000"/>
                <w:lang w:val="ro-RO"/>
              </w:rPr>
              <w:t>Târgu Mureș</w:t>
            </w:r>
          </w:p>
        </w:tc>
        <w:tc>
          <w:tcPr>
            <w:tcW w:w="1218" w:type="dxa"/>
            <w:vAlign w:val="center"/>
          </w:tcPr>
          <w:p w:rsidR="00B4550A" w:rsidRPr="00E0488D" w:rsidRDefault="00B4550A" w:rsidP="003C7FC8">
            <w:pPr>
              <w:tabs>
                <w:tab w:val="center" w:pos="4153"/>
                <w:tab w:val="right" w:pos="8306"/>
              </w:tabs>
              <w:jc w:val="center"/>
              <w:rPr>
                <w:color w:val="000000"/>
                <w:lang w:val="ro-RO"/>
              </w:rPr>
            </w:pPr>
            <w:r w:rsidRPr="00E0488D">
              <w:rPr>
                <w:color w:val="000000"/>
                <w:lang w:val="ro-RO"/>
              </w:rPr>
              <w:t>N/A</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186,371</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671,377</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857,74</w:t>
            </w:r>
          </w:p>
        </w:tc>
        <w:tc>
          <w:tcPr>
            <w:tcW w:w="1553" w:type="dxa"/>
          </w:tcPr>
          <w:p w:rsidR="00B4550A" w:rsidRPr="00E0488D" w:rsidRDefault="00B4550A" w:rsidP="003C7FC8">
            <w:pPr>
              <w:tabs>
                <w:tab w:val="center" w:pos="4153"/>
                <w:tab w:val="right" w:pos="8306"/>
              </w:tabs>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Oradea</w:t>
            </w:r>
          </w:p>
        </w:tc>
        <w:tc>
          <w:tcPr>
            <w:tcW w:w="1218" w:type="dxa"/>
            <w:vAlign w:val="center"/>
          </w:tcPr>
          <w:p w:rsidR="00B4550A" w:rsidRPr="00E0488D" w:rsidRDefault="00B4550A" w:rsidP="003C7FC8">
            <w:pPr>
              <w:tabs>
                <w:tab w:val="center" w:pos="4153"/>
                <w:tab w:val="right" w:pos="8306"/>
              </w:tabs>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65.574</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232.774</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857</w:t>
            </w:r>
          </w:p>
        </w:tc>
        <w:tc>
          <w:tcPr>
            <w:tcW w:w="1553" w:type="dxa"/>
          </w:tcPr>
          <w:p w:rsidR="00B4550A" w:rsidRPr="00E0488D" w:rsidRDefault="00B4550A" w:rsidP="003C7FC8">
            <w:pPr>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Brașov</w:t>
            </w:r>
          </w:p>
        </w:tc>
        <w:tc>
          <w:tcPr>
            <w:tcW w:w="1218" w:type="dxa"/>
            <w:vAlign w:val="center"/>
          </w:tcPr>
          <w:p w:rsidR="00B4550A" w:rsidRPr="00E0488D" w:rsidRDefault="00B4550A" w:rsidP="003C7FC8">
            <w:pPr>
              <w:tabs>
                <w:tab w:val="center" w:pos="4153"/>
                <w:tab w:val="right" w:pos="8306"/>
              </w:tabs>
              <w:jc w:val="center"/>
              <w:rPr>
                <w:color w:val="000000"/>
                <w:lang w:val="ro-RO"/>
              </w:rPr>
            </w:pPr>
            <w:r w:rsidRPr="00E0488D">
              <w:rPr>
                <w:color w:val="000000"/>
                <w:lang w:val="ro-RO"/>
              </w:rPr>
              <w:t>N/A</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64.510</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228.997</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293.507</w:t>
            </w:r>
          </w:p>
        </w:tc>
        <w:tc>
          <w:tcPr>
            <w:tcW w:w="1553" w:type="dxa"/>
          </w:tcPr>
          <w:p w:rsidR="00B4550A" w:rsidRPr="00E0488D" w:rsidRDefault="00B4550A" w:rsidP="003C7FC8">
            <w:pPr>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Constanta</w:t>
            </w:r>
          </w:p>
        </w:tc>
        <w:tc>
          <w:tcPr>
            <w:tcW w:w="1218" w:type="dxa"/>
            <w:vAlign w:val="center"/>
          </w:tcPr>
          <w:p w:rsidR="00B4550A" w:rsidRPr="00E0488D" w:rsidRDefault="00B4550A" w:rsidP="003C7FC8">
            <w:pPr>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64.220</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227.967</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292.186</w:t>
            </w:r>
          </w:p>
        </w:tc>
        <w:tc>
          <w:tcPr>
            <w:tcW w:w="1553" w:type="dxa"/>
          </w:tcPr>
          <w:p w:rsidR="00B4550A" w:rsidRPr="00E0488D" w:rsidRDefault="00B4550A" w:rsidP="003C7FC8">
            <w:pPr>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Suceava</w:t>
            </w:r>
          </w:p>
        </w:tc>
        <w:tc>
          <w:tcPr>
            <w:tcW w:w="1218" w:type="dxa"/>
            <w:vAlign w:val="center"/>
          </w:tcPr>
          <w:p w:rsidR="00B4550A" w:rsidRPr="00E0488D" w:rsidRDefault="00B4550A" w:rsidP="003C7FC8">
            <w:pPr>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63.848</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226.648</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290.496</w:t>
            </w:r>
          </w:p>
        </w:tc>
        <w:tc>
          <w:tcPr>
            <w:tcW w:w="1553" w:type="dxa"/>
          </w:tcPr>
          <w:p w:rsidR="00B4550A" w:rsidRPr="00E0488D" w:rsidRDefault="00B4550A" w:rsidP="003C7FC8">
            <w:pPr>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Tulcea</w:t>
            </w:r>
          </w:p>
        </w:tc>
        <w:tc>
          <w:tcPr>
            <w:tcW w:w="1218" w:type="dxa"/>
            <w:vAlign w:val="center"/>
          </w:tcPr>
          <w:p w:rsidR="00B4550A" w:rsidRPr="00E0488D" w:rsidRDefault="00B4550A" w:rsidP="003C7FC8">
            <w:pPr>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52.005</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184.608</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236.613</w:t>
            </w:r>
          </w:p>
        </w:tc>
        <w:tc>
          <w:tcPr>
            <w:tcW w:w="1553" w:type="dxa"/>
          </w:tcPr>
          <w:p w:rsidR="00B4550A" w:rsidRPr="00E0488D" w:rsidRDefault="00B4550A" w:rsidP="003C7FC8">
            <w:pPr>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Baia Mare</w:t>
            </w:r>
          </w:p>
        </w:tc>
        <w:tc>
          <w:tcPr>
            <w:tcW w:w="1218" w:type="dxa"/>
            <w:vAlign w:val="center"/>
          </w:tcPr>
          <w:p w:rsidR="00B4550A" w:rsidRPr="00E0488D" w:rsidRDefault="00B4550A" w:rsidP="003C7FC8">
            <w:pPr>
              <w:jc w:val="center"/>
              <w:rPr>
                <w:color w:val="000000"/>
                <w:lang w:val="ro-RO"/>
              </w:rPr>
            </w:pPr>
            <w:r w:rsidRPr="00E0488D">
              <w:rPr>
                <w:color w:val="000000"/>
                <w:lang w:val="ro-RO"/>
              </w:rPr>
              <w:t>Extinsă</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49.402</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175.368</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224.771</w:t>
            </w:r>
          </w:p>
        </w:tc>
        <w:tc>
          <w:tcPr>
            <w:tcW w:w="1553" w:type="dxa"/>
          </w:tcPr>
          <w:p w:rsidR="00B4550A" w:rsidRPr="00E0488D" w:rsidRDefault="00B4550A" w:rsidP="003C7FC8">
            <w:pPr>
              <w:rPr>
                <w:color w:val="000000"/>
                <w:lang w:val="ro-RO"/>
              </w:rPr>
            </w:pPr>
            <w:r w:rsidRPr="00E0488D">
              <w:rPr>
                <w:color w:val="000000"/>
                <w:lang w:val="ro-RO"/>
              </w:rPr>
              <w:t xml:space="preserve">Aeroport Regional </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Arad</w:t>
            </w:r>
          </w:p>
        </w:tc>
        <w:tc>
          <w:tcPr>
            <w:tcW w:w="1218" w:type="dxa"/>
            <w:vAlign w:val="center"/>
          </w:tcPr>
          <w:p w:rsidR="00B4550A" w:rsidRPr="00E0488D" w:rsidRDefault="00B4550A" w:rsidP="003C7FC8">
            <w:pPr>
              <w:tabs>
                <w:tab w:val="center" w:pos="4153"/>
                <w:tab w:val="right" w:pos="8306"/>
              </w:tabs>
              <w:jc w:val="center"/>
              <w:rPr>
                <w:color w:val="000000"/>
                <w:lang w:val="ro-RO"/>
              </w:rPr>
            </w:pPr>
            <w:r w:rsidRPr="00E0488D">
              <w:rPr>
                <w:color w:val="000000"/>
                <w:lang w:val="ro-RO"/>
              </w:rPr>
              <w:t>N/A</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29.841</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15.417</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45.258</w:t>
            </w:r>
          </w:p>
        </w:tc>
        <w:tc>
          <w:tcPr>
            <w:tcW w:w="1553" w:type="dxa"/>
          </w:tcPr>
          <w:p w:rsidR="00B4550A" w:rsidRPr="00E0488D" w:rsidRDefault="00B4550A" w:rsidP="003C7FC8">
            <w:pPr>
              <w:tabs>
                <w:tab w:val="center" w:pos="4153"/>
                <w:tab w:val="right" w:pos="8306"/>
              </w:tabs>
              <w:rPr>
                <w:color w:val="000000"/>
                <w:lang w:val="ro-RO"/>
              </w:rPr>
            </w:pPr>
            <w:r w:rsidRPr="00E0488D">
              <w:rPr>
                <w:color w:val="000000"/>
                <w:lang w:val="ro-RO"/>
              </w:rPr>
              <w:t>Aeroport Regional Mic</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r w:rsidRPr="00E0488D">
              <w:rPr>
                <w:color w:val="000000"/>
                <w:lang w:val="ro-RO"/>
              </w:rPr>
              <w:t>Satu Mare</w:t>
            </w:r>
          </w:p>
        </w:tc>
        <w:tc>
          <w:tcPr>
            <w:tcW w:w="1218" w:type="dxa"/>
            <w:vAlign w:val="center"/>
          </w:tcPr>
          <w:p w:rsidR="00B4550A" w:rsidRPr="00E0488D" w:rsidRDefault="00B4550A" w:rsidP="003C7FC8">
            <w:pPr>
              <w:tabs>
                <w:tab w:val="center" w:pos="4153"/>
                <w:tab w:val="right" w:pos="8306"/>
              </w:tabs>
              <w:jc w:val="center"/>
              <w:rPr>
                <w:color w:val="000000"/>
                <w:lang w:val="ro-RO"/>
              </w:rPr>
            </w:pPr>
            <w:r w:rsidRPr="00E0488D">
              <w:rPr>
                <w:color w:val="000000"/>
                <w:lang w:val="ro-RO"/>
              </w:rPr>
              <w:t>N/A</w:t>
            </w:r>
          </w:p>
        </w:tc>
        <w:tc>
          <w:tcPr>
            <w:tcW w:w="1722"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32.861</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5.395</w:t>
            </w:r>
          </w:p>
        </w:tc>
        <w:tc>
          <w:tcPr>
            <w:tcW w:w="2165" w:type="dxa"/>
            <w:vAlign w:val="bottom"/>
          </w:tcPr>
          <w:p w:rsidR="00B4550A" w:rsidRPr="00E0488D" w:rsidRDefault="00B4550A" w:rsidP="003C7FC8">
            <w:pPr>
              <w:tabs>
                <w:tab w:val="center" w:pos="4153"/>
                <w:tab w:val="right" w:pos="8306"/>
              </w:tabs>
              <w:jc w:val="center"/>
              <w:rPr>
                <w:color w:val="000000"/>
                <w:lang w:val="ro-RO"/>
              </w:rPr>
            </w:pPr>
            <w:r w:rsidRPr="00E0488D">
              <w:rPr>
                <w:color w:val="000000"/>
                <w:lang w:val="ro-RO"/>
              </w:rPr>
              <w:t>38.256</w:t>
            </w:r>
          </w:p>
        </w:tc>
        <w:tc>
          <w:tcPr>
            <w:tcW w:w="1553" w:type="dxa"/>
          </w:tcPr>
          <w:p w:rsidR="00B4550A" w:rsidRPr="00E0488D" w:rsidRDefault="00B4550A" w:rsidP="003C7FC8">
            <w:pPr>
              <w:tabs>
                <w:tab w:val="center" w:pos="4153"/>
                <w:tab w:val="right" w:pos="8306"/>
              </w:tabs>
              <w:rPr>
                <w:color w:val="000000"/>
                <w:lang w:val="ro-RO"/>
              </w:rPr>
            </w:pPr>
            <w:r w:rsidRPr="00E0488D">
              <w:rPr>
                <w:color w:val="000000"/>
                <w:lang w:val="ro-RO"/>
              </w:rPr>
              <w:t>Aeroport Regional Mic</w:t>
            </w:r>
          </w:p>
        </w:tc>
      </w:tr>
      <w:tr w:rsidR="00B4550A" w:rsidRPr="00E0488D" w:rsidTr="003C7FC8">
        <w:tc>
          <w:tcPr>
            <w:tcW w:w="1150" w:type="dxa"/>
            <w:vAlign w:val="bottom"/>
          </w:tcPr>
          <w:p w:rsidR="00B4550A" w:rsidRPr="00E0488D" w:rsidRDefault="00B4550A" w:rsidP="003C7FC8">
            <w:pPr>
              <w:tabs>
                <w:tab w:val="center" w:pos="4153"/>
                <w:tab w:val="right" w:pos="8306"/>
              </w:tabs>
              <w:rPr>
                <w:color w:val="000000"/>
                <w:lang w:val="ro-RO"/>
              </w:rPr>
            </w:pPr>
          </w:p>
        </w:tc>
        <w:tc>
          <w:tcPr>
            <w:tcW w:w="1218" w:type="dxa"/>
            <w:vAlign w:val="center"/>
          </w:tcPr>
          <w:p w:rsidR="00B4550A" w:rsidRPr="00E0488D" w:rsidRDefault="00B4550A" w:rsidP="003C7FC8">
            <w:pPr>
              <w:tabs>
                <w:tab w:val="center" w:pos="4153"/>
                <w:tab w:val="right" w:pos="8306"/>
              </w:tabs>
              <w:jc w:val="center"/>
              <w:rPr>
                <w:lang w:val="ro-RO"/>
              </w:rPr>
            </w:pPr>
          </w:p>
        </w:tc>
        <w:tc>
          <w:tcPr>
            <w:tcW w:w="1722" w:type="dxa"/>
            <w:vAlign w:val="bottom"/>
          </w:tcPr>
          <w:p w:rsidR="00B4550A" w:rsidRPr="00E0488D" w:rsidRDefault="00B4550A" w:rsidP="003C7FC8">
            <w:pPr>
              <w:tabs>
                <w:tab w:val="center" w:pos="4153"/>
                <w:tab w:val="right" w:pos="8306"/>
              </w:tabs>
              <w:jc w:val="center"/>
              <w:rPr>
                <w:b/>
                <w:bCs/>
                <w:color w:val="000000"/>
                <w:lang w:val="ro-RO"/>
              </w:rPr>
            </w:pPr>
            <w:r w:rsidRPr="00E0488D">
              <w:rPr>
                <w:b/>
                <w:bCs/>
                <w:color w:val="000000"/>
                <w:lang w:val="ro-RO"/>
              </w:rPr>
              <w:t>3.854.703</w:t>
            </w:r>
          </w:p>
        </w:tc>
        <w:tc>
          <w:tcPr>
            <w:tcW w:w="2165" w:type="dxa"/>
            <w:vAlign w:val="bottom"/>
          </w:tcPr>
          <w:p w:rsidR="00B4550A" w:rsidRPr="00E0488D" w:rsidRDefault="00B4550A" w:rsidP="003C7FC8">
            <w:pPr>
              <w:tabs>
                <w:tab w:val="center" w:pos="4153"/>
                <w:tab w:val="right" w:pos="8306"/>
              </w:tabs>
              <w:jc w:val="center"/>
              <w:rPr>
                <w:b/>
                <w:bCs/>
                <w:color w:val="000000"/>
                <w:lang w:val="ro-RO"/>
              </w:rPr>
            </w:pPr>
            <w:r w:rsidRPr="00E0488D">
              <w:rPr>
                <w:b/>
                <w:bCs/>
                <w:color w:val="000000"/>
                <w:lang w:val="ro-RO"/>
              </w:rPr>
              <w:t>20.989.429</w:t>
            </w:r>
          </w:p>
        </w:tc>
        <w:tc>
          <w:tcPr>
            <w:tcW w:w="2165" w:type="dxa"/>
            <w:vAlign w:val="bottom"/>
          </w:tcPr>
          <w:p w:rsidR="00B4550A" w:rsidRPr="00E0488D" w:rsidRDefault="00B4550A" w:rsidP="003C7FC8">
            <w:pPr>
              <w:tabs>
                <w:tab w:val="center" w:pos="4153"/>
                <w:tab w:val="right" w:pos="8306"/>
              </w:tabs>
              <w:jc w:val="center"/>
              <w:rPr>
                <w:b/>
                <w:bCs/>
                <w:color w:val="000000"/>
                <w:lang w:val="ro-RO"/>
              </w:rPr>
            </w:pPr>
            <w:r w:rsidRPr="00E0488D">
              <w:rPr>
                <w:b/>
                <w:bCs/>
                <w:color w:val="000000"/>
                <w:lang w:val="ro-RO"/>
              </w:rPr>
              <w:t>24.844.132</w:t>
            </w:r>
          </w:p>
        </w:tc>
        <w:tc>
          <w:tcPr>
            <w:tcW w:w="1553" w:type="dxa"/>
          </w:tcPr>
          <w:p w:rsidR="00B4550A" w:rsidRPr="00E0488D" w:rsidRDefault="00B4550A" w:rsidP="003C7FC8">
            <w:pPr>
              <w:tabs>
                <w:tab w:val="center" w:pos="4153"/>
                <w:tab w:val="right" w:pos="8306"/>
              </w:tabs>
              <w:rPr>
                <w:lang w:val="ro-RO"/>
              </w:rPr>
            </w:pPr>
          </w:p>
        </w:tc>
      </w:tr>
    </w:tbl>
    <w:p w:rsidR="00B4550A" w:rsidRPr="00E0488D" w:rsidRDefault="00B4550A" w:rsidP="00B4550A">
      <w:pPr>
        <w:spacing w:after="200" w:line="276" w:lineRule="auto"/>
        <w:ind w:left="851"/>
        <w:rPr>
          <w:rFonts w:ascii="Calibri" w:eastAsia="Calibri" w:hAnsi="Calibri"/>
          <w:i/>
          <w:lang w:val="ro-RO"/>
        </w:rPr>
      </w:pPr>
      <w:r w:rsidRPr="00E0488D">
        <w:rPr>
          <w:rFonts w:ascii="Calibri" w:eastAsia="Calibri" w:hAnsi="Calibri"/>
          <w:i/>
          <w:lang w:val="ro-RO"/>
        </w:rPr>
        <w:t>Sursa Analiza AECOM</w:t>
      </w:r>
    </w:p>
    <w:p w:rsidR="00B4550A" w:rsidRPr="00E0488D" w:rsidRDefault="00B4550A" w:rsidP="002B7E09">
      <w:pPr>
        <w:pStyle w:val="NumberedParas"/>
      </w:pPr>
      <w:r w:rsidRPr="00E0488D">
        <w:t xml:space="preserve">Figura 7.3 prezintă creșterea totală a numărului de pasageri în comparație cu tendințele recente de creștere factorizată </w:t>
      </w:r>
    </w:p>
    <w:p w:rsidR="00B4550A" w:rsidRPr="00E0488D" w:rsidRDefault="00B4550A" w:rsidP="00B4550A">
      <w:pPr>
        <w:ind w:left="851" w:hanging="142"/>
        <w:rPr>
          <w:b/>
          <w:sz w:val="22"/>
          <w:szCs w:val="22"/>
          <w:lang w:val="ro-RO"/>
        </w:rPr>
      </w:pPr>
    </w:p>
    <w:p w:rsidR="00B4550A" w:rsidRPr="00E0488D" w:rsidRDefault="00B4550A" w:rsidP="00B4550A">
      <w:pPr>
        <w:ind w:left="851"/>
        <w:rPr>
          <w:lang w:val="ro-RO"/>
        </w:rPr>
      </w:pPr>
      <w:r w:rsidRPr="00E0488D">
        <w:rPr>
          <w:noProof/>
          <w:lang w:val="ro-RO" w:eastAsia="ro-RO"/>
        </w:rPr>
        <w:drawing>
          <wp:inline distT="0" distB="0" distL="0" distR="0">
            <wp:extent cx="4519994" cy="3347016"/>
            <wp:effectExtent l="0" t="0" r="13970" b="25400"/>
            <wp:docPr id="688"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B4550A" w:rsidRPr="00E0488D" w:rsidRDefault="00B4550A" w:rsidP="00B4550A">
      <w:pPr>
        <w:ind w:left="851"/>
        <w:rPr>
          <w:lang w:val="ro-RO"/>
        </w:rPr>
      </w:pPr>
    </w:p>
    <w:p w:rsidR="00B4550A" w:rsidRPr="00E0488D" w:rsidRDefault="00B4550A" w:rsidP="00B4550A">
      <w:pPr>
        <w:ind w:left="851"/>
        <w:rPr>
          <w:i/>
          <w:lang w:val="ro-RO"/>
        </w:rPr>
      </w:pPr>
      <w:r w:rsidRPr="00E0488D">
        <w:rPr>
          <w:i/>
          <w:lang w:val="ro-RO"/>
        </w:rPr>
        <w:t xml:space="preserve">Sursa: Datele reale din orarul de plecări al fiecărui aeroport, furnizate de autoritățile aeroportuare și folosite ca bază pentru Modelul de Progrnoză pentru sectorul aerian. </w:t>
      </w:r>
    </w:p>
    <w:p w:rsidR="00B4550A" w:rsidRPr="00E0488D" w:rsidRDefault="00B4550A" w:rsidP="00B4550A">
      <w:pPr>
        <w:ind w:left="851"/>
        <w:rPr>
          <w:i/>
          <w:lang w:val="ro-RO"/>
        </w:rPr>
      </w:pPr>
    </w:p>
    <w:p w:rsidR="00B4550A" w:rsidRPr="00E0488D" w:rsidRDefault="00B4550A" w:rsidP="00B4550A">
      <w:pPr>
        <w:ind w:left="851"/>
        <w:rPr>
          <w:b/>
          <w:sz w:val="22"/>
          <w:szCs w:val="22"/>
          <w:lang w:val="ro-RO"/>
        </w:rPr>
      </w:pPr>
      <w:r w:rsidRPr="00E0488D">
        <w:rPr>
          <w:b/>
          <w:sz w:val="22"/>
          <w:szCs w:val="22"/>
          <w:lang w:val="ro-RO"/>
        </w:rPr>
        <w:t>Figura 7.4: Prognoze  potențiale de trafic aerian în comparație cu analiza tendințelor înregistrate</w:t>
      </w:r>
    </w:p>
    <w:p w:rsidR="00B4550A" w:rsidRPr="00E0488D" w:rsidRDefault="00B4550A" w:rsidP="00B4550A">
      <w:pPr>
        <w:ind w:left="851"/>
        <w:rPr>
          <w:lang w:val="ro-RO"/>
        </w:rPr>
      </w:pPr>
    </w:p>
    <w:p w:rsidR="00B4550A" w:rsidRPr="00E0488D" w:rsidRDefault="00B4550A" w:rsidP="00B4550A">
      <w:pPr>
        <w:ind w:left="851"/>
        <w:rPr>
          <w:i/>
          <w:sz w:val="22"/>
          <w:szCs w:val="22"/>
          <w:lang w:val="ro-RO"/>
        </w:rPr>
      </w:pPr>
      <w:r w:rsidRPr="00E0488D">
        <w:rPr>
          <w:lang w:val="ro-RO"/>
        </w:rPr>
        <w:br w:type="page"/>
      </w:r>
    </w:p>
    <w:p w:rsidR="00B4550A" w:rsidRPr="00E0488D" w:rsidRDefault="00B4550A" w:rsidP="00B4550A">
      <w:pPr>
        <w:pStyle w:val="Hdg3"/>
      </w:pPr>
      <w:r w:rsidRPr="00E0488D">
        <w:t>Infrastructura aeroportuară, evoluția cererii și capacității</w:t>
      </w:r>
    </w:p>
    <w:p w:rsidR="00B4550A" w:rsidRPr="00E0488D" w:rsidRDefault="00B4550A" w:rsidP="00B4550A">
      <w:pPr>
        <w:rPr>
          <w:b/>
          <w:sz w:val="22"/>
          <w:szCs w:val="22"/>
          <w:lang w:val="ro-RO"/>
        </w:rPr>
      </w:pPr>
      <w:r w:rsidRPr="00E0488D">
        <w:rPr>
          <w:b/>
          <w:sz w:val="22"/>
          <w:szCs w:val="22"/>
          <w:lang w:val="ro-RO"/>
        </w:rPr>
        <w:t>Constrângeri privind zona aeroportuară – platforme, căi de rulare și pistă</w:t>
      </w:r>
    </w:p>
    <w:p w:rsidR="00B4550A" w:rsidRPr="00E0488D" w:rsidRDefault="00B4550A" w:rsidP="002B7E09">
      <w:pPr>
        <w:pStyle w:val="NumberedParas"/>
      </w:pPr>
      <w:r w:rsidRPr="00E0488D">
        <w:t>Tabelul 7.5 prezintă premisele pentru calcularea cererii de dezvoltare a platformelor.</w:t>
      </w:r>
    </w:p>
    <w:p w:rsidR="00B4550A" w:rsidRPr="00E0488D" w:rsidRDefault="00B4550A" w:rsidP="00B4550A">
      <w:pPr>
        <w:ind w:left="851"/>
        <w:rPr>
          <w:b/>
          <w:sz w:val="22"/>
          <w:szCs w:val="22"/>
          <w:lang w:val="ro-RO"/>
        </w:rPr>
      </w:pPr>
      <w:r w:rsidRPr="00E0488D">
        <w:rPr>
          <w:b/>
          <w:sz w:val="22"/>
          <w:szCs w:val="22"/>
          <w:lang w:val="ro-RO"/>
        </w:rPr>
        <w:t>Tabelul 7.5: Premise pentru determinarea spațiului platformelor</w:t>
      </w:r>
    </w:p>
    <w:tbl>
      <w:tblPr>
        <w:tblW w:w="9694"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1760"/>
        <w:gridCol w:w="1697"/>
        <w:gridCol w:w="1075"/>
        <w:gridCol w:w="1275"/>
        <w:gridCol w:w="1276"/>
        <w:gridCol w:w="1134"/>
        <w:gridCol w:w="1477"/>
      </w:tblGrid>
      <w:tr w:rsidR="00B4550A" w:rsidRPr="00E0488D" w:rsidTr="003C7FC8">
        <w:trPr>
          <w:trHeight w:val="1208"/>
          <w:tblHeader/>
          <w:jc w:val="center"/>
        </w:trPr>
        <w:tc>
          <w:tcPr>
            <w:tcW w:w="1760" w:type="dxa"/>
            <w:tcBorders>
              <w:top w:val="single" w:sz="12" w:space="0" w:color="4F81BD"/>
              <w:left w:val="single" w:sz="12" w:space="0" w:color="4F81BD"/>
              <w:bottom w:val="single" w:sz="12" w:space="0" w:color="4F81BD"/>
            </w:tcBorders>
            <w:shd w:val="clear" w:color="auto" w:fill="B8CCE4" w:themeFill="accent1" w:themeFillTint="66"/>
            <w:vAlign w:val="center"/>
          </w:tcPr>
          <w:p w:rsidR="00B4550A" w:rsidRPr="00E0488D" w:rsidRDefault="00B4550A" w:rsidP="003C7FC8">
            <w:pPr>
              <w:rPr>
                <w:b/>
                <w:lang w:val="ro-RO"/>
              </w:rPr>
            </w:pPr>
            <w:r w:rsidRPr="00E0488D">
              <w:rPr>
                <w:b/>
                <w:lang w:val="ro-RO"/>
              </w:rPr>
              <w:t>Clasificarea aeroportului</w:t>
            </w:r>
          </w:p>
        </w:tc>
        <w:tc>
          <w:tcPr>
            <w:tcW w:w="1697" w:type="dxa"/>
            <w:tcBorders>
              <w:top w:val="single" w:sz="12" w:space="0" w:color="4F81BD"/>
              <w:bottom w:val="single" w:sz="12" w:space="0" w:color="4F81BD"/>
            </w:tcBorders>
            <w:shd w:val="clear" w:color="auto" w:fill="B8CCE4" w:themeFill="accent1" w:themeFillTint="66"/>
          </w:tcPr>
          <w:p w:rsidR="00B4550A" w:rsidRPr="00E0488D" w:rsidRDefault="00B4550A" w:rsidP="003C7FC8">
            <w:pPr>
              <w:ind w:left="-3761" w:firstLine="3761"/>
              <w:jc w:val="center"/>
              <w:rPr>
                <w:b/>
                <w:lang w:val="ro-RO"/>
              </w:rPr>
            </w:pPr>
            <w:r w:rsidRPr="00E0488D">
              <w:rPr>
                <w:b/>
                <w:lang w:val="ro-RO"/>
              </w:rPr>
              <w:t xml:space="preserve">Pax Per </w:t>
            </w:r>
          </w:p>
          <w:p w:rsidR="00B4550A" w:rsidRPr="00E0488D" w:rsidRDefault="00B4550A" w:rsidP="003C7FC8">
            <w:pPr>
              <w:ind w:left="-3761" w:firstLine="3761"/>
              <w:jc w:val="center"/>
              <w:rPr>
                <w:b/>
                <w:lang w:val="ro-RO"/>
              </w:rPr>
            </w:pPr>
            <w:r w:rsidRPr="00E0488D">
              <w:rPr>
                <w:b/>
                <w:lang w:val="ro-RO"/>
              </w:rPr>
              <w:t xml:space="preserve">Aeronavă </w:t>
            </w:r>
          </w:p>
          <w:p w:rsidR="00B4550A" w:rsidRPr="00E0488D" w:rsidRDefault="00B4550A" w:rsidP="003C7FC8">
            <w:pPr>
              <w:ind w:left="-3761" w:firstLine="3761"/>
              <w:jc w:val="center"/>
              <w:rPr>
                <w:b/>
                <w:lang w:val="ro-RO"/>
              </w:rPr>
            </w:pPr>
            <w:r w:rsidRPr="00E0488D">
              <w:rPr>
                <w:b/>
                <w:lang w:val="ro-RO"/>
              </w:rPr>
              <w:t xml:space="preserve">Cod D </w:t>
            </w:r>
          </w:p>
          <w:p w:rsidR="00B4550A" w:rsidRPr="00E0488D" w:rsidRDefault="00B4550A" w:rsidP="003C7FC8">
            <w:pPr>
              <w:ind w:left="-3761" w:firstLine="3761"/>
              <w:jc w:val="center"/>
              <w:rPr>
                <w:b/>
                <w:lang w:val="ro-RO"/>
              </w:rPr>
            </w:pPr>
            <w:r w:rsidRPr="00E0488D">
              <w:rPr>
                <w:b/>
                <w:lang w:val="ro-RO"/>
              </w:rPr>
              <w:t xml:space="preserve"> (încărcare 70%)</w:t>
            </w:r>
          </w:p>
        </w:tc>
        <w:tc>
          <w:tcPr>
            <w:tcW w:w="1075" w:type="dxa"/>
            <w:tcBorders>
              <w:top w:val="single" w:sz="12" w:space="0" w:color="4F81BD"/>
              <w:bottom w:val="single" w:sz="12" w:space="0" w:color="4F81BD"/>
            </w:tcBorders>
            <w:shd w:val="clear" w:color="auto" w:fill="B8CCE4" w:themeFill="accent1" w:themeFillTint="66"/>
          </w:tcPr>
          <w:p w:rsidR="00B4550A" w:rsidRPr="00E0488D" w:rsidRDefault="00B4550A" w:rsidP="003C7FC8">
            <w:pPr>
              <w:ind w:left="-3761" w:firstLine="3761"/>
              <w:jc w:val="center"/>
              <w:rPr>
                <w:b/>
                <w:lang w:val="ro-RO"/>
              </w:rPr>
            </w:pPr>
            <w:r w:rsidRPr="00E0488D">
              <w:rPr>
                <w:b/>
                <w:lang w:val="ro-RO"/>
              </w:rPr>
              <w:t>Procentaj</w:t>
            </w:r>
          </w:p>
          <w:p w:rsidR="00B4550A" w:rsidRPr="00E0488D" w:rsidRDefault="00B4550A" w:rsidP="003C7FC8">
            <w:pPr>
              <w:ind w:left="-3761" w:firstLine="3761"/>
              <w:jc w:val="center"/>
              <w:rPr>
                <w:b/>
                <w:lang w:val="ro-RO"/>
              </w:rPr>
            </w:pPr>
            <w:r w:rsidRPr="00E0488D">
              <w:rPr>
                <w:b/>
                <w:lang w:val="ro-RO"/>
              </w:rPr>
              <w:t>Zboruri</w:t>
            </w:r>
          </w:p>
          <w:p w:rsidR="00B4550A" w:rsidRPr="00E0488D" w:rsidRDefault="00B4550A" w:rsidP="003C7FC8">
            <w:pPr>
              <w:ind w:left="-3761" w:firstLine="3761"/>
              <w:jc w:val="center"/>
              <w:rPr>
                <w:b/>
                <w:lang w:val="ro-RO"/>
              </w:rPr>
            </w:pPr>
            <w:r w:rsidRPr="00E0488D">
              <w:rPr>
                <w:b/>
                <w:lang w:val="ro-RO"/>
              </w:rPr>
              <w:t>Cod C</w:t>
            </w:r>
          </w:p>
          <w:p w:rsidR="00B4550A" w:rsidRPr="00E0488D" w:rsidRDefault="00B4550A" w:rsidP="003C7FC8">
            <w:pPr>
              <w:ind w:left="-3761" w:firstLine="3761"/>
              <w:jc w:val="center"/>
              <w:rPr>
                <w:b/>
                <w:lang w:val="ro-RO"/>
              </w:rPr>
            </w:pPr>
          </w:p>
        </w:tc>
        <w:tc>
          <w:tcPr>
            <w:tcW w:w="1275" w:type="dxa"/>
            <w:tcBorders>
              <w:top w:val="single" w:sz="12" w:space="0" w:color="4F81BD"/>
              <w:bottom w:val="single" w:sz="12" w:space="0" w:color="4F81BD"/>
            </w:tcBorders>
            <w:shd w:val="clear" w:color="auto" w:fill="B8CCE4" w:themeFill="accent1" w:themeFillTint="66"/>
          </w:tcPr>
          <w:p w:rsidR="00B4550A" w:rsidRPr="00E0488D" w:rsidRDefault="00B4550A" w:rsidP="003C7FC8">
            <w:pPr>
              <w:ind w:left="-3761" w:firstLine="3761"/>
              <w:jc w:val="center"/>
              <w:rPr>
                <w:b/>
                <w:lang w:val="ro-RO"/>
              </w:rPr>
            </w:pPr>
            <w:r w:rsidRPr="00E0488D">
              <w:rPr>
                <w:b/>
                <w:lang w:val="ro-RO"/>
              </w:rPr>
              <w:t xml:space="preserve">Pax Per </w:t>
            </w:r>
          </w:p>
          <w:p w:rsidR="00B4550A" w:rsidRPr="00E0488D" w:rsidRDefault="00B4550A" w:rsidP="003C7FC8">
            <w:pPr>
              <w:ind w:left="-3761" w:firstLine="3761"/>
              <w:jc w:val="center"/>
              <w:rPr>
                <w:b/>
                <w:lang w:val="ro-RO"/>
              </w:rPr>
            </w:pPr>
            <w:r w:rsidRPr="00E0488D">
              <w:rPr>
                <w:b/>
                <w:lang w:val="ro-RO"/>
              </w:rPr>
              <w:t xml:space="preserve">Aeronavă </w:t>
            </w:r>
          </w:p>
          <w:p w:rsidR="00B4550A" w:rsidRPr="00E0488D" w:rsidRDefault="00B4550A" w:rsidP="003C7FC8">
            <w:pPr>
              <w:ind w:left="-3761" w:firstLine="3761"/>
              <w:jc w:val="center"/>
              <w:rPr>
                <w:b/>
                <w:lang w:val="ro-RO"/>
              </w:rPr>
            </w:pPr>
            <w:r w:rsidRPr="00E0488D">
              <w:rPr>
                <w:b/>
                <w:lang w:val="ro-RO"/>
              </w:rPr>
              <w:t xml:space="preserve">Cod D </w:t>
            </w:r>
          </w:p>
          <w:p w:rsidR="00B4550A" w:rsidRPr="00E0488D" w:rsidRDefault="00B4550A" w:rsidP="003C7FC8">
            <w:pPr>
              <w:ind w:left="-3761" w:firstLine="3761"/>
              <w:jc w:val="center"/>
              <w:rPr>
                <w:b/>
                <w:lang w:val="ro-RO"/>
              </w:rPr>
            </w:pPr>
            <w:r w:rsidRPr="00E0488D">
              <w:rPr>
                <w:b/>
                <w:lang w:val="ro-RO"/>
              </w:rPr>
              <w:t>Incărcare70% 70%)</w:t>
            </w:r>
          </w:p>
        </w:tc>
        <w:tc>
          <w:tcPr>
            <w:tcW w:w="1276" w:type="dxa"/>
            <w:tcBorders>
              <w:top w:val="single" w:sz="12" w:space="0" w:color="4F81BD"/>
              <w:bottom w:val="single" w:sz="12" w:space="0" w:color="4F81BD"/>
            </w:tcBorders>
            <w:shd w:val="clear" w:color="auto" w:fill="B8CCE4" w:themeFill="accent1" w:themeFillTint="66"/>
          </w:tcPr>
          <w:p w:rsidR="00B4550A" w:rsidRPr="00E0488D" w:rsidRDefault="00B4550A" w:rsidP="003C7FC8">
            <w:pPr>
              <w:ind w:left="-3761" w:firstLine="3761"/>
              <w:jc w:val="center"/>
              <w:rPr>
                <w:b/>
                <w:lang w:val="ro-RO"/>
              </w:rPr>
            </w:pPr>
            <w:r w:rsidRPr="00E0488D">
              <w:rPr>
                <w:b/>
                <w:lang w:val="ro-RO"/>
              </w:rPr>
              <w:t>Procentaj</w:t>
            </w:r>
          </w:p>
          <w:p w:rsidR="00B4550A" w:rsidRPr="00E0488D" w:rsidRDefault="00B4550A" w:rsidP="003C7FC8">
            <w:pPr>
              <w:ind w:left="-3761" w:firstLine="3761"/>
              <w:jc w:val="center"/>
              <w:rPr>
                <w:b/>
                <w:lang w:val="ro-RO"/>
              </w:rPr>
            </w:pPr>
            <w:r w:rsidRPr="00E0488D">
              <w:rPr>
                <w:b/>
                <w:lang w:val="ro-RO"/>
              </w:rPr>
              <w:t>Zboruri</w:t>
            </w:r>
          </w:p>
          <w:p w:rsidR="00B4550A" w:rsidRPr="00E0488D" w:rsidRDefault="00B4550A" w:rsidP="003C7FC8">
            <w:pPr>
              <w:ind w:left="-3761" w:firstLine="3761"/>
              <w:jc w:val="center"/>
              <w:rPr>
                <w:b/>
                <w:lang w:val="ro-RO"/>
              </w:rPr>
            </w:pPr>
            <w:r w:rsidRPr="00E0488D">
              <w:rPr>
                <w:b/>
                <w:lang w:val="ro-RO"/>
              </w:rPr>
              <w:t>Cod C</w:t>
            </w:r>
          </w:p>
          <w:p w:rsidR="00B4550A" w:rsidRPr="00E0488D" w:rsidRDefault="00B4550A" w:rsidP="003C7FC8">
            <w:pPr>
              <w:ind w:left="-3761" w:firstLine="3761"/>
              <w:jc w:val="center"/>
              <w:rPr>
                <w:b/>
                <w:lang w:val="ro-RO"/>
              </w:rPr>
            </w:pPr>
          </w:p>
        </w:tc>
        <w:tc>
          <w:tcPr>
            <w:tcW w:w="1134" w:type="dxa"/>
            <w:tcBorders>
              <w:top w:val="single" w:sz="12" w:space="0" w:color="4F81BD"/>
              <w:bottom w:val="single" w:sz="12" w:space="0" w:color="4F81BD"/>
            </w:tcBorders>
            <w:shd w:val="clear" w:color="auto" w:fill="B8CCE4" w:themeFill="accent1" w:themeFillTint="66"/>
          </w:tcPr>
          <w:p w:rsidR="00B4550A" w:rsidRPr="00E0488D" w:rsidRDefault="00B4550A" w:rsidP="003C7FC8">
            <w:pPr>
              <w:ind w:left="-3761" w:firstLine="3761"/>
              <w:jc w:val="center"/>
              <w:rPr>
                <w:b/>
                <w:lang w:val="ro-RO"/>
              </w:rPr>
            </w:pPr>
            <w:r w:rsidRPr="00E0488D">
              <w:rPr>
                <w:b/>
                <w:lang w:val="ro-RO"/>
              </w:rPr>
              <w:t xml:space="preserve">Pax Per </w:t>
            </w:r>
          </w:p>
          <w:p w:rsidR="00B4550A" w:rsidRPr="00E0488D" w:rsidRDefault="00B4550A" w:rsidP="003C7FC8">
            <w:pPr>
              <w:ind w:left="-3761" w:firstLine="3761"/>
              <w:jc w:val="center"/>
              <w:rPr>
                <w:b/>
                <w:lang w:val="ro-RO"/>
              </w:rPr>
            </w:pPr>
            <w:r w:rsidRPr="00E0488D">
              <w:rPr>
                <w:b/>
                <w:lang w:val="ro-RO"/>
              </w:rPr>
              <w:t xml:space="preserve">Aeronava Cod D </w:t>
            </w:r>
          </w:p>
          <w:p w:rsidR="00B4550A" w:rsidRPr="00E0488D" w:rsidRDefault="00B4550A" w:rsidP="003C7FC8">
            <w:pPr>
              <w:ind w:left="-3761" w:firstLine="3761"/>
              <w:jc w:val="center"/>
              <w:rPr>
                <w:b/>
                <w:lang w:val="ro-RO"/>
              </w:rPr>
            </w:pPr>
            <w:r w:rsidRPr="00E0488D">
              <w:rPr>
                <w:b/>
                <w:lang w:val="ro-RO"/>
              </w:rPr>
              <w:t xml:space="preserve"> Cod D</w:t>
            </w:r>
          </w:p>
          <w:p w:rsidR="00B4550A" w:rsidRPr="00E0488D" w:rsidRDefault="00B4550A" w:rsidP="003C7FC8">
            <w:pPr>
              <w:ind w:left="-3761" w:firstLine="3761"/>
              <w:jc w:val="center"/>
              <w:rPr>
                <w:b/>
                <w:lang w:val="ro-RO"/>
              </w:rPr>
            </w:pPr>
            <w:r w:rsidRPr="00E0488D">
              <w:rPr>
                <w:b/>
                <w:lang w:val="ro-RO"/>
              </w:rPr>
              <w:t>(î90%)</w:t>
            </w:r>
          </w:p>
        </w:tc>
        <w:tc>
          <w:tcPr>
            <w:tcW w:w="1477" w:type="dxa"/>
            <w:tcBorders>
              <w:top w:val="single" w:sz="12" w:space="0" w:color="4F81BD"/>
              <w:bottom w:val="single" w:sz="12" w:space="0" w:color="4F81BD"/>
            </w:tcBorders>
            <w:shd w:val="clear" w:color="auto" w:fill="B8CCE4" w:themeFill="accent1" w:themeFillTint="66"/>
          </w:tcPr>
          <w:p w:rsidR="00B4550A" w:rsidRPr="00E0488D" w:rsidRDefault="00B4550A" w:rsidP="003C7FC8">
            <w:pPr>
              <w:ind w:left="-3761" w:firstLine="3761"/>
              <w:jc w:val="center"/>
              <w:rPr>
                <w:b/>
                <w:lang w:val="ro-RO"/>
              </w:rPr>
            </w:pPr>
            <w:r w:rsidRPr="00E0488D">
              <w:rPr>
                <w:b/>
                <w:lang w:val="ro-RO"/>
              </w:rPr>
              <w:t xml:space="preserve">Procentaj </w:t>
            </w:r>
          </w:p>
          <w:p w:rsidR="00B4550A" w:rsidRPr="00E0488D" w:rsidRDefault="00B4550A" w:rsidP="003C7FC8">
            <w:pPr>
              <w:ind w:left="-3761" w:firstLine="3761"/>
              <w:jc w:val="center"/>
              <w:rPr>
                <w:b/>
                <w:lang w:val="ro-RO"/>
              </w:rPr>
            </w:pPr>
            <w:r w:rsidRPr="00E0488D">
              <w:rPr>
                <w:b/>
                <w:lang w:val="ro-RO"/>
              </w:rPr>
              <w:t xml:space="preserve">Zboruri ATR </w:t>
            </w:r>
          </w:p>
          <w:p w:rsidR="00B4550A" w:rsidRPr="00E0488D" w:rsidRDefault="00B4550A" w:rsidP="003C7FC8">
            <w:pPr>
              <w:ind w:left="-3761" w:firstLine="3761"/>
              <w:jc w:val="center"/>
              <w:rPr>
                <w:b/>
                <w:lang w:val="ro-RO"/>
              </w:rPr>
            </w:pPr>
          </w:p>
        </w:tc>
      </w:tr>
      <w:tr w:rsidR="00B4550A" w:rsidRPr="00E0488D" w:rsidTr="003C7FC8">
        <w:trPr>
          <w:trHeight w:val="329"/>
          <w:jc w:val="center"/>
        </w:trPr>
        <w:tc>
          <w:tcPr>
            <w:tcW w:w="1760" w:type="dxa"/>
            <w:tcBorders>
              <w:top w:val="single" w:sz="12" w:space="0" w:color="4F81BD"/>
            </w:tcBorders>
            <w:vAlign w:val="center"/>
          </w:tcPr>
          <w:p w:rsidR="00B4550A" w:rsidRPr="00E0488D" w:rsidRDefault="00B4550A" w:rsidP="003C7FC8">
            <w:pPr>
              <w:rPr>
                <w:color w:val="000000"/>
                <w:lang w:val="ro-RO"/>
              </w:rPr>
            </w:pPr>
            <w:r w:rsidRPr="00E0488D">
              <w:rPr>
                <w:lang w:val="ro-RO"/>
              </w:rPr>
              <w:t>Aeroport  Hub Internațional Major</w:t>
            </w:r>
          </w:p>
        </w:tc>
        <w:tc>
          <w:tcPr>
            <w:tcW w:w="1697" w:type="dxa"/>
            <w:tcBorders>
              <w:top w:val="single" w:sz="12" w:space="0" w:color="4F81BD"/>
            </w:tcBorders>
            <w:vAlign w:val="center"/>
          </w:tcPr>
          <w:p w:rsidR="00B4550A" w:rsidRPr="00E0488D" w:rsidRDefault="00B4550A" w:rsidP="003C7FC8">
            <w:pPr>
              <w:jc w:val="center"/>
              <w:rPr>
                <w:lang w:val="ro-RO"/>
              </w:rPr>
            </w:pPr>
            <w:r w:rsidRPr="00E0488D">
              <w:rPr>
                <w:lang w:val="ro-RO"/>
              </w:rPr>
              <w:t>210</w:t>
            </w:r>
          </w:p>
        </w:tc>
        <w:tc>
          <w:tcPr>
            <w:tcW w:w="1075" w:type="dxa"/>
            <w:tcBorders>
              <w:top w:val="single" w:sz="12" w:space="0" w:color="4F81BD"/>
            </w:tcBorders>
            <w:vAlign w:val="center"/>
          </w:tcPr>
          <w:p w:rsidR="00B4550A" w:rsidRPr="00E0488D" w:rsidRDefault="00B4550A" w:rsidP="003C7FC8">
            <w:pPr>
              <w:jc w:val="center"/>
              <w:rPr>
                <w:lang w:val="ro-RO"/>
              </w:rPr>
            </w:pPr>
            <w:r w:rsidRPr="00E0488D">
              <w:rPr>
                <w:lang w:val="ro-RO"/>
              </w:rPr>
              <w:t>70%</w:t>
            </w:r>
          </w:p>
        </w:tc>
        <w:tc>
          <w:tcPr>
            <w:tcW w:w="1275" w:type="dxa"/>
            <w:tcBorders>
              <w:top w:val="single" w:sz="12" w:space="0" w:color="4F81BD"/>
            </w:tcBorders>
            <w:vAlign w:val="center"/>
          </w:tcPr>
          <w:p w:rsidR="00B4550A" w:rsidRPr="00E0488D" w:rsidRDefault="00B4550A" w:rsidP="003C7FC8">
            <w:pPr>
              <w:jc w:val="center"/>
              <w:rPr>
                <w:lang w:val="ro-RO"/>
              </w:rPr>
            </w:pPr>
            <w:r w:rsidRPr="00E0488D">
              <w:rPr>
                <w:lang w:val="ro-RO"/>
              </w:rPr>
              <w:t>126</w:t>
            </w:r>
          </w:p>
        </w:tc>
        <w:tc>
          <w:tcPr>
            <w:tcW w:w="1276" w:type="dxa"/>
            <w:tcBorders>
              <w:top w:val="single" w:sz="12" w:space="0" w:color="4F81BD"/>
            </w:tcBorders>
            <w:vAlign w:val="center"/>
          </w:tcPr>
          <w:p w:rsidR="00B4550A" w:rsidRPr="00E0488D" w:rsidRDefault="00B4550A" w:rsidP="003C7FC8">
            <w:pPr>
              <w:ind w:left="-3761" w:firstLine="3761"/>
              <w:jc w:val="center"/>
              <w:rPr>
                <w:lang w:val="ro-RO"/>
              </w:rPr>
            </w:pPr>
            <w:r w:rsidRPr="00E0488D">
              <w:rPr>
                <w:lang w:val="ro-RO"/>
              </w:rPr>
              <w:t>20%</w:t>
            </w:r>
          </w:p>
        </w:tc>
        <w:tc>
          <w:tcPr>
            <w:tcW w:w="1134" w:type="dxa"/>
            <w:tcBorders>
              <w:top w:val="single" w:sz="12" w:space="0" w:color="4F81BD"/>
            </w:tcBorders>
            <w:vAlign w:val="center"/>
          </w:tcPr>
          <w:p w:rsidR="00B4550A" w:rsidRPr="00E0488D" w:rsidRDefault="00B4550A" w:rsidP="003C7FC8">
            <w:pPr>
              <w:jc w:val="center"/>
              <w:rPr>
                <w:lang w:val="ro-RO"/>
              </w:rPr>
            </w:pPr>
            <w:r w:rsidRPr="00E0488D">
              <w:rPr>
                <w:lang w:val="ro-RO"/>
              </w:rPr>
              <w:t>45</w:t>
            </w:r>
          </w:p>
        </w:tc>
        <w:tc>
          <w:tcPr>
            <w:tcW w:w="1477" w:type="dxa"/>
            <w:tcBorders>
              <w:top w:val="single" w:sz="12" w:space="0" w:color="4F81BD"/>
            </w:tcBorders>
            <w:vAlign w:val="center"/>
          </w:tcPr>
          <w:p w:rsidR="00B4550A" w:rsidRPr="00E0488D" w:rsidRDefault="00B4550A" w:rsidP="003C7FC8">
            <w:pPr>
              <w:ind w:left="-3761" w:firstLine="3761"/>
              <w:jc w:val="center"/>
              <w:rPr>
                <w:lang w:val="ro-RO"/>
              </w:rPr>
            </w:pPr>
            <w:r w:rsidRPr="00E0488D">
              <w:rPr>
                <w:lang w:val="ro-RO"/>
              </w:rPr>
              <w:t>10%</w:t>
            </w:r>
          </w:p>
        </w:tc>
      </w:tr>
      <w:tr w:rsidR="00B4550A" w:rsidRPr="00E0488D" w:rsidTr="003C7FC8">
        <w:trPr>
          <w:trHeight w:val="329"/>
          <w:jc w:val="center"/>
        </w:trPr>
        <w:tc>
          <w:tcPr>
            <w:tcW w:w="1760" w:type="dxa"/>
            <w:vAlign w:val="center"/>
          </w:tcPr>
          <w:p w:rsidR="00B4550A" w:rsidRPr="00E0488D" w:rsidRDefault="00B4550A" w:rsidP="003C7FC8">
            <w:pPr>
              <w:rPr>
                <w:color w:val="000000"/>
                <w:lang w:val="ro-RO"/>
              </w:rPr>
            </w:pPr>
            <w:r w:rsidRPr="00E0488D">
              <w:rPr>
                <w:lang w:val="ro-RO"/>
              </w:rPr>
              <w:t>Aeroport Hub Internațional</w:t>
            </w:r>
          </w:p>
        </w:tc>
        <w:tc>
          <w:tcPr>
            <w:tcW w:w="1697" w:type="dxa"/>
            <w:vAlign w:val="center"/>
          </w:tcPr>
          <w:p w:rsidR="00B4550A" w:rsidRPr="00E0488D" w:rsidRDefault="00B4550A" w:rsidP="003C7FC8">
            <w:pPr>
              <w:jc w:val="center"/>
              <w:rPr>
                <w:lang w:val="ro-RO"/>
              </w:rPr>
            </w:pPr>
            <w:r w:rsidRPr="00E0488D">
              <w:rPr>
                <w:lang w:val="ro-RO"/>
              </w:rPr>
              <w:t>210</w:t>
            </w:r>
          </w:p>
        </w:tc>
        <w:tc>
          <w:tcPr>
            <w:tcW w:w="1075" w:type="dxa"/>
            <w:vAlign w:val="center"/>
          </w:tcPr>
          <w:p w:rsidR="00B4550A" w:rsidRPr="00E0488D" w:rsidRDefault="00B4550A" w:rsidP="003C7FC8">
            <w:pPr>
              <w:jc w:val="center"/>
              <w:rPr>
                <w:lang w:val="ro-RO"/>
              </w:rPr>
            </w:pPr>
            <w:r w:rsidRPr="00E0488D">
              <w:rPr>
                <w:lang w:val="ro-RO"/>
              </w:rPr>
              <w:t>50%</w:t>
            </w:r>
          </w:p>
        </w:tc>
        <w:tc>
          <w:tcPr>
            <w:tcW w:w="1275" w:type="dxa"/>
            <w:vAlign w:val="center"/>
          </w:tcPr>
          <w:p w:rsidR="00B4550A" w:rsidRPr="00E0488D" w:rsidRDefault="00B4550A" w:rsidP="003C7FC8">
            <w:pPr>
              <w:jc w:val="center"/>
              <w:rPr>
                <w:lang w:val="ro-RO"/>
              </w:rPr>
            </w:pPr>
            <w:r w:rsidRPr="00E0488D">
              <w:rPr>
                <w:lang w:val="ro-RO"/>
              </w:rPr>
              <w:t>126</w:t>
            </w:r>
          </w:p>
        </w:tc>
        <w:tc>
          <w:tcPr>
            <w:tcW w:w="1276" w:type="dxa"/>
            <w:vAlign w:val="center"/>
          </w:tcPr>
          <w:p w:rsidR="00B4550A" w:rsidRPr="00E0488D" w:rsidRDefault="00B4550A" w:rsidP="003C7FC8">
            <w:pPr>
              <w:jc w:val="center"/>
              <w:rPr>
                <w:lang w:val="ro-RO"/>
              </w:rPr>
            </w:pPr>
            <w:r w:rsidRPr="00E0488D">
              <w:rPr>
                <w:lang w:val="ro-RO"/>
              </w:rPr>
              <w:t>40%</w:t>
            </w:r>
          </w:p>
        </w:tc>
        <w:tc>
          <w:tcPr>
            <w:tcW w:w="1134" w:type="dxa"/>
            <w:vAlign w:val="center"/>
          </w:tcPr>
          <w:p w:rsidR="00B4550A" w:rsidRPr="00E0488D" w:rsidRDefault="00B4550A" w:rsidP="003C7FC8">
            <w:pPr>
              <w:jc w:val="center"/>
              <w:rPr>
                <w:lang w:val="ro-RO"/>
              </w:rPr>
            </w:pPr>
            <w:r w:rsidRPr="00E0488D">
              <w:rPr>
                <w:lang w:val="ro-RO"/>
              </w:rPr>
              <w:t>45</w:t>
            </w:r>
          </w:p>
        </w:tc>
        <w:tc>
          <w:tcPr>
            <w:tcW w:w="1477" w:type="dxa"/>
            <w:vAlign w:val="center"/>
          </w:tcPr>
          <w:p w:rsidR="00B4550A" w:rsidRPr="00E0488D" w:rsidRDefault="00B4550A" w:rsidP="003C7FC8">
            <w:pPr>
              <w:jc w:val="center"/>
              <w:rPr>
                <w:lang w:val="ro-RO"/>
              </w:rPr>
            </w:pPr>
            <w:r w:rsidRPr="00E0488D">
              <w:rPr>
                <w:lang w:val="ro-RO"/>
              </w:rPr>
              <w:t>10%</w:t>
            </w:r>
          </w:p>
        </w:tc>
      </w:tr>
      <w:tr w:rsidR="00B4550A" w:rsidRPr="00E0488D" w:rsidTr="003C7FC8">
        <w:trPr>
          <w:trHeight w:val="329"/>
          <w:jc w:val="center"/>
        </w:trPr>
        <w:tc>
          <w:tcPr>
            <w:tcW w:w="1760" w:type="dxa"/>
            <w:vAlign w:val="center"/>
          </w:tcPr>
          <w:p w:rsidR="00B4550A" w:rsidRPr="00E0488D" w:rsidRDefault="00B4550A" w:rsidP="003C7FC8">
            <w:pPr>
              <w:rPr>
                <w:color w:val="000000"/>
                <w:lang w:val="ro-RO"/>
              </w:rPr>
            </w:pPr>
            <w:r w:rsidRPr="00E0488D">
              <w:rPr>
                <w:lang w:val="ro-RO"/>
              </w:rPr>
              <w:t>Aeroport Regional</w:t>
            </w:r>
          </w:p>
        </w:tc>
        <w:tc>
          <w:tcPr>
            <w:tcW w:w="1697" w:type="dxa"/>
            <w:vAlign w:val="center"/>
          </w:tcPr>
          <w:p w:rsidR="00B4550A" w:rsidRPr="00E0488D" w:rsidRDefault="00B4550A" w:rsidP="003C7FC8">
            <w:pPr>
              <w:jc w:val="center"/>
              <w:rPr>
                <w:lang w:val="ro-RO"/>
              </w:rPr>
            </w:pPr>
            <w:r w:rsidRPr="00E0488D">
              <w:rPr>
                <w:lang w:val="ro-RO"/>
              </w:rPr>
              <w:t>210</w:t>
            </w:r>
          </w:p>
        </w:tc>
        <w:tc>
          <w:tcPr>
            <w:tcW w:w="1075" w:type="dxa"/>
            <w:vAlign w:val="center"/>
          </w:tcPr>
          <w:p w:rsidR="00B4550A" w:rsidRPr="00E0488D" w:rsidRDefault="00B4550A" w:rsidP="003C7FC8">
            <w:pPr>
              <w:jc w:val="center"/>
              <w:rPr>
                <w:lang w:val="ro-RO"/>
              </w:rPr>
            </w:pPr>
            <w:r w:rsidRPr="00E0488D">
              <w:rPr>
                <w:lang w:val="ro-RO"/>
              </w:rPr>
              <w:t>40%</w:t>
            </w:r>
          </w:p>
        </w:tc>
        <w:tc>
          <w:tcPr>
            <w:tcW w:w="1275" w:type="dxa"/>
            <w:vAlign w:val="center"/>
          </w:tcPr>
          <w:p w:rsidR="00B4550A" w:rsidRPr="00E0488D" w:rsidRDefault="00B4550A" w:rsidP="003C7FC8">
            <w:pPr>
              <w:jc w:val="center"/>
              <w:rPr>
                <w:lang w:val="ro-RO"/>
              </w:rPr>
            </w:pPr>
            <w:r w:rsidRPr="00E0488D">
              <w:rPr>
                <w:lang w:val="ro-RO"/>
              </w:rPr>
              <w:t>126</w:t>
            </w:r>
          </w:p>
        </w:tc>
        <w:tc>
          <w:tcPr>
            <w:tcW w:w="1276" w:type="dxa"/>
            <w:vAlign w:val="center"/>
          </w:tcPr>
          <w:p w:rsidR="00B4550A" w:rsidRPr="00E0488D" w:rsidRDefault="00B4550A" w:rsidP="003C7FC8">
            <w:pPr>
              <w:jc w:val="center"/>
              <w:rPr>
                <w:lang w:val="ro-RO"/>
              </w:rPr>
            </w:pPr>
            <w:r w:rsidRPr="00E0488D">
              <w:rPr>
                <w:lang w:val="ro-RO"/>
              </w:rPr>
              <w:t>40%</w:t>
            </w:r>
          </w:p>
        </w:tc>
        <w:tc>
          <w:tcPr>
            <w:tcW w:w="1134" w:type="dxa"/>
            <w:vAlign w:val="center"/>
          </w:tcPr>
          <w:p w:rsidR="00B4550A" w:rsidRPr="00E0488D" w:rsidRDefault="00B4550A" w:rsidP="003C7FC8">
            <w:pPr>
              <w:jc w:val="center"/>
              <w:rPr>
                <w:lang w:val="ro-RO"/>
              </w:rPr>
            </w:pPr>
            <w:r w:rsidRPr="00E0488D">
              <w:rPr>
                <w:lang w:val="ro-RO"/>
              </w:rPr>
              <w:t>45</w:t>
            </w:r>
          </w:p>
        </w:tc>
        <w:tc>
          <w:tcPr>
            <w:tcW w:w="1477" w:type="dxa"/>
            <w:vAlign w:val="center"/>
          </w:tcPr>
          <w:p w:rsidR="00B4550A" w:rsidRPr="00E0488D" w:rsidRDefault="00B4550A" w:rsidP="003C7FC8">
            <w:pPr>
              <w:jc w:val="center"/>
              <w:rPr>
                <w:lang w:val="ro-RO"/>
              </w:rPr>
            </w:pPr>
            <w:r w:rsidRPr="00E0488D">
              <w:rPr>
                <w:lang w:val="ro-RO"/>
              </w:rPr>
              <w:t>20%</w:t>
            </w:r>
          </w:p>
        </w:tc>
      </w:tr>
      <w:tr w:rsidR="00B4550A" w:rsidRPr="00E0488D" w:rsidTr="003C7FC8">
        <w:trPr>
          <w:trHeight w:val="329"/>
          <w:jc w:val="center"/>
        </w:trPr>
        <w:tc>
          <w:tcPr>
            <w:tcW w:w="1760" w:type="dxa"/>
            <w:vAlign w:val="center"/>
          </w:tcPr>
          <w:p w:rsidR="00B4550A" w:rsidRPr="00E0488D" w:rsidRDefault="00B4550A" w:rsidP="003C7FC8">
            <w:pPr>
              <w:rPr>
                <w:lang w:val="ro-RO"/>
              </w:rPr>
            </w:pPr>
            <w:r w:rsidRPr="00E0488D">
              <w:rPr>
                <w:lang w:val="ro-RO"/>
              </w:rPr>
              <w:t xml:space="preserve">Aeroport Regional Mic </w:t>
            </w:r>
          </w:p>
        </w:tc>
        <w:tc>
          <w:tcPr>
            <w:tcW w:w="1697" w:type="dxa"/>
            <w:vAlign w:val="center"/>
          </w:tcPr>
          <w:p w:rsidR="00B4550A" w:rsidRPr="00E0488D" w:rsidRDefault="00B4550A" w:rsidP="003C7FC8">
            <w:pPr>
              <w:jc w:val="center"/>
              <w:rPr>
                <w:lang w:val="ro-RO"/>
              </w:rPr>
            </w:pPr>
            <w:r w:rsidRPr="00E0488D">
              <w:rPr>
                <w:lang w:val="ro-RO"/>
              </w:rPr>
              <w:t>210</w:t>
            </w:r>
          </w:p>
        </w:tc>
        <w:tc>
          <w:tcPr>
            <w:tcW w:w="1075" w:type="dxa"/>
            <w:vAlign w:val="center"/>
          </w:tcPr>
          <w:p w:rsidR="00B4550A" w:rsidRPr="00E0488D" w:rsidRDefault="00B4550A" w:rsidP="003C7FC8">
            <w:pPr>
              <w:jc w:val="center"/>
              <w:rPr>
                <w:lang w:val="ro-RO"/>
              </w:rPr>
            </w:pPr>
            <w:r w:rsidRPr="00E0488D">
              <w:rPr>
                <w:lang w:val="ro-RO"/>
              </w:rPr>
              <w:t>0%</w:t>
            </w:r>
          </w:p>
        </w:tc>
        <w:tc>
          <w:tcPr>
            <w:tcW w:w="1275" w:type="dxa"/>
            <w:vAlign w:val="center"/>
          </w:tcPr>
          <w:p w:rsidR="00B4550A" w:rsidRPr="00E0488D" w:rsidRDefault="00B4550A" w:rsidP="003C7FC8">
            <w:pPr>
              <w:jc w:val="center"/>
              <w:rPr>
                <w:lang w:val="ro-RO"/>
              </w:rPr>
            </w:pPr>
            <w:r w:rsidRPr="00E0488D">
              <w:rPr>
                <w:lang w:val="ro-RO"/>
              </w:rPr>
              <w:t>126</w:t>
            </w:r>
          </w:p>
        </w:tc>
        <w:tc>
          <w:tcPr>
            <w:tcW w:w="1276" w:type="dxa"/>
            <w:vAlign w:val="center"/>
          </w:tcPr>
          <w:p w:rsidR="00B4550A" w:rsidRPr="00E0488D" w:rsidRDefault="00B4550A" w:rsidP="003C7FC8">
            <w:pPr>
              <w:jc w:val="center"/>
              <w:rPr>
                <w:lang w:val="ro-RO"/>
              </w:rPr>
            </w:pPr>
            <w:r w:rsidRPr="00E0488D">
              <w:rPr>
                <w:lang w:val="ro-RO"/>
              </w:rPr>
              <w:t>10%</w:t>
            </w:r>
          </w:p>
        </w:tc>
        <w:tc>
          <w:tcPr>
            <w:tcW w:w="1134" w:type="dxa"/>
            <w:vAlign w:val="center"/>
          </w:tcPr>
          <w:p w:rsidR="00B4550A" w:rsidRPr="00E0488D" w:rsidRDefault="00B4550A" w:rsidP="003C7FC8">
            <w:pPr>
              <w:jc w:val="center"/>
              <w:rPr>
                <w:lang w:val="ro-RO"/>
              </w:rPr>
            </w:pPr>
            <w:r w:rsidRPr="00E0488D">
              <w:rPr>
                <w:lang w:val="ro-RO"/>
              </w:rPr>
              <w:t>45</w:t>
            </w:r>
          </w:p>
        </w:tc>
        <w:tc>
          <w:tcPr>
            <w:tcW w:w="1477" w:type="dxa"/>
            <w:vAlign w:val="center"/>
          </w:tcPr>
          <w:p w:rsidR="00B4550A" w:rsidRPr="00E0488D" w:rsidRDefault="00B4550A" w:rsidP="003C7FC8">
            <w:pPr>
              <w:jc w:val="center"/>
              <w:rPr>
                <w:lang w:val="ro-RO"/>
              </w:rPr>
            </w:pPr>
            <w:r w:rsidRPr="00E0488D">
              <w:rPr>
                <w:lang w:val="ro-RO"/>
              </w:rPr>
              <w:t>90%</w:t>
            </w:r>
          </w:p>
        </w:tc>
      </w:tr>
    </w:tbl>
    <w:p w:rsidR="00B4550A" w:rsidRPr="00E0488D" w:rsidRDefault="00B4550A" w:rsidP="00B4550A">
      <w:pPr>
        <w:rPr>
          <w:sz w:val="22"/>
          <w:szCs w:val="22"/>
          <w:lang w:val="ro-RO"/>
        </w:rPr>
      </w:pPr>
    </w:p>
    <w:p w:rsidR="00B4550A" w:rsidRPr="00E0488D" w:rsidRDefault="00B4550A" w:rsidP="002B7E09">
      <w:pPr>
        <w:pStyle w:val="NumberedParas"/>
      </w:pPr>
      <w:r w:rsidRPr="00E0488D">
        <w:t>Premisele de mai sus au fost utilizate pentru determinarea numărului de div</w:t>
      </w:r>
    </w:p>
    <w:p w:rsidR="00B4550A" w:rsidRPr="00E0488D" w:rsidRDefault="00B4550A" w:rsidP="002B7E09">
      <w:pPr>
        <w:pStyle w:val="NumberedParas"/>
      </w:pPr>
      <w:r w:rsidRPr="00E0488D">
        <w:t>Tabelul 7.6 prezintă numărul actual de poziții de staționare pe platforme, împreună cu cifrele prognozate pentru 2020. Și în acest caz s-a utilizat numărul maxim de pasageri pentru determinarea numărului de aeronave necesar la orele de vârf. S-a estimat și s-a adăugat un factor de 20% (40% pentru București) în vederea includerii aeronavelor din afara orelor de vârf, care vor ocupa poziții de staționare în aeroport.</w:t>
      </w:r>
    </w:p>
    <w:p w:rsidR="00B4550A" w:rsidRPr="00E0488D" w:rsidRDefault="00B4550A" w:rsidP="00B4550A">
      <w:pPr>
        <w:ind w:left="851"/>
        <w:rPr>
          <w:b/>
          <w:sz w:val="22"/>
          <w:szCs w:val="22"/>
          <w:lang w:val="ro-RO"/>
        </w:rPr>
      </w:pPr>
      <w:r w:rsidRPr="00E0488D">
        <w:rPr>
          <w:b/>
          <w:sz w:val="22"/>
          <w:szCs w:val="22"/>
          <w:lang w:val="ro-RO"/>
        </w:rPr>
        <w:t>Tabel 7.6: Spațiul necesar pe platforme aeroportuare la orele de vârf în anul 2020</w:t>
      </w:r>
    </w:p>
    <w:tbl>
      <w:tblPr>
        <w:tblW w:w="10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8"/>
        <w:gridCol w:w="1474"/>
        <w:gridCol w:w="1421"/>
        <w:gridCol w:w="1179"/>
        <w:gridCol w:w="1126"/>
        <w:gridCol w:w="1115"/>
        <w:gridCol w:w="1265"/>
        <w:gridCol w:w="1265"/>
      </w:tblGrid>
      <w:tr w:rsidR="00B4550A" w:rsidRPr="00E0488D" w:rsidTr="003C7FC8">
        <w:trPr>
          <w:trHeight w:val="734"/>
          <w:tblHeader/>
          <w:jc w:val="center"/>
        </w:trPr>
        <w:tc>
          <w:tcPr>
            <w:tcW w:w="1648" w:type="dxa"/>
            <w:shd w:val="clear" w:color="auto" w:fill="DBE5F1"/>
            <w:vAlign w:val="center"/>
          </w:tcPr>
          <w:p w:rsidR="00B4550A" w:rsidRPr="00E0488D" w:rsidRDefault="00B4550A" w:rsidP="003C7FC8">
            <w:pPr>
              <w:jc w:val="center"/>
              <w:rPr>
                <w:rFonts w:cs="Arial"/>
                <w:b/>
                <w:sz w:val="20"/>
                <w:szCs w:val="20"/>
                <w:lang w:val="ro-RO"/>
              </w:rPr>
            </w:pPr>
            <w:r w:rsidRPr="00E0488D">
              <w:rPr>
                <w:rFonts w:cs="Arial"/>
                <w:b/>
                <w:sz w:val="20"/>
                <w:szCs w:val="20"/>
                <w:lang w:val="ro-RO"/>
              </w:rPr>
              <w:t>Nume aeroport</w:t>
            </w:r>
          </w:p>
        </w:tc>
        <w:tc>
          <w:tcPr>
            <w:tcW w:w="1474" w:type="dxa"/>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Număr curent</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 de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tc>
        <w:tc>
          <w:tcPr>
            <w:tcW w:w="1421" w:type="dxa"/>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Pasageri ore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de vârf</w:t>
            </w:r>
          </w:p>
        </w:tc>
        <w:tc>
          <w:tcPr>
            <w:tcW w:w="1179" w:type="dxa"/>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Cod D</w:t>
            </w:r>
          </w:p>
          <w:p w:rsidR="00B4550A" w:rsidRPr="00E0488D" w:rsidRDefault="00B4550A" w:rsidP="003C7FC8">
            <w:pPr>
              <w:ind w:left="-3761" w:firstLine="3761"/>
              <w:jc w:val="center"/>
              <w:rPr>
                <w:rFonts w:cs="Arial"/>
                <w:b/>
                <w:sz w:val="20"/>
                <w:szCs w:val="20"/>
                <w:lang w:val="ro-RO"/>
              </w:rPr>
            </w:pPr>
          </w:p>
        </w:tc>
        <w:tc>
          <w:tcPr>
            <w:tcW w:w="1126" w:type="dxa"/>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Cod C</w:t>
            </w:r>
          </w:p>
          <w:p w:rsidR="00B4550A" w:rsidRPr="00E0488D" w:rsidRDefault="00B4550A" w:rsidP="003C7FC8">
            <w:pPr>
              <w:ind w:left="-3761" w:firstLine="3761"/>
              <w:jc w:val="center"/>
              <w:rPr>
                <w:rFonts w:cs="Arial"/>
                <w:b/>
                <w:sz w:val="20"/>
                <w:szCs w:val="20"/>
                <w:lang w:val="ro-RO"/>
              </w:rPr>
            </w:pPr>
          </w:p>
        </w:tc>
        <w:tc>
          <w:tcPr>
            <w:tcW w:w="1115" w:type="dxa"/>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ATR</w:t>
            </w:r>
          </w:p>
          <w:p w:rsidR="00B4550A" w:rsidRPr="00E0488D" w:rsidRDefault="00B4550A" w:rsidP="003C7FC8">
            <w:pPr>
              <w:ind w:left="-3761" w:firstLine="3761"/>
              <w:jc w:val="center"/>
              <w:rPr>
                <w:rFonts w:cs="Arial"/>
                <w:b/>
                <w:sz w:val="20"/>
                <w:szCs w:val="20"/>
                <w:lang w:val="ro-RO"/>
              </w:rPr>
            </w:pPr>
          </w:p>
        </w:tc>
        <w:tc>
          <w:tcPr>
            <w:tcW w:w="1265" w:type="dxa"/>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Număr</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total</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tc>
        <w:tc>
          <w:tcPr>
            <w:tcW w:w="1265" w:type="dxa"/>
            <w:shd w:val="clear" w:color="auto" w:fill="DBE5F1"/>
          </w:tcPr>
          <w:p w:rsidR="00B4550A" w:rsidRPr="00E0488D" w:rsidRDefault="00B4550A" w:rsidP="003C7FC8">
            <w:pPr>
              <w:ind w:left="-3761" w:firstLine="3761"/>
              <w:jc w:val="center"/>
              <w:rPr>
                <w:rFonts w:cs="Arial"/>
                <w:b/>
                <w:lang w:val="ro-RO"/>
              </w:rPr>
            </w:pPr>
            <w:r w:rsidRPr="00E0488D">
              <w:rPr>
                <w:rFonts w:cs="Arial"/>
                <w:b/>
                <w:lang w:val="ro-RO"/>
              </w:rPr>
              <w:t>Număr</w:t>
            </w:r>
          </w:p>
          <w:p w:rsidR="00B4550A" w:rsidRPr="00E0488D" w:rsidRDefault="00B4550A" w:rsidP="003C7FC8">
            <w:pPr>
              <w:ind w:left="-3761" w:firstLine="3761"/>
              <w:jc w:val="center"/>
              <w:rPr>
                <w:rFonts w:cs="Arial"/>
                <w:b/>
                <w:lang w:val="ro-RO"/>
              </w:rPr>
            </w:pPr>
            <w:r w:rsidRPr="00E0488D">
              <w:rPr>
                <w:rFonts w:cs="Arial"/>
                <w:b/>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lang w:val="ro-RO"/>
              </w:rPr>
              <w:t>Lipsă</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București</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62</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4.310</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15</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7</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10</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Cs/>
                <w:kern w:val="24"/>
                <w:sz w:val="20"/>
                <w:szCs w:val="20"/>
                <w:lang w:val="ro-RO"/>
              </w:rPr>
              <w:t>45</w:t>
            </w:r>
          </w:p>
        </w:tc>
        <w:tc>
          <w:tcPr>
            <w:tcW w:w="1265" w:type="dxa"/>
            <w:vAlign w:val="bottom"/>
          </w:tcPr>
          <w:p w:rsidR="00B4550A" w:rsidRPr="00E0488D" w:rsidRDefault="00B4550A" w:rsidP="003C7FC8">
            <w:pPr>
              <w:pStyle w:val="NormalWeb"/>
              <w:jc w:val="center"/>
              <w:textAlignment w:val="bottom"/>
              <w:rPr>
                <w:rFonts w:ascii="Arial" w:hAnsi="Arial" w:cs="Arial"/>
                <w:bCs/>
                <w:kern w:val="24"/>
                <w:sz w:val="20"/>
                <w:szCs w:val="20"/>
                <w:lang w:val="ro-RO"/>
              </w:rPr>
            </w:pPr>
            <w:r w:rsidRPr="00E0488D">
              <w:rPr>
                <w:rFonts w:ascii="Arial" w:hAnsi="Arial" w:cs="Arial"/>
                <w:sz w:val="22"/>
                <w:szCs w:val="22"/>
                <w:lang w:val="ro-RO"/>
              </w:rPr>
              <w:t>0</w:t>
            </w:r>
            <w:r w:rsidRPr="00E0488D">
              <w:rPr>
                <w:rFonts w:cs="Arial"/>
                <w:sz w:val="22"/>
                <w:szCs w:val="22"/>
                <w:lang w:val="ro-RO"/>
              </w:rPr>
              <w:t>¹</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Craiova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12</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1.786</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265" w:type="dxa"/>
            <w:vAlign w:val="bottom"/>
          </w:tcPr>
          <w:p w:rsidR="00B4550A" w:rsidRPr="00E0488D" w:rsidRDefault="00B4550A" w:rsidP="003C7FC8">
            <w:pPr>
              <w:pStyle w:val="NormalWeb"/>
              <w:jc w:val="center"/>
              <w:textAlignment w:val="bottom"/>
              <w:rPr>
                <w:rFonts w:ascii="Arial" w:hAnsi="Arial" w:cs="Arial"/>
                <w:b/>
                <w:color w:val="FF0000"/>
                <w:sz w:val="20"/>
                <w:szCs w:val="20"/>
                <w:lang w:val="ro-RO"/>
              </w:rPr>
            </w:pPr>
            <w:r w:rsidRPr="00E0488D">
              <w:rPr>
                <w:rFonts w:ascii="Arial" w:hAnsi="Arial" w:cs="Arial"/>
                <w:b/>
                <w:bCs/>
                <w:color w:val="FF0000"/>
                <w:kern w:val="24"/>
                <w:sz w:val="20"/>
                <w:szCs w:val="20"/>
                <w:lang w:val="ro-RO"/>
              </w:rPr>
              <w:t>18</w:t>
            </w:r>
          </w:p>
        </w:tc>
        <w:tc>
          <w:tcPr>
            <w:tcW w:w="1265" w:type="dxa"/>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bCs/>
                <w:kern w:val="24"/>
                <w:sz w:val="22"/>
                <w:szCs w:val="22"/>
                <w:lang w:val="ro-RO"/>
              </w:rPr>
              <w:t>6</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Timișoara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26</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1.592</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17</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Sibiu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16</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1.347</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15</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Cluj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14</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1.197</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Cs/>
                <w:kern w:val="24"/>
                <w:sz w:val="20"/>
                <w:szCs w:val="20"/>
                <w:lang w:val="ro-RO"/>
              </w:rPr>
              <w:t>12</w:t>
            </w:r>
          </w:p>
        </w:tc>
        <w:tc>
          <w:tcPr>
            <w:tcW w:w="1265" w:type="dxa"/>
            <w:vAlign w:val="bottom"/>
          </w:tcPr>
          <w:p w:rsidR="00B4550A" w:rsidRPr="00E0488D" w:rsidRDefault="00B4550A" w:rsidP="003C7FC8">
            <w:pPr>
              <w:pStyle w:val="NormalWeb"/>
              <w:jc w:val="center"/>
              <w:textAlignment w:val="bottom"/>
              <w:rPr>
                <w:rFonts w:ascii="Arial" w:hAnsi="Arial" w:cs="Arial"/>
                <w:bCs/>
                <w:kern w:val="24"/>
                <w:sz w:val="20"/>
                <w:szCs w:val="20"/>
                <w:lang w:val="ro-RO"/>
              </w:rPr>
            </w:pPr>
            <w:r w:rsidRPr="00E0488D">
              <w:rPr>
                <w:rFonts w:ascii="Arial" w:hAnsi="Arial" w:cs="Arial"/>
                <w:bCs/>
                <w:kern w:val="24"/>
                <w:sz w:val="22"/>
                <w:szCs w:val="22"/>
                <w:lang w:val="ro-RO"/>
              </w:rPr>
              <w:t>2</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Bacău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4</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1.056</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12</w:t>
            </w:r>
          </w:p>
        </w:tc>
        <w:tc>
          <w:tcPr>
            <w:tcW w:w="1265" w:type="dxa"/>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bCs/>
                <w:kern w:val="24"/>
                <w:sz w:val="22"/>
                <w:szCs w:val="22"/>
                <w:lang w:val="ro-RO"/>
              </w:rPr>
              <w:t>8</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Iași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12</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634</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9</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Târgu Mureș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9</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817</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Cs/>
                <w:kern w:val="24"/>
                <w:sz w:val="20"/>
                <w:szCs w:val="20"/>
                <w:lang w:val="ro-RO"/>
              </w:rPr>
              <w:t>11</w:t>
            </w:r>
          </w:p>
        </w:tc>
        <w:tc>
          <w:tcPr>
            <w:tcW w:w="1265" w:type="dxa"/>
            <w:vAlign w:val="bottom"/>
          </w:tcPr>
          <w:p w:rsidR="00B4550A" w:rsidRPr="00E0488D" w:rsidRDefault="00B4550A" w:rsidP="003C7FC8">
            <w:pPr>
              <w:pStyle w:val="NormalWeb"/>
              <w:jc w:val="center"/>
              <w:textAlignment w:val="bottom"/>
              <w:rPr>
                <w:rFonts w:ascii="Arial" w:hAnsi="Arial" w:cs="Arial"/>
                <w:bCs/>
                <w:kern w:val="24"/>
                <w:sz w:val="20"/>
                <w:szCs w:val="20"/>
                <w:lang w:val="ro-RO"/>
              </w:rPr>
            </w:pPr>
            <w:r w:rsidRPr="00E0488D">
              <w:rPr>
                <w:rFonts w:ascii="Arial" w:hAnsi="Arial" w:cs="Arial"/>
                <w:bCs/>
                <w:kern w:val="24"/>
                <w:sz w:val="22"/>
                <w:szCs w:val="22"/>
                <w:lang w:val="ro-RO"/>
              </w:rPr>
              <w:t>2</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Oradea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10</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282</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5</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Brașov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0</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281</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kern w:val="24"/>
                <w:sz w:val="20"/>
                <w:szCs w:val="20"/>
                <w:lang w:val="ro-RO"/>
              </w:rPr>
              <w:t>5</w:t>
            </w:r>
          </w:p>
        </w:tc>
        <w:tc>
          <w:tcPr>
            <w:tcW w:w="1265" w:type="dxa"/>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bCs/>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Constanța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7</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277</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5</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Suceava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6</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277</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5</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Tulcea </w:t>
            </w:r>
          </w:p>
        </w:tc>
        <w:tc>
          <w:tcPr>
            <w:tcW w:w="1474"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227</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color w:val="FF0000"/>
                <w:sz w:val="20"/>
                <w:szCs w:val="20"/>
                <w:lang w:val="ro-RO"/>
              </w:rPr>
            </w:pPr>
            <w:r w:rsidRPr="00E0488D">
              <w:rPr>
                <w:rFonts w:ascii="Arial" w:hAnsi="Arial" w:cs="Arial"/>
                <w:b/>
                <w:bCs/>
                <w:color w:val="FF0000"/>
                <w:kern w:val="24"/>
                <w:sz w:val="20"/>
                <w:szCs w:val="20"/>
                <w:lang w:val="ro-RO"/>
              </w:rPr>
              <w:t>5</w:t>
            </w:r>
          </w:p>
        </w:tc>
        <w:tc>
          <w:tcPr>
            <w:tcW w:w="1265" w:type="dxa"/>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bCs/>
                <w:kern w:val="24"/>
                <w:sz w:val="22"/>
                <w:szCs w:val="22"/>
                <w:lang w:val="ro-RO"/>
              </w:rPr>
              <w:t>1</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Baia Mare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5</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212</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4</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Arad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9</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54</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0</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126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4</w:t>
            </w:r>
          </w:p>
        </w:tc>
        <w:tc>
          <w:tcPr>
            <w:tcW w:w="1265" w:type="dxa"/>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kern w:val="24"/>
                <w:sz w:val="22"/>
                <w:szCs w:val="22"/>
                <w:lang w:val="ro-RO"/>
              </w:rPr>
              <w:t>0</w:t>
            </w:r>
          </w:p>
        </w:tc>
      </w:tr>
      <w:tr w:rsidR="00B4550A" w:rsidRPr="00E0488D" w:rsidTr="003C7FC8">
        <w:trPr>
          <w:trHeight w:val="329"/>
          <w:jc w:val="center"/>
        </w:trPr>
        <w:tc>
          <w:tcPr>
            <w:tcW w:w="1648" w:type="dxa"/>
            <w:vAlign w:val="bottom"/>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Satu Mare </w:t>
            </w:r>
          </w:p>
        </w:tc>
        <w:tc>
          <w:tcPr>
            <w:tcW w:w="1474" w:type="dxa"/>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2</w:t>
            </w:r>
          </w:p>
        </w:tc>
        <w:tc>
          <w:tcPr>
            <w:tcW w:w="1421"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45</w:t>
            </w:r>
          </w:p>
        </w:tc>
        <w:tc>
          <w:tcPr>
            <w:tcW w:w="1179"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0</w:t>
            </w:r>
          </w:p>
        </w:tc>
        <w:tc>
          <w:tcPr>
            <w:tcW w:w="1126"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115" w:type="dxa"/>
            <w:vAlign w:val="bottom"/>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1265" w:type="dxa"/>
            <w:vAlign w:val="bottom"/>
          </w:tcPr>
          <w:p w:rsidR="00B4550A" w:rsidRPr="00E0488D" w:rsidRDefault="00B4550A" w:rsidP="003C7FC8">
            <w:pPr>
              <w:pStyle w:val="NormalWeb"/>
              <w:jc w:val="center"/>
              <w:textAlignment w:val="bottom"/>
              <w:rPr>
                <w:rFonts w:ascii="Arial" w:hAnsi="Arial" w:cs="Arial"/>
                <w:color w:val="FF0000"/>
                <w:sz w:val="20"/>
                <w:szCs w:val="20"/>
                <w:lang w:val="ro-RO"/>
              </w:rPr>
            </w:pPr>
            <w:r w:rsidRPr="00E0488D">
              <w:rPr>
                <w:rFonts w:ascii="Arial" w:hAnsi="Arial" w:cs="Arial"/>
                <w:b/>
                <w:bCs/>
                <w:color w:val="FF0000"/>
                <w:kern w:val="24"/>
                <w:sz w:val="20"/>
                <w:szCs w:val="20"/>
                <w:lang w:val="ro-RO"/>
              </w:rPr>
              <w:t>3</w:t>
            </w:r>
          </w:p>
        </w:tc>
        <w:tc>
          <w:tcPr>
            <w:tcW w:w="1265" w:type="dxa"/>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bCs/>
                <w:kern w:val="24"/>
                <w:sz w:val="22"/>
                <w:szCs w:val="22"/>
                <w:lang w:val="ro-RO"/>
              </w:rPr>
              <w:t>1</w:t>
            </w:r>
          </w:p>
        </w:tc>
      </w:tr>
    </w:tbl>
    <w:p w:rsidR="00B4550A" w:rsidRPr="00E0488D" w:rsidRDefault="00B4550A" w:rsidP="00B4550A">
      <w:pPr>
        <w:ind w:left="851"/>
        <w:rPr>
          <w:b/>
          <w:sz w:val="22"/>
          <w:szCs w:val="22"/>
          <w:lang w:val="ro-RO"/>
        </w:rPr>
      </w:pPr>
      <w:r w:rsidRPr="00E0488D">
        <w:rPr>
          <w:rFonts w:cs="Arial"/>
          <w:lang w:val="ro-RO"/>
        </w:rPr>
        <w:t>¹</w:t>
      </w:r>
      <w:r w:rsidRPr="00E0488D">
        <w:rPr>
          <w:sz w:val="20"/>
          <w:szCs w:val="20"/>
          <w:lang w:val="ro-RO"/>
        </w:rPr>
        <w:t>Aceste cifre nu includ pozițiile de staționare pe platformele cargo</w:t>
      </w:r>
    </w:p>
    <w:p w:rsidR="00B4550A" w:rsidRPr="00E0488D" w:rsidRDefault="00B4550A" w:rsidP="00B4550A">
      <w:pPr>
        <w:ind w:left="851"/>
        <w:rPr>
          <w:b/>
          <w:sz w:val="22"/>
          <w:szCs w:val="22"/>
          <w:lang w:val="ro-RO"/>
        </w:rPr>
      </w:pPr>
    </w:p>
    <w:p w:rsidR="00B4550A" w:rsidRPr="00E0488D" w:rsidRDefault="00B4550A" w:rsidP="00B4550A">
      <w:pPr>
        <w:rPr>
          <w:sz w:val="22"/>
          <w:szCs w:val="22"/>
          <w:lang w:val="ro-RO"/>
        </w:rPr>
      </w:pPr>
    </w:p>
    <w:p w:rsidR="00B4550A" w:rsidRPr="00E0488D" w:rsidRDefault="00B4550A" w:rsidP="002B7E09">
      <w:pPr>
        <w:pStyle w:val="NumberedParas"/>
      </w:pPr>
      <w:r w:rsidRPr="00E0488D">
        <w:t>Tabelul 7.7 prezintă cererea de poziții de staționare pe platforme pentru anul 2025.</w:t>
      </w:r>
    </w:p>
    <w:p w:rsidR="00B4550A" w:rsidRPr="00E0488D" w:rsidRDefault="00B4550A" w:rsidP="00B4550A">
      <w:pPr>
        <w:ind w:left="851"/>
        <w:rPr>
          <w:b/>
          <w:sz w:val="22"/>
          <w:szCs w:val="22"/>
          <w:lang w:val="ro-RO"/>
        </w:rPr>
      </w:pPr>
      <w:r w:rsidRPr="00E0488D">
        <w:rPr>
          <w:b/>
          <w:sz w:val="22"/>
          <w:szCs w:val="22"/>
          <w:lang w:val="ro-RO"/>
        </w:rPr>
        <w:t>Tabelul 7.7: Spațiul necesar pe platforme aeroportuare la orele de vârf în anul 2025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1431"/>
        <w:gridCol w:w="1469"/>
        <w:gridCol w:w="1221"/>
        <w:gridCol w:w="1166"/>
        <w:gridCol w:w="1158"/>
        <w:gridCol w:w="1301"/>
        <w:gridCol w:w="1299"/>
      </w:tblGrid>
      <w:tr w:rsidR="00B4550A" w:rsidRPr="00E0488D" w:rsidTr="003C7FC8">
        <w:trPr>
          <w:trHeight w:val="734"/>
          <w:tblHeader/>
          <w:jc w:val="center"/>
        </w:trPr>
        <w:tc>
          <w:tcPr>
            <w:tcW w:w="696" w:type="pct"/>
            <w:shd w:val="clear" w:color="auto" w:fill="DBE5F1"/>
            <w:vAlign w:val="center"/>
          </w:tcPr>
          <w:p w:rsidR="00B4550A" w:rsidRPr="00E0488D" w:rsidRDefault="00B4550A" w:rsidP="003C7FC8">
            <w:pPr>
              <w:rPr>
                <w:rFonts w:cs="Arial"/>
                <w:b/>
                <w:sz w:val="20"/>
                <w:szCs w:val="20"/>
                <w:lang w:val="ro-RO"/>
              </w:rPr>
            </w:pPr>
            <w:r w:rsidRPr="00E0488D">
              <w:rPr>
                <w:rFonts w:cs="Arial"/>
                <w:b/>
                <w:sz w:val="20"/>
                <w:szCs w:val="20"/>
                <w:lang w:val="ro-RO"/>
              </w:rPr>
              <w:t>Nume aeroport</w:t>
            </w:r>
          </w:p>
        </w:tc>
        <w:tc>
          <w:tcPr>
            <w:tcW w:w="681" w:type="pct"/>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Număr</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curent</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 de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tc>
        <w:tc>
          <w:tcPr>
            <w:tcW w:w="699" w:type="pct"/>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Pasageri ore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de vârf</w:t>
            </w:r>
          </w:p>
        </w:tc>
        <w:tc>
          <w:tcPr>
            <w:tcW w:w="581" w:type="pct"/>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Cod D</w:t>
            </w:r>
          </w:p>
          <w:p w:rsidR="00B4550A" w:rsidRPr="00E0488D" w:rsidRDefault="00B4550A" w:rsidP="003C7FC8">
            <w:pPr>
              <w:ind w:left="-3761" w:firstLine="3761"/>
              <w:jc w:val="center"/>
              <w:rPr>
                <w:rFonts w:cs="Arial"/>
                <w:b/>
                <w:sz w:val="20"/>
                <w:szCs w:val="20"/>
                <w:lang w:val="ro-RO"/>
              </w:rPr>
            </w:pPr>
          </w:p>
        </w:tc>
        <w:tc>
          <w:tcPr>
            <w:tcW w:w="555" w:type="pct"/>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Cod C</w:t>
            </w:r>
          </w:p>
          <w:p w:rsidR="00B4550A" w:rsidRPr="00E0488D" w:rsidRDefault="00B4550A" w:rsidP="003C7FC8">
            <w:pPr>
              <w:ind w:left="-3761" w:firstLine="3761"/>
              <w:jc w:val="center"/>
              <w:rPr>
                <w:rFonts w:cs="Arial"/>
                <w:b/>
                <w:sz w:val="20"/>
                <w:szCs w:val="20"/>
                <w:lang w:val="ro-RO"/>
              </w:rPr>
            </w:pPr>
          </w:p>
        </w:tc>
        <w:tc>
          <w:tcPr>
            <w:tcW w:w="551" w:type="pct"/>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staționare</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ATR</w:t>
            </w:r>
          </w:p>
          <w:p w:rsidR="00B4550A" w:rsidRPr="00E0488D" w:rsidRDefault="00B4550A" w:rsidP="003C7FC8">
            <w:pPr>
              <w:ind w:left="-3761" w:firstLine="3761"/>
              <w:jc w:val="center"/>
              <w:rPr>
                <w:rFonts w:cs="Arial"/>
                <w:b/>
                <w:sz w:val="20"/>
                <w:szCs w:val="20"/>
                <w:lang w:val="ro-RO"/>
              </w:rPr>
            </w:pPr>
          </w:p>
        </w:tc>
        <w:tc>
          <w:tcPr>
            <w:tcW w:w="619" w:type="pct"/>
            <w:shd w:val="clear" w:color="auto" w:fill="DBE5F1"/>
            <w:vAlign w:val="center"/>
          </w:tcPr>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Număr</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total</w:t>
            </w:r>
          </w:p>
          <w:p w:rsidR="00B4550A" w:rsidRPr="00E0488D" w:rsidRDefault="00B4550A" w:rsidP="003C7FC8">
            <w:pPr>
              <w:ind w:left="-3761" w:firstLine="3761"/>
              <w:jc w:val="center"/>
              <w:rPr>
                <w:rFonts w:cs="Arial"/>
                <w:b/>
                <w:sz w:val="20"/>
                <w:szCs w:val="20"/>
                <w:lang w:val="ro-RO"/>
              </w:rPr>
            </w:pPr>
            <w:r w:rsidRPr="00E0488D">
              <w:rPr>
                <w:rFonts w:cs="Arial"/>
                <w:b/>
                <w:sz w:val="20"/>
                <w:szCs w:val="20"/>
                <w:lang w:val="ro-RO"/>
              </w:rPr>
              <w:t>poziții</w:t>
            </w:r>
          </w:p>
        </w:tc>
        <w:tc>
          <w:tcPr>
            <w:tcW w:w="618" w:type="pct"/>
            <w:shd w:val="clear" w:color="auto" w:fill="DBE5F1"/>
          </w:tcPr>
          <w:p w:rsidR="00B4550A" w:rsidRPr="00E0488D" w:rsidRDefault="00B4550A" w:rsidP="003C7FC8">
            <w:pPr>
              <w:ind w:left="-3761" w:firstLine="3761"/>
              <w:jc w:val="center"/>
              <w:rPr>
                <w:rFonts w:cs="Arial"/>
                <w:b/>
                <w:lang w:val="ro-RO"/>
              </w:rPr>
            </w:pPr>
            <w:r w:rsidRPr="00E0488D">
              <w:rPr>
                <w:rFonts w:cs="Arial"/>
                <w:b/>
                <w:lang w:val="ro-RO"/>
              </w:rPr>
              <w:t>Shortfall</w:t>
            </w:r>
          </w:p>
          <w:p w:rsidR="00B4550A" w:rsidRPr="00E0488D" w:rsidRDefault="00B4550A" w:rsidP="003C7FC8">
            <w:pPr>
              <w:ind w:left="-3761" w:firstLine="3761"/>
              <w:jc w:val="center"/>
              <w:rPr>
                <w:rFonts w:cs="Arial"/>
                <w:b/>
                <w:lang w:val="ro-RO"/>
              </w:rPr>
            </w:pPr>
            <w:r w:rsidRPr="00E0488D">
              <w:rPr>
                <w:rFonts w:cs="Arial"/>
                <w:b/>
                <w:lang w:val="ro-RO"/>
              </w:rPr>
              <w:t>Number</w:t>
            </w:r>
          </w:p>
          <w:p w:rsidR="00B4550A" w:rsidRPr="00E0488D" w:rsidRDefault="00B4550A" w:rsidP="003C7FC8">
            <w:pPr>
              <w:ind w:left="-3761" w:firstLine="3761"/>
              <w:jc w:val="center"/>
              <w:rPr>
                <w:rFonts w:cs="Arial"/>
                <w:b/>
                <w:sz w:val="20"/>
                <w:szCs w:val="20"/>
                <w:lang w:val="ro-RO"/>
              </w:rPr>
            </w:pPr>
            <w:r w:rsidRPr="00E0488D">
              <w:rPr>
                <w:rFonts w:cs="Arial"/>
                <w:b/>
                <w:lang w:val="ro-RO"/>
              </w:rPr>
              <w:t>Of Stands</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București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62</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5.340</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18</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9</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Cs/>
                <w:kern w:val="24"/>
                <w:sz w:val="20"/>
                <w:szCs w:val="20"/>
                <w:lang w:val="ro-RO"/>
              </w:rPr>
              <w:t>55</w:t>
            </w:r>
          </w:p>
        </w:tc>
        <w:tc>
          <w:tcPr>
            <w:tcW w:w="618" w:type="pct"/>
            <w:vAlign w:val="bottom"/>
          </w:tcPr>
          <w:p w:rsidR="00B4550A" w:rsidRPr="00E0488D" w:rsidRDefault="00B4550A" w:rsidP="003C7FC8">
            <w:pPr>
              <w:pStyle w:val="NormalWeb"/>
              <w:jc w:val="center"/>
              <w:textAlignment w:val="bottom"/>
              <w:rPr>
                <w:rFonts w:ascii="Arial" w:hAnsi="Arial" w:cs="Arial"/>
                <w:bCs/>
                <w:kern w:val="24"/>
                <w:sz w:val="20"/>
                <w:szCs w:val="20"/>
                <w:lang w:val="ro-RO"/>
              </w:rPr>
            </w:pPr>
            <w:r w:rsidRPr="00E0488D">
              <w:rPr>
                <w:rFonts w:ascii="Arial" w:hAnsi="Arial" w:cs="Arial"/>
                <w:color w:val="000000"/>
                <w:kern w:val="24"/>
                <w:sz w:val="22"/>
                <w:szCs w:val="22"/>
                <w:lang w:val="ro-RO"/>
              </w:rPr>
              <w:t>0¹</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Craiova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12</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2.269</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8</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24</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12</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Timișoara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26</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1.968</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7</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21</w:t>
            </w:r>
          </w:p>
        </w:tc>
        <w:tc>
          <w:tcPr>
            <w:tcW w:w="618" w:type="pct"/>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Sibiu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16</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1.674</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17</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1</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Cluj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14</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1.497</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16</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2</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Bacău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4</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1.307</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15</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11</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Iași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12</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796</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9</w:t>
            </w:r>
          </w:p>
        </w:tc>
        <w:tc>
          <w:tcPr>
            <w:tcW w:w="618" w:type="pct"/>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Târgu Mureș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9</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1.015</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Cs/>
                <w:kern w:val="24"/>
                <w:sz w:val="20"/>
                <w:szCs w:val="20"/>
                <w:lang w:val="ro-RO"/>
              </w:rPr>
              <w:t>14</w:t>
            </w:r>
          </w:p>
        </w:tc>
        <w:tc>
          <w:tcPr>
            <w:tcW w:w="618" w:type="pct"/>
            <w:vAlign w:val="bottom"/>
          </w:tcPr>
          <w:p w:rsidR="00B4550A" w:rsidRPr="00E0488D" w:rsidRDefault="00B4550A" w:rsidP="003C7FC8">
            <w:pPr>
              <w:pStyle w:val="NormalWeb"/>
              <w:jc w:val="center"/>
              <w:textAlignment w:val="bottom"/>
              <w:rPr>
                <w:rFonts w:ascii="Arial" w:hAnsi="Arial" w:cs="Arial"/>
                <w:bCs/>
                <w:kern w:val="24"/>
                <w:sz w:val="20"/>
                <w:szCs w:val="20"/>
                <w:lang w:val="ro-RO"/>
              </w:rPr>
            </w:pPr>
            <w:r w:rsidRPr="00E0488D">
              <w:rPr>
                <w:rFonts w:ascii="Arial" w:hAnsi="Arial" w:cs="Arial"/>
                <w:color w:val="000000"/>
                <w:kern w:val="24"/>
                <w:sz w:val="22"/>
                <w:szCs w:val="22"/>
                <w:lang w:val="ro-RO"/>
              </w:rPr>
              <w:t>5</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Oradea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10</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353</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6</w:t>
            </w:r>
          </w:p>
        </w:tc>
        <w:tc>
          <w:tcPr>
            <w:tcW w:w="618" w:type="pct"/>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Brașov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0</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347</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6</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Constanta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7</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346</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6</w:t>
            </w:r>
          </w:p>
        </w:tc>
        <w:tc>
          <w:tcPr>
            <w:tcW w:w="618" w:type="pct"/>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Suceava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6</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344</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w:t>
            </w:r>
          </w:p>
        </w:tc>
        <w:tc>
          <w:tcPr>
            <w:tcW w:w="618" w:type="pct"/>
            <w:vAlign w:val="bottom"/>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Tulcea </w:t>
            </w:r>
          </w:p>
        </w:tc>
        <w:tc>
          <w:tcPr>
            <w:tcW w:w="6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4</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280</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5</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1</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Baia Mare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5</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266</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5</w:t>
            </w:r>
          </w:p>
        </w:tc>
        <w:tc>
          <w:tcPr>
            <w:tcW w:w="618" w:type="pct"/>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rPr>
                <w:rFonts w:ascii="Arial" w:hAnsi="Arial" w:cs="Arial"/>
                <w:sz w:val="20"/>
                <w:szCs w:val="20"/>
                <w:lang w:val="ro-RO"/>
              </w:rPr>
            </w:pPr>
            <w:r w:rsidRPr="00E0488D">
              <w:rPr>
                <w:rFonts w:ascii="Arial" w:hAnsi="Arial" w:cs="Arial"/>
                <w:color w:val="000000"/>
                <w:kern w:val="24"/>
                <w:sz w:val="20"/>
                <w:szCs w:val="20"/>
                <w:lang w:val="ro-RO"/>
              </w:rPr>
              <w:t xml:space="preserve">Arad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9</w:t>
            </w:r>
          </w:p>
        </w:tc>
        <w:tc>
          <w:tcPr>
            <w:tcW w:w="69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67</w:t>
            </w:r>
          </w:p>
        </w:tc>
        <w:tc>
          <w:tcPr>
            <w:tcW w:w="58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0</w:t>
            </w:r>
          </w:p>
        </w:tc>
        <w:tc>
          <w:tcPr>
            <w:tcW w:w="555"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1"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kern w:val="24"/>
                <w:sz w:val="20"/>
                <w:szCs w:val="20"/>
                <w:lang w:val="ro-RO"/>
              </w:rPr>
              <w:t>4</w:t>
            </w:r>
          </w:p>
        </w:tc>
        <w:tc>
          <w:tcPr>
            <w:tcW w:w="618" w:type="pct"/>
            <w:vAlign w:val="bottom"/>
          </w:tcPr>
          <w:p w:rsidR="00B4550A" w:rsidRPr="00E0488D" w:rsidRDefault="00B4550A" w:rsidP="003C7FC8">
            <w:pPr>
              <w:pStyle w:val="NormalWeb"/>
              <w:jc w:val="center"/>
              <w:textAlignment w:val="bottom"/>
              <w:rPr>
                <w:rFonts w:ascii="Arial" w:hAnsi="Arial" w:cs="Arial"/>
                <w:kern w:val="24"/>
                <w:sz w:val="20"/>
                <w:szCs w:val="20"/>
                <w:lang w:val="ro-RO"/>
              </w:rPr>
            </w:pPr>
            <w:r w:rsidRPr="00E0488D">
              <w:rPr>
                <w:rFonts w:ascii="Arial" w:hAnsi="Arial" w:cs="Arial"/>
                <w:color w:val="000000"/>
                <w:kern w:val="24"/>
                <w:sz w:val="22"/>
                <w:szCs w:val="22"/>
                <w:lang w:val="ro-RO"/>
              </w:rPr>
              <w:t>0</w:t>
            </w:r>
          </w:p>
        </w:tc>
      </w:tr>
      <w:tr w:rsidR="00B4550A" w:rsidRPr="00E0488D" w:rsidTr="003C7FC8">
        <w:trPr>
          <w:trHeight w:val="329"/>
          <w:jc w:val="center"/>
        </w:trPr>
        <w:tc>
          <w:tcPr>
            <w:tcW w:w="696" w:type="pct"/>
            <w:vAlign w:val="center"/>
          </w:tcPr>
          <w:p w:rsidR="00B4550A" w:rsidRPr="00E0488D" w:rsidRDefault="00B4550A" w:rsidP="003C7FC8">
            <w:pPr>
              <w:pStyle w:val="NormalWeb"/>
              <w:spacing w:line="283" w:lineRule="atLeast"/>
              <w:rPr>
                <w:rFonts w:ascii="Arial" w:hAnsi="Arial" w:cs="Arial"/>
                <w:sz w:val="20"/>
                <w:szCs w:val="20"/>
                <w:lang w:val="ro-RO"/>
              </w:rPr>
            </w:pPr>
            <w:r w:rsidRPr="00E0488D">
              <w:rPr>
                <w:rFonts w:ascii="Arial" w:hAnsi="Arial" w:cs="Arial"/>
                <w:color w:val="000000"/>
                <w:kern w:val="24"/>
                <w:sz w:val="20"/>
                <w:szCs w:val="20"/>
                <w:lang w:val="ro-RO"/>
              </w:rPr>
              <w:t xml:space="preserve">Satu Mare </w:t>
            </w:r>
          </w:p>
        </w:tc>
        <w:tc>
          <w:tcPr>
            <w:tcW w:w="681" w:type="pct"/>
            <w:vAlign w:val="center"/>
          </w:tcPr>
          <w:p w:rsidR="00B4550A" w:rsidRPr="00E0488D" w:rsidRDefault="00B4550A" w:rsidP="003C7FC8">
            <w:pPr>
              <w:pStyle w:val="NormalWeb"/>
              <w:jc w:val="center"/>
              <w:textAlignment w:val="bottom"/>
              <w:rPr>
                <w:rFonts w:ascii="Arial" w:hAnsi="Arial" w:cs="Arial"/>
                <w:color w:val="000000"/>
                <w:kern w:val="24"/>
                <w:sz w:val="20"/>
                <w:szCs w:val="20"/>
                <w:lang w:val="ro-RO"/>
              </w:rPr>
            </w:pPr>
            <w:r w:rsidRPr="00E0488D">
              <w:rPr>
                <w:rFonts w:ascii="Arial" w:hAnsi="Arial" w:cs="Arial"/>
                <w:color w:val="000000"/>
                <w:kern w:val="24"/>
                <w:sz w:val="20"/>
                <w:szCs w:val="20"/>
                <w:lang w:val="ro-RO"/>
              </w:rPr>
              <w:t>2</w:t>
            </w:r>
          </w:p>
        </w:tc>
        <w:tc>
          <w:tcPr>
            <w:tcW w:w="699" w:type="pct"/>
            <w:vAlign w:val="center"/>
          </w:tcPr>
          <w:p w:rsidR="00B4550A" w:rsidRPr="00E0488D" w:rsidRDefault="00B4550A" w:rsidP="003C7FC8">
            <w:pPr>
              <w:pStyle w:val="NormalWeb"/>
              <w:spacing w:line="283" w:lineRule="atLeast"/>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57</w:t>
            </w:r>
          </w:p>
        </w:tc>
        <w:tc>
          <w:tcPr>
            <w:tcW w:w="581" w:type="pct"/>
            <w:vAlign w:val="center"/>
          </w:tcPr>
          <w:p w:rsidR="00B4550A" w:rsidRPr="00E0488D" w:rsidRDefault="00B4550A" w:rsidP="003C7FC8">
            <w:pPr>
              <w:pStyle w:val="NormalWeb"/>
              <w:spacing w:line="283" w:lineRule="atLeast"/>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0</w:t>
            </w:r>
          </w:p>
        </w:tc>
        <w:tc>
          <w:tcPr>
            <w:tcW w:w="555" w:type="pct"/>
            <w:vAlign w:val="center"/>
          </w:tcPr>
          <w:p w:rsidR="00B4550A" w:rsidRPr="00E0488D" w:rsidRDefault="00B4550A" w:rsidP="003C7FC8">
            <w:pPr>
              <w:pStyle w:val="NormalWeb"/>
              <w:spacing w:line="283" w:lineRule="atLeast"/>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1</w:t>
            </w:r>
          </w:p>
        </w:tc>
        <w:tc>
          <w:tcPr>
            <w:tcW w:w="551" w:type="pct"/>
            <w:vAlign w:val="center"/>
          </w:tcPr>
          <w:p w:rsidR="00B4550A" w:rsidRPr="00E0488D" w:rsidRDefault="00B4550A" w:rsidP="003C7FC8">
            <w:pPr>
              <w:pStyle w:val="NormalWeb"/>
              <w:spacing w:line="283" w:lineRule="atLeast"/>
              <w:jc w:val="center"/>
              <w:textAlignment w:val="bottom"/>
              <w:rPr>
                <w:rFonts w:ascii="Arial" w:hAnsi="Arial" w:cs="Arial"/>
                <w:sz w:val="20"/>
                <w:szCs w:val="20"/>
                <w:lang w:val="ro-RO"/>
              </w:rPr>
            </w:pPr>
            <w:r w:rsidRPr="00E0488D">
              <w:rPr>
                <w:rFonts w:ascii="Arial" w:hAnsi="Arial" w:cs="Arial"/>
                <w:color w:val="000000"/>
                <w:kern w:val="24"/>
                <w:sz w:val="20"/>
                <w:szCs w:val="20"/>
                <w:lang w:val="ro-RO"/>
              </w:rPr>
              <w:t>2</w:t>
            </w:r>
          </w:p>
        </w:tc>
        <w:tc>
          <w:tcPr>
            <w:tcW w:w="619" w:type="pct"/>
            <w:vAlign w:val="center"/>
          </w:tcPr>
          <w:p w:rsidR="00B4550A" w:rsidRPr="00E0488D" w:rsidRDefault="00B4550A" w:rsidP="003C7FC8">
            <w:pPr>
              <w:pStyle w:val="NormalWeb"/>
              <w:jc w:val="center"/>
              <w:textAlignment w:val="bottom"/>
              <w:rPr>
                <w:rFonts w:ascii="Arial" w:hAnsi="Arial" w:cs="Arial"/>
                <w:sz w:val="20"/>
                <w:szCs w:val="20"/>
                <w:lang w:val="ro-RO"/>
              </w:rPr>
            </w:pPr>
            <w:r w:rsidRPr="00E0488D">
              <w:rPr>
                <w:rFonts w:ascii="Arial" w:hAnsi="Arial" w:cs="Arial"/>
                <w:b/>
                <w:bCs/>
                <w:color w:val="FF0000"/>
                <w:kern w:val="24"/>
                <w:sz w:val="20"/>
                <w:szCs w:val="20"/>
                <w:lang w:val="ro-RO"/>
              </w:rPr>
              <w:t>4</w:t>
            </w:r>
          </w:p>
        </w:tc>
        <w:tc>
          <w:tcPr>
            <w:tcW w:w="618" w:type="pct"/>
            <w:vAlign w:val="bottom"/>
          </w:tcPr>
          <w:p w:rsidR="00B4550A" w:rsidRPr="00E0488D" w:rsidRDefault="00B4550A" w:rsidP="003C7FC8">
            <w:pPr>
              <w:pStyle w:val="NormalWeb"/>
              <w:jc w:val="center"/>
              <w:textAlignment w:val="bottom"/>
              <w:rPr>
                <w:rFonts w:ascii="Arial" w:hAnsi="Arial" w:cs="Arial"/>
                <w:b/>
                <w:bCs/>
                <w:color w:val="FF0000"/>
                <w:kern w:val="24"/>
                <w:sz w:val="20"/>
                <w:szCs w:val="20"/>
                <w:lang w:val="ro-RO"/>
              </w:rPr>
            </w:pPr>
            <w:r w:rsidRPr="00E0488D">
              <w:rPr>
                <w:rFonts w:ascii="Arial" w:hAnsi="Arial" w:cs="Arial"/>
                <w:color w:val="000000"/>
                <w:kern w:val="24"/>
                <w:sz w:val="22"/>
                <w:szCs w:val="22"/>
                <w:lang w:val="ro-RO"/>
              </w:rPr>
              <w:t>2</w:t>
            </w:r>
          </w:p>
        </w:tc>
      </w:tr>
    </w:tbl>
    <w:p w:rsidR="00B4550A" w:rsidRPr="00E0488D" w:rsidRDefault="00B4550A" w:rsidP="00B4550A">
      <w:pPr>
        <w:ind w:left="851"/>
        <w:rPr>
          <w:b/>
          <w:sz w:val="22"/>
          <w:szCs w:val="22"/>
          <w:lang w:val="ro-RO"/>
        </w:rPr>
      </w:pPr>
      <w:r w:rsidRPr="00E0488D">
        <w:rPr>
          <w:rFonts w:cs="Arial"/>
          <w:lang w:val="ro-RO"/>
        </w:rPr>
        <w:t>¹</w:t>
      </w:r>
      <w:r w:rsidRPr="00E0488D">
        <w:rPr>
          <w:sz w:val="20"/>
          <w:szCs w:val="20"/>
          <w:lang w:val="ro-RO"/>
        </w:rPr>
        <w:t>Aceste cifre nu includ pozițiile de staționare pe platformele cargo</w:t>
      </w:r>
    </w:p>
    <w:p w:rsidR="00B4550A" w:rsidRPr="00E0488D" w:rsidRDefault="00B4550A" w:rsidP="002B7E09">
      <w:pPr>
        <w:pStyle w:val="NumberedParas"/>
      </w:pPr>
      <w:r w:rsidRPr="00E0488D">
        <w:t xml:space="preserve">Din Tabelul  7.7 reiese clar faptul că următoarele aeroporturi vor necesita extinderea platformelor până în anul 2025: Craiova. Cluj-Napoca, Bacău, Oradea, Tulcea și Satu Mare.  </w:t>
      </w:r>
    </w:p>
    <w:p w:rsidR="00B4550A" w:rsidRPr="00E0488D" w:rsidRDefault="00B4550A" w:rsidP="002B7E09">
      <w:pPr>
        <w:pStyle w:val="NumberedParas"/>
      </w:pPr>
      <w:r w:rsidRPr="00E0488D">
        <w:t>Tabelul 7.8 prezintă sistemele de asistența navigației, sisteme de apropiere, sisteme de prevenire și stingere a incendiilor (IFFR) din diverse aeroporturi.</w:t>
      </w:r>
    </w:p>
    <w:p w:rsidR="00B4550A" w:rsidRPr="00E0488D" w:rsidRDefault="00B4550A" w:rsidP="00B4550A">
      <w:pPr>
        <w:ind w:left="851"/>
        <w:rPr>
          <w:b/>
          <w:sz w:val="22"/>
          <w:szCs w:val="22"/>
          <w:lang w:val="ro-RO"/>
        </w:rPr>
      </w:pPr>
      <w:r w:rsidRPr="00E0488D">
        <w:rPr>
          <w:b/>
          <w:sz w:val="22"/>
          <w:szCs w:val="22"/>
          <w:lang w:val="ro-RO"/>
        </w:rPr>
        <w:t xml:space="preserve">Tabelul  7.8 – Caracteristici tehnice ale aerodromurilor din România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5"/>
        <w:gridCol w:w="1757"/>
        <w:gridCol w:w="3476"/>
        <w:gridCol w:w="1883"/>
        <w:gridCol w:w="1446"/>
      </w:tblGrid>
      <w:tr w:rsidR="00B4550A" w:rsidRPr="00E0488D" w:rsidTr="003C7FC8">
        <w:trPr>
          <w:trHeight w:val="734"/>
          <w:tblHeader/>
        </w:trPr>
        <w:tc>
          <w:tcPr>
            <w:tcW w:w="926" w:type="pct"/>
            <w:shd w:val="clear" w:color="auto" w:fill="B8CCE4" w:themeFill="accent1" w:themeFillTint="66"/>
            <w:vAlign w:val="center"/>
          </w:tcPr>
          <w:p w:rsidR="00B4550A" w:rsidRPr="00E0488D" w:rsidRDefault="00B4550A" w:rsidP="003C7FC8">
            <w:pPr>
              <w:rPr>
                <w:rFonts w:cs="Arial"/>
                <w:b/>
                <w:sz w:val="22"/>
                <w:szCs w:val="22"/>
                <w:lang w:val="ro-RO"/>
              </w:rPr>
            </w:pPr>
            <w:r w:rsidRPr="00E0488D">
              <w:rPr>
                <w:rFonts w:cs="Arial"/>
                <w:b/>
                <w:sz w:val="22"/>
                <w:szCs w:val="22"/>
                <w:lang w:val="ro-RO"/>
              </w:rPr>
              <w:t>Nume aerodrom</w:t>
            </w:r>
          </w:p>
        </w:tc>
        <w:tc>
          <w:tcPr>
            <w:tcW w:w="836"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PCN Maxim</w:t>
            </w:r>
          </w:p>
        </w:tc>
        <w:tc>
          <w:tcPr>
            <w:tcW w:w="1654"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Sisteme asistență navigație</w:t>
            </w:r>
          </w:p>
        </w:tc>
        <w:tc>
          <w:tcPr>
            <w:tcW w:w="896"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Sistem luminos de apropiere</w:t>
            </w:r>
          </w:p>
        </w:tc>
        <w:tc>
          <w:tcPr>
            <w:tcW w:w="689" w:type="pct"/>
            <w:shd w:val="clear" w:color="auto" w:fill="B8CCE4" w:themeFill="accent1" w:themeFillTint="66"/>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 xml:space="preserve">ARFF   </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Henri Coandă București</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78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 DME, ILS Cat. III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 ALSF-II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9</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Timișoara</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42 R/B/W/T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 DME, ILS Cat. III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 ALSF-II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Cluj</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114 R/B/W/T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DVOR/DME, ILS Cat. 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w:t>
            </w:r>
          </w:p>
        </w:tc>
      </w:tr>
      <w:tr w:rsidR="00B4550A" w:rsidRPr="00E0488D" w:rsidTr="003C7FC8">
        <w:trPr>
          <w:trHeight w:val="329"/>
        </w:trPr>
        <w:tc>
          <w:tcPr>
            <w:tcW w:w="926" w:type="pct"/>
            <w:vAlign w:val="center"/>
          </w:tcPr>
          <w:p w:rsidR="00B4550A" w:rsidRPr="00E0488D" w:rsidRDefault="00B4550A" w:rsidP="003C7FC8">
            <w:pPr>
              <w:rPr>
                <w:rFonts w:cs="Arial"/>
                <w:sz w:val="22"/>
                <w:szCs w:val="22"/>
                <w:lang w:val="ro-RO"/>
              </w:rPr>
            </w:pPr>
            <w:r w:rsidRPr="00E0488D">
              <w:rPr>
                <w:rFonts w:cs="Arial"/>
                <w:sz w:val="22"/>
                <w:szCs w:val="22"/>
                <w:lang w:val="ro-RO"/>
              </w:rPr>
              <w:t>Iași</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99 F/D/W/T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 DME,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 (6)</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Craiova</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29 R/A/W/T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DVOR/DME, ILS Cat. 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Bacău</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19 R/C/W/T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DVOR/DME, NDB</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Constanta</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62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VOR/DME, NDB,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ALS  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 (8)</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Târgu Mureș</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45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 DME,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Sibiu</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56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DVOR/DME, NDB,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ALS 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 (8)</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Oradea</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55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 DME,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Brașov</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Nu este deschis</w:t>
            </w:r>
          </w:p>
        </w:tc>
        <w:tc>
          <w:tcPr>
            <w:tcW w:w="1654" w:type="pct"/>
            <w:vAlign w:val="center"/>
          </w:tcPr>
          <w:p w:rsidR="00B4550A" w:rsidRPr="00E0488D" w:rsidRDefault="00B4550A" w:rsidP="003C7FC8">
            <w:pPr>
              <w:rPr>
                <w:rFonts w:cs="Arial"/>
                <w:sz w:val="22"/>
                <w:szCs w:val="22"/>
                <w:lang w:val="ro-RO"/>
              </w:rPr>
            </w:pPr>
          </w:p>
        </w:tc>
        <w:tc>
          <w:tcPr>
            <w:tcW w:w="896" w:type="pct"/>
            <w:vAlign w:val="center"/>
          </w:tcPr>
          <w:p w:rsidR="00B4550A" w:rsidRPr="00E0488D" w:rsidRDefault="00B4550A" w:rsidP="003C7FC8">
            <w:pPr>
              <w:jc w:val="center"/>
              <w:rPr>
                <w:rFonts w:cs="Arial"/>
                <w:sz w:val="22"/>
                <w:szCs w:val="22"/>
                <w:lang w:val="ro-RO"/>
              </w:rPr>
            </w:pPr>
          </w:p>
        </w:tc>
        <w:tc>
          <w:tcPr>
            <w:tcW w:w="689" w:type="pct"/>
            <w:vAlign w:val="center"/>
          </w:tcPr>
          <w:p w:rsidR="00B4550A" w:rsidRPr="00E0488D" w:rsidRDefault="00B4550A" w:rsidP="003C7FC8">
            <w:pPr>
              <w:jc w:val="center"/>
              <w:rPr>
                <w:rFonts w:cs="Arial"/>
                <w:sz w:val="22"/>
                <w:szCs w:val="22"/>
                <w:lang w:val="ro-RO"/>
              </w:rPr>
            </w:pP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Suceava</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65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DVOR/DME</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Arad</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41 R/C/W/T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VOR, NDB</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w:t>
            </w:r>
          </w:p>
        </w:tc>
      </w:tr>
      <w:tr w:rsidR="00B4550A" w:rsidRPr="00E0488D" w:rsidTr="003C7FC8">
        <w:trPr>
          <w:trHeight w:val="329"/>
        </w:trPr>
        <w:tc>
          <w:tcPr>
            <w:tcW w:w="926" w:type="pct"/>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Satu Mare</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61 R/C/W/T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DVOR/DME,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 (7)</w:t>
            </w:r>
          </w:p>
        </w:tc>
      </w:tr>
      <w:tr w:rsidR="00B4550A" w:rsidRPr="00E0488D" w:rsidTr="003C7FC8">
        <w:trPr>
          <w:trHeight w:val="329"/>
        </w:trPr>
        <w:tc>
          <w:tcPr>
            <w:tcW w:w="926" w:type="pct"/>
            <w:vAlign w:val="center"/>
          </w:tcPr>
          <w:p w:rsidR="00B4550A" w:rsidRPr="00E0488D" w:rsidRDefault="00B4550A" w:rsidP="003C7FC8">
            <w:pPr>
              <w:rPr>
                <w:rFonts w:cs="Arial"/>
                <w:sz w:val="22"/>
                <w:szCs w:val="22"/>
                <w:lang w:val="ro-RO"/>
              </w:rPr>
            </w:pPr>
            <w:r w:rsidRPr="00E0488D">
              <w:rPr>
                <w:rFonts w:cs="Arial"/>
                <w:sz w:val="22"/>
                <w:szCs w:val="22"/>
                <w:lang w:val="ro-RO"/>
              </w:rPr>
              <w:t>Baia Mare</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22 R/D/W/T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 DME, ILS Cat. II</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Cat. II</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 (6)</w:t>
            </w:r>
          </w:p>
        </w:tc>
      </w:tr>
      <w:tr w:rsidR="00B4550A" w:rsidRPr="00E0488D" w:rsidTr="003C7FC8">
        <w:trPr>
          <w:trHeight w:val="329"/>
        </w:trPr>
        <w:tc>
          <w:tcPr>
            <w:tcW w:w="926" w:type="pct"/>
            <w:vAlign w:val="center"/>
          </w:tcPr>
          <w:p w:rsidR="00B4550A" w:rsidRPr="00E0488D" w:rsidRDefault="00B4550A" w:rsidP="003C7FC8">
            <w:pPr>
              <w:rPr>
                <w:rFonts w:cs="Arial"/>
                <w:sz w:val="22"/>
                <w:szCs w:val="22"/>
                <w:lang w:val="ro-RO"/>
              </w:rPr>
            </w:pPr>
            <w:r w:rsidRPr="00E0488D">
              <w:rPr>
                <w:rFonts w:cs="Arial"/>
                <w:sz w:val="22"/>
                <w:szCs w:val="22"/>
                <w:lang w:val="ro-RO"/>
              </w:rPr>
              <w:t>Tulcea</w:t>
            </w:r>
          </w:p>
        </w:tc>
        <w:tc>
          <w:tcPr>
            <w:tcW w:w="83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36 R/C/W/T</w:t>
            </w:r>
          </w:p>
        </w:tc>
        <w:tc>
          <w:tcPr>
            <w:tcW w:w="1654"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NDB(LO)</w:t>
            </w:r>
          </w:p>
        </w:tc>
        <w:tc>
          <w:tcPr>
            <w:tcW w:w="89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ALS-II, SALS</w:t>
            </w:r>
          </w:p>
        </w:tc>
        <w:tc>
          <w:tcPr>
            <w:tcW w:w="68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 (6)</w:t>
            </w:r>
          </w:p>
        </w:tc>
      </w:tr>
    </w:tbl>
    <w:p w:rsidR="00B4550A" w:rsidRPr="00E0488D" w:rsidRDefault="00B4550A" w:rsidP="00B4550A">
      <w:pPr>
        <w:rPr>
          <w:sz w:val="16"/>
          <w:szCs w:val="16"/>
          <w:lang w:val="ro-RO"/>
        </w:rPr>
      </w:pPr>
    </w:p>
    <w:p w:rsidR="00B4550A" w:rsidRPr="00E0488D" w:rsidRDefault="00B4550A" w:rsidP="00B4550A">
      <w:pPr>
        <w:ind w:left="851"/>
        <w:rPr>
          <w:sz w:val="16"/>
          <w:szCs w:val="16"/>
          <w:lang w:val="ro-RO"/>
        </w:rPr>
      </w:pPr>
      <w:r w:rsidRPr="00E0488D">
        <w:rPr>
          <w:sz w:val="16"/>
          <w:szCs w:val="16"/>
          <w:lang w:val="ro-RO"/>
        </w:rPr>
        <w:t xml:space="preserve">DVOR/DME – Doppler VHF Omni-directional Range /Echipament Doppler pentru măsurarea distanței </w:t>
      </w:r>
    </w:p>
    <w:p w:rsidR="00B4550A" w:rsidRPr="00E0488D" w:rsidRDefault="00B4550A" w:rsidP="00B4550A">
      <w:pPr>
        <w:ind w:left="851"/>
        <w:rPr>
          <w:sz w:val="16"/>
          <w:szCs w:val="16"/>
          <w:lang w:val="ro-RO"/>
        </w:rPr>
      </w:pPr>
      <w:r w:rsidRPr="00E0488D">
        <w:rPr>
          <w:sz w:val="16"/>
          <w:szCs w:val="16"/>
          <w:lang w:val="ro-RO"/>
        </w:rPr>
        <w:t xml:space="preserve">ILS – Instrument Landing System / Sistem de aterizare instrumentală </w:t>
      </w:r>
    </w:p>
    <w:p w:rsidR="00B4550A" w:rsidRPr="00E0488D" w:rsidRDefault="00B4550A" w:rsidP="00B4550A">
      <w:pPr>
        <w:ind w:left="851"/>
        <w:rPr>
          <w:sz w:val="16"/>
          <w:szCs w:val="16"/>
          <w:lang w:val="ro-RO"/>
        </w:rPr>
      </w:pPr>
      <w:r w:rsidRPr="00E0488D">
        <w:rPr>
          <w:sz w:val="16"/>
          <w:szCs w:val="16"/>
          <w:lang w:val="ro-RO"/>
        </w:rPr>
        <w:t>NDB – Non-directional Beacon / Radiofar nedirectional</w:t>
      </w:r>
    </w:p>
    <w:p w:rsidR="00B4550A" w:rsidRPr="00E0488D" w:rsidRDefault="00B4550A" w:rsidP="00B4550A">
      <w:pPr>
        <w:ind w:left="851"/>
        <w:rPr>
          <w:sz w:val="16"/>
          <w:szCs w:val="16"/>
          <w:lang w:val="ro-RO"/>
        </w:rPr>
      </w:pPr>
      <w:r w:rsidRPr="00E0488D">
        <w:rPr>
          <w:sz w:val="16"/>
          <w:szCs w:val="16"/>
          <w:lang w:val="ro-RO"/>
        </w:rPr>
        <w:t>ALSF – Approach Lighting System with Sequenced Flashing Lights / sistem luminos de apropiere cu lumini intermitente secvențiale</w:t>
      </w:r>
    </w:p>
    <w:p w:rsidR="00B4550A" w:rsidRPr="00E0488D" w:rsidRDefault="00B4550A" w:rsidP="00B4550A">
      <w:pPr>
        <w:ind w:left="851"/>
        <w:rPr>
          <w:lang w:val="ro-RO"/>
        </w:rPr>
      </w:pPr>
      <w:r w:rsidRPr="00E0488D">
        <w:rPr>
          <w:sz w:val="16"/>
          <w:szCs w:val="16"/>
          <w:lang w:val="ro-RO"/>
        </w:rPr>
        <w:t>ALS – Approach Lighting System/ sistem luminos de apropiere</w:t>
      </w:r>
      <w:r w:rsidRPr="00E0488D">
        <w:rPr>
          <w:sz w:val="16"/>
          <w:szCs w:val="16"/>
          <w:lang w:val="ro-RO"/>
        </w:rPr>
        <w:tab/>
      </w:r>
      <w:r w:rsidRPr="00E0488D">
        <w:rPr>
          <w:sz w:val="16"/>
          <w:szCs w:val="16"/>
          <w:lang w:val="ro-RO"/>
        </w:rPr>
        <w:tab/>
      </w:r>
    </w:p>
    <w:p w:rsidR="00B4550A" w:rsidRPr="00E0488D" w:rsidRDefault="00B4550A" w:rsidP="00B4550A">
      <w:pPr>
        <w:rPr>
          <w:lang w:val="ro-RO"/>
        </w:rPr>
      </w:pPr>
    </w:p>
    <w:p w:rsidR="00B4550A" w:rsidRPr="00E0488D" w:rsidRDefault="00B4550A" w:rsidP="002B7E09">
      <w:pPr>
        <w:pStyle w:val="NumberedParas"/>
      </w:pPr>
      <w:r w:rsidRPr="00E0488D">
        <w:t>Figura 7.5 prezintă pe scurt situația restricțiilor înregistrate în cazul pistelor de decolare/aterizare. Problemele țin în principal de capacitatea portantă a acestora, 8 din 14 fiind incluse în cea mai joasă categorie în termenii rezistenței materialului de sub suprafața de mișcare. Aceasta înseamnă că ar fi posibil ca o aeronavă de tip A310 (aeronavă Cod 4D) să opereze în mai multe aeroporturi dacă s-ar impune o serie de restricții (spre exemplu reducerea încărcăturii sau a greutății combustibilului).</w:t>
      </w:r>
    </w:p>
    <w:p w:rsidR="00B4550A" w:rsidRPr="00E0488D" w:rsidRDefault="00B4550A" w:rsidP="00B4550A">
      <w:pPr>
        <w:rPr>
          <w:b/>
          <w:lang w:val="ro-RO"/>
        </w:rPr>
      </w:pPr>
      <w:r w:rsidRPr="00E0488D">
        <w:rPr>
          <w:b/>
          <w:noProof/>
          <w:lang w:val="ro-RO" w:eastAsia="ro-RO"/>
        </w:rPr>
        <w:drawing>
          <wp:inline distT="0" distB="0" distL="0" distR="0">
            <wp:extent cx="5961904" cy="4209493"/>
            <wp:effectExtent l="19050" t="0" r="746" b="0"/>
            <wp:docPr id="689" name="Picture 3" descr="C:\Users\elsj\Documents\Romania\Maps\8 May 2014\Romanian Airports restricted-unrestri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sj\Documents\Romania\Maps\8 May 2014\Romanian Airports restricted-unrestricted.jpg"/>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5960776" cy="4208697"/>
                    </a:xfrm>
                    <a:prstGeom prst="rect">
                      <a:avLst/>
                    </a:prstGeom>
                    <a:noFill/>
                    <a:ln w="9525">
                      <a:noFill/>
                      <a:miter lim="800000"/>
                      <a:headEnd/>
                      <a:tailEnd/>
                    </a:ln>
                  </pic:spPr>
                </pic:pic>
              </a:graphicData>
            </a:graphic>
          </wp:inline>
        </w:drawing>
      </w:r>
    </w:p>
    <w:p w:rsidR="00B4550A" w:rsidRPr="00E0488D" w:rsidRDefault="00B4550A" w:rsidP="002B7E09">
      <w:pPr>
        <w:pStyle w:val="NumberedParas"/>
        <w:numPr>
          <w:ilvl w:val="0"/>
          <w:numId w:val="0"/>
        </w:numPr>
        <w:ind w:left="851"/>
      </w:pPr>
      <w:r w:rsidRPr="00E0488D">
        <w:t>Figura 7.5: Aeroporturi cu restricții aferente pistei</w:t>
      </w:r>
    </w:p>
    <w:p w:rsidR="00B4550A" w:rsidRPr="00E0488D" w:rsidRDefault="00B4550A" w:rsidP="002B7E09">
      <w:pPr>
        <w:pStyle w:val="NumberedParas"/>
      </w:pPr>
      <w:r w:rsidRPr="00E0488D">
        <w:t>Tabelul 7.10 prezintă dimensiunile detaliate ale pistelor cu cea mai mare lungime din fiecare aeroport (lățime și lungime) și codul de referință ICAO. Codul de referință ICAO se calculează prin determinarea lungimii pistei (din care rezultă un număr) alături de anvergura avionului și lățimea totală a trenului principal de aterizare (din care rezultă o literă). Tabelul 7.11 detaliază caracteristicile tehnice luate în considerare pentru acest calcul..</w:t>
      </w:r>
    </w:p>
    <w:p w:rsidR="00B4550A" w:rsidRPr="00E0488D" w:rsidRDefault="00B4550A" w:rsidP="00B4550A">
      <w:pPr>
        <w:ind w:left="851"/>
        <w:rPr>
          <w:b/>
          <w:sz w:val="22"/>
          <w:szCs w:val="22"/>
          <w:lang w:val="ro-RO"/>
        </w:rPr>
      </w:pPr>
      <w:r w:rsidRPr="00E0488D">
        <w:rPr>
          <w:b/>
          <w:sz w:val="22"/>
          <w:szCs w:val="22"/>
          <w:lang w:val="ro-RO"/>
        </w:rPr>
        <w:t>Tabelul 7.10 – Caracteristicile pistelor aeroporturilor din România și codurile de referință ICAO</w:t>
      </w:r>
    </w:p>
    <w:tbl>
      <w:tblPr>
        <w:tblW w:w="9497"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3260"/>
        <w:gridCol w:w="3544"/>
      </w:tblGrid>
      <w:tr w:rsidR="00B4550A" w:rsidRPr="00E0488D" w:rsidTr="003C7FC8">
        <w:trPr>
          <w:trHeight w:val="734"/>
          <w:tblHeader/>
        </w:trPr>
        <w:tc>
          <w:tcPr>
            <w:tcW w:w="2693" w:type="dxa"/>
            <w:shd w:val="clear" w:color="auto" w:fill="DBE5F1"/>
            <w:vAlign w:val="center"/>
          </w:tcPr>
          <w:p w:rsidR="00B4550A" w:rsidRPr="00E0488D" w:rsidRDefault="00B4550A" w:rsidP="003C7FC8">
            <w:pPr>
              <w:rPr>
                <w:rFonts w:cs="Arial"/>
                <w:b/>
                <w:sz w:val="22"/>
                <w:szCs w:val="22"/>
                <w:lang w:val="ro-RO"/>
              </w:rPr>
            </w:pPr>
            <w:r w:rsidRPr="00E0488D">
              <w:rPr>
                <w:rFonts w:cs="Arial"/>
                <w:b/>
                <w:sz w:val="22"/>
                <w:szCs w:val="22"/>
                <w:lang w:val="ro-RO"/>
              </w:rPr>
              <w:t>Nume aeroport</w:t>
            </w:r>
          </w:p>
        </w:tc>
        <w:tc>
          <w:tcPr>
            <w:tcW w:w="3260" w:type="dxa"/>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Cea mai lungă pistă (lungime x lățime) În anul metri</w:t>
            </w:r>
          </w:p>
        </w:tc>
        <w:tc>
          <w:tcPr>
            <w:tcW w:w="3544" w:type="dxa"/>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 xml:space="preserve">Cod de referință ICAO </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Henri Coandă, București</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3.500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4E</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Timișoara</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3.500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Cluj</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2.100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rPr>
        <w:tc>
          <w:tcPr>
            <w:tcW w:w="2693" w:type="dxa"/>
            <w:vAlign w:val="center"/>
          </w:tcPr>
          <w:p w:rsidR="00B4550A" w:rsidRPr="00E0488D" w:rsidRDefault="00B4550A" w:rsidP="003C7FC8">
            <w:pPr>
              <w:rPr>
                <w:rFonts w:cs="Arial"/>
                <w:sz w:val="22"/>
                <w:szCs w:val="22"/>
                <w:lang w:val="ro-RO"/>
              </w:rPr>
            </w:pPr>
            <w:r w:rsidRPr="00E0488D">
              <w:rPr>
                <w:rFonts w:cs="Arial"/>
                <w:sz w:val="22"/>
                <w:szCs w:val="22"/>
                <w:lang w:val="ro-RO"/>
              </w:rPr>
              <w:t>Iași</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Craiova</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2.500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Bacău</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2.500 x 80</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Constanța</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3.500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Târgu Mureș</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2.000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Sibiu</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2.630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Oradea</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2.100 x 30</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Brasov</w:t>
            </w:r>
          </w:p>
        </w:tc>
        <w:tc>
          <w:tcPr>
            <w:tcW w:w="3260" w:type="dxa"/>
            <w:vAlign w:val="center"/>
          </w:tcPr>
          <w:p w:rsidR="00B4550A" w:rsidRPr="00E0488D" w:rsidRDefault="00B4550A" w:rsidP="003C7FC8">
            <w:pPr>
              <w:jc w:val="center"/>
              <w:rPr>
                <w:rFonts w:cs="Arial"/>
                <w:sz w:val="22"/>
                <w:szCs w:val="22"/>
                <w:lang w:val="ro-RO"/>
              </w:rPr>
            </w:pPr>
          </w:p>
        </w:tc>
        <w:tc>
          <w:tcPr>
            <w:tcW w:w="3544" w:type="dxa"/>
            <w:vAlign w:val="center"/>
          </w:tcPr>
          <w:p w:rsidR="00B4550A" w:rsidRPr="00E0488D" w:rsidRDefault="00B4550A" w:rsidP="003C7FC8">
            <w:pPr>
              <w:rPr>
                <w:rFonts w:cs="Arial"/>
                <w:sz w:val="22"/>
                <w:szCs w:val="22"/>
                <w:lang w:val="ro-RO"/>
              </w:rPr>
            </w:pP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Suceava</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2.460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Arad</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2.000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rPr>
        <w:tc>
          <w:tcPr>
            <w:tcW w:w="2693" w:type="dxa"/>
            <w:vAlign w:val="center"/>
          </w:tcPr>
          <w:p w:rsidR="00B4550A" w:rsidRPr="00E0488D" w:rsidRDefault="00B4550A" w:rsidP="003C7FC8">
            <w:pPr>
              <w:rPr>
                <w:rFonts w:cs="Arial"/>
                <w:color w:val="000000"/>
                <w:sz w:val="22"/>
                <w:szCs w:val="22"/>
                <w:lang w:val="ro-RO"/>
              </w:rPr>
            </w:pPr>
            <w:r w:rsidRPr="00E0488D">
              <w:rPr>
                <w:rFonts w:cs="Arial"/>
                <w:sz w:val="22"/>
                <w:szCs w:val="22"/>
                <w:lang w:val="ro-RO"/>
              </w:rPr>
              <w:t>Satu Mare</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2.500 x 45</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rPr>
        <w:tc>
          <w:tcPr>
            <w:tcW w:w="2693" w:type="dxa"/>
            <w:vAlign w:val="center"/>
          </w:tcPr>
          <w:p w:rsidR="00B4550A" w:rsidRPr="00E0488D" w:rsidRDefault="00B4550A" w:rsidP="003C7FC8">
            <w:pPr>
              <w:rPr>
                <w:rFonts w:cs="Arial"/>
                <w:sz w:val="22"/>
                <w:szCs w:val="22"/>
                <w:lang w:val="ro-RO"/>
              </w:rPr>
            </w:pPr>
            <w:r w:rsidRPr="00E0488D">
              <w:rPr>
                <w:rFonts w:cs="Arial"/>
                <w:sz w:val="22"/>
                <w:szCs w:val="22"/>
                <w:lang w:val="ro-RO"/>
              </w:rPr>
              <w:t>Baia Mare</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1.790 x 30</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3C</w:t>
            </w:r>
          </w:p>
        </w:tc>
      </w:tr>
      <w:tr w:rsidR="00B4550A" w:rsidRPr="00E0488D" w:rsidTr="003C7FC8">
        <w:trPr>
          <w:trHeight w:val="329"/>
        </w:trPr>
        <w:tc>
          <w:tcPr>
            <w:tcW w:w="2693" w:type="dxa"/>
            <w:vAlign w:val="center"/>
          </w:tcPr>
          <w:p w:rsidR="00B4550A" w:rsidRPr="00E0488D" w:rsidRDefault="00B4550A" w:rsidP="003C7FC8">
            <w:pPr>
              <w:rPr>
                <w:rFonts w:cs="Arial"/>
                <w:sz w:val="22"/>
                <w:szCs w:val="22"/>
                <w:lang w:val="ro-RO"/>
              </w:rPr>
            </w:pPr>
            <w:r w:rsidRPr="00E0488D">
              <w:rPr>
                <w:rFonts w:cs="Arial"/>
                <w:sz w:val="22"/>
                <w:szCs w:val="22"/>
                <w:lang w:val="ro-RO"/>
              </w:rPr>
              <w:t>Tulcea</w:t>
            </w:r>
          </w:p>
        </w:tc>
        <w:tc>
          <w:tcPr>
            <w:tcW w:w="3260"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2.000 x 30</w:t>
            </w:r>
          </w:p>
        </w:tc>
        <w:tc>
          <w:tcPr>
            <w:tcW w:w="3544" w:type="dxa"/>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bl>
    <w:p w:rsidR="00B4550A" w:rsidRPr="00E0488D" w:rsidRDefault="00B4550A" w:rsidP="00B4550A">
      <w:pPr>
        <w:ind w:left="851"/>
        <w:rPr>
          <w:b/>
          <w:sz w:val="22"/>
          <w:szCs w:val="22"/>
          <w:lang w:val="ro-RO"/>
        </w:rPr>
      </w:pPr>
    </w:p>
    <w:p w:rsidR="00B4550A" w:rsidRPr="00E0488D" w:rsidRDefault="00B4550A" w:rsidP="00B4550A">
      <w:pPr>
        <w:rPr>
          <w:lang w:val="ro-RO"/>
        </w:rPr>
      </w:pPr>
    </w:p>
    <w:p w:rsidR="00B4550A" w:rsidRPr="00E0488D" w:rsidRDefault="00B4550A" w:rsidP="00B4550A">
      <w:pPr>
        <w:ind w:left="851"/>
        <w:rPr>
          <w:b/>
          <w:sz w:val="22"/>
          <w:szCs w:val="22"/>
          <w:lang w:val="ro-RO"/>
        </w:rPr>
      </w:pPr>
      <w:r w:rsidRPr="00E0488D">
        <w:rPr>
          <w:b/>
          <w:sz w:val="22"/>
          <w:szCs w:val="22"/>
          <w:lang w:val="ro-RO"/>
        </w:rPr>
        <w:t xml:space="preserve">Tabelul 7.11 – Calcularea codului de referință ICAO al unui aerodrom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705"/>
        <w:gridCol w:w="1706"/>
        <w:gridCol w:w="1706"/>
        <w:gridCol w:w="1706"/>
      </w:tblGrid>
      <w:tr w:rsidR="00B4550A" w:rsidRPr="00E0488D" w:rsidTr="003C7FC8">
        <w:trPr>
          <w:jc w:val="center"/>
        </w:trPr>
        <w:tc>
          <w:tcPr>
            <w:tcW w:w="1630" w:type="dxa"/>
            <w:shd w:val="clear" w:color="auto" w:fill="DBE5F1"/>
            <w:vAlign w:val="center"/>
          </w:tcPr>
          <w:p w:rsidR="00B4550A" w:rsidRPr="00E0488D" w:rsidRDefault="00B4550A" w:rsidP="003C7FC8">
            <w:pPr>
              <w:rPr>
                <w:b/>
                <w:sz w:val="22"/>
                <w:szCs w:val="22"/>
                <w:lang w:val="ro-RO"/>
              </w:rPr>
            </w:pPr>
            <w:r w:rsidRPr="00E0488D">
              <w:rPr>
                <w:b/>
                <w:sz w:val="22"/>
                <w:szCs w:val="22"/>
                <w:lang w:val="ro-RO"/>
              </w:rPr>
              <w:t>Număr cod</w:t>
            </w:r>
          </w:p>
        </w:tc>
        <w:tc>
          <w:tcPr>
            <w:tcW w:w="1705" w:type="dxa"/>
            <w:shd w:val="clear" w:color="auto" w:fill="DBE5F1"/>
            <w:vAlign w:val="center"/>
          </w:tcPr>
          <w:p w:rsidR="00B4550A" w:rsidRPr="00E0488D" w:rsidRDefault="00B4550A" w:rsidP="003C7FC8">
            <w:pPr>
              <w:jc w:val="center"/>
              <w:rPr>
                <w:b/>
                <w:sz w:val="22"/>
                <w:szCs w:val="22"/>
                <w:lang w:val="ro-RO"/>
              </w:rPr>
            </w:pPr>
            <w:r w:rsidRPr="00E0488D">
              <w:rPr>
                <w:b/>
                <w:sz w:val="22"/>
                <w:szCs w:val="22"/>
                <w:lang w:val="ro-RO"/>
              </w:rPr>
              <w:t>Lungimea câmpului de referință (m)</w:t>
            </w:r>
          </w:p>
        </w:tc>
        <w:tc>
          <w:tcPr>
            <w:tcW w:w="1706" w:type="dxa"/>
            <w:shd w:val="clear" w:color="auto" w:fill="DBE5F1"/>
            <w:vAlign w:val="center"/>
          </w:tcPr>
          <w:p w:rsidR="00B4550A" w:rsidRPr="00E0488D" w:rsidRDefault="00B4550A" w:rsidP="003C7FC8">
            <w:pPr>
              <w:rPr>
                <w:b/>
                <w:sz w:val="22"/>
                <w:szCs w:val="22"/>
                <w:lang w:val="ro-RO"/>
              </w:rPr>
            </w:pPr>
            <w:r w:rsidRPr="00E0488D">
              <w:rPr>
                <w:b/>
                <w:sz w:val="22"/>
                <w:szCs w:val="22"/>
                <w:lang w:val="ro-RO"/>
              </w:rPr>
              <w:t>Literă Cod</w:t>
            </w:r>
          </w:p>
          <w:p w:rsidR="00B4550A" w:rsidRPr="00E0488D" w:rsidRDefault="00B4550A" w:rsidP="003C7FC8">
            <w:pPr>
              <w:rPr>
                <w:sz w:val="22"/>
                <w:szCs w:val="22"/>
                <w:lang w:val="ro-RO"/>
              </w:rPr>
            </w:pPr>
          </w:p>
        </w:tc>
        <w:tc>
          <w:tcPr>
            <w:tcW w:w="1706" w:type="dxa"/>
            <w:shd w:val="clear" w:color="auto" w:fill="DBE5F1"/>
            <w:vAlign w:val="center"/>
          </w:tcPr>
          <w:p w:rsidR="00B4550A" w:rsidRPr="00E0488D" w:rsidRDefault="00B4550A" w:rsidP="003C7FC8">
            <w:pPr>
              <w:jc w:val="center"/>
              <w:rPr>
                <w:b/>
                <w:sz w:val="22"/>
                <w:szCs w:val="22"/>
                <w:lang w:val="ro-RO"/>
              </w:rPr>
            </w:pPr>
            <w:r w:rsidRPr="00E0488D">
              <w:rPr>
                <w:b/>
                <w:sz w:val="22"/>
                <w:szCs w:val="22"/>
                <w:lang w:val="ro-RO"/>
              </w:rPr>
              <w:t>Anvergura avionului (m)</w:t>
            </w:r>
          </w:p>
        </w:tc>
        <w:tc>
          <w:tcPr>
            <w:tcW w:w="1706" w:type="dxa"/>
            <w:shd w:val="clear" w:color="auto" w:fill="DBE5F1"/>
            <w:vAlign w:val="center"/>
          </w:tcPr>
          <w:p w:rsidR="00B4550A" w:rsidRPr="00E0488D" w:rsidRDefault="00B4550A" w:rsidP="003C7FC8">
            <w:pPr>
              <w:jc w:val="center"/>
              <w:rPr>
                <w:b/>
                <w:sz w:val="22"/>
                <w:szCs w:val="22"/>
                <w:lang w:val="ro-RO"/>
              </w:rPr>
            </w:pPr>
            <w:r w:rsidRPr="00E0488D">
              <w:rPr>
                <w:b/>
                <w:sz w:val="22"/>
                <w:szCs w:val="22"/>
                <w:lang w:val="ro-RO"/>
              </w:rPr>
              <w:t>Lățimea principalului tren de aterizare (m)</w:t>
            </w:r>
          </w:p>
        </w:tc>
      </w:tr>
      <w:tr w:rsidR="00B4550A" w:rsidRPr="00E0488D" w:rsidTr="003C7FC8">
        <w:trPr>
          <w:trHeight w:val="329"/>
          <w:jc w:val="center"/>
        </w:trPr>
        <w:tc>
          <w:tcPr>
            <w:tcW w:w="1630" w:type="dxa"/>
            <w:vAlign w:val="center"/>
          </w:tcPr>
          <w:p w:rsidR="00B4550A" w:rsidRPr="00E0488D" w:rsidRDefault="00B4550A" w:rsidP="003C7FC8">
            <w:pPr>
              <w:jc w:val="center"/>
              <w:rPr>
                <w:sz w:val="22"/>
                <w:szCs w:val="22"/>
                <w:lang w:val="ro-RO"/>
              </w:rPr>
            </w:pPr>
            <w:r w:rsidRPr="00E0488D">
              <w:rPr>
                <w:sz w:val="22"/>
                <w:szCs w:val="22"/>
                <w:lang w:val="ro-RO"/>
              </w:rPr>
              <w:t>1</w:t>
            </w:r>
          </w:p>
        </w:tc>
        <w:tc>
          <w:tcPr>
            <w:tcW w:w="1705" w:type="dxa"/>
            <w:vAlign w:val="center"/>
          </w:tcPr>
          <w:p w:rsidR="00B4550A" w:rsidRPr="00E0488D" w:rsidRDefault="00B4550A" w:rsidP="003C7FC8">
            <w:pPr>
              <w:jc w:val="center"/>
              <w:rPr>
                <w:sz w:val="22"/>
                <w:szCs w:val="22"/>
                <w:lang w:val="ro-RO"/>
              </w:rPr>
            </w:pPr>
            <w:r w:rsidRPr="00E0488D">
              <w:rPr>
                <w:sz w:val="22"/>
                <w:szCs w:val="22"/>
                <w:lang w:val="ro-RO"/>
              </w:rPr>
              <w:t>&lt; 800</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A</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&lt; 15</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&lt; 4.5</w:t>
            </w:r>
          </w:p>
        </w:tc>
      </w:tr>
      <w:tr w:rsidR="00B4550A" w:rsidRPr="00E0488D" w:rsidTr="003C7FC8">
        <w:trPr>
          <w:trHeight w:val="329"/>
          <w:jc w:val="center"/>
        </w:trPr>
        <w:tc>
          <w:tcPr>
            <w:tcW w:w="1630" w:type="dxa"/>
            <w:vAlign w:val="center"/>
          </w:tcPr>
          <w:p w:rsidR="00B4550A" w:rsidRPr="00E0488D" w:rsidRDefault="00B4550A" w:rsidP="003C7FC8">
            <w:pPr>
              <w:jc w:val="center"/>
              <w:rPr>
                <w:sz w:val="22"/>
                <w:szCs w:val="22"/>
                <w:lang w:val="ro-RO"/>
              </w:rPr>
            </w:pPr>
            <w:r w:rsidRPr="00E0488D">
              <w:rPr>
                <w:sz w:val="22"/>
                <w:szCs w:val="22"/>
                <w:lang w:val="ro-RO"/>
              </w:rPr>
              <w:t>2</w:t>
            </w:r>
          </w:p>
        </w:tc>
        <w:tc>
          <w:tcPr>
            <w:tcW w:w="1705" w:type="dxa"/>
            <w:vAlign w:val="center"/>
          </w:tcPr>
          <w:p w:rsidR="00B4550A" w:rsidRPr="00E0488D" w:rsidRDefault="00B4550A" w:rsidP="003C7FC8">
            <w:pPr>
              <w:jc w:val="center"/>
              <w:rPr>
                <w:sz w:val="22"/>
                <w:szCs w:val="22"/>
                <w:lang w:val="ro-RO"/>
              </w:rPr>
            </w:pPr>
            <w:r w:rsidRPr="00E0488D">
              <w:rPr>
                <w:sz w:val="22"/>
                <w:szCs w:val="22"/>
                <w:lang w:val="ro-RO"/>
              </w:rPr>
              <w:t>800 &lt; 1,200</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B</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15 &lt; 24</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4.5 &lt; 6</w:t>
            </w:r>
          </w:p>
        </w:tc>
      </w:tr>
      <w:tr w:rsidR="00B4550A" w:rsidRPr="00E0488D" w:rsidTr="003C7FC8">
        <w:trPr>
          <w:trHeight w:val="329"/>
          <w:jc w:val="center"/>
        </w:trPr>
        <w:tc>
          <w:tcPr>
            <w:tcW w:w="1630" w:type="dxa"/>
            <w:vAlign w:val="center"/>
          </w:tcPr>
          <w:p w:rsidR="00B4550A" w:rsidRPr="00E0488D" w:rsidRDefault="00B4550A" w:rsidP="003C7FC8">
            <w:pPr>
              <w:jc w:val="center"/>
              <w:rPr>
                <w:sz w:val="22"/>
                <w:szCs w:val="22"/>
                <w:lang w:val="ro-RO"/>
              </w:rPr>
            </w:pPr>
            <w:r w:rsidRPr="00E0488D">
              <w:rPr>
                <w:sz w:val="22"/>
                <w:szCs w:val="22"/>
                <w:lang w:val="ro-RO"/>
              </w:rPr>
              <w:t>3</w:t>
            </w:r>
          </w:p>
        </w:tc>
        <w:tc>
          <w:tcPr>
            <w:tcW w:w="1705" w:type="dxa"/>
            <w:vAlign w:val="center"/>
          </w:tcPr>
          <w:p w:rsidR="00B4550A" w:rsidRPr="00E0488D" w:rsidRDefault="00B4550A" w:rsidP="003C7FC8">
            <w:pPr>
              <w:jc w:val="center"/>
              <w:rPr>
                <w:sz w:val="22"/>
                <w:szCs w:val="22"/>
                <w:lang w:val="ro-RO"/>
              </w:rPr>
            </w:pPr>
            <w:r w:rsidRPr="00E0488D">
              <w:rPr>
                <w:sz w:val="22"/>
                <w:szCs w:val="22"/>
                <w:lang w:val="ro-RO"/>
              </w:rPr>
              <w:t>1,200 &lt; 1,800</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C</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24 &lt; 36</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6 &lt; 9</w:t>
            </w:r>
          </w:p>
        </w:tc>
      </w:tr>
      <w:tr w:rsidR="00B4550A" w:rsidRPr="00E0488D" w:rsidTr="003C7FC8">
        <w:trPr>
          <w:trHeight w:val="329"/>
          <w:jc w:val="center"/>
        </w:trPr>
        <w:tc>
          <w:tcPr>
            <w:tcW w:w="1630" w:type="dxa"/>
            <w:vAlign w:val="center"/>
          </w:tcPr>
          <w:p w:rsidR="00B4550A" w:rsidRPr="00E0488D" w:rsidRDefault="00B4550A" w:rsidP="003C7FC8">
            <w:pPr>
              <w:jc w:val="center"/>
              <w:rPr>
                <w:sz w:val="22"/>
                <w:szCs w:val="22"/>
                <w:lang w:val="ro-RO"/>
              </w:rPr>
            </w:pPr>
            <w:r w:rsidRPr="00E0488D">
              <w:rPr>
                <w:sz w:val="22"/>
                <w:szCs w:val="22"/>
                <w:lang w:val="ro-RO"/>
              </w:rPr>
              <w:t>4</w:t>
            </w:r>
          </w:p>
        </w:tc>
        <w:tc>
          <w:tcPr>
            <w:tcW w:w="1705" w:type="dxa"/>
            <w:vAlign w:val="center"/>
          </w:tcPr>
          <w:p w:rsidR="00B4550A" w:rsidRPr="00E0488D" w:rsidRDefault="00B4550A" w:rsidP="003C7FC8">
            <w:pPr>
              <w:jc w:val="center"/>
              <w:rPr>
                <w:sz w:val="22"/>
                <w:szCs w:val="22"/>
                <w:lang w:val="ro-RO"/>
              </w:rPr>
            </w:pPr>
            <w:r w:rsidRPr="00E0488D">
              <w:rPr>
                <w:sz w:val="22"/>
                <w:szCs w:val="22"/>
                <w:lang w:val="ro-RO"/>
              </w:rPr>
              <w:t>&gt; 1,799</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D</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36 &lt; 52</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9 &lt; 14</w:t>
            </w:r>
          </w:p>
        </w:tc>
      </w:tr>
      <w:tr w:rsidR="00B4550A" w:rsidRPr="00E0488D" w:rsidTr="003C7FC8">
        <w:trPr>
          <w:trHeight w:val="329"/>
          <w:jc w:val="center"/>
        </w:trPr>
        <w:tc>
          <w:tcPr>
            <w:tcW w:w="3335" w:type="dxa"/>
            <w:gridSpan w:val="2"/>
            <w:vMerge w:val="restart"/>
            <w:vAlign w:val="center"/>
          </w:tcPr>
          <w:p w:rsidR="00B4550A" w:rsidRPr="00E0488D" w:rsidRDefault="00B4550A" w:rsidP="003C7FC8">
            <w:pPr>
              <w:jc w:val="center"/>
              <w:rPr>
                <w:sz w:val="22"/>
                <w:szCs w:val="22"/>
                <w:lang w:val="ro-RO"/>
              </w:rPr>
            </w:pP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E</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52 &lt; 65</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9 &lt; 14</w:t>
            </w:r>
          </w:p>
        </w:tc>
      </w:tr>
      <w:tr w:rsidR="00B4550A" w:rsidRPr="00E0488D" w:rsidTr="003C7FC8">
        <w:trPr>
          <w:trHeight w:val="329"/>
          <w:jc w:val="center"/>
        </w:trPr>
        <w:tc>
          <w:tcPr>
            <w:tcW w:w="3335" w:type="dxa"/>
            <w:gridSpan w:val="2"/>
            <w:vMerge/>
            <w:vAlign w:val="center"/>
          </w:tcPr>
          <w:p w:rsidR="00B4550A" w:rsidRPr="00E0488D" w:rsidRDefault="00B4550A" w:rsidP="003C7FC8">
            <w:pPr>
              <w:jc w:val="center"/>
              <w:rPr>
                <w:sz w:val="22"/>
                <w:szCs w:val="22"/>
                <w:lang w:val="ro-RO"/>
              </w:rPr>
            </w:pP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F</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65 &lt; 80</w:t>
            </w:r>
          </w:p>
        </w:tc>
        <w:tc>
          <w:tcPr>
            <w:tcW w:w="1706" w:type="dxa"/>
            <w:vAlign w:val="center"/>
          </w:tcPr>
          <w:p w:rsidR="00B4550A" w:rsidRPr="00E0488D" w:rsidRDefault="00B4550A" w:rsidP="003C7FC8">
            <w:pPr>
              <w:jc w:val="center"/>
              <w:rPr>
                <w:sz w:val="22"/>
                <w:szCs w:val="22"/>
                <w:lang w:val="ro-RO"/>
              </w:rPr>
            </w:pPr>
            <w:r w:rsidRPr="00E0488D">
              <w:rPr>
                <w:sz w:val="22"/>
                <w:szCs w:val="22"/>
                <w:lang w:val="ro-RO"/>
              </w:rPr>
              <w:t>14 &lt; 16</w:t>
            </w:r>
          </w:p>
        </w:tc>
      </w:tr>
    </w:tbl>
    <w:p w:rsidR="00B4550A" w:rsidRPr="00E0488D" w:rsidRDefault="00B4550A" w:rsidP="00B4550A">
      <w:pPr>
        <w:rPr>
          <w:sz w:val="22"/>
          <w:szCs w:val="22"/>
          <w:lang w:val="ro-RO"/>
        </w:rPr>
      </w:pPr>
    </w:p>
    <w:p w:rsidR="00B4550A" w:rsidRPr="00E0488D" w:rsidRDefault="00B4550A" w:rsidP="00B4550A">
      <w:pPr>
        <w:rPr>
          <w:lang w:val="ro-RO"/>
        </w:rPr>
      </w:pPr>
      <w:r w:rsidRPr="00E0488D">
        <w:rPr>
          <w:lang w:val="ro-RO"/>
        </w:rPr>
        <w:br w:type="page"/>
      </w:r>
    </w:p>
    <w:p w:rsidR="00B4550A" w:rsidRPr="00E0488D" w:rsidRDefault="00B4550A" w:rsidP="00B4550A">
      <w:pPr>
        <w:rPr>
          <w:b/>
          <w:sz w:val="22"/>
          <w:szCs w:val="22"/>
          <w:lang w:val="ro-RO"/>
        </w:rPr>
      </w:pPr>
      <w:r w:rsidRPr="00E0488D">
        <w:rPr>
          <w:b/>
          <w:sz w:val="22"/>
          <w:szCs w:val="22"/>
          <w:lang w:val="ro-RO"/>
        </w:rPr>
        <w:t xml:space="preserve">Tabelul 7.12 – Specificații aeroportuare necesare celor mai folosite aeronave comerciale </w:t>
      </w:r>
    </w:p>
    <w:p w:rsidR="00B4550A" w:rsidRPr="00E0488D" w:rsidRDefault="00B4550A" w:rsidP="00B4550A">
      <w:pPr>
        <w:rPr>
          <w:i/>
          <w:color w:val="000000"/>
          <w:sz w:val="22"/>
          <w:szCs w:val="22"/>
          <w:lang w:val="ro-RO"/>
        </w:rPr>
      </w:pPr>
      <w:r w:rsidRPr="00E0488D">
        <w:rPr>
          <w:color w:val="000000"/>
          <w:sz w:val="22"/>
          <w:szCs w:val="22"/>
          <w:lang w:val="ro-RO"/>
        </w:rPr>
        <w:t>(</w:t>
      </w:r>
      <w:r w:rsidRPr="00E0488D">
        <w:rPr>
          <w:i/>
          <w:color w:val="000000"/>
          <w:sz w:val="22"/>
          <w:szCs w:val="22"/>
          <w:lang w:val="ro-RO"/>
        </w:rPr>
        <w:t>În italice sunt menționate aeronavele cu care operează TAROM în prezent)</w:t>
      </w:r>
    </w:p>
    <w:p w:rsidR="00B4550A" w:rsidRPr="00E0488D" w:rsidRDefault="00B4550A" w:rsidP="00B4550A">
      <w:pPr>
        <w:rPr>
          <w:i/>
          <w:color w:val="000000"/>
          <w:sz w:val="22"/>
          <w:szCs w:val="22"/>
          <w:lang w:val="ro-RO"/>
        </w:rPr>
      </w:pPr>
    </w:p>
    <w:tbl>
      <w:tblPr>
        <w:tblpPr w:leftFromText="180" w:rightFromText="180" w:vertAnchor="text" w:horzAnchor="margin" w:tblpXSpec="center" w:tblpY="63"/>
        <w:tblW w:w="4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1409"/>
        <w:gridCol w:w="1068"/>
        <w:gridCol w:w="1068"/>
        <w:gridCol w:w="1068"/>
        <w:gridCol w:w="1069"/>
        <w:gridCol w:w="1098"/>
      </w:tblGrid>
      <w:tr w:rsidR="00B4550A" w:rsidRPr="00E0488D" w:rsidTr="003C7FC8">
        <w:trPr>
          <w:tblHeader/>
        </w:trPr>
        <w:tc>
          <w:tcPr>
            <w:tcW w:w="1012" w:type="pct"/>
            <w:vMerge w:val="restart"/>
            <w:shd w:val="clear" w:color="auto" w:fill="DBE5F1"/>
            <w:vAlign w:val="center"/>
          </w:tcPr>
          <w:p w:rsidR="00B4550A" w:rsidRPr="00E0488D" w:rsidRDefault="00B4550A" w:rsidP="003C7FC8">
            <w:pPr>
              <w:rPr>
                <w:rFonts w:cs="Arial"/>
                <w:b/>
                <w:sz w:val="22"/>
                <w:szCs w:val="22"/>
                <w:lang w:val="ro-RO"/>
              </w:rPr>
            </w:pPr>
            <w:r w:rsidRPr="00E0488D">
              <w:rPr>
                <w:rFonts w:cs="Arial"/>
                <w:b/>
                <w:sz w:val="22"/>
                <w:szCs w:val="22"/>
                <w:lang w:val="ro-RO"/>
              </w:rPr>
              <w:t>Aeronavă</w:t>
            </w:r>
          </w:p>
        </w:tc>
        <w:tc>
          <w:tcPr>
            <w:tcW w:w="829" w:type="pct"/>
            <w:vMerge w:val="restart"/>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 xml:space="preserve">Categoria ARFF </w:t>
            </w:r>
          </w:p>
        </w:tc>
        <w:tc>
          <w:tcPr>
            <w:tcW w:w="2513" w:type="pct"/>
            <w:gridSpan w:val="4"/>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Număr clasificare aeronavă (ACN)</w:t>
            </w:r>
          </w:p>
        </w:tc>
        <w:tc>
          <w:tcPr>
            <w:tcW w:w="646" w:type="pct"/>
            <w:vMerge w:val="restart"/>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 xml:space="preserve">Cod referință ICAO </w:t>
            </w:r>
          </w:p>
        </w:tc>
      </w:tr>
      <w:tr w:rsidR="00B4550A" w:rsidRPr="00E0488D" w:rsidTr="003C7FC8">
        <w:trPr>
          <w:tblHeader/>
        </w:trPr>
        <w:tc>
          <w:tcPr>
            <w:tcW w:w="1012" w:type="pct"/>
            <w:vMerge/>
          </w:tcPr>
          <w:p w:rsidR="00B4550A" w:rsidRPr="00E0488D" w:rsidRDefault="00B4550A" w:rsidP="003C7FC8">
            <w:pPr>
              <w:rPr>
                <w:rFonts w:cs="Arial"/>
                <w:sz w:val="22"/>
                <w:szCs w:val="22"/>
                <w:lang w:val="ro-RO"/>
              </w:rPr>
            </w:pPr>
          </w:p>
        </w:tc>
        <w:tc>
          <w:tcPr>
            <w:tcW w:w="829" w:type="pct"/>
            <w:vMerge/>
          </w:tcPr>
          <w:p w:rsidR="00B4550A" w:rsidRPr="00E0488D" w:rsidRDefault="00B4550A" w:rsidP="003C7FC8">
            <w:pPr>
              <w:rPr>
                <w:rFonts w:cs="Arial"/>
                <w:sz w:val="22"/>
                <w:szCs w:val="22"/>
                <w:lang w:val="ro-RO"/>
              </w:rPr>
            </w:pPr>
          </w:p>
        </w:tc>
        <w:tc>
          <w:tcPr>
            <w:tcW w:w="628" w:type="pct"/>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A</w:t>
            </w:r>
          </w:p>
        </w:tc>
        <w:tc>
          <w:tcPr>
            <w:tcW w:w="628" w:type="pct"/>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B</w:t>
            </w:r>
          </w:p>
        </w:tc>
        <w:tc>
          <w:tcPr>
            <w:tcW w:w="628" w:type="pct"/>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C</w:t>
            </w:r>
          </w:p>
        </w:tc>
        <w:tc>
          <w:tcPr>
            <w:tcW w:w="628" w:type="pct"/>
            <w:shd w:val="clear" w:color="auto" w:fill="DBE5F1"/>
            <w:vAlign w:val="center"/>
          </w:tcPr>
          <w:p w:rsidR="00B4550A" w:rsidRPr="00E0488D" w:rsidRDefault="00B4550A" w:rsidP="003C7FC8">
            <w:pPr>
              <w:jc w:val="center"/>
              <w:rPr>
                <w:rFonts w:cs="Arial"/>
                <w:b/>
                <w:sz w:val="22"/>
                <w:szCs w:val="22"/>
                <w:lang w:val="ro-RO"/>
              </w:rPr>
            </w:pPr>
            <w:r w:rsidRPr="00E0488D">
              <w:rPr>
                <w:rFonts w:cs="Arial"/>
                <w:b/>
                <w:sz w:val="22"/>
                <w:szCs w:val="22"/>
                <w:lang w:val="ro-RO"/>
              </w:rPr>
              <w:t>D</w:t>
            </w:r>
          </w:p>
        </w:tc>
        <w:tc>
          <w:tcPr>
            <w:tcW w:w="646" w:type="pct"/>
            <w:vMerge/>
          </w:tcPr>
          <w:p w:rsidR="00B4550A" w:rsidRPr="00E0488D" w:rsidRDefault="00B4550A" w:rsidP="003C7FC8">
            <w:pPr>
              <w:rPr>
                <w:rFonts w:cs="Arial"/>
                <w:sz w:val="22"/>
                <w:szCs w:val="22"/>
                <w:lang w:val="ro-RO"/>
              </w:rPr>
            </w:pP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A310-300</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8</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40-47</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48-56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57-66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65-75</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4D</w:t>
            </w: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A318</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31</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34</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38</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3C</w:t>
            </w: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ATR42-500</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10</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11</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12</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12</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3C</w:t>
            </w: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ATR72-500</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13</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14</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14</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15</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3C</w:t>
            </w: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737-300</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40</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42</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44</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46</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4C</w:t>
            </w: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737-700</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43</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46</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48</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50</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4C</w:t>
            </w:r>
          </w:p>
        </w:tc>
      </w:tr>
      <w:tr w:rsidR="00B4550A" w:rsidRPr="00E0488D" w:rsidTr="003C7FC8">
        <w:trPr>
          <w:trHeight w:val="329"/>
          <w:tblHeader/>
        </w:trPr>
        <w:tc>
          <w:tcPr>
            <w:tcW w:w="1012" w:type="pct"/>
            <w:vAlign w:val="center"/>
          </w:tcPr>
          <w:p w:rsidR="00B4550A" w:rsidRPr="00E0488D" w:rsidRDefault="00B4550A" w:rsidP="003C7FC8">
            <w:pPr>
              <w:rPr>
                <w:rFonts w:cs="Arial"/>
                <w:i/>
                <w:sz w:val="22"/>
                <w:szCs w:val="22"/>
                <w:lang w:val="ro-RO"/>
              </w:rPr>
            </w:pPr>
            <w:r w:rsidRPr="00E0488D">
              <w:rPr>
                <w:rFonts w:cs="Arial"/>
                <w:i/>
                <w:sz w:val="22"/>
                <w:szCs w:val="22"/>
                <w:lang w:val="ro-RO"/>
              </w:rPr>
              <w:t>737-800</w:t>
            </w:r>
          </w:p>
        </w:tc>
        <w:tc>
          <w:tcPr>
            <w:tcW w:w="829"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7</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51</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53</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55</w:t>
            </w:r>
          </w:p>
        </w:tc>
        <w:tc>
          <w:tcPr>
            <w:tcW w:w="628"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57</w:t>
            </w:r>
          </w:p>
        </w:tc>
        <w:tc>
          <w:tcPr>
            <w:tcW w:w="646" w:type="pct"/>
            <w:vAlign w:val="center"/>
          </w:tcPr>
          <w:p w:rsidR="00B4550A" w:rsidRPr="00E0488D" w:rsidRDefault="00B4550A" w:rsidP="003C7FC8">
            <w:pPr>
              <w:jc w:val="center"/>
              <w:rPr>
                <w:rFonts w:cs="Arial"/>
                <w:i/>
                <w:sz w:val="22"/>
                <w:szCs w:val="22"/>
                <w:lang w:val="ro-RO"/>
              </w:rPr>
            </w:pPr>
            <w:r w:rsidRPr="00E0488D">
              <w:rPr>
                <w:rFonts w:cs="Arial"/>
                <w:i/>
                <w:sz w:val="22"/>
                <w:szCs w:val="22"/>
                <w:lang w:val="ro-RO"/>
              </w:rPr>
              <w:t>4C</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A320</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19-46</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23-49</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27-51</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31-53</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A321</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47-56</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50-59</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52-62</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54-64</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4C</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757-200</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32</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38</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45</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52</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A330-200</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48-53</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56-61</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66-73</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78-85</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4E</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A330-300</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9</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46-54</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54-62</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64-74</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75-86</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4E</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767-300ER</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40</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47</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57</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66</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4D</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777-200ER</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9</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50</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63</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82</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101</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4E</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747-400</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9</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53</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62</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74</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85</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4E</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747-8</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10</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64</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71</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89</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112</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4F</w:t>
            </w:r>
          </w:p>
        </w:tc>
      </w:tr>
      <w:tr w:rsidR="00B4550A" w:rsidRPr="00E0488D" w:rsidTr="003C7FC8">
        <w:trPr>
          <w:trHeight w:val="329"/>
          <w:tblHeader/>
        </w:trPr>
        <w:tc>
          <w:tcPr>
            <w:tcW w:w="1012" w:type="pct"/>
            <w:vAlign w:val="center"/>
          </w:tcPr>
          <w:p w:rsidR="00B4550A" w:rsidRPr="00E0488D" w:rsidRDefault="00B4550A" w:rsidP="003C7FC8">
            <w:pPr>
              <w:rPr>
                <w:rFonts w:cs="Arial"/>
                <w:sz w:val="22"/>
                <w:szCs w:val="22"/>
                <w:lang w:val="ro-RO"/>
              </w:rPr>
            </w:pPr>
            <w:r w:rsidRPr="00E0488D">
              <w:rPr>
                <w:rFonts w:cs="Arial"/>
                <w:sz w:val="22"/>
                <w:szCs w:val="22"/>
                <w:lang w:val="ro-RO"/>
              </w:rPr>
              <w:t>A380-800</w:t>
            </w:r>
          </w:p>
        </w:tc>
        <w:tc>
          <w:tcPr>
            <w:tcW w:w="829"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10</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55</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64-67</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76-88</w:t>
            </w:r>
          </w:p>
        </w:tc>
        <w:tc>
          <w:tcPr>
            <w:tcW w:w="628"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88-110</w:t>
            </w:r>
          </w:p>
        </w:tc>
        <w:tc>
          <w:tcPr>
            <w:tcW w:w="646" w:type="pct"/>
            <w:vAlign w:val="center"/>
          </w:tcPr>
          <w:p w:rsidR="00B4550A" w:rsidRPr="00E0488D" w:rsidRDefault="00B4550A" w:rsidP="003C7FC8">
            <w:pPr>
              <w:jc w:val="center"/>
              <w:rPr>
                <w:rFonts w:cs="Arial"/>
                <w:sz w:val="22"/>
                <w:szCs w:val="22"/>
                <w:lang w:val="ro-RO"/>
              </w:rPr>
            </w:pPr>
            <w:r w:rsidRPr="00E0488D">
              <w:rPr>
                <w:rFonts w:cs="Arial"/>
                <w:sz w:val="22"/>
                <w:szCs w:val="22"/>
                <w:lang w:val="ro-RO"/>
              </w:rPr>
              <w:t>4F</w:t>
            </w:r>
          </w:p>
        </w:tc>
      </w:tr>
    </w:tbl>
    <w:p w:rsidR="00B4550A" w:rsidRPr="00E0488D" w:rsidRDefault="00B4550A" w:rsidP="002B7E09">
      <w:pPr>
        <w:pStyle w:val="NumberedParas"/>
      </w:pPr>
      <w:r w:rsidRPr="00E0488D">
        <w:t>Deși codul de referință ICAO poate oferi informații care să indice destul de clar dacă un anumit tip de aeronavă poate opera sau nu pe un anumit aerodrom (prin compararea codului de referință al aerodromului cu codul de referință al aeronavei), există și alte aspecte operaționale care trebuie luate în considerare. Tabelul 7.12 detaliază caracteristicile tehnice necesare unui aerodrom pentru a permite operarea celor mai folosite aeronave comerciale.</w:t>
      </w:r>
    </w:p>
    <w:p w:rsidR="00B4550A" w:rsidRPr="00E0488D" w:rsidRDefault="00B4550A" w:rsidP="002B7E09">
      <w:pPr>
        <w:pStyle w:val="NumberedParas"/>
      </w:pPr>
      <w:r w:rsidRPr="00E0488D">
        <w:t xml:space="preserve">Majoritatea flotelor aparținând companiilor low-cost includ aeronave A320 și B737-800. Luând în considerare acest fapt, pista aeroportului Tulcea va trebui modernizată nu din cauza lungimii, ci deoarece lățimea de 30 de metri a acesteia adaugă restricții suplimentare asupra operațiunilor permise de infrastructura aeroportului. Modernizarea pistei aeroportului Oradea face parte din scenariul de referință și astfel nu face parte din acest master plan. </w:t>
      </w:r>
    </w:p>
    <w:p w:rsidR="00B4550A" w:rsidRPr="00E0488D" w:rsidRDefault="00B4550A" w:rsidP="002B7E09">
      <w:pPr>
        <w:pStyle w:val="NumberedParas"/>
      </w:pPr>
      <w:r w:rsidRPr="00E0488D">
        <w:t xml:space="preserve">Deși Aeroportul Cluj-Napoca a beneficiat de curând de construcția unei piste noi, intenția este de a opera zboruri directe către SUA, fiind nevoie astfel de extinderea acesteia până la 3.420 m. </w:t>
      </w:r>
    </w:p>
    <w:p w:rsidR="00B4550A" w:rsidRPr="00E0488D" w:rsidRDefault="00B4550A" w:rsidP="00B4550A">
      <w:pPr>
        <w:pStyle w:val="Hdg3"/>
      </w:pPr>
      <w:r w:rsidRPr="00E0488D">
        <w:t>Constrângeri privind capacitatea terminalelor de pasageri</w:t>
      </w:r>
    </w:p>
    <w:p w:rsidR="00B4550A" w:rsidRPr="00E0488D" w:rsidRDefault="00B4550A" w:rsidP="002B7E09">
      <w:pPr>
        <w:pStyle w:val="NumberedParas"/>
      </w:pPr>
      <w:r w:rsidRPr="00E0488D">
        <w:t>În procesul stabilirii capacității necesare terminalelor de pasageri am analizat orarele de zbor ale aeroporturilor pentru a determina numărul de zboruri de pasageri înregistrat la orele de vârf și pentru a calcula capacitatea terminalelor la aceste ore. Pe parcursul procesului de consultare am trimis administrațiilor aeroportuare o serie de chestionare pentru a culege date referitoare la capacitățile declarate ale aeroporturilor la orele de vârf. În etapa următoare am comparat capacitatea care ar putea fi necesară la orele de vârf pentru a identifica aeroporturile cu restricții ale terminalelor de pasageri.</w:t>
      </w:r>
    </w:p>
    <w:p w:rsidR="00B4550A" w:rsidRPr="00E0488D" w:rsidRDefault="00B4550A" w:rsidP="00B4550A">
      <w:pPr>
        <w:rPr>
          <w:sz w:val="22"/>
          <w:szCs w:val="22"/>
          <w:lang w:val="ro-RO"/>
        </w:rPr>
      </w:pPr>
    </w:p>
    <w:p w:rsidR="00B4550A" w:rsidRPr="00E0488D" w:rsidRDefault="00B4550A" w:rsidP="002B7E09">
      <w:pPr>
        <w:pStyle w:val="NumberedParas"/>
      </w:pPr>
      <w:r w:rsidRPr="00E0488D">
        <w:t>Tabelul 7.13 prezintă capacitatea disponibilă a terminalelor de pasageri la orele de vârf și capacitatea necesară la orele de vârf.</w:t>
      </w:r>
    </w:p>
    <w:p w:rsidR="00B4550A" w:rsidRPr="00E0488D" w:rsidRDefault="00B4550A" w:rsidP="00B4550A">
      <w:pPr>
        <w:tabs>
          <w:tab w:val="left" w:pos="6255"/>
        </w:tabs>
        <w:rPr>
          <w:sz w:val="22"/>
          <w:szCs w:val="22"/>
          <w:lang w:val="ro-RO"/>
        </w:rPr>
      </w:pPr>
      <w:r w:rsidRPr="00E0488D">
        <w:rPr>
          <w:sz w:val="22"/>
          <w:szCs w:val="22"/>
          <w:lang w:val="ro-RO"/>
        </w:rPr>
        <w:tab/>
      </w:r>
    </w:p>
    <w:p w:rsidR="00B4550A" w:rsidRPr="00E0488D" w:rsidRDefault="00B4550A" w:rsidP="00B4550A">
      <w:pPr>
        <w:ind w:left="851"/>
        <w:rPr>
          <w:b/>
          <w:sz w:val="22"/>
          <w:szCs w:val="22"/>
          <w:lang w:val="ro-RO"/>
        </w:rPr>
      </w:pPr>
      <w:r w:rsidRPr="00E0488D">
        <w:rPr>
          <w:b/>
          <w:sz w:val="22"/>
          <w:szCs w:val="22"/>
          <w:lang w:val="ro-RO"/>
        </w:rPr>
        <w:t>Tabelul 7.13 – Capacitatea aeroporturilor la ore de vârf (2011)</w:t>
      </w:r>
    </w:p>
    <w:tbl>
      <w:tblPr>
        <w:tblW w:w="9497"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126"/>
        <w:gridCol w:w="1985"/>
        <w:gridCol w:w="1559"/>
        <w:gridCol w:w="1701"/>
        <w:gridCol w:w="2126"/>
      </w:tblGrid>
      <w:tr w:rsidR="00B4550A" w:rsidRPr="00E0488D" w:rsidTr="003C7FC8">
        <w:trPr>
          <w:trHeight w:val="734"/>
          <w:tblHeader/>
          <w:jc w:val="center"/>
        </w:trPr>
        <w:tc>
          <w:tcPr>
            <w:tcW w:w="2126" w:type="dxa"/>
            <w:tcBorders>
              <w:top w:val="single" w:sz="12" w:space="0" w:color="4F81BD"/>
              <w:left w:val="single" w:sz="12" w:space="0" w:color="4F81BD"/>
              <w:bottom w:val="single" w:sz="12" w:space="0" w:color="4F81BD"/>
            </w:tcBorders>
            <w:shd w:val="clear" w:color="auto" w:fill="DBE5F1"/>
            <w:vAlign w:val="center"/>
          </w:tcPr>
          <w:p w:rsidR="00B4550A" w:rsidRPr="00E0488D" w:rsidRDefault="00B4550A" w:rsidP="003C7FC8">
            <w:pPr>
              <w:jc w:val="center"/>
              <w:rPr>
                <w:b/>
                <w:bCs/>
                <w:color w:val="000000"/>
                <w:sz w:val="22"/>
                <w:szCs w:val="22"/>
                <w:lang w:val="ro-RO"/>
              </w:rPr>
            </w:pPr>
            <w:r w:rsidRPr="00E0488D">
              <w:rPr>
                <w:b/>
                <w:bCs/>
                <w:color w:val="000000"/>
                <w:sz w:val="22"/>
                <w:szCs w:val="22"/>
                <w:lang w:val="ro-RO"/>
              </w:rPr>
              <w:t>Nume aeroport</w:t>
            </w:r>
          </w:p>
        </w:tc>
        <w:tc>
          <w:tcPr>
            <w:tcW w:w="1985"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Capacitate la ore</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vârf</w:t>
            </w:r>
          </w:p>
          <w:p w:rsidR="00B4550A" w:rsidRPr="00E0488D" w:rsidRDefault="00B4550A" w:rsidP="003C7FC8">
            <w:pPr>
              <w:jc w:val="center"/>
              <w:rPr>
                <w:b/>
                <w:bCs/>
                <w:color w:val="000000"/>
                <w:sz w:val="22"/>
                <w:szCs w:val="22"/>
                <w:lang w:val="ro-RO"/>
              </w:rPr>
            </w:pPr>
            <w:r w:rsidRPr="00E0488D">
              <w:rPr>
                <w:b/>
                <w:bCs/>
                <w:color w:val="000000"/>
                <w:sz w:val="22"/>
                <w:szCs w:val="22"/>
                <w:lang w:val="ro-RO"/>
              </w:rPr>
              <w:t>(pasageri)¹</w:t>
            </w:r>
          </w:p>
        </w:tc>
        <w:tc>
          <w:tcPr>
            <w:tcW w:w="1559"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Număr zilnic</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pasageri</w:t>
            </w:r>
          </w:p>
        </w:tc>
        <w:tc>
          <w:tcPr>
            <w:tcW w:w="1701"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Procentaj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zboruri la ora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vârf</w:t>
            </w:r>
          </w:p>
        </w:tc>
        <w:tc>
          <w:tcPr>
            <w:tcW w:w="2126"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Capacitatea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necesară</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la ore de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vârf</w:t>
            </w:r>
          </w:p>
        </w:tc>
      </w:tr>
      <w:tr w:rsidR="00B4550A" w:rsidRPr="00E0488D" w:rsidTr="003C7FC8">
        <w:trPr>
          <w:trHeight w:val="329"/>
          <w:jc w:val="center"/>
        </w:trPr>
        <w:tc>
          <w:tcPr>
            <w:tcW w:w="2126" w:type="dxa"/>
            <w:tcBorders>
              <w:top w:val="single" w:sz="12" w:space="0" w:color="4F81BD"/>
            </w:tcBorders>
            <w:vAlign w:val="center"/>
          </w:tcPr>
          <w:p w:rsidR="00B4550A" w:rsidRPr="00E0488D" w:rsidRDefault="00B4550A" w:rsidP="003C7FC8">
            <w:pPr>
              <w:rPr>
                <w:color w:val="000000"/>
                <w:sz w:val="22"/>
                <w:szCs w:val="22"/>
                <w:lang w:val="ro-RO"/>
              </w:rPr>
            </w:pPr>
            <w:r w:rsidRPr="00E0488D">
              <w:rPr>
                <w:sz w:val="22"/>
                <w:szCs w:val="22"/>
                <w:lang w:val="ro-RO"/>
              </w:rPr>
              <w:t xml:space="preserve"> Henri Coandă București</w:t>
            </w:r>
          </w:p>
        </w:tc>
        <w:tc>
          <w:tcPr>
            <w:tcW w:w="1985" w:type="dxa"/>
            <w:tcBorders>
              <w:top w:val="single" w:sz="12" w:space="0" w:color="4F81BD"/>
            </w:tcBorders>
            <w:vAlign w:val="center"/>
          </w:tcPr>
          <w:p w:rsidR="00B4550A" w:rsidRPr="00E0488D" w:rsidRDefault="00B4550A" w:rsidP="003C7FC8">
            <w:pPr>
              <w:jc w:val="center"/>
              <w:rPr>
                <w:sz w:val="22"/>
                <w:szCs w:val="22"/>
                <w:lang w:val="ro-RO"/>
              </w:rPr>
            </w:pPr>
            <w:r w:rsidRPr="00E0488D">
              <w:rPr>
                <w:sz w:val="22"/>
                <w:szCs w:val="22"/>
                <w:lang w:val="ro-RO"/>
              </w:rPr>
              <w:t>4.500</w:t>
            </w:r>
          </w:p>
        </w:tc>
        <w:tc>
          <w:tcPr>
            <w:tcW w:w="1559" w:type="dxa"/>
            <w:tcBorders>
              <w:top w:val="single" w:sz="12" w:space="0" w:color="4F81BD"/>
            </w:tcBorders>
            <w:vAlign w:val="center"/>
          </w:tcPr>
          <w:p w:rsidR="00B4550A" w:rsidRPr="00E0488D" w:rsidRDefault="00B4550A" w:rsidP="003C7FC8">
            <w:pPr>
              <w:jc w:val="center"/>
              <w:rPr>
                <w:sz w:val="22"/>
                <w:szCs w:val="22"/>
                <w:lang w:val="ro-RO"/>
              </w:rPr>
            </w:pPr>
            <w:r w:rsidRPr="00E0488D">
              <w:rPr>
                <w:sz w:val="22"/>
                <w:szCs w:val="22"/>
                <w:lang w:val="ro-RO"/>
              </w:rPr>
              <w:t>20.056</w:t>
            </w:r>
          </w:p>
        </w:tc>
        <w:tc>
          <w:tcPr>
            <w:tcW w:w="1701" w:type="dxa"/>
            <w:tcBorders>
              <w:top w:val="single" w:sz="12" w:space="0" w:color="4F81BD"/>
            </w:tcBorders>
            <w:vAlign w:val="center"/>
          </w:tcPr>
          <w:p w:rsidR="00B4550A" w:rsidRPr="00E0488D" w:rsidRDefault="00B4550A" w:rsidP="003C7FC8">
            <w:pPr>
              <w:ind w:left="-3761" w:firstLine="3761"/>
              <w:jc w:val="center"/>
              <w:rPr>
                <w:sz w:val="22"/>
                <w:szCs w:val="22"/>
                <w:lang w:val="ro-RO"/>
              </w:rPr>
            </w:pPr>
            <w:r w:rsidRPr="00E0488D">
              <w:rPr>
                <w:sz w:val="22"/>
                <w:szCs w:val="22"/>
                <w:lang w:val="ro-RO"/>
              </w:rPr>
              <w:t>15%</w:t>
            </w:r>
          </w:p>
        </w:tc>
        <w:tc>
          <w:tcPr>
            <w:tcW w:w="2126" w:type="dxa"/>
            <w:tcBorders>
              <w:top w:val="single" w:sz="12" w:space="0" w:color="4F81BD"/>
            </w:tcBorders>
            <w:vAlign w:val="center"/>
          </w:tcPr>
          <w:p w:rsidR="00B4550A" w:rsidRPr="00E0488D" w:rsidRDefault="00B4550A" w:rsidP="003C7FC8">
            <w:pPr>
              <w:jc w:val="center"/>
              <w:rPr>
                <w:sz w:val="22"/>
                <w:szCs w:val="22"/>
                <w:lang w:val="ro-RO"/>
              </w:rPr>
            </w:pPr>
            <w:r w:rsidRPr="00E0488D">
              <w:rPr>
                <w:sz w:val="22"/>
                <w:szCs w:val="22"/>
                <w:lang w:val="ro-RO"/>
              </w:rPr>
              <w:t>3,000</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Timișoara</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1.200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3715</w:t>
            </w:r>
          </w:p>
        </w:tc>
        <w:tc>
          <w:tcPr>
            <w:tcW w:w="1701" w:type="dxa"/>
            <w:vAlign w:val="center"/>
          </w:tcPr>
          <w:p w:rsidR="00B4550A" w:rsidRPr="00E0488D" w:rsidRDefault="00B4550A" w:rsidP="003C7FC8">
            <w:pPr>
              <w:ind w:left="-3761" w:firstLine="3761"/>
              <w:jc w:val="center"/>
              <w:rPr>
                <w:sz w:val="22"/>
                <w:szCs w:val="22"/>
                <w:lang w:val="ro-RO"/>
              </w:rPr>
            </w:pPr>
            <w:r w:rsidRPr="00E0488D">
              <w:rPr>
                <w:sz w:val="22"/>
                <w:szCs w:val="22"/>
                <w:lang w:val="ro-RO"/>
              </w:rPr>
              <w:t>36%</w:t>
            </w:r>
          </w:p>
        </w:tc>
        <w:tc>
          <w:tcPr>
            <w:tcW w:w="2126" w:type="dxa"/>
            <w:vAlign w:val="center"/>
          </w:tcPr>
          <w:p w:rsidR="00B4550A" w:rsidRPr="00E0488D" w:rsidRDefault="00B4550A" w:rsidP="003C7FC8">
            <w:pPr>
              <w:jc w:val="center"/>
              <w:rPr>
                <w:b/>
                <w:sz w:val="22"/>
                <w:szCs w:val="22"/>
                <w:lang w:val="ro-RO"/>
              </w:rPr>
            </w:pPr>
            <w:r w:rsidRPr="00E0488D">
              <w:rPr>
                <w:b/>
                <w:sz w:val="22"/>
                <w:szCs w:val="22"/>
                <w:lang w:val="ro-RO"/>
              </w:rPr>
              <w:t>1,337</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Cluj</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1.500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2.753</w:t>
            </w:r>
          </w:p>
        </w:tc>
        <w:tc>
          <w:tcPr>
            <w:tcW w:w="1701" w:type="dxa"/>
            <w:vAlign w:val="center"/>
          </w:tcPr>
          <w:p w:rsidR="00B4550A" w:rsidRPr="00E0488D" w:rsidRDefault="00B4550A" w:rsidP="003C7FC8">
            <w:pPr>
              <w:ind w:left="-3761" w:firstLine="3761"/>
              <w:jc w:val="center"/>
              <w:rPr>
                <w:sz w:val="22"/>
                <w:szCs w:val="22"/>
                <w:lang w:val="ro-RO"/>
              </w:rPr>
            </w:pPr>
            <w:r w:rsidRPr="00E0488D">
              <w:rPr>
                <w:sz w:val="22"/>
                <w:szCs w:val="22"/>
                <w:lang w:val="ro-RO"/>
              </w:rPr>
              <w:t>16%</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440</w:t>
            </w:r>
          </w:p>
        </w:tc>
      </w:tr>
      <w:tr w:rsidR="00B4550A" w:rsidRPr="00E0488D" w:rsidTr="003C7FC8">
        <w:trPr>
          <w:trHeight w:val="329"/>
          <w:jc w:val="center"/>
        </w:trPr>
        <w:tc>
          <w:tcPr>
            <w:tcW w:w="2126" w:type="dxa"/>
            <w:vAlign w:val="center"/>
          </w:tcPr>
          <w:p w:rsidR="00B4550A" w:rsidRPr="00E0488D" w:rsidRDefault="00B4550A" w:rsidP="003C7FC8">
            <w:pPr>
              <w:rPr>
                <w:sz w:val="22"/>
                <w:szCs w:val="22"/>
                <w:lang w:val="ro-RO"/>
              </w:rPr>
            </w:pPr>
            <w:r w:rsidRPr="00E0488D">
              <w:rPr>
                <w:sz w:val="22"/>
                <w:szCs w:val="22"/>
                <w:lang w:val="ro-RO"/>
              </w:rPr>
              <w:t>Iași</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300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505</w:t>
            </w:r>
          </w:p>
        </w:tc>
        <w:tc>
          <w:tcPr>
            <w:tcW w:w="1701" w:type="dxa"/>
            <w:vAlign w:val="center"/>
          </w:tcPr>
          <w:p w:rsidR="00B4550A" w:rsidRPr="00E0488D" w:rsidRDefault="00B4550A" w:rsidP="003C7FC8">
            <w:pPr>
              <w:ind w:left="-3761" w:firstLine="3761"/>
              <w:jc w:val="center"/>
              <w:rPr>
                <w:sz w:val="22"/>
                <w:szCs w:val="22"/>
                <w:lang w:val="ro-RO"/>
              </w:rPr>
            </w:pPr>
            <w:r w:rsidRPr="00E0488D">
              <w:rPr>
                <w:sz w:val="22"/>
                <w:szCs w:val="22"/>
                <w:lang w:val="ro-RO"/>
              </w:rPr>
              <w:t>22%</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111</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Craiova</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600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86</w:t>
            </w:r>
          </w:p>
        </w:tc>
        <w:tc>
          <w:tcPr>
            <w:tcW w:w="1701" w:type="dxa"/>
            <w:vAlign w:val="center"/>
          </w:tcPr>
          <w:p w:rsidR="00B4550A" w:rsidRPr="00E0488D" w:rsidRDefault="00B4550A" w:rsidP="003C7FC8">
            <w:pPr>
              <w:ind w:left="-3761" w:firstLine="3761"/>
              <w:jc w:val="center"/>
              <w:rPr>
                <w:sz w:val="22"/>
                <w:szCs w:val="22"/>
                <w:lang w:val="ro-RO"/>
              </w:rPr>
            </w:pPr>
            <w:r w:rsidRPr="00E0488D">
              <w:rPr>
                <w:sz w:val="22"/>
                <w:szCs w:val="22"/>
                <w:lang w:val="ro-RO"/>
              </w:rPr>
              <w:t>29%</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25</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Bacău</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200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897</w:t>
            </w:r>
          </w:p>
        </w:tc>
        <w:tc>
          <w:tcPr>
            <w:tcW w:w="1701" w:type="dxa"/>
            <w:vAlign w:val="center"/>
          </w:tcPr>
          <w:p w:rsidR="00B4550A" w:rsidRPr="00E0488D" w:rsidRDefault="00B4550A" w:rsidP="003C7FC8">
            <w:pPr>
              <w:ind w:left="-3761" w:firstLine="3761"/>
              <w:jc w:val="center"/>
              <w:rPr>
                <w:sz w:val="22"/>
                <w:szCs w:val="22"/>
                <w:lang w:val="ro-RO"/>
              </w:rPr>
            </w:pPr>
            <w:r w:rsidRPr="00E0488D">
              <w:rPr>
                <w:sz w:val="22"/>
                <w:szCs w:val="22"/>
                <w:lang w:val="ro-RO"/>
              </w:rPr>
              <w:t>30%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269</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Constanta</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400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209</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209</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Târgu Mureș</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580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980</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40%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392</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Sibiu</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300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485</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13%</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63</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Oradea</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600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166</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166</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Brașov</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 xml:space="preserve">Nu este funcțional </w:t>
            </w:r>
          </w:p>
        </w:tc>
        <w:tc>
          <w:tcPr>
            <w:tcW w:w="1559" w:type="dxa"/>
            <w:vAlign w:val="center"/>
          </w:tcPr>
          <w:p w:rsidR="00B4550A" w:rsidRPr="00E0488D" w:rsidRDefault="00B4550A" w:rsidP="003C7FC8">
            <w:pPr>
              <w:jc w:val="center"/>
              <w:rPr>
                <w:sz w:val="22"/>
                <w:szCs w:val="22"/>
                <w:lang w:val="ro-RO"/>
              </w:rPr>
            </w:pPr>
          </w:p>
        </w:tc>
        <w:tc>
          <w:tcPr>
            <w:tcW w:w="1701" w:type="dxa"/>
            <w:vAlign w:val="center"/>
          </w:tcPr>
          <w:p w:rsidR="00B4550A" w:rsidRPr="00E0488D" w:rsidRDefault="00B4550A" w:rsidP="003C7FC8">
            <w:pPr>
              <w:jc w:val="center"/>
              <w:rPr>
                <w:sz w:val="22"/>
                <w:szCs w:val="22"/>
                <w:lang w:val="ro-RO"/>
              </w:rPr>
            </w:pPr>
          </w:p>
        </w:tc>
        <w:tc>
          <w:tcPr>
            <w:tcW w:w="2126" w:type="dxa"/>
            <w:vAlign w:val="center"/>
          </w:tcPr>
          <w:p w:rsidR="00B4550A" w:rsidRPr="00E0488D" w:rsidRDefault="00B4550A" w:rsidP="003C7FC8">
            <w:pPr>
              <w:jc w:val="center"/>
              <w:rPr>
                <w:sz w:val="22"/>
                <w:szCs w:val="22"/>
                <w:lang w:val="ro-RO"/>
              </w:rPr>
            </w:pP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Suceava</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150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75</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75</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Arad</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200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41</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41</w:t>
            </w:r>
          </w:p>
        </w:tc>
      </w:tr>
      <w:tr w:rsidR="00B4550A" w:rsidRPr="00E0488D" w:rsidTr="003C7FC8">
        <w:trPr>
          <w:trHeight w:val="329"/>
          <w:jc w:val="center"/>
        </w:trPr>
        <w:tc>
          <w:tcPr>
            <w:tcW w:w="2126" w:type="dxa"/>
            <w:vAlign w:val="center"/>
          </w:tcPr>
          <w:p w:rsidR="00B4550A" w:rsidRPr="00E0488D" w:rsidRDefault="00B4550A" w:rsidP="003C7FC8">
            <w:pPr>
              <w:rPr>
                <w:color w:val="000000"/>
                <w:sz w:val="22"/>
                <w:szCs w:val="22"/>
                <w:lang w:val="ro-RO"/>
              </w:rPr>
            </w:pPr>
            <w:r w:rsidRPr="00E0488D">
              <w:rPr>
                <w:sz w:val="22"/>
                <w:szCs w:val="22"/>
                <w:lang w:val="ro-RO"/>
              </w:rPr>
              <w:t>Satu Mare</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200</w:t>
            </w:r>
          </w:p>
        </w:tc>
        <w:tc>
          <w:tcPr>
            <w:tcW w:w="1559" w:type="dxa"/>
            <w:vAlign w:val="center"/>
          </w:tcPr>
          <w:p w:rsidR="00B4550A" w:rsidRPr="00E0488D" w:rsidRDefault="00B4550A" w:rsidP="003C7FC8">
            <w:pPr>
              <w:jc w:val="center"/>
              <w:rPr>
                <w:sz w:val="22"/>
                <w:szCs w:val="22"/>
                <w:lang w:val="ro-RO"/>
              </w:rPr>
            </w:pPr>
            <w:r w:rsidRPr="00E0488D">
              <w:rPr>
                <w:sz w:val="22"/>
                <w:szCs w:val="22"/>
                <w:lang w:val="ro-RO"/>
              </w:rPr>
              <w:t>62</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sz w:val="22"/>
                <w:szCs w:val="22"/>
                <w:lang w:val="ro-RO"/>
              </w:rPr>
            </w:pPr>
            <w:r w:rsidRPr="00E0488D">
              <w:rPr>
                <w:sz w:val="22"/>
                <w:szCs w:val="22"/>
                <w:lang w:val="ro-RO"/>
              </w:rPr>
              <w:t>62</w:t>
            </w:r>
          </w:p>
        </w:tc>
      </w:tr>
      <w:tr w:rsidR="00B4550A" w:rsidRPr="00E0488D" w:rsidTr="003C7FC8">
        <w:trPr>
          <w:trHeight w:val="329"/>
          <w:jc w:val="center"/>
        </w:trPr>
        <w:tc>
          <w:tcPr>
            <w:tcW w:w="2126" w:type="dxa"/>
            <w:vAlign w:val="center"/>
          </w:tcPr>
          <w:p w:rsidR="00B4550A" w:rsidRPr="00E0488D" w:rsidRDefault="00B4550A" w:rsidP="003C7FC8">
            <w:pPr>
              <w:rPr>
                <w:sz w:val="22"/>
                <w:szCs w:val="22"/>
                <w:lang w:val="ro-RO"/>
              </w:rPr>
            </w:pPr>
            <w:r w:rsidRPr="00E0488D">
              <w:rPr>
                <w:sz w:val="22"/>
                <w:szCs w:val="22"/>
                <w:lang w:val="ro-RO"/>
              </w:rPr>
              <w:t>Baia Mare</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1559" w:type="dxa"/>
            <w:vAlign w:val="center"/>
          </w:tcPr>
          <w:p w:rsidR="00B4550A" w:rsidRPr="00E0488D" w:rsidRDefault="00B4550A" w:rsidP="003C7FC8">
            <w:pPr>
              <w:jc w:val="center"/>
              <w:rPr>
                <w:bCs/>
                <w:sz w:val="22"/>
                <w:szCs w:val="22"/>
                <w:lang w:val="ro-RO"/>
              </w:rPr>
            </w:pPr>
            <w:r w:rsidRPr="00E0488D">
              <w:rPr>
                <w:bCs/>
                <w:sz w:val="22"/>
                <w:szCs w:val="22"/>
                <w:lang w:val="ro-RO"/>
              </w:rPr>
              <w:t>51</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bCs/>
                <w:sz w:val="22"/>
                <w:szCs w:val="22"/>
                <w:lang w:val="ro-RO"/>
              </w:rPr>
            </w:pPr>
            <w:r w:rsidRPr="00E0488D">
              <w:rPr>
                <w:bCs/>
                <w:sz w:val="22"/>
                <w:szCs w:val="22"/>
                <w:lang w:val="ro-RO"/>
              </w:rPr>
              <w:t>51</w:t>
            </w:r>
          </w:p>
        </w:tc>
      </w:tr>
      <w:tr w:rsidR="00B4550A" w:rsidRPr="00E0488D" w:rsidTr="003C7FC8">
        <w:trPr>
          <w:trHeight w:val="329"/>
          <w:jc w:val="center"/>
        </w:trPr>
        <w:tc>
          <w:tcPr>
            <w:tcW w:w="2126" w:type="dxa"/>
            <w:vAlign w:val="center"/>
          </w:tcPr>
          <w:p w:rsidR="00B4550A" w:rsidRPr="00E0488D" w:rsidRDefault="00B4550A" w:rsidP="003C7FC8">
            <w:pPr>
              <w:rPr>
                <w:sz w:val="22"/>
                <w:szCs w:val="22"/>
                <w:lang w:val="ro-RO"/>
              </w:rPr>
            </w:pPr>
            <w:r w:rsidRPr="00E0488D">
              <w:rPr>
                <w:sz w:val="22"/>
                <w:szCs w:val="22"/>
                <w:lang w:val="ro-RO"/>
              </w:rPr>
              <w:t>Tulcea</w:t>
            </w:r>
          </w:p>
        </w:tc>
        <w:tc>
          <w:tcPr>
            <w:tcW w:w="1985" w:type="dxa"/>
            <w:vAlign w:val="center"/>
          </w:tcPr>
          <w:p w:rsidR="00B4550A" w:rsidRPr="00E0488D" w:rsidRDefault="00B4550A" w:rsidP="003C7FC8">
            <w:pPr>
              <w:jc w:val="center"/>
              <w:rPr>
                <w:sz w:val="22"/>
                <w:szCs w:val="22"/>
                <w:lang w:val="ro-RO"/>
              </w:rPr>
            </w:pPr>
            <w:r w:rsidRPr="00E0488D">
              <w:rPr>
                <w:sz w:val="22"/>
                <w:szCs w:val="22"/>
                <w:lang w:val="ro-RO"/>
              </w:rPr>
              <w:t>Nu a fost disponibilă</w:t>
            </w:r>
          </w:p>
        </w:tc>
        <w:tc>
          <w:tcPr>
            <w:tcW w:w="1559" w:type="dxa"/>
            <w:vAlign w:val="center"/>
          </w:tcPr>
          <w:p w:rsidR="00B4550A" w:rsidRPr="00E0488D" w:rsidRDefault="00B4550A" w:rsidP="003C7FC8">
            <w:pPr>
              <w:jc w:val="center"/>
              <w:rPr>
                <w:bCs/>
                <w:sz w:val="22"/>
                <w:szCs w:val="22"/>
                <w:lang w:val="ro-RO"/>
              </w:rPr>
            </w:pPr>
            <w:r w:rsidRPr="00E0488D">
              <w:rPr>
                <w:bCs/>
                <w:sz w:val="22"/>
                <w:szCs w:val="22"/>
                <w:lang w:val="ro-RO"/>
              </w:rPr>
              <w:t>0</w:t>
            </w:r>
          </w:p>
        </w:tc>
        <w:tc>
          <w:tcPr>
            <w:tcW w:w="1701" w:type="dxa"/>
            <w:vAlign w:val="center"/>
          </w:tcPr>
          <w:p w:rsidR="00B4550A" w:rsidRPr="00E0488D" w:rsidRDefault="00B4550A" w:rsidP="003C7FC8">
            <w:pPr>
              <w:jc w:val="center"/>
              <w:rPr>
                <w:sz w:val="22"/>
                <w:szCs w:val="22"/>
                <w:lang w:val="ro-RO"/>
              </w:rPr>
            </w:pPr>
            <w:r w:rsidRPr="00E0488D">
              <w:rPr>
                <w:sz w:val="22"/>
                <w:szCs w:val="22"/>
                <w:lang w:val="ro-RO"/>
              </w:rPr>
              <w:t>100%</w:t>
            </w:r>
          </w:p>
        </w:tc>
        <w:tc>
          <w:tcPr>
            <w:tcW w:w="2126" w:type="dxa"/>
            <w:vAlign w:val="center"/>
          </w:tcPr>
          <w:p w:rsidR="00B4550A" w:rsidRPr="00E0488D" w:rsidRDefault="00B4550A" w:rsidP="003C7FC8">
            <w:pPr>
              <w:jc w:val="center"/>
              <w:rPr>
                <w:bCs/>
                <w:sz w:val="22"/>
                <w:szCs w:val="22"/>
                <w:lang w:val="ro-RO"/>
              </w:rPr>
            </w:pPr>
            <w:r w:rsidRPr="00E0488D">
              <w:rPr>
                <w:bCs/>
                <w:sz w:val="22"/>
                <w:szCs w:val="22"/>
                <w:lang w:val="ro-RO"/>
              </w:rPr>
              <w:t>0</w:t>
            </w:r>
          </w:p>
        </w:tc>
      </w:tr>
    </w:tbl>
    <w:p w:rsidR="00B4550A" w:rsidRPr="00E0488D" w:rsidRDefault="00B4550A" w:rsidP="00B4550A">
      <w:pPr>
        <w:ind w:left="851"/>
        <w:rPr>
          <w:lang w:val="ro-RO"/>
        </w:rPr>
      </w:pPr>
      <w:r w:rsidRPr="00E0488D">
        <w:rPr>
          <w:lang w:val="ro-RO"/>
        </w:rPr>
        <w:t>¹ Chestionare completate</w:t>
      </w:r>
    </w:p>
    <w:p w:rsidR="00B4550A" w:rsidRPr="00E0488D" w:rsidRDefault="00B4550A" w:rsidP="002B7E09">
      <w:pPr>
        <w:pStyle w:val="NumberedParas"/>
      </w:pPr>
      <w:r w:rsidRPr="00E0488D">
        <w:t>Pentru stabilirea cererii de capacitate pentru transportul aerian de pasageri la ore de vârf din cadrul scenariului Do Nothing 2020, am verificat numărul existent de zboruri la ora de vârf pentru fiecare tip de aeroport (a se consulta Tabelul 7.13). Cererea la ora de vârf depinde și de capacitatea pistei unui aeroport. În cazul aeroporturilor regionale mici procentul la ora de vârf pare mare dat fiind faptul că unele dintre aceste aeroporturi înregistrează doar unul sau două zboruri pe zi. Se consideră ca premisă următoarele procente de zboruri la ore de vârf pentru fiecare categorie de aeroporturi:</w:t>
      </w:r>
    </w:p>
    <w:p w:rsidR="00B4550A" w:rsidRPr="00E0488D" w:rsidRDefault="00B4550A" w:rsidP="00BC2B57">
      <w:pPr>
        <w:pStyle w:val="BulletLevel1"/>
      </w:pPr>
      <w:r w:rsidRPr="00E0488D">
        <w:t>Aeroporturi Internaționale Majore – 15%</w:t>
      </w:r>
    </w:p>
    <w:p w:rsidR="00B4550A" w:rsidRPr="00E0488D" w:rsidRDefault="00B4550A" w:rsidP="00BC2B57">
      <w:pPr>
        <w:pStyle w:val="BulletLevel1"/>
      </w:pPr>
      <w:r w:rsidRPr="00E0488D">
        <w:t>Aeroporturi Hub Internațional – 30%</w:t>
      </w:r>
    </w:p>
    <w:p w:rsidR="00B4550A" w:rsidRPr="00E0488D" w:rsidRDefault="00B4550A" w:rsidP="00BC2B57">
      <w:pPr>
        <w:pStyle w:val="BulletLevel1"/>
      </w:pPr>
      <w:r w:rsidRPr="00E0488D">
        <w:t>Aeroporturi Regionale – 40%</w:t>
      </w:r>
    </w:p>
    <w:p w:rsidR="00B4550A" w:rsidRPr="00E0488D" w:rsidRDefault="00B4550A" w:rsidP="00BC2B57">
      <w:pPr>
        <w:pStyle w:val="BulletLevel1"/>
      </w:pPr>
      <w:r w:rsidRPr="00E0488D">
        <w:t>Aeroporturi Regionale Mici – 50%</w:t>
      </w:r>
    </w:p>
    <w:p w:rsidR="00B4550A" w:rsidRPr="00E0488D" w:rsidRDefault="00B4550A" w:rsidP="002B7E09">
      <w:pPr>
        <w:pStyle w:val="NumberedParas"/>
      </w:pPr>
      <w:r w:rsidRPr="00E0488D">
        <w:t xml:space="preserve">Este important să notăm faptul că cu cât aeroportul devine mai aglomerat în termenii numărului de pasageri și mișcărilor de trafic aerian, cu atât zborurile vor fi distribuite mai uniform pe parcursul zilei rezultând astfel un procent mai mic de zboruri la orele de vârf. </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pPr>
      <w:r w:rsidRPr="00E0488D">
        <w:t>Tabelul 7.14 prezintă necesarul de capacitate pentru terminalele de pasageri pentru anul 2020.</w:t>
      </w:r>
    </w:p>
    <w:p w:rsidR="00B4550A" w:rsidRPr="00E0488D" w:rsidRDefault="00B4550A" w:rsidP="00B4550A">
      <w:pPr>
        <w:ind w:left="851"/>
        <w:rPr>
          <w:b/>
          <w:sz w:val="22"/>
          <w:szCs w:val="22"/>
          <w:lang w:val="ro-RO"/>
        </w:rPr>
      </w:pPr>
      <w:r w:rsidRPr="00E0488D">
        <w:rPr>
          <w:b/>
          <w:sz w:val="22"/>
          <w:szCs w:val="22"/>
          <w:lang w:val="ro-RO"/>
        </w:rPr>
        <w:t>Tabelul 7.14 – Capacitatea necesară a terminalelor de pasageri la ore de vârf în anul 2020</w:t>
      </w:r>
    </w:p>
    <w:tbl>
      <w:tblPr>
        <w:tblW w:w="9355"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406"/>
        <w:gridCol w:w="1843"/>
        <w:gridCol w:w="1417"/>
        <w:gridCol w:w="1985"/>
        <w:gridCol w:w="1704"/>
      </w:tblGrid>
      <w:tr w:rsidR="00B4550A" w:rsidRPr="00E0488D" w:rsidTr="003C7FC8">
        <w:trPr>
          <w:trHeight w:val="1424"/>
          <w:tblHeader/>
          <w:jc w:val="center"/>
        </w:trPr>
        <w:tc>
          <w:tcPr>
            <w:tcW w:w="2406" w:type="dxa"/>
            <w:tcBorders>
              <w:top w:val="single" w:sz="12" w:space="0" w:color="4F81BD"/>
              <w:left w:val="single" w:sz="12" w:space="0" w:color="4F81BD"/>
              <w:bottom w:val="single" w:sz="12" w:space="0" w:color="4F81BD"/>
            </w:tcBorders>
            <w:shd w:val="clear" w:color="auto" w:fill="DBE5F1"/>
            <w:vAlign w:val="center"/>
          </w:tcPr>
          <w:p w:rsidR="00B4550A" w:rsidRPr="00E0488D" w:rsidRDefault="00B4550A" w:rsidP="003C7FC8">
            <w:pPr>
              <w:jc w:val="center"/>
              <w:rPr>
                <w:b/>
                <w:bCs/>
                <w:color w:val="000000"/>
                <w:sz w:val="22"/>
                <w:szCs w:val="22"/>
                <w:lang w:val="ro-RO"/>
              </w:rPr>
            </w:pPr>
            <w:r w:rsidRPr="00E0488D">
              <w:rPr>
                <w:b/>
                <w:bCs/>
                <w:color w:val="000000"/>
                <w:sz w:val="22"/>
                <w:szCs w:val="22"/>
                <w:lang w:val="ro-RO"/>
              </w:rPr>
              <w:t>Nume aeroport</w:t>
            </w:r>
          </w:p>
        </w:tc>
        <w:tc>
          <w:tcPr>
            <w:tcW w:w="1843"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Capacitate</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la ore</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vârf</w:t>
            </w:r>
          </w:p>
          <w:p w:rsidR="00B4550A" w:rsidRPr="00E0488D" w:rsidRDefault="00B4550A" w:rsidP="003C7FC8">
            <w:pPr>
              <w:jc w:val="center"/>
              <w:rPr>
                <w:b/>
                <w:bCs/>
                <w:color w:val="000000"/>
                <w:sz w:val="22"/>
                <w:szCs w:val="22"/>
                <w:lang w:val="ro-RO"/>
              </w:rPr>
            </w:pPr>
            <w:r w:rsidRPr="00E0488D">
              <w:rPr>
                <w:b/>
                <w:bCs/>
                <w:color w:val="000000"/>
                <w:sz w:val="22"/>
                <w:szCs w:val="22"/>
                <w:lang w:val="ro-RO"/>
              </w:rPr>
              <w:t>(Pasageri)¹</w:t>
            </w:r>
          </w:p>
        </w:tc>
        <w:tc>
          <w:tcPr>
            <w:tcW w:w="1417"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Număr zilnic</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pasageri</w:t>
            </w:r>
          </w:p>
        </w:tc>
        <w:tc>
          <w:tcPr>
            <w:tcW w:w="1985"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Procentaj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zboruri la ora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vârf</w:t>
            </w:r>
          </w:p>
        </w:tc>
        <w:tc>
          <w:tcPr>
            <w:tcW w:w="1704"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Capacitatea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necesară</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la ore de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vârf</w:t>
            </w:r>
          </w:p>
        </w:tc>
      </w:tr>
      <w:tr w:rsidR="00B4550A" w:rsidRPr="00E0488D" w:rsidTr="003C7FC8">
        <w:trPr>
          <w:trHeight w:val="329"/>
          <w:jc w:val="center"/>
        </w:trPr>
        <w:tc>
          <w:tcPr>
            <w:tcW w:w="2406" w:type="dxa"/>
            <w:tcBorders>
              <w:top w:val="single" w:sz="12" w:space="0" w:color="4F81BD"/>
            </w:tcBorders>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București</w:t>
            </w:r>
          </w:p>
        </w:tc>
        <w:tc>
          <w:tcPr>
            <w:tcW w:w="1843" w:type="dxa"/>
            <w:tcBorders>
              <w:top w:val="single" w:sz="12" w:space="0" w:color="4F81BD"/>
            </w:tcBorders>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4.500</w:t>
            </w:r>
          </w:p>
        </w:tc>
        <w:tc>
          <w:tcPr>
            <w:tcW w:w="1417" w:type="dxa"/>
            <w:tcBorders>
              <w:top w:val="single" w:sz="12" w:space="0" w:color="4F81BD"/>
            </w:tcBorders>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28,735</w:t>
            </w:r>
          </w:p>
        </w:tc>
        <w:tc>
          <w:tcPr>
            <w:tcW w:w="1985" w:type="dxa"/>
            <w:tcBorders>
              <w:top w:val="single" w:sz="12" w:space="0" w:color="4F81BD"/>
            </w:tcBorders>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15% </w:t>
            </w:r>
          </w:p>
        </w:tc>
        <w:tc>
          <w:tcPr>
            <w:tcW w:w="1704" w:type="dxa"/>
            <w:tcBorders>
              <w:top w:val="single" w:sz="12" w:space="0" w:color="4F81BD"/>
            </w:tcBorders>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4,310</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Craiova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5,953</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1,786</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Timișoara</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1.200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5,307</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1,592</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Sibiu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4,490</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1,347</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Cluj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1.500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3,990</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1,197</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Bacău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3,521</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1,056</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Iasi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1.422</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2,112</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634</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Târgu Mureș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580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2.042</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817</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Oradea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704</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282</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Brașov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n/a</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703</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281</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Constanta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 xml:space="preserve">n/a </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400</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277</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Suceava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150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692</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277</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Tulcea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150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566</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227</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Baia Mare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530</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212</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Arad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108</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54</w:t>
            </w:r>
          </w:p>
        </w:tc>
      </w:tr>
      <w:tr w:rsidR="00B4550A" w:rsidRPr="00E0488D" w:rsidTr="003C7FC8">
        <w:trPr>
          <w:trHeight w:val="329"/>
          <w:jc w:val="center"/>
        </w:trPr>
        <w:tc>
          <w:tcPr>
            <w:tcW w:w="2406"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Satu Mare </w:t>
            </w:r>
          </w:p>
        </w:tc>
        <w:tc>
          <w:tcPr>
            <w:tcW w:w="1843"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200</w:t>
            </w:r>
          </w:p>
        </w:tc>
        <w:tc>
          <w:tcPr>
            <w:tcW w:w="1417"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90</w:t>
            </w:r>
          </w:p>
        </w:tc>
        <w:tc>
          <w:tcPr>
            <w:tcW w:w="1985"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1704"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45</w:t>
            </w:r>
          </w:p>
        </w:tc>
      </w:tr>
    </w:tbl>
    <w:p w:rsidR="00B4550A" w:rsidRPr="00E0488D" w:rsidRDefault="00B4550A" w:rsidP="00B4550A">
      <w:pPr>
        <w:rPr>
          <w:lang w:val="ro-RO"/>
        </w:rPr>
      </w:pPr>
      <w:r w:rsidRPr="00E0488D">
        <w:rPr>
          <w:lang w:val="ro-RO"/>
        </w:rPr>
        <w:t>¹ Chestionare completate</w:t>
      </w:r>
    </w:p>
    <w:p w:rsidR="00B4550A" w:rsidRPr="00E0488D" w:rsidRDefault="00B4550A" w:rsidP="00B4550A">
      <w:pPr>
        <w:rPr>
          <w:lang w:val="ro-RO"/>
        </w:rPr>
      </w:pPr>
      <w:r w:rsidRPr="00E0488D">
        <w:rPr>
          <w:lang w:val="ro-RO"/>
        </w:rPr>
        <w:t xml:space="preserve">2 Nivelul de servicii al aerportului Constanța este sub Nivelul de Servicii -C </w:t>
      </w:r>
    </w:p>
    <w:p w:rsidR="00B4550A" w:rsidRPr="00E0488D" w:rsidRDefault="00B4550A" w:rsidP="002B7E09">
      <w:pPr>
        <w:pStyle w:val="NumberedParas"/>
      </w:pPr>
      <w:r w:rsidRPr="00E0488D">
        <w:t xml:space="preserve">Din Tabelul 7.14 reiese clar că următoarele aeroporturi vor atinge capacitatea maximă sau vor avea nevoie de un plus de capacitate al terminalelor de pasageri până în anul 2020: Craiova, Timișoara, Sibiu, Bacău, Iași, Târgu Mureș, Suceava, Tulcea, Baia Mare. Deși aeroportul Constanța pare a avea capacitatea necesară pentru a face față creșterii numărului de pasageri, construcția existentă pentru serviciile de pasageri operează în prezent la un nivel foarte scăzut al serviciilor iar pentru atingerea unui nivel de servicii de tip C ar fi necesară construcția unui nou terminal. </w:t>
      </w:r>
    </w:p>
    <w:p w:rsidR="00B4550A" w:rsidRPr="00E0488D" w:rsidRDefault="00B4550A" w:rsidP="00B4550A">
      <w:pPr>
        <w:ind w:left="851"/>
        <w:rPr>
          <w:b/>
          <w:lang w:val="ro-RO"/>
        </w:rPr>
      </w:pPr>
      <w:r w:rsidRPr="00E0488D">
        <w:rPr>
          <w:b/>
          <w:sz w:val="22"/>
          <w:szCs w:val="22"/>
          <w:lang w:val="ro-RO"/>
        </w:rPr>
        <w:t>Tabelul 7.15 – Capacitatea necesară a terminalelor de pasageri la ore de vârf (2015)</w:t>
      </w:r>
    </w:p>
    <w:tbl>
      <w:tblPr>
        <w:tblW w:w="9517" w:type="dxa"/>
        <w:jc w:val="center"/>
        <w:tblBorders>
          <w:top w:val="single" w:sz="12" w:space="0" w:color="4F81BD"/>
          <w:left w:val="single" w:sz="12" w:space="0" w:color="4F81BD"/>
          <w:bottom w:val="single" w:sz="12" w:space="0" w:color="4F81BD"/>
          <w:right w:val="single" w:sz="12" w:space="0" w:color="4F81BD"/>
          <w:insideH w:val="single" w:sz="6" w:space="0" w:color="4F81BD"/>
          <w:insideV w:val="single" w:sz="6" w:space="0" w:color="4F81BD"/>
        </w:tblBorders>
        <w:tblLayout w:type="fixed"/>
        <w:tblLook w:val="04A0" w:firstRow="1" w:lastRow="0" w:firstColumn="1" w:lastColumn="0" w:noHBand="0" w:noVBand="1"/>
      </w:tblPr>
      <w:tblGrid>
        <w:gridCol w:w="2388"/>
        <w:gridCol w:w="1701"/>
        <w:gridCol w:w="1559"/>
        <w:gridCol w:w="1843"/>
        <w:gridCol w:w="2026"/>
      </w:tblGrid>
      <w:tr w:rsidR="00B4550A" w:rsidRPr="00E0488D" w:rsidTr="003C7FC8">
        <w:trPr>
          <w:trHeight w:val="734"/>
          <w:tblHeader/>
          <w:jc w:val="center"/>
        </w:trPr>
        <w:tc>
          <w:tcPr>
            <w:tcW w:w="2388" w:type="dxa"/>
            <w:tcBorders>
              <w:top w:val="single" w:sz="12" w:space="0" w:color="4F81BD"/>
              <w:left w:val="single" w:sz="12" w:space="0" w:color="4F81BD"/>
              <w:bottom w:val="single" w:sz="12" w:space="0" w:color="4F81BD"/>
            </w:tcBorders>
            <w:shd w:val="clear" w:color="auto" w:fill="DBE5F1"/>
            <w:vAlign w:val="center"/>
          </w:tcPr>
          <w:p w:rsidR="00B4550A" w:rsidRPr="00E0488D" w:rsidRDefault="00B4550A" w:rsidP="003C7FC8">
            <w:pPr>
              <w:jc w:val="center"/>
              <w:rPr>
                <w:b/>
                <w:bCs/>
                <w:color w:val="000000"/>
                <w:sz w:val="22"/>
                <w:szCs w:val="22"/>
                <w:lang w:val="ro-RO"/>
              </w:rPr>
            </w:pPr>
            <w:r w:rsidRPr="00E0488D">
              <w:rPr>
                <w:b/>
                <w:bCs/>
                <w:color w:val="000000"/>
                <w:sz w:val="22"/>
                <w:szCs w:val="22"/>
                <w:lang w:val="ro-RO"/>
              </w:rPr>
              <w:t>Nume aeroport</w:t>
            </w:r>
          </w:p>
        </w:tc>
        <w:tc>
          <w:tcPr>
            <w:tcW w:w="1701"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Capacitate la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ore</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vârf</w:t>
            </w:r>
          </w:p>
          <w:p w:rsidR="00B4550A" w:rsidRPr="00E0488D" w:rsidRDefault="00B4550A" w:rsidP="003C7FC8">
            <w:pPr>
              <w:jc w:val="center"/>
              <w:rPr>
                <w:b/>
                <w:bCs/>
                <w:color w:val="000000"/>
                <w:sz w:val="22"/>
                <w:szCs w:val="22"/>
                <w:lang w:val="ro-RO"/>
              </w:rPr>
            </w:pPr>
            <w:r w:rsidRPr="00E0488D">
              <w:rPr>
                <w:b/>
                <w:bCs/>
                <w:color w:val="000000"/>
                <w:sz w:val="22"/>
                <w:szCs w:val="22"/>
                <w:lang w:val="ro-RO"/>
              </w:rPr>
              <w:t>(Pasangeri)¹</w:t>
            </w:r>
          </w:p>
        </w:tc>
        <w:tc>
          <w:tcPr>
            <w:tcW w:w="1559"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Număr zilnic</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pasageri</w:t>
            </w:r>
          </w:p>
        </w:tc>
        <w:tc>
          <w:tcPr>
            <w:tcW w:w="1843"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Procentaj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zboruri la ora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de vârf</w:t>
            </w:r>
          </w:p>
        </w:tc>
        <w:tc>
          <w:tcPr>
            <w:tcW w:w="2026" w:type="dxa"/>
            <w:tcBorders>
              <w:top w:val="single" w:sz="12" w:space="0" w:color="4F81BD"/>
              <w:bottom w:val="single" w:sz="12" w:space="0" w:color="4F81BD"/>
            </w:tcBorders>
            <w:shd w:val="clear" w:color="auto" w:fill="DBE5F1"/>
            <w:vAlign w:val="center"/>
          </w:tcPr>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Cererea de</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 xml:space="preserve">capacitate </w:t>
            </w:r>
          </w:p>
          <w:p w:rsidR="00B4550A" w:rsidRPr="00E0488D" w:rsidRDefault="00B4550A" w:rsidP="003C7FC8">
            <w:pPr>
              <w:ind w:left="-3761" w:firstLine="3761"/>
              <w:jc w:val="center"/>
              <w:rPr>
                <w:b/>
                <w:bCs/>
                <w:color w:val="000000"/>
                <w:sz w:val="22"/>
                <w:szCs w:val="22"/>
                <w:lang w:val="ro-RO"/>
              </w:rPr>
            </w:pPr>
            <w:r w:rsidRPr="00E0488D">
              <w:rPr>
                <w:b/>
                <w:bCs/>
                <w:color w:val="000000"/>
                <w:sz w:val="22"/>
                <w:szCs w:val="22"/>
                <w:lang w:val="ro-RO"/>
              </w:rPr>
              <w:t>la ora de vârf</w:t>
            </w:r>
          </w:p>
        </w:tc>
      </w:tr>
      <w:tr w:rsidR="00B4550A" w:rsidRPr="00E0488D" w:rsidTr="003C7FC8">
        <w:trPr>
          <w:trHeight w:val="329"/>
          <w:jc w:val="center"/>
        </w:trPr>
        <w:tc>
          <w:tcPr>
            <w:tcW w:w="2388" w:type="dxa"/>
            <w:tcBorders>
              <w:top w:val="single" w:sz="12" w:space="0" w:color="4F81BD"/>
            </w:tcBorders>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București </w:t>
            </w:r>
          </w:p>
        </w:tc>
        <w:tc>
          <w:tcPr>
            <w:tcW w:w="1701" w:type="dxa"/>
            <w:tcBorders>
              <w:top w:val="single" w:sz="12" w:space="0" w:color="4F81BD"/>
            </w:tcBorders>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4,500</w:t>
            </w:r>
          </w:p>
        </w:tc>
        <w:tc>
          <w:tcPr>
            <w:tcW w:w="1559" w:type="dxa"/>
            <w:tcBorders>
              <w:top w:val="single" w:sz="12" w:space="0" w:color="4F81BD"/>
            </w:tcBorders>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35,603</w:t>
            </w:r>
          </w:p>
        </w:tc>
        <w:tc>
          <w:tcPr>
            <w:tcW w:w="1843" w:type="dxa"/>
            <w:tcBorders>
              <w:top w:val="single" w:sz="12" w:space="0" w:color="4F81BD"/>
            </w:tcBorders>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15% </w:t>
            </w:r>
          </w:p>
        </w:tc>
        <w:tc>
          <w:tcPr>
            <w:tcW w:w="2026" w:type="dxa"/>
            <w:tcBorders>
              <w:top w:val="single" w:sz="12" w:space="0" w:color="4F81BD"/>
            </w:tcBorders>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5,340</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Craiova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7,562</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2,269</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Timișoara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1,200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6,559</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1,968</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Sibiu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5,581</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1,674</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Cluj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1,500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4,990</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30%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1,497</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Bacau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4,358</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1,307</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Iasi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1.422</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2,654</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796</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Targu Mures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580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2.538</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1.0154</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Oradea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883</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353</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Brasov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n/a</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868</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347</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Constanta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 xml:space="preserve">400 </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864</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40%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346</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Suceava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150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859</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344</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Tulcea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150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700</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280</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Baia Mare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665</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b/>
                <w:bCs/>
                <w:color w:val="FF0000"/>
                <w:kern w:val="24"/>
                <w:sz w:val="22"/>
                <w:szCs w:val="22"/>
                <w:lang w:val="ro-RO"/>
              </w:rPr>
              <w:t>266</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Arad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134</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67</w:t>
            </w:r>
          </w:p>
        </w:tc>
      </w:tr>
      <w:tr w:rsidR="00B4550A" w:rsidRPr="00E0488D" w:rsidTr="003C7FC8">
        <w:trPr>
          <w:trHeight w:val="329"/>
          <w:jc w:val="center"/>
        </w:trPr>
        <w:tc>
          <w:tcPr>
            <w:tcW w:w="2388" w:type="dxa"/>
            <w:vAlign w:val="bottom"/>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Satu Mare </w:t>
            </w:r>
          </w:p>
        </w:tc>
        <w:tc>
          <w:tcPr>
            <w:tcW w:w="1701"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200</w:t>
            </w:r>
          </w:p>
        </w:tc>
        <w:tc>
          <w:tcPr>
            <w:tcW w:w="1559"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113</w:t>
            </w:r>
          </w:p>
        </w:tc>
        <w:tc>
          <w:tcPr>
            <w:tcW w:w="1843"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 </w:t>
            </w:r>
          </w:p>
        </w:tc>
        <w:tc>
          <w:tcPr>
            <w:tcW w:w="2026" w:type="dxa"/>
            <w:vAlign w:val="bottom"/>
          </w:tcPr>
          <w:p w:rsidR="00B4550A" w:rsidRPr="00E0488D" w:rsidRDefault="00B4550A" w:rsidP="003C7FC8">
            <w:pPr>
              <w:pStyle w:val="NormalWeb"/>
              <w:jc w:val="center"/>
              <w:textAlignment w:val="bottom"/>
              <w:rPr>
                <w:rFonts w:ascii="Arial" w:hAnsi="Arial" w:cs="Arial"/>
                <w:sz w:val="22"/>
                <w:szCs w:val="22"/>
                <w:lang w:val="ro-RO"/>
              </w:rPr>
            </w:pPr>
            <w:r w:rsidRPr="00E0488D">
              <w:rPr>
                <w:rFonts w:ascii="Arial" w:hAnsi="Arial" w:cs="Arial"/>
                <w:color w:val="000000"/>
                <w:kern w:val="24"/>
                <w:sz w:val="22"/>
                <w:szCs w:val="22"/>
                <w:lang w:val="ro-RO"/>
              </w:rPr>
              <w:t>57</w:t>
            </w:r>
          </w:p>
        </w:tc>
      </w:tr>
    </w:tbl>
    <w:p w:rsidR="00B4550A" w:rsidRPr="00E0488D" w:rsidRDefault="00B4550A" w:rsidP="00B4550A">
      <w:pPr>
        <w:rPr>
          <w:lang w:val="ro-RO"/>
        </w:rPr>
      </w:pPr>
      <w:r w:rsidRPr="00E0488D">
        <w:rPr>
          <w:lang w:val="ro-RO"/>
        </w:rPr>
        <w:t>¹ Chestionare completate</w:t>
      </w:r>
    </w:p>
    <w:p w:rsidR="00B4550A" w:rsidRPr="00E0488D" w:rsidRDefault="00B4550A" w:rsidP="002B7E09">
      <w:pPr>
        <w:pStyle w:val="NumberedParas"/>
      </w:pPr>
      <w:r w:rsidRPr="00E0488D">
        <w:t>Din Tabelul 7.15 reiese clar că până în anul 2025 următoarele aeroporturi vor ajunge la capacitatea maximă sau vor avea nevoie de un plus de capacitate al terminalelor de pasageri: București - Henri Coandă, Craiova, Timișoara, Sibiu, Bacău, Iași, Târgu Mureș, Suceava, Tulcea și Baia Mare.</w:t>
      </w:r>
    </w:p>
    <w:p w:rsidR="00B4550A" w:rsidRPr="00E0488D" w:rsidRDefault="00B4550A" w:rsidP="002B7E09">
      <w:pPr>
        <w:pStyle w:val="NumberedParas"/>
      </w:pPr>
      <w:r w:rsidRPr="00E0488D">
        <w:t xml:space="preserve">În cazul aeroporturilor care vor înregistra un deficit de capacitate și care vor avansa de la categoria aeroporturilor regionale la categoria Hub Internațional, propunem dezvoltarea unui nou terminal de pasageri în locul extinderii construcției existente. Terminalele de pasageri existente vor putea fi utilizate pentru zborurile interne în timp ce noile terminale pot fi dedicate zborurilor internaționale. </w:t>
      </w:r>
    </w:p>
    <w:p w:rsidR="00B4550A" w:rsidRPr="00E0488D" w:rsidRDefault="00B4550A" w:rsidP="00B4550A">
      <w:pPr>
        <w:pStyle w:val="Hdg3"/>
      </w:pPr>
      <w:r w:rsidRPr="00E0488D">
        <w:t>Disponibilitatea aeroporturilor în timpul condițiilor de mediu extreme</w:t>
      </w:r>
    </w:p>
    <w:p w:rsidR="00B4550A" w:rsidRPr="00E0488D" w:rsidRDefault="00B4550A" w:rsidP="002B7E09">
      <w:pPr>
        <w:pStyle w:val="NumberedParas"/>
      </w:pPr>
      <w:r w:rsidRPr="00E0488D">
        <w:t>Potrivit informațiilor TAROM, zborurile către Sibiu, Târgu Mureș și Suceava au fost suspendate din luna noiembrie 2013 din cauza lipsei unei infrastructuri adecvate necesare condițiilor de operare în timpul lunilor de iarnă. Pe parcursul iernii 2012 s-au putut efectua doar 40% din aterizările programate la aceste aeroporturi din cauza lipsei de infrastructură și condițiilor meteo extreme.</w:t>
      </w:r>
    </w:p>
    <w:p w:rsidR="00B4550A" w:rsidRPr="00E0488D" w:rsidRDefault="00B4550A" w:rsidP="00B4550A">
      <w:pPr>
        <w:pStyle w:val="Hdg3"/>
      </w:pPr>
      <w:r w:rsidRPr="00E0488D">
        <w:t>Nivelul slab de integrare între planurile de dezvoltare propuse de autoritățile locale și cele propuse de administratorii aeroporturilor</w:t>
      </w:r>
    </w:p>
    <w:p w:rsidR="00B4550A" w:rsidRPr="00E0488D" w:rsidRDefault="00B4550A" w:rsidP="002B7E09">
      <w:pPr>
        <w:pStyle w:val="NumberedParas"/>
      </w:pPr>
      <w:r w:rsidRPr="00E0488D">
        <w:t>Potrivit Autorității Aeronautice Civile din România, nu există o bună integrare a planurilor de dezvoltare propuse de autoritățile locale și planurile de extindere a aeroporturilor propuse de administratorii acestora. Dezvoltarea urbană a zonelor din vecinătatea aeroporturilor ar putea limita potențialele proiecte de extindere a aeroporturilor. Planurile locale de dezvoltare urbană nu iau întotdeauna în considerare planurile viitoare de extindere a aeroporturilor în ceea ce privește dezvoltarea infrastructuri aeroportuare, zonelor de siguranță și tiparelor de zbor. Traficul aerian din și către România creează beneficii economice. Prin limitarea planurilor de extindere a aeroporturilor, creșterea economică Mărfuri generale ă a respectivei regiuni ar putea fi compromisă.</w:t>
      </w:r>
    </w:p>
    <w:p w:rsidR="00B4550A" w:rsidRPr="00E0488D" w:rsidRDefault="00B4550A" w:rsidP="00B4550A">
      <w:pPr>
        <w:pStyle w:val="Hdg3"/>
      </w:pPr>
      <w:r w:rsidRPr="00E0488D">
        <w:t>Accesul spre și dinspre aeroporturi</w:t>
      </w:r>
    </w:p>
    <w:p w:rsidR="00B4550A" w:rsidRPr="00E0488D" w:rsidRDefault="00B4550A" w:rsidP="002B7E09">
      <w:pPr>
        <w:pStyle w:val="NumberedParas"/>
      </w:pPr>
      <w:r w:rsidRPr="00E0488D">
        <w:t>În prezent se manifestă o lipsă a unui transport public de calitate care să care să conecteze zonele urbane și Aeroportul Internațional Henri Coandă; nu există tren direct, metrou sau mai multe linii express care să faciliteze deplasările dintre aceste zone. Această situație, împreună cu duratele mari de parcurs dintre centrele urbane și aeroport pot crea o problemă semnificativă de acces și ar putea cauza întârzieri semnificative.</w:t>
      </w:r>
    </w:p>
    <w:p w:rsidR="00B4550A" w:rsidRPr="00E0488D" w:rsidRDefault="00B4550A" w:rsidP="002B7E09">
      <w:pPr>
        <w:pStyle w:val="NumberedParas"/>
      </w:pPr>
      <w:r w:rsidRPr="00E0488D">
        <w:t>Master Planul sprijină necesitatea unei conexiuni fixe între Aeroportul Internațional Henri Coandă și centrul municipiului București însă este necesar un studiu detaliat de fezabilitate ca parte a Planului de Mobilitate Urbană pentru stabilirea naturii acestei legături dedicate.</w:t>
      </w:r>
    </w:p>
    <w:p w:rsidR="00B4550A" w:rsidRPr="00E0488D" w:rsidRDefault="00B4550A" w:rsidP="002B7E09">
      <w:pPr>
        <w:pStyle w:val="NumberedParas"/>
      </w:pPr>
      <w:r w:rsidRPr="00E0488D">
        <w:t xml:space="preserve">Sunt, de asemenea, necesare studii mai detaliate pentru toate Aeroporturile Hub Internațional pentru a determina necesarul de legături fixe către aceste aeroporturi ca parte a Planului de Mobilitate Urbană Durabilă. În cazul aeroporturilor care sunt localizate în apropierea căii ferate (ex. Timișoara, Cluj), trebuie investigată posibilitatea conectării aeroportului cu legăturile feroviare existente. </w:t>
      </w:r>
    </w:p>
    <w:p w:rsidR="00B4550A" w:rsidRPr="00E0488D" w:rsidRDefault="00B4550A" w:rsidP="00B4550A">
      <w:pPr>
        <w:pStyle w:val="Hdg3"/>
      </w:pPr>
      <w:r w:rsidRPr="00E0488D">
        <w:t>Lipsa facilităților terminalelor cargo /facilităților intermodale de marfă</w:t>
      </w:r>
    </w:p>
    <w:p w:rsidR="00B4550A" w:rsidRPr="00E0488D" w:rsidRDefault="00B4550A" w:rsidP="002B7E09">
      <w:pPr>
        <w:pStyle w:val="NumberedParas"/>
      </w:pPr>
      <w:r w:rsidRPr="00E0488D">
        <w:t>Foarte puține aeroporturi dețin o facilitate cargo recunoscută, cu excepția Aeroportului Internațional Henri Coandă din București, care desfășoară preponderent operațiuni cu aeroporturile Hub Internațional din alte țări europene. Această situație apare în ciuda faptului că România se bucură de o poziție centrală între Orientul Mijlociu, Africa de Nord, Europa occidentală și Rusia. Cuplată cu proasta infrastructură de transport de pe teritoriul  României această situație duce mai degrabă la concluzia că România devine o destinație finală a transportului aerian de marfă și nu un hub internațional.</w:t>
      </w:r>
    </w:p>
    <w:p w:rsidR="00B4550A" w:rsidRPr="00E0488D" w:rsidRDefault="00B4550A" w:rsidP="002B7E09">
      <w:pPr>
        <w:pStyle w:val="NumberedParas"/>
      </w:pPr>
      <w:r w:rsidRPr="00E0488D">
        <w:t>Lipsa facilităților cargo ar putea împiedica o serie de investiții în companii specializate în servicii logistice și de transport marfă sau companii producătoare de bunuri care necesită lanțuri de aprovizionare rapide sau complexe, cum ar fi firmele producătoare de electronice sau produse farmaceutice. De asemenea, se limitează posibilitatea liniilor aeriene de a își distribui riscul prin oferta de servicii de transport aerian prin curse dedicate și transporturi ocazionale.</w:t>
      </w:r>
    </w:p>
    <w:p w:rsidR="00B4550A" w:rsidRPr="00E0488D" w:rsidRDefault="00B4550A" w:rsidP="00B4550A">
      <w:pPr>
        <w:pStyle w:val="Hdg3"/>
      </w:pPr>
      <w:r w:rsidRPr="00E0488D">
        <w:t>Securitatea aeroporturilor</w:t>
      </w:r>
    </w:p>
    <w:p w:rsidR="00B4550A" w:rsidRPr="00E0488D" w:rsidRDefault="00B4550A" w:rsidP="002B7E09">
      <w:pPr>
        <w:pStyle w:val="NumberedParas"/>
      </w:pPr>
      <w:r w:rsidRPr="00E0488D">
        <w:t xml:space="preserve">Comisia Europeană a transformat industria de securitate într-una din părțile componente esențiale ale inițiativei emblematice UE 2020 „O politică Industrială Integrată pentru era Globalizării. Atribuirea celui mai important rol competitivității și viabilității.” În cadrul acestei politici Comisia Europeană a anunțat lansarea unei inițiative pentru o Politică a Industriei Securității care include stabilirea unui sistem de certificare armonizat la scara întregii Uniuni Europene pentru echipamentele  de screening și detecție din aeroporturi. </w:t>
      </w:r>
    </w:p>
    <w:p w:rsidR="00B4550A" w:rsidRPr="00E0488D" w:rsidRDefault="00B4550A" w:rsidP="002B7E09">
      <w:pPr>
        <w:pStyle w:val="NumberedParas"/>
      </w:pPr>
      <w:r w:rsidRPr="00E0488D">
        <w:t>Intervențiile din domeniul securității aeriene, se referă astfel la echipamentul de securitate, de  verificare și detecție pentru bagajele de cală sau de mână, în vederea detectării articolelor interzise. Echipamentele existente  trebuie, deci, înlocuite pentru a putea respecta aceste noi standard europene în ce privește securitatea aviatică.</w:t>
      </w:r>
    </w:p>
    <w:p w:rsidR="00B4550A" w:rsidRPr="00E0488D" w:rsidRDefault="00B4550A" w:rsidP="00B4550A">
      <w:pPr>
        <w:pStyle w:val="Hdg3"/>
      </w:pPr>
      <w:r w:rsidRPr="00E0488D">
        <w:t xml:space="preserve">Îmbunătățiri ale siguranței pentru aerodromurile mici, private sau de stat </w:t>
      </w:r>
    </w:p>
    <w:p w:rsidR="00B4550A" w:rsidRPr="00E0488D" w:rsidRDefault="00B4550A" w:rsidP="002B7E09">
      <w:pPr>
        <w:pStyle w:val="NumberedParas"/>
        <w:numPr>
          <w:ilvl w:val="0"/>
          <w:numId w:val="0"/>
        </w:numPr>
        <w:ind w:left="851"/>
      </w:pPr>
      <w:r w:rsidRPr="00E0488D">
        <w:t>Pentru a asigura o acoperire teritorială armonizată care va permite conectarea tuturor regiunilor pentru serviciile de poștă și curierat, transport în interes de serviciu, servicii medicale de urgență și activități care au constrângeri de timp asociate, trebuie introduse următoarele îmbunătățiri în domeniul siguranței, pe baza criteriilor stabilite de Ministerul Transporturilor, prin intermediul unei scheme de facilități de stat:</w:t>
      </w:r>
    </w:p>
    <w:p w:rsidR="00B4550A" w:rsidRPr="00E0488D" w:rsidRDefault="00B4550A" w:rsidP="002B7E09">
      <w:pPr>
        <w:pStyle w:val="NumberedParas"/>
        <w:numPr>
          <w:ilvl w:val="0"/>
          <w:numId w:val="19"/>
        </w:numPr>
      </w:pPr>
      <w:r w:rsidRPr="00E0488D">
        <w:t>Îmbunătățirea siguranței pe aerodromurile de interes local certificate, dedicate aeronavelor mici (MTOW&lt; 5.,700kg, zboruri VFR).</w:t>
      </w:r>
    </w:p>
    <w:p w:rsidR="00B4550A" w:rsidRPr="00E0488D" w:rsidRDefault="00B4550A" w:rsidP="002B7E09">
      <w:pPr>
        <w:pStyle w:val="NumberedParas"/>
        <w:numPr>
          <w:ilvl w:val="0"/>
          <w:numId w:val="19"/>
        </w:numPr>
      </w:pPr>
      <w:r w:rsidRPr="00E0488D">
        <w:t xml:space="preserve">Dezvoltarea/modernizarea aerodromurilor de interes local certificate, dedicate zborurilor cu aeronave mici MTOW&lt; 5.,700kg, zboruri VFR, piste de beton/asfalt de 900 de metri, plasate în zone civile la o anumită distanță minimă stabilită față de cel mai apropiat aeroport ) </w:t>
      </w:r>
    </w:p>
    <w:p w:rsidR="00B4550A" w:rsidRPr="00E0488D" w:rsidRDefault="00B4550A" w:rsidP="00BD59B2">
      <w:pPr>
        <w:pStyle w:val="Hdg2"/>
      </w:pPr>
      <w:bookmarkStart w:id="566" w:name="_Toc413060339"/>
      <w:r w:rsidRPr="00E0488D">
        <w:t>Obiective strategice</w:t>
      </w:r>
      <w:bookmarkEnd w:id="566"/>
    </w:p>
    <w:p w:rsidR="00B4550A" w:rsidRPr="00E0488D" w:rsidRDefault="00B4550A" w:rsidP="002B7E09">
      <w:pPr>
        <w:pStyle w:val="NumberedParas"/>
      </w:pPr>
      <w:r w:rsidRPr="00E0488D">
        <w:t xml:space="preserve">Sectorul transportului aerian al unei țări este direct legat de Produsul Intern Brut și astfel, constituie o parte importantă a economiei acesteia. Unul dintre obiectivele cheie ale industriei aviatice este să ofere un mod de transport sigur și securizat pentru pasageri. Sectorul transportului aerian din România ar trebui să asigure o rețea de rute de trafic intern dar și legături între celelalte țări europene și restul lumii. </w:t>
      </w:r>
    </w:p>
    <w:p w:rsidR="00B4550A" w:rsidRPr="00E0488D" w:rsidRDefault="00B4550A" w:rsidP="00BD59B2">
      <w:pPr>
        <w:pStyle w:val="Hdg2"/>
      </w:pPr>
      <w:bookmarkStart w:id="567" w:name="_Toc413060340"/>
      <w:r w:rsidRPr="00E0488D">
        <w:t>Obiective operaționale</w:t>
      </w:r>
      <w:bookmarkEnd w:id="567"/>
    </w:p>
    <w:p w:rsidR="00B4550A" w:rsidRPr="00E0488D" w:rsidRDefault="00B4550A" w:rsidP="002B7E09">
      <w:pPr>
        <w:pStyle w:val="NumberedParas"/>
      </w:pPr>
      <w:r w:rsidRPr="00E0488D">
        <w:t xml:space="preserve">Obiectivele operaționale pentru sectorul transportului aerian din România sunt prezentate mai jos: </w:t>
      </w:r>
    </w:p>
    <w:p w:rsidR="00B4550A" w:rsidRPr="00E0488D" w:rsidRDefault="00B4550A" w:rsidP="00BC2B57">
      <w:pPr>
        <w:pStyle w:val="BulletLevel1"/>
      </w:pPr>
      <w:r w:rsidRPr="00E0488D">
        <w:t>Aeroportul Internațional Henri Coandă din București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Craiova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Timișoara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Cluj-Napoca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Bacău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Iași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Târgu Mureș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Constanța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Aeroportul Suceava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BC2B57">
      <w:pPr>
        <w:pStyle w:val="BulletLevel1"/>
      </w:pPr>
      <w:r w:rsidRPr="00E0488D">
        <w:t xml:space="preserve">Aeroportul Tulcea trebuie să aibă capacitatea necesară pentru a asigura infrastructura și facilitățile operaționale de care va fi nevoie pentru satisfacerea nivelului cererii de transport aerian din anii 2020 și 2025. </w:t>
      </w:r>
    </w:p>
    <w:p w:rsidR="00B4550A" w:rsidRPr="00E0488D" w:rsidRDefault="00B4550A" w:rsidP="00BC2B57">
      <w:pPr>
        <w:pStyle w:val="BulletLevel1"/>
      </w:pPr>
      <w:r w:rsidRPr="00E0488D">
        <w:t>Aeroportul Baia Mare trebuie să aibă capacitatea necesară pentru a asigura infrastructura și facilitățile operaționale de care va fi nevoie pentru satisfacerea nivelului cererii de transport aerian din anii 2020 și 2025.</w:t>
      </w:r>
    </w:p>
    <w:p w:rsidR="00B4550A" w:rsidRPr="00E0488D" w:rsidRDefault="00B4550A" w:rsidP="002B7E09">
      <w:pPr>
        <w:pStyle w:val="NumberedParas"/>
      </w:pPr>
      <w:r w:rsidRPr="00E0488D">
        <w:t>Sprijinim, în principiu conceptul asigurării unor facilități cargo moderne la aeroporturile hub internațional, pe baza ariei de captare a aeroporturilor și serviciilor internaționale care ar trebui atrase către aceste aeroporturi, dar nu putem verifica independent justificarea economică pentru fiecare proiect la nivel individual. Aceasta deoarece factorii care determină cantitatea de marfă țin de considerente locale și depind de tipul de industrie și servicii existente la nivel local, tiparele de distribuție (echilibrul dintre comerțul intern și internațional) și tipul de destinații ale serviciilor aeriene în viitor. Astfel, am inclus terminalele cargo în bugetul Mărfuri generale  pentru îmbunătățiri aduse aeroporturilor pentru care s-a identificat nevoia unui astfel de terminal de către autoritățile aeroportuare (așa cum este cazul aeroportului Iași), sau în baza studiilor de fezabilitate detaliate în care au fost propuse aceste terminale (ex. Cluj –Napoca). Detaliile sunt cuprinse în secțiunile următoare.</w:t>
      </w:r>
    </w:p>
    <w:p w:rsidR="00B4550A" w:rsidRPr="00E0488D" w:rsidRDefault="00B4550A" w:rsidP="002B7E09">
      <w:pPr>
        <w:pStyle w:val="NumberedParas"/>
      </w:pPr>
      <w:r w:rsidRPr="00E0488D">
        <w:t xml:space="preserve">Este important să notăm faptmeul că sectorul aerian diferă de celelalte moduri de transport prin faptul că nivelul cererii se află într-o puternică relație de dependență atât cu facilitățile și serviciile aferente zonei aeroportuare cât și de cele oferite în zona publică. Un aeroport fără un program eficient de curse aeriene nu generează trafic aerian, iar pe de altă parte, companiile aeriene nu vor începe derularea serviciilor până când nu vor avea la dispoziție toate facilitățile necesare la sol. Relația este una simbiotică și în cazurile în care aceasta este una de succes, se pot genera volume mari de pasageri.  </w:t>
      </w:r>
    </w:p>
    <w:p w:rsidR="00B4550A" w:rsidRPr="00E0488D" w:rsidRDefault="00B4550A" w:rsidP="00BD59B2">
      <w:pPr>
        <w:pStyle w:val="Hdg2"/>
      </w:pPr>
      <w:bookmarkStart w:id="568" w:name="_Toc413060341"/>
      <w:r w:rsidRPr="00E0488D">
        <w:t>Intervenții</w:t>
      </w:r>
      <w:bookmarkEnd w:id="568"/>
    </w:p>
    <w:p w:rsidR="00B4550A" w:rsidRPr="00E0488D" w:rsidRDefault="00B4550A" w:rsidP="002B7E09">
      <w:pPr>
        <w:pStyle w:val="NumberedParas"/>
      </w:pPr>
      <w:r w:rsidRPr="00E0488D">
        <w:t xml:space="preserve">Pentru determinarea costurilor extinderii terminalelor s-a calculat cererea la orele de vârf pornind de la nivelul prognozat. Diverse aeroporturi incluse în categoria de servicii C au fost analizate pentru stabilirea spațiului necesar în terminal pentru un pasager la ore de vârf. Necesarul de spațiu identificat pentru fiecare aeroport a fost apoi multiplicat cu un cost de construcție de 2.500 de Euro pe metru pătrat. </w:t>
      </w:r>
    </w:p>
    <w:p w:rsidR="00B4550A" w:rsidRPr="00E0488D" w:rsidRDefault="00B4550A" w:rsidP="002B7E09">
      <w:pPr>
        <w:pStyle w:val="NumberedParas"/>
      </w:pPr>
      <w:r w:rsidRPr="00E0488D">
        <w:t>În vederea realizării obiectivelor operaționale pentru diferite aeroporturi se propun următoarele intervenții:</w:t>
      </w:r>
    </w:p>
    <w:p w:rsidR="00B4550A" w:rsidRPr="00E0488D" w:rsidRDefault="00B4550A" w:rsidP="00B4550A">
      <w:pPr>
        <w:rPr>
          <w:sz w:val="22"/>
          <w:szCs w:val="22"/>
          <w:lang w:val="ro-RO"/>
        </w:rPr>
      </w:pPr>
      <w:r w:rsidRPr="00E0488D">
        <w:rPr>
          <w:lang w:val="ro-RO"/>
        </w:rPr>
        <w:br w:type="page"/>
      </w:r>
    </w:p>
    <w:p w:rsidR="00B4550A" w:rsidRPr="00E0488D" w:rsidRDefault="00B4550A" w:rsidP="002B7E09">
      <w:pPr>
        <w:pStyle w:val="NumberedParas"/>
        <w:numPr>
          <w:ilvl w:val="0"/>
          <w:numId w:val="0"/>
        </w:numPr>
        <w:ind w:left="851"/>
      </w:pPr>
    </w:p>
    <w:p w:rsidR="00B4550A" w:rsidRPr="00E0488D" w:rsidRDefault="00B4550A" w:rsidP="00B4550A">
      <w:pPr>
        <w:pStyle w:val="Hdg3"/>
      </w:pPr>
      <w:r w:rsidRPr="00E0488D">
        <w:t>Program de modernizare a Aeroportului Internațional Henri Coandă București</w:t>
      </w:r>
    </w:p>
    <w:p w:rsidR="00B4550A" w:rsidRPr="00E0488D" w:rsidRDefault="00B4550A" w:rsidP="00B4550A">
      <w:pPr>
        <w:pStyle w:val="ListParagraph"/>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Potrivit clasificării aeroporturilor prezentate mai sus, Aeroportul Internațional Henri Coandă din București este singurul Aeroport Hub Internațional Major din România.</w:t>
      </w:r>
    </w:p>
    <w:p w:rsidR="00B4550A" w:rsidRPr="00E0488D" w:rsidRDefault="00B4550A" w:rsidP="002B7E09">
      <w:pPr>
        <w:pStyle w:val="NumberedParas"/>
      </w:pPr>
      <w:r w:rsidRPr="00E0488D">
        <w:t>Proiectul de modernizare a Aeroportului Internațional Henri Coandă are ca scop asigurarea infrastructurii necesare și a facilităților operaționale capabile să satisfacă nivelul cererii de servicii din 2020 și 2025. Proiectul include:</w:t>
      </w:r>
    </w:p>
    <w:p w:rsidR="00B4550A" w:rsidRPr="00E0488D" w:rsidRDefault="00B4550A" w:rsidP="00BC2B57">
      <w:pPr>
        <w:pStyle w:val="BulletLevel1"/>
      </w:pPr>
      <w:r w:rsidRPr="00E0488D">
        <w:t xml:space="preserve">Dezvoltarea unui nou terminal de pasageri și a infrastructurii aferente acestuia sau extinderea terminalului existent până în anul 2025 pentru a putea menține nivelului de servicii de Clasa C. </w:t>
      </w:r>
    </w:p>
    <w:p w:rsidR="00B4550A" w:rsidRPr="00E0488D" w:rsidRDefault="00B4550A" w:rsidP="00BC2B57">
      <w:pPr>
        <w:pStyle w:val="BulletLevel1"/>
      </w:pPr>
      <w:r w:rsidRPr="00E0488D">
        <w:t>Extinderea sistemului de căi de rulare și dezvoltarea a 56 de noi poziții de staționare pe platformă până în anul 2020.</w:t>
      </w:r>
    </w:p>
    <w:p w:rsidR="00B4550A" w:rsidRPr="00E0488D" w:rsidRDefault="00B4550A" w:rsidP="00BC2B57">
      <w:pPr>
        <w:pStyle w:val="BulletLevel1"/>
      </w:pPr>
      <w:r w:rsidRPr="00E0488D">
        <w:t>Reabilitarea platformei, căilor de rulare și pistelor.</w:t>
      </w:r>
    </w:p>
    <w:p w:rsidR="00B4550A" w:rsidRPr="00E0488D" w:rsidRDefault="00B4550A" w:rsidP="00BC2B57">
      <w:pPr>
        <w:pStyle w:val="BulletLevel1"/>
      </w:pPr>
      <w:r w:rsidRPr="00E0488D">
        <w:t>O nouă conexiune de transport terestru.</w:t>
      </w:r>
    </w:p>
    <w:p w:rsidR="00B4550A" w:rsidRPr="00E0488D" w:rsidRDefault="00B4550A" w:rsidP="00BC2B57">
      <w:pPr>
        <w:pStyle w:val="BulletLevel1"/>
      </w:pPr>
      <w:r w:rsidRPr="00E0488D">
        <w:t>Analiza oportunității de a dezvolta un terminal cargo.</w:t>
      </w:r>
    </w:p>
    <w:p w:rsidR="00B4550A" w:rsidRPr="00E0488D" w:rsidRDefault="00B4550A" w:rsidP="002B7E09">
      <w:pPr>
        <w:pStyle w:val="NumberedParas"/>
      </w:pPr>
      <w:r w:rsidRPr="00E0488D">
        <w:t xml:space="preserve">Figura 7.6 prezintă localizarea Aeroportului Internațional Henri Coandă în relație cu celelalte aeroporturi din România. </w:t>
      </w:r>
    </w:p>
    <w:p w:rsidR="00B4550A" w:rsidRPr="00E0488D" w:rsidRDefault="00B4550A" w:rsidP="00B4550A">
      <w:pPr>
        <w:rPr>
          <w:sz w:val="22"/>
          <w:szCs w:val="22"/>
          <w:lang w:val="ro-RO"/>
        </w:rPr>
      </w:pP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4572000" cy="3286125"/>
            <wp:effectExtent l="19050" t="0" r="0" b="0"/>
            <wp:docPr id="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4572000" cy="3286125"/>
                    </a:xfrm>
                    <a:prstGeom prst="rect">
                      <a:avLst/>
                    </a:prstGeom>
                    <a:noFill/>
                    <a:ln w="9525">
                      <a:noFill/>
                      <a:miter lim="800000"/>
                      <a:headEnd/>
                      <a:tailEnd/>
                    </a:ln>
                  </pic:spPr>
                </pic:pic>
              </a:graphicData>
            </a:graphic>
          </wp:inline>
        </w:drawing>
      </w:r>
    </w:p>
    <w:p w:rsidR="00B4550A" w:rsidRPr="00E0488D" w:rsidRDefault="00B4550A" w:rsidP="00B4550A">
      <w:pPr>
        <w:rPr>
          <w:b/>
          <w:sz w:val="22"/>
          <w:szCs w:val="22"/>
          <w:lang w:val="ro-RO"/>
        </w:rPr>
      </w:pPr>
      <w:r w:rsidRPr="00E0488D">
        <w:rPr>
          <w:b/>
          <w:sz w:val="22"/>
          <w:szCs w:val="22"/>
          <w:lang w:val="ro-RO"/>
        </w:rPr>
        <w:t>Figura 7.6: Localizarea Aeroportului Internațional Henri Coandă București</w:t>
      </w:r>
    </w:p>
    <w:p w:rsidR="00B4550A" w:rsidRPr="00E0488D" w:rsidRDefault="00B4550A" w:rsidP="00B4550A">
      <w:pPr>
        <w:rPr>
          <w:sz w:val="22"/>
          <w:szCs w:val="22"/>
          <w:lang w:val="ro-RO"/>
        </w:rPr>
      </w:pPr>
    </w:p>
    <w:p w:rsidR="00B4550A" w:rsidRPr="00E0488D" w:rsidRDefault="00B4550A" w:rsidP="00B4550A">
      <w:pPr>
        <w:pStyle w:val="Body"/>
        <w:rPr>
          <w:b/>
          <w:lang w:val="ro-RO"/>
        </w:rPr>
      </w:pPr>
      <w:r w:rsidRPr="00E0488D">
        <w:rPr>
          <w:b/>
          <w:lang w:val="ro-RO"/>
        </w:rPr>
        <w:t>Probleme abordate</w:t>
      </w:r>
    </w:p>
    <w:p w:rsidR="00B4550A" w:rsidRPr="00E0488D" w:rsidRDefault="00B4550A" w:rsidP="002B7E09">
      <w:pPr>
        <w:pStyle w:val="NumberedParas"/>
      </w:pPr>
      <w:r w:rsidRPr="00E0488D">
        <w:t>Această intervenție se adresează următoarelor probleme:</w:t>
      </w:r>
    </w:p>
    <w:p w:rsidR="00B4550A" w:rsidRPr="00E0488D" w:rsidRDefault="00B4550A" w:rsidP="00BC2B57">
      <w:pPr>
        <w:pStyle w:val="BulletLevel1"/>
      </w:pPr>
      <w:r w:rsidRPr="00E0488D">
        <w:t>Facilitarea creșterii numărului de pasageri în vederea menținerii serviciilor de Clasa C.</w:t>
      </w:r>
    </w:p>
    <w:p w:rsidR="00B4550A" w:rsidRPr="00E0488D" w:rsidRDefault="00B4550A" w:rsidP="00BC2B57">
      <w:pPr>
        <w:pStyle w:val="BulletLevel1"/>
      </w:pPr>
      <w:r w:rsidRPr="00E0488D">
        <w:t xml:space="preserve">Capacitatea insuficientă a platformelor pentru nivelul anului 2020. </w:t>
      </w:r>
    </w:p>
    <w:p w:rsidR="00B4550A" w:rsidRPr="00E0488D" w:rsidRDefault="00B4550A" w:rsidP="00BC2B57">
      <w:pPr>
        <w:pStyle w:val="BulletLevel1"/>
      </w:pPr>
      <w:r w:rsidRPr="00E0488D">
        <w:t>Conectivitatea internațională va genera creșteri ale fluxurilor de mărfuri.</w:t>
      </w:r>
    </w:p>
    <w:p w:rsidR="00B4550A" w:rsidRPr="00E0488D" w:rsidRDefault="00B4550A" w:rsidP="00BC2B57">
      <w:pPr>
        <w:pStyle w:val="BulletLevel1"/>
      </w:pPr>
      <w:r w:rsidRPr="00E0488D">
        <w:t>Curse speciale de tren și de autobuz inadecvate.</w:t>
      </w:r>
    </w:p>
    <w:p w:rsidR="00B4550A" w:rsidRPr="00E0488D" w:rsidRDefault="00B4550A" w:rsidP="00B4550A">
      <w:pPr>
        <w:pStyle w:val="ListParagraph"/>
        <w:spacing w:before="120" w:after="120" w:line="276" w:lineRule="auto"/>
        <w:ind w:left="0"/>
        <w:rPr>
          <w:b/>
          <w:lang w:val="ro-RO"/>
        </w:rPr>
      </w:pPr>
      <w:r w:rsidRPr="00E0488D">
        <w:rPr>
          <w:b/>
          <w:lang w:val="ro-RO"/>
        </w:rPr>
        <w:t>Costuri neactualizate</w:t>
      </w:r>
    </w:p>
    <w:p w:rsidR="00B4550A" w:rsidRPr="00E0488D" w:rsidRDefault="00B4550A" w:rsidP="00B4550A">
      <w:pPr>
        <w:rPr>
          <w:sz w:val="22"/>
          <w:szCs w:val="22"/>
          <w:lang w:val="ro-RO"/>
        </w:rPr>
      </w:pPr>
      <w:r w:rsidRPr="00E0488D">
        <w:rPr>
          <w:sz w:val="22"/>
          <w:szCs w:val="22"/>
          <w:lang w:val="ro-RO"/>
        </w:rPr>
        <w:t>Următoarele costuri au fost estimate pentru proiect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2"/>
        <w:gridCol w:w="6880"/>
      </w:tblGrid>
      <w:tr w:rsidR="00B4550A" w:rsidRPr="00E0488D" w:rsidTr="003C7FC8">
        <w:trPr>
          <w:cantSplit/>
          <w:tblHeader/>
        </w:trPr>
        <w:tc>
          <w:tcPr>
            <w:tcW w:w="1726" w:type="pct"/>
            <w:gridSpan w:val="2"/>
            <w:vAlign w:val="center"/>
          </w:tcPr>
          <w:p w:rsidR="00B4550A" w:rsidRPr="00E0488D" w:rsidRDefault="00B4550A" w:rsidP="003C7FC8">
            <w:pPr>
              <w:jc w:val="center"/>
              <w:rPr>
                <w:b/>
                <w:bCs/>
                <w:sz w:val="22"/>
                <w:szCs w:val="22"/>
                <w:lang w:val="ro-RO"/>
              </w:rPr>
            </w:pPr>
            <w:r w:rsidRPr="00E0488D">
              <w:rPr>
                <w:b/>
                <w:bCs/>
                <w:sz w:val="22"/>
                <w:szCs w:val="22"/>
                <w:lang w:val="ro-RO"/>
              </w:rPr>
              <w:t>Costuri neactualizate</w:t>
            </w:r>
          </w:p>
          <w:p w:rsidR="00B4550A" w:rsidRPr="00E0488D" w:rsidRDefault="00B4550A" w:rsidP="003C7FC8">
            <w:pPr>
              <w:jc w:val="center"/>
              <w:rPr>
                <w:b/>
                <w:bCs/>
                <w:sz w:val="22"/>
                <w:szCs w:val="22"/>
                <w:lang w:val="ro-RO"/>
              </w:rPr>
            </w:pPr>
            <w:r w:rsidRPr="00E0488D">
              <w:rPr>
                <w:b/>
                <w:bCs/>
                <w:sz w:val="22"/>
                <w:szCs w:val="22"/>
                <w:lang w:val="ro-RO"/>
              </w:rPr>
              <w:t>(Milioane €, prețuri din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978" w:type="pct"/>
            <w:vAlign w:val="bottom"/>
          </w:tcPr>
          <w:p w:rsidR="00B4550A" w:rsidRPr="00E0488D" w:rsidRDefault="00B4550A" w:rsidP="003C7FC8">
            <w:pPr>
              <w:spacing w:before="120"/>
              <w:rPr>
                <w:sz w:val="22"/>
                <w:szCs w:val="22"/>
                <w:lang w:val="ro-RO"/>
              </w:rPr>
            </w:pPr>
            <w:r w:rsidRPr="00E0488D">
              <w:rPr>
                <w:sz w:val="22"/>
                <w:szCs w:val="22"/>
                <w:lang w:val="ro-RO"/>
              </w:rPr>
              <w:t xml:space="preserve">CAPEX </w:t>
            </w:r>
          </w:p>
        </w:tc>
        <w:tc>
          <w:tcPr>
            <w:tcW w:w="748" w:type="pct"/>
            <w:vAlign w:val="bottom"/>
          </w:tcPr>
          <w:p w:rsidR="00B4550A" w:rsidRPr="00E0488D" w:rsidRDefault="00B4550A" w:rsidP="003C7FC8">
            <w:pPr>
              <w:spacing w:before="120"/>
              <w:jc w:val="center"/>
              <w:rPr>
                <w:sz w:val="22"/>
                <w:szCs w:val="22"/>
                <w:lang w:val="ro-RO"/>
              </w:rPr>
            </w:pPr>
            <w:r w:rsidRPr="00E0488D">
              <w:rPr>
                <w:sz w:val="22"/>
                <w:szCs w:val="22"/>
                <w:lang w:val="ro-RO"/>
              </w:rPr>
              <w:t>247,3</w:t>
            </w:r>
          </w:p>
        </w:tc>
        <w:tc>
          <w:tcPr>
            <w:tcW w:w="3274" w:type="pct"/>
          </w:tcPr>
          <w:p w:rsidR="00B4550A" w:rsidRPr="00E0488D" w:rsidRDefault="00B4550A" w:rsidP="003C7FC8">
            <w:pPr>
              <w:spacing w:before="120"/>
              <w:rPr>
                <w:sz w:val="22"/>
                <w:szCs w:val="22"/>
                <w:lang w:val="ro-RO"/>
              </w:rPr>
            </w:pPr>
            <w:r w:rsidRPr="00E0488D">
              <w:rPr>
                <w:sz w:val="22"/>
                <w:szCs w:val="22"/>
                <w:lang w:val="ro-RO"/>
              </w:rPr>
              <w:t>Includ:</w:t>
            </w:r>
          </w:p>
          <w:p w:rsidR="00B4550A" w:rsidRPr="00E0488D" w:rsidRDefault="00B4550A" w:rsidP="00687448">
            <w:pPr>
              <w:pStyle w:val="ListParagraph"/>
              <w:numPr>
                <w:ilvl w:val="0"/>
                <w:numId w:val="30"/>
              </w:numPr>
              <w:spacing w:before="120"/>
              <w:contextualSpacing/>
              <w:jc w:val="left"/>
              <w:rPr>
                <w:lang w:val="ro-RO"/>
              </w:rPr>
            </w:pPr>
            <w:r w:rsidRPr="00E0488D">
              <w:rPr>
                <w:lang w:val="ro-RO"/>
              </w:rPr>
              <w:t xml:space="preserve">Dezvoltarea unui nou terminal de pasageri sau extinderea terminalului existent </w:t>
            </w:r>
          </w:p>
          <w:p w:rsidR="00B4550A" w:rsidRPr="00E0488D" w:rsidRDefault="00B4550A" w:rsidP="00687448">
            <w:pPr>
              <w:pStyle w:val="ListParagraph"/>
              <w:numPr>
                <w:ilvl w:val="0"/>
                <w:numId w:val="30"/>
              </w:numPr>
              <w:spacing w:before="120"/>
              <w:contextualSpacing/>
              <w:jc w:val="left"/>
              <w:rPr>
                <w:lang w:val="ro-RO"/>
              </w:rPr>
            </w:pPr>
            <w:r w:rsidRPr="00E0488D">
              <w:rPr>
                <w:lang w:val="ro-RO"/>
              </w:rPr>
              <w:t xml:space="preserve">Construcția de noi platforme și reabilitarea sau extinderea celor existente </w:t>
            </w:r>
          </w:p>
          <w:p w:rsidR="00B4550A" w:rsidRPr="00E0488D" w:rsidRDefault="00B4550A" w:rsidP="00687448">
            <w:pPr>
              <w:pStyle w:val="ListParagraph"/>
              <w:numPr>
                <w:ilvl w:val="0"/>
                <w:numId w:val="30"/>
              </w:numPr>
              <w:spacing w:before="120"/>
              <w:contextualSpacing/>
              <w:jc w:val="left"/>
              <w:rPr>
                <w:lang w:val="ro-RO"/>
              </w:rPr>
            </w:pPr>
            <w:r w:rsidRPr="00E0488D">
              <w:rPr>
                <w:lang w:val="ro-RO"/>
              </w:rPr>
              <w:t>Extinderea căilor de rulare</w:t>
            </w:r>
          </w:p>
          <w:p w:rsidR="00B4550A" w:rsidRPr="00E0488D" w:rsidRDefault="00B4550A" w:rsidP="00687448">
            <w:pPr>
              <w:pStyle w:val="ListParagraph"/>
              <w:numPr>
                <w:ilvl w:val="0"/>
                <w:numId w:val="30"/>
              </w:numPr>
              <w:spacing w:before="120"/>
              <w:contextualSpacing/>
              <w:jc w:val="left"/>
              <w:rPr>
                <w:lang w:val="ro-RO"/>
              </w:rPr>
            </w:pPr>
            <w:r w:rsidRPr="00E0488D">
              <w:rPr>
                <w:lang w:val="ro-RO"/>
              </w:rPr>
              <w:t xml:space="preserve">Nou sistem de transport terestru </w:t>
            </w:r>
          </w:p>
          <w:p w:rsidR="00B4550A" w:rsidRPr="00E0488D" w:rsidRDefault="00B4550A" w:rsidP="00687448">
            <w:pPr>
              <w:pStyle w:val="ListParagraph"/>
              <w:numPr>
                <w:ilvl w:val="0"/>
                <w:numId w:val="30"/>
              </w:numPr>
              <w:spacing w:before="120"/>
              <w:contextualSpacing/>
              <w:jc w:val="left"/>
              <w:rPr>
                <w:lang w:val="ro-RO"/>
              </w:rPr>
            </w:pPr>
            <w:r w:rsidRPr="00E0488D">
              <w:rPr>
                <w:lang w:val="ro-RO"/>
              </w:rPr>
              <w:t>Fezabilitatea dezvoltării unui nou terminal cargo</w:t>
            </w:r>
          </w:p>
          <w:p w:rsidR="00B4550A" w:rsidRPr="00E0488D" w:rsidRDefault="00B4550A" w:rsidP="003C7FC8">
            <w:pPr>
              <w:pStyle w:val="ListParagraph"/>
              <w:spacing w:before="120"/>
              <w:contextualSpacing/>
              <w:jc w:val="left"/>
              <w:rPr>
                <w:lang w:val="ro-RO"/>
              </w:rPr>
            </w:pPr>
          </w:p>
        </w:tc>
      </w:tr>
      <w:tr w:rsidR="00B4550A" w:rsidRPr="00E0488D" w:rsidTr="003C7FC8">
        <w:trPr>
          <w:cantSplit/>
        </w:trPr>
        <w:tc>
          <w:tcPr>
            <w:tcW w:w="978" w:type="pct"/>
            <w:vAlign w:val="bottom"/>
          </w:tcPr>
          <w:p w:rsidR="00B4550A" w:rsidRPr="00E0488D" w:rsidRDefault="00B4550A" w:rsidP="003C7FC8">
            <w:pPr>
              <w:spacing w:before="120"/>
              <w:rPr>
                <w:sz w:val="22"/>
                <w:szCs w:val="22"/>
                <w:lang w:val="ro-RO"/>
              </w:rPr>
            </w:pPr>
            <w:r w:rsidRPr="00E0488D">
              <w:rPr>
                <w:sz w:val="22"/>
                <w:szCs w:val="22"/>
                <w:lang w:val="ro-RO"/>
              </w:rPr>
              <w:t xml:space="preserve">OPEX </w:t>
            </w:r>
          </w:p>
        </w:tc>
        <w:tc>
          <w:tcPr>
            <w:tcW w:w="748" w:type="pct"/>
            <w:vAlign w:val="bottom"/>
          </w:tcPr>
          <w:p w:rsidR="00B4550A" w:rsidRPr="00E0488D" w:rsidRDefault="00B4550A" w:rsidP="003C7FC8">
            <w:pPr>
              <w:spacing w:before="120"/>
              <w:jc w:val="center"/>
              <w:rPr>
                <w:sz w:val="22"/>
                <w:szCs w:val="22"/>
                <w:lang w:val="ro-RO"/>
              </w:rPr>
            </w:pPr>
            <w:r w:rsidRPr="00E0488D">
              <w:rPr>
                <w:sz w:val="22"/>
                <w:szCs w:val="22"/>
                <w:lang w:val="ro-RO"/>
              </w:rPr>
              <w:t>12,4</w:t>
            </w:r>
          </w:p>
        </w:tc>
        <w:tc>
          <w:tcPr>
            <w:tcW w:w="3274" w:type="pct"/>
          </w:tcPr>
          <w:p w:rsidR="00B4550A" w:rsidRPr="00E0488D" w:rsidRDefault="00B4550A" w:rsidP="003C7FC8">
            <w:pPr>
              <w:spacing w:before="120"/>
              <w:rPr>
                <w:sz w:val="22"/>
                <w:szCs w:val="22"/>
                <w:lang w:val="ro-RO"/>
              </w:rPr>
            </w:pPr>
            <w:r w:rsidRPr="00E0488D">
              <w:rPr>
                <w:sz w:val="22"/>
                <w:szCs w:val="22"/>
                <w:lang w:val="ro-RO"/>
              </w:rPr>
              <w:t xml:space="preserve">Costuri de operare suplimentare </w:t>
            </w:r>
          </w:p>
        </w:tc>
      </w:tr>
      <w:tr w:rsidR="00B4550A" w:rsidRPr="00E0488D" w:rsidTr="003C7FC8">
        <w:trPr>
          <w:cantSplit/>
        </w:trPr>
        <w:tc>
          <w:tcPr>
            <w:tcW w:w="978" w:type="pct"/>
          </w:tcPr>
          <w:p w:rsidR="00B4550A" w:rsidRPr="00E0488D" w:rsidRDefault="00B4550A" w:rsidP="003C7FC8">
            <w:pPr>
              <w:spacing w:before="120"/>
              <w:rPr>
                <w:sz w:val="22"/>
                <w:szCs w:val="22"/>
                <w:lang w:val="ro-RO"/>
              </w:rPr>
            </w:pPr>
            <w:r w:rsidRPr="00E0488D">
              <w:rPr>
                <w:sz w:val="22"/>
                <w:szCs w:val="22"/>
                <w:lang w:val="ro-RO"/>
              </w:rPr>
              <w:t xml:space="preserve">Total </w:t>
            </w:r>
          </w:p>
        </w:tc>
        <w:tc>
          <w:tcPr>
            <w:tcW w:w="748" w:type="pct"/>
          </w:tcPr>
          <w:p w:rsidR="00B4550A" w:rsidRPr="00E0488D" w:rsidRDefault="00B4550A" w:rsidP="003C7FC8">
            <w:pPr>
              <w:spacing w:before="120"/>
              <w:jc w:val="center"/>
              <w:rPr>
                <w:b/>
                <w:sz w:val="22"/>
                <w:szCs w:val="22"/>
                <w:lang w:val="ro-RO"/>
              </w:rPr>
            </w:pPr>
            <w:r w:rsidRPr="00E0488D">
              <w:rPr>
                <w:b/>
                <w:sz w:val="22"/>
                <w:szCs w:val="22"/>
                <w:lang w:val="ro-RO"/>
              </w:rPr>
              <w:t>259,6</w:t>
            </w:r>
          </w:p>
        </w:tc>
        <w:tc>
          <w:tcPr>
            <w:tcW w:w="3274" w:type="pct"/>
          </w:tcPr>
          <w:p w:rsidR="00B4550A" w:rsidRPr="00E0488D" w:rsidRDefault="00B4550A" w:rsidP="003C7FC8">
            <w:pPr>
              <w:spacing w:before="120"/>
              <w:rPr>
                <w:sz w:val="22"/>
                <w:szCs w:val="22"/>
                <w:lang w:val="ro-RO"/>
              </w:rPr>
            </w:pPr>
            <w:r w:rsidRPr="00E0488D">
              <w:rPr>
                <w:sz w:val="22"/>
                <w:szCs w:val="22"/>
                <w:lang w:val="ro-RO"/>
              </w:rPr>
              <w:t>(2020-25 proiecte combinate)</w:t>
            </w:r>
          </w:p>
        </w:tc>
      </w:tr>
    </w:tbl>
    <w:p w:rsidR="00B4550A" w:rsidRPr="00E0488D" w:rsidRDefault="00B4550A" w:rsidP="00B4550A">
      <w:pPr>
        <w:pStyle w:val="ListParagraph"/>
        <w:spacing w:before="120" w:after="120" w:line="276" w:lineRule="auto"/>
        <w:ind w:left="0"/>
        <w:rPr>
          <w:b/>
          <w:lang w:val="ro-RO"/>
        </w:rPr>
      </w:pPr>
      <w:r w:rsidRPr="00E0488D">
        <w:rPr>
          <w:b/>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vAlign w:val="center"/>
          </w:tcPr>
          <w:p w:rsidR="00B4550A" w:rsidRPr="00E0488D" w:rsidRDefault="00B4550A" w:rsidP="003C7FC8">
            <w:pPr>
              <w:spacing w:before="120"/>
              <w:jc w:val="center"/>
              <w:rPr>
                <w:sz w:val="22"/>
                <w:szCs w:val="22"/>
                <w:lang w:val="ro-RO"/>
              </w:rPr>
            </w:pPr>
            <w:r w:rsidRPr="00E0488D">
              <w:rPr>
                <w:sz w:val="22"/>
                <w:szCs w:val="22"/>
                <w:lang w:val="ro-RO"/>
              </w:rPr>
              <w:t>273.472.534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vAlign w:val="center"/>
          </w:tcPr>
          <w:p w:rsidR="00B4550A" w:rsidRPr="00E0488D" w:rsidRDefault="00B4550A" w:rsidP="003C7FC8">
            <w:pPr>
              <w:spacing w:before="120"/>
              <w:jc w:val="center"/>
              <w:rPr>
                <w:sz w:val="22"/>
                <w:szCs w:val="22"/>
                <w:lang w:val="ro-RO"/>
              </w:rPr>
            </w:pPr>
            <w:r w:rsidRPr="00E0488D">
              <w:rPr>
                <w:sz w:val="22"/>
                <w:szCs w:val="22"/>
                <w:lang w:val="ro-RO"/>
              </w:rPr>
              <w:t>1.017.104.744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vAlign w:val="center"/>
          </w:tcPr>
          <w:p w:rsidR="00B4550A" w:rsidRPr="00E0488D" w:rsidRDefault="00B4550A" w:rsidP="003C7FC8">
            <w:pPr>
              <w:spacing w:before="120"/>
              <w:jc w:val="center"/>
              <w:rPr>
                <w:sz w:val="22"/>
                <w:szCs w:val="22"/>
                <w:lang w:val="ro-RO"/>
              </w:rPr>
            </w:pPr>
            <w:r w:rsidRPr="00E0488D">
              <w:rPr>
                <w:sz w:val="22"/>
                <w:szCs w:val="22"/>
                <w:lang w:val="ro-RO"/>
              </w:rPr>
              <w:t>743.632.210</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vAlign w:val="center"/>
          </w:tcPr>
          <w:p w:rsidR="00B4550A" w:rsidRPr="00E0488D" w:rsidRDefault="00B4550A" w:rsidP="003C7FC8">
            <w:pPr>
              <w:spacing w:before="120"/>
              <w:jc w:val="center"/>
              <w:rPr>
                <w:sz w:val="22"/>
                <w:szCs w:val="22"/>
                <w:lang w:val="ro-RO"/>
              </w:rPr>
            </w:pPr>
            <w:r w:rsidRPr="00E0488D">
              <w:rPr>
                <w:sz w:val="22"/>
                <w:szCs w:val="22"/>
                <w:lang w:val="ro-RO"/>
              </w:rPr>
              <w:t>3,72</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vAlign w:val="center"/>
          </w:tcPr>
          <w:p w:rsidR="00B4550A" w:rsidRPr="00E0488D" w:rsidRDefault="00B4550A" w:rsidP="003C7FC8">
            <w:pPr>
              <w:spacing w:before="120"/>
              <w:jc w:val="center"/>
              <w:rPr>
                <w:sz w:val="22"/>
                <w:szCs w:val="22"/>
                <w:lang w:val="ro-RO"/>
              </w:rPr>
            </w:pPr>
            <w:r w:rsidRPr="00E0488D">
              <w:rPr>
                <w:sz w:val="22"/>
                <w:szCs w:val="22"/>
                <w:lang w:val="ro-RO"/>
              </w:rPr>
              <w:t>12%</w:t>
            </w:r>
          </w:p>
        </w:tc>
      </w:tr>
    </w:tbl>
    <w:p w:rsidR="00B4550A" w:rsidRPr="00E0488D" w:rsidRDefault="00B4550A" w:rsidP="00B4550A">
      <w:pPr>
        <w:rPr>
          <w:sz w:val="22"/>
          <w:szCs w:val="22"/>
          <w:lang w:val="ro-RO"/>
        </w:rPr>
      </w:pPr>
    </w:p>
    <w:p w:rsidR="00B4550A" w:rsidRPr="00E0488D" w:rsidRDefault="00B4550A" w:rsidP="002B7E09">
      <w:pPr>
        <w:pStyle w:val="NumberedParas"/>
      </w:pPr>
      <w:r w:rsidRPr="00E0488D">
        <w:t xml:space="preserve">În anul 2011 aeroportul a înregistrat un număr de 7.320.566 de pasageri (649.682 trafic intern și 6.670.884 din trafic internațional). Dacă programul de modernizare este aplicat în totalitate, numărul pasagerilor ar putea ajunge la 9.712.332 de pasageri până în anul 2020 (861.945 din trafic intern și 8.850.387 din trafic internațional) și la 12.033.753 de pasageri până în anul 2025 (1.067.966 din trafic intern și 10.965.787 din trafic internațional). </w:t>
      </w:r>
    </w:p>
    <w:p w:rsidR="00B4550A" w:rsidRPr="00E0488D" w:rsidRDefault="00B4550A" w:rsidP="00B4550A">
      <w:pPr>
        <w:pStyle w:val="Frspaiere1"/>
        <w:rPr>
          <w:lang w:val="ro-RO"/>
        </w:rPr>
      </w:pP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Acest program va fi implementat de Compania Națională Aeroporturi București.</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Anii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2608"/>
      </w:tblGrid>
      <w:tr w:rsidR="00B4550A" w:rsidRPr="00E0488D" w:rsidTr="003C7FC8">
        <w:tc>
          <w:tcPr>
            <w:tcW w:w="5920" w:type="dxa"/>
          </w:tcPr>
          <w:p w:rsidR="00B4550A" w:rsidRPr="00E0488D" w:rsidRDefault="00B4550A" w:rsidP="003C7FC8">
            <w:pPr>
              <w:rPr>
                <w:b/>
                <w:sz w:val="22"/>
                <w:szCs w:val="22"/>
                <w:lang w:val="ro-RO"/>
              </w:rPr>
            </w:pPr>
            <w:r w:rsidRPr="00E0488D">
              <w:rPr>
                <w:b/>
                <w:sz w:val="22"/>
                <w:szCs w:val="22"/>
                <w:lang w:val="ro-RO"/>
              </w:rPr>
              <w:t xml:space="preserve">Proiect </w:t>
            </w:r>
          </w:p>
        </w:tc>
        <w:tc>
          <w:tcPr>
            <w:tcW w:w="2608"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920" w:type="dxa"/>
          </w:tcPr>
          <w:p w:rsidR="00B4550A" w:rsidRPr="00E0488D" w:rsidRDefault="00B4550A" w:rsidP="003C7FC8">
            <w:pPr>
              <w:rPr>
                <w:sz w:val="22"/>
                <w:szCs w:val="22"/>
                <w:lang w:val="ro-RO"/>
              </w:rPr>
            </w:pPr>
            <w:r w:rsidRPr="00E0488D">
              <w:rPr>
                <w:sz w:val="22"/>
                <w:szCs w:val="22"/>
                <w:lang w:val="ro-RO"/>
              </w:rPr>
              <w:t>Dezvoltarea terminalelor de pasageri</w:t>
            </w:r>
          </w:p>
        </w:tc>
        <w:tc>
          <w:tcPr>
            <w:tcW w:w="2608"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920" w:type="dxa"/>
          </w:tcPr>
          <w:p w:rsidR="00B4550A" w:rsidRPr="00E0488D" w:rsidRDefault="00B4550A" w:rsidP="003C7FC8">
            <w:pPr>
              <w:rPr>
                <w:sz w:val="22"/>
                <w:szCs w:val="22"/>
                <w:lang w:val="ro-RO"/>
              </w:rPr>
            </w:pPr>
            <w:r w:rsidRPr="00E0488D">
              <w:rPr>
                <w:sz w:val="22"/>
                <w:szCs w:val="22"/>
                <w:lang w:val="ro-RO"/>
              </w:rPr>
              <w:t>Extinderea platformelor</w:t>
            </w:r>
          </w:p>
        </w:tc>
        <w:tc>
          <w:tcPr>
            <w:tcW w:w="2608"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920" w:type="dxa"/>
          </w:tcPr>
          <w:p w:rsidR="00B4550A" w:rsidRPr="00E0488D" w:rsidRDefault="00B4550A" w:rsidP="003C7FC8">
            <w:pPr>
              <w:rPr>
                <w:sz w:val="22"/>
                <w:szCs w:val="22"/>
                <w:lang w:val="ro-RO"/>
              </w:rPr>
            </w:pPr>
            <w:r w:rsidRPr="00E0488D">
              <w:rPr>
                <w:sz w:val="22"/>
                <w:szCs w:val="22"/>
                <w:lang w:val="ro-RO"/>
              </w:rPr>
              <w:t>Extinderea căilor de rulare și platformelor</w:t>
            </w:r>
          </w:p>
        </w:tc>
        <w:tc>
          <w:tcPr>
            <w:tcW w:w="2608"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920" w:type="dxa"/>
          </w:tcPr>
          <w:p w:rsidR="00B4550A" w:rsidRPr="00E0488D" w:rsidRDefault="00B4550A" w:rsidP="003C7FC8">
            <w:pPr>
              <w:rPr>
                <w:sz w:val="22"/>
                <w:szCs w:val="22"/>
                <w:lang w:val="ro-RO"/>
              </w:rPr>
            </w:pPr>
            <w:r w:rsidRPr="00E0488D">
              <w:rPr>
                <w:sz w:val="22"/>
                <w:szCs w:val="22"/>
                <w:lang w:val="ro-RO"/>
              </w:rPr>
              <w:t xml:space="preserve">Reabilitarea platformelor, a căilor de rulare și a pistelor </w:t>
            </w:r>
          </w:p>
        </w:tc>
        <w:tc>
          <w:tcPr>
            <w:tcW w:w="2608"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920" w:type="dxa"/>
          </w:tcPr>
          <w:p w:rsidR="00B4550A" w:rsidRPr="00E0488D" w:rsidRDefault="00B4550A" w:rsidP="003C7FC8">
            <w:pPr>
              <w:rPr>
                <w:sz w:val="22"/>
                <w:szCs w:val="22"/>
                <w:lang w:val="ro-RO"/>
              </w:rPr>
            </w:pPr>
            <w:r w:rsidRPr="00E0488D">
              <w:rPr>
                <w:sz w:val="22"/>
                <w:szCs w:val="22"/>
                <w:lang w:val="ro-RO"/>
              </w:rPr>
              <w:t>Nou sistem de transport terestru</w:t>
            </w:r>
          </w:p>
        </w:tc>
        <w:tc>
          <w:tcPr>
            <w:tcW w:w="2608"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sz w:val="22"/>
          <w:szCs w:val="22"/>
          <w:lang w:val="ro-RO"/>
        </w:rPr>
      </w:pPr>
    </w:p>
    <w:p w:rsidR="00B4550A" w:rsidRPr="00E0488D" w:rsidRDefault="00B4550A" w:rsidP="00B4550A">
      <w:pPr>
        <w:rPr>
          <w:lang w:val="ro-RO"/>
        </w:rPr>
      </w:pPr>
      <w:r w:rsidRPr="00E0488D">
        <w:rPr>
          <w:lang w:val="ro-RO"/>
        </w:rPr>
        <w:br w:type="page"/>
      </w:r>
    </w:p>
    <w:p w:rsidR="00B4550A" w:rsidRPr="00E0488D" w:rsidRDefault="00B4550A" w:rsidP="00B4550A">
      <w:pPr>
        <w:pStyle w:val="Hdg3"/>
      </w:pPr>
      <w:r w:rsidRPr="00E0488D">
        <w:t>Program de modernizare al Aeroportului Craiova</w:t>
      </w:r>
    </w:p>
    <w:p w:rsidR="00B4550A" w:rsidRPr="00E0488D" w:rsidRDefault="00B4550A" w:rsidP="00B4550A">
      <w:pPr>
        <w:tabs>
          <w:tab w:val="left" w:pos="1152"/>
        </w:tabs>
        <w:rPr>
          <w:b/>
          <w:sz w:val="22"/>
          <w:szCs w:val="22"/>
          <w:lang w:val="ro-RO"/>
        </w:rPr>
      </w:pPr>
      <w:r w:rsidRPr="00E0488D">
        <w:rPr>
          <w:b/>
          <w:sz w:val="22"/>
          <w:szCs w:val="22"/>
          <w:lang w:val="ro-RO"/>
        </w:rPr>
        <w:tab/>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Potrivit sistemului existent de clasificare a aeroporturilor, Aeroportul Craiova este clasificat ca Aeroport Regional Mic dar datorită localizării sale și a zonei de captare de care dispune, acesta poate avea oportunitatea de a se dezvolta într-un Hub Internațional în viitor. Proiectul de modernizare a Aeroportului Craiova are scopul de a asigura capacitatea infrastructurii și facilităților necesare satisfacerii nivelului crescut al cererii de servicii din anul 2020 și 2025. Proiectul include:</w:t>
      </w:r>
    </w:p>
    <w:p w:rsidR="00B4550A" w:rsidRPr="00E0488D" w:rsidRDefault="00B4550A" w:rsidP="00BC2B57">
      <w:pPr>
        <w:pStyle w:val="BulletLevel1"/>
      </w:pPr>
      <w:r w:rsidRPr="00E0488D">
        <w:t>Extinderea terminalului de pasageri până în 2020</w:t>
      </w:r>
    </w:p>
    <w:p w:rsidR="00B4550A" w:rsidRPr="00E0488D" w:rsidRDefault="00B4550A" w:rsidP="00BC2B57">
      <w:pPr>
        <w:pStyle w:val="BulletLevel1"/>
      </w:pPr>
      <w:r w:rsidRPr="00E0488D">
        <w:t>Extinderea terminalului de pasageri până în 2025</w:t>
      </w:r>
    </w:p>
    <w:p w:rsidR="00B4550A" w:rsidRPr="00E0488D" w:rsidRDefault="00B4550A" w:rsidP="00BC2B57">
      <w:pPr>
        <w:pStyle w:val="BulletLevel1"/>
      </w:pPr>
      <w:r w:rsidRPr="00E0488D">
        <w:t>Extinderea platformei până în 2020</w:t>
      </w:r>
    </w:p>
    <w:p w:rsidR="00B4550A" w:rsidRPr="00E0488D" w:rsidRDefault="00B4550A" w:rsidP="00BC2B57">
      <w:pPr>
        <w:pStyle w:val="BulletLevel1"/>
      </w:pPr>
      <w:r w:rsidRPr="00E0488D">
        <w:t>Extinderea platformei până în 2025</w:t>
      </w:r>
    </w:p>
    <w:p w:rsidR="00B4550A" w:rsidRPr="00E0488D" w:rsidRDefault="00B4550A" w:rsidP="00BC2B57">
      <w:pPr>
        <w:pStyle w:val="BulletLevel1"/>
      </w:pPr>
      <w:r w:rsidRPr="00E0488D">
        <w:t>Analiza oportunității de dezvoltare a unui terminal cargo</w:t>
      </w:r>
    </w:p>
    <w:p w:rsidR="00B4550A" w:rsidRPr="00E0488D" w:rsidRDefault="00B4550A" w:rsidP="002B7E09">
      <w:pPr>
        <w:pStyle w:val="NumberedParas"/>
      </w:pPr>
      <w:r w:rsidRPr="00E0488D">
        <w:t xml:space="preserve">Figura 7.6 prezintă localizarea Aeroportului Craiova în relație cu celelalte aeroporturi din România. </w:t>
      </w: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05225"/>
            <wp:effectExtent l="19050" t="0" r="0" b="0"/>
            <wp:docPr id="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5276850" cy="3705225"/>
                    </a:xfrm>
                    <a:prstGeom prst="rect">
                      <a:avLst/>
                    </a:prstGeom>
                    <a:noFill/>
                    <a:ln w="9525">
                      <a:noFill/>
                      <a:miter lim="800000"/>
                      <a:headEnd/>
                      <a:tailEnd/>
                    </a:ln>
                  </pic:spPr>
                </pic:pic>
              </a:graphicData>
            </a:graphic>
          </wp:inline>
        </w:drawing>
      </w:r>
    </w:p>
    <w:p w:rsidR="00B4550A" w:rsidRPr="00E0488D" w:rsidRDefault="00B4550A" w:rsidP="00B4550A">
      <w:pPr>
        <w:rPr>
          <w:b/>
          <w:sz w:val="22"/>
          <w:szCs w:val="22"/>
          <w:lang w:val="ro-RO"/>
        </w:rPr>
      </w:pPr>
      <w:r w:rsidRPr="00E0488D">
        <w:rPr>
          <w:b/>
          <w:sz w:val="22"/>
          <w:szCs w:val="22"/>
          <w:lang w:val="ro-RO"/>
        </w:rPr>
        <w:t>Figura 7.7: Localizarea Aeroportului Craiova</w:t>
      </w:r>
    </w:p>
    <w:p w:rsidR="00B4550A" w:rsidRPr="00E0488D" w:rsidRDefault="00B4550A" w:rsidP="00B4550A">
      <w:pPr>
        <w:pStyle w:val="ListParagraph"/>
        <w:rPr>
          <w:i/>
          <w:lang w:val="ro-RO"/>
        </w:rPr>
      </w:pPr>
    </w:p>
    <w:p w:rsidR="00B4550A" w:rsidRPr="00E0488D" w:rsidRDefault="00B4550A" w:rsidP="00B4550A">
      <w:pPr>
        <w:rPr>
          <w:rFonts w:cs="Arial"/>
          <w:i/>
          <w:sz w:val="20"/>
          <w:szCs w:val="20"/>
          <w:lang w:val="ro-RO"/>
        </w:rPr>
      </w:pPr>
    </w:p>
    <w:p w:rsidR="00B4550A" w:rsidRPr="00E0488D" w:rsidRDefault="00B4550A" w:rsidP="00B4550A">
      <w:pPr>
        <w:pStyle w:val="ListParagraph"/>
        <w:ind w:left="0"/>
        <w:rPr>
          <w:b/>
          <w:sz w:val="22"/>
          <w:szCs w:val="22"/>
          <w:lang w:val="ro-RO"/>
        </w:rPr>
      </w:pPr>
      <w:r w:rsidRPr="00E0488D">
        <w:rPr>
          <w:b/>
          <w:sz w:val="22"/>
          <w:szCs w:val="22"/>
          <w:lang w:val="ro-RO"/>
        </w:rPr>
        <w:t>Probleme abordate</w:t>
      </w:r>
    </w:p>
    <w:p w:rsidR="00B4550A" w:rsidRPr="00E0488D" w:rsidRDefault="00B4550A" w:rsidP="002B7E09">
      <w:pPr>
        <w:pStyle w:val="NumberedParas"/>
      </w:pPr>
      <w:r w:rsidRPr="00E0488D">
        <w:t>Această intervenție se adresează următoarelor probleme:</w:t>
      </w:r>
    </w:p>
    <w:p w:rsidR="00B4550A" w:rsidRPr="00E0488D" w:rsidRDefault="00B4550A" w:rsidP="00BC2B57">
      <w:pPr>
        <w:pStyle w:val="BulletLevel1"/>
      </w:pPr>
      <w:r w:rsidRPr="00E0488D">
        <w:t>Lipsa de capacitate a terminalelor până în 2020</w:t>
      </w:r>
    </w:p>
    <w:p w:rsidR="00B4550A" w:rsidRPr="00E0488D" w:rsidRDefault="00B4550A" w:rsidP="00BC2B57">
      <w:pPr>
        <w:pStyle w:val="BulletLevel1"/>
      </w:pPr>
      <w:r w:rsidRPr="00E0488D">
        <w:t>Lipsa de capacitate a platformelor până în 2020</w:t>
      </w:r>
    </w:p>
    <w:p w:rsidR="00B4550A" w:rsidRPr="00E0488D" w:rsidRDefault="00B4550A" w:rsidP="00BC2B57">
      <w:pPr>
        <w:pStyle w:val="BulletLevel1"/>
      </w:pPr>
      <w:r w:rsidRPr="00E0488D">
        <w:t>Fluxuri crescute de marfă generate în urma conectivității internaționale.</w:t>
      </w:r>
    </w:p>
    <w:p w:rsidR="00B4550A" w:rsidRPr="00E0488D" w:rsidRDefault="00B4550A" w:rsidP="00B4550A">
      <w:pPr>
        <w:pStyle w:val="ListParagraph"/>
        <w:spacing w:before="120" w:after="120"/>
        <w:ind w:left="0"/>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5"/>
        <w:gridCol w:w="6812"/>
      </w:tblGrid>
      <w:tr w:rsidR="00B4550A" w:rsidRPr="00E0488D" w:rsidTr="003C7FC8">
        <w:trPr>
          <w:cantSplit/>
          <w:tblHeader/>
        </w:trPr>
        <w:tc>
          <w:tcPr>
            <w:tcW w:w="1737" w:type="pct"/>
            <w:gridSpan w:val="2"/>
            <w:vAlign w:val="center"/>
          </w:tcPr>
          <w:p w:rsidR="00B4550A" w:rsidRPr="00E0488D" w:rsidRDefault="00B4550A" w:rsidP="003C7FC8">
            <w:pPr>
              <w:jc w:val="center"/>
              <w:rPr>
                <w:b/>
                <w:bCs/>
                <w:sz w:val="22"/>
                <w:szCs w:val="22"/>
                <w:lang w:val="ro-RO"/>
              </w:rPr>
            </w:pPr>
            <w:r w:rsidRPr="00E0488D">
              <w:rPr>
                <w:b/>
                <w:bCs/>
                <w:sz w:val="22"/>
                <w:szCs w:val="22"/>
                <w:lang w:val="ro-RO"/>
              </w:rPr>
              <w:t xml:space="preserve">Costuri neactualizate  </w:t>
            </w:r>
          </w:p>
          <w:p w:rsidR="00B4550A" w:rsidRPr="00E0488D" w:rsidRDefault="00B4550A" w:rsidP="003C7FC8">
            <w:pPr>
              <w:jc w:val="center"/>
              <w:rPr>
                <w:b/>
                <w:bCs/>
                <w:sz w:val="22"/>
                <w:szCs w:val="22"/>
                <w:lang w:val="ro-RO"/>
              </w:rPr>
            </w:pPr>
            <w:r w:rsidRPr="00E0488D">
              <w:rPr>
                <w:b/>
                <w:bCs/>
                <w:sz w:val="22"/>
                <w:szCs w:val="22"/>
                <w:lang w:val="ro-RO"/>
              </w:rPr>
              <w:t>(Milioane €, Prețuri 2014)</w:t>
            </w:r>
          </w:p>
        </w:tc>
        <w:tc>
          <w:tcPr>
            <w:tcW w:w="3263"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901" w:type="pct"/>
            <w:vAlign w:val="bottom"/>
          </w:tcPr>
          <w:p w:rsidR="00B4550A" w:rsidRPr="00E0488D" w:rsidRDefault="00B4550A" w:rsidP="003C7FC8">
            <w:pPr>
              <w:spacing w:before="120"/>
              <w:rPr>
                <w:sz w:val="22"/>
                <w:szCs w:val="22"/>
                <w:lang w:val="ro-RO"/>
              </w:rPr>
            </w:pPr>
            <w:r w:rsidRPr="00E0488D">
              <w:rPr>
                <w:sz w:val="22"/>
                <w:szCs w:val="22"/>
                <w:lang w:val="ro-RO"/>
              </w:rPr>
              <w:t xml:space="preserve">CAPEX </w:t>
            </w:r>
          </w:p>
        </w:tc>
        <w:tc>
          <w:tcPr>
            <w:tcW w:w="836" w:type="pct"/>
            <w:vAlign w:val="bottom"/>
          </w:tcPr>
          <w:p w:rsidR="00B4550A" w:rsidRPr="00E0488D" w:rsidRDefault="00B4550A" w:rsidP="003C7FC8">
            <w:pPr>
              <w:spacing w:before="120"/>
              <w:jc w:val="center"/>
              <w:rPr>
                <w:sz w:val="22"/>
                <w:szCs w:val="22"/>
                <w:lang w:val="ro-RO"/>
              </w:rPr>
            </w:pPr>
            <w:r w:rsidRPr="00E0488D">
              <w:rPr>
                <w:sz w:val="22"/>
                <w:szCs w:val="22"/>
                <w:lang w:val="ro-RO"/>
              </w:rPr>
              <w:t>17,34</w:t>
            </w:r>
          </w:p>
        </w:tc>
        <w:tc>
          <w:tcPr>
            <w:tcW w:w="3263" w:type="pct"/>
          </w:tcPr>
          <w:p w:rsidR="00B4550A" w:rsidRPr="00E0488D" w:rsidRDefault="00B4550A" w:rsidP="003C7FC8">
            <w:pPr>
              <w:spacing w:before="120"/>
              <w:rPr>
                <w:sz w:val="22"/>
                <w:szCs w:val="22"/>
                <w:lang w:val="ro-RO"/>
              </w:rPr>
            </w:pPr>
            <w:r w:rsidRPr="00E0488D">
              <w:rPr>
                <w:sz w:val="22"/>
                <w:szCs w:val="22"/>
                <w:lang w:val="ro-RO"/>
              </w:rPr>
              <w:t>Include:</w:t>
            </w:r>
          </w:p>
          <w:p w:rsidR="00B4550A" w:rsidRPr="00E0488D" w:rsidRDefault="00B4550A" w:rsidP="00687448">
            <w:pPr>
              <w:pStyle w:val="ListParagraph"/>
              <w:numPr>
                <w:ilvl w:val="0"/>
                <w:numId w:val="31"/>
              </w:numPr>
              <w:spacing w:before="120"/>
              <w:contextualSpacing/>
              <w:jc w:val="left"/>
              <w:rPr>
                <w:lang w:val="ro-RO"/>
              </w:rPr>
            </w:pPr>
            <w:r w:rsidRPr="00E0488D">
              <w:rPr>
                <w:lang w:val="ro-RO"/>
              </w:rPr>
              <w:t xml:space="preserve">Dezvoltarea unu i nou terminal  de pasageri </w:t>
            </w:r>
          </w:p>
          <w:p w:rsidR="00B4550A" w:rsidRPr="00E0488D" w:rsidRDefault="00B4550A" w:rsidP="00687448">
            <w:pPr>
              <w:pStyle w:val="ListParagraph"/>
              <w:numPr>
                <w:ilvl w:val="0"/>
                <w:numId w:val="31"/>
              </w:numPr>
              <w:spacing w:before="120"/>
              <w:contextualSpacing/>
              <w:jc w:val="left"/>
              <w:rPr>
                <w:lang w:val="ro-RO"/>
              </w:rPr>
            </w:pPr>
            <w:r w:rsidRPr="00E0488D">
              <w:rPr>
                <w:lang w:val="ro-RO"/>
              </w:rPr>
              <w:t>Extensia platformei existente</w:t>
            </w:r>
          </w:p>
          <w:p w:rsidR="00B4550A" w:rsidRPr="00E0488D" w:rsidRDefault="00B4550A" w:rsidP="00687448">
            <w:pPr>
              <w:pStyle w:val="ListParagraph"/>
              <w:numPr>
                <w:ilvl w:val="0"/>
                <w:numId w:val="31"/>
              </w:numPr>
              <w:spacing w:before="120"/>
              <w:contextualSpacing/>
              <w:jc w:val="left"/>
              <w:rPr>
                <w:lang w:val="ro-RO"/>
              </w:rPr>
            </w:pPr>
            <w:r w:rsidRPr="00E0488D">
              <w:rPr>
                <w:lang w:val="ro-RO"/>
              </w:rPr>
              <w:t>Fezabilitatea dezvoltării unui terminal cargo</w:t>
            </w:r>
          </w:p>
        </w:tc>
      </w:tr>
      <w:tr w:rsidR="00B4550A" w:rsidRPr="00E0488D" w:rsidTr="003C7FC8">
        <w:trPr>
          <w:cantSplit/>
        </w:trPr>
        <w:tc>
          <w:tcPr>
            <w:tcW w:w="901" w:type="pct"/>
            <w:vAlign w:val="bottom"/>
          </w:tcPr>
          <w:p w:rsidR="00B4550A" w:rsidRPr="00E0488D" w:rsidRDefault="00B4550A" w:rsidP="003C7FC8">
            <w:pPr>
              <w:spacing w:before="120"/>
              <w:rPr>
                <w:sz w:val="22"/>
                <w:szCs w:val="22"/>
                <w:lang w:val="ro-RO"/>
              </w:rPr>
            </w:pPr>
            <w:r w:rsidRPr="00E0488D">
              <w:rPr>
                <w:sz w:val="22"/>
                <w:szCs w:val="22"/>
                <w:lang w:val="ro-RO"/>
              </w:rPr>
              <w:t xml:space="preserve">OPEX </w:t>
            </w:r>
          </w:p>
        </w:tc>
        <w:tc>
          <w:tcPr>
            <w:tcW w:w="836" w:type="pct"/>
            <w:vAlign w:val="bottom"/>
          </w:tcPr>
          <w:p w:rsidR="00B4550A" w:rsidRPr="00E0488D" w:rsidRDefault="00B4550A" w:rsidP="003C7FC8">
            <w:pPr>
              <w:spacing w:before="120"/>
              <w:jc w:val="center"/>
              <w:rPr>
                <w:sz w:val="22"/>
                <w:szCs w:val="22"/>
                <w:lang w:val="ro-RO"/>
              </w:rPr>
            </w:pPr>
            <w:r w:rsidRPr="00E0488D">
              <w:rPr>
                <w:sz w:val="22"/>
                <w:szCs w:val="22"/>
                <w:lang w:val="ro-RO"/>
              </w:rPr>
              <w:t>0.9</w:t>
            </w:r>
          </w:p>
        </w:tc>
        <w:tc>
          <w:tcPr>
            <w:tcW w:w="3263" w:type="pct"/>
          </w:tcPr>
          <w:p w:rsidR="00B4550A" w:rsidRPr="00E0488D" w:rsidRDefault="00B4550A" w:rsidP="003C7FC8">
            <w:pPr>
              <w:spacing w:before="120"/>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901" w:type="pct"/>
          </w:tcPr>
          <w:p w:rsidR="00B4550A" w:rsidRPr="00E0488D" w:rsidRDefault="00B4550A" w:rsidP="003C7FC8">
            <w:pPr>
              <w:spacing w:before="120"/>
              <w:rPr>
                <w:sz w:val="22"/>
                <w:szCs w:val="22"/>
                <w:lang w:val="ro-RO"/>
              </w:rPr>
            </w:pPr>
            <w:r w:rsidRPr="00E0488D">
              <w:rPr>
                <w:sz w:val="22"/>
                <w:szCs w:val="22"/>
                <w:lang w:val="ro-RO"/>
              </w:rPr>
              <w:t xml:space="preserve">Total </w:t>
            </w:r>
          </w:p>
        </w:tc>
        <w:tc>
          <w:tcPr>
            <w:tcW w:w="836" w:type="pct"/>
          </w:tcPr>
          <w:p w:rsidR="00B4550A" w:rsidRPr="00E0488D" w:rsidRDefault="00B4550A" w:rsidP="003C7FC8">
            <w:pPr>
              <w:spacing w:before="120"/>
              <w:jc w:val="center"/>
              <w:rPr>
                <w:b/>
                <w:sz w:val="22"/>
                <w:szCs w:val="22"/>
                <w:lang w:val="ro-RO"/>
              </w:rPr>
            </w:pPr>
            <w:r w:rsidRPr="00E0488D">
              <w:rPr>
                <w:b/>
                <w:sz w:val="22"/>
                <w:szCs w:val="22"/>
                <w:lang w:val="ro-RO"/>
              </w:rPr>
              <w:t>18.24</w:t>
            </w:r>
          </w:p>
        </w:tc>
        <w:tc>
          <w:tcPr>
            <w:tcW w:w="3263" w:type="pct"/>
          </w:tcPr>
          <w:p w:rsidR="00B4550A" w:rsidRPr="00E0488D" w:rsidRDefault="00B4550A" w:rsidP="003C7FC8">
            <w:pPr>
              <w:spacing w:before="120"/>
              <w:rPr>
                <w:sz w:val="22"/>
                <w:szCs w:val="22"/>
                <w:lang w:val="ro-RO"/>
              </w:rPr>
            </w:pPr>
            <w:r w:rsidRPr="00E0488D">
              <w:rPr>
                <w:sz w:val="22"/>
                <w:szCs w:val="22"/>
                <w:lang w:val="ro-RO"/>
              </w:rPr>
              <w:t>(proiecte combinate 2020-2025)</w:t>
            </w:r>
          </w:p>
        </w:tc>
      </w:tr>
    </w:tbl>
    <w:p w:rsidR="00B4550A" w:rsidRPr="00E0488D" w:rsidRDefault="00B4550A" w:rsidP="00B4550A">
      <w:pPr>
        <w:pStyle w:val="ListParagraph"/>
        <w:rPr>
          <w:lang w:val="ro-RO"/>
        </w:rPr>
      </w:pPr>
    </w:p>
    <w:p w:rsidR="00B4550A" w:rsidRPr="00E0488D" w:rsidRDefault="00B4550A" w:rsidP="00B4550A">
      <w:pPr>
        <w:pStyle w:val="ListParagraph"/>
        <w:ind w:left="0"/>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21.908.810</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248.711.856</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226.803.046</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bCs/>
                <w:sz w:val="22"/>
                <w:szCs w:val="22"/>
                <w:lang w:val="ro-RO"/>
              </w:rPr>
            </w:pPr>
            <w:r w:rsidRPr="00E0488D">
              <w:rPr>
                <w:sz w:val="22"/>
                <w:szCs w:val="22"/>
                <w:lang w:val="ro-RO"/>
              </w:rPr>
              <w:t>11,35</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40,3%</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 xml:space="preserve">În anul 2011 aeroportul a înregistrat un număr de 31.269 de pasageri (19.397 din trafic intern și 11.872 din trafic internațional). Dacă programul de modernizare este implementat în totalitate, numărul pasagerilor ar putea atinge cifra de 2.012.088 până în anul 2020 (437.186 din trafic intern și 1.574.902 din trafic internațional) și de 2.555.876 până în anul 2025 (555.340 din trafic intern și 2.000.536 din trafic internațional). </w:t>
      </w:r>
    </w:p>
    <w:p w:rsidR="00B4550A" w:rsidRPr="00E0488D" w:rsidRDefault="00B4550A" w:rsidP="00B4550A">
      <w:pPr>
        <w:pStyle w:val="Frspaiere1"/>
        <w:rPr>
          <w:color w:val="000000"/>
          <w:lang w:val="ro-RO" w:eastAsia="en-GB"/>
        </w:rPr>
      </w:pPr>
      <w:r w:rsidRPr="00E0488D">
        <w:rPr>
          <w:lang w:val="ro-RO"/>
        </w:rPr>
        <w:t>Notă:  Atunci când RBC este stabilit la  3 cererea anuală  totală de capacitate este de 340.624 pasageri (74.011 trafic intern și 266.613 trafic internațional) până în 2020.</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Unitatea de implementare</w:t>
      </w:r>
    </w:p>
    <w:p w:rsidR="00B4550A" w:rsidRPr="00E0488D" w:rsidRDefault="00B4550A" w:rsidP="002B7E09">
      <w:pPr>
        <w:pStyle w:val="NumberedParas"/>
        <w:numPr>
          <w:ilvl w:val="0"/>
          <w:numId w:val="0"/>
        </w:numPr>
        <w:ind w:left="851"/>
      </w:pPr>
      <w:r w:rsidRPr="00E0488D">
        <w:t xml:space="preserve">Acest proiect va fi implementat de Aeroportul Craiova / Autoritățile locale din Craiova. </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rPr>
          <w:tblHeader/>
        </w:trPr>
        <w:tc>
          <w:tcPr>
            <w:tcW w:w="5778" w:type="dxa"/>
          </w:tcPr>
          <w:p w:rsidR="00B4550A" w:rsidRPr="00E0488D" w:rsidRDefault="00B4550A" w:rsidP="003C7FC8">
            <w:pPr>
              <w:rPr>
                <w:b/>
                <w:sz w:val="22"/>
                <w:szCs w:val="22"/>
                <w:highlight w:val="yellow"/>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highlight w:val="yellow"/>
                <w:lang w:val="ro-RO"/>
              </w:rPr>
            </w:pPr>
            <w:r w:rsidRPr="00E0488D">
              <w:rPr>
                <w:sz w:val="22"/>
                <w:szCs w:val="22"/>
                <w:lang w:val="ro-RO"/>
              </w:rPr>
              <w:t xml:space="preserve">Extinderea terminalului de pasageri </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terminalului de pasageri </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platformei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platformei</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Analiza oportunității de a dezvolta un terminal cargo</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i/>
          <w:sz w:val="22"/>
          <w:szCs w:val="22"/>
          <w:lang w:val="ro-RO"/>
        </w:rPr>
      </w:pPr>
    </w:p>
    <w:p w:rsidR="00B4550A" w:rsidRPr="00E0488D" w:rsidRDefault="00B4550A" w:rsidP="00B4550A">
      <w:pPr>
        <w:pStyle w:val="Hdg3"/>
      </w:pPr>
      <w:r w:rsidRPr="00E0488D">
        <w:t>Program de modernizare a aeroportului Timișoara</w:t>
      </w:r>
    </w:p>
    <w:p w:rsidR="00B4550A" w:rsidRPr="00E0488D" w:rsidRDefault="00B4550A" w:rsidP="00B4550A">
      <w:pPr>
        <w:rPr>
          <w:b/>
          <w:sz w:val="22"/>
          <w:szCs w:val="22"/>
          <w:lang w:val="ro-RO"/>
        </w:rPr>
      </w:pPr>
      <w:r w:rsidRPr="00E0488D">
        <w:rPr>
          <w:b/>
          <w:sz w:val="22"/>
          <w:szCs w:val="22"/>
          <w:lang w:val="ro-RO"/>
        </w:rPr>
        <w:tab/>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Timișoara este clasificat ca Hub Internațional. Proiectul de modernizare a Aeroportului Timișoara are ca scop asigurarea capacității infrastructurii și facilităților operaționale necesare nivelului cererii de servicii de transport aerian din 2020 și 2025. Proiectul include:</w:t>
      </w:r>
    </w:p>
    <w:p w:rsidR="00B4550A" w:rsidRPr="00E0488D" w:rsidRDefault="00B4550A" w:rsidP="00BC2B57">
      <w:pPr>
        <w:pStyle w:val="BulletLevel1"/>
      </w:pPr>
      <w:r w:rsidRPr="00E0488D">
        <w:t>Extinderea terminalului de pasageri până în 2020</w:t>
      </w:r>
    </w:p>
    <w:p w:rsidR="00B4550A" w:rsidRPr="00E0488D" w:rsidRDefault="00B4550A" w:rsidP="00BC2B57">
      <w:pPr>
        <w:pStyle w:val="BulletLevel1"/>
      </w:pPr>
      <w:r w:rsidRPr="00E0488D">
        <w:t>Extinderea terminalului de pasageri până în 2025</w:t>
      </w:r>
    </w:p>
    <w:p w:rsidR="00B4550A" w:rsidRPr="00E0488D" w:rsidRDefault="00B4550A" w:rsidP="00BC2B57">
      <w:pPr>
        <w:pStyle w:val="BulletLevel1"/>
      </w:pPr>
      <w:r w:rsidRPr="00E0488D">
        <w:t>Analiza oportunității de a dezvolta un terminal cargo.</w:t>
      </w:r>
    </w:p>
    <w:p w:rsidR="00B4550A" w:rsidRPr="00E0488D" w:rsidRDefault="00B4550A" w:rsidP="002B7E09">
      <w:pPr>
        <w:pStyle w:val="NumberedParas"/>
      </w:pPr>
      <w:r w:rsidRPr="00E0488D">
        <w:t xml:space="preserve">Figura 7.8 prezintă localizarea Aeroportului Timișoara în relație cu celelalte aeroporturi din România. </w:t>
      </w:r>
    </w:p>
    <w:p w:rsidR="00B4550A" w:rsidRPr="00E0488D" w:rsidRDefault="00B4550A" w:rsidP="00B4550A">
      <w:pPr>
        <w:rPr>
          <w:b/>
          <w:sz w:val="22"/>
          <w:szCs w:val="22"/>
          <w:lang w:val="ro-RO"/>
        </w:rPr>
      </w:pP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86375" cy="3724275"/>
            <wp:effectExtent l="19050" t="0" r="9525" b="0"/>
            <wp:docPr id="6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5286375" cy="3724275"/>
                    </a:xfrm>
                    <a:prstGeom prst="rect">
                      <a:avLst/>
                    </a:prstGeom>
                    <a:noFill/>
                    <a:ln w="9525">
                      <a:noFill/>
                      <a:miter lim="800000"/>
                      <a:headEnd/>
                      <a:tailEnd/>
                    </a:ln>
                  </pic:spPr>
                </pic:pic>
              </a:graphicData>
            </a:graphic>
          </wp:inline>
        </w:drawing>
      </w:r>
    </w:p>
    <w:p w:rsidR="00B4550A" w:rsidRPr="00E0488D" w:rsidRDefault="00B4550A" w:rsidP="00B4550A">
      <w:pPr>
        <w:rPr>
          <w:i/>
          <w:sz w:val="22"/>
          <w:szCs w:val="22"/>
          <w:lang w:val="ro-RO"/>
        </w:rPr>
      </w:pPr>
      <w:r w:rsidRPr="00E0488D">
        <w:rPr>
          <w:b/>
          <w:sz w:val="22"/>
          <w:szCs w:val="22"/>
          <w:lang w:val="ro-RO"/>
        </w:rPr>
        <w:t>Figura 7.8: Localizarea Aeroportului Timișoara</w:t>
      </w:r>
    </w:p>
    <w:p w:rsidR="00B4550A" w:rsidRPr="00E0488D" w:rsidRDefault="00B4550A" w:rsidP="00B4550A">
      <w:pPr>
        <w:rPr>
          <w:i/>
          <w:sz w:val="22"/>
          <w:szCs w:val="22"/>
          <w:lang w:val="ro-RO"/>
        </w:rPr>
      </w:pPr>
      <w:r w:rsidRPr="00E0488D">
        <w:rPr>
          <w:i/>
          <w:sz w:val="22"/>
          <w:szCs w:val="22"/>
          <w:lang w:val="ro-RO"/>
        </w:rPr>
        <w:br w:type="page"/>
      </w:r>
    </w:p>
    <w:p w:rsidR="00B4550A" w:rsidRPr="00E0488D" w:rsidRDefault="00B4550A" w:rsidP="00B4550A">
      <w:pPr>
        <w:rPr>
          <w:b/>
          <w:sz w:val="22"/>
          <w:szCs w:val="22"/>
          <w:lang w:val="ro-RO"/>
        </w:rPr>
      </w:pPr>
      <w:r w:rsidRPr="00E0488D">
        <w:rPr>
          <w:b/>
          <w:sz w:val="22"/>
          <w:szCs w:val="22"/>
          <w:lang w:val="ro-RO"/>
        </w:rPr>
        <w:t>Probleme abordate</w:t>
      </w:r>
    </w:p>
    <w:p w:rsidR="00B4550A" w:rsidRPr="00E0488D" w:rsidRDefault="00B4550A" w:rsidP="002B7E09">
      <w:pPr>
        <w:pStyle w:val="NumberedParas"/>
      </w:pPr>
      <w:r w:rsidRPr="00E0488D">
        <w:t>Această intervenție se adresează următoarelor probleme:</w:t>
      </w:r>
    </w:p>
    <w:p w:rsidR="00B4550A" w:rsidRPr="00E0488D" w:rsidRDefault="00B4550A" w:rsidP="00BC2B57">
      <w:pPr>
        <w:pStyle w:val="BulletLevel1"/>
      </w:pPr>
      <w:r w:rsidRPr="00E0488D">
        <w:t>Lipsa de capacitate a terminalului până în 2020</w:t>
      </w:r>
    </w:p>
    <w:p w:rsidR="00B4550A" w:rsidRPr="00E0488D" w:rsidRDefault="00B4550A" w:rsidP="00BC2B57">
      <w:pPr>
        <w:pStyle w:val="BulletLevel1"/>
      </w:pPr>
      <w:r w:rsidRPr="00E0488D">
        <w:t>Fluxuri crescute de mărfuri ca urmare a conectivității internaționale.</w:t>
      </w:r>
    </w:p>
    <w:p w:rsidR="00B4550A" w:rsidRPr="00E0488D" w:rsidRDefault="00B4550A" w:rsidP="00B4550A">
      <w:pPr>
        <w:spacing w:before="120" w:after="120" w:line="276" w:lineRule="auto"/>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i/>
          <w:sz w:val="22"/>
          <w:szCs w:val="22"/>
          <w:lang w:val="ro-RO"/>
        </w:rPr>
      </w:pP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574"/>
        <w:gridCol w:w="6983"/>
      </w:tblGrid>
      <w:tr w:rsidR="00B4550A" w:rsidRPr="00E0488D" w:rsidTr="003C7FC8">
        <w:trPr>
          <w:cantSplit/>
          <w:tblHeader/>
        </w:trPr>
        <w:tc>
          <w:tcPr>
            <w:tcW w:w="1655" w:type="pct"/>
            <w:gridSpan w:val="2"/>
            <w:vAlign w:val="center"/>
          </w:tcPr>
          <w:p w:rsidR="00B4550A" w:rsidRPr="00E0488D" w:rsidRDefault="00B4550A" w:rsidP="003C7FC8">
            <w:pPr>
              <w:rPr>
                <w:b/>
                <w:bCs/>
                <w:sz w:val="22"/>
                <w:szCs w:val="22"/>
                <w:lang w:val="ro-RO"/>
              </w:rPr>
            </w:pPr>
            <w:r w:rsidRPr="00E0488D">
              <w:rPr>
                <w:b/>
                <w:bCs/>
                <w:sz w:val="22"/>
                <w:szCs w:val="22"/>
                <w:lang w:val="ro-RO"/>
              </w:rPr>
              <w:t>Costuri neactualizate  (Milioane  €, Prețuri 2014)</w:t>
            </w:r>
          </w:p>
        </w:tc>
        <w:tc>
          <w:tcPr>
            <w:tcW w:w="3345"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901"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754" w:type="pct"/>
            <w:vAlign w:val="bottom"/>
          </w:tcPr>
          <w:p w:rsidR="00B4550A" w:rsidRPr="00E0488D" w:rsidRDefault="00B4550A" w:rsidP="003C7FC8">
            <w:pPr>
              <w:rPr>
                <w:sz w:val="22"/>
                <w:szCs w:val="22"/>
                <w:lang w:val="ro-RO"/>
              </w:rPr>
            </w:pPr>
            <w:r w:rsidRPr="00E0488D">
              <w:rPr>
                <w:sz w:val="22"/>
                <w:szCs w:val="22"/>
                <w:lang w:val="ro-RO"/>
              </w:rPr>
              <w:t>78,3</w:t>
            </w:r>
          </w:p>
        </w:tc>
        <w:tc>
          <w:tcPr>
            <w:tcW w:w="3345"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2"/>
              </w:numPr>
              <w:contextualSpacing/>
              <w:rPr>
                <w:lang w:val="ro-RO"/>
              </w:rPr>
            </w:pPr>
            <w:r w:rsidRPr="00E0488D">
              <w:rPr>
                <w:lang w:val="ro-RO"/>
              </w:rPr>
              <w:t>Dezvoltarea unui nou terminal de pasageri</w:t>
            </w:r>
          </w:p>
          <w:p w:rsidR="00B4550A" w:rsidRPr="00E0488D" w:rsidRDefault="00B4550A" w:rsidP="00687448">
            <w:pPr>
              <w:pStyle w:val="ListParagraph"/>
              <w:numPr>
                <w:ilvl w:val="0"/>
                <w:numId w:val="32"/>
              </w:numPr>
              <w:contextualSpacing/>
              <w:rPr>
                <w:lang w:val="ro-RO"/>
              </w:rPr>
            </w:pPr>
            <w:r w:rsidRPr="00E0488D">
              <w:rPr>
                <w:lang w:val="ro-RO"/>
              </w:rPr>
              <w:t>Fezabilitatea dezvoltării unui terminal cargo</w:t>
            </w:r>
          </w:p>
        </w:tc>
      </w:tr>
      <w:tr w:rsidR="00B4550A" w:rsidRPr="00E0488D" w:rsidTr="003C7FC8">
        <w:trPr>
          <w:cantSplit/>
        </w:trPr>
        <w:tc>
          <w:tcPr>
            <w:tcW w:w="901"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754" w:type="pct"/>
            <w:vAlign w:val="bottom"/>
          </w:tcPr>
          <w:p w:rsidR="00B4550A" w:rsidRPr="00E0488D" w:rsidRDefault="00B4550A" w:rsidP="003C7FC8">
            <w:pPr>
              <w:rPr>
                <w:sz w:val="22"/>
                <w:szCs w:val="22"/>
                <w:lang w:val="ro-RO"/>
              </w:rPr>
            </w:pPr>
            <w:r w:rsidRPr="00E0488D">
              <w:rPr>
                <w:sz w:val="22"/>
                <w:szCs w:val="22"/>
                <w:lang w:val="ro-RO"/>
              </w:rPr>
              <w:t>4</w:t>
            </w:r>
          </w:p>
        </w:tc>
        <w:tc>
          <w:tcPr>
            <w:tcW w:w="3345"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901" w:type="pct"/>
          </w:tcPr>
          <w:p w:rsidR="00B4550A" w:rsidRPr="00E0488D" w:rsidRDefault="00B4550A" w:rsidP="003C7FC8">
            <w:pPr>
              <w:rPr>
                <w:sz w:val="22"/>
                <w:szCs w:val="22"/>
                <w:lang w:val="ro-RO"/>
              </w:rPr>
            </w:pPr>
            <w:r w:rsidRPr="00E0488D">
              <w:rPr>
                <w:sz w:val="22"/>
                <w:szCs w:val="22"/>
                <w:lang w:val="ro-RO"/>
              </w:rPr>
              <w:t xml:space="preserve">Total </w:t>
            </w:r>
          </w:p>
        </w:tc>
        <w:tc>
          <w:tcPr>
            <w:tcW w:w="754" w:type="pct"/>
          </w:tcPr>
          <w:p w:rsidR="00B4550A" w:rsidRPr="00E0488D" w:rsidRDefault="00B4550A" w:rsidP="003C7FC8">
            <w:pPr>
              <w:rPr>
                <w:b/>
                <w:sz w:val="22"/>
                <w:szCs w:val="22"/>
                <w:lang w:val="ro-RO"/>
              </w:rPr>
            </w:pPr>
            <w:r w:rsidRPr="00E0488D">
              <w:rPr>
                <w:b/>
                <w:sz w:val="22"/>
                <w:szCs w:val="22"/>
                <w:lang w:val="ro-RO"/>
              </w:rPr>
              <w:t>82,2</w:t>
            </w:r>
          </w:p>
        </w:tc>
        <w:tc>
          <w:tcPr>
            <w:tcW w:w="3345" w:type="pct"/>
          </w:tcPr>
          <w:p w:rsidR="00B4550A" w:rsidRPr="00E0488D" w:rsidRDefault="00B4550A" w:rsidP="003C7FC8">
            <w:pPr>
              <w:rPr>
                <w:sz w:val="22"/>
                <w:szCs w:val="22"/>
                <w:lang w:val="ro-RO"/>
              </w:rPr>
            </w:pPr>
            <w:r w:rsidRPr="00E0488D">
              <w:rPr>
                <w:sz w:val="22"/>
                <w:szCs w:val="22"/>
                <w:lang w:val="ro-RO"/>
              </w:rPr>
              <w:t>(proiecte combinate 2020-2025)</w:t>
            </w:r>
          </w:p>
        </w:tc>
      </w:tr>
    </w:tbl>
    <w:p w:rsidR="00B4550A" w:rsidRPr="00E0488D" w:rsidRDefault="00B4550A" w:rsidP="00B4550A">
      <w:pPr>
        <w:rPr>
          <w:sz w:val="22"/>
          <w:szCs w:val="22"/>
          <w:lang w:val="ro-RO"/>
        </w:rPr>
      </w:pPr>
    </w:p>
    <w:p w:rsidR="00B4550A" w:rsidRPr="00E0488D" w:rsidRDefault="00B4550A" w:rsidP="00B4550A">
      <w:pPr>
        <w:rPr>
          <w:b/>
          <w:sz w:val="22"/>
          <w:szCs w:val="22"/>
          <w:lang w:val="ro-RO"/>
        </w:rPr>
      </w:pPr>
      <w:r w:rsidRPr="00E0488D">
        <w:rPr>
          <w:b/>
          <w:sz w:val="22"/>
          <w:szCs w:val="22"/>
          <w:lang w:val="ro-RO"/>
        </w:rPr>
        <w:t>Rezultate</w:t>
      </w:r>
    </w:p>
    <w:p w:rsidR="00B4550A" w:rsidRPr="00E0488D" w:rsidRDefault="00B4550A" w:rsidP="00B4550A">
      <w:pPr>
        <w:rPr>
          <w:b/>
          <w:sz w:val="22"/>
          <w:szCs w:val="22"/>
          <w:lang w:val="ro-RO"/>
        </w:rPr>
      </w:pP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98.719.402</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165.568.470</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66.849.068</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1,68</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5,8%</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 xml:space="preserve">În anul 2011 aeroportul a înregistrat un număr de 1.356.019 pasageri (336.152 din trafic intern și 1.019.867 din trafic internațional). Dacă programul de modernizare este implementat în totalitate, numărul pasagerilor ar putea ajunge la 1.793.844 până în 2020 (444.687 pasageri din trafic intern și 1.349.157 pasageri din trafic internațional) și la 2.216.900 până în 2025 (549.561 pasageri din trafic intern și 1.667.339 pasageri din trafic internațional). </w:t>
      </w:r>
    </w:p>
    <w:p w:rsidR="00B4550A" w:rsidRPr="00E0488D" w:rsidRDefault="00B4550A" w:rsidP="00B4550A">
      <w:pPr>
        <w:spacing w:before="120" w:after="120" w:line="276" w:lineRule="auto"/>
        <w:rPr>
          <w:b/>
          <w:sz w:val="22"/>
          <w:szCs w:val="22"/>
          <w:lang w:val="ro-RO"/>
        </w:rPr>
      </w:pPr>
      <w:r w:rsidRPr="00E0488D">
        <w:rPr>
          <w:b/>
          <w:sz w:val="22"/>
          <w:szCs w:val="22"/>
          <w:lang w:val="ro-RO"/>
        </w:rPr>
        <w:t>Unitatea de implementare</w:t>
      </w:r>
    </w:p>
    <w:p w:rsidR="00B4550A" w:rsidRPr="00E0488D" w:rsidRDefault="00B4550A" w:rsidP="00B4550A">
      <w:pPr>
        <w:rPr>
          <w:sz w:val="22"/>
          <w:szCs w:val="22"/>
          <w:lang w:val="ro-RO"/>
        </w:rPr>
      </w:pPr>
      <w:r w:rsidRPr="00E0488D">
        <w:rPr>
          <w:sz w:val="22"/>
          <w:szCs w:val="22"/>
          <w:lang w:val="ro-RO"/>
        </w:rPr>
        <w:t xml:space="preserve">Acest proiect va fi implementat de Aeroportul Timișoara / Ministerul Transporturilor. </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Ani de implementare</w:t>
      </w:r>
    </w:p>
    <w:tbl>
      <w:tblPr>
        <w:tblW w:w="8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891"/>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 xml:space="preserve">Proiect </w:t>
            </w:r>
          </w:p>
        </w:tc>
        <w:tc>
          <w:tcPr>
            <w:tcW w:w="2891"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terminalului de pasageri </w:t>
            </w:r>
          </w:p>
        </w:tc>
        <w:tc>
          <w:tcPr>
            <w:tcW w:w="2891"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891"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Analiza oportunității de dezvoltare a unui terminal cargo</w:t>
            </w:r>
          </w:p>
        </w:tc>
        <w:tc>
          <w:tcPr>
            <w:tcW w:w="2891"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i/>
          <w:sz w:val="22"/>
          <w:szCs w:val="22"/>
          <w:lang w:val="ro-RO"/>
        </w:rPr>
      </w:pP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pPr>
      <w:r w:rsidRPr="00E0488D">
        <w:t>Program de modernizare a aeroportului Sibiu</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Sibiu este în prezent clasificat ca Aeroport Regional însă se prognozează dezvoltarea ulterioară a acestuia la categoria Aeroport Hub Internațional. Proiectul de modernizare pentru Aeroportul Sibiu are ca scop asigurarea capacității infrastructurii și facilităților operaționale necesare satisfacerii nivelului cererii de servicii de transport aerian din 2020 și 2025. Proiectul include:</w:t>
      </w:r>
    </w:p>
    <w:p w:rsidR="00B4550A" w:rsidRPr="00E0488D" w:rsidRDefault="00B4550A" w:rsidP="00BC2B57">
      <w:pPr>
        <w:pStyle w:val="BulletLevel1"/>
      </w:pPr>
      <w:r w:rsidRPr="00E0488D">
        <w:t>Extinderea terminalului de pasageri până în anul2020</w:t>
      </w:r>
    </w:p>
    <w:p w:rsidR="00B4550A" w:rsidRPr="00E0488D" w:rsidRDefault="00B4550A" w:rsidP="00BC2B57">
      <w:pPr>
        <w:pStyle w:val="BulletLevel1"/>
      </w:pPr>
      <w:r w:rsidRPr="00E0488D">
        <w:t>Extinderea terminalului de pasageri până în anul 2025</w:t>
      </w:r>
    </w:p>
    <w:p w:rsidR="00B4550A" w:rsidRPr="00E0488D" w:rsidRDefault="00B4550A" w:rsidP="00BC2B57">
      <w:pPr>
        <w:pStyle w:val="BulletLevel1"/>
      </w:pPr>
      <w:r w:rsidRPr="00E0488D">
        <w:t>Extensia căii de rulare până în anul 2020</w:t>
      </w:r>
    </w:p>
    <w:p w:rsidR="00B4550A" w:rsidRPr="00E0488D" w:rsidRDefault="00B4550A" w:rsidP="00BC2B57">
      <w:pPr>
        <w:pStyle w:val="BulletLevel1"/>
      </w:pPr>
      <w:r w:rsidRPr="00E0488D">
        <w:t>Analiza oportunității de a dezvolta un terminal cargo până în anul 2020</w:t>
      </w:r>
    </w:p>
    <w:p w:rsidR="00B4550A" w:rsidRPr="00E0488D" w:rsidRDefault="00B4550A" w:rsidP="00BC2B57">
      <w:pPr>
        <w:pStyle w:val="BulletLevel1"/>
      </w:pPr>
      <w:r w:rsidRPr="00E0488D">
        <w:t>Modernizarea sistemului de iluminare de la CAT I la CAT II până în anul 2020</w:t>
      </w:r>
    </w:p>
    <w:p w:rsidR="00B4550A" w:rsidRPr="00E0488D" w:rsidRDefault="00B4550A" w:rsidP="00BC2B57">
      <w:pPr>
        <w:pStyle w:val="BulletLevel1"/>
      </w:pPr>
      <w:r w:rsidRPr="00E0488D">
        <w:t>Achiziție de echipament de degivrare până în anul 2020</w:t>
      </w:r>
    </w:p>
    <w:p w:rsidR="00B4550A" w:rsidRPr="00E0488D" w:rsidRDefault="00B4550A" w:rsidP="00BC2B57">
      <w:pPr>
        <w:pStyle w:val="BulletLevel1"/>
      </w:pPr>
      <w:r w:rsidRPr="00E0488D">
        <w:t>Instalarea unui sistem de balizaj la calea de rulare November</w:t>
      </w:r>
    </w:p>
    <w:p w:rsidR="00B4550A" w:rsidRPr="00E0488D" w:rsidRDefault="00B4550A" w:rsidP="002B7E09">
      <w:pPr>
        <w:pStyle w:val="NumberedParas"/>
      </w:pPr>
      <w:r w:rsidRPr="00E0488D">
        <w:t xml:space="preserve">Figura 7.8 prezintă localizarea Aeroportului Sibiu în relație cu celelalte aeroporturi din România. </w:t>
      </w:r>
    </w:p>
    <w:p w:rsidR="00B4550A" w:rsidRPr="00E0488D" w:rsidRDefault="00B4550A" w:rsidP="00B4550A">
      <w:pPr>
        <w:rPr>
          <w:sz w:val="22"/>
          <w:szCs w:val="22"/>
          <w:lang w:val="ro-RO"/>
        </w:rPr>
      </w:pPr>
    </w:p>
    <w:p w:rsidR="00B4550A" w:rsidRPr="00E0488D" w:rsidRDefault="00B4550A" w:rsidP="00B4550A">
      <w:pPr>
        <w:rPr>
          <w:b/>
          <w:sz w:val="22"/>
          <w:szCs w:val="22"/>
          <w:lang w:val="ro-RO"/>
        </w:rPr>
      </w:pP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24275"/>
            <wp:effectExtent l="19050" t="0" r="0" b="0"/>
            <wp:docPr id="6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5276850" cy="3724275"/>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r w:rsidRPr="00E0488D">
        <w:rPr>
          <w:b/>
          <w:sz w:val="22"/>
          <w:szCs w:val="22"/>
          <w:lang w:val="ro-RO"/>
        </w:rPr>
        <w:t>Figura 7.9: Localizarea Aeroportului Sibiu</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Probleme atinse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Lipsa de capacitate a terminalului până în anul 2020</w:t>
      </w:r>
    </w:p>
    <w:p w:rsidR="00B4550A" w:rsidRPr="00E0488D" w:rsidRDefault="00B4550A" w:rsidP="00BC2B57">
      <w:pPr>
        <w:pStyle w:val="BulletLevel1"/>
      </w:pPr>
      <w:r w:rsidRPr="00E0488D">
        <w:t>Fluxuri de mărfuri crescute generate de conectivitatea internațională</w:t>
      </w:r>
    </w:p>
    <w:p w:rsidR="00B4550A" w:rsidRPr="00E0488D" w:rsidRDefault="00B4550A" w:rsidP="00BC2B57">
      <w:pPr>
        <w:pStyle w:val="BulletLevel1"/>
      </w:pPr>
      <w:r w:rsidRPr="00E0488D">
        <w:t>În perioadele de iarnă o proporție semnificativă a curselor aeriene au fost anulate sau nu au putut ateriza din cauza lipsei infrastructurii adecvate condițiilor meteo extreme</w:t>
      </w:r>
    </w:p>
    <w:p w:rsidR="00B4550A" w:rsidRPr="00E0488D" w:rsidRDefault="00B4550A" w:rsidP="00B4550A">
      <w:pPr>
        <w:spacing w:before="120" w:after="120" w:line="276" w:lineRule="auto"/>
        <w:rPr>
          <w:b/>
          <w:sz w:val="22"/>
          <w:szCs w:val="22"/>
          <w:lang w:val="ro-RO"/>
        </w:rPr>
      </w:pPr>
      <w:r w:rsidRPr="00E0488D">
        <w:rPr>
          <w:b/>
          <w:sz w:val="22"/>
          <w:szCs w:val="22"/>
          <w:lang w:val="ro-RO"/>
        </w:rPr>
        <w:t>Costuri neactualizate</w:t>
      </w:r>
    </w:p>
    <w:p w:rsidR="00B4550A" w:rsidRPr="00E0488D" w:rsidRDefault="00B4550A" w:rsidP="00B4550A">
      <w:pPr>
        <w:spacing w:before="120" w:after="120" w:line="276" w:lineRule="auto"/>
        <w:rPr>
          <w:sz w:val="22"/>
          <w:szCs w:val="22"/>
          <w:lang w:val="ro-RO"/>
        </w:rPr>
      </w:pPr>
      <w:r w:rsidRPr="00E0488D">
        <w:rPr>
          <w:sz w:val="22"/>
          <w:szCs w:val="22"/>
          <w:lang w:val="ro-RO"/>
        </w:rPr>
        <w:t>Costurile estimate ale proiectului sunt următoarele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831" w:type="pct"/>
            <w:vAlign w:val="bottom"/>
          </w:tcPr>
          <w:p w:rsidR="00B4550A" w:rsidRPr="00E0488D" w:rsidRDefault="00B4550A" w:rsidP="003C7FC8">
            <w:pPr>
              <w:rPr>
                <w:sz w:val="22"/>
                <w:szCs w:val="22"/>
                <w:lang w:val="ro-RO"/>
              </w:rPr>
            </w:pPr>
            <w:r w:rsidRPr="00E0488D">
              <w:rPr>
                <w:sz w:val="22"/>
                <w:szCs w:val="22"/>
                <w:lang w:val="ro-RO"/>
              </w:rPr>
              <w:t>49,8</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3"/>
              </w:numPr>
              <w:contextualSpacing/>
              <w:rPr>
                <w:lang w:val="ro-RO"/>
              </w:rPr>
            </w:pPr>
            <w:r w:rsidRPr="00E0488D">
              <w:rPr>
                <w:lang w:val="ro-RO"/>
              </w:rPr>
              <w:t>Dezvoltarea unui nou terminal de pasageri</w:t>
            </w:r>
          </w:p>
          <w:p w:rsidR="00B4550A" w:rsidRPr="00E0488D" w:rsidRDefault="00B4550A" w:rsidP="00687448">
            <w:pPr>
              <w:pStyle w:val="ListParagraph"/>
              <w:numPr>
                <w:ilvl w:val="0"/>
                <w:numId w:val="33"/>
              </w:numPr>
              <w:contextualSpacing/>
              <w:rPr>
                <w:lang w:val="ro-RO"/>
              </w:rPr>
            </w:pPr>
            <w:r w:rsidRPr="00E0488D">
              <w:rPr>
                <w:lang w:val="ro-RO"/>
              </w:rPr>
              <w:t xml:space="preserve">Extensia căii de rulare </w:t>
            </w:r>
          </w:p>
          <w:p w:rsidR="00B4550A" w:rsidRPr="00E0488D" w:rsidRDefault="00B4550A" w:rsidP="00687448">
            <w:pPr>
              <w:pStyle w:val="ListParagraph"/>
              <w:numPr>
                <w:ilvl w:val="0"/>
                <w:numId w:val="33"/>
              </w:numPr>
              <w:contextualSpacing/>
              <w:rPr>
                <w:lang w:val="ro-RO"/>
              </w:rPr>
            </w:pPr>
            <w:r w:rsidRPr="00E0488D">
              <w:rPr>
                <w:lang w:val="ro-RO"/>
              </w:rPr>
              <w:t>Fezabilitatea dezvoltării unui terminal cargo</w:t>
            </w:r>
          </w:p>
          <w:p w:rsidR="00B4550A" w:rsidRPr="00E0488D" w:rsidRDefault="00B4550A" w:rsidP="00687448">
            <w:pPr>
              <w:pStyle w:val="ListParagraph"/>
              <w:numPr>
                <w:ilvl w:val="0"/>
                <w:numId w:val="33"/>
              </w:numPr>
              <w:contextualSpacing/>
              <w:rPr>
                <w:lang w:val="ro-RO"/>
              </w:rPr>
            </w:pPr>
            <w:r w:rsidRPr="00E0488D">
              <w:rPr>
                <w:lang w:val="ro-RO"/>
              </w:rPr>
              <w:t>Modernizarea sistemului de iluminat, instalarea echipamentelor de degivrare și a unui sistem de balizaj</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831" w:type="pct"/>
            <w:vAlign w:val="bottom"/>
          </w:tcPr>
          <w:p w:rsidR="00B4550A" w:rsidRPr="00E0488D" w:rsidRDefault="00B4550A" w:rsidP="003C7FC8">
            <w:pPr>
              <w:rPr>
                <w:sz w:val="22"/>
                <w:szCs w:val="22"/>
                <w:lang w:val="ro-RO"/>
              </w:rPr>
            </w:pPr>
            <w:r w:rsidRPr="00E0488D">
              <w:rPr>
                <w:sz w:val="22"/>
                <w:szCs w:val="22"/>
                <w:lang w:val="ro-RO"/>
              </w:rPr>
              <w:t>2,5</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895" w:type="pct"/>
          </w:tcPr>
          <w:p w:rsidR="00B4550A" w:rsidRPr="00E0488D" w:rsidRDefault="00B4550A" w:rsidP="003C7FC8">
            <w:pPr>
              <w:rPr>
                <w:sz w:val="22"/>
                <w:szCs w:val="22"/>
                <w:lang w:val="ro-RO"/>
              </w:rPr>
            </w:pPr>
            <w:r w:rsidRPr="00E0488D">
              <w:rPr>
                <w:sz w:val="22"/>
                <w:szCs w:val="22"/>
                <w:lang w:val="ro-RO"/>
              </w:rPr>
              <w:t xml:space="preserve">Total </w:t>
            </w:r>
          </w:p>
        </w:tc>
        <w:tc>
          <w:tcPr>
            <w:tcW w:w="831" w:type="pct"/>
          </w:tcPr>
          <w:p w:rsidR="00B4550A" w:rsidRPr="00E0488D" w:rsidRDefault="00B4550A" w:rsidP="003C7FC8">
            <w:pPr>
              <w:rPr>
                <w:b/>
                <w:sz w:val="22"/>
                <w:szCs w:val="22"/>
                <w:lang w:val="ro-RO"/>
              </w:rPr>
            </w:pPr>
            <w:r w:rsidRPr="00E0488D">
              <w:rPr>
                <w:b/>
                <w:sz w:val="22"/>
                <w:szCs w:val="22"/>
                <w:lang w:val="ro-RO"/>
              </w:rPr>
              <w:t>52,,3</w:t>
            </w:r>
          </w:p>
        </w:tc>
        <w:tc>
          <w:tcPr>
            <w:tcW w:w="3274" w:type="pct"/>
          </w:tcPr>
          <w:p w:rsidR="00B4550A" w:rsidRPr="00E0488D" w:rsidRDefault="00B4550A" w:rsidP="003C7FC8">
            <w:pPr>
              <w:rPr>
                <w:sz w:val="22"/>
                <w:szCs w:val="22"/>
                <w:lang w:val="ro-RO"/>
              </w:rPr>
            </w:pPr>
            <w:r w:rsidRPr="00E0488D">
              <w:rPr>
                <w:sz w:val="22"/>
                <w:szCs w:val="22"/>
                <w:lang w:val="ro-RO"/>
              </w:rPr>
              <w:t>(proiecte combinate 2020-2025)</w:t>
            </w:r>
          </w:p>
        </w:tc>
      </w:tr>
    </w:tbl>
    <w:p w:rsidR="00B4550A" w:rsidRPr="00E0488D" w:rsidRDefault="00B4550A" w:rsidP="00B4550A">
      <w:pPr>
        <w:rPr>
          <w:sz w:val="22"/>
          <w:szCs w:val="22"/>
          <w:lang w:val="ro-RO"/>
        </w:rPr>
      </w:pPr>
    </w:p>
    <w:p w:rsidR="00B4550A" w:rsidRPr="00E0488D" w:rsidRDefault="00B4550A" w:rsidP="00B4550A">
      <w:pPr>
        <w:spacing w:before="120" w:line="276" w:lineRule="auto"/>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63.803.895</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651.827.026</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588.023.131</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10,22</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34,9%</w:t>
            </w:r>
          </w:p>
        </w:tc>
      </w:tr>
    </w:tbl>
    <w:p w:rsidR="00B4550A" w:rsidRPr="00E0488D" w:rsidRDefault="00B4550A" w:rsidP="002B7E09">
      <w:pPr>
        <w:pStyle w:val="NumberedParas"/>
      </w:pPr>
      <w:r w:rsidRPr="00E0488D">
        <w:t xml:space="preserve">În anul 2011 aeroportul a înregistrat un număr de 176.906 pasageri (26.482 din trafic intern și 150,424 din trafic internațional). Dacă programul de modernizare este implementat în totalitate, numărul pasagerilor ar putea atinge cifra de 1.517.611 până în anul 2020 (329,756 din trafic intern și 1,187,865 din trafic internațional) și de 1.886.252 până în anul 2025 (409.844 din trafic intern și 1.476.408 din trafic internațional). </w:t>
      </w:r>
    </w:p>
    <w:p w:rsidR="00B4550A" w:rsidRPr="00E0488D" w:rsidRDefault="00B4550A" w:rsidP="00B4550A">
      <w:pPr>
        <w:spacing w:before="120" w:after="120"/>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Sibiu </w:t>
      </w:r>
    </w:p>
    <w:p w:rsidR="00B4550A" w:rsidRPr="00E0488D" w:rsidRDefault="00B4550A" w:rsidP="00B4550A">
      <w:pPr>
        <w:spacing w:after="120"/>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119"/>
      </w:tblGrid>
      <w:tr w:rsidR="00B4550A" w:rsidRPr="00E0488D" w:rsidTr="003C7FC8">
        <w:trPr>
          <w:tblHeader/>
        </w:trPr>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3119"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terminalului de pasageri </w:t>
            </w:r>
          </w:p>
        </w:tc>
        <w:tc>
          <w:tcPr>
            <w:tcW w:w="3119"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3119"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Analiza oportunității de a dezvolta un terminal cargo</w:t>
            </w:r>
          </w:p>
        </w:tc>
        <w:tc>
          <w:tcPr>
            <w:tcW w:w="3119"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Modernizarea sistemului de iluminare de la categoria CAT I la CAT II </w:t>
            </w:r>
          </w:p>
        </w:tc>
        <w:tc>
          <w:tcPr>
            <w:tcW w:w="3119" w:type="dxa"/>
          </w:tcPr>
          <w:p w:rsidR="00B4550A" w:rsidRPr="00E0488D" w:rsidRDefault="00B4550A" w:rsidP="003C7FC8">
            <w:pPr>
              <w:rPr>
                <w:sz w:val="22"/>
                <w:szCs w:val="22"/>
                <w:lang w:val="ro-RO"/>
              </w:rPr>
            </w:pPr>
            <w:r w:rsidRPr="00E0488D">
              <w:rPr>
                <w:sz w:val="22"/>
                <w:szCs w:val="22"/>
                <w:lang w:val="ro-RO"/>
              </w:rPr>
              <w:t>până în anul 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Achiziționarea echipamentului de degivrare</w:t>
            </w:r>
          </w:p>
        </w:tc>
        <w:tc>
          <w:tcPr>
            <w:tcW w:w="3119" w:type="dxa"/>
          </w:tcPr>
          <w:p w:rsidR="00B4550A" w:rsidRPr="00E0488D" w:rsidRDefault="00B4550A" w:rsidP="003C7FC8">
            <w:pPr>
              <w:rPr>
                <w:sz w:val="22"/>
                <w:szCs w:val="22"/>
                <w:lang w:val="ro-RO"/>
              </w:rPr>
            </w:pPr>
            <w:r w:rsidRPr="00E0488D">
              <w:rPr>
                <w:sz w:val="22"/>
                <w:szCs w:val="22"/>
                <w:lang w:val="ro-RO"/>
              </w:rPr>
              <w:t>până în anul 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Instalarea unui sistem de balizaj la calea de rulare November </w:t>
            </w:r>
          </w:p>
        </w:tc>
        <w:tc>
          <w:tcPr>
            <w:tcW w:w="3119"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pPr>
      <w:r w:rsidRPr="00E0488D">
        <w:t>Program de modernizare a aeroportului Cluj-Napoca</w:t>
      </w:r>
    </w:p>
    <w:p w:rsidR="00B4550A" w:rsidRPr="00E0488D" w:rsidRDefault="00B4550A" w:rsidP="00B4550A">
      <w:pPr>
        <w:rPr>
          <w:b/>
          <w:sz w:val="22"/>
          <w:szCs w:val="22"/>
          <w:lang w:val="ro-RO"/>
        </w:rPr>
      </w:pPr>
    </w:p>
    <w:p w:rsidR="00B4550A" w:rsidRPr="00E0488D" w:rsidRDefault="00B4550A" w:rsidP="00B4550A">
      <w:pPr>
        <w:pStyle w:val="ListParagraph"/>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Cluj-Napoca este clasificat ca Aeroport Hub Internațional. Proiectul de modernizare al aeroportului Cluj-Napoca are scopul de a asigura capacitatea infrastructurii și facilitățile operaționale necesare satisfacerii nivelului crescut al cererii de servicii de transport aerian din anul 2020 și 2025. Proiectul include:</w:t>
      </w:r>
    </w:p>
    <w:p w:rsidR="00B4550A" w:rsidRPr="00E0488D" w:rsidRDefault="00B4550A" w:rsidP="00BC2B57">
      <w:pPr>
        <w:pStyle w:val="BulletLevel1"/>
      </w:pPr>
      <w:r w:rsidRPr="00E0488D">
        <w:t>Extinderea pistei și două buzunare de întoarcere</w:t>
      </w:r>
    </w:p>
    <w:p w:rsidR="00B4550A" w:rsidRPr="00E0488D" w:rsidRDefault="00B4550A" w:rsidP="00BC2B57">
      <w:pPr>
        <w:pStyle w:val="BulletLevel1"/>
      </w:pPr>
      <w:r w:rsidRPr="00E0488D">
        <w:t xml:space="preserve">Extinderea/construirea unei noi căi de rulare și a unei noi platforme </w:t>
      </w:r>
    </w:p>
    <w:p w:rsidR="00B4550A" w:rsidRPr="00E0488D" w:rsidRDefault="00B4550A" w:rsidP="00BC2B57">
      <w:pPr>
        <w:pStyle w:val="BulletLevel1"/>
      </w:pPr>
      <w:r w:rsidRPr="00E0488D">
        <w:t>Analizarea oportunității de a dezvolta un terminal cargo</w:t>
      </w:r>
    </w:p>
    <w:p w:rsidR="00B4550A" w:rsidRPr="00E0488D" w:rsidRDefault="00B4550A" w:rsidP="002B7E09">
      <w:pPr>
        <w:pStyle w:val="NumberedParas"/>
      </w:pPr>
      <w:r w:rsidRPr="00E0488D">
        <w:t xml:space="preserve">Figura 7.10 prezintă localizarea Aeroportului Cluj-Napoca în relație cu celelalte aeroporturi din România. </w:t>
      </w:r>
    </w:p>
    <w:p w:rsidR="00B4550A" w:rsidRPr="00E0488D" w:rsidRDefault="00B4550A" w:rsidP="00B4550A">
      <w:pPr>
        <w:rPr>
          <w:b/>
          <w:sz w:val="22"/>
          <w:szCs w:val="22"/>
          <w:lang w:val="ro-RO"/>
        </w:rPr>
      </w:pPr>
      <w:r w:rsidRPr="00E0488D">
        <w:rPr>
          <w:b/>
          <w:sz w:val="22"/>
          <w:szCs w:val="22"/>
          <w:lang w:val="ro-RO"/>
        </w:rPr>
        <w:t>Figura 7.9: Localizarea Aeroportului Cluj-Napoca</w:t>
      </w: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24275"/>
            <wp:effectExtent l="19050" t="0" r="0" b="0"/>
            <wp:docPr id="6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5276850" cy="3724275"/>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p>
    <w:p w:rsidR="00B4550A" w:rsidRPr="00E0488D" w:rsidRDefault="00B4550A" w:rsidP="00B4550A">
      <w:pPr>
        <w:pStyle w:val="ListParagraph"/>
        <w:ind w:left="0"/>
        <w:rPr>
          <w:b/>
          <w:sz w:val="22"/>
          <w:szCs w:val="22"/>
          <w:lang w:val="ro-RO"/>
        </w:rPr>
      </w:pPr>
      <w:r w:rsidRPr="00E0488D">
        <w:rPr>
          <w:b/>
          <w:sz w:val="22"/>
          <w:szCs w:val="22"/>
          <w:lang w:val="ro-RO"/>
        </w:rPr>
        <w:t>Probleme atinse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Lipsa de capacitate a terminalului până în anul 2020</w:t>
      </w:r>
    </w:p>
    <w:p w:rsidR="00B4550A" w:rsidRPr="00E0488D" w:rsidRDefault="00B4550A" w:rsidP="00BC2B57">
      <w:pPr>
        <w:pStyle w:val="BulletLevel1"/>
      </w:pPr>
      <w:r w:rsidRPr="00E0488D">
        <w:t>Fluxuri crescute de mărfuri generate ca urmare a conectivității internaționale</w:t>
      </w:r>
    </w:p>
    <w:p w:rsidR="00B4550A" w:rsidRPr="00E0488D" w:rsidRDefault="00B4550A" w:rsidP="00BC2B57">
      <w:pPr>
        <w:pStyle w:val="BulletLevel1"/>
      </w:pPr>
      <w:r w:rsidRPr="00E0488D">
        <w:t>Deși în prezent nu este necesară extinderea pistei, pentru viitor se propun zborurui directe către Statele Unite ale Americii și astfel capacitatea existentă a pistei va deveni insuficientă.</w:t>
      </w:r>
    </w:p>
    <w:p w:rsidR="00B4550A" w:rsidRPr="00E0488D" w:rsidRDefault="00B4550A" w:rsidP="00B4550A">
      <w:pPr>
        <w:spacing w:before="120" w:after="120"/>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831" w:type="pct"/>
            <w:vAlign w:val="bottom"/>
          </w:tcPr>
          <w:p w:rsidR="00B4550A" w:rsidRPr="00E0488D" w:rsidRDefault="00B4550A" w:rsidP="003C7FC8">
            <w:pPr>
              <w:rPr>
                <w:sz w:val="22"/>
                <w:szCs w:val="22"/>
                <w:lang w:val="ro-RO"/>
              </w:rPr>
            </w:pPr>
            <w:r w:rsidRPr="00E0488D">
              <w:rPr>
                <w:sz w:val="22"/>
                <w:szCs w:val="22"/>
                <w:lang w:val="ro-RO"/>
              </w:rPr>
              <w:t>82,8</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4"/>
              </w:numPr>
              <w:contextualSpacing/>
              <w:rPr>
                <w:lang w:val="ro-RO"/>
              </w:rPr>
            </w:pPr>
            <w:r w:rsidRPr="00E0488D">
              <w:rPr>
                <w:lang w:val="ro-RO"/>
              </w:rPr>
              <w:t>Construirea de noi platforme și căi de rulare</w:t>
            </w:r>
          </w:p>
          <w:p w:rsidR="00B4550A" w:rsidRPr="00E0488D" w:rsidRDefault="00B4550A" w:rsidP="00687448">
            <w:pPr>
              <w:pStyle w:val="ListParagraph"/>
              <w:numPr>
                <w:ilvl w:val="0"/>
                <w:numId w:val="34"/>
              </w:numPr>
              <w:contextualSpacing/>
              <w:rPr>
                <w:lang w:val="ro-RO"/>
              </w:rPr>
            </w:pPr>
            <w:r w:rsidRPr="00E0488D">
              <w:rPr>
                <w:lang w:val="ro-RO"/>
              </w:rPr>
              <w:t>Analiza oportunității de a dezvolta un terminal cargo</w:t>
            </w:r>
          </w:p>
          <w:p w:rsidR="00B4550A" w:rsidRPr="00E0488D" w:rsidRDefault="00B4550A" w:rsidP="00687448">
            <w:pPr>
              <w:pStyle w:val="ListParagraph"/>
              <w:numPr>
                <w:ilvl w:val="0"/>
                <w:numId w:val="34"/>
              </w:numPr>
              <w:contextualSpacing/>
              <w:rPr>
                <w:lang w:val="ro-RO"/>
              </w:rPr>
            </w:pPr>
            <w:r w:rsidRPr="00E0488D">
              <w:rPr>
                <w:lang w:val="ro-RO"/>
              </w:rPr>
              <w:t xml:space="preserve">Extinderea pistei cu două buzunare de întoarcere </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831" w:type="pct"/>
            <w:vAlign w:val="bottom"/>
          </w:tcPr>
          <w:p w:rsidR="00B4550A" w:rsidRPr="00E0488D" w:rsidRDefault="00B4550A" w:rsidP="003C7FC8">
            <w:pPr>
              <w:rPr>
                <w:sz w:val="22"/>
                <w:szCs w:val="22"/>
                <w:lang w:val="ro-RO"/>
              </w:rPr>
            </w:pPr>
            <w:r w:rsidRPr="00E0488D">
              <w:rPr>
                <w:sz w:val="22"/>
                <w:szCs w:val="22"/>
                <w:lang w:val="ro-RO"/>
              </w:rPr>
              <w:t>4,1</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895" w:type="pct"/>
          </w:tcPr>
          <w:p w:rsidR="00B4550A" w:rsidRPr="00E0488D" w:rsidRDefault="00B4550A" w:rsidP="003C7FC8">
            <w:pPr>
              <w:rPr>
                <w:sz w:val="22"/>
                <w:szCs w:val="22"/>
                <w:lang w:val="ro-RO"/>
              </w:rPr>
            </w:pPr>
            <w:r w:rsidRPr="00E0488D">
              <w:rPr>
                <w:sz w:val="22"/>
                <w:szCs w:val="22"/>
                <w:lang w:val="ro-RO"/>
              </w:rPr>
              <w:t xml:space="preserve">Total </w:t>
            </w:r>
          </w:p>
        </w:tc>
        <w:tc>
          <w:tcPr>
            <w:tcW w:w="831" w:type="pct"/>
          </w:tcPr>
          <w:p w:rsidR="00B4550A" w:rsidRPr="00E0488D" w:rsidRDefault="00B4550A" w:rsidP="003C7FC8">
            <w:pPr>
              <w:rPr>
                <w:b/>
                <w:sz w:val="22"/>
                <w:szCs w:val="22"/>
                <w:lang w:val="ro-RO"/>
              </w:rPr>
            </w:pPr>
            <w:r w:rsidRPr="00E0488D">
              <w:rPr>
                <w:b/>
                <w:sz w:val="22"/>
                <w:szCs w:val="22"/>
                <w:lang w:val="ro-RO"/>
              </w:rPr>
              <w:t>87</w:t>
            </w:r>
          </w:p>
        </w:tc>
        <w:tc>
          <w:tcPr>
            <w:tcW w:w="3274" w:type="pct"/>
          </w:tcPr>
          <w:p w:rsidR="00B4550A" w:rsidRPr="00E0488D" w:rsidRDefault="00B4550A" w:rsidP="003C7FC8">
            <w:pPr>
              <w:rPr>
                <w:sz w:val="22"/>
                <w:szCs w:val="22"/>
                <w:lang w:val="ro-RO"/>
              </w:rPr>
            </w:pPr>
            <w:r w:rsidRPr="00E0488D">
              <w:rPr>
                <w:sz w:val="22"/>
                <w:szCs w:val="22"/>
                <w:lang w:val="ro-RO"/>
              </w:rPr>
              <w:t>(proiecte combinate 2020-2025)</w:t>
            </w:r>
          </w:p>
        </w:tc>
      </w:tr>
    </w:tbl>
    <w:p w:rsidR="00B4550A" w:rsidRPr="00E0488D" w:rsidRDefault="00B4550A" w:rsidP="00B4550A">
      <w:pPr>
        <w:rPr>
          <w:sz w:val="22"/>
          <w:szCs w:val="22"/>
          <w:lang w:val="ro-RO"/>
        </w:rPr>
      </w:pPr>
    </w:p>
    <w:p w:rsidR="00B4550A" w:rsidRPr="00E0488D" w:rsidRDefault="00B4550A" w:rsidP="00B4550A">
      <w:pPr>
        <w:spacing w:before="120" w:after="120"/>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108.418.495</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136.137.415</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27.718.920</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1,26</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4,6%</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 xml:space="preserve">În anul 2011 aeroportul a înregistrat un număr de 1.004.821 pasageri (189.139 din trafic intern și 815,682 din trafic internațional). Dacă programul de modernizare este implementat în totalitate, numărul pasagerilor ar putea atinge cifra de 1,348,564 până în  2020 (253.842 din trafic intern și 1.094.722 din trafic internațional) și 1.686.515 by 2025 (317.455 din trafic intern și 1.369.059 din trafic internațional). </w:t>
      </w:r>
    </w:p>
    <w:p w:rsidR="00B4550A" w:rsidRPr="00E0488D" w:rsidRDefault="00B4550A" w:rsidP="00B4550A">
      <w:pPr>
        <w:pStyle w:val="Frspaiere1"/>
        <w:rPr>
          <w:lang w:val="ro-RO"/>
        </w:rPr>
      </w:pPr>
    </w:p>
    <w:p w:rsidR="00B4550A" w:rsidRPr="00E0488D" w:rsidRDefault="00B4550A" w:rsidP="00B4550A">
      <w:pPr>
        <w:spacing w:before="120" w:after="120"/>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Cluj-Napoca. </w:t>
      </w:r>
    </w:p>
    <w:p w:rsidR="00B4550A" w:rsidRPr="00E0488D" w:rsidRDefault="00B4550A" w:rsidP="00B4550A">
      <w:pPr>
        <w:spacing w:before="120" w:after="120"/>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Noi căi de rulare și extinderea spațiului platformelor</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spațiului platformelor </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Analiza oportunității de dezvoltare a unui terminal cargo</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pPr>
      <w:r w:rsidRPr="00E0488D">
        <w:t>Program de modernizare a aeroportului Bacău</w:t>
      </w:r>
    </w:p>
    <w:p w:rsidR="00B4550A" w:rsidRPr="00E0488D" w:rsidRDefault="00B4550A" w:rsidP="00B4550A">
      <w:pPr>
        <w:rPr>
          <w:b/>
          <w:sz w:val="22"/>
          <w:szCs w:val="22"/>
          <w:lang w:val="ro-RO"/>
        </w:rPr>
      </w:pPr>
      <w:r w:rsidRPr="00E0488D">
        <w:rPr>
          <w:b/>
          <w:sz w:val="22"/>
          <w:szCs w:val="22"/>
          <w:lang w:val="ro-RO"/>
        </w:rPr>
        <w:tab/>
      </w:r>
    </w:p>
    <w:p w:rsidR="00B4550A" w:rsidRPr="00E0488D" w:rsidRDefault="00B4550A" w:rsidP="00B4550A">
      <w:pPr>
        <w:pStyle w:val="ListParagraph"/>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Bacău este în prezent clasificat ca Aeroport Regional dar acesta se poate dezvolta într-un Hub Internațional datorită zonei de captare de care beneficiază. Proiectul de modernizare pentru aeroportul Bacău are scopul de asigura capacitatea infrastructurii și facilitățile necesare satisfacerii nivelului cererii de servicii din 2020 și 2025. Proiectul include:</w:t>
      </w:r>
    </w:p>
    <w:p w:rsidR="00B4550A" w:rsidRPr="00E0488D" w:rsidRDefault="00B4550A" w:rsidP="00BC2B57">
      <w:pPr>
        <w:pStyle w:val="BulletLevel1"/>
      </w:pPr>
      <w:r w:rsidRPr="00E0488D">
        <w:t>Extinderea terminalului de pasageri</w:t>
      </w:r>
    </w:p>
    <w:p w:rsidR="00B4550A" w:rsidRPr="00E0488D" w:rsidRDefault="00B4550A" w:rsidP="00BC2B57">
      <w:pPr>
        <w:pStyle w:val="BulletLevel1"/>
      </w:pPr>
      <w:r w:rsidRPr="00E0488D">
        <w:t>Extinderea spațiului platformei</w:t>
      </w:r>
    </w:p>
    <w:p w:rsidR="00B4550A" w:rsidRPr="00E0488D" w:rsidRDefault="00B4550A" w:rsidP="00BC2B57">
      <w:pPr>
        <w:pStyle w:val="BulletLevel1"/>
      </w:pPr>
      <w:r w:rsidRPr="00E0488D">
        <w:t>Creșterea capacității portante a pistei</w:t>
      </w:r>
    </w:p>
    <w:p w:rsidR="00B4550A" w:rsidRPr="00E0488D" w:rsidRDefault="00B4550A" w:rsidP="00BC2B57">
      <w:pPr>
        <w:pStyle w:val="BulletLevel1"/>
      </w:pPr>
      <w:r w:rsidRPr="00E0488D">
        <w:t>Analiza oportunității dezvoltării unui terminal cargo</w:t>
      </w:r>
    </w:p>
    <w:p w:rsidR="00B4550A" w:rsidRPr="00E0488D" w:rsidRDefault="00B4550A" w:rsidP="00B4550A">
      <w:pPr>
        <w:rPr>
          <w:sz w:val="22"/>
          <w:szCs w:val="22"/>
          <w:lang w:val="ro-RO"/>
        </w:rPr>
      </w:pPr>
    </w:p>
    <w:p w:rsidR="00B4550A" w:rsidRPr="00E0488D" w:rsidRDefault="00B4550A" w:rsidP="002B7E09">
      <w:pPr>
        <w:pStyle w:val="NumberedParas"/>
      </w:pPr>
      <w:r w:rsidRPr="00E0488D">
        <w:t xml:space="preserve">Figura 7.11 prezintă localizarea Aeroportului Bacău  în relație cu celelalte aeroporturi din România. </w:t>
      </w:r>
    </w:p>
    <w:p w:rsidR="00B4550A" w:rsidRPr="00E0488D" w:rsidRDefault="00B4550A" w:rsidP="00B4550A">
      <w:pPr>
        <w:rPr>
          <w:sz w:val="22"/>
          <w:szCs w:val="22"/>
          <w:lang w:val="ro-RO"/>
        </w:rPr>
      </w:pP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86375" cy="3733800"/>
            <wp:effectExtent l="19050" t="0" r="9525" b="0"/>
            <wp:docPr id="7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5286375" cy="3733800"/>
                    </a:xfrm>
                    <a:prstGeom prst="rect">
                      <a:avLst/>
                    </a:prstGeom>
                    <a:noFill/>
                    <a:ln w="9525">
                      <a:noFill/>
                      <a:miter lim="800000"/>
                      <a:headEnd/>
                      <a:tailEnd/>
                    </a:ln>
                  </pic:spPr>
                </pic:pic>
              </a:graphicData>
            </a:graphic>
          </wp:inline>
        </w:drawing>
      </w:r>
    </w:p>
    <w:p w:rsidR="00B4550A" w:rsidRPr="00E0488D" w:rsidRDefault="00B4550A" w:rsidP="00B4550A">
      <w:pPr>
        <w:rPr>
          <w:b/>
          <w:sz w:val="22"/>
          <w:szCs w:val="22"/>
          <w:lang w:val="ro-RO"/>
        </w:rPr>
      </w:pPr>
      <w:r w:rsidRPr="00E0488D">
        <w:rPr>
          <w:b/>
          <w:sz w:val="22"/>
          <w:szCs w:val="22"/>
          <w:lang w:val="ro-RO"/>
        </w:rPr>
        <w:t>Figura 7.11: Localizarea Aeroportului Bacău</w:t>
      </w:r>
    </w:p>
    <w:p w:rsidR="00B4550A" w:rsidRPr="00E0488D" w:rsidRDefault="00B4550A" w:rsidP="00B4550A">
      <w:pPr>
        <w:rPr>
          <w:sz w:val="22"/>
          <w:szCs w:val="22"/>
          <w:lang w:val="ro-RO"/>
        </w:rPr>
      </w:pPr>
    </w:p>
    <w:p w:rsidR="00B4550A" w:rsidRPr="00E0488D" w:rsidRDefault="00B4550A" w:rsidP="00B4550A">
      <w:pPr>
        <w:rPr>
          <w:sz w:val="22"/>
          <w:szCs w:val="22"/>
          <w:lang w:val="ro-RO"/>
        </w:rPr>
      </w:pPr>
    </w:p>
    <w:p w:rsidR="00B4550A" w:rsidRPr="00E0488D" w:rsidRDefault="00B4550A" w:rsidP="00B4550A">
      <w:pPr>
        <w:pStyle w:val="ListParagraph"/>
        <w:spacing w:before="120" w:after="120"/>
        <w:ind w:left="0"/>
        <w:rPr>
          <w:b/>
          <w:sz w:val="22"/>
          <w:szCs w:val="22"/>
          <w:lang w:val="ro-RO"/>
        </w:rPr>
      </w:pPr>
      <w:r w:rsidRPr="00E0488D">
        <w:rPr>
          <w:b/>
          <w:sz w:val="22"/>
          <w:szCs w:val="22"/>
          <w:lang w:val="ro-RO"/>
        </w:rPr>
        <w:t>Probleme abordate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Lipsa de capacitate a terminalelor până în anul 2020</w:t>
      </w:r>
    </w:p>
    <w:p w:rsidR="00B4550A" w:rsidRPr="00E0488D" w:rsidRDefault="00B4550A" w:rsidP="00BC2B57">
      <w:pPr>
        <w:pStyle w:val="BulletLevel1"/>
      </w:pPr>
      <w:r w:rsidRPr="00E0488D">
        <w:t>Lipsa de capacitate a platformelor până în 2020</w:t>
      </w:r>
    </w:p>
    <w:p w:rsidR="00B4550A" w:rsidRPr="00E0488D" w:rsidRDefault="00B4550A" w:rsidP="00BC2B57">
      <w:pPr>
        <w:pStyle w:val="BulletLevel1"/>
      </w:pPr>
      <w:r w:rsidRPr="00E0488D">
        <w:t>Capacitatea portantă a pistei este insuficientă</w:t>
      </w:r>
    </w:p>
    <w:p w:rsidR="00B4550A" w:rsidRPr="00E0488D" w:rsidRDefault="00B4550A" w:rsidP="00BC2B57">
      <w:pPr>
        <w:pStyle w:val="BulletLevel1"/>
      </w:pPr>
      <w:r w:rsidRPr="00E0488D">
        <w:t>Fluxuri de mărfuri crescute ca urmare a conectivității internaționale</w:t>
      </w:r>
    </w:p>
    <w:p w:rsidR="00B4550A" w:rsidRPr="00E0488D" w:rsidRDefault="00B4550A" w:rsidP="00B4550A">
      <w:pPr>
        <w:ind w:left="720"/>
        <w:rPr>
          <w:i/>
          <w:sz w:val="22"/>
          <w:szCs w:val="22"/>
          <w:lang w:val="ro-RO"/>
        </w:rPr>
      </w:pPr>
    </w:p>
    <w:p w:rsidR="00B4550A" w:rsidRPr="00E0488D" w:rsidRDefault="00B4550A" w:rsidP="00B4550A">
      <w:pPr>
        <w:spacing w:before="120" w:after="120"/>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0"/>
        <w:gridCol w:w="6882"/>
      </w:tblGrid>
      <w:tr w:rsidR="00B4550A" w:rsidRPr="00E0488D" w:rsidTr="003C7FC8">
        <w:trPr>
          <w:cantSplit/>
          <w:tblHeader/>
        </w:trPr>
        <w:tc>
          <w:tcPr>
            <w:tcW w:w="1725"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5"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978"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747"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85</w:t>
            </w:r>
            <w:r w:rsidRPr="00E0488D" w:rsidDel="00AA3C1D">
              <w:rPr>
                <w:color w:val="000000"/>
                <w:sz w:val="22"/>
                <w:szCs w:val="22"/>
                <w:lang w:val="ro-RO"/>
              </w:rPr>
              <w:t xml:space="preserve"> </w:t>
            </w:r>
          </w:p>
        </w:tc>
        <w:tc>
          <w:tcPr>
            <w:tcW w:w="3275"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5"/>
              </w:numPr>
              <w:contextualSpacing/>
              <w:rPr>
                <w:lang w:val="ro-RO"/>
              </w:rPr>
            </w:pPr>
            <w:r w:rsidRPr="00E0488D">
              <w:rPr>
                <w:lang w:val="ro-RO"/>
              </w:rPr>
              <w:t>Dezvoltarea unui nou terminal de pasageri</w:t>
            </w:r>
          </w:p>
          <w:p w:rsidR="00B4550A" w:rsidRPr="00E0488D" w:rsidRDefault="00B4550A" w:rsidP="00687448">
            <w:pPr>
              <w:pStyle w:val="ListParagraph"/>
              <w:numPr>
                <w:ilvl w:val="0"/>
                <w:numId w:val="35"/>
              </w:numPr>
              <w:contextualSpacing/>
              <w:rPr>
                <w:lang w:val="ro-RO"/>
              </w:rPr>
            </w:pPr>
            <w:r w:rsidRPr="00E0488D">
              <w:rPr>
                <w:lang w:val="ro-RO"/>
              </w:rPr>
              <w:t>Extinderea spațiului platformei</w:t>
            </w:r>
          </w:p>
          <w:p w:rsidR="00B4550A" w:rsidRPr="00E0488D" w:rsidRDefault="00B4550A" w:rsidP="00687448">
            <w:pPr>
              <w:pStyle w:val="ListParagraph"/>
              <w:numPr>
                <w:ilvl w:val="0"/>
                <w:numId w:val="35"/>
              </w:numPr>
              <w:contextualSpacing/>
              <w:rPr>
                <w:lang w:val="ro-RO"/>
              </w:rPr>
            </w:pPr>
            <w:r w:rsidRPr="00E0488D">
              <w:rPr>
                <w:lang w:val="ro-RO"/>
              </w:rPr>
              <w:t>Creșterea capacității portante a pistei</w:t>
            </w:r>
          </w:p>
          <w:p w:rsidR="00B4550A" w:rsidRPr="00E0488D" w:rsidRDefault="00B4550A" w:rsidP="00687448">
            <w:pPr>
              <w:pStyle w:val="ListParagraph"/>
              <w:numPr>
                <w:ilvl w:val="0"/>
                <w:numId w:val="35"/>
              </w:numPr>
              <w:contextualSpacing/>
              <w:rPr>
                <w:lang w:val="ro-RO"/>
              </w:rPr>
            </w:pPr>
            <w:r w:rsidRPr="00E0488D">
              <w:rPr>
                <w:lang w:val="ro-RO"/>
              </w:rPr>
              <w:t>Analiza oportunității de a dezvolta un terminal cargo</w:t>
            </w:r>
          </w:p>
        </w:tc>
      </w:tr>
      <w:tr w:rsidR="00B4550A" w:rsidRPr="00E0488D" w:rsidTr="003C7FC8">
        <w:trPr>
          <w:cantSplit/>
          <w:trHeight w:val="1003"/>
        </w:trPr>
        <w:tc>
          <w:tcPr>
            <w:tcW w:w="978"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747"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4.3</w:t>
            </w:r>
          </w:p>
        </w:tc>
        <w:tc>
          <w:tcPr>
            <w:tcW w:w="3275"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978" w:type="pct"/>
          </w:tcPr>
          <w:p w:rsidR="00B4550A" w:rsidRPr="00E0488D" w:rsidRDefault="00B4550A" w:rsidP="003C7FC8">
            <w:pPr>
              <w:rPr>
                <w:sz w:val="22"/>
                <w:szCs w:val="22"/>
                <w:lang w:val="ro-RO"/>
              </w:rPr>
            </w:pPr>
            <w:r w:rsidRPr="00E0488D">
              <w:rPr>
                <w:sz w:val="22"/>
                <w:szCs w:val="22"/>
                <w:lang w:val="ro-RO"/>
              </w:rPr>
              <w:t xml:space="preserve">Total </w:t>
            </w:r>
          </w:p>
        </w:tc>
        <w:tc>
          <w:tcPr>
            <w:tcW w:w="747"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89,3</w:t>
            </w:r>
          </w:p>
        </w:tc>
        <w:tc>
          <w:tcPr>
            <w:tcW w:w="3275" w:type="pct"/>
          </w:tcPr>
          <w:p w:rsidR="00B4550A" w:rsidRPr="00E0488D" w:rsidRDefault="00B4550A" w:rsidP="003C7FC8">
            <w:pPr>
              <w:rPr>
                <w:sz w:val="22"/>
                <w:szCs w:val="22"/>
                <w:lang w:val="ro-RO"/>
              </w:rPr>
            </w:pPr>
            <w:r w:rsidRPr="00E0488D">
              <w:rPr>
                <w:sz w:val="22"/>
                <w:szCs w:val="22"/>
                <w:lang w:val="ro-RO"/>
              </w:rPr>
              <w:t>(proiecte combinate 2020-2025)</w:t>
            </w:r>
          </w:p>
        </w:tc>
      </w:tr>
    </w:tbl>
    <w:p w:rsidR="00B4550A" w:rsidRPr="00E0488D" w:rsidRDefault="00B4550A" w:rsidP="00B4550A">
      <w:pPr>
        <w:rPr>
          <w:sz w:val="22"/>
          <w:szCs w:val="22"/>
          <w:lang w:val="ro-RO"/>
        </w:rPr>
      </w:pPr>
    </w:p>
    <w:p w:rsidR="00B4550A" w:rsidRPr="00E0488D" w:rsidRDefault="00B4550A" w:rsidP="00B4550A">
      <w:pPr>
        <w:rPr>
          <w:b/>
          <w:sz w:val="22"/>
          <w:szCs w:val="22"/>
          <w:lang w:val="ro-RO"/>
        </w:rPr>
      </w:pPr>
      <w:r w:rsidRPr="00E0488D">
        <w:rPr>
          <w:b/>
          <w:sz w:val="22"/>
          <w:szCs w:val="22"/>
          <w:lang w:val="ro-RO"/>
        </w:rPr>
        <w:t>Rezultate</w:t>
      </w:r>
    </w:p>
    <w:p w:rsidR="00B4550A" w:rsidRPr="00E0488D" w:rsidRDefault="00B4550A" w:rsidP="00B4550A">
      <w:pPr>
        <w:rPr>
          <w:i/>
          <w:sz w:val="22"/>
          <w:szCs w:val="22"/>
          <w:lang w:val="ro-RO"/>
        </w:rPr>
      </w:pP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110,017,027</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367,635,291</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257,618,264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3.34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11.0%</w:t>
            </w:r>
          </w:p>
        </w:tc>
      </w:tr>
    </w:tbl>
    <w:p w:rsidR="00B4550A" w:rsidRPr="00E0488D" w:rsidRDefault="00B4550A" w:rsidP="00B4550A">
      <w:pPr>
        <w:rPr>
          <w:sz w:val="22"/>
          <w:szCs w:val="22"/>
          <w:lang w:val="ro-RO"/>
        </w:rPr>
      </w:pPr>
    </w:p>
    <w:p w:rsidR="00B4550A" w:rsidRPr="00E0488D" w:rsidRDefault="00B4550A" w:rsidP="002B7E09">
      <w:pPr>
        <w:pStyle w:val="NumberedParas"/>
      </w:pPr>
      <w:r w:rsidRPr="00E0488D">
        <w:t xml:space="preserve">În anul 2011 aeroportul a înregistrat un număr de 327.414 pasageri (21.106 din trafic intern și 306.308 din trafic internațional). Dacă programul de modernizare este implementat în totalitate, numărul pasagerilor ar putea atinge cifra de 1,190,261 până în anul 2020 (258,620 din trafic intern și 931,641 din trafic internațional) și de 1,473,001 până în anul 2025 (320,053 din trafic intern și 1,152,948 din trafic internațional). </w:t>
      </w:r>
    </w:p>
    <w:p w:rsidR="00B4550A" w:rsidRPr="00E0488D" w:rsidRDefault="00B4550A" w:rsidP="00B4550A">
      <w:pPr>
        <w:spacing w:before="120" w:after="120"/>
        <w:rPr>
          <w:b/>
          <w:sz w:val="22"/>
          <w:szCs w:val="22"/>
          <w:lang w:val="ro-RO"/>
        </w:rPr>
      </w:pPr>
      <w:r w:rsidRPr="00E0488D">
        <w:rPr>
          <w:b/>
          <w:sz w:val="22"/>
          <w:szCs w:val="22"/>
          <w:lang w:val="ro-RO"/>
        </w:rPr>
        <w:t>Unitatea de implementare</w:t>
      </w:r>
    </w:p>
    <w:p w:rsidR="00B4550A" w:rsidRPr="00E0488D" w:rsidRDefault="00B4550A" w:rsidP="00B4550A">
      <w:pPr>
        <w:rPr>
          <w:sz w:val="22"/>
          <w:szCs w:val="22"/>
          <w:lang w:val="ro-RO"/>
        </w:rPr>
      </w:pPr>
      <w:r w:rsidRPr="00E0488D">
        <w:rPr>
          <w:sz w:val="22"/>
          <w:szCs w:val="22"/>
          <w:lang w:val="ro-RO"/>
        </w:rPr>
        <w:t xml:space="preserve">Acest proiect va fi implementat de Aeroportul Bacău. </w:t>
      </w:r>
    </w:p>
    <w:p w:rsidR="00B4550A" w:rsidRPr="00E0488D" w:rsidRDefault="00B4550A" w:rsidP="00B4550A">
      <w:pPr>
        <w:spacing w:before="120" w:after="120"/>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spațiului platformei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spațiului platformei</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Creșterea capacității portante a pistei </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Analiza oportunității de dezvoltare a unui terminal cargo</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b/>
          <w:sz w:val="22"/>
          <w:szCs w:val="22"/>
          <w:lang w:val="ro-RO"/>
        </w:rPr>
      </w:pPr>
    </w:p>
    <w:p w:rsidR="00B4550A" w:rsidRPr="00E0488D" w:rsidRDefault="00B4550A" w:rsidP="00B4550A">
      <w:pPr>
        <w:pStyle w:val="Hdg3"/>
      </w:pPr>
      <w:r w:rsidRPr="00E0488D">
        <w:t>Program de modernizare a aeroportului Iași</w:t>
      </w:r>
    </w:p>
    <w:p w:rsidR="00B4550A" w:rsidRPr="00E0488D" w:rsidRDefault="00B4550A" w:rsidP="00B4550A">
      <w:pPr>
        <w:rPr>
          <w:b/>
          <w:sz w:val="22"/>
          <w:szCs w:val="22"/>
          <w:lang w:val="ro-RO"/>
        </w:rPr>
      </w:pPr>
      <w:r w:rsidRPr="00E0488D">
        <w:rPr>
          <w:b/>
          <w:sz w:val="22"/>
          <w:szCs w:val="22"/>
          <w:lang w:val="ro-RO"/>
        </w:rPr>
        <w:tab/>
      </w:r>
    </w:p>
    <w:p w:rsidR="00B4550A" w:rsidRPr="00E0488D" w:rsidRDefault="00B4550A" w:rsidP="00B4550A">
      <w:pPr>
        <w:pStyle w:val="ListParagraph"/>
        <w:spacing w:before="120" w:after="120"/>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B4550A">
      <w:pPr>
        <w:rPr>
          <w:sz w:val="22"/>
          <w:szCs w:val="22"/>
          <w:lang w:val="ro-RO"/>
        </w:rPr>
      </w:pPr>
    </w:p>
    <w:p w:rsidR="00B4550A" w:rsidRPr="00E0488D" w:rsidRDefault="00B4550A" w:rsidP="002B7E09">
      <w:pPr>
        <w:pStyle w:val="NumberedParas"/>
      </w:pPr>
      <w:r w:rsidRPr="00E0488D">
        <w:t>Aeroportul Iași este în prezent clasificat ca Aeroport Regional dar are potențialul de a se dezvolta într-un Aeroport Hub Internațional. Compania TAROM folosește deja aeroportul Iași ca un al doilea Hub. Proiectul de modernizare pentru aeroportul Iași are scopul de asigura capacitatea infrastructurii și facilitățile necesare satisfacerii nivelului cererii de servicii din 2020 și 2025. Proiectul include:</w:t>
      </w:r>
    </w:p>
    <w:p w:rsidR="00B4550A" w:rsidRPr="00E0488D" w:rsidRDefault="00B4550A" w:rsidP="00BC2B57">
      <w:pPr>
        <w:pStyle w:val="BulletLevel1"/>
      </w:pPr>
      <w:r w:rsidRPr="00E0488D">
        <w:t>Analiza oportunității de a dezvolta un terminal cargo</w:t>
      </w:r>
    </w:p>
    <w:p w:rsidR="00B4550A" w:rsidRPr="00E0488D" w:rsidRDefault="00B4550A" w:rsidP="002B7E09">
      <w:pPr>
        <w:pStyle w:val="NumberedParas"/>
      </w:pPr>
      <w:r w:rsidRPr="00E0488D">
        <w:t xml:space="preserve">Figura 7.12 prezintă localizarea Aeroportului Iași în relație cu celelalte aeroporturi din România. </w:t>
      </w:r>
    </w:p>
    <w:p w:rsidR="00B4550A" w:rsidRPr="00E0488D" w:rsidRDefault="00B4550A" w:rsidP="00B4550A">
      <w:pPr>
        <w:rPr>
          <w:b/>
          <w:sz w:val="22"/>
          <w:szCs w:val="22"/>
          <w:lang w:val="ro-RO"/>
        </w:rPr>
      </w:pP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24275"/>
            <wp:effectExtent l="19050" t="0" r="0" b="0"/>
            <wp:docPr id="7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5276850" cy="3724275"/>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r w:rsidRPr="00E0488D">
        <w:rPr>
          <w:b/>
          <w:sz w:val="22"/>
          <w:szCs w:val="22"/>
          <w:lang w:val="ro-RO"/>
        </w:rPr>
        <w:t>Figura 7.12: Localizarea Aeroportului Iași</w:t>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ListParagraph"/>
        <w:spacing w:before="120" w:after="120"/>
        <w:ind w:left="0"/>
        <w:rPr>
          <w:b/>
          <w:sz w:val="22"/>
          <w:szCs w:val="22"/>
          <w:lang w:val="ro-RO"/>
        </w:rPr>
      </w:pPr>
      <w:r w:rsidRPr="00E0488D">
        <w:rPr>
          <w:b/>
          <w:sz w:val="22"/>
          <w:szCs w:val="22"/>
          <w:lang w:val="ro-RO"/>
        </w:rPr>
        <w:t>Probleme atinse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Fluxuri crescute provenite din conectivitatea internațională</w:t>
      </w:r>
    </w:p>
    <w:p w:rsidR="00B4550A" w:rsidRPr="00E0488D" w:rsidRDefault="00B4550A" w:rsidP="00B4550A">
      <w:pPr>
        <w:rPr>
          <w:sz w:val="22"/>
          <w:szCs w:val="22"/>
          <w:lang w:val="ro-RO"/>
        </w:rPr>
      </w:pPr>
    </w:p>
    <w:p w:rsidR="00B4550A" w:rsidRPr="00E0488D" w:rsidRDefault="00B4550A" w:rsidP="00B4550A">
      <w:pPr>
        <w:spacing w:before="120" w:after="120"/>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2"/>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978"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748"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5.1</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6"/>
              </w:numPr>
              <w:contextualSpacing/>
              <w:rPr>
                <w:lang w:val="ro-RO"/>
              </w:rPr>
            </w:pPr>
            <w:r w:rsidRPr="00E0488D">
              <w:rPr>
                <w:lang w:val="ro-RO"/>
              </w:rPr>
              <w:t>Analiza oportunității de a dezvolta un terminal cargo</w:t>
            </w:r>
          </w:p>
        </w:tc>
      </w:tr>
      <w:tr w:rsidR="00B4550A" w:rsidRPr="00E0488D" w:rsidTr="003C7FC8">
        <w:trPr>
          <w:cantSplit/>
        </w:trPr>
        <w:tc>
          <w:tcPr>
            <w:tcW w:w="978"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748"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0.3</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978" w:type="pct"/>
          </w:tcPr>
          <w:p w:rsidR="00B4550A" w:rsidRPr="00E0488D" w:rsidRDefault="00B4550A" w:rsidP="003C7FC8">
            <w:pPr>
              <w:rPr>
                <w:sz w:val="22"/>
                <w:szCs w:val="22"/>
                <w:lang w:val="ro-RO"/>
              </w:rPr>
            </w:pPr>
            <w:r w:rsidRPr="00E0488D">
              <w:rPr>
                <w:sz w:val="22"/>
                <w:szCs w:val="22"/>
                <w:lang w:val="ro-RO"/>
              </w:rPr>
              <w:t xml:space="preserve">Total </w:t>
            </w:r>
          </w:p>
        </w:tc>
        <w:tc>
          <w:tcPr>
            <w:tcW w:w="748"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5.4</w:t>
            </w:r>
          </w:p>
        </w:tc>
        <w:tc>
          <w:tcPr>
            <w:tcW w:w="3274" w:type="pct"/>
          </w:tcPr>
          <w:p w:rsidR="00B4550A" w:rsidRPr="00E0488D" w:rsidRDefault="00B4550A" w:rsidP="003C7FC8">
            <w:pPr>
              <w:rPr>
                <w:sz w:val="22"/>
                <w:szCs w:val="22"/>
                <w:lang w:val="ro-RO"/>
              </w:rPr>
            </w:pPr>
          </w:p>
        </w:tc>
      </w:tr>
    </w:tbl>
    <w:p w:rsidR="00B4550A" w:rsidRPr="00E0488D" w:rsidRDefault="00B4550A" w:rsidP="00B4550A">
      <w:pPr>
        <w:rPr>
          <w:sz w:val="22"/>
          <w:szCs w:val="22"/>
          <w:lang w:val="ro-RO"/>
        </w:rPr>
      </w:pPr>
    </w:p>
    <w:p w:rsidR="00B4550A" w:rsidRPr="00E0488D" w:rsidRDefault="00B4550A" w:rsidP="00B4550A">
      <w:pPr>
        <w:spacing w:before="120" w:after="120"/>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6,674,212</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78.948.864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64.765.707</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vAlign w:val="bottom"/>
          </w:tcPr>
          <w:p w:rsidR="00B4550A" w:rsidRPr="00E0488D" w:rsidRDefault="00B4550A" w:rsidP="003C7FC8">
            <w:pPr>
              <w:jc w:val="right"/>
              <w:rPr>
                <w:bCs/>
                <w:sz w:val="22"/>
                <w:szCs w:val="22"/>
                <w:lang w:val="ro-RO"/>
              </w:rPr>
            </w:pPr>
            <w:r w:rsidRPr="00E0488D">
              <w:rPr>
                <w:bCs/>
                <w:sz w:val="22"/>
                <w:szCs w:val="22"/>
                <w:lang w:val="ro-RO"/>
              </w:rPr>
              <w:t>5,57</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17,4%</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 xml:space="preserve">În anul 2011 aeroportul a înregistrat un număr de 184.483 (139.185 din trafic intern și 45.298 din trafic internațional). Dacă programul de modernizare este implementat în totalitate, numărul pasagerilor ar putea atinge cifra de 713,729 până în anul 2020 (155.,122 din trafic intern și 558.807 din trafic internațional) și de 896.903 până în anul 2025 (194.,879 din trafic intern și 702,024 din trafic internațional). </w:t>
      </w:r>
    </w:p>
    <w:p w:rsidR="00B4550A" w:rsidRPr="00E0488D" w:rsidRDefault="00B4550A" w:rsidP="00B4550A">
      <w:pPr>
        <w:spacing w:before="120" w:after="120" w:line="276" w:lineRule="auto"/>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Iași. </w:t>
      </w:r>
    </w:p>
    <w:p w:rsidR="00B4550A" w:rsidRPr="00E0488D" w:rsidRDefault="00B4550A" w:rsidP="00B4550A">
      <w:pPr>
        <w:spacing w:before="120" w:after="120" w:line="276" w:lineRule="auto"/>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Analiza oportunității de dezvoltare a unui terminal cargo</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sz w:val="22"/>
          <w:szCs w:val="22"/>
          <w:lang w:val="ro-RO"/>
        </w:rPr>
      </w:pPr>
    </w:p>
    <w:p w:rsidR="00B4550A" w:rsidRPr="00E0488D" w:rsidRDefault="00B4550A" w:rsidP="00B4550A">
      <w:pPr>
        <w:rPr>
          <w:sz w:val="22"/>
          <w:szCs w:val="22"/>
          <w:lang w:val="ro-RO"/>
        </w:rPr>
      </w:pP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pPr>
      <w:r w:rsidRPr="00E0488D">
        <w:t>Program de modernizare a aeroportului Târgu Mureș</w:t>
      </w:r>
    </w:p>
    <w:p w:rsidR="00B4550A" w:rsidRPr="00E0488D" w:rsidRDefault="00B4550A" w:rsidP="00B4550A">
      <w:pPr>
        <w:rPr>
          <w:b/>
          <w:sz w:val="22"/>
          <w:szCs w:val="22"/>
          <w:lang w:val="ro-RO"/>
        </w:rPr>
      </w:pPr>
      <w:r w:rsidRPr="00E0488D">
        <w:rPr>
          <w:b/>
          <w:sz w:val="22"/>
          <w:szCs w:val="22"/>
          <w:lang w:val="ro-RO"/>
        </w:rPr>
        <w:tab/>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Târgu Mureș este clasificat ca Aeroport Regional. Proiectul de modernizare pentru aeroportul Târgu Mureș are scopul de asigura capacitatea infrastructurii și facilitățile necesare satisfacerii nivelului cererii de servicii din 2020 și 2025. Proiectul include:</w:t>
      </w:r>
    </w:p>
    <w:p w:rsidR="00B4550A" w:rsidRPr="00E0488D" w:rsidRDefault="00B4550A" w:rsidP="00BC2B57">
      <w:pPr>
        <w:pStyle w:val="BulletLevel1"/>
      </w:pPr>
      <w:r w:rsidRPr="00E0488D">
        <w:t>Extensia platformei</w:t>
      </w:r>
    </w:p>
    <w:p w:rsidR="00B4550A" w:rsidRPr="00E0488D" w:rsidRDefault="00B4550A" w:rsidP="00BC2B57">
      <w:pPr>
        <w:pStyle w:val="BulletLevel1"/>
      </w:pPr>
      <w:r w:rsidRPr="00E0488D">
        <w:t>Modernizare sistemului de iluminare</w:t>
      </w:r>
    </w:p>
    <w:p w:rsidR="00B4550A" w:rsidRPr="00E0488D" w:rsidRDefault="00B4550A" w:rsidP="00BC2B57">
      <w:pPr>
        <w:pStyle w:val="BulletLevel1"/>
      </w:pPr>
      <w:r w:rsidRPr="00E0488D">
        <w:t>Achiziția de echipament de degivrare</w:t>
      </w:r>
    </w:p>
    <w:p w:rsidR="00B4550A" w:rsidRPr="00E0488D" w:rsidRDefault="00B4550A" w:rsidP="002B7E09">
      <w:pPr>
        <w:pStyle w:val="NumberedParas"/>
      </w:pPr>
      <w:r w:rsidRPr="00E0488D">
        <w:t xml:space="preserve">Figura 7.13 prezintă localizarea Aeroportului Targu Mures în relație cu celelalte aeroporturi din România. </w:t>
      </w:r>
    </w:p>
    <w:p w:rsidR="00B4550A" w:rsidRPr="00E0488D" w:rsidRDefault="00B4550A" w:rsidP="00B4550A">
      <w:pPr>
        <w:rPr>
          <w:b/>
          <w:sz w:val="22"/>
          <w:szCs w:val="22"/>
          <w:lang w:val="ro-RO"/>
        </w:rPr>
      </w:pP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52850"/>
            <wp:effectExtent l="19050" t="0" r="0" b="0"/>
            <wp:docPr id="7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5276850" cy="3752850"/>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r w:rsidRPr="00E0488D">
        <w:rPr>
          <w:b/>
          <w:sz w:val="22"/>
          <w:szCs w:val="22"/>
          <w:lang w:val="ro-RO"/>
        </w:rPr>
        <w:t>Figura 7.13: Localizarea Aeroportului Târgu Mureș</w:t>
      </w:r>
    </w:p>
    <w:p w:rsidR="00B4550A" w:rsidRPr="00E0488D" w:rsidRDefault="00B4550A" w:rsidP="00B4550A">
      <w:pPr>
        <w:pStyle w:val="ListParagraph"/>
        <w:spacing w:before="120" w:after="120"/>
        <w:ind w:left="0"/>
        <w:rPr>
          <w:b/>
          <w:sz w:val="22"/>
          <w:szCs w:val="22"/>
          <w:lang w:val="ro-RO"/>
        </w:rPr>
      </w:pPr>
    </w:p>
    <w:p w:rsidR="00B4550A" w:rsidRPr="00E0488D" w:rsidRDefault="00B4550A" w:rsidP="00B4550A">
      <w:pPr>
        <w:pStyle w:val="ListParagraph"/>
        <w:spacing w:before="120" w:after="120"/>
        <w:ind w:left="0"/>
        <w:rPr>
          <w:b/>
          <w:sz w:val="22"/>
          <w:szCs w:val="22"/>
          <w:lang w:val="ro-RO"/>
        </w:rPr>
      </w:pPr>
      <w:r w:rsidRPr="00E0488D">
        <w:rPr>
          <w:b/>
          <w:sz w:val="22"/>
          <w:szCs w:val="22"/>
          <w:lang w:val="ro-RO"/>
        </w:rPr>
        <w:t>Probleme abordate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Capacitatea insuficientă a platformei până în 2020</w:t>
      </w:r>
    </w:p>
    <w:p w:rsidR="00B4550A" w:rsidRPr="00E0488D" w:rsidRDefault="00B4550A" w:rsidP="00BC2B57">
      <w:pPr>
        <w:pStyle w:val="BulletLevel1"/>
      </w:pPr>
      <w:r w:rsidRPr="00E0488D">
        <w:t>Pe timp de iarnă un număr semnificativ de curse aeriene au fost anulate sau nu au putut ateriza din cauza infrastructurii inadecvate condițiilor de iarnă</w:t>
      </w:r>
    </w:p>
    <w:p w:rsidR="00B4550A" w:rsidRPr="00E0488D" w:rsidRDefault="00B4550A" w:rsidP="00B4550A">
      <w:pPr>
        <w:spacing w:before="120" w:after="120"/>
        <w:rPr>
          <w:b/>
          <w:sz w:val="22"/>
          <w:szCs w:val="22"/>
          <w:lang w:val="ro-RO"/>
        </w:rPr>
      </w:pPr>
      <w:r w:rsidRPr="00E0488D">
        <w:rPr>
          <w:b/>
          <w:sz w:val="22"/>
          <w:szCs w:val="22"/>
          <w:lang w:val="ro-RO"/>
        </w:rPr>
        <w:t>Costuri neactualizate</w:t>
      </w:r>
    </w:p>
    <w:p w:rsidR="00B4550A" w:rsidRPr="00E0488D" w:rsidRDefault="00B4550A" w:rsidP="00B4550A">
      <w:pPr>
        <w:rPr>
          <w:sz w:val="22"/>
          <w:szCs w:val="22"/>
          <w:lang w:val="ro-RO"/>
        </w:rPr>
      </w:pPr>
      <w:r w:rsidRPr="00E0488D">
        <w:rPr>
          <w:sz w:val="22"/>
          <w:szCs w:val="22"/>
          <w:lang w:val="ro-RO"/>
        </w:rPr>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15.6</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6"/>
              </w:numPr>
              <w:contextualSpacing/>
              <w:rPr>
                <w:lang w:val="ro-RO"/>
              </w:rPr>
            </w:pPr>
            <w:r w:rsidRPr="00E0488D">
              <w:rPr>
                <w:lang w:val="ro-RO"/>
              </w:rPr>
              <w:t xml:space="preserve">Modernizarea sistemului de iluminare și achiziția de echipament de degivrare </w:t>
            </w:r>
          </w:p>
          <w:p w:rsidR="00B4550A" w:rsidRPr="00E0488D" w:rsidRDefault="00B4550A" w:rsidP="00687448">
            <w:pPr>
              <w:pStyle w:val="ListParagraph"/>
              <w:numPr>
                <w:ilvl w:val="0"/>
                <w:numId w:val="36"/>
              </w:numPr>
              <w:contextualSpacing/>
              <w:rPr>
                <w:lang w:val="ro-RO"/>
              </w:rPr>
            </w:pPr>
            <w:r w:rsidRPr="00E0488D">
              <w:rPr>
                <w:lang w:val="ro-RO"/>
              </w:rPr>
              <w:t xml:space="preserve">Dezvoltarea unui nou terminal de pasageri </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0.8</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895" w:type="pct"/>
          </w:tcPr>
          <w:p w:rsidR="00B4550A" w:rsidRPr="00E0488D" w:rsidRDefault="00B4550A" w:rsidP="003C7FC8">
            <w:pPr>
              <w:rPr>
                <w:sz w:val="22"/>
                <w:szCs w:val="22"/>
                <w:lang w:val="ro-RO"/>
              </w:rPr>
            </w:pPr>
            <w:r w:rsidRPr="00E0488D">
              <w:rPr>
                <w:sz w:val="22"/>
                <w:szCs w:val="22"/>
                <w:lang w:val="ro-RO"/>
              </w:rPr>
              <w:t xml:space="preserve">Total </w:t>
            </w:r>
          </w:p>
        </w:tc>
        <w:tc>
          <w:tcPr>
            <w:tcW w:w="831"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16.4</w:t>
            </w:r>
          </w:p>
        </w:tc>
        <w:tc>
          <w:tcPr>
            <w:tcW w:w="3274" w:type="pct"/>
          </w:tcPr>
          <w:p w:rsidR="00B4550A" w:rsidRPr="00E0488D" w:rsidRDefault="00B4550A" w:rsidP="003C7FC8">
            <w:pPr>
              <w:rPr>
                <w:sz w:val="22"/>
                <w:szCs w:val="22"/>
                <w:lang w:val="ro-RO"/>
              </w:rPr>
            </w:pPr>
            <w:r w:rsidRPr="00E0488D">
              <w:rPr>
                <w:sz w:val="22"/>
                <w:szCs w:val="22"/>
                <w:lang w:val="ro-RO"/>
              </w:rPr>
              <w:t>(proiecte combinate 2020-2025)</w:t>
            </w:r>
          </w:p>
        </w:tc>
      </w:tr>
    </w:tbl>
    <w:p w:rsidR="00B4550A" w:rsidRPr="00E0488D" w:rsidRDefault="00B4550A" w:rsidP="00B4550A">
      <w:pPr>
        <w:spacing w:before="120" w:after="120"/>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21.183.421</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179.020.630</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157.837.209</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8,45</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53,5%</w:t>
            </w:r>
          </w:p>
        </w:tc>
      </w:tr>
    </w:tbl>
    <w:p w:rsidR="00B4550A" w:rsidRPr="00E0488D" w:rsidRDefault="00B4550A" w:rsidP="002B7E09">
      <w:pPr>
        <w:pStyle w:val="NumberedParas"/>
      </w:pPr>
      <w:r w:rsidRPr="00E0488D">
        <w:t xml:space="preserve">În anul 2011 aeroportul a înregistrat un număr de 226.838 (10.477 din trafic intern și 216.361 din trafic internațional). Dacă programul de modernizare este implementat în totalitate, numărul pasagerilor ar putea atinge cifra de 302.113 până în anul 2020 (13.954 din trafic intern și 288.159 din trafic internațional) și de 375,498 până în anul 2025 (17.343 din trafic intern și 358,155 din trafic internațional). </w:t>
      </w:r>
    </w:p>
    <w:p w:rsidR="00B4550A" w:rsidRPr="00E0488D" w:rsidRDefault="00B4550A" w:rsidP="00B4550A">
      <w:pPr>
        <w:spacing w:before="120" w:line="276" w:lineRule="auto"/>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Târgu Mureș. </w:t>
      </w:r>
    </w:p>
    <w:p w:rsidR="00B4550A" w:rsidRPr="00E0488D" w:rsidRDefault="00B4550A" w:rsidP="00B4550A">
      <w:pPr>
        <w:rPr>
          <w:sz w:val="22"/>
          <w:szCs w:val="22"/>
          <w:lang w:val="ro-RO"/>
        </w:rPr>
      </w:pPr>
    </w:p>
    <w:p w:rsidR="00B4550A" w:rsidRPr="00E0488D" w:rsidRDefault="00B4550A" w:rsidP="00B4550A">
      <w:pPr>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 xml:space="preserve">Proiect </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platformei </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platformei </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Exitinderea terminalului de pasageri </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Modernizarea sistemului de ilumnare și asistență navigație </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Achiziția de echipament de degivrare</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pPr>
      <w:r w:rsidRPr="00E0488D">
        <w:t>Program de modernizare a aeroportului Constanța</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Constanța este în prezent clasificat ca Aeroport Regional Mic dar cu potențial de a se dezvolta într-un Aeroport Regional. Proiectul de modernizare pentru aeroportul Constanța are scopul de asigura capacitatea infrastructurii și facilitățile necesare satisfacerii nivelului cererii de servicii din 2020 și 2025. Proiectul include: buzunar/facilități de întoarcere la pragul 18.</w:t>
      </w:r>
    </w:p>
    <w:p w:rsidR="00B4550A" w:rsidRPr="00E0488D" w:rsidRDefault="00B4550A" w:rsidP="002B7E09">
      <w:pPr>
        <w:pStyle w:val="NumberedParas"/>
      </w:pPr>
      <w:r w:rsidRPr="00E0488D">
        <w:t xml:space="preserve">Figura 7.14 prezintă localizarea Aeroportului Constanța în relație cu celelalte aeroporturi din România. </w:t>
      </w:r>
    </w:p>
    <w:p w:rsidR="00B4550A" w:rsidRPr="00E0488D" w:rsidRDefault="00B4550A" w:rsidP="00B4550A">
      <w:pPr>
        <w:rPr>
          <w:b/>
          <w:sz w:val="22"/>
          <w:szCs w:val="22"/>
          <w:lang w:val="ro-RO"/>
        </w:rPr>
      </w:pPr>
      <w:r w:rsidRPr="00E0488D">
        <w:rPr>
          <w:b/>
          <w:sz w:val="22"/>
          <w:szCs w:val="22"/>
          <w:lang w:val="ro-RO"/>
        </w:rPr>
        <w:t>Figura 7.14: Localizarea Aeroportului Constanța</w:t>
      </w: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81425"/>
            <wp:effectExtent l="19050" t="0" r="0" b="0"/>
            <wp:docPr id="8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5276850" cy="3781425"/>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Probleme atinse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 xml:space="preserve">Din cauza faptului că aeroportul este utilizat și pentru operațiuni militare, noul buzunar de întoarcere va favoriza creșterea numărului de mișcări de aeronave. </w:t>
      </w:r>
    </w:p>
    <w:p w:rsidR="00B4550A" w:rsidRPr="00E0488D" w:rsidRDefault="00B4550A" w:rsidP="00B4550A">
      <w:pPr>
        <w:rPr>
          <w:sz w:val="22"/>
          <w:szCs w:val="22"/>
          <w:lang w:val="ro-RO"/>
        </w:rPr>
      </w:pPr>
    </w:p>
    <w:p w:rsidR="00B4550A" w:rsidRPr="00E0488D" w:rsidRDefault="00B4550A" w:rsidP="00B4550A">
      <w:pPr>
        <w:spacing w:before="120" w:after="120"/>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572"/>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Costuri neactualizate  (Milioane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978"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748"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9.3</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7"/>
              </w:numPr>
              <w:contextualSpacing/>
              <w:rPr>
                <w:lang w:val="ro-RO"/>
              </w:rPr>
            </w:pPr>
            <w:r w:rsidRPr="00E0488D">
              <w:rPr>
                <w:lang w:val="ro-RO"/>
              </w:rPr>
              <w:t>Buzunar de întoarcere la pragul 18</w:t>
            </w:r>
          </w:p>
          <w:p w:rsidR="00B4550A" w:rsidRPr="00E0488D" w:rsidRDefault="00B4550A" w:rsidP="00687448">
            <w:pPr>
              <w:pStyle w:val="ListParagraph"/>
              <w:numPr>
                <w:ilvl w:val="0"/>
                <w:numId w:val="37"/>
              </w:numPr>
              <w:contextualSpacing/>
              <w:rPr>
                <w:lang w:val="ro-RO"/>
              </w:rPr>
            </w:pPr>
            <w:r w:rsidRPr="00E0488D">
              <w:rPr>
                <w:lang w:val="ro-RO"/>
              </w:rPr>
              <w:t>Nou terminal de pasageri</w:t>
            </w:r>
          </w:p>
        </w:tc>
      </w:tr>
      <w:tr w:rsidR="00B4550A" w:rsidRPr="00E0488D" w:rsidTr="003C7FC8">
        <w:trPr>
          <w:cantSplit/>
        </w:trPr>
        <w:tc>
          <w:tcPr>
            <w:tcW w:w="978"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748"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0.5</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978" w:type="pct"/>
          </w:tcPr>
          <w:p w:rsidR="00B4550A" w:rsidRPr="00E0488D" w:rsidRDefault="00B4550A" w:rsidP="003C7FC8">
            <w:pPr>
              <w:rPr>
                <w:sz w:val="22"/>
                <w:szCs w:val="22"/>
                <w:lang w:val="ro-RO"/>
              </w:rPr>
            </w:pPr>
            <w:r w:rsidRPr="00E0488D">
              <w:rPr>
                <w:sz w:val="22"/>
                <w:szCs w:val="22"/>
                <w:lang w:val="ro-RO"/>
              </w:rPr>
              <w:t xml:space="preserve">Total </w:t>
            </w:r>
          </w:p>
        </w:tc>
        <w:tc>
          <w:tcPr>
            <w:tcW w:w="748"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9.8</w:t>
            </w:r>
          </w:p>
        </w:tc>
        <w:tc>
          <w:tcPr>
            <w:tcW w:w="3274" w:type="pct"/>
          </w:tcPr>
          <w:p w:rsidR="00B4550A" w:rsidRPr="00E0488D" w:rsidRDefault="00B4550A" w:rsidP="003C7FC8">
            <w:pPr>
              <w:rPr>
                <w:sz w:val="22"/>
                <w:szCs w:val="22"/>
                <w:lang w:val="ro-RO"/>
              </w:rPr>
            </w:pPr>
          </w:p>
        </w:tc>
      </w:tr>
    </w:tbl>
    <w:p w:rsidR="00B4550A" w:rsidRPr="00E0488D" w:rsidRDefault="00B4550A" w:rsidP="00B4550A">
      <w:pPr>
        <w:rPr>
          <w:sz w:val="22"/>
          <w:szCs w:val="22"/>
          <w:lang w:val="ro-RO"/>
        </w:rPr>
      </w:pPr>
    </w:p>
    <w:p w:rsidR="00B4550A" w:rsidRPr="00E0488D" w:rsidRDefault="00B4550A" w:rsidP="00B4550A">
      <w:pPr>
        <w:spacing w:before="120" w:after="120" w:line="276" w:lineRule="auto"/>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12,682,073</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9,635,658</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-3,046,415</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0.76</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2.1%</w:t>
            </w:r>
          </w:p>
        </w:tc>
      </w:tr>
    </w:tbl>
    <w:p w:rsidR="00B4550A" w:rsidRPr="00E0488D" w:rsidRDefault="00B4550A" w:rsidP="00B4550A">
      <w:pPr>
        <w:rPr>
          <w:sz w:val="22"/>
          <w:szCs w:val="22"/>
          <w:lang w:val="ro-RO"/>
        </w:rPr>
      </w:pPr>
    </w:p>
    <w:p w:rsidR="00B4550A" w:rsidRPr="00E0488D" w:rsidRDefault="00B4550A" w:rsidP="002B7E09">
      <w:pPr>
        <w:pStyle w:val="NumberedParas"/>
      </w:pPr>
      <w:r w:rsidRPr="00E0488D">
        <w:t xml:space="preserve">În anul 2011 aeroportul a înregistrat un număr de 76.464 pasageri (11.647 din trafic intern și 64.817 din trafic internațional). Dacă programul de modernizare este implementat în totalitate, numărul pasagerilor ar putea ajunge la 234.219 (51.479 din trafic intern și 182.740 din trafic internațional) și la 292.187 până în anul 2025 (64.220 din trafic intern și 227,967 din trafic internațional). </w:t>
      </w:r>
    </w:p>
    <w:p w:rsidR="00B4550A" w:rsidRPr="00E0488D" w:rsidRDefault="00B4550A" w:rsidP="00B4550A">
      <w:pPr>
        <w:spacing w:before="120" w:after="120"/>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Constanța. </w:t>
      </w:r>
    </w:p>
    <w:p w:rsidR="00B4550A" w:rsidRPr="00E0488D" w:rsidRDefault="00B4550A" w:rsidP="00B4550A">
      <w:pPr>
        <w:spacing w:before="120"/>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Construirea unui buzunar de întoarcere la pragul 18</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2025</w:t>
            </w:r>
          </w:p>
        </w:tc>
      </w:tr>
    </w:tbl>
    <w:p w:rsidR="00B4550A" w:rsidRPr="00E0488D" w:rsidRDefault="00B4550A" w:rsidP="00B4550A">
      <w:pPr>
        <w:rPr>
          <w:sz w:val="22"/>
          <w:szCs w:val="22"/>
          <w:lang w:val="ro-RO"/>
        </w:rPr>
      </w:pP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pPr>
      <w:r w:rsidRPr="00E0488D">
        <w:t>Program de modernizare a aeroportului Suceava</w:t>
      </w:r>
    </w:p>
    <w:p w:rsidR="00B4550A" w:rsidRPr="00E0488D" w:rsidRDefault="00B4550A" w:rsidP="00B4550A">
      <w:pPr>
        <w:rPr>
          <w:b/>
          <w:sz w:val="22"/>
          <w:szCs w:val="22"/>
          <w:lang w:val="ro-RO"/>
        </w:rPr>
      </w:pP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Suceava este clasificat ca Aeroport Regional Mic dar are potențialul de a se dezvolta într-un aeroport regional.  Proiectul de modernizare pentru aeroportul Suceava are scopul de asigura capacitatea infrastructurii și facilitățile necesare satisfacerii nivelului cererii de servicii din 2020 și 2025. Proiectul include:</w:t>
      </w:r>
    </w:p>
    <w:p w:rsidR="00B4550A" w:rsidRPr="00E0488D" w:rsidRDefault="00B4550A" w:rsidP="00BC2B57">
      <w:pPr>
        <w:pStyle w:val="BulletLevel1"/>
      </w:pPr>
      <w:r w:rsidRPr="00E0488D">
        <w:t>Extinderea terminalului de pasageri</w:t>
      </w:r>
    </w:p>
    <w:p w:rsidR="00B4550A" w:rsidRPr="00E0488D" w:rsidRDefault="00B4550A" w:rsidP="00BC2B57">
      <w:pPr>
        <w:pStyle w:val="BulletLevel1"/>
      </w:pPr>
      <w:r w:rsidRPr="00E0488D">
        <w:t>Achiziția de echipament de degivrare</w:t>
      </w:r>
    </w:p>
    <w:p w:rsidR="00B4550A" w:rsidRPr="00E0488D" w:rsidRDefault="00B4550A" w:rsidP="002B7E09">
      <w:pPr>
        <w:pStyle w:val="NumberedParas"/>
      </w:pPr>
      <w:r w:rsidRPr="00E0488D">
        <w:t>Figura 7.15 ilustrează localizarea aeroportului Suceava în relație cu celelalte aeroporturi din România.</w:t>
      </w:r>
    </w:p>
    <w:p w:rsidR="00B4550A" w:rsidRPr="00E0488D" w:rsidRDefault="00B4550A" w:rsidP="00B4550A">
      <w:pPr>
        <w:rPr>
          <w:b/>
          <w:sz w:val="22"/>
          <w:szCs w:val="22"/>
          <w:lang w:val="ro-RO"/>
        </w:rPr>
      </w:pPr>
      <w:r w:rsidRPr="00E0488D">
        <w:rPr>
          <w:b/>
          <w:sz w:val="22"/>
          <w:szCs w:val="22"/>
          <w:lang w:val="ro-RO"/>
        </w:rPr>
        <w:t>Figura 7.15: Localizarea Aeroportului Suceava</w:t>
      </w: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686175"/>
            <wp:effectExtent l="19050" t="0" r="0" b="0"/>
            <wp:docPr id="8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5276850" cy="3686175"/>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r w:rsidRPr="00E0488D">
        <w:rPr>
          <w:b/>
          <w:sz w:val="22"/>
          <w:szCs w:val="22"/>
          <w:lang w:val="ro-RO"/>
        </w:rPr>
        <w:t>Figura 7.15: Localizarea Aeroportului Suceava</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Probleme abordate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Capacitatea insuficientă a terminalelor până în anul 2020</w:t>
      </w:r>
    </w:p>
    <w:p w:rsidR="00B4550A" w:rsidRPr="00E0488D" w:rsidRDefault="00B4550A" w:rsidP="00BC2B57">
      <w:pPr>
        <w:pStyle w:val="BulletLevel1"/>
      </w:pPr>
      <w:r w:rsidRPr="00E0488D">
        <w:t>Pe timp de iarnă un număr semnificativ de curse aeriene au fost anulate sau nu au putut ateriza din cauza infrastructurii inadecvate condițiilor de iarnă</w:t>
      </w:r>
    </w:p>
    <w:p w:rsidR="00B4550A" w:rsidRPr="00E0488D" w:rsidRDefault="00B4550A" w:rsidP="00B4550A">
      <w:pPr>
        <w:spacing w:before="120" w:after="120" w:line="276" w:lineRule="auto"/>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4</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7"/>
              </w:numPr>
              <w:contextualSpacing/>
              <w:rPr>
                <w:lang w:val="ro-RO"/>
              </w:rPr>
            </w:pPr>
            <w:r w:rsidRPr="00E0488D">
              <w:rPr>
                <w:lang w:val="ro-RO"/>
              </w:rPr>
              <w:t>Extinderea terminalului</w:t>
            </w:r>
          </w:p>
          <w:p w:rsidR="00B4550A" w:rsidRPr="00E0488D" w:rsidRDefault="00B4550A" w:rsidP="00687448">
            <w:pPr>
              <w:pStyle w:val="ListParagraph"/>
              <w:numPr>
                <w:ilvl w:val="0"/>
                <w:numId w:val="37"/>
              </w:numPr>
              <w:contextualSpacing/>
              <w:rPr>
                <w:lang w:val="ro-RO"/>
              </w:rPr>
            </w:pPr>
            <w:r w:rsidRPr="00E0488D">
              <w:rPr>
                <w:lang w:val="ro-RO"/>
              </w:rPr>
              <w:t xml:space="preserve">Achiziția de echipament de degivrare </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0.2</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895" w:type="pct"/>
          </w:tcPr>
          <w:p w:rsidR="00B4550A" w:rsidRPr="00E0488D" w:rsidRDefault="00B4550A" w:rsidP="003C7FC8">
            <w:pPr>
              <w:rPr>
                <w:sz w:val="22"/>
                <w:szCs w:val="22"/>
                <w:lang w:val="ro-RO"/>
              </w:rPr>
            </w:pPr>
            <w:r w:rsidRPr="00E0488D">
              <w:rPr>
                <w:sz w:val="22"/>
                <w:szCs w:val="22"/>
                <w:lang w:val="ro-RO"/>
              </w:rPr>
              <w:t xml:space="preserve">Total </w:t>
            </w:r>
          </w:p>
        </w:tc>
        <w:tc>
          <w:tcPr>
            <w:tcW w:w="831"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4.2</w:t>
            </w:r>
          </w:p>
        </w:tc>
        <w:tc>
          <w:tcPr>
            <w:tcW w:w="3274" w:type="pct"/>
          </w:tcPr>
          <w:p w:rsidR="00B4550A" w:rsidRPr="00E0488D" w:rsidRDefault="00B4550A" w:rsidP="003C7FC8">
            <w:pPr>
              <w:rPr>
                <w:sz w:val="22"/>
                <w:szCs w:val="22"/>
                <w:lang w:val="ro-RO"/>
              </w:rPr>
            </w:pPr>
          </w:p>
        </w:tc>
      </w:tr>
    </w:tbl>
    <w:p w:rsidR="00B4550A" w:rsidRPr="00E0488D" w:rsidRDefault="00B4550A" w:rsidP="00B4550A">
      <w:pPr>
        <w:spacing w:before="120" w:after="120" w:line="276" w:lineRule="auto"/>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4,888,167</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38,824,803</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33,936,637</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tcPr>
          <w:p w:rsidR="00B4550A" w:rsidRPr="00E0488D" w:rsidRDefault="00B4550A" w:rsidP="003C7FC8">
            <w:pPr>
              <w:jc w:val="right"/>
              <w:rPr>
                <w:bCs/>
                <w:sz w:val="22"/>
                <w:szCs w:val="22"/>
                <w:lang w:val="ro-RO"/>
              </w:rPr>
            </w:pPr>
            <w:r w:rsidRPr="00E0488D">
              <w:rPr>
                <w:sz w:val="22"/>
                <w:szCs w:val="22"/>
                <w:lang w:val="ro-RO"/>
              </w:rPr>
              <w:t>7.94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tcPr>
          <w:p w:rsidR="00B4550A" w:rsidRPr="00E0488D" w:rsidRDefault="00B4550A" w:rsidP="003C7FC8">
            <w:pPr>
              <w:jc w:val="right"/>
              <w:rPr>
                <w:color w:val="000000"/>
                <w:sz w:val="22"/>
                <w:szCs w:val="22"/>
                <w:lang w:val="ro-RO"/>
              </w:rPr>
            </w:pPr>
            <w:r w:rsidRPr="00E0488D">
              <w:rPr>
                <w:sz w:val="22"/>
                <w:szCs w:val="22"/>
                <w:lang w:val="ro-RO"/>
              </w:rPr>
              <w:t>30.6%</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 xml:space="preserve">În anul 2011 aeroportul a înregistrat un număr de 27.228 pasageri (26.244 din trafic intern și 984 din trafic internațional). Dacă programul de modernizare este implementat în totalitate, numărul pasagerilor ar putea atinge cifra de 233.815 până în anul 2020 (51.390 din trafic intern și 182.425 din trafic internațional) și 290.496 până în 2025 (63.848 din trafic intern și 226.648 din trafic internațional). </w:t>
      </w:r>
    </w:p>
    <w:p w:rsidR="00B4550A" w:rsidRPr="00E0488D" w:rsidRDefault="00B4550A" w:rsidP="00B4550A">
      <w:pPr>
        <w:spacing w:before="120" w:after="120" w:line="276" w:lineRule="auto"/>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Suceava. </w:t>
      </w:r>
    </w:p>
    <w:p w:rsidR="00B4550A" w:rsidRPr="00E0488D" w:rsidRDefault="00B4550A" w:rsidP="00B4550A">
      <w:pPr>
        <w:spacing w:before="120"/>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 xml:space="preserve">Extinderea terminalului de pasageri </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Achiziția de echipament de degivrare</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sz w:val="22"/>
          <w:szCs w:val="22"/>
          <w:lang w:val="ro-RO"/>
        </w:rPr>
      </w:pPr>
    </w:p>
    <w:p w:rsidR="00B4550A" w:rsidRPr="00E0488D" w:rsidRDefault="00B4550A" w:rsidP="00B4550A">
      <w:pPr>
        <w:rPr>
          <w:sz w:val="22"/>
          <w:szCs w:val="22"/>
          <w:lang w:val="ro-RO"/>
        </w:rPr>
      </w:pPr>
      <w:r w:rsidRPr="00E0488D">
        <w:rPr>
          <w:sz w:val="22"/>
          <w:szCs w:val="22"/>
          <w:lang w:val="ro-RO"/>
        </w:rPr>
        <w:br w:type="page"/>
      </w:r>
    </w:p>
    <w:p w:rsidR="00B4550A" w:rsidRPr="00E0488D" w:rsidRDefault="00B4550A" w:rsidP="00B4550A">
      <w:pPr>
        <w:pStyle w:val="Hdg3"/>
      </w:pPr>
      <w:r w:rsidRPr="00E0488D">
        <w:t>Program de modernizare a aeroportului Tulcea</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Hub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Tulcea este în prezent clasificat ca Aeroport Regional Mic dar are potențialul de a se dezvolta în Aeroport Regional. Proiectul de modernizare pentru aeroportul Tulcea are scopul de asigura capacitatea infrastructurii și facilitățile necesare satisfacerii nivelului cererii de servicii din 2020 și 2025. Proiectul include:</w:t>
      </w:r>
    </w:p>
    <w:p w:rsidR="00B4550A" w:rsidRPr="00E0488D" w:rsidRDefault="00B4550A" w:rsidP="00BC2B57">
      <w:pPr>
        <w:pStyle w:val="BulletLevel1"/>
      </w:pPr>
      <w:r w:rsidRPr="00E0488D">
        <w:t>Extinderea terminalului de pasageri</w:t>
      </w:r>
    </w:p>
    <w:p w:rsidR="00B4550A" w:rsidRPr="00E0488D" w:rsidRDefault="00B4550A" w:rsidP="00BC2B57">
      <w:pPr>
        <w:pStyle w:val="BulletLevel1"/>
      </w:pPr>
      <w:r w:rsidRPr="00E0488D">
        <w:t>Extinderea platformei</w:t>
      </w:r>
    </w:p>
    <w:p w:rsidR="00B4550A" w:rsidRPr="00E0488D" w:rsidRDefault="00B4550A" w:rsidP="00BC2B57">
      <w:pPr>
        <w:pStyle w:val="BulletLevel1"/>
      </w:pPr>
      <w:r w:rsidRPr="00E0488D">
        <w:t>Modernizarea pistei și a căilor de rulare</w:t>
      </w:r>
    </w:p>
    <w:p w:rsidR="00B4550A" w:rsidRPr="00E0488D" w:rsidRDefault="00B4550A" w:rsidP="00B4550A">
      <w:pPr>
        <w:spacing w:before="120" w:after="120" w:line="276" w:lineRule="auto"/>
        <w:rPr>
          <w:sz w:val="22"/>
          <w:szCs w:val="22"/>
          <w:lang w:val="ro-RO"/>
        </w:rPr>
      </w:pPr>
      <w:r w:rsidRPr="00E0488D">
        <w:rPr>
          <w:sz w:val="22"/>
          <w:szCs w:val="22"/>
          <w:lang w:val="ro-RO"/>
        </w:rPr>
        <w:t xml:space="preserve">Figura 7.16 prezintă localizarea Aeroportului Tulcea în relație cu celelalte aeroporturi din România. </w:t>
      </w:r>
    </w:p>
    <w:p w:rsidR="00B4550A" w:rsidRPr="00E0488D" w:rsidRDefault="00B4550A" w:rsidP="00B4550A">
      <w:pPr>
        <w:rPr>
          <w:b/>
          <w:sz w:val="22"/>
          <w:szCs w:val="22"/>
          <w:lang w:val="ro-RO"/>
        </w:rPr>
      </w:pPr>
      <w:r w:rsidRPr="00E0488D">
        <w:rPr>
          <w:b/>
          <w:sz w:val="22"/>
          <w:szCs w:val="22"/>
          <w:lang w:val="ro-RO"/>
        </w:rPr>
        <w:t>Figura 7.16: Localizarea Aeroportului Tulcea</w:t>
      </w: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86375" cy="3762375"/>
            <wp:effectExtent l="19050" t="0" r="9525" b="0"/>
            <wp:docPr id="8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5286375" cy="3762375"/>
                    </a:xfrm>
                    <a:prstGeom prst="rect">
                      <a:avLst/>
                    </a:prstGeom>
                    <a:noFill/>
                    <a:ln w="9525">
                      <a:noFill/>
                      <a:miter lim="800000"/>
                      <a:headEnd/>
                      <a:tailEnd/>
                    </a:ln>
                  </pic:spPr>
                </pic:pic>
              </a:graphicData>
            </a:graphic>
          </wp:inline>
        </w:drawing>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Figura 7.16: Localizarea Aeroportului Tulcea</w:t>
      </w: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Probleme atinse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 xml:space="preserve">Capacitatea insuficientă a terminalului până în anul 2020 </w:t>
      </w:r>
    </w:p>
    <w:p w:rsidR="00B4550A" w:rsidRPr="00E0488D" w:rsidRDefault="00B4550A" w:rsidP="00BC2B57">
      <w:pPr>
        <w:pStyle w:val="BulletLevel1"/>
      </w:pPr>
      <w:r w:rsidRPr="00E0488D">
        <w:t>Capacitatea insuficientă a platformei  până în anul 2020</w:t>
      </w:r>
    </w:p>
    <w:p w:rsidR="00B4550A" w:rsidRPr="00E0488D" w:rsidRDefault="00B4550A" w:rsidP="00B4550A">
      <w:pPr>
        <w:spacing w:before="120" w:after="120" w:line="276" w:lineRule="auto"/>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 xml:space="preserve">Costuri neactualizate  </w:t>
            </w:r>
          </w:p>
          <w:p w:rsidR="00B4550A" w:rsidRPr="00E0488D" w:rsidRDefault="00B4550A" w:rsidP="003C7FC8">
            <w:pPr>
              <w:rPr>
                <w:b/>
                <w:bCs/>
                <w:sz w:val="22"/>
                <w:szCs w:val="22"/>
                <w:lang w:val="ro-RO"/>
              </w:rPr>
            </w:pPr>
            <w:r w:rsidRPr="00E0488D">
              <w:rPr>
                <w:b/>
                <w:bCs/>
                <w:sz w:val="22"/>
                <w:szCs w:val="22"/>
                <w:lang w:val="ro-RO"/>
              </w:rPr>
              <w:t>(Milioane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15,3</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8"/>
              </w:numPr>
              <w:contextualSpacing/>
              <w:rPr>
                <w:lang w:val="ro-RO"/>
              </w:rPr>
            </w:pPr>
            <w:r w:rsidRPr="00E0488D">
              <w:rPr>
                <w:lang w:val="ro-RO"/>
              </w:rPr>
              <w:t>Extinderea terminalului de pasageri</w:t>
            </w:r>
          </w:p>
          <w:p w:rsidR="00B4550A" w:rsidRPr="00E0488D" w:rsidRDefault="00B4550A" w:rsidP="00687448">
            <w:pPr>
              <w:pStyle w:val="ListParagraph"/>
              <w:numPr>
                <w:ilvl w:val="0"/>
                <w:numId w:val="38"/>
              </w:numPr>
              <w:contextualSpacing/>
              <w:rPr>
                <w:lang w:val="ro-RO"/>
              </w:rPr>
            </w:pPr>
            <w:r w:rsidRPr="00E0488D">
              <w:rPr>
                <w:lang w:val="ro-RO"/>
              </w:rPr>
              <w:t>Extinderea platformei</w:t>
            </w:r>
          </w:p>
          <w:p w:rsidR="00B4550A" w:rsidRPr="00E0488D" w:rsidRDefault="00B4550A" w:rsidP="00687448">
            <w:pPr>
              <w:pStyle w:val="ListParagraph"/>
              <w:numPr>
                <w:ilvl w:val="0"/>
                <w:numId w:val="38"/>
              </w:numPr>
              <w:contextualSpacing/>
              <w:rPr>
                <w:lang w:val="ro-RO"/>
              </w:rPr>
            </w:pPr>
            <w:r w:rsidRPr="00E0488D">
              <w:rPr>
                <w:lang w:val="ro-RO"/>
              </w:rPr>
              <w:t>Modernizarea pistei</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0,8</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895" w:type="pct"/>
          </w:tcPr>
          <w:p w:rsidR="00B4550A" w:rsidRPr="00E0488D" w:rsidRDefault="00B4550A" w:rsidP="003C7FC8">
            <w:pPr>
              <w:rPr>
                <w:sz w:val="22"/>
                <w:szCs w:val="22"/>
                <w:lang w:val="ro-RO"/>
              </w:rPr>
            </w:pPr>
            <w:r w:rsidRPr="00E0488D">
              <w:rPr>
                <w:sz w:val="22"/>
                <w:szCs w:val="22"/>
                <w:lang w:val="ro-RO"/>
              </w:rPr>
              <w:t xml:space="preserve">Total </w:t>
            </w:r>
          </w:p>
        </w:tc>
        <w:tc>
          <w:tcPr>
            <w:tcW w:w="831"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15,4</w:t>
            </w:r>
          </w:p>
        </w:tc>
        <w:tc>
          <w:tcPr>
            <w:tcW w:w="3274" w:type="pct"/>
          </w:tcPr>
          <w:p w:rsidR="00B4550A" w:rsidRPr="00E0488D" w:rsidRDefault="00B4550A" w:rsidP="003C7FC8">
            <w:pPr>
              <w:rPr>
                <w:sz w:val="22"/>
                <w:szCs w:val="22"/>
                <w:lang w:val="ro-RO"/>
              </w:rPr>
            </w:pPr>
          </w:p>
        </w:tc>
      </w:tr>
    </w:tbl>
    <w:p w:rsidR="00B4550A" w:rsidRPr="00E0488D" w:rsidRDefault="00B4550A" w:rsidP="00B4550A">
      <w:pPr>
        <w:spacing w:before="120" w:after="120"/>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15,3</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0,8</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vAlign w:val="bottom"/>
          </w:tcPr>
          <w:p w:rsidR="00B4550A" w:rsidRPr="00E0488D" w:rsidRDefault="00B4550A" w:rsidP="003C7FC8">
            <w:pPr>
              <w:jc w:val="right"/>
              <w:rPr>
                <w:color w:val="000000"/>
                <w:sz w:val="22"/>
                <w:szCs w:val="22"/>
                <w:lang w:val="ro-RO"/>
              </w:rPr>
            </w:pPr>
            <w:r w:rsidRPr="00E0488D">
              <w:rPr>
                <w:b/>
                <w:color w:val="000000"/>
                <w:sz w:val="22"/>
                <w:szCs w:val="22"/>
                <w:lang w:val="ro-RO"/>
              </w:rPr>
              <w:t>15,4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vAlign w:val="bottom"/>
          </w:tcPr>
          <w:p w:rsidR="00B4550A" w:rsidRPr="00E0488D" w:rsidRDefault="00B4550A" w:rsidP="003C7FC8">
            <w:pPr>
              <w:jc w:val="right"/>
              <w:rPr>
                <w:bCs/>
                <w:sz w:val="22"/>
                <w:szCs w:val="22"/>
                <w:lang w:val="ro-RO"/>
              </w:rPr>
            </w:pPr>
            <w:r w:rsidRPr="00E0488D">
              <w:rPr>
                <w:color w:val="000000"/>
                <w:sz w:val="22"/>
                <w:szCs w:val="22"/>
                <w:lang w:val="ro-RO"/>
              </w:rPr>
              <w:t>15,3</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0,8</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În anul 2011 aeroportul nu a avut nici o cursă aeriană programată dar în ultimii ani au apărut companii aeriene care oferă servicii de transport aerian din aeroportul Tulcea.</w:t>
      </w:r>
    </w:p>
    <w:p w:rsidR="00B4550A" w:rsidRPr="00E0488D" w:rsidRDefault="00B4550A" w:rsidP="002B7E09">
      <w:pPr>
        <w:pStyle w:val="NumberedParas"/>
      </w:pPr>
      <w:r w:rsidRPr="00E0488D">
        <w:t xml:space="preserve">Dacă programul de modernizare este implementat în totalitate, numărul pasagerilor ar putea ajunge la 191.459 până în 2020 (42.081 din trafic intern și 149.378 din trafic internațional) și la 236,613 până în 2025 (52,005 din trafic intern și 184,608 din trafic internațional). </w:t>
      </w:r>
    </w:p>
    <w:p w:rsidR="00B4550A" w:rsidRPr="00E0488D" w:rsidRDefault="00B4550A" w:rsidP="00B4550A">
      <w:pPr>
        <w:rPr>
          <w:b/>
          <w:sz w:val="22"/>
          <w:szCs w:val="22"/>
          <w:lang w:val="ro-RO"/>
        </w:rPr>
      </w:pPr>
    </w:p>
    <w:p w:rsidR="00B4550A" w:rsidRPr="00E0488D" w:rsidRDefault="00B4550A" w:rsidP="00B4550A">
      <w:pPr>
        <w:spacing w:before="120" w:after="120" w:line="276" w:lineRule="auto"/>
        <w:rPr>
          <w:b/>
          <w:sz w:val="22"/>
          <w:szCs w:val="22"/>
          <w:lang w:val="ro-RO"/>
        </w:rPr>
      </w:pPr>
      <w:r w:rsidRPr="00E0488D">
        <w:rPr>
          <w:b/>
          <w:sz w:val="22"/>
          <w:szCs w:val="22"/>
          <w:lang w:val="ro-RO"/>
        </w:rPr>
        <w:t>Unitatea de implementar</w:t>
      </w:r>
    </w:p>
    <w:p w:rsidR="00B4550A" w:rsidRPr="00E0488D" w:rsidRDefault="00B4550A" w:rsidP="002B7E09">
      <w:pPr>
        <w:pStyle w:val="NumberedParas"/>
      </w:pPr>
      <w:r w:rsidRPr="00E0488D">
        <w:t xml:space="preserve">Acest proiect va fi implementat de Aeroportul Tulcea. </w:t>
      </w:r>
    </w:p>
    <w:p w:rsidR="00B4550A" w:rsidRPr="00E0488D" w:rsidRDefault="00B4550A" w:rsidP="00B4550A">
      <w:pPr>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2025</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spațiului platformei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Modernizarea pistei și căilor de rulare</w:t>
            </w:r>
          </w:p>
        </w:tc>
        <w:tc>
          <w:tcPr>
            <w:tcW w:w="2750" w:type="dxa"/>
          </w:tcPr>
          <w:p w:rsidR="00B4550A" w:rsidRPr="00E0488D" w:rsidRDefault="00B4550A" w:rsidP="003C7FC8">
            <w:pPr>
              <w:rPr>
                <w:sz w:val="22"/>
                <w:szCs w:val="22"/>
                <w:lang w:val="ro-RO"/>
              </w:rPr>
            </w:pPr>
            <w:r w:rsidRPr="00E0488D">
              <w:rPr>
                <w:sz w:val="22"/>
                <w:szCs w:val="22"/>
                <w:lang w:val="ro-RO"/>
              </w:rPr>
              <w:t>2020</w:t>
            </w:r>
          </w:p>
        </w:tc>
      </w:tr>
    </w:tbl>
    <w:p w:rsidR="00B4550A" w:rsidRPr="00E0488D" w:rsidRDefault="00B4550A" w:rsidP="00B4550A">
      <w:pPr>
        <w:rPr>
          <w:sz w:val="22"/>
          <w:szCs w:val="22"/>
          <w:lang w:val="ro-RO"/>
        </w:rPr>
      </w:pPr>
    </w:p>
    <w:p w:rsidR="00B4550A" w:rsidRPr="00E0488D" w:rsidRDefault="00B4550A" w:rsidP="00B4550A">
      <w:pPr>
        <w:rPr>
          <w:sz w:val="22"/>
          <w:szCs w:val="22"/>
          <w:lang w:val="ro-RO"/>
        </w:rPr>
      </w:pPr>
    </w:p>
    <w:p w:rsidR="00B4550A" w:rsidRPr="00E0488D" w:rsidRDefault="00B4550A" w:rsidP="00B4550A">
      <w:pPr>
        <w:rPr>
          <w:i/>
          <w:sz w:val="22"/>
          <w:szCs w:val="22"/>
          <w:lang w:val="ro-RO"/>
        </w:rPr>
      </w:pPr>
      <w:r w:rsidRPr="00E0488D">
        <w:rPr>
          <w:lang w:val="ro-RO"/>
        </w:rPr>
        <w:br w:type="page"/>
      </w:r>
    </w:p>
    <w:p w:rsidR="00B4550A" w:rsidRPr="00E0488D" w:rsidRDefault="00B4550A" w:rsidP="00B4550A">
      <w:pPr>
        <w:pStyle w:val="Hdg3"/>
      </w:pPr>
      <w:r w:rsidRPr="00E0488D">
        <w:t>Program de modernizare al aeroportului Baia Mare</w:t>
      </w:r>
    </w:p>
    <w:p w:rsidR="00B4550A" w:rsidRPr="00E0488D" w:rsidRDefault="00B4550A" w:rsidP="00B4550A">
      <w:pPr>
        <w:rPr>
          <w:b/>
          <w:sz w:val="22"/>
          <w:szCs w:val="22"/>
          <w:lang w:val="ro-RO"/>
        </w:rPr>
      </w:pPr>
      <w:r w:rsidRPr="00E0488D">
        <w:rPr>
          <w:b/>
          <w:sz w:val="22"/>
          <w:szCs w:val="22"/>
          <w:lang w:val="ro-RO"/>
        </w:rPr>
        <w:tab/>
      </w:r>
    </w:p>
    <w:p w:rsidR="00B4550A" w:rsidRPr="00E0488D" w:rsidRDefault="00B4550A" w:rsidP="00B4550A">
      <w:pPr>
        <w:pStyle w:val="ListParagraph"/>
        <w:spacing w:before="120" w:after="120" w:line="360" w:lineRule="auto"/>
        <w:ind w:left="0"/>
        <w:rPr>
          <w:b/>
          <w:sz w:val="22"/>
          <w:szCs w:val="22"/>
          <w:lang w:val="ro-RO"/>
        </w:rPr>
      </w:pPr>
      <w:r w:rsidRPr="00E0488D">
        <w:rPr>
          <w:b/>
          <w:sz w:val="22"/>
          <w:szCs w:val="22"/>
          <w:lang w:val="ro-RO"/>
        </w:rPr>
        <w:t>Descrierea propunerii</w:t>
      </w:r>
    </w:p>
    <w:p w:rsidR="00B4550A" w:rsidRPr="00E0488D" w:rsidRDefault="00B4550A" w:rsidP="002B7E09">
      <w:pPr>
        <w:pStyle w:val="NumberedParas"/>
      </w:pPr>
      <w:r w:rsidRPr="00E0488D">
        <w:t>În acord cu Rețelele Economice Primare definite pentru modul rutier și feroviar, este important să se dezvolte o ierarhie a aeroporturilor din România pe baza rolului și potențialului acestora de a atrage atât trafic intern cât și trafic internațional. Clasificarea aeroporturilor este:</w:t>
      </w:r>
    </w:p>
    <w:p w:rsidR="00B4550A" w:rsidRPr="00E0488D" w:rsidRDefault="00B4550A" w:rsidP="00BC2B57">
      <w:pPr>
        <w:pStyle w:val="BulletLevel1"/>
      </w:pPr>
      <w:r w:rsidRPr="00E0488D">
        <w:t>Aeroport Internațional Major</w:t>
      </w:r>
    </w:p>
    <w:p w:rsidR="00B4550A" w:rsidRPr="00E0488D" w:rsidRDefault="00B4550A" w:rsidP="00BC2B57">
      <w:pPr>
        <w:pStyle w:val="BulletLevel1"/>
      </w:pPr>
      <w:r w:rsidRPr="00E0488D">
        <w:t>Aeroport Hub Internațional</w:t>
      </w:r>
    </w:p>
    <w:p w:rsidR="00B4550A" w:rsidRPr="00E0488D" w:rsidRDefault="00B4550A" w:rsidP="00BC2B57">
      <w:pPr>
        <w:pStyle w:val="BulletLevel1"/>
      </w:pPr>
      <w:r w:rsidRPr="00E0488D">
        <w:t>Aeroport Regional</w:t>
      </w:r>
    </w:p>
    <w:p w:rsidR="00B4550A" w:rsidRPr="00E0488D" w:rsidRDefault="00B4550A" w:rsidP="00BC2B57">
      <w:pPr>
        <w:pStyle w:val="BulletLevel1"/>
      </w:pPr>
      <w:r w:rsidRPr="00E0488D">
        <w:t>Aeroport Regional Mic</w:t>
      </w:r>
    </w:p>
    <w:p w:rsidR="00B4550A" w:rsidRPr="00E0488D" w:rsidRDefault="00B4550A" w:rsidP="002B7E09">
      <w:pPr>
        <w:pStyle w:val="NumberedParas"/>
      </w:pPr>
      <w:r w:rsidRPr="00E0488D">
        <w:t>Aeroportul Baia Mare este clasificat ca Aeroport Regional Mic dar are potențialul de a se dezvolta într-un Aeroport Regional. Proiectul de modernizare pentru aeroportul Constanța are scopul de asigura capacitatea infrastructurii și facilitățile necesare satisfacerii nivelului cererii de servicii din 2020 și 2025. Proiectul include:</w:t>
      </w:r>
    </w:p>
    <w:p w:rsidR="00B4550A" w:rsidRPr="00E0488D" w:rsidRDefault="00B4550A" w:rsidP="00BC2B57">
      <w:pPr>
        <w:pStyle w:val="BulletLevel1"/>
      </w:pPr>
      <w:r w:rsidRPr="00E0488D">
        <w:t>Extinderea terminalului de pasageri</w:t>
      </w:r>
    </w:p>
    <w:p w:rsidR="00B4550A" w:rsidRPr="00E0488D" w:rsidRDefault="00B4550A" w:rsidP="002B7E09">
      <w:pPr>
        <w:pStyle w:val="NumberedParas"/>
      </w:pPr>
      <w:r w:rsidRPr="00E0488D">
        <w:t xml:space="preserve">Figura 7.17 prezintă localizarea Aeroportului Baia Mare în relație cu celelalte aeroporturi din România. </w:t>
      </w:r>
    </w:p>
    <w:p w:rsidR="00B4550A" w:rsidRPr="00E0488D" w:rsidRDefault="00B4550A" w:rsidP="00B4550A">
      <w:pPr>
        <w:rPr>
          <w:b/>
          <w:sz w:val="22"/>
          <w:szCs w:val="22"/>
          <w:lang w:val="ro-RO"/>
        </w:rPr>
      </w:pPr>
      <w:r w:rsidRPr="00E0488D">
        <w:rPr>
          <w:b/>
          <w:sz w:val="22"/>
          <w:szCs w:val="22"/>
          <w:lang w:val="ro-RO"/>
        </w:rPr>
        <w:t>Figura 7.17: Localizarea Aeroportului Baia Mare</w:t>
      </w:r>
    </w:p>
    <w:p w:rsidR="00B4550A" w:rsidRPr="00E0488D" w:rsidRDefault="00B4550A" w:rsidP="00B4550A">
      <w:pPr>
        <w:rPr>
          <w:sz w:val="22"/>
          <w:szCs w:val="22"/>
          <w:lang w:val="ro-RO"/>
        </w:rPr>
      </w:pPr>
      <w:r w:rsidRPr="00E0488D">
        <w:rPr>
          <w:noProof/>
          <w:sz w:val="22"/>
          <w:szCs w:val="22"/>
          <w:lang w:val="ro-RO" w:eastAsia="ro-RO"/>
        </w:rPr>
        <w:drawing>
          <wp:inline distT="0" distB="0" distL="0" distR="0">
            <wp:extent cx="5276850" cy="3733800"/>
            <wp:effectExtent l="19050" t="0" r="0" b="0"/>
            <wp:docPr id="8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5276850" cy="3733800"/>
                    </a:xfrm>
                    <a:prstGeom prst="rect">
                      <a:avLst/>
                    </a:prstGeom>
                    <a:noFill/>
                    <a:ln w="9525">
                      <a:noFill/>
                      <a:miter lim="800000"/>
                      <a:headEnd/>
                      <a:tailEnd/>
                    </a:ln>
                  </pic:spPr>
                </pic:pic>
              </a:graphicData>
            </a:graphic>
          </wp:inline>
        </w:drawing>
      </w:r>
    </w:p>
    <w:p w:rsidR="00B4550A" w:rsidRPr="00E0488D" w:rsidRDefault="00B4550A" w:rsidP="00B4550A">
      <w:pPr>
        <w:rPr>
          <w:sz w:val="22"/>
          <w:szCs w:val="22"/>
          <w:lang w:val="ro-RO"/>
        </w:rPr>
      </w:pPr>
    </w:p>
    <w:p w:rsidR="00B4550A" w:rsidRPr="00E0488D" w:rsidRDefault="00B4550A" w:rsidP="00B4550A">
      <w:pPr>
        <w:pStyle w:val="ListParagraph"/>
        <w:spacing w:before="120" w:after="120" w:line="276" w:lineRule="auto"/>
        <w:ind w:left="0"/>
        <w:rPr>
          <w:b/>
          <w:sz w:val="22"/>
          <w:szCs w:val="22"/>
          <w:lang w:val="ro-RO"/>
        </w:rPr>
      </w:pPr>
      <w:r w:rsidRPr="00E0488D">
        <w:rPr>
          <w:b/>
          <w:sz w:val="22"/>
          <w:szCs w:val="22"/>
          <w:lang w:val="ro-RO"/>
        </w:rPr>
        <w:t>Probleme abordate</w:t>
      </w:r>
    </w:p>
    <w:p w:rsidR="00B4550A" w:rsidRPr="00E0488D" w:rsidRDefault="00B4550A" w:rsidP="002B7E09">
      <w:pPr>
        <w:pStyle w:val="NumberedParas"/>
      </w:pPr>
      <w:r w:rsidRPr="00E0488D">
        <w:t>Această intervenție abordează următoarele probleme:</w:t>
      </w:r>
    </w:p>
    <w:p w:rsidR="00B4550A" w:rsidRPr="00E0488D" w:rsidRDefault="00B4550A" w:rsidP="00BC2B57">
      <w:pPr>
        <w:pStyle w:val="BulletLevel1"/>
      </w:pPr>
      <w:r w:rsidRPr="00E0488D">
        <w:t>Capacitatea insuficientă a terminalului până în anul 2020</w:t>
      </w:r>
    </w:p>
    <w:p w:rsidR="00B4550A" w:rsidRPr="00E0488D" w:rsidRDefault="00B4550A" w:rsidP="00B4550A">
      <w:pPr>
        <w:spacing w:before="120" w:after="120" w:line="276" w:lineRule="auto"/>
        <w:rPr>
          <w:b/>
          <w:sz w:val="22"/>
          <w:szCs w:val="22"/>
          <w:lang w:val="ro-RO"/>
        </w:rPr>
      </w:pPr>
    </w:p>
    <w:p w:rsidR="00B4550A" w:rsidRPr="00E0488D" w:rsidRDefault="00B4550A" w:rsidP="00B4550A">
      <w:pPr>
        <w:spacing w:before="120" w:after="120" w:line="276" w:lineRule="auto"/>
        <w:rPr>
          <w:b/>
          <w:sz w:val="22"/>
          <w:szCs w:val="22"/>
          <w:lang w:val="ro-RO"/>
        </w:rPr>
      </w:pPr>
      <w:r w:rsidRPr="00E0488D">
        <w:rPr>
          <w:b/>
          <w:sz w:val="22"/>
          <w:szCs w:val="22"/>
          <w:lang w:val="ro-RO"/>
        </w:rPr>
        <w:t>Costuri neactualizate</w:t>
      </w:r>
    </w:p>
    <w:p w:rsidR="00B4550A" w:rsidRPr="00E0488D" w:rsidRDefault="00B4550A" w:rsidP="002B7E09">
      <w:pPr>
        <w:pStyle w:val="NumberedParas"/>
      </w:pPr>
      <w:r w:rsidRPr="00E0488D">
        <w:t>Costurile estimate ale proiectului sunt următoarele:</w:t>
      </w:r>
    </w:p>
    <w:p w:rsidR="00B4550A" w:rsidRPr="00E0488D" w:rsidRDefault="00B4550A" w:rsidP="00B4550A">
      <w:pPr>
        <w:rPr>
          <w:sz w:val="22"/>
          <w:szCs w:val="22"/>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46"/>
        <w:gridCol w:w="6880"/>
      </w:tblGrid>
      <w:tr w:rsidR="00B4550A" w:rsidRPr="00E0488D" w:rsidTr="003C7FC8">
        <w:trPr>
          <w:cantSplit/>
          <w:tblHeader/>
        </w:trPr>
        <w:tc>
          <w:tcPr>
            <w:tcW w:w="1726" w:type="pct"/>
            <w:gridSpan w:val="2"/>
            <w:vAlign w:val="center"/>
          </w:tcPr>
          <w:p w:rsidR="00B4550A" w:rsidRPr="00E0488D" w:rsidRDefault="00B4550A" w:rsidP="003C7FC8">
            <w:pPr>
              <w:rPr>
                <w:b/>
                <w:bCs/>
                <w:sz w:val="22"/>
                <w:szCs w:val="22"/>
                <w:lang w:val="ro-RO"/>
              </w:rPr>
            </w:pPr>
            <w:r w:rsidRPr="00E0488D">
              <w:rPr>
                <w:b/>
                <w:bCs/>
                <w:sz w:val="22"/>
                <w:szCs w:val="22"/>
                <w:lang w:val="ro-RO"/>
              </w:rPr>
              <w:t>Costuri neactualizate  (Milioane  €, Prețuri 2014)</w:t>
            </w:r>
          </w:p>
        </w:tc>
        <w:tc>
          <w:tcPr>
            <w:tcW w:w="3274" w:type="pct"/>
          </w:tcPr>
          <w:p w:rsidR="00B4550A" w:rsidRPr="00E0488D" w:rsidRDefault="00B4550A" w:rsidP="003C7FC8">
            <w:pPr>
              <w:rPr>
                <w:b/>
                <w:bCs/>
                <w:sz w:val="22"/>
                <w:szCs w:val="22"/>
                <w:lang w:val="ro-RO"/>
              </w:rPr>
            </w:pPr>
            <w:r w:rsidRPr="00E0488D">
              <w:rPr>
                <w:b/>
                <w:bCs/>
                <w:sz w:val="22"/>
                <w:szCs w:val="22"/>
                <w:lang w:val="ro-RO"/>
              </w:rPr>
              <w:t>Descriere</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CAPEX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2,3</w:t>
            </w:r>
          </w:p>
        </w:tc>
        <w:tc>
          <w:tcPr>
            <w:tcW w:w="3274" w:type="pct"/>
          </w:tcPr>
          <w:p w:rsidR="00B4550A" w:rsidRPr="00E0488D" w:rsidRDefault="00B4550A" w:rsidP="003C7FC8">
            <w:pPr>
              <w:rPr>
                <w:sz w:val="22"/>
                <w:szCs w:val="22"/>
                <w:lang w:val="ro-RO"/>
              </w:rPr>
            </w:pPr>
            <w:r w:rsidRPr="00E0488D">
              <w:rPr>
                <w:sz w:val="22"/>
                <w:szCs w:val="22"/>
                <w:lang w:val="ro-RO"/>
              </w:rPr>
              <w:t>Include:</w:t>
            </w:r>
          </w:p>
          <w:p w:rsidR="00B4550A" w:rsidRPr="00E0488D" w:rsidRDefault="00B4550A" w:rsidP="00687448">
            <w:pPr>
              <w:pStyle w:val="ListParagraph"/>
              <w:numPr>
                <w:ilvl w:val="0"/>
                <w:numId w:val="39"/>
              </w:numPr>
              <w:contextualSpacing/>
              <w:rPr>
                <w:lang w:val="ro-RO"/>
              </w:rPr>
            </w:pPr>
            <w:r w:rsidRPr="00E0488D">
              <w:rPr>
                <w:lang w:val="ro-RO"/>
              </w:rPr>
              <w:t>Extensia terminalului</w:t>
            </w:r>
          </w:p>
        </w:tc>
      </w:tr>
      <w:tr w:rsidR="00B4550A" w:rsidRPr="00E0488D" w:rsidTr="003C7FC8">
        <w:trPr>
          <w:cantSplit/>
        </w:trPr>
        <w:tc>
          <w:tcPr>
            <w:tcW w:w="895" w:type="pct"/>
            <w:vAlign w:val="bottom"/>
          </w:tcPr>
          <w:p w:rsidR="00B4550A" w:rsidRPr="00E0488D" w:rsidRDefault="00B4550A" w:rsidP="003C7FC8">
            <w:pPr>
              <w:rPr>
                <w:sz w:val="22"/>
                <w:szCs w:val="22"/>
                <w:lang w:val="ro-RO"/>
              </w:rPr>
            </w:pPr>
            <w:r w:rsidRPr="00E0488D">
              <w:rPr>
                <w:sz w:val="22"/>
                <w:szCs w:val="22"/>
                <w:lang w:val="ro-RO"/>
              </w:rPr>
              <w:t xml:space="preserve">OPEX </w:t>
            </w:r>
          </w:p>
        </w:tc>
        <w:tc>
          <w:tcPr>
            <w:tcW w:w="831"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0,1</w:t>
            </w:r>
          </w:p>
        </w:tc>
        <w:tc>
          <w:tcPr>
            <w:tcW w:w="3274" w:type="pct"/>
          </w:tcPr>
          <w:p w:rsidR="00B4550A" w:rsidRPr="00E0488D" w:rsidRDefault="00B4550A" w:rsidP="003C7FC8">
            <w:pPr>
              <w:rPr>
                <w:sz w:val="22"/>
                <w:szCs w:val="22"/>
                <w:lang w:val="ro-RO"/>
              </w:rPr>
            </w:pPr>
            <w:r w:rsidRPr="00E0488D">
              <w:rPr>
                <w:sz w:val="22"/>
                <w:szCs w:val="22"/>
                <w:lang w:val="ro-RO"/>
              </w:rPr>
              <w:t xml:space="preserve">Costuri suplimentare de operare </w:t>
            </w:r>
          </w:p>
        </w:tc>
      </w:tr>
      <w:tr w:rsidR="00B4550A" w:rsidRPr="00E0488D" w:rsidTr="003C7FC8">
        <w:trPr>
          <w:cantSplit/>
        </w:trPr>
        <w:tc>
          <w:tcPr>
            <w:tcW w:w="895" w:type="pct"/>
          </w:tcPr>
          <w:p w:rsidR="00B4550A" w:rsidRPr="00E0488D" w:rsidRDefault="00B4550A" w:rsidP="003C7FC8">
            <w:pPr>
              <w:rPr>
                <w:sz w:val="22"/>
                <w:szCs w:val="22"/>
                <w:lang w:val="ro-RO"/>
              </w:rPr>
            </w:pPr>
            <w:r w:rsidRPr="00E0488D">
              <w:rPr>
                <w:sz w:val="22"/>
                <w:szCs w:val="22"/>
                <w:lang w:val="ro-RO"/>
              </w:rPr>
              <w:t xml:space="preserve">Total </w:t>
            </w:r>
          </w:p>
        </w:tc>
        <w:tc>
          <w:tcPr>
            <w:tcW w:w="831" w:type="pct"/>
            <w:vAlign w:val="bottom"/>
          </w:tcPr>
          <w:p w:rsidR="00B4550A" w:rsidRPr="00E0488D" w:rsidRDefault="00B4550A" w:rsidP="003C7FC8">
            <w:pPr>
              <w:jc w:val="right"/>
              <w:rPr>
                <w:b/>
                <w:color w:val="000000"/>
                <w:sz w:val="22"/>
                <w:szCs w:val="22"/>
                <w:lang w:val="ro-RO"/>
              </w:rPr>
            </w:pPr>
            <w:r w:rsidRPr="00E0488D">
              <w:rPr>
                <w:b/>
                <w:color w:val="000000"/>
                <w:sz w:val="22"/>
                <w:szCs w:val="22"/>
                <w:lang w:val="ro-RO"/>
              </w:rPr>
              <w:t>2,4</w:t>
            </w:r>
          </w:p>
        </w:tc>
        <w:tc>
          <w:tcPr>
            <w:tcW w:w="3274" w:type="pct"/>
          </w:tcPr>
          <w:p w:rsidR="00B4550A" w:rsidRPr="00E0488D" w:rsidRDefault="00B4550A" w:rsidP="003C7FC8">
            <w:pPr>
              <w:rPr>
                <w:sz w:val="22"/>
                <w:szCs w:val="22"/>
                <w:lang w:val="ro-RO"/>
              </w:rPr>
            </w:pPr>
          </w:p>
        </w:tc>
      </w:tr>
    </w:tbl>
    <w:p w:rsidR="00B4550A" w:rsidRPr="00E0488D" w:rsidRDefault="00B4550A" w:rsidP="00B4550A">
      <w:pPr>
        <w:spacing w:before="120" w:after="120" w:line="276" w:lineRule="auto"/>
        <w:rPr>
          <w:b/>
          <w:sz w:val="22"/>
          <w:szCs w:val="22"/>
          <w:lang w:val="ro-RO"/>
        </w:rPr>
      </w:pPr>
      <w:r w:rsidRPr="00E0488D">
        <w:rPr>
          <w:b/>
          <w:sz w:val="22"/>
          <w:szCs w:val="22"/>
          <w:lang w:val="ro-RO"/>
        </w:rPr>
        <w:t>Rezultate</w:t>
      </w:r>
    </w:p>
    <w:tbl>
      <w:tblPr>
        <w:tblW w:w="36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4025"/>
      </w:tblGrid>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PVC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2.769.760</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PVB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7.,698.694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NPV (€ (Prețuri 2014))</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4.928.934</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BCR</w:t>
            </w:r>
          </w:p>
        </w:tc>
        <w:tc>
          <w:tcPr>
            <w:tcW w:w="2633" w:type="pct"/>
            <w:vAlign w:val="bottom"/>
          </w:tcPr>
          <w:p w:rsidR="00B4550A" w:rsidRPr="00E0488D" w:rsidRDefault="00B4550A" w:rsidP="003C7FC8">
            <w:pPr>
              <w:jc w:val="right"/>
              <w:rPr>
                <w:bCs/>
                <w:sz w:val="22"/>
                <w:szCs w:val="22"/>
                <w:lang w:val="ro-RO"/>
              </w:rPr>
            </w:pPr>
            <w:r w:rsidRPr="00E0488D">
              <w:rPr>
                <w:bCs/>
                <w:sz w:val="22"/>
                <w:szCs w:val="22"/>
                <w:lang w:val="ro-RO"/>
              </w:rPr>
              <w:t>2,78</w:t>
            </w:r>
          </w:p>
        </w:tc>
      </w:tr>
      <w:tr w:rsidR="00B4550A" w:rsidRPr="00E0488D" w:rsidTr="003C7FC8">
        <w:trPr>
          <w:cantSplit/>
        </w:trPr>
        <w:tc>
          <w:tcPr>
            <w:tcW w:w="2367" w:type="pct"/>
            <w:vAlign w:val="center"/>
          </w:tcPr>
          <w:p w:rsidR="00B4550A" w:rsidRPr="00E0488D" w:rsidRDefault="00B4550A" w:rsidP="003C7FC8">
            <w:pPr>
              <w:spacing w:before="120"/>
              <w:rPr>
                <w:b/>
                <w:sz w:val="22"/>
                <w:szCs w:val="22"/>
                <w:lang w:val="ro-RO"/>
              </w:rPr>
            </w:pPr>
            <w:r w:rsidRPr="00E0488D">
              <w:rPr>
                <w:b/>
                <w:sz w:val="22"/>
                <w:szCs w:val="22"/>
                <w:lang w:val="ro-RO"/>
              </w:rPr>
              <w:t xml:space="preserve">EIRR </w:t>
            </w:r>
          </w:p>
        </w:tc>
        <w:tc>
          <w:tcPr>
            <w:tcW w:w="2633" w:type="pct"/>
            <w:vAlign w:val="bottom"/>
          </w:tcPr>
          <w:p w:rsidR="00B4550A" w:rsidRPr="00E0488D" w:rsidRDefault="00B4550A" w:rsidP="003C7FC8">
            <w:pPr>
              <w:jc w:val="right"/>
              <w:rPr>
                <w:color w:val="000000"/>
                <w:sz w:val="22"/>
                <w:szCs w:val="22"/>
                <w:lang w:val="ro-RO"/>
              </w:rPr>
            </w:pPr>
            <w:r w:rsidRPr="00E0488D">
              <w:rPr>
                <w:color w:val="000000"/>
                <w:sz w:val="22"/>
                <w:szCs w:val="22"/>
                <w:lang w:val="ro-RO"/>
              </w:rPr>
              <w:t>10,4%</w:t>
            </w:r>
          </w:p>
        </w:tc>
      </w:tr>
    </w:tbl>
    <w:p w:rsidR="00B4550A" w:rsidRPr="00E0488D" w:rsidRDefault="00B4550A" w:rsidP="00B4550A">
      <w:pPr>
        <w:rPr>
          <w:i/>
          <w:sz w:val="22"/>
          <w:szCs w:val="22"/>
          <w:lang w:val="ro-RO"/>
        </w:rPr>
      </w:pPr>
    </w:p>
    <w:p w:rsidR="00B4550A" w:rsidRPr="00E0488D" w:rsidRDefault="00B4550A" w:rsidP="002B7E09">
      <w:pPr>
        <w:pStyle w:val="NumberedParas"/>
      </w:pPr>
      <w:r w:rsidRPr="00E0488D">
        <w:t xml:space="preserve">În anul 2011 aeroportul a înregistrat un număr de 18.568 pasageri (18.017 din trafic intern și 551 din trafic internațional). Dacă programul de modernizare este implementat în totalitate, numărul pasagerilor ar putea atinge cifra de 179.287 până în anul 2020 (39.405 din trafic intern și 139.882 din trafic internațional) și 224.770 până în anul 2025 (49.402 din trafic intern și 175.368 din trafic internațional). </w:t>
      </w:r>
    </w:p>
    <w:p w:rsidR="00B4550A" w:rsidRPr="00E0488D" w:rsidRDefault="00B4550A" w:rsidP="00B4550A">
      <w:pPr>
        <w:spacing w:before="120" w:after="120" w:line="276" w:lineRule="auto"/>
        <w:rPr>
          <w:b/>
          <w:sz w:val="22"/>
          <w:szCs w:val="22"/>
          <w:lang w:val="ro-RO"/>
        </w:rPr>
      </w:pPr>
      <w:r w:rsidRPr="00E0488D">
        <w:rPr>
          <w:b/>
          <w:sz w:val="22"/>
          <w:szCs w:val="22"/>
          <w:lang w:val="ro-RO"/>
        </w:rPr>
        <w:t>Unitatea de implementare</w:t>
      </w:r>
    </w:p>
    <w:p w:rsidR="00B4550A" w:rsidRPr="00E0488D" w:rsidRDefault="00B4550A" w:rsidP="002B7E09">
      <w:pPr>
        <w:pStyle w:val="NumberedParas"/>
      </w:pPr>
      <w:r w:rsidRPr="00E0488D">
        <w:t xml:space="preserve">Acest proiect va fi implementat de Aeroportul Baia Mare. </w:t>
      </w:r>
    </w:p>
    <w:p w:rsidR="00B4550A" w:rsidRPr="00E0488D" w:rsidRDefault="00B4550A" w:rsidP="00B4550A">
      <w:pPr>
        <w:rPr>
          <w:b/>
          <w:sz w:val="22"/>
          <w:szCs w:val="22"/>
          <w:lang w:val="ro-RO"/>
        </w:rPr>
      </w:pPr>
      <w:r w:rsidRPr="00E0488D">
        <w:rPr>
          <w:b/>
          <w:sz w:val="22"/>
          <w:szCs w:val="22"/>
          <w:lang w:val="ro-RO"/>
        </w:rPr>
        <w:t>Ani de implementare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750"/>
      </w:tblGrid>
      <w:tr w:rsidR="00B4550A" w:rsidRPr="00E0488D" w:rsidTr="003C7FC8">
        <w:tc>
          <w:tcPr>
            <w:tcW w:w="5778" w:type="dxa"/>
          </w:tcPr>
          <w:p w:rsidR="00B4550A" w:rsidRPr="00E0488D" w:rsidRDefault="00B4550A" w:rsidP="003C7FC8">
            <w:pPr>
              <w:rPr>
                <w:b/>
                <w:sz w:val="22"/>
                <w:szCs w:val="22"/>
                <w:lang w:val="ro-RO"/>
              </w:rPr>
            </w:pPr>
            <w:r w:rsidRPr="00E0488D">
              <w:rPr>
                <w:b/>
                <w:sz w:val="22"/>
                <w:szCs w:val="22"/>
                <w:lang w:val="ro-RO"/>
              </w:rPr>
              <w:t>Proiect</w:t>
            </w:r>
          </w:p>
        </w:tc>
        <w:tc>
          <w:tcPr>
            <w:tcW w:w="2750" w:type="dxa"/>
          </w:tcPr>
          <w:p w:rsidR="00B4550A" w:rsidRPr="00E0488D" w:rsidRDefault="00B4550A" w:rsidP="003C7FC8">
            <w:pPr>
              <w:rPr>
                <w:b/>
                <w:sz w:val="22"/>
                <w:szCs w:val="22"/>
                <w:lang w:val="ro-RO"/>
              </w:rPr>
            </w:pPr>
            <w:r w:rsidRPr="00E0488D">
              <w:rPr>
                <w:b/>
                <w:sz w:val="22"/>
                <w:szCs w:val="22"/>
                <w:lang w:val="ro-RO"/>
              </w:rPr>
              <w:t>An de implementare</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2020</w:t>
            </w:r>
          </w:p>
        </w:tc>
      </w:tr>
      <w:tr w:rsidR="00B4550A" w:rsidRPr="00E0488D" w:rsidTr="003C7FC8">
        <w:tc>
          <w:tcPr>
            <w:tcW w:w="5778" w:type="dxa"/>
          </w:tcPr>
          <w:p w:rsidR="00B4550A" w:rsidRPr="00E0488D" w:rsidRDefault="00B4550A" w:rsidP="003C7FC8">
            <w:pPr>
              <w:rPr>
                <w:sz w:val="22"/>
                <w:szCs w:val="22"/>
                <w:lang w:val="ro-RO"/>
              </w:rPr>
            </w:pPr>
            <w:r w:rsidRPr="00E0488D">
              <w:rPr>
                <w:sz w:val="22"/>
                <w:szCs w:val="22"/>
                <w:lang w:val="ro-RO"/>
              </w:rPr>
              <w:t>Extinderea terminalului de pasageri</w:t>
            </w:r>
          </w:p>
        </w:tc>
        <w:tc>
          <w:tcPr>
            <w:tcW w:w="2750" w:type="dxa"/>
          </w:tcPr>
          <w:p w:rsidR="00B4550A" w:rsidRPr="00E0488D" w:rsidRDefault="00B4550A" w:rsidP="003C7FC8">
            <w:pPr>
              <w:rPr>
                <w:sz w:val="22"/>
                <w:szCs w:val="22"/>
                <w:lang w:val="ro-RO"/>
              </w:rPr>
            </w:pPr>
            <w:r w:rsidRPr="00E0488D">
              <w:rPr>
                <w:sz w:val="22"/>
                <w:szCs w:val="22"/>
                <w:lang w:val="ro-RO"/>
              </w:rPr>
              <w:t>2025</w:t>
            </w:r>
          </w:p>
        </w:tc>
      </w:tr>
    </w:tbl>
    <w:p w:rsidR="00B4550A" w:rsidRPr="00E0488D" w:rsidRDefault="00B4550A" w:rsidP="00B4550A">
      <w:pPr>
        <w:rPr>
          <w:sz w:val="22"/>
          <w:szCs w:val="22"/>
          <w:lang w:val="ro-RO"/>
        </w:rPr>
      </w:pPr>
    </w:p>
    <w:p w:rsidR="00B4550A" w:rsidRPr="00E0488D" w:rsidRDefault="00B4550A" w:rsidP="00B4550A">
      <w:pPr>
        <w:rPr>
          <w:i/>
          <w:sz w:val="22"/>
          <w:szCs w:val="22"/>
          <w:lang w:val="ro-RO"/>
        </w:rPr>
      </w:pPr>
      <w:r w:rsidRPr="00E0488D">
        <w:rPr>
          <w:lang w:val="ro-RO"/>
        </w:rPr>
        <w:br w:type="page"/>
      </w:r>
    </w:p>
    <w:p w:rsidR="00B4550A" w:rsidRPr="00E0488D" w:rsidRDefault="00B4550A" w:rsidP="00BD59B2">
      <w:pPr>
        <w:pStyle w:val="Hdg2"/>
      </w:pPr>
      <w:bookmarkStart w:id="569" w:name="_Toc413060342"/>
      <w:r w:rsidRPr="00E0488D">
        <w:t>Rezultatele testării</w:t>
      </w:r>
      <w:bookmarkEnd w:id="569"/>
    </w:p>
    <w:p w:rsidR="00B4550A" w:rsidRPr="00E0488D" w:rsidRDefault="00B4550A" w:rsidP="002B7E09">
      <w:pPr>
        <w:pStyle w:val="NumberedParas"/>
      </w:pPr>
      <w:r w:rsidRPr="00E0488D">
        <w:t>Tabelul 7.17 prezintă rezultatele testării proiectelor</w:t>
      </w:r>
    </w:p>
    <w:p w:rsidR="00B4550A" w:rsidRPr="00E0488D" w:rsidRDefault="00B4550A" w:rsidP="00B4550A">
      <w:pPr>
        <w:rPr>
          <w:b/>
          <w:sz w:val="22"/>
          <w:szCs w:val="22"/>
          <w:lang w:val="ro-RO"/>
        </w:rPr>
      </w:pPr>
      <w:r w:rsidRPr="00E0488D">
        <w:rPr>
          <w:b/>
          <w:sz w:val="22"/>
          <w:szCs w:val="22"/>
          <w:lang w:val="ro-RO"/>
        </w:rPr>
        <w:t>Tabelul 7.2020: Rezultatele testării proiectelor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7"/>
        <w:gridCol w:w="3924"/>
        <w:gridCol w:w="1560"/>
        <w:gridCol w:w="1701"/>
        <w:gridCol w:w="1134"/>
        <w:gridCol w:w="901"/>
      </w:tblGrid>
      <w:tr w:rsidR="00B4550A" w:rsidRPr="00E0488D" w:rsidTr="003C7FC8">
        <w:trPr>
          <w:trHeight w:val="975"/>
          <w:tblHeader/>
          <w:jc w:val="center"/>
        </w:trPr>
        <w:tc>
          <w:tcPr>
            <w:tcW w:w="1287" w:type="dxa"/>
            <w:shd w:val="clear" w:color="auto" w:fill="DBE5F1"/>
            <w:vAlign w:val="center"/>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Aeroport</w:t>
            </w:r>
          </w:p>
        </w:tc>
        <w:tc>
          <w:tcPr>
            <w:tcW w:w="3924" w:type="dxa"/>
            <w:shd w:val="clear" w:color="auto" w:fill="DBE5F1"/>
            <w:vAlign w:val="center"/>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Tip de proiecte</w:t>
            </w:r>
          </w:p>
        </w:tc>
        <w:tc>
          <w:tcPr>
            <w:tcW w:w="1560" w:type="dxa"/>
            <w:shd w:val="clear" w:color="auto" w:fill="DBE5F1"/>
            <w:vAlign w:val="center"/>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An de implementare</w:t>
            </w:r>
          </w:p>
        </w:tc>
        <w:tc>
          <w:tcPr>
            <w:tcW w:w="1701" w:type="dxa"/>
            <w:shd w:val="clear" w:color="auto" w:fill="DBE5F1"/>
            <w:vAlign w:val="center"/>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Cost</w:t>
            </w:r>
            <w:r w:rsidRPr="00E0488D">
              <w:rPr>
                <w:rFonts w:cs="Arial"/>
                <w:b/>
                <w:bCs/>
                <w:color w:val="000000"/>
                <w:sz w:val="22"/>
                <w:szCs w:val="22"/>
                <w:lang w:val="ro-RO"/>
              </w:rPr>
              <w:br/>
              <w:t>Prețuri 2014 (Euro)</w:t>
            </w:r>
          </w:p>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(CAPEX)</w:t>
            </w:r>
          </w:p>
        </w:tc>
        <w:tc>
          <w:tcPr>
            <w:tcW w:w="1134" w:type="dxa"/>
            <w:shd w:val="clear" w:color="auto" w:fill="DBE5F1"/>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OPEX</w:t>
            </w:r>
          </w:p>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Prețuri 2014</w:t>
            </w:r>
          </w:p>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(Euro)</w:t>
            </w:r>
          </w:p>
        </w:tc>
        <w:tc>
          <w:tcPr>
            <w:tcW w:w="901" w:type="dxa"/>
            <w:shd w:val="clear" w:color="auto" w:fill="DBE5F1"/>
            <w:vAlign w:val="center"/>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BCR</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Henri Coandă București</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Reabilitarea platformelor, căilor de rulare și pistelor; Extinderea platformelor </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93.804.760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4,690,238 </w:t>
            </w:r>
          </w:p>
        </w:tc>
        <w:tc>
          <w:tcPr>
            <w:tcW w:w="901"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sz w:val="22"/>
                <w:szCs w:val="22"/>
                <w:lang w:val="ro-RO"/>
              </w:rPr>
              <w:t>3.72</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Craiova </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 Extinderea platformei și terminal  pasageri, terminal intermodal cargo </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14.771.881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738,594 </w:t>
            </w:r>
          </w:p>
        </w:tc>
        <w:tc>
          <w:tcPr>
            <w:tcW w:w="901"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sz w:val="22"/>
                <w:szCs w:val="22"/>
                <w:lang w:val="ro-RO"/>
              </w:rPr>
              <w:t>11.35</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Timișoara </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Terminal Pasageri, Terminal Cargo Intermodal</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71.326.200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3,566,310 </w:t>
            </w:r>
          </w:p>
        </w:tc>
        <w:tc>
          <w:tcPr>
            <w:tcW w:w="901"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sz w:val="22"/>
                <w:szCs w:val="22"/>
                <w:lang w:val="ro-RO"/>
              </w:rPr>
              <w:t>1.68</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Sibiu </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Terminal pasageri, sistem iluminare, echipament 8udegivrare și extindere cai de rulare </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45.084.727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2,254,236 </w:t>
            </w:r>
          </w:p>
        </w:tc>
        <w:tc>
          <w:tcPr>
            <w:tcW w:w="901"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sz w:val="22"/>
                <w:szCs w:val="22"/>
                <w:lang w:val="ro-RO"/>
              </w:rPr>
              <w:t xml:space="preserve">10.22 </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Cluj-Napoca </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Extindere pista. Extindere platformă și cale de  rulare; Suprafețe de mișcare, terminal cargo </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81.000.000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4,099,000 </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1.26</w:t>
            </w:r>
          </w:p>
        </w:tc>
      </w:tr>
      <w:tr w:rsidR="00B4550A" w:rsidRPr="00E0488D" w:rsidTr="003C7FC8">
        <w:trPr>
          <w:trHeight w:val="329"/>
          <w:jc w:val="center"/>
        </w:trPr>
        <w:tc>
          <w:tcPr>
            <w:tcW w:w="1287"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Bacău </w:t>
            </w:r>
          </w:p>
        </w:tc>
        <w:tc>
          <w:tcPr>
            <w:tcW w:w="3924"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Terminal pasageri, capacitate portantă a pistei, platformă, terminal cargo</w:t>
            </w:r>
          </w:p>
        </w:tc>
        <w:tc>
          <w:tcPr>
            <w:tcW w:w="1560" w:type="dxa"/>
            <w:vAlign w:val="center"/>
          </w:tcPr>
          <w:p w:rsidR="00B4550A" w:rsidRPr="00E0488D" w:rsidRDefault="00B4550A" w:rsidP="003C7FC8">
            <w:pPr>
              <w:pStyle w:val="NormalWeb"/>
              <w:spacing w:line="317" w:lineRule="atLeast"/>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80.190.916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4,009,546 </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3.34  </w:t>
            </w:r>
          </w:p>
        </w:tc>
      </w:tr>
      <w:tr w:rsidR="00B4550A" w:rsidRPr="00E0488D" w:rsidTr="003C7FC8">
        <w:trPr>
          <w:trHeight w:val="329"/>
          <w:jc w:val="center"/>
        </w:trPr>
        <w:tc>
          <w:tcPr>
            <w:tcW w:w="1287"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Iași </w:t>
            </w:r>
          </w:p>
        </w:tc>
        <w:tc>
          <w:tcPr>
            <w:tcW w:w="3924"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Terminal cargo intermodal </w:t>
            </w:r>
          </w:p>
        </w:tc>
        <w:tc>
          <w:tcPr>
            <w:tcW w:w="1560" w:type="dxa"/>
            <w:vAlign w:val="center"/>
          </w:tcPr>
          <w:p w:rsidR="00B4550A" w:rsidRPr="00E0488D" w:rsidRDefault="00B4550A" w:rsidP="003C7FC8">
            <w:pPr>
              <w:pStyle w:val="NormalWeb"/>
              <w:spacing w:line="317" w:lineRule="atLeast"/>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10.800.000</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540,000</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5.57</w:t>
            </w:r>
          </w:p>
        </w:tc>
      </w:tr>
      <w:tr w:rsidR="00B4550A" w:rsidRPr="00E0488D" w:rsidTr="003C7FC8">
        <w:trPr>
          <w:trHeight w:val="329"/>
          <w:jc w:val="center"/>
        </w:trPr>
        <w:tc>
          <w:tcPr>
            <w:tcW w:w="1287"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Târgu Mureș </w:t>
            </w:r>
          </w:p>
        </w:tc>
        <w:tc>
          <w:tcPr>
            <w:tcW w:w="3924"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Extindere platformă, terminal pasageri,  echipament de iluminare și degivrare </w:t>
            </w:r>
          </w:p>
        </w:tc>
        <w:tc>
          <w:tcPr>
            <w:tcW w:w="1560" w:type="dxa"/>
            <w:vAlign w:val="center"/>
          </w:tcPr>
          <w:p w:rsidR="00B4550A" w:rsidRPr="00E0488D" w:rsidRDefault="00B4550A" w:rsidP="003C7FC8">
            <w:pPr>
              <w:pStyle w:val="NormalWeb"/>
              <w:spacing w:line="317" w:lineRule="atLeast"/>
              <w:jc w:val="center"/>
              <w:rPr>
                <w:rFonts w:ascii="Arial" w:hAnsi="Arial" w:cs="Arial"/>
                <w:sz w:val="22"/>
                <w:szCs w:val="22"/>
                <w:lang w:val="ro-RO"/>
              </w:rPr>
            </w:pPr>
            <w:r w:rsidRPr="00E0488D">
              <w:rPr>
                <w:rFonts w:ascii="Arial" w:hAnsi="Arial" w:cs="Arial"/>
                <w:color w:val="000000"/>
                <w:kern w:val="24"/>
                <w:sz w:val="22"/>
                <w:szCs w:val="22"/>
                <w:lang w:val="ro-RO"/>
              </w:rPr>
              <w:t>2020/2025</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8.323.221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416,161 </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8.45  </w:t>
            </w:r>
          </w:p>
        </w:tc>
      </w:tr>
      <w:tr w:rsidR="00B4550A" w:rsidRPr="00E0488D" w:rsidTr="003C7FC8">
        <w:trPr>
          <w:trHeight w:val="329"/>
          <w:jc w:val="center"/>
        </w:trPr>
        <w:tc>
          <w:tcPr>
            <w:tcW w:w="1287"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Constanța </w:t>
            </w:r>
          </w:p>
        </w:tc>
        <w:tc>
          <w:tcPr>
            <w:tcW w:w="3924"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Buzunar de întoarcere la pragul 18 </w:t>
            </w:r>
          </w:p>
        </w:tc>
        <w:tc>
          <w:tcPr>
            <w:tcW w:w="1560" w:type="dxa"/>
            <w:vAlign w:val="center"/>
          </w:tcPr>
          <w:p w:rsidR="00B4550A" w:rsidRPr="00E0488D" w:rsidRDefault="00B4550A" w:rsidP="003C7FC8">
            <w:pPr>
              <w:pStyle w:val="NormalWeb"/>
              <w:spacing w:line="317" w:lineRule="atLeast"/>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 xml:space="preserve">5.086.484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254.324   </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0,76 </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Suceava </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Echipament  de degivrare și echipament de siguranță </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2.990.985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149.549 </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7,94</w:t>
            </w:r>
          </w:p>
        </w:tc>
      </w:tr>
      <w:tr w:rsidR="00B4550A" w:rsidRPr="00E0488D" w:rsidTr="003C7FC8">
        <w:trPr>
          <w:trHeight w:val="329"/>
          <w:jc w:val="center"/>
        </w:trPr>
        <w:tc>
          <w:tcPr>
            <w:tcW w:w="1287"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 xml:space="preserve">Tulcea </w:t>
            </w:r>
          </w:p>
        </w:tc>
        <w:tc>
          <w:tcPr>
            <w:tcW w:w="3924" w:type="dxa"/>
            <w:vAlign w:val="center"/>
          </w:tcPr>
          <w:p w:rsidR="00B4550A" w:rsidRPr="00E0488D" w:rsidRDefault="00B4550A" w:rsidP="003C7FC8">
            <w:pPr>
              <w:pStyle w:val="NormalWeb"/>
              <w:rPr>
                <w:rFonts w:ascii="Arial" w:hAnsi="Arial" w:cs="Arial"/>
                <w:sz w:val="22"/>
                <w:szCs w:val="22"/>
                <w:lang w:val="ro-RO"/>
              </w:rPr>
            </w:pPr>
            <w:r w:rsidRPr="00E0488D">
              <w:rPr>
                <w:rFonts w:ascii="Arial" w:hAnsi="Arial" w:cs="Arial"/>
                <w:color w:val="000000"/>
                <w:kern w:val="24"/>
                <w:sz w:val="22"/>
                <w:szCs w:val="22"/>
                <w:lang w:val="ro-RO"/>
              </w:rPr>
              <w:t>Extinderea terminalului de pasageri și a platformei</w:t>
            </w:r>
          </w:p>
        </w:tc>
        <w:tc>
          <w:tcPr>
            <w:tcW w:w="1560" w:type="dxa"/>
            <w:vAlign w:val="center"/>
          </w:tcPr>
          <w:p w:rsidR="00B4550A" w:rsidRPr="00E0488D" w:rsidRDefault="00B4550A" w:rsidP="003C7FC8">
            <w:pPr>
              <w:pStyle w:val="NormalWeb"/>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15.177.064</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768.000</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1,53</w:t>
            </w:r>
          </w:p>
        </w:tc>
      </w:tr>
      <w:tr w:rsidR="00B4550A" w:rsidRPr="00E0488D" w:rsidTr="003C7FC8">
        <w:trPr>
          <w:trHeight w:val="329"/>
          <w:jc w:val="center"/>
        </w:trPr>
        <w:tc>
          <w:tcPr>
            <w:tcW w:w="1287"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Baia Mare </w:t>
            </w:r>
          </w:p>
        </w:tc>
        <w:tc>
          <w:tcPr>
            <w:tcW w:w="3924" w:type="dxa"/>
            <w:vAlign w:val="center"/>
          </w:tcPr>
          <w:p w:rsidR="00B4550A" w:rsidRPr="00E0488D" w:rsidRDefault="00B4550A" w:rsidP="003C7FC8">
            <w:pPr>
              <w:pStyle w:val="NormalWeb"/>
              <w:spacing w:line="317" w:lineRule="atLeast"/>
              <w:rPr>
                <w:rFonts w:ascii="Arial" w:hAnsi="Arial" w:cs="Arial"/>
                <w:sz w:val="22"/>
                <w:szCs w:val="22"/>
                <w:lang w:val="ro-RO"/>
              </w:rPr>
            </w:pPr>
            <w:r w:rsidRPr="00E0488D">
              <w:rPr>
                <w:rFonts w:ascii="Arial" w:hAnsi="Arial" w:cs="Arial"/>
                <w:color w:val="000000"/>
                <w:kern w:val="24"/>
                <w:sz w:val="22"/>
                <w:szCs w:val="22"/>
                <w:lang w:val="ro-RO"/>
              </w:rPr>
              <w:t xml:space="preserve">Extinderea terminalului de pasageri </w:t>
            </w:r>
          </w:p>
        </w:tc>
        <w:tc>
          <w:tcPr>
            <w:tcW w:w="1560" w:type="dxa"/>
            <w:vAlign w:val="center"/>
          </w:tcPr>
          <w:p w:rsidR="00B4550A" w:rsidRPr="00E0488D" w:rsidRDefault="00B4550A" w:rsidP="003C7FC8">
            <w:pPr>
              <w:pStyle w:val="NormalWeb"/>
              <w:spacing w:line="317" w:lineRule="atLeast"/>
              <w:jc w:val="center"/>
              <w:rPr>
                <w:rFonts w:ascii="Arial" w:hAnsi="Arial" w:cs="Arial"/>
                <w:sz w:val="22"/>
                <w:szCs w:val="22"/>
                <w:lang w:val="ro-RO"/>
              </w:rPr>
            </w:pPr>
            <w:r w:rsidRPr="00E0488D">
              <w:rPr>
                <w:rFonts w:ascii="Arial" w:hAnsi="Arial" w:cs="Arial"/>
                <w:color w:val="000000"/>
                <w:kern w:val="24"/>
                <w:sz w:val="22"/>
                <w:szCs w:val="22"/>
                <w:lang w:val="ro-RO"/>
              </w:rPr>
              <w:t>2020</w:t>
            </w:r>
          </w:p>
        </w:tc>
        <w:tc>
          <w:tcPr>
            <w:tcW w:w="1701" w:type="dxa"/>
            <w:vAlign w:val="center"/>
          </w:tcPr>
          <w:p w:rsidR="00B4550A" w:rsidRPr="00E0488D" w:rsidRDefault="00B4550A" w:rsidP="003C7FC8">
            <w:pPr>
              <w:pStyle w:val="NormalWeb"/>
              <w:spacing w:line="317" w:lineRule="atLeast"/>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1.553.800 </w:t>
            </w:r>
          </w:p>
        </w:tc>
        <w:tc>
          <w:tcPr>
            <w:tcW w:w="1134"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77.690   </w:t>
            </w:r>
          </w:p>
        </w:tc>
        <w:tc>
          <w:tcPr>
            <w:tcW w:w="901" w:type="dxa"/>
            <w:vAlign w:val="center"/>
          </w:tcPr>
          <w:p w:rsidR="00B4550A" w:rsidRPr="00E0488D" w:rsidRDefault="00B4550A" w:rsidP="003C7FC8">
            <w:pPr>
              <w:pStyle w:val="NormalWeb"/>
              <w:jc w:val="center"/>
              <w:rPr>
                <w:rFonts w:ascii="Arial" w:hAnsi="Arial" w:cs="Arial"/>
                <w:color w:val="000000"/>
                <w:kern w:val="24"/>
                <w:sz w:val="22"/>
                <w:szCs w:val="22"/>
                <w:lang w:val="ro-RO"/>
              </w:rPr>
            </w:pPr>
            <w:r w:rsidRPr="00E0488D">
              <w:rPr>
                <w:rFonts w:ascii="Arial" w:hAnsi="Arial" w:cs="Arial"/>
                <w:color w:val="000000"/>
                <w:kern w:val="24"/>
                <w:sz w:val="22"/>
                <w:szCs w:val="22"/>
                <w:lang w:val="ro-RO"/>
              </w:rPr>
              <w:t xml:space="preserve">3,13 </w:t>
            </w:r>
          </w:p>
        </w:tc>
      </w:tr>
    </w:tbl>
    <w:p w:rsidR="00B4550A" w:rsidRPr="00E0488D" w:rsidRDefault="00B4550A" w:rsidP="00B4550A">
      <w:pPr>
        <w:pStyle w:val="Body"/>
        <w:rPr>
          <w:lang w:val="ro-RO"/>
        </w:rPr>
      </w:pP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306"/>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307"/>
          <w:footerReference w:type="default" r:id="rId308"/>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t>Transport intermodal</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ind w:left="851" w:hanging="851"/>
      </w:pPr>
      <w:bookmarkStart w:id="570" w:name="_Toc398292102"/>
      <w:bookmarkStart w:id="571" w:name="_Toc413060343"/>
      <w:r w:rsidRPr="00E0488D">
        <w:t>Transport Intermodal</w:t>
      </w:r>
      <w:bookmarkEnd w:id="570"/>
      <w:bookmarkEnd w:id="571"/>
      <w:r w:rsidRPr="00E0488D">
        <w:t xml:space="preserve"> </w:t>
      </w:r>
    </w:p>
    <w:p w:rsidR="00BD59B2" w:rsidRPr="00E0488D" w:rsidRDefault="00BD59B2" w:rsidP="00BD59B2">
      <w:pPr>
        <w:pStyle w:val="Hdg2"/>
      </w:pPr>
      <w:bookmarkStart w:id="572" w:name="_Toc413060344"/>
      <w:r w:rsidRPr="00E0488D">
        <w:t>Analiza situației existente</w:t>
      </w:r>
      <w:bookmarkEnd w:id="572"/>
    </w:p>
    <w:p w:rsidR="00BD59B2" w:rsidRPr="00E0488D" w:rsidRDefault="00BD59B2" w:rsidP="002B7E09">
      <w:pPr>
        <w:pStyle w:val="NumberedParas"/>
        <w:rPr>
          <w:lang w:eastAsia="en-GB"/>
        </w:rPr>
      </w:pPr>
      <w:r w:rsidRPr="00E0488D">
        <w:rPr>
          <w:lang w:eastAsia="en-GB"/>
        </w:rPr>
        <w:t>Înainte de perioada de recesiune, industria de logistică la nivel global a fost estimată la 5,4 trilioane Euro, sau 13,8% din PIB global.</w:t>
      </w:r>
    </w:p>
    <w:p w:rsidR="00BD59B2" w:rsidRPr="00E0488D" w:rsidRDefault="00BD59B2" w:rsidP="002B7E09">
      <w:pPr>
        <w:pStyle w:val="NumberedParas"/>
        <w:rPr>
          <w:lang w:eastAsia="en-GB"/>
        </w:rPr>
      </w:pPr>
      <w:r w:rsidRPr="00E0488D">
        <w:rPr>
          <w:rStyle w:val="hps"/>
          <w:rFonts w:cs="Arial"/>
          <w:color w:val="000000" w:themeColor="text1"/>
        </w:rPr>
        <w:t>În medie</w:t>
      </w:r>
      <w:r w:rsidRPr="00E0488D">
        <w:t xml:space="preserve">, </w:t>
      </w:r>
      <w:r w:rsidRPr="00E0488D">
        <w:rPr>
          <w:rStyle w:val="hps"/>
          <w:rFonts w:cs="Arial"/>
          <w:color w:val="000000" w:themeColor="text1"/>
        </w:rPr>
        <w:t>costurile de logistică</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10-15%</w:t>
      </w:r>
      <w:r w:rsidRPr="00E0488D">
        <w:t xml:space="preserve"> </w:t>
      </w:r>
      <w:r w:rsidRPr="00E0488D">
        <w:rPr>
          <w:rStyle w:val="hps"/>
          <w:rFonts w:cs="Arial"/>
          <w:color w:val="000000" w:themeColor="text1"/>
        </w:rPr>
        <w:t>din costul</w:t>
      </w:r>
      <w:r w:rsidRPr="00E0488D">
        <w:t xml:space="preserve"> </w:t>
      </w:r>
      <w:r w:rsidRPr="00E0488D">
        <w:rPr>
          <w:rStyle w:val="hps"/>
          <w:rFonts w:cs="Arial"/>
          <w:color w:val="000000" w:themeColor="text1"/>
        </w:rPr>
        <w:t>final al produsului</w:t>
      </w:r>
      <w:r w:rsidRPr="00E0488D">
        <w:t xml:space="preserve"> </w:t>
      </w:r>
      <w:r w:rsidRPr="00E0488D">
        <w:rPr>
          <w:rStyle w:val="hps"/>
          <w:rFonts w:cs="Arial"/>
          <w:color w:val="000000" w:themeColor="text1"/>
        </w:rPr>
        <w:t>finit</w:t>
      </w:r>
      <w:r w:rsidRPr="00E0488D">
        <w:t xml:space="preserve">. </w:t>
      </w:r>
      <w:r w:rsidRPr="00E0488D">
        <w:rPr>
          <w:rStyle w:val="hps"/>
          <w:rFonts w:cs="Arial"/>
          <w:color w:val="000000" w:themeColor="text1"/>
        </w:rPr>
        <w:t>Estimările</w:t>
      </w:r>
      <w:r w:rsidRPr="00E0488D">
        <w:t xml:space="preserve"> </w:t>
      </w:r>
      <w:r w:rsidRPr="00E0488D">
        <w:rPr>
          <w:rStyle w:val="hps"/>
          <w:rFonts w:cs="Arial"/>
          <w:color w:val="000000" w:themeColor="text1"/>
        </w:rPr>
        <w:t>făcute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2007</w:t>
      </w:r>
      <w:r w:rsidRPr="00E0488D">
        <w:t xml:space="preserve"> iau în considerare ponderea </w:t>
      </w:r>
      <w:r w:rsidRPr="00E0488D">
        <w:rPr>
          <w:rStyle w:val="hps"/>
          <w:rFonts w:cs="Arial"/>
          <w:color w:val="000000" w:themeColor="text1"/>
        </w:rPr>
        <w:t>industriei logistice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la </w:t>
      </w:r>
      <w:r w:rsidRPr="00E0488D">
        <w:rPr>
          <w:rStyle w:val="hps"/>
          <w:rFonts w:cs="Arial"/>
          <w:color w:val="000000" w:themeColor="text1"/>
        </w:rPr>
        <w:t>9,7</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PIB</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este cu aproximativ</w:t>
      </w:r>
      <w:r w:rsidRPr="00E0488D">
        <w:t xml:space="preserve"> </w:t>
      </w:r>
      <w:r w:rsidRPr="00E0488D">
        <w:rPr>
          <w:rStyle w:val="hps"/>
          <w:rFonts w:cs="Arial"/>
          <w:color w:val="000000" w:themeColor="text1"/>
        </w:rPr>
        <w:t>50% mai mică</w:t>
      </w:r>
      <w:r w:rsidRPr="00E0488D">
        <w:t xml:space="preserve"> </w:t>
      </w:r>
      <w:r w:rsidRPr="00E0488D">
        <w:rPr>
          <w:rStyle w:val="hps"/>
          <w:rFonts w:cs="Arial"/>
          <w:color w:val="000000" w:themeColor="text1"/>
        </w:rPr>
        <w:t>decât media</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Europa</w:t>
      </w:r>
      <w:r w:rsidRPr="00E0488D">
        <w:t xml:space="preserve"> </w:t>
      </w:r>
      <w:r w:rsidRPr="00E0488D">
        <w:rPr>
          <w:rStyle w:val="hps"/>
          <w:rFonts w:cs="Arial"/>
          <w:color w:val="000000" w:themeColor="text1"/>
        </w:rPr>
        <w:t>(</w:t>
      </w:r>
      <w:r w:rsidRPr="00E0488D">
        <w:t xml:space="preserve">aproape </w:t>
      </w:r>
      <w:r w:rsidRPr="00E0488D">
        <w:rPr>
          <w:rStyle w:val="hps"/>
          <w:rFonts w:cs="Arial"/>
          <w:color w:val="000000" w:themeColor="text1"/>
        </w:rPr>
        <w:t>14</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PIB</w:t>
      </w:r>
      <w:r w:rsidRPr="00E0488D">
        <w:t xml:space="preserve">). </w:t>
      </w:r>
      <w:r w:rsidRPr="00E0488D">
        <w:rPr>
          <w:rStyle w:val="hps"/>
          <w:rFonts w:cs="Arial"/>
          <w:color w:val="000000" w:themeColor="text1"/>
        </w:rPr>
        <w:t>(</w:t>
      </w:r>
      <w:r w:rsidRPr="00E0488D">
        <w:t xml:space="preserve">Sursa: </w:t>
      </w:r>
      <w:r w:rsidRPr="00E0488D">
        <w:rPr>
          <w:rStyle w:val="hps"/>
          <w:rFonts w:cs="Arial"/>
          <w:color w:val="000000" w:themeColor="text1"/>
        </w:rPr>
        <w:t>"</w:t>
      </w:r>
      <w:r w:rsidRPr="00E0488D">
        <w:t xml:space="preserve">Plan </w:t>
      </w:r>
      <w:r w:rsidRPr="00E0488D">
        <w:rPr>
          <w:rStyle w:val="hps"/>
          <w:rFonts w:cs="Arial"/>
          <w:color w:val="000000" w:themeColor="text1"/>
        </w:rPr>
        <w:t>de acțiune privind logistica</w:t>
      </w:r>
      <w:r w:rsidRPr="00E0488D">
        <w:t xml:space="preserve"> </w:t>
      </w:r>
      <w:r w:rsidRPr="00E0488D">
        <w:rPr>
          <w:rStyle w:val="hps"/>
          <w:rFonts w:cs="Arial"/>
          <w:color w:val="000000" w:themeColor="text1"/>
        </w:rPr>
        <w:t>transportului de marfă</w:t>
      </w:r>
      <w:r w:rsidRPr="00E0488D">
        <w:t xml:space="preserve">", </w:t>
      </w:r>
      <w:r w:rsidRPr="00E0488D">
        <w:rPr>
          <w:rStyle w:val="hps"/>
          <w:rFonts w:cs="Arial"/>
          <w:color w:val="000000" w:themeColor="text1"/>
        </w:rPr>
        <w:t>COM</w:t>
      </w:r>
      <w:r w:rsidRPr="00E0488D">
        <w:t xml:space="preserve"> </w:t>
      </w:r>
      <w:r w:rsidRPr="00E0488D">
        <w:rPr>
          <w:rStyle w:val="hps"/>
          <w:rFonts w:cs="Arial"/>
          <w:color w:val="000000" w:themeColor="text1"/>
        </w:rPr>
        <w:t>(</w:t>
      </w:r>
      <w:r w:rsidRPr="00E0488D">
        <w:t xml:space="preserve">2007) </w:t>
      </w:r>
      <w:r w:rsidRPr="00E0488D">
        <w:rPr>
          <w:rStyle w:val="hps"/>
          <w:rFonts w:cs="Arial"/>
          <w:color w:val="000000" w:themeColor="text1"/>
        </w:rPr>
        <w:t>final</w:t>
      </w:r>
      <w:r w:rsidRPr="00E0488D">
        <w:t xml:space="preserve">, </w:t>
      </w:r>
      <w:r w:rsidRPr="00E0488D">
        <w:rPr>
          <w:rStyle w:val="hps"/>
          <w:rFonts w:cs="Arial"/>
          <w:color w:val="000000" w:themeColor="text1"/>
        </w:rPr>
        <w:t>Comisia Comunităților</w:t>
      </w:r>
      <w:r w:rsidRPr="00E0488D">
        <w:t xml:space="preserve"> </w:t>
      </w:r>
      <w:r w:rsidRPr="00E0488D">
        <w:rPr>
          <w:rStyle w:val="hps"/>
          <w:rFonts w:cs="Arial"/>
          <w:color w:val="000000" w:themeColor="text1"/>
        </w:rPr>
        <w:t>Europene).</w:t>
      </w:r>
    </w:p>
    <w:p w:rsidR="00BD59B2" w:rsidRPr="00E0488D" w:rsidRDefault="00BD59B2" w:rsidP="002B7E09">
      <w:pPr>
        <w:pStyle w:val="NumberedParas"/>
        <w:rPr>
          <w:lang w:eastAsia="en-GB"/>
        </w:rPr>
      </w:pPr>
      <w:r w:rsidRPr="00E0488D">
        <w:rPr>
          <w:rStyle w:val="hps"/>
          <w:rFonts w:cs="Arial"/>
          <w:color w:val="000000" w:themeColor="text1"/>
        </w:rPr>
        <w:t>Concluzia</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fie</w:t>
      </w:r>
      <w:r w:rsidRPr="00E0488D">
        <w:t xml:space="preserve"> </w:t>
      </w:r>
      <w:r w:rsidRPr="00E0488D">
        <w:rPr>
          <w:rStyle w:val="hps"/>
          <w:rFonts w:cs="Arial"/>
          <w:color w:val="000000" w:themeColor="text1"/>
        </w:rPr>
        <w:t>baza de cost</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 mult mai mică</w:t>
      </w:r>
      <w:r w:rsidRPr="00E0488D">
        <w:t xml:space="preserve"> </w:t>
      </w:r>
      <w:r w:rsidRPr="00E0488D">
        <w:rPr>
          <w:rStyle w:val="hps"/>
          <w:rFonts w:cs="Arial"/>
          <w:color w:val="000000" w:themeColor="text1"/>
        </w:rPr>
        <w:t>decât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alte țări din UE</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industria de logistică</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bine</w:t>
      </w:r>
      <w:r w:rsidRPr="00E0488D">
        <w:t xml:space="preserve"> </w:t>
      </w:r>
      <w:r w:rsidRPr="00E0488D">
        <w:rPr>
          <w:rStyle w:val="hps"/>
          <w:rFonts w:cs="Arial"/>
          <w:color w:val="000000" w:themeColor="text1"/>
        </w:rPr>
        <w:t>dezvoltată</w:t>
      </w:r>
      <w:r w:rsidRPr="00E0488D">
        <w:t xml:space="preserve"> </w:t>
      </w:r>
      <w:r w:rsidRPr="00E0488D">
        <w:rPr>
          <w:rStyle w:val="hps"/>
          <w:rFonts w:cs="Arial"/>
          <w:color w:val="000000" w:themeColor="text1"/>
        </w:rPr>
        <w:t>și</w:t>
      </w:r>
      <w:r w:rsidRPr="00E0488D">
        <w:t xml:space="preserve">, prin urmare, </w:t>
      </w:r>
      <w:r w:rsidRPr="00E0488D">
        <w:rPr>
          <w:rStyle w:val="hps"/>
          <w:rFonts w:cs="Arial"/>
          <w:color w:val="000000" w:themeColor="text1"/>
        </w:rPr>
        <w:t>nu</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în serviciul</w:t>
      </w:r>
      <w:r w:rsidRPr="00E0488D">
        <w:t xml:space="preserve"> </w:t>
      </w:r>
      <w:r w:rsidRPr="00E0488D">
        <w:rPr>
          <w:rStyle w:val="hps"/>
          <w:rFonts w:cs="Arial"/>
          <w:color w:val="000000" w:themeColor="text1"/>
        </w:rPr>
        <w:t xml:space="preserve">economiei, precum </w:t>
      </w:r>
      <w:r w:rsidRPr="00E0488D">
        <w:t xml:space="preserve">ar putea. </w:t>
      </w:r>
      <w:r w:rsidRPr="00E0488D">
        <w:rPr>
          <w:rStyle w:val="hps"/>
          <w:rFonts w:cs="Arial"/>
          <w:color w:val="000000" w:themeColor="text1"/>
        </w:rPr>
        <w:t>Înțelegerea noastră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ambii factori</w:t>
      </w:r>
      <w:r w:rsidRPr="00E0488D">
        <w:t xml:space="preserve"> </w:t>
      </w:r>
      <w:r w:rsidRPr="00E0488D">
        <w:rPr>
          <w:rStyle w:val="hps"/>
          <w:rFonts w:cs="Arial"/>
          <w:color w:val="000000" w:themeColor="text1"/>
        </w:rPr>
        <w:t>sunt adevărați</w:t>
      </w:r>
      <w:r w:rsidRPr="00E0488D">
        <w:t xml:space="preserve">. În baza </w:t>
      </w:r>
      <w:r w:rsidRPr="00E0488D">
        <w:rPr>
          <w:rStyle w:val="hps"/>
          <w:rFonts w:cs="Arial"/>
          <w:color w:val="000000" w:themeColor="text1"/>
        </w:rPr>
        <w:t>acelorași principii de</w:t>
      </w:r>
      <w:r w:rsidRPr="00E0488D">
        <w:t xml:space="preserve"> </w:t>
      </w:r>
      <w:r w:rsidRPr="00E0488D">
        <w:rPr>
          <w:rStyle w:val="hps"/>
          <w:rFonts w:cs="Arial"/>
          <w:color w:val="000000" w:themeColor="text1"/>
        </w:rPr>
        <w:t>cost,</w:t>
      </w:r>
      <w:r w:rsidRPr="00E0488D">
        <w:t xml:space="preserve"> </w:t>
      </w:r>
      <w:r w:rsidRPr="00E0488D">
        <w:rPr>
          <w:rStyle w:val="hps"/>
          <w:rFonts w:cs="Arial"/>
          <w:color w:val="000000" w:themeColor="text1"/>
        </w:rPr>
        <w:t>timp</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 reducere a riscurilor</w:t>
      </w:r>
      <w:r w:rsidRPr="00E0488D">
        <w:t xml:space="preserve">, </w:t>
      </w:r>
      <w:r w:rsidRPr="00E0488D">
        <w:rPr>
          <w:rStyle w:val="hps"/>
          <w:rFonts w:cs="Arial"/>
          <w:color w:val="000000" w:themeColor="text1"/>
        </w:rPr>
        <w:t>lanțurile de aprovizionare</w:t>
      </w:r>
      <w:r w:rsidRPr="00E0488D">
        <w:t xml:space="preserve"> </w:t>
      </w:r>
      <w:r w:rsidRPr="00E0488D">
        <w:rPr>
          <w:rStyle w:val="hps"/>
          <w:rFonts w:cs="Arial"/>
          <w:color w:val="000000" w:themeColor="text1"/>
        </w:rPr>
        <w:t>logistică</w:t>
      </w:r>
      <w:r w:rsidRPr="00E0488D">
        <w:t xml:space="preserve"> </w:t>
      </w:r>
      <w:r w:rsidRPr="00E0488D">
        <w:rPr>
          <w:rStyle w:val="hps"/>
          <w:rFonts w:cs="Arial"/>
          <w:color w:val="000000" w:themeColor="text1"/>
        </w:rPr>
        <w:t>încearcă să</w:t>
      </w:r>
      <w:r w:rsidRPr="00E0488D">
        <w:t xml:space="preserve"> livreze </w:t>
      </w:r>
      <w:r w:rsidRPr="00E0488D">
        <w:rPr>
          <w:rStyle w:val="hps"/>
          <w:rFonts w:cs="Arial"/>
          <w:color w:val="000000" w:themeColor="text1"/>
        </w:rPr>
        <w:t>mărfurile pe</w:t>
      </w:r>
      <w:r w:rsidRPr="00E0488D">
        <w:t xml:space="preserve"> </w:t>
      </w:r>
      <w:r w:rsidRPr="00E0488D">
        <w:rPr>
          <w:rStyle w:val="hps"/>
          <w:rFonts w:cs="Arial"/>
          <w:color w:val="000000" w:themeColor="text1"/>
        </w:rPr>
        <w:t>"</w:t>
      </w:r>
      <w:r w:rsidRPr="00E0488D">
        <w:t xml:space="preserve">calea cu </w:t>
      </w:r>
      <w:r w:rsidRPr="00E0488D">
        <w:rPr>
          <w:rStyle w:val="hps"/>
          <w:rFonts w:cs="Arial"/>
          <w:color w:val="000000" w:themeColor="text1"/>
        </w:rPr>
        <w:t>cea mai mică rezistență</w:t>
      </w:r>
      <w:r w:rsidRPr="00E0488D">
        <w:t xml:space="preserve">". </w:t>
      </w:r>
      <w:r w:rsidRPr="00E0488D">
        <w:rPr>
          <w:rStyle w:val="hps"/>
          <w:rFonts w:cs="Arial"/>
          <w:color w:val="000000" w:themeColor="text1"/>
        </w:rPr>
        <w:t>Țările</w:t>
      </w:r>
      <w:r w:rsidRPr="00E0488D">
        <w:t xml:space="preserve"> </w:t>
      </w:r>
      <w:r w:rsidRPr="00E0488D">
        <w:rPr>
          <w:rStyle w:val="hps"/>
          <w:rFonts w:cs="Arial"/>
          <w:color w:val="000000" w:themeColor="text1"/>
        </w:rPr>
        <w:t>care reduc</w:t>
      </w:r>
      <w:r w:rsidRPr="00E0488D">
        <w:t xml:space="preserve"> </w:t>
      </w:r>
      <w:r w:rsidRPr="00E0488D">
        <w:rPr>
          <w:rStyle w:val="hps"/>
          <w:rFonts w:cs="Arial"/>
          <w:color w:val="000000" w:themeColor="text1"/>
        </w:rPr>
        <w:t>barierele în calea comerțului</w:t>
      </w:r>
      <w:r w:rsidRPr="00E0488D">
        <w:t xml:space="preserve"> </w:t>
      </w:r>
      <w:r w:rsidRPr="00E0488D">
        <w:rPr>
          <w:rStyle w:val="hps"/>
          <w:rFonts w:cs="Arial"/>
          <w:color w:val="000000" w:themeColor="text1"/>
        </w:rPr>
        <w:t>adoptă proceduri</w:t>
      </w:r>
      <w:r w:rsidRPr="00E0488D">
        <w:t xml:space="preserve"> </w:t>
      </w:r>
      <w:r w:rsidRPr="00E0488D">
        <w:rPr>
          <w:rStyle w:val="hps"/>
          <w:rFonts w:cs="Arial"/>
          <w:color w:val="000000" w:themeColor="text1"/>
        </w:rPr>
        <w:t>vamale simple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eficiente</w:t>
      </w:r>
      <w:r w:rsidRPr="00E0488D">
        <w:t xml:space="preserve"> </w:t>
      </w:r>
      <w:r w:rsidRPr="00E0488D">
        <w:rPr>
          <w:rStyle w:val="hps"/>
          <w:rFonts w:cs="Arial"/>
          <w:color w:val="000000" w:themeColor="text1"/>
        </w:rPr>
        <w:t>și au</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bune</w:t>
      </w:r>
      <w:r w:rsidRPr="00E0488D">
        <w:t xml:space="preserve"> </w:t>
      </w:r>
      <w:r w:rsidRPr="00E0488D">
        <w:rPr>
          <w:rStyle w:val="hps"/>
          <w:rFonts w:cs="Arial"/>
          <w:color w:val="000000" w:themeColor="text1"/>
        </w:rPr>
        <w:t>de infrastructură de transport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eficiente</w:t>
      </w:r>
      <w:r w:rsidRPr="00E0488D">
        <w:t xml:space="preserve"> </w:t>
      </w:r>
      <w:r w:rsidRPr="00E0488D">
        <w:rPr>
          <w:rStyle w:val="hps"/>
          <w:rFonts w:cs="Arial"/>
          <w:color w:val="000000" w:themeColor="text1"/>
        </w:rPr>
        <w:t>care să atragă</w:t>
      </w:r>
      <w:r w:rsidRPr="00E0488D">
        <w:t xml:space="preserve"> </w:t>
      </w:r>
      <w:r w:rsidRPr="00E0488D">
        <w:rPr>
          <w:rStyle w:val="hps"/>
          <w:rFonts w:cs="Arial"/>
          <w:color w:val="000000" w:themeColor="text1"/>
        </w:rPr>
        <w:t>transportul</w:t>
      </w:r>
      <w:r w:rsidRPr="00E0488D">
        <w:t xml:space="preserve"> </w:t>
      </w:r>
      <w:r w:rsidRPr="00E0488D">
        <w:rPr>
          <w:rStyle w:val="hps"/>
          <w:rFonts w:cs="Arial"/>
          <w:color w:val="000000" w:themeColor="text1"/>
        </w:rPr>
        <w:t>de marfă.</w:t>
      </w:r>
    </w:p>
    <w:p w:rsidR="00BD59B2" w:rsidRPr="00E0488D" w:rsidRDefault="00BD59B2" w:rsidP="002B7E09">
      <w:pPr>
        <w:pStyle w:val="NumberedParas"/>
        <w:rPr>
          <w:lang w:eastAsia="en-GB"/>
        </w:rPr>
      </w:pPr>
      <w:r w:rsidRPr="00E0488D">
        <w:rPr>
          <w:rStyle w:val="hps"/>
          <w:rFonts w:cs="Arial"/>
          <w:color w:val="000000" w:themeColor="text1"/>
        </w:rPr>
        <w:t>Containerizarea s-a dezvoltat rapid în</w:t>
      </w:r>
      <w:r w:rsidRPr="00E0488D">
        <w:t xml:space="preserve"> </w:t>
      </w:r>
      <w:r w:rsidRPr="00E0488D">
        <w:rPr>
          <w:rStyle w:val="hps"/>
          <w:rFonts w:cs="Arial"/>
          <w:color w:val="000000" w:themeColor="text1"/>
        </w:rPr>
        <w:t>ultimii cincizeci de ani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 înlocuit</w:t>
      </w:r>
      <w:r w:rsidRPr="00E0488D">
        <w:t xml:space="preserve"> </w:t>
      </w:r>
      <w:r w:rsidRPr="00E0488D">
        <w:rPr>
          <w:rStyle w:val="hps"/>
          <w:rFonts w:cs="Arial"/>
          <w:color w:val="000000" w:themeColor="text1"/>
        </w:rPr>
        <w:t>formele tradiționale de</w:t>
      </w:r>
      <w:r w:rsidRPr="00E0488D">
        <w:t xml:space="preserve"> </w:t>
      </w:r>
      <w:r w:rsidRPr="00E0488D">
        <w:rPr>
          <w:rStyle w:val="hps"/>
          <w:rFonts w:cs="Arial"/>
          <w:color w:val="000000" w:themeColor="text1"/>
        </w:rPr>
        <w:t>transport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mai multe</w:t>
      </w:r>
      <w:r w:rsidRPr="00E0488D">
        <w:t xml:space="preserve"> </w:t>
      </w:r>
      <w:r w:rsidRPr="00E0488D">
        <w:rPr>
          <w:rStyle w:val="hps"/>
          <w:rFonts w:cs="Arial"/>
          <w:color w:val="000000" w:themeColor="text1"/>
        </w:rPr>
        <w:t>tipuri de</w:t>
      </w:r>
      <w:r w:rsidRPr="00E0488D">
        <w:t xml:space="preserve"> </w:t>
      </w:r>
      <w:r w:rsidRPr="00E0488D">
        <w:rPr>
          <w:rStyle w:val="hps"/>
          <w:rFonts w:cs="Arial"/>
          <w:color w:val="000000" w:themeColor="text1"/>
        </w:rPr>
        <w:t>mărfuri</w:t>
      </w:r>
      <w:r w:rsidRPr="00E0488D">
        <w:t xml:space="preserve">, dar </w:t>
      </w:r>
      <w:r w:rsidRPr="00E0488D">
        <w:rPr>
          <w:rStyle w:val="hps"/>
          <w:rFonts w:cs="Arial"/>
          <w:color w:val="000000" w:themeColor="text1"/>
        </w:rPr>
        <w:t>mai ales</w:t>
      </w:r>
      <w:r w:rsidRPr="00E0488D">
        <w:t xml:space="preserve"> </w:t>
      </w:r>
      <w:r w:rsidRPr="00E0488D">
        <w:rPr>
          <w:rStyle w:val="hps"/>
          <w:rFonts w:cs="Arial"/>
          <w:color w:val="000000" w:themeColor="text1"/>
        </w:rPr>
        <w:t>produse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bunuri de larg consum</w:t>
      </w:r>
      <w:r w:rsidRPr="00E0488D">
        <w:t xml:space="preserve">. </w:t>
      </w:r>
      <w:r w:rsidRPr="00E0488D">
        <w:rPr>
          <w:rStyle w:val="hps"/>
          <w:rFonts w:cs="Arial"/>
          <w:color w:val="000000" w:themeColor="text1"/>
        </w:rPr>
        <w:t>Modele</w:t>
      </w:r>
      <w:r w:rsidRPr="00E0488D">
        <w:t xml:space="preserve"> </w:t>
      </w:r>
      <w:r w:rsidRPr="00E0488D">
        <w:rPr>
          <w:rStyle w:val="hps"/>
          <w:rFonts w:cs="Arial"/>
          <w:color w:val="000000" w:themeColor="text1"/>
        </w:rPr>
        <w:t>comerciale</w:t>
      </w:r>
      <w:r w:rsidRPr="00E0488D">
        <w:t xml:space="preserve"> </w:t>
      </w:r>
      <w:r w:rsidRPr="00E0488D">
        <w:rPr>
          <w:rStyle w:val="hps"/>
          <w:rFonts w:cs="Arial"/>
          <w:color w:val="000000" w:themeColor="text1"/>
        </w:rPr>
        <w:t>s-au schimbat</w:t>
      </w:r>
      <w:r w:rsidRPr="00E0488D">
        <w:t xml:space="preserve">, de asemenea, </w:t>
      </w:r>
      <w:r w:rsidRPr="00E0488D">
        <w:rPr>
          <w:rStyle w:val="hps"/>
          <w:rFonts w:cs="Arial"/>
          <w:color w:val="000000" w:themeColor="text1"/>
        </w:rPr>
        <w:t>în această perioadă</w:t>
      </w:r>
      <w:r w:rsidRPr="00E0488D">
        <w:t xml:space="preserve">, iar acum </w:t>
      </w:r>
      <w:r w:rsidRPr="00E0488D">
        <w:rPr>
          <w:rStyle w:val="hps"/>
          <w:rFonts w:cs="Arial"/>
          <w:color w:val="000000" w:themeColor="text1"/>
        </w:rPr>
        <w:t>70</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toate</w:t>
      </w:r>
      <w:r w:rsidRPr="00E0488D">
        <w:t xml:space="preserve"> </w:t>
      </w:r>
      <w:r w:rsidRPr="00E0488D">
        <w:rPr>
          <w:rStyle w:val="hps"/>
          <w:rFonts w:cs="Arial"/>
          <w:color w:val="000000" w:themeColor="text1"/>
        </w:rPr>
        <w:t>mărfurile containerizate</w:t>
      </w:r>
      <w:r w:rsidRPr="00E0488D">
        <w:t xml:space="preserve"> </w:t>
      </w:r>
      <w:r w:rsidRPr="00E0488D">
        <w:rPr>
          <w:rStyle w:val="hps"/>
          <w:rFonts w:cs="Arial"/>
          <w:color w:val="000000" w:themeColor="text1"/>
        </w:rPr>
        <w:t>care sosesc în Europa</w:t>
      </w:r>
      <w:r w:rsidRPr="00E0488D">
        <w:t xml:space="preserve"> </w:t>
      </w:r>
      <w:r w:rsidRPr="00E0488D">
        <w:rPr>
          <w:rStyle w:val="hps"/>
          <w:rFonts w:cs="Arial"/>
          <w:color w:val="000000" w:themeColor="text1"/>
        </w:rPr>
        <w:t>provin în principal</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Asia</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competiție</w:t>
      </w:r>
      <w:r w:rsidRPr="00E0488D">
        <w:t xml:space="preserve"> </w:t>
      </w:r>
      <w:r w:rsidRPr="00E0488D">
        <w:rPr>
          <w:rStyle w:val="hps"/>
          <w:rFonts w:cs="Arial"/>
          <w:color w:val="000000" w:themeColor="text1"/>
        </w:rPr>
        <w:t>puternică</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multe țări</w:t>
      </w:r>
      <w:r w:rsidRPr="00E0488D">
        <w:t xml:space="preserve"> </w:t>
      </w:r>
      <w:r w:rsidRPr="00E0488D">
        <w:rPr>
          <w:rStyle w:val="hps"/>
          <w:rFonts w:cs="Arial"/>
          <w:color w:val="000000" w:themeColor="text1"/>
        </w:rPr>
        <w:t>din Europa de Sud</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Europa de Est</w:t>
      </w:r>
      <w:r w:rsidRPr="00E0488D">
        <w:t xml:space="preserve"> </w:t>
      </w:r>
      <w:r w:rsidRPr="00E0488D">
        <w:rPr>
          <w:rStyle w:val="hps"/>
          <w:rFonts w:cs="Arial"/>
          <w:color w:val="000000" w:themeColor="text1"/>
        </w:rPr>
        <w:t>pentru a deveni</w:t>
      </w:r>
      <w:r w:rsidRPr="00E0488D">
        <w:t xml:space="preserve"> </w:t>
      </w:r>
      <w:r w:rsidRPr="00E0488D">
        <w:rPr>
          <w:rStyle w:val="hps"/>
          <w:rFonts w:cs="Arial"/>
          <w:color w:val="000000" w:themeColor="text1"/>
        </w:rPr>
        <w:t>o locație</w:t>
      </w:r>
      <w:r w:rsidRPr="00E0488D">
        <w:t xml:space="preserve"> </w:t>
      </w:r>
      <w:r w:rsidRPr="00E0488D">
        <w:rPr>
          <w:rStyle w:val="hps"/>
          <w:rFonts w:cs="Arial"/>
          <w:color w:val="000000" w:themeColor="text1"/>
        </w:rPr>
        <w:t>preferată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alimentarea</w:t>
      </w:r>
      <w:r w:rsidRPr="00E0488D">
        <w:t xml:space="preserve"> </w:t>
      </w:r>
      <w:r w:rsidRPr="00E0488D">
        <w:rPr>
          <w:rStyle w:val="hps"/>
          <w:rFonts w:cs="Arial"/>
          <w:color w:val="000000" w:themeColor="text1"/>
        </w:rPr>
        <w:t>bunurilor</w:t>
      </w:r>
      <w:r w:rsidRPr="00E0488D">
        <w:t xml:space="preserve"> </w:t>
      </w:r>
      <w:r w:rsidRPr="00E0488D">
        <w:rPr>
          <w:rStyle w:val="hps"/>
          <w:rFonts w:cs="Arial"/>
          <w:color w:val="000000" w:themeColor="text1"/>
        </w:rPr>
        <w:t>spre centrul Europei</w:t>
      </w:r>
      <w:r w:rsidRPr="00E0488D">
        <w:t xml:space="preserve">, </w:t>
      </w:r>
      <w:r w:rsidRPr="00E0488D">
        <w:rPr>
          <w:rStyle w:val="hps"/>
          <w:rFonts w:cs="Arial"/>
          <w:color w:val="000000" w:themeColor="text1"/>
        </w:rPr>
        <w:t>datorită</w:t>
      </w:r>
      <w:r w:rsidRPr="00E0488D">
        <w:t xml:space="preserve"> </w:t>
      </w:r>
      <w:r w:rsidRPr="00E0488D">
        <w:rPr>
          <w:rStyle w:val="hps"/>
          <w:rFonts w:cs="Arial"/>
          <w:color w:val="000000" w:themeColor="text1"/>
        </w:rPr>
        <w:t>apropierii sale de</w:t>
      </w:r>
      <w:r w:rsidRPr="00E0488D">
        <w:t xml:space="preserve"> </w:t>
      </w:r>
      <w:r w:rsidRPr="00E0488D">
        <w:rPr>
          <w:rStyle w:val="hps"/>
          <w:rFonts w:cs="Arial"/>
          <w:color w:val="000000" w:themeColor="text1"/>
        </w:rPr>
        <w:t>Canalul</w:t>
      </w:r>
      <w:r w:rsidRPr="00E0488D">
        <w:t xml:space="preserve"> </w:t>
      </w:r>
      <w:r w:rsidRPr="00E0488D">
        <w:rPr>
          <w:rStyle w:val="hps"/>
          <w:rFonts w:cs="Arial"/>
          <w:color w:val="000000" w:themeColor="text1"/>
        </w:rPr>
        <w:t>Suez</w:t>
      </w:r>
      <w:r w:rsidRPr="00E0488D">
        <w:t xml:space="preserve">, din punct de vedere al </w:t>
      </w:r>
      <w:r w:rsidRPr="00E0488D">
        <w:rPr>
          <w:rStyle w:val="hps"/>
          <w:rFonts w:cs="Arial"/>
          <w:color w:val="000000" w:themeColor="text1"/>
        </w:rPr>
        <w:t>timpului de</w:t>
      </w:r>
      <w:r w:rsidRPr="00E0488D">
        <w:t xml:space="preserve"> </w:t>
      </w:r>
      <w:r w:rsidRPr="00E0488D">
        <w:rPr>
          <w:rStyle w:val="hps"/>
          <w:rFonts w:cs="Arial"/>
          <w:color w:val="000000" w:themeColor="text1"/>
        </w:rPr>
        <w:t>navigare</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w:t>
      </w:r>
      <w:r w:rsidRPr="00E0488D">
        <w:t xml:space="preserve">, de asemenea, </w:t>
      </w:r>
      <w:r w:rsidRPr="00E0488D">
        <w:rPr>
          <w:rStyle w:val="hps"/>
          <w:rFonts w:cs="Arial"/>
          <w:color w:val="000000" w:themeColor="text1"/>
        </w:rPr>
        <w:t>bine</w:t>
      </w:r>
      <w:r w:rsidRPr="00E0488D">
        <w:t xml:space="preserve"> </w:t>
      </w:r>
      <w:r w:rsidRPr="00E0488D">
        <w:rPr>
          <w:rStyle w:val="hps"/>
          <w:rFonts w:cs="Arial"/>
          <w:color w:val="000000" w:themeColor="text1"/>
        </w:rPr>
        <w:t>plasată</w:t>
      </w:r>
      <w:r w:rsidRPr="00E0488D">
        <w:t xml:space="preserve"> </w:t>
      </w:r>
      <w:r w:rsidRPr="00E0488D">
        <w:rPr>
          <w:rStyle w:val="hps"/>
          <w:rFonts w:cs="Arial"/>
          <w:color w:val="000000" w:themeColor="text1"/>
        </w:rPr>
        <w:t>pentru a atrage</w:t>
      </w:r>
      <w:r w:rsidRPr="00E0488D">
        <w:t xml:space="preserve"> </w:t>
      </w:r>
      <w:r w:rsidRPr="00E0488D">
        <w:rPr>
          <w:rStyle w:val="hps"/>
          <w:rFonts w:cs="Arial"/>
          <w:color w:val="000000" w:themeColor="text1"/>
        </w:rPr>
        <w:t>investiții străine</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ansamblarea produselor</w:t>
      </w:r>
      <w:r w:rsidRPr="00E0488D">
        <w:t xml:space="preserve"> </w:t>
      </w:r>
      <w:r w:rsidRPr="00E0488D">
        <w:rPr>
          <w:rStyle w:val="hps"/>
          <w:rFonts w:cs="Arial"/>
          <w:color w:val="000000" w:themeColor="text1"/>
        </w:rPr>
        <w:t>de fabricație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activitățile care sunt legate de</w:t>
      </w:r>
      <w:r w:rsidRPr="00E0488D">
        <w:t xml:space="preserve"> </w:t>
      </w:r>
      <w:r w:rsidRPr="00E0488D">
        <w:rPr>
          <w:rStyle w:val="hps"/>
          <w:rFonts w:cs="Arial"/>
          <w:color w:val="000000" w:themeColor="text1"/>
        </w:rPr>
        <w:t>logistică</w:t>
      </w:r>
      <w:r w:rsidRPr="00E0488D">
        <w:t xml:space="preserve"> </w:t>
      </w:r>
      <w:r w:rsidRPr="00E0488D">
        <w:rPr>
          <w:rStyle w:val="hps"/>
          <w:rFonts w:cs="Arial"/>
          <w:color w:val="000000" w:themeColor="text1"/>
        </w:rPr>
        <w:t>datorită costurilor</w:t>
      </w:r>
      <w:r w:rsidRPr="00E0488D">
        <w:t xml:space="preserve"> </w:t>
      </w:r>
      <w:r w:rsidRPr="00E0488D">
        <w:rPr>
          <w:rStyle w:val="hps"/>
          <w:rFonts w:cs="Arial"/>
          <w:color w:val="000000" w:themeColor="text1"/>
        </w:rPr>
        <w:t>relativ</w:t>
      </w:r>
      <w:r w:rsidRPr="00E0488D">
        <w:t xml:space="preserve"> </w:t>
      </w:r>
      <w:r w:rsidRPr="00E0488D">
        <w:rPr>
          <w:rStyle w:val="hps"/>
          <w:rFonts w:cs="Arial"/>
          <w:color w:val="000000" w:themeColor="text1"/>
        </w:rPr>
        <w:t>scăzute</w:t>
      </w:r>
      <w:r w:rsidRPr="00E0488D">
        <w:t xml:space="preserve"> </w:t>
      </w:r>
      <w:r w:rsidRPr="00E0488D">
        <w:rPr>
          <w:rStyle w:val="hps"/>
          <w:rFonts w:cs="Arial"/>
          <w:color w:val="000000" w:themeColor="text1"/>
        </w:rPr>
        <w:t>pentru forța</w:t>
      </w:r>
      <w:r w:rsidRPr="00E0488D">
        <w:t xml:space="preserve"> </w:t>
      </w:r>
      <w:r w:rsidRPr="00E0488D">
        <w:rPr>
          <w:rStyle w:val="hps"/>
          <w:rFonts w:cs="Arial"/>
          <w:color w:val="000000" w:themeColor="text1"/>
        </w:rPr>
        <w:t>de muncă</w:t>
      </w:r>
      <w:r w:rsidRPr="00E0488D">
        <w:t xml:space="preserve">, dar </w:t>
      </w:r>
      <w:r w:rsidRPr="00E0488D">
        <w:rPr>
          <w:rStyle w:val="hps"/>
          <w:rFonts w:cs="Arial"/>
          <w:color w:val="000000" w:themeColor="text1"/>
        </w:rPr>
        <w:t>și</w:t>
      </w:r>
      <w:r w:rsidRPr="00E0488D">
        <w:t xml:space="preserve"> </w:t>
      </w:r>
      <w:r w:rsidRPr="00E0488D">
        <w:rPr>
          <w:rStyle w:val="hps"/>
          <w:rFonts w:cs="Arial"/>
          <w:color w:val="000000" w:themeColor="text1"/>
        </w:rPr>
        <w:t>datorită faptului că este</w:t>
      </w:r>
      <w:r w:rsidRPr="00E0488D">
        <w:t xml:space="preserve"> </w:t>
      </w:r>
      <w:r w:rsidRPr="00E0488D">
        <w:rPr>
          <w:rStyle w:val="hps"/>
          <w:rFonts w:cs="Arial"/>
          <w:color w:val="000000" w:themeColor="text1"/>
        </w:rPr>
        <w:t>situată pe ruta</w:t>
      </w:r>
      <w:r w:rsidRPr="00E0488D">
        <w:t xml:space="preserve"> </w:t>
      </w:r>
      <w:r w:rsidRPr="00E0488D">
        <w:rPr>
          <w:rStyle w:val="hps"/>
          <w:rFonts w:cs="Arial"/>
          <w:color w:val="000000" w:themeColor="text1"/>
        </w:rPr>
        <w:t>de comerț</w:t>
      </w:r>
      <w:r w:rsidRPr="00E0488D">
        <w:t xml:space="preserve"> </w:t>
      </w:r>
      <w:r w:rsidRPr="00E0488D">
        <w:rPr>
          <w:rStyle w:val="hps"/>
          <w:rFonts w:cs="Arial"/>
          <w:color w:val="000000" w:themeColor="text1"/>
        </w:rPr>
        <w:t>est</w:t>
      </w:r>
      <w:r w:rsidRPr="00E0488D">
        <w:rPr>
          <w:rStyle w:val="atn"/>
          <w:rFonts w:cs="Arial"/>
          <w:color w:val="000000" w:themeColor="text1"/>
        </w:rPr>
        <w:t>-</w:t>
      </w:r>
      <w:r w:rsidRPr="00E0488D">
        <w:t>vest</w:t>
      </w:r>
      <w:r w:rsidRPr="00E0488D">
        <w:rPr>
          <w:lang w:eastAsia="en-GB"/>
        </w:rPr>
        <w:t>.</w:t>
      </w:r>
    </w:p>
    <w:p w:rsidR="00BD59B2" w:rsidRPr="00E0488D" w:rsidRDefault="00BD59B2" w:rsidP="002B7E09">
      <w:pPr>
        <w:pStyle w:val="NumberedParas"/>
        <w:rPr>
          <w:lang w:eastAsia="en-GB"/>
        </w:rPr>
      </w:pPr>
      <w:r w:rsidRPr="00E0488D">
        <w:rPr>
          <w:rStyle w:val="hps"/>
          <w:rFonts w:cs="Arial"/>
          <w:color w:val="000000" w:themeColor="text1"/>
        </w:rPr>
        <w:t>Pe lângă</w:t>
      </w:r>
      <w:r w:rsidRPr="00E0488D">
        <w:t xml:space="preserve"> </w:t>
      </w:r>
      <w:r w:rsidRPr="00E0488D">
        <w:rPr>
          <w:rStyle w:val="hps"/>
          <w:rFonts w:cs="Arial"/>
          <w:color w:val="000000" w:themeColor="text1"/>
        </w:rPr>
        <w:t>traficul</w:t>
      </w:r>
      <w:r w:rsidRPr="00E0488D">
        <w:t xml:space="preserve"> </w:t>
      </w:r>
      <w:r w:rsidRPr="00E0488D">
        <w:rPr>
          <w:rStyle w:val="hps"/>
          <w:rFonts w:cs="Arial"/>
          <w:color w:val="000000" w:themeColor="text1"/>
        </w:rPr>
        <w:t>containerizat,</w:t>
      </w:r>
      <w:r w:rsidRPr="00E0488D">
        <w:t xml:space="preserve"> </w:t>
      </w:r>
      <w:r w:rsidRPr="00E0488D">
        <w:rPr>
          <w:rStyle w:val="hps"/>
          <w:rFonts w:cs="Arial"/>
          <w:color w:val="000000" w:themeColor="text1"/>
        </w:rPr>
        <w:t>poziția</w:t>
      </w:r>
      <w:r w:rsidRPr="00E0488D">
        <w:t xml:space="preserve"> </w:t>
      </w:r>
      <w:r w:rsidRPr="00E0488D">
        <w:rPr>
          <w:rStyle w:val="hps"/>
          <w:rFonts w:cs="Arial"/>
          <w:color w:val="000000" w:themeColor="text1"/>
        </w:rPr>
        <w:t>României și</w:t>
      </w:r>
      <w:r w:rsidRPr="00E0488D">
        <w:t xml:space="preserve"> </w:t>
      </w:r>
      <w:r w:rsidRPr="00E0488D">
        <w:rPr>
          <w:rStyle w:val="hps"/>
          <w:rFonts w:cs="Arial"/>
          <w:color w:val="000000" w:themeColor="text1"/>
        </w:rPr>
        <w:t>Portul Constanța</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 TRACECA</w:t>
      </w:r>
      <w:r w:rsidRPr="00E0488D">
        <w:t xml:space="preserve"> </w:t>
      </w:r>
      <w:r w:rsidRPr="00E0488D">
        <w:rPr>
          <w:rStyle w:val="hps"/>
          <w:rFonts w:cs="Arial"/>
          <w:color w:val="000000" w:themeColor="text1"/>
        </w:rPr>
        <w:t>("</w:t>
      </w:r>
      <w:r w:rsidRPr="00E0488D">
        <w:t xml:space="preserve">drumul mătăsii") </w:t>
      </w:r>
      <w:r w:rsidRPr="00E0488D">
        <w:rPr>
          <w:rStyle w:val="hps"/>
          <w:rFonts w:cs="Arial"/>
          <w:color w:val="000000" w:themeColor="text1"/>
        </w:rPr>
        <w:t>plasează</w:t>
      </w:r>
      <w:r w:rsidRPr="00E0488D">
        <w:t xml:space="preserve"> </w:t>
      </w:r>
      <w:r w:rsidRPr="00E0488D">
        <w:rPr>
          <w:rStyle w:val="hps"/>
          <w:rFonts w:cs="Arial"/>
          <w:color w:val="000000" w:themeColor="text1"/>
        </w:rPr>
        <w:t>țara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într-o poziție</w:t>
      </w:r>
      <w:r w:rsidRPr="00E0488D">
        <w:t xml:space="preserve"> </w:t>
      </w:r>
      <w:r w:rsidRPr="00E0488D">
        <w:rPr>
          <w:rStyle w:val="hps"/>
          <w:rFonts w:cs="Arial"/>
          <w:color w:val="000000" w:themeColor="text1"/>
        </w:rPr>
        <w:t>bună pentru a</w:t>
      </w:r>
      <w:r w:rsidRPr="00E0488D">
        <w:t xml:space="preserve"> </w:t>
      </w:r>
      <w:r w:rsidRPr="00E0488D">
        <w:rPr>
          <w:rStyle w:val="hps"/>
          <w:rFonts w:cs="Arial"/>
          <w:color w:val="000000" w:themeColor="text1"/>
        </w:rPr>
        <w:t>opera servicii</w:t>
      </w:r>
      <w:r w:rsidRPr="00E0488D">
        <w:t xml:space="preserve"> </w:t>
      </w:r>
      <w:r w:rsidRPr="00E0488D">
        <w:rPr>
          <w:rStyle w:val="hps"/>
          <w:rFonts w:cs="Arial"/>
          <w:color w:val="000000" w:themeColor="text1"/>
        </w:rPr>
        <w:t>Ro</w:t>
      </w:r>
      <w:r w:rsidRPr="00E0488D">
        <w:rPr>
          <w:rStyle w:val="atn"/>
          <w:rFonts w:cs="Arial"/>
          <w:color w:val="000000" w:themeColor="text1"/>
        </w:rPr>
        <w:t>-</w:t>
      </w:r>
      <w:r w:rsidRPr="00E0488D">
        <w:t>Ro de-</w:t>
      </w:r>
      <w:r w:rsidRPr="00E0488D">
        <w:rPr>
          <w:rStyle w:val="hps"/>
          <w:rFonts w:cs="Arial"/>
          <w:color w:val="000000" w:themeColor="text1"/>
        </w:rPr>
        <w:t>a lungul</w:t>
      </w:r>
      <w:r w:rsidRPr="00E0488D">
        <w:t xml:space="preserve"> </w:t>
      </w:r>
      <w:r w:rsidRPr="00E0488D">
        <w:rPr>
          <w:rStyle w:val="hps"/>
          <w:rFonts w:cs="Arial"/>
          <w:color w:val="000000" w:themeColor="text1"/>
        </w:rPr>
        <w:t>Mării Negre</w:t>
      </w:r>
      <w:r w:rsidRPr="00E0488D">
        <w:t xml:space="preserve"> </w:t>
      </w:r>
      <w:r w:rsidRPr="00E0488D">
        <w:rPr>
          <w:rStyle w:val="hps"/>
          <w:rFonts w:cs="Arial"/>
          <w:color w:val="000000" w:themeColor="text1"/>
        </w:rPr>
        <w:t>(</w:t>
      </w:r>
      <w:r w:rsidRPr="00E0488D">
        <w:t xml:space="preserve">de exemplu, </w:t>
      </w:r>
      <w:r w:rsidRPr="00E0488D">
        <w:rPr>
          <w:rStyle w:val="hps"/>
          <w:rFonts w:cs="Arial"/>
          <w:color w:val="000000" w:themeColor="text1"/>
        </w:rPr>
        <w:t>Turcia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Georgia</w:t>
      </w:r>
      <w:r w:rsidRPr="00E0488D">
        <w:t xml:space="preserve"> </w:t>
      </w:r>
      <w:r w:rsidRPr="00E0488D">
        <w:rPr>
          <w:rStyle w:val="hps"/>
          <w:rFonts w:cs="Arial"/>
          <w:color w:val="000000" w:themeColor="text1"/>
        </w:rPr>
        <w:t>)</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având în vedere timpul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economiile</w:t>
      </w:r>
      <w:r w:rsidRPr="00E0488D">
        <w:t xml:space="preserve"> </w:t>
      </w:r>
      <w:r w:rsidRPr="00E0488D">
        <w:rPr>
          <w:rStyle w:val="hps"/>
          <w:rFonts w:cs="Arial"/>
          <w:color w:val="000000" w:themeColor="text1"/>
        </w:rPr>
        <w:t>de mediu</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pot fi făcute prin</w:t>
      </w:r>
      <w:r w:rsidRPr="00E0488D">
        <w:t xml:space="preserve"> </w:t>
      </w:r>
      <w:r w:rsidRPr="00E0488D">
        <w:rPr>
          <w:rStyle w:val="hps"/>
          <w:rFonts w:cs="Arial"/>
          <w:color w:val="000000" w:themeColor="text1"/>
        </w:rPr>
        <w:t>aceste conexiuni</w:t>
      </w:r>
      <w:r w:rsidRPr="00E0488D">
        <w:t xml:space="preserve">. </w:t>
      </w:r>
      <w:r w:rsidRPr="00E0488D">
        <w:rPr>
          <w:rStyle w:val="hps"/>
          <w:rFonts w:cs="Arial"/>
          <w:color w:val="000000" w:themeColor="text1"/>
        </w:rPr>
        <w:t>Această evoluție</w:t>
      </w:r>
      <w:r w:rsidRPr="00E0488D">
        <w:t xml:space="preserve"> </w:t>
      </w:r>
      <w:r w:rsidRPr="00E0488D">
        <w:rPr>
          <w:rStyle w:val="hps"/>
          <w:rFonts w:cs="Arial"/>
          <w:color w:val="000000" w:themeColor="text1"/>
        </w:rPr>
        <w:t>ar putea</w:t>
      </w:r>
      <w:r w:rsidRPr="00E0488D">
        <w:t xml:space="preserve"> </w:t>
      </w:r>
      <w:r w:rsidRPr="00E0488D">
        <w:rPr>
          <w:rStyle w:val="hps"/>
          <w:rFonts w:cs="Arial"/>
          <w:color w:val="000000" w:themeColor="text1"/>
        </w:rPr>
        <w:t>consolida</w:t>
      </w:r>
      <w:r w:rsidRPr="00E0488D">
        <w:t xml:space="preserve"> </w:t>
      </w:r>
      <w:r w:rsidRPr="00E0488D">
        <w:rPr>
          <w:rStyle w:val="hps"/>
          <w:rFonts w:cs="Arial"/>
          <w:color w:val="000000" w:themeColor="text1"/>
        </w:rPr>
        <w:t>poziția competitivă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Portului</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un centru</w:t>
      </w:r>
      <w:r w:rsidRPr="00E0488D">
        <w:t xml:space="preserve"> </w:t>
      </w:r>
      <w:r w:rsidRPr="00E0488D">
        <w:rPr>
          <w:rStyle w:val="hps"/>
          <w:rFonts w:cs="Arial"/>
          <w:color w:val="000000" w:themeColor="text1"/>
        </w:rPr>
        <w:t>de deservire</w:t>
      </w:r>
      <w:r w:rsidRPr="00E0488D">
        <w:t xml:space="preserve"> a </w:t>
      </w:r>
      <w:r w:rsidRPr="00E0488D">
        <w:rPr>
          <w:rStyle w:val="hps"/>
          <w:rFonts w:cs="Arial"/>
          <w:color w:val="000000" w:themeColor="text1"/>
        </w:rPr>
        <w:t>regiunii Mării Negre</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relațiilor economice dintre</w:t>
      </w:r>
      <w:r w:rsidRPr="00E0488D">
        <w:t xml:space="preserve"> </w:t>
      </w:r>
      <w:r w:rsidRPr="00E0488D">
        <w:rPr>
          <w:rStyle w:val="hps"/>
          <w:rFonts w:cs="Arial"/>
          <w:color w:val="000000" w:themeColor="text1"/>
        </w:rPr>
        <w:t>Europa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regiunea Caucazului</w:t>
      </w:r>
      <w:r w:rsidRPr="00E0488D">
        <w:t xml:space="preserve"> presupune faptul </w:t>
      </w:r>
      <w:r w:rsidRPr="00E0488D">
        <w:rPr>
          <w:rStyle w:val="hps"/>
          <w:rFonts w:cs="Arial"/>
          <w:color w:val="000000" w:themeColor="text1"/>
        </w:rPr>
        <w:t>că</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ar putea</w:t>
      </w:r>
      <w:r w:rsidRPr="00E0488D">
        <w:t xml:space="preserve"> </w:t>
      </w:r>
      <w:r w:rsidRPr="00E0488D">
        <w:rPr>
          <w:rStyle w:val="hps"/>
          <w:rFonts w:cs="Arial"/>
          <w:color w:val="000000" w:themeColor="text1"/>
        </w:rPr>
        <w:t>juca</w:t>
      </w:r>
      <w:r w:rsidRPr="00E0488D">
        <w:t xml:space="preserve"> </w:t>
      </w:r>
      <w:r w:rsidRPr="00E0488D">
        <w:rPr>
          <w:rStyle w:val="hps"/>
          <w:rFonts w:cs="Arial"/>
          <w:color w:val="000000" w:themeColor="text1"/>
        </w:rPr>
        <w:t xml:space="preserve"> un rol cheie</w:t>
      </w:r>
      <w:r w:rsidRPr="00E0488D">
        <w:t xml:space="preserve"> ca și </w:t>
      </w:r>
      <w:r w:rsidRPr="00E0488D">
        <w:rPr>
          <w:rStyle w:val="hps"/>
          <w:rFonts w:cs="Arial"/>
          <w:color w:val="000000" w:themeColor="text1"/>
        </w:rPr>
        <w:t>nod de transport</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această</w:t>
      </w:r>
      <w:r w:rsidRPr="00E0488D">
        <w:t xml:space="preserve"> </w:t>
      </w:r>
      <w:r w:rsidRPr="00E0488D">
        <w:rPr>
          <w:rStyle w:val="hps"/>
          <w:rFonts w:cs="Arial"/>
          <w:color w:val="000000" w:themeColor="text1"/>
        </w:rPr>
        <w:t>importantă</w:t>
      </w:r>
      <w:r w:rsidRPr="00E0488D">
        <w:t xml:space="preserve"> </w:t>
      </w:r>
      <w:r w:rsidRPr="00E0488D">
        <w:rPr>
          <w:rStyle w:val="hps"/>
          <w:rFonts w:cs="Arial"/>
          <w:color w:val="000000" w:themeColor="text1"/>
        </w:rPr>
        <w:t>rută comercială</w:t>
      </w:r>
      <w:r w:rsidRPr="00E0488D">
        <w:t xml:space="preserve">. </w:t>
      </w:r>
      <w:r w:rsidRPr="00E0488D">
        <w:rPr>
          <w:rStyle w:val="hps"/>
          <w:rFonts w:cs="Arial"/>
          <w:color w:val="000000" w:themeColor="text1"/>
        </w:rPr>
        <w:t>Punctul important</w:t>
      </w:r>
      <w:r w:rsidRPr="00E0488D">
        <w:t xml:space="preserve"> </w:t>
      </w:r>
      <w:r w:rsidRPr="00E0488D">
        <w:rPr>
          <w:rStyle w:val="hps"/>
          <w:rFonts w:cs="Arial"/>
          <w:color w:val="000000" w:themeColor="text1"/>
        </w:rPr>
        <w:t>este dacă</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 văzută</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expeditorii și</w:t>
      </w:r>
      <w:r w:rsidRPr="00E0488D">
        <w:t xml:space="preserve"> </w:t>
      </w:r>
      <w:r w:rsidRPr="00E0488D">
        <w:rPr>
          <w:rStyle w:val="hps"/>
          <w:rFonts w:cs="Arial"/>
          <w:color w:val="000000" w:themeColor="text1"/>
        </w:rPr>
        <w:t>transportatorii de mărfuri</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cale</w:t>
      </w:r>
      <w:r w:rsidRPr="00E0488D">
        <w:t xml:space="preserve"> </w:t>
      </w:r>
      <w:r w:rsidRPr="00E0488D">
        <w:rPr>
          <w:rStyle w:val="hps"/>
          <w:rFonts w:cs="Arial"/>
          <w:color w:val="000000" w:themeColor="text1"/>
        </w:rPr>
        <w:t>de minimă rezistență</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cu alte cuvinte,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coridor de transport</w:t>
      </w:r>
      <w:r w:rsidRPr="00E0488D">
        <w:t xml:space="preserve"> </w:t>
      </w:r>
      <w:r w:rsidRPr="00E0488D">
        <w:rPr>
          <w:rStyle w:val="hps"/>
          <w:rFonts w:cs="Arial"/>
          <w:color w:val="000000" w:themeColor="text1"/>
        </w:rPr>
        <w:t>internațional</w:t>
      </w:r>
      <w:r w:rsidRPr="00E0488D">
        <w:t xml:space="preserve"> </w:t>
      </w:r>
      <w:r w:rsidRPr="00E0488D">
        <w:rPr>
          <w:rStyle w:val="hps"/>
          <w:rFonts w:cs="Arial"/>
          <w:color w:val="000000" w:themeColor="text1"/>
        </w:rPr>
        <w:t>eficient din punct de vedere al costurilor</w:t>
      </w:r>
      <w:r w:rsidRPr="00E0488D">
        <w:t xml:space="preserve"> </w:t>
      </w:r>
      <w:r w:rsidRPr="00E0488D">
        <w:rPr>
          <w:rStyle w:val="hps"/>
          <w:rFonts w:cs="Arial"/>
          <w:color w:val="000000" w:themeColor="text1"/>
        </w:rPr>
        <w:t>și</w:t>
      </w:r>
      <w:r w:rsidRPr="00E0488D">
        <w:t xml:space="preserve"> corespunzător din punct de vedere al </w:t>
      </w:r>
      <w:r w:rsidRPr="00E0488D">
        <w:rPr>
          <w:rStyle w:val="hps"/>
          <w:rFonts w:cs="Arial"/>
          <w:color w:val="000000" w:themeColor="text1"/>
        </w:rPr>
        <w:t>timpului</w:t>
      </w:r>
      <w:r w:rsidRPr="00E0488D">
        <w:rPr>
          <w:lang w:eastAsia="en-GB"/>
        </w:rPr>
        <w:t>.</w:t>
      </w:r>
    </w:p>
    <w:p w:rsidR="00BD59B2" w:rsidRPr="00E0488D" w:rsidRDefault="00BD59B2" w:rsidP="002B7E09">
      <w:pPr>
        <w:pStyle w:val="NumberedParas"/>
        <w:rPr>
          <w:lang w:eastAsia="en-GB"/>
        </w:rPr>
      </w:pPr>
      <w:r w:rsidRPr="00E0488D">
        <w:rPr>
          <w:rStyle w:val="hps"/>
          <w:rFonts w:cs="Arial"/>
          <w:color w:val="000000" w:themeColor="text1"/>
        </w:rPr>
        <w:t>Dintr-o</w:t>
      </w:r>
      <w:r w:rsidRPr="00E0488D">
        <w:t xml:space="preserve"> </w:t>
      </w:r>
      <w:r w:rsidRPr="00E0488D">
        <w:rPr>
          <w:rStyle w:val="hps"/>
          <w:rFonts w:cs="Arial"/>
          <w:color w:val="000000" w:themeColor="text1"/>
        </w:rPr>
        <w:t>evaluare globală</w:t>
      </w:r>
      <w:r w:rsidRPr="00E0488D">
        <w:t xml:space="preserve"> a </w:t>
      </w:r>
      <w:r w:rsidRPr="00E0488D">
        <w:rPr>
          <w:rStyle w:val="hps"/>
          <w:rFonts w:cs="Arial"/>
          <w:color w:val="000000" w:themeColor="text1"/>
        </w:rPr>
        <w:t>logisticii</w:t>
      </w:r>
      <w:r w:rsidRPr="00E0488D">
        <w:t xml:space="preserve">, rezultă că zona de influență a </w:t>
      </w:r>
      <w:r w:rsidRPr="00E0488D">
        <w:rPr>
          <w:rStyle w:val="hps"/>
          <w:rFonts w:cs="Arial"/>
          <w:color w:val="000000" w:themeColor="text1"/>
        </w:rPr>
        <w:t>Portului</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include</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Serbia</w:t>
      </w:r>
      <w:r w:rsidRPr="00E0488D">
        <w:t xml:space="preserve">, </w:t>
      </w:r>
      <w:r w:rsidRPr="00E0488D">
        <w:rPr>
          <w:rStyle w:val="hps"/>
          <w:rFonts w:cs="Arial"/>
          <w:color w:val="000000" w:themeColor="text1"/>
        </w:rPr>
        <w:t>Croația</w:t>
      </w:r>
      <w:r w:rsidRPr="00E0488D">
        <w:t xml:space="preserve">, </w:t>
      </w:r>
      <w:r w:rsidRPr="00E0488D">
        <w:rPr>
          <w:rStyle w:val="hps"/>
          <w:rFonts w:cs="Arial"/>
          <w:color w:val="000000" w:themeColor="text1"/>
        </w:rPr>
        <w:t>Ungaria</w:t>
      </w:r>
      <w:r w:rsidRPr="00E0488D">
        <w:t xml:space="preserve">, </w:t>
      </w:r>
      <w:r w:rsidRPr="00E0488D">
        <w:rPr>
          <w:rStyle w:val="hps"/>
          <w:rFonts w:cs="Arial"/>
          <w:color w:val="000000" w:themeColor="text1"/>
        </w:rPr>
        <w:t>Austria</w:t>
      </w:r>
      <w:r w:rsidRPr="00E0488D">
        <w:t xml:space="preserve">, </w:t>
      </w:r>
      <w:r w:rsidRPr="00E0488D">
        <w:rPr>
          <w:rStyle w:val="hps"/>
          <w:rFonts w:cs="Arial"/>
          <w:color w:val="000000" w:themeColor="text1"/>
        </w:rPr>
        <w:t>Slovacia</w:t>
      </w:r>
      <w:r w:rsidRPr="00E0488D">
        <w:t xml:space="preserve">, </w:t>
      </w:r>
      <w:r w:rsidRPr="00E0488D">
        <w:rPr>
          <w:rStyle w:val="hps"/>
          <w:rFonts w:cs="Arial"/>
          <w:color w:val="000000" w:themeColor="text1"/>
        </w:rPr>
        <w:t>Polonia</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Republica</w:t>
      </w:r>
      <w:r w:rsidRPr="00E0488D">
        <w:t xml:space="preserve"> </w:t>
      </w:r>
      <w:r w:rsidRPr="00E0488D">
        <w:rPr>
          <w:rStyle w:val="hps"/>
          <w:rFonts w:cs="Arial"/>
          <w:color w:val="000000" w:themeColor="text1"/>
        </w:rPr>
        <w:t>Moldova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țările vecine cu Marea Neagră</w:t>
      </w:r>
      <w:r w:rsidRPr="00E0488D">
        <w:t xml:space="preserve"> </w:t>
      </w:r>
      <w:r w:rsidRPr="00E0488D">
        <w:rPr>
          <w:rStyle w:val="hps"/>
          <w:rFonts w:cs="Arial"/>
          <w:color w:val="000000" w:themeColor="text1"/>
        </w:rPr>
        <w:t>(</w:t>
      </w:r>
      <w:r w:rsidRPr="00E0488D">
        <w:t xml:space="preserve">în special </w:t>
      </w:r>
      <w:r w:rsidRPr="00E0488D">
        <w:rPr>
          <w:rStyle w:val="hps"/>
          <w:rFonts w:cs="Arial"/>
          <w:color w:val="000000" w:themeColor="text1"/>
        </w:rPr>
        <w:t>Ucraina</w:t>
      </w:r>
      <w:r w:rsidRPr="00E0488D">
        <w:t xml:space="preserve"> </w:t>
      </w:r>
      <w:r w:rsidRPr="00E0488D">
        <w:rPr>
          <w:rStyle w:val="hps"/>
          <w:rFonts w:cs="Arial"/>
          <w:color w:val="000000" w:themeColor="text1"/>
        </w:rPr>
        <w:t>și</w:t>
      </w:r>
      <w:r w:rsidRPr="00E0488D">
        <w:t xml:space="preserve"> anumite </w:t>
      </w:r>
      <w:r w:rsidRPr="00E0488D">
        <w:rPr>
          <w:rStyle w:val="hps"/>
          <w:rFonts w:cs="Arial"/>
          <w:color w:val="000000" w:themeColor="text1"/>
        </w:rPr>
        <w:t>părți din</w:t>
      </w:r>
      <w:r w:rsidRPr="00E0488D">
        <w:t xml:space="preserve"> </w:t>
      </w:r>
      <w:r w:rsidRPr="00E0488D">
        <w:rPr>
          <w:rStyle w:val="hps"/>
          <w:rFonts w:cs="Arial"/>
          <w:color w:val="000000" w:themeColor="text1"/>
        </w:rPr>
        <w:t>Rusia</w:t>
      </w:r>
      <w:r w:rsidRPr="00E0488D">
        <w:t>)</w:t>
      </w:r>
      <w:r w:rsidRPr="00E0488D">
        <w:rPr>
          <w:rStyle w:val="hps"/>
          <w:rFonts w:cs="Arial"/>
          <w:color w:val="000000" w:themeColor="text1"/>
        </w:rPr>
        <w:t>.</w:t>
      </w:r>
    </w:p>
    <w:p w:rsidR="00BD59B2" w:rsidRPr="00E0488D" w:rsidRDefault="00BD59B2" w:rsidP="002B7E09">
      <w:pPr>
        <w:pStyle w:val="NumberedParas"/>
        <w:rPr>
          <w:lang w:eastAsia="en-GB"/>
        </w:rPr>
      </w:pPr>
      <w:r w:rsidRPr="00E0488D">
        <w:rPr>
          <w:rStyle w:val="hps"/>
          <w:rFonts w:cs="Arial"/>
          <w:color w:val="000000" w:themeColor="text1"/>
        </w:rPr>
        <w:t>Piața</w:t>
      </w:r>
      <w:r w:rsidRPr="00E0488D">
        <w:t xml:space="preserve"> </w:t>
      </w:r>
      <w:r w:rsidRPr="00E0488D">
        <w:rPr>
          <w:rStyle w:val="hps"/>
          <w:rFonts w:cs="Arial"/>
          <w:color w:val="000000" w:themeColor="text1"/>
        </w:rPr>
        <w:t>totală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"pachetul</w:t>
      </w:r>
      <w:r w:rsidRPr="00E0488D">
        <w:t xml:space="preserve"> </w:t>
      </w:r>
      <w:r w:rsidRPr="00E0488D">
        <w:rPr>
          <w:rStyle w:val="hps"/>
          <w:rFonts w:cs="Arial"/>
          <w:color w:val="000000" w:themeColor="text1"/>
        </w:rPr>
        <w:t>ECE</w:t>
      </w:r>
      <w:r w:rsidRPr="00E0488D">
        <w:t xml:space="preserve">" </w:t>
      </w:r>
      <w:r w:rsidRPr="00E0488D">
        <w:rPr>
          <w:rStyle w:val="hps"/>
          <w:rFonts w:cs="Arial"/>
          <w:color w:val="000000" w:themeColor="text1"/>
        </w:rPr>
        <w:t>Europa</w:t>
      </w:r>
      <w:r w:rsidRPr="00E0488D">
        <w:t xml:space="preserve"> </w:t>
      </w:r>
      <w:r w:rsidRPr="00E0488D">
        <w:rPr>
          <w:rStyle w:val="hps"/>
          <w:rFonts w:cs="Arial"/>
          <w:color w:val="000000" w:themeColor="text1"/>
        </w:rPr>
        <w:t>Centrala si de Est</w:t>
      </w:r>
      <w:r w:rsidRPr="00E0488D">
        <w:t xml:space="preserve"> </w:t>
      </w:r>
      <w:r w:rsidRPr="00E0488D">
        <w:rPr>
          <w:rStyle w:val="hps"/>
          <w:rFonts w:cs="Arial"/>
          <w:color w:val="000000" w:themeColor="text1"/>
        </w:rPr>
        <w:t>este estimată la</w:t>
      </w:r>
      <w:r w:rsidRPr="00E0488D">
        <w:t xml:space="preserve"> </w:t>
      </w:r>
      <w:r w:rsidRPr="00E0488D">
        <w:rPr>
          <w:rStyle w:val="hps"/>
          <w:rFonts w:cs="Arial"/>
          <w:color w:val="000000" w:themeColor="text1"/>
        </w:rPr>
        <w:t>peste 18</w:t>
      </w:r>
      <w:r w:rsidRPr="00E0488D">
        <w:t xml:space="preserve"> </w:t>
      </w:r>
      <w:r w:rsidRPr="00E0488D">
        <w:rPr>
          <w:rStyle w:val="hps"/>
          <w:rFonts w:cs="Arial"/>
          <w:color w:val="000000" w:themeColor="text1"/>
        </w:rPr>
        <w:t>milioane TEU</w:t>
      </w:r>
      <w:r w:rsidRPr="00E0488D">
        <w:t xml:space="preserve"> </w:t>
      </w:r>
      <w:r w:rsidRPr="00E0488D">
        <w:rPr>
          <w:rStyle w:val="hps"/>
          <w:rFonts w:cs="Arial"/>
          <w:color w:val="000000" w:themeColor="text1"/>
        </w:rPr>
        <w:t>(unități echivalente a douăzeci de picioare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2020.Rapoartele</w:t>
      </w:r>
      <w:r w:rsidRPr="00E0488D">
        <w:t xml:space="preserve"> </w:t>
      </w:r>
      <w:r w:rsidRPr="00E0488D">
        <w:rPr>
          <w:rStyle w:val="hps"/>
          <w:rFonts w:cs="Arial"/>
          <w:color w:val="000000" w:themeColor="text1"/>
        </w:rPr>
        <w:t>experților</w:t>
      </w:r>
      <w:r w:rsidRPr="00E0488D">
        <w:t xml:space="preserve"> </w:t>
      </w:r>
      <w:r w:rsidRPr="00E0488D">
        <w:rPr>
          <w:rStyle w:val="hps"/>
          <w:rFonts w:cs="Arial"/>
          <w:color w:val="000000" w:themeColor="text1"/>
        </w:rPr>
        <w:t>estimează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ar putea</w:t>
      </w:r>
      <w:r w:rsidRPr="00E0488D">
        <w:t xml:space="preserve"> </w:t>
      </w:r>
      <w:r w:rsidRPr="00E0488D">
        <w:rPr>
          <w:rStyle w:val="hps"/>
          <w:rFonts w:cs="Arial"/>
          <w:color w:val="000000" w:themeColor="text1"/>
        </w:rPr>
        <w:t>atrage</w:t>
      </w:r>
      <w:r w:rsidRPr="00E0488D">
        <w:t xml:space="preserve"> </w:t>
      </w:r>
      <w:r w:rsidRPr="00E0488D">
        <w:rPr>
          <w:rStyle w:val="hps"/>
          <w:rFonts w:cs="Arial"/>
          <w:color w:val="000000" w:themeColor="text1"/>
        </w:rPr>
        <w:t>peste</w:t>
      </w:r>
      <w:r w:rsidRPr="00E0488D">
        <w:t xml:space="preserve"> </w:t>
      </w:r>
      <w:r w:rsidRPr="00E0488D">
        <w:rPr>
          <w:rStyle w:val="hps"/>
          <w:rFonts w:cs="Arial"/>
          <w:color w:val="000000" w:themeColor="text1"/>
        </w:rPr>
        <w:t>4 milioane de</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acest total</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condiția să existe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w:t>
      </w:r>
      <w:r w:rsidRPr="00E0488D">
        <w:t xml:space="preserve">cale </w:t>
      </w:r>
      <w:r w:rsidRPr="00E0488D">
        <w:rPr>
          <w:rStyle w:val="hps"/>
          <w:rFonts w:cs="Arial"/>
          <w:color w:val="000000" w:themeColor="text1"/>
        </w:rPr>
        <w:t>de</w:t>
      </w:r>
      <w:r w:rsidRPr="00E0488D">
        <w:t xml:space="preserve"> </w:t>
      </w:r>
      <w:r w:rsidRPr="00E0488D">
        <w:rPr>
          <w:rStyle w:val="hps"/>
          <w:rFonts w:cs="Arial"/>
          <w:color w:val="000000" w:themeColor="text1"/>
        </w:rPr>
        <w:t>rezistență minimă</w:t>
      </w:r>
      <w:r w:rsidRPr="00E0488D">
        <w:t xml:space="preserve">" atât  </w:t>
      </w:r>
      <w:r w:rsidRPr="00E0488D">
        <w:rPr>
          <w:rStyle w:val="hps"/>
          <w:rFonts w:cs="Arial"/>
          <w:color w:val="000000" w:themeColor="text1"/>
        </w:rPr>
        <w:t>în</w:t>
      </w:r>
      <w:r w:rsidRPr="00E0488D">
        <w:t xml:space="preserve"> interiorul țării cât </w:t>
      </w:r>
      <w:r w:rsidRPr="00E0488D">
        <w:rPr>
          <w:rStyle w:val="hps"/>
          <w:rFonts w:cs="Arial"/>
          <w:color w:val="000000" w:themeColor="text1"/>
        </w:rPr>
        <w:t>și</w:t>
      </w:r>
      <w:r w:rsidRPr="00E0488D">
        <w:t xml:space="preserve"> </w:t>
      </w:r>
      <w:r w:rsidRPr="00E0488D">
        <w:rPr>
          <w:rStyle w:val="hps"/>
          <w:rFonts w:cs="Arial"/>
          <w:color w:val="000000" w:themeColor="text1"/>
        </w:rPr>
        <w:t>de-a lungul</w:t>
      </w:r>
      <w:r w:rsidRPr="00E0488D">
        <w:t xml:space="preserve"> </w:t>
      </w:r>
      <w:r w:rsidRPr="00E0488D">
        <w:rPr>
          <w:rStyle w:val="hps"/>
          <w:rFonts w:cs="Arial"/>
          <w:color w:val="000000" w:themeColor="text1"/>
        </w:rPr>
        <w:t>României</w:t>
      </w:r>
      <w:r w:rsidRPr="00E0488D">
        <w:t xml:space="preserve">. </w:t>
      </w:r>
      <w:r w:rsidRPr="00E0488D">
        <w:rPr>
          <w:rStyle w:val="hps"/>
          <w:rFonts w:cs="Arial"/>
          <w:color w:val="000000" w:themeColor="text1"/>
        </w:rPr>
        <w:t>Cazul</w:t>
      </w:r>
      <w:r w:rsidRPr="00E0488D">
        <w:t xml:space="preserve"> </w:t>
      </w:r>
      <w:r w:rsidRPr="00E0488D">
        <w:rPr>
          <w:rStyle w:val="hps"/>
          <w:rFonts w:cs="Arial"/>
          <w:color w:val="000000" w:themeColor="text1"/>
        </w:rPr>
        <w:t>de afaceri</w:t>
      </w:r>
      <w:r w:rsidRPr="00E0488D">
        <w:t xml:space="preserve"> </w:t>
      </w:r>
      <w:r w:rsidRPr="00E0488D">
        <w:rPr>
          <w:rStyle w:val="hps"/>
          <w:rFonts w:cs="Arial"/>
          <w:color w:val="000000" w:themeColor="text1"/>
        </w:rPr>
        <w:t>elaborat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previziunile</w:t>
      </w:r>
      <w:r w:rsidRPr="00E0488D">
        <w:t xml:space="preserve"> </w:t>
      </w:r>
      <w:r w:rsidRPr="00E0488D">
        <w:rPr>
          <w:rStyle w:val="hps"/>
          <w:rFonts w:cs="Arial"/>
          <w:color w:val="000000" w:themeColor="text1"/>
        </w:rPr>
        <w:t>"</w:t>
      </w:r>
      <w:r w:rsidRPr="00E0488D">
        <w:t xml:space="preserve">European </w:t>
      </w:r>
      <w:r w:rsidRPr="00E0488D">
        <w:rPr>
          <w:rStyle w:val="hps"/>
          <w:rFonts w:cs="Arial"/>
          <w:color w:val="000000" w:themeColor="text1"/>
        </w:rPr>
        <w:t>Gateway</w:t>
      </w:r>
      <w:r w:rsidRPr="00E0488D">
        <w:t xml:space="preserve"> </w:t>
      </w:r>
      <w:r w:rsidRPr="00E0488D">
        <w:rPr>
          <w:rStyle w:val="hps"/>
          <w:rFonts w:cs="Arial"/>
          <w:color w:val="000000" w:themeColor="text1"/>
        </w:rPr>
        <w:t>Project</w:t>
      </w:r>
      <w:r w:rsidRPr="00E0488D">
        <w:t xml:space="preserve">" estimează că </w:t>
      </w:r>
      <w:r w:rsidRPr="00E0488D">
        <w:rPr>
          <w:rStyle w:val="hps"/>
          <w:rFonts w:cs="Arial"/>
          <w:color w:val="000000" w:themeColor="text1"/>
        </w:rPr>
        <w:t>volumul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transport asociat</w:t>
      </w:r>
      <w:r w:rsidRPr="00E0488D">
        <w:t xml:space="preserve"> </w:t>
      </w:r>
      <w:r w:rsidRPr="00E0488D">
        <w:rPr>
          <w:rStyle w:val="hps"/>
          <w:rFonts w:cs="Arial"/>
          <w:color w:val="000000" w:themeColor="text1"/>
        </w:rPr>
        <w:t>noilor</w:t>
      </w:r>
      <w:r w:rsidRPr="00E0488D">
        <w:t xml:space="preserve"> </w:t>
      </w:r>
      <w:r w:rsidRPr="00E0488D">
        <w:rPr>
          <w:rStyle w:val="hps"/>
          <w:rFonts w:cs="Arial"/>
          <w:color w:val="000000" w:themeColor="text1"/>
        </w:rPr>
        <w:t>activități</w:t>
      </w:r>
      <w:r w:rsidRPr="00E0488D">
        <w:t xml:space="preserve"> </w:t>
      </w:r>
      <w:r w:rsidRPr="00E0488D">
        <w:rPr>
          <w:rStyle w:val="hps"/>
          <w:rFonts w:cs="Arial"/>
          <w:color w:val="000000" w:themeColor="text1"/>
        </w:rPr>
        <w:t>de asamblare</w:t>
      </w:r>
      <w:r w:rsidRPr="00E0488D">
        <w:t xml:space="preserve"> care v</w:t>
      </w:r>
      <w:r w:rsidRPr="00E0488D">
        <w:rPr>
          <w:rStyle w:val="hps"/>
          <w:rFonts w:cs="Arial"/>
          <w:color w:val="000000" w:themeColor="text1"/>
        </w:rPr>
        <w:t>or</w:t>
      </w:r>
      <w:r w:rsidRPr="00E0488D">
        <w:t xml:space="preserve"> </w:t>
      </w:r>
      <w:r w:rsidRPr="00E0488D">
        <w:rPr>
          <w:rStyle w:val="hps"/>
          <w:rFonts w:cs="Arial"/>
          <w:color w:val="000000" w:themeColor="text1"/>
        </w:rPr>
        <w:t>fi</w:t>
      </w:r>
      <w:r w:rsidRPr="00E0488D">
        <w:t xml:space="preserve"> </w:t>
      </w:r>
      <w:r w:rsidRPr="00E0488D">
        <w:rPr>
          <w:rStyle w:val="hps"/>
          <w:rFonts w:cs="Arial"/>
          <w:color w:val="000000" w:themeColor="text1"/>
        </w:rPr>
        <w:t>efectuate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România, va ajunge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2,4 milioane</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2020</w:t>
      </w:r>
      <w:r w:rsidRPr="00E0488D">
        <w:t xml:space="preserve"> </w:t>
      </w:r>
      <w:r w:rsidRPr="00E0488D">
        <w:rPr>
          <w:rStyle w:val="hps"/>
          <w:rFonts w:cs="Arial"/>
          <w:color w:val="000000" w:themeColor="text1"/>
        </w:rPr>
        <w:t>(denumit în continuare</w:t>
      </w:r>
      <w:r w:rsidRPr="00E0488D">
        <w:t xml:space="preserve"> </w:t>
      </w:r>
      <w:r w:rsidRPr="00E0488D">
        <w:rPr>
          <w:rStyle w:val="hps"/>
          <w:rFonts w:cs="Arial"/>
          <w:color w:val="000000" w:themeColor="text1"/>
        </w:rPr>
        <w:t>"</w:t>
      </w:r>
      <w:r w:rsidRPr="00E0488D">
        <w:t xml:space="preserve">Noul pachet de </w:t>
      </w:r>
      <w:r w:rsidRPr="00E0488D">
        <w:rPr>
          <w:rStyle w:val="hps"/>
          <w:rFonts w:cs="Arial"/>
          <w:color w:val="000000" w:themeColor="text1"/>
        </w:rPr>
        <w:t>ansamblare</w:t>
      </w:r>
      <w:r w:rsidRPr="00E0488D">
        <w:t>")</w:t>
      </w:r>
      <w:r w:rsidRPr="00E0488D">
        <w:rPr>
          <w:rStyle w:val="FootnoteReference"/>
          <w:rFonts w:cs="Arial"/>
          <w:lang w:eastAsia="en-GB"/>
        </w:rPr>
        <w:footnoteReference w:id="33"/>
      </w:r>
      <w:r w:rsidRPr="00E0488D">
        <w:rPr>
          <w:lang w:eastAsia="en-GB"/>
        </w:rPr>
        <w:t>.</w:t>
      </w:r>
    </w:p>
    <w:p w:rsidR="00BD59B2" w:rsidRPr="00E0488D" w:rsidRDefault="00BD59B2" w:rsidP="002B7E09">
      <w:pPr>
        <w:pStyle w:val="NumberedParas"/>
        <w:rPr>
          <w:rStyle w:val="hps"/>
          <w:lang w:eastAsia="en-GB"/>
        </w:rPr>
      </w:pPr>
      <w:r w:rsidRPr="00E0488D">
        <w:rPr>
          <w:rStyle w:val="hps"/>
          <w:rFonts w:cs="Arial"/>
          <w:color w:val="000000" w:themeColor="text1"/>
        </w:rPr>
        <w:t>În prezent, România are un nivel redus de containerizare a mărfurilor ce sunt transportate pe calea ferată (mai puțin de 5%), în comparație cu alte țări europene (a se vedea Tabelul 8.1), inclusiv Bulgaria. Dacă România intenționează să îndeplinească recomandările europene privind mutarea traficului de mărfuri pe moduri sustenabile, până în anul 2030, atunci este nevoie de intervenții pentru încurajarea acestui mod de transport. În lipsa investițiilor în calea ferată, creșterea viitoare de transport de containere va proveni din dezvoltarea transportului rutier.</w:t>
      </w:r>
    </w:p>
    <w:p w:rsidR="00BD59B2" w:rsidRPr="00E0488D" w:rsidRDefault="00BD59B2" w:rsidP="00BD59B2">
      <w:pPr>
        <w:pStyle w:val="Body"/>
        <w:spacing w:before="120" w:after="120"/>
        <w:ind w:left="851"/>
        <w:rPr>
          <w:b/>
          <w:lang w:val="ro-RO"/>
        </w:rPr>
      </w:pPr>
      <w:r w:rsidRPr="00E0488D">
        <w:rPr>
          <w:b/>
          <w:i w:val="0"/>
          <w:lang w:val="ro-RO"/>
        </w:rPr>
        <w:t>Tabelul 8.1 Gradul de containerizare, anumite țări europene</w:t>
      </w:r>
    </w:p>
    <w:tbl>
      <w:tblPr>
        <w:tblW w:w="7558" w:type="dxa"/>
        <w:tblInd w:w="817" w:type="dxa"/>
        <w:tblCellMar>
          <w:left w:w="0" w:type="dxa"/>
          <w:right w:w="0" w:type="dxa"/>
        </w:tblCellMar>
        <w:tblLook w:val="04A0" w:firstRow="1" w:lastRow="0" w:firstColumn="1" w:lastColumn="0" w:noHBand="0" w:noVBand="1"/>
      </w:tblPr>
      <w:tblGrid>
        <w:gridCol w:w="1832"/>
        <w:gridCol w:w="1456"/>
        <w:gridCol w:w="1456"/>
        <w:gridCol w:w="1407"/>
        <w:gridCol w:w="1407"/>
      </w:tblGrid>
      <w:tr w:rsidR="00BD59B2" w:rsidRPr="00E0488D" w:rsidTr="009972B3">
        <w:trPr>
          <w:trHeight w:val="885"/>
        </w:trPr>
        <w:tc>
          <w:tcPr>
            <w:tcW w:w="1832" w:type="dxa"/>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noWrap/>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60"/>
              <w:jc w:val="left"/>
              <w:rPr>
                <w:b/>
                <w:bCs/>
                <w:i w:val="0"/>
                <w:lang w:val="ro-RO" w:eastAsia="en-GB"/>
              </w:rPr>
            </w:pPr>
            <w:r w:rsidRPr="00E0488D">
              <w:rPr>
                <w:b/>
                <w:bCs/>
                <w:i w:val="0"/>
                <w:lang w:val="ro-RO" w:eastAsia="en-GB"/>
              </w:rPr>
              <w:t>Țară</w:t>
            </w:r>
          </w:p>
        </w:tc>
        <w:tc>
          <w:tcPr>
            <w:tcW w:w="2912" w:type="dxa"/>
            <w:gridSpan w:val="2"/>
            <w:tcBorders>
              <w:top w:val="single" w:sz="8" w:space="0" w:color="auto"/>
              <w:left w:val="nil"/>
              <w:bottom w:val="single" w:sz="8" w:space="0" w:color="auto"/>
              <w:right w:val="single" w:sz="8" w:space="0" w:color="000000"/>
            </w:tcBorders>
            <w:shd w:val="clear" w:color="auto" w:fill="B8CCE4" w:themeFill="accent1" w:themeFillTint="66"/>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0"/>
              <w:jc w:val="center"/>
              <w:rPr>
                <w:b/>
                <w:bCs/>
                <w:i w:val="0"/>
                <w:lang w:val="ro-RO" w:eastAsia="en-GB"/>
              </w:rPr>
            </w:pPr>
            <w:r w:rsidRPr="00E0488D">
              <w:rPr>
                <w:b/>
                <w:bCs/>
                <w:i w:val="0"/>
                <w:lang w:val="ro-RO" w:eastAsia="en-GB"/>
              </w:rPr>
              <w:t>Volum total de containere și cutii mobile ('000 tone)</w:t>
            </w:r>
          </w:p>
        </w:tc>
        <w:tc>
          <w:tcPr>
            <w:tcW w:w="2814" w:type="dxa"/>
            <w:gridSpan w:val="2"/>
            <w:tcBorders>
              <w:top w:val="single" w:sz="8" w:space="0" w:color="auto"/>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0"/>
              <w:jc w:val="center"/>
              <w:rPr>
                <w:b/>
                <w:bCs/>
                <w:i w:val="0"/>
                <w:lang w:val="ro-RO" w:eastAsia="en-GB"/>
              </w:rPr>
            </w:pPr>
            <w:r w:rsidRPr="00E0488D">
              <w:rPr>
                <w:b/>
                <w:bCs/>
                <w:i w:val="0"/>
                <w:lang w:val="ro-RO" w:eastAsia="en-GB"/>
              </w:rPr>
              <w:t>% pentru containere din marfă totală transportată pe calea ferată</w:t>
            </w:r>
          </w:p>
        </w:tc>
      </w:tr>
      <w:tr w:rsidR="00BD59B2" w:rsidRPr="00E0488D" w:rsidTr="009972B3">
        <w:trPr>
          <w:trHeight w:val="285"/>
        </w:trPr>
        <w:tc>
          <w:tcPr>
            <w:tcW w:w="1832" w:type="dxa"/>
            <w:vMerge/>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BD59B2" w:rsidRPr="00E0488D" w:rsidRDefault="00BD59B2" w:rsidP="009972B3">
            <w:pPr>
              <w:spacing w:before="100" w:beforeAutospacing="1" w:after="100" w:afterAutospacing="1" w:line="276" w:lineRule="auto"/>
              <w:ind w:left="60"/>
              <w:jc w:val="center"/>
              <w:rPr>
                <w:rFonts w:cs="Arial"/>
                <w:b/>
                <w:bCs/>
                <w:sz w:val="22"/>
                <w:szCs w:val="22"/>
                <w:lang w:val="ro-RO"/>
              </w:rPr>
            </w:pPr>
          </w:p>
        </w:tc>
        <w:tc>
          <w:tcPr>
            <w:tcW w:w="1456" w:type="dxa"/>
            <w:tcBorders>
              <w:top w:val="nil"/>
              <w:left w:val="nil"/>
              <w:bottom w:val="single" w:sz="8" w:space="0" w:color="auto"/>
              <w:right w:val="single" w:sz="8" w:space="0" w:color="auto"/>
            </w:tcBorders>
            <w:shd w:val="clear" w:color="auto" w:fill="B8CCE4" w:themeFill="accent1" w:themeFillTint="66"/>
            <w:noWrap/>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71"/>
              <w:jc w:val="center"/>
              <w:rPr>
                <w:b/>
                <w:bCs/>
                <w:i w:val="0"/>
                <w:lang w:val="ro-RO" w:eastAsia="en-GB"/>
              </w:rPr>
            </w:pPr>
            <w:r w:rsidRPr="00E0488D">
              <w:rPr>
                <w:b/>
                <w:bCs/>
                <w:i w:val="0"/>
                <w:lang w:val="ro-RO" w:eastAsia="en-GB"/>
              </w:rPr>
              <w:t>2011</w:t>
            </w:r>
          </w:p>
        </w:tc>
        <w:tc>
          <w:tcPr>
            <w:tcW w:w="1456" w:type="dxa"/>
            <w:tcBorders>
              <w:top w:val="nil"/>
              <w:left w:val="nil"/>
              <w:bottom w:val="single" w:sz="8" w:space="0" w:color="auto"/>
              <w:right w:val="single" w:sz="8" w:space="0" w:color="auto"/>
            </w:tcBorders>
            <w:shd w:val="clear" w:color="auto" w:fill="B8CCE4" w:themeFill="accent1" w:themeFillTint="66"/>
            <w:noWrap/>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0"/>
              <w:jc w:val="center"/>
              <w:rPr>
                <w:b/>
                <w:bCs/>
                <w:i w:val="0"/>
                <w:lang w:val="ro-RO" w:eastAsia="en-GB"/>
              </w:rPr>
            </w:pPr>
            <w:r w:rsidRPr="00E0488D">
              <w:rPr>
                <w:b/>
                <w:bCs/>
                <w:i w:val="0"/>
                <w:lang w:val="ro-RO" w:eastAsia="en-GB"/>
              </w:rPr>
              <w:t>2012</w:t>
            </w:r>
          </w:p>
        </w:tc>
        <w:tc>
          <w:tcPr>
            <w:tcW w:w="1407" w:type="dxa"/>
            <w:tcBorders>
              <w:top w:val="nil"/>
              <w:left w:val="nil"/>
              <w:bottom w:val="single" w:sz="8" w:space="0" w:color="auto"/>
              <w:right w:val="single" w:sz="8" w:space="0" w:color="auto"/>
            </w:tcBorders>
            <w:shd w:val="clear" w:color="auto" w:fill="B8CCE4" w:themeFill="accent1" w:themeFillTint="66"/>
            <w:noWrap/>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0"/>
              <w:jc w:val="center"/>
              <w:rPr>
                <w:b/>
                <w:bCs/>
                <w:i w:val="0"/>
                <w:lang w:val="ro-RO" w:eastAsia="en-GB"/>
              </w:rPr>
            </w:pPr>
            <w:r w:rsidRPr="00E0488D">
              <w:rPr>
                <w:b/>
                <w:bCs/>
                <w:i w:val="0"/>
                <w:lang w:val="ro-RO" w:eastAsia="en-GB"/>
              </w:rPr>
              <w:t>2011</w:t>
            </w:r>
          </w:p>
        </w:tc>
        <w:tc>
          <w:tcPr>
            <w:tcW w:w="1407" w:type="dxa"/>
            <w:tcBorders>
              <w:top w:val="nil"/>
              <w:left w:val="nil"/>
              <w:bottom w:val="single" w:sz="8" w:space="0" w:color="auto"/>
              <w:right w:val="single" w:sz="8" w:space="0" w:color="auto"/>
            </w:tcBorders>
            <w:shd w:val="clear" w:color="auto" w:fill="B8CCE4" w:themeFill="accent1" w:themeFillTint="66"/>
            <w:noWrap/>
            <w:tcMar>
              <w:top w:w="0" w:type="dxa"/>
              <w:left w:w="108" w:type="dxa"/>
              <w:bottom w:w="0" w:type="dxa"/>
              <w:right w:w="108" w:type="dxa"/>
            </w:tcMar>
            <w:vAlign w:val="center"/>
            <w:hideMark/>
          </w:tcPr>
          <w:p w:rsidR="00BD59B2" w:rsidRPr="00E0488D" w:rsidRDefault="00BD59B2" w:rsidP="009972B3">
            <w:pPr>
              <w:pStyle w:val="Body"/>
              <w:spacing w:before="100" w:beforeAutospacing="1" w:after="100" w:afterAutospacing="1"/>
              <w:ind w:left="0"/>
              <w:jc w:val="center"/>
              <w:rPr>
                <w:b/>
                <w:bCs/>
                <w:i w:val="0"/>
                <w:lang w:val="ro-RO" w:eastAsia="en-GB"/>
              </w:rPr>
            </w:pPr>
            <w:r w:rsidRPr="00E0488D">
              <w:rPr>
                <w:b/>
                <w:bCs/>
                <w:i w:val="0"/>
                <w:lang w:val="ro-RO" w:eastAsia="en-GB"/>
              </w:rPr>
              <w:t>2012</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Austria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16,312</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15,806</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18.2%</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19.0%</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Bulgaria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789</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664</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5.8%</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5.6%</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Cehia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7,321</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7,852</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8.4%</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9.5%</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Germania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64,301</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66,230</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17.2%</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18.1%</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Italia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34,275</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33,985</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43.4%</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45.1%</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Romania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2,611</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2,372</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4.6%</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4.7%</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Turcia</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7,601</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8,264</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30.7%</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33.2%</w:t>
            </w:r>
          </w:p>
        </w:tc>
      </w:tr>
      <w:tr w:rsidR="00BD59B2" w:rsidRPr="00E0488D" w:rsidTr="009972B3">
        <w:trPr>
          <w:trHeight w:val="285"/>
        </w:trPr>
        <w:tc>
          <w:tcPr>
            <w:tcW w:w="1832"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BD59B2" w:rsidRPr="00E0488D" w:rsidRDefault="00BD59B2" w:rsidP="009972B3">
            <w:pPr>
              <w:pStyle w:val="Body"/>
              <w:spacing w:before="100" w:beforeAutospacing="1" w:after="100" w:afterAutospacing="1"/>
              <w:ind w:left="60"/>
              <w:jc w:val="left"/>
              <w:rPr>
                <w:i w:val="0"/>
                <w:lang w:val="ro-RO" w:eastAsia="en-GB"/>
              </w:rPr>
            </w:pPr>
            <w:r w:rsidRPr="00E0488D">
              <w:rPr>
                <w:i w:val="0"/>
                <w:lang w:val="ro-RO" w:eastAsia="en-GB"/>
              </w:rPr>
              <w:t>Marea Britanie</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71"/>
              <w:jc w:val="center"/>
              <w:rPr>
                <w:i w:val="0"/>
                <w:lang w:val="ro-RO" w:eastAsia="en-GB"/>
              </w:rPr>
            </w:pPr>
            <w:r w:rsidRPr="00E0488D">
              <w:rPr>
                <w:i w:val="0"/>
                <w:lang w:val="ro-RO" w:eastAsia="en-GB"/>
              </w:rPr>
              <w:t>11,098</w:t>
            </w:r>
          </w:p>
        </w:tc>
        <w:tc>
          <w:tcPr>
            <w:tcW w:w="14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11,742</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11.1%</w:t>
            </w:r>
          </w:p>
        </w:tc>
        <w:tc>
          <w:tcPr>
            <w:tcW w:w="140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BD59B2" w:rsidRPr="00E0488D" w:rsidRDefault="00BD59B2" w:rsidP="009972B3">
            <w:pPr>
              <w:pStyle w:val="Body"/>
              <w:spacing w:before="100" w:beforeAutospacing="1" w:after="100" w:afterAutospacing="1"/>
              <w:ind w:left="0"/>
              <w:jc w:val="center"/>
              <w:rPr>
                <w:i w:val="0"/>
                <w:lang w:val="ro-RO" w:eastAsia="en-GB"/>
              </w:rPr>
            </w:pPr>
            <w:r w:rsidRPr="00E0488D">
              <w:rPr>
                <w:i w:val="0"/>
                <w:lang w:val="ro-RO" w:eastAsia="en-GB"/>
              </w:rPr>
              <w:t>10.2%</w:t>
            </w:r>
          </w:p>
        </w:tc>
      </w:tr>
    </w:tbl>
    <w:p w:rsidR="00BD59B2" w:rsidRPr="00E0488D" w:rsidRDefault="00BD59B2" w:rsidP="00BD59B2">
      <w:pPr>
        <w:pStyle w:val="Body"/>
        <w:spacing w:before="120" w:after="120"/>
        <w:ind w:left="851"/>
        <w:rPr>
          <w:sz w:val="18"/>
          <w:szCs w:val="18"/>
          <w:lang w:val="ro-RO"/>
        </w:rPr>
      </w:pPr>
      <w:r w:rsidRPr="00E0488D">
        <w:rPr>
          <w:sz w:val="18"/>
          <w:szCs w:val="18"/>
          <w:lang w:val="ro-RO"/>
        </w:rPr>
        <w:t>Sursa: Analiză AECOM a datelor existente</w:t>
      </w:r>
    </w:p>
    <w:p w:rsidR="00BD59B2" w:rsidRPr="00E0488D" w:rsidRDefault="00BD59B2" w:rsidP="002B7E09">
      <w:pPr>
        <w:pStyle w:val="NumberedParas"/>
        <w:rPr>
          <w:lang w:eastAsia="en-GB"/>
        </w:rPr>
      </w:pPr>
      <w:r w:rsidRPr="00E0488D">
        <w:rPr>
          <w:rStyle w:val="hps"/>
          <w:rFonts w:cs="Arial"/>
          <w:color w:val="000000" w:themeColor="text1"/>
        </w:rPr>
        <w:t>Prognozele</w:t>
      </w:r>
      <w:r w:rsidRPr="00E0488D">
        <w:t xml:space="preserve"> pentru transportul </w:t>
      </w:r>
      <w:r w:rsidRPr="00E0488D">
        <w:rPr>
          <w:rStyle w:val="hps"/>
          <w:rFonts w:cs="Arial"/>
          <w:color w:val="000000" w:themeColor="text1"/>
        </w:rPr>
        <w:t>intermodal 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indică</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volum</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1,2 milioane</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prognoza DIOMIS</w:t>
      </w:r>
      <w:r w:rsidRPr="00E0488D">
        <w:t xml:space="preserve"> </w:t>
      </w:r>
      <w:r w:rsidRPr="00E0488D">
        <w:rPr>
          <w:rStyle w:val="hps"/>
          <w:rFonts w:cs="Arial"/>
          <w:color w:val="000000" w:themeColor="text1"/>
        </w:rPr>
        <w:t>se estimează că</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avea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poziție competitivă</w:t>
      </w:r>
      <w:r w:rsidRPr="00E0488D">
        <w:t xml:space="preserve"> </w:t>
      </w:r>
      <w:r w:rsidRPr="00E0488D">
        <w:rPr>
          <w:rStyle w:val="hps"/>
          <w:rFonts w:cs="Arial"/>
          <w:color w:val="000000" w:themeColor="text1"/>
        </w:rPr>
        <w:t>semnificativă și</w:t>
      </w:r>
      <w:r w:rsidRPr="00E0488D">
        <w:t xml:space="preserve">, prin urmare, </w:t>
      </w:r>
      <w:r w:rsidRPr="00E0488D">
        <w:rPr>
          <w:rStyle w:val="hps"/>
          <w:rFonts w:cs="Arial"/>
          <w:color w:val="000000" w:themeColor="text1"/>
        </w:rPr>
        <w:t>nu</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atrage</w:t>
      </w:r>
      <w:r w:rsidRPr="00E0488D">
        <w:t xml:space="preserve"> </w:t>
      </w:r>
      <w:r w:rsidRPr="00E0488D">
        <w:rPr>
          <w:rStyle w:val="hps"/>
          <w:rFonts w:cs="Arial"/>
          <w:color w:val="000000" w:themeColor="text1"/>
        </w:rPr>
        <w:t>traficul</w:t>
      </w:r>
      <w:r w:rsidRPr="00E0488D">
        <w:t xml:space="preserve"> </w:t>
      </w:r>
      <w:r w:rsidRPr="00E0488D">
        <w:rPr>
          <w:rStyle w:val="hps"/>
          <w:rFonts w:cs="Arial"/>
          <w:color w:val="000000" w:themeColor="text1"/>
        </w:rPr>
        <w:t>destinat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celelalte țări</w:t>
      </w:r>
      <w:r w:rsidRPr="00E0488D">
        <w:t xml:space="preserve"> </w:t>
      </w:r>
      <w:r w:rsidRPr="00E0488D">
        <w:rPr>
          <w:rStyle w:val="hps"/>
          <w:rFonts w:cs="Arial"/>
          <w:color w:val="000000" w:themeColor="text1"/>
        </w:rPr>
        <w:t>din ECE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volume semnificative</w:t>
      </w:r>
      <w:r w:rsidRPr="00E0488D">
        <w:rPr>
          <w:rStyle w:val="FootnoteReference"/>
          <w:rFonts w:cs="Arial"/>
          <w:lang w:eastAsia="en-GB"/>
        </w:rPr>
        <w:footnoteReference w:id="34"/>
      </w:r>
      <w:r w:rsidRPr="00E0488D">
        <w:rPr>
          <w:lang w:eastAsia="en-GB"/>
        </w:rPr>
        <w:t xml:space="preserve">. </w:t>
      </w:r>
    </w:p>
    <w:p w:rsidR="00BD59B2" w:rsidRPr="00E0488D" w:rsidRDefault="00BD59B2" w:rsidP="002B7E09">
      <w:pPr>
        <w:pStyle w:val="NumberedParas"/>
      </w:pPr>
      <w:r w:rsidRPr="00E0488D">
        <w:rPr>
          <w:rStyle w:val="hps"/>
          <w:rFonts w:cs="Arial"/>
          <w:color w:val="000000" w:themeColor="text1"/>
        </w:rPr>
        <w:t>Estimările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paragrafele de mai sus</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prognozele</w:t>
      </w:r>
      <w:r w:rsidRPr="00E0488D">
        <w:t xml:space="preserve"> </w:t>
      </w:r>
      <w:r w:rsidRPr="00E0488D">
        <w:rPr>
          <w:rStyle w:val="hps"/>
          <w:rFonts w:cs="Arial"/>
          <w:color w:val="000000" w:themeColor="text1"/>
        </w:rPr>
        <w:t>altor consultanți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depind de</w:t>
      </w:r>
      <w:r w:rsidRPr="00E0488D">
        <w:t xml:space="preserve"> </w:t>
      </w:r>
      <w:r w:rsidRPr="00E0488D">
        <w:rPr>
          <w:rStyle w:val="hps"/>
          <w:rFonts w:cs="Arial"/>
          <w:color w:val="000000" w:themeColor="text1"/>
        </w:rPr>
        <w:t>variabile cum ar fi</w:t>
      </w:r>
      <w:r w:rsidRPr="00E0488D">
        <w:t xml:space="preserve"> </w:t>
      </w:r>
      <w:r w:rsidRPr="00E0488D">
        <w:rPr>
          <w:rStyle w:val="hps"/>
          <w:rFonts w:cs="Arial"/>
          <w:color w:val="000000" w:themeColor="text1"/>
        </w:rPr>
        <w:t>previziunile economice</w:t>
      </w:r>
      <w:r w:rsidRPr="00E0488D">
        <w:t xml:space="preserve">, </w:t>
      </w:r>
      <w:r w:rsidRPr="00E0488D">
        <w:rPr>
          <w:rStyle w:val="hps"/>
          <w:rFonts w:cs="Arial"/>
          <w:color w:val="000000" w:themeColor="text1"/>
        </w:rPr>
        <w:t>poziția competitivă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Portului Constanța</w:t>
      </w:r>
      <w:r w:rsidRPr="00E0488D">
        <w:t xml:space="preserve"> </w:t>
      </w:r>
      <w:r w:rsidRPr="00E0488D">
        <w:rPr>
          <w:rStyle w:val="hps"/>
          <w:rFonts w:cs="Arial"/>
          <w:color w:val="000000" w:themeColor="text1"/>
        </w:rPr>
        <w:t>vis-a-</w:t>
      </w:r>
      <w:r w:rsidRPr="00E0488D">
        <w:t xml:space="preserve">vis de </w:t>
      </w:r>
      <w:r w:rsidRPr="00E0488D">
        <w:rPr>
          <w:rStyle w:val="hps"/>
          <w:rFonts w:cs="Arial"/>
          <w:color w:val="000000" w:themeColor="text1"/>
        </w:rPr>
        <w:t>alte</w:t>
      </w:r>
      <w:r w:rsidRPr="00E0488D">
        <w:t xml:space="preserve"> porturi din </w:t>
      </w:r>
      <w:r w:rsidRPr="00E0488D">
        <w:rPr>
          <w:rStyle w:val="hps"/>
          <w:rFonts w:cs="Arial"/>
          <w:color w:val="000000" w:themeColor="text1"/>
        </w:rPr>
        <w:t>Marea Neagră</w:t>
      </w:r>
      <w:r w:rsidRPr="00E0488D">
        <w:t xml:space="preserve">, </w:t>
      </w:r>
      <w:r w:rsidRPr="00E0488D">
        <w:rPr>
          <w:rStyle w:val="hps"/>
          <w:rFonts w:cs="Arial"/>
          <w:color w:val="000000" w:themeColor="text1"/>
        </w:rPr>
        <w:t>Marea Mediterană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porturile</w:t>
      </w:r>
      <w:r w:rsidRPr="00E0488D">
        <w:t xml:space="preserve"> </w:t>
      </w:r>
      <w:r w:rsidRPr="00E0488D">
        <w:rPr>
          <w:rStyle w:val="hps"/>
          <w:rFonts w:cs="Arial"/>
          <w:color w:val="000000" w:themeColor="text1"/>
        </w:rPr>
        <w:t>din Europa de Nord</w:t>
      </w:r>
      <w:r w:rsidRPr="00E0488D">
        <w:t xml:space="preserve">, </w:t>
      </w:r>
      <w:r w:rsidRPr="00E0488D">
        <w:rPr>
          <w:rStyle w:val="hps"/>
          <w:rFonts w:cs="Arial"/>
          <w:color w:val="000000" w:themeColor="text1"/>
        </w:rPr>
        <w:t>investițiile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de stabilirea prețurilor</w:t>
      </w:r>
      <w:r w:rsidRPr="00E0488D">
        <w:t xml:space="preserve">, </w:t>
      </w:r>
      <w:r w:rsidRPr="00E0488D">
        <w:rPr>
          <w:rStyle w:val="hps"/>
          <w:rFonts w:cs="Arial"/>
          <w:color w:val="000000" w:themeColor="text1"/>
        </w:rPr>
        <w:t>nivelul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servicii</w:t>
      </w:r>
      <w:r w:rsidRPr="00E0488D">
        <w:t xml:space="preserve"> </w:t>
      </w:r>
      <w:r w:rsidRPr="00E0488D">
        <w:rPr>
          <w:rStyle w:val="hps"/>
          <w:rFonts w:cs="Arial"/>
          <w:color w:val="000000" w:themeColor="text1"/>
        </w:rPr>
        <w:t>oferite</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operatorii</w:t>
      </w:r>
      <w:r w:rsidRPr="00E0488D">
        <w:t xml:space="preserve"> </w:t>
      </w:r>
      <w:r w:rsidRPr="00E0488D">
        <w:rPr>
          <w:rStyle w:val="hps"/>
          <w:rFonts w:cs="Arial"/>
          <w:color w:val="000000" w:themeColor="text1"/>
        </w:rPr>
        <w:t>de transport feroviar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rutier din interiorul</w:t>
      </w:r>
      <w:r w:rsidRPr="00E0488D">
        <w:t xml:space="preserve"> </w:t>
      </w:r>
      <w:r w:rsidRPr="00E0488D">
        <w:rPr>
          <w:rStyle w:val="hps"/>
          <w:rFonts w:cs="Arial"/>
          <w:color w:val="000000" w:themeColor="text1"/>
        </w:rPr>
        <w:t>României</w:t>
      </w:r>
      <w:r w:rsidRPr="00E0488D">
        <w:t xml:space="preserve">, precum </w:t>
      </w:r>
      <w:r w:rsidRPr="00E0488D">
        <w:rPr>
          <w:rStyle w:val="hps"/>
          <w:rFonts w:cs="Arial"/>
          <w:color w:val="000000" w:themeColor="text1"/>
        </w:rPr>
        <w:t>și acordurile</w:t>
      </w:r>
      <w:r w:rsidRPr="00E0488D">
        <w:t xml:space="preserve"> </w:t>
      </w:r>
      <w:r w:rsidRPr="00E0488D">
        <w:rPr>
          <w:rStyle w:val="hps"/>
          <w:rFonts w:cs="Arial"/>
          <w:color w:val="000000" w:themeColor="text1"/>
        </w:rPr>
        <w:t>comerciale</w:t>
      </w:r>
      <w:r w:rsidRPr="00E0488D">
        <w:t xml:space="preserve"> </w:t>
      </w:r>
      <w:r w:rsidRPr="00E0488D">
        <w:rPr>
          <w:rStyle w:val="hps"/>
          <w:rFonts w:cs="Arial"/>
          <w:color w:val="000000" w:themeColor="text1"/>
        </w:rPr>
        <w:t>dintre expeditori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consumatorii finali</w:t>
      </w:r>
      <w:r w:rsidRPr="00E0488D">
        <w:t xml:space="preserve">. Se va vedea </w:t>
      </w:r>
      <w:r w:rsidRPr="00E0488D">
        <w:rPr>
          <w:rStyle w:val="hps"/>
          <w:rFonts w:cs="Arial"/>
          <w:color w:val="000000" w:themeColor="text1"/>
        </w:rPr>
        <w:t>dacă se vor putea realiza</w:t>
      </w:r>
      <w:r w:rsidRPr="00E0488D">
        <w:t xml:space="preserve"> </w:t>
      </w:r>
      <w:r w:rsidRPr="00E0488D">
        <w:rPr>
          <w:rStyle w:val="hps"/>
          <w:rFonts w:cs="Arial"/>
          <w:color w:val="000000" w:themeColor="text1"/>
        </w:rPr>
        <w:t>astfel de volume</w:t>
      </w:r>
      <w:r w:rsidRPr="00E0488D">
        <w:t xml:space="preserve">, având în vedere </w:t>
      </w:r>
      <w:r w:rsidRPr="00E0488D">
        <w:rPr>
          <w:rStyle w:val="hps"/>
          <w:rFonts w:cs="Arial"/>
          <w:color w:val="000000" w:themeColor="text1"/>
        </w:rPr>
        <w:t>situația actuală</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2011</w:t>
      </w:r>
      <w:r w:rsidRPr="00E0488D">
        <w:t xml:space="preserve"> în Portul </w:t>
      </w:r>
      <w:r w:rsidRPr="00E0488D">
        <w:rPr>
          <w:rStyle w:val="hps"/>
          <w:rFonts w:cs="Arial"/>
          <w:color w:val="000000" w:themeColor="text1"/>
        </w:rPr>
        <w:t>Constanta</w:t>
      </w:r>
      <w:r w:rsidRPr="00E0488D">
        <w:t xml:space="preserve"> </w:t>
      </w:r>
      <w:r w:rsidRPr="00E0488D">
        <w:rPr>
          <w:rStyle w:val="hps"/>
          <w:rFonts w:cs="Arial"/>
          <w:color w:val="000000" w:themeColor="text1"/>
        </w:rPr>
        <w:t>s-au operat</w:t>
      </w:r>
      <w:r w:rsidRPr="00E0488D">
        <w:t xml:space="preserve"> </w:t>
      </w:r>
      <w:r w:rsidRPr="00E0488D">
        <w:rPr>
          <w:rStyle w:val="hps"/>
          <w:rFonts w:cs="Arial"/>
          <w:color w:val="000000" w:themeColor="text1"/>
        </w:rPr>
        <w:t>662.000</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este clar</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există cel puțin</w:t>
      </w:r>
      <w:r w:rsidRPr="00E0488D">
        <w:t xml:space="preserve"> </w:t>
      </w:r>
      <w:r w:rsidRPr="00E0488D">
        <w:rPr>
          <w:rStyle w:val="hps"/>
          <w:rFonts w:cs="Arial"/>
          <w:color w:val="000000" w:themeColor="text1"/>
        </w:rPr>
        <w:t>un potențial</w:t>
      </w:r>
      <w:r w:rsidRPr="00E0488D">
        <w:t xml:space="preserve"> </w:t>
      </w:r>
      <w:r w:rsidRPr="00E0488D">
        <w:rPr>
          <w:rStyle w:val="hps"/>
          <w:rFonts w:cs="Arial"/>
          <w:color w:val="000000" w:themeColor="text1"/>
        </w:rPr>
        <w:t>pentru un transfer</w:t>
      </w:r>
      <w:r w:rsidRPr="00E0488D">
        <w:t xml:space="preserve"> </w:t>
      </w:r>
      <w:r w:rsidRPr="00E0488D">
        <w:rPr>
          <w:rStyle w:val="hps"/>
          <w:rFonts w:cs="Arial"/>
          <w:color w:val="000000" w:themeColor="text1"/>
        </w:rPr>
        <w:t>mai mare</w:t>
      </w:r>
      <w:r w:rsidRPr="00E0488D">
        <w:t xml:space="preserve"> </w:t>
      </w:r>
      <w:r w:rsidRPr="00E0488D">
        <w:rPr>
          <w:rStyle w:val="hps"/>
          <w:rFonts w:cs="Arial"/>
          <w:color w:val="000000" w:themeColor="text1"/>
        </w:rPr>
        <w:t>de containere în Portul</w:t>
      </w:r>
      <w:r w:rsidRPr="00E0488D">
        <w:t xml:space="preserve"> </w:t>
      </w:r>
      <w:r w:rsidRPr="00E0488D">
        <w:rPr>
          <w:rStyle w:val="hps"/>
          <w:rFonts w:cs="Arial"/>
          <w:color w:val="000000" w:themeColor="text1"/>
        </w:rPr>
        <w:t>Constanta</w:t>
      </w:r>
      <w:r w:rsidRPr="00E0488D">
        <w:t xml:space="preserve">,  dar și </w:t>
      </w:r>
      <w:r w:rsidRPr="00E0488D">
        <w:rPr>
          <w:rStyle w:val="hps"/>
          <w:rFonts w:cs="Arial"/>
          <w:color w:val="000000" w:themeColor="text1"/>
        </w:rPr>
        <w:t>pentru</w:t>
      </w:r>
      <w:r w:rsidRPr="00E0488D">
        <w:t xml:space="preserve"> </w:t>
      </w:r>
      <w:r w:rsidRPr="00E0488D">
        <w:rPr>
          <w:rStyle w:val="hps"/>
          <w:rFonts w:cs="Arial"/>
          <w:color w:val="000000" w:themeColor="text1"/>
        </w:rPr>
        <w:t>transportul intermodal</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România</w:t>
      </w:r>
      <w:r w:rsidRPr="00E0488D">
        <w:rPr>
          <w:lang w:eastAsia="en-GB"/>
        </w:rPr>
        <w:t>.</w:t>
      </w:r>
    </w:p>
    <w:p w:rsidR="00BD59B2" w:rsidRPr="00E0488D" w:rsidRDefault="00BD59B2" w:rsidP="00BD59B2">
      <w:pPr>
        <w:pStyle w:val="Hdg3"/>
        <w:spacing w:after="120"/>
      </w:pPr>
      <w:r w:rsidRPr="00E0488D">
        <w:t xml:space="preserve"> Operațiunile de transport intermodal existente</w:t>
      </w:r>
    </w:p>
    <w:p w:rsidR="00BD59B2" w:rsidRPr="00E0488D" w:rsidRDefault="00BD59B2" w:rsidP="002B7E09">
      <w:pPr>
        <w:pStyle w:val="NumberedParas"/>
      </w:pPr>
      <w:r w:rsidRPr="00E0488D">
        <w:rPr>
          <w:rStyle w:val="hps"/>
          <w:rFonts w:cs="Arial"/>
          <w:color w:val="000000" w:themeColor="text1"/>
        </w:rPr>
        <w:t>Portul</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de la Marea Neagră</w:t>
      </w:r>
      <w:r w:rsidRPr="00E0488D">
        <w:t xml:space="preserve">  </w:t>
      </w:r>
      <w:r w:rsidRPr="00E0488D">
        <w:rPr>
          <w:rStyle w:val="hps"/>
          <w:rFonts w:cs="Arial"/>
          <w:color w:val="000000" w:themeColor="text1"/>
        </w:rPr>
        <w:t>este gazda</w:t>
      </w:r>
      <w:r w:rsidRPr="00E0488D">
        <w:t xml:space="preserve"> </w:t>
      </w:r>
      <w:r w:rsidRPr="00E0488D">
        <w:rPr>
          <w:rStyle w:val="hps"/>
          <w:rFonts w:cs="Arial"/>
          <w:color w:val="000000" w:themeColor="text1"/>
        </w:rPr>
        <w:t>celui mai mare port</w:t>
      </w:r>
      <w:r w:rsidRPr="00E0488D">
        <w:t xml:space="preserve"> </w:t>
      </w:r>
      <w:r w:rsidRPr="00E0488D">
        <w:rPr>
          <w:rStyle w:val="hps"/>
          <w:rFonts w:cs="Arial"/>
          <w:color w:val="000000" w:themeColor="text1"/>
        </w:rPr>
        <w:t>de containere din</w:t>
      </w:r>
      <w:r w:rsidRPr="00E0488D">
        <w:t xml:space="preserve"> </w:t>
      </w:r>
      <w:r w:rsidRPr="00E0488D">
        <w:rPr>
          <w:rStyle w:val="hps"/>
          <w:rFonts w:cs="Arial"/>
          <w:color w:val="000000" w:themeColor="text1"/>
        </w:rPr>
        <w:t>Marea Neagră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este situat strategic</w:t>
      </w:r>
      <w:r w:rsidRPr="00E0488D">
        <w:t xml:space="preserve"> </w:t>
      </w:r>
      <w:r w:rsidRPr="00E0488D">
        <w:rPr>
          <w:rStyle w:val="hps"/>
          <w:rFonts w:cs="Arial"/>
          <w:color w:val="000000" w:themeColor="text1"/>
        </w:rPr>
        <w:t>la gura</w:t>
      </w:r>
      <w:r w:rsidRPr="00E0488D">
        <w:t xml:space="preserve"> </w:t>
      </w:r>
      <w:r w:rsidRPr="00E0488D">
        <w:rPr>
          <w:rStyle w:val="hps"/>
          <w:rFonts w:cs="Arial"/>
          <w:color w:val="000000" w:themeColor="text1"/>
        </w:rPr>
        <w:t>Canalului</w:t>
      </w:r>
      <w:r w:rsidRPr="00E0488D">
        <w:t xml:space="preserve"> </w:t>
      </w:r>
      <w:r w:rsidRPr="00E0488D">
        <w:rPr>
          <w:rStyle w:val="hps"/>
          <w:rFonts w:cs="Arial"/>
          <w:color w:val="000000" w:themeColor="text1"/>
        </w:rPr>
        <w:t>Dunăre-Marea</w:t>
      </w:r>
      <w:r w:rsidRPr="00E0488D">
        <w:t xml:space="preserve"> </w:t>
      </w:r>
      <w:r w:rsidRPr="00E0488D">
        <w:rPr>
          <w:rStyle w:val="hps"/>
          <w:rFonts w:cs="Arial"/>
          <w:color w:val="000000" w:themeColor="text1"/>
        </w:rPr>
        <w:t>Neagră</w:t>
      </w:r>
      <w:r w:rsidRPr="00E0488D">
        <w:t xml:space="preserve">, care </w:t>
      </w:r>
      <w:r w:rsidRPr="00E0488D">
        <w:rPr>
          <w:rStyle w:val="hps"/>
          <w:rFonts w:cs="Arial"/>
          <w:color w:val="000000" w:themeColor="text1"/>
        </w:rPr>
        <w:t>alimentează</w:t>
      </w:r>
      <w:r w:rsidRPr="00E0488D">
        <w:t xml:space="preserve"> </w:t>
      </w:r>
      <w:r w:rsidRPr="00E0488D">
        <w:rPr>
          <w:rStyle w:val="hps"/>
          <w:rFonts w:cs="Arial"/>
          <w:color w:val="000000" w:themeColor="text1"/>
        </w:rPr>
        <w:t>mărfuri spre centrul</w:t>
      </w:r>
      <w:r w:rsidRPr="00E0488D">
        <w:t xml:space="preserve"> </w:t>
      </w:r>
      <w:r w:rsidRPr="00E0488D">
        <w:rPr>
          <w:rStyle w:val="hps"/>
          <w:rFonts w:cs="Arial"/>
          <w:color w:val="000000" w:themeColor="text1"/>
        </w:rPr>
        <w:t>Europei</w:t>
      </w:r>
      <w:r w:rsidRPr="00E0488D">
        <w:t xml:space="preserve"> </w:t>
      </w:r>
      <w:r w:rsidRPr="00E0488D">
        <w:rPr>
          <w:rStyle w:val="hps"/>
          <w:rFonts w:cs="Arial"/>
          <w:color w:val="000000" w:themeColor="text1"/>
        </w:rPr>
        <w:t>Centrale și de Est</w:t>
      </w:r>
      <w:r w:rsidRPr="00E0488D">
        <w:t xml:space="preserve">. În 2007 în </w:t>
      </w:r>
      <w:r w:rsidRPr="00E0488D">
        <w:rPr>
          <w:rStyle w:val="hps"/>
          <w:rFonts w:cs="Arial"/>
          <w:color w:val="000000" w:themeColor="text1"/>
        </w:rPr>
        <w:t>Portul</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s-au operat</w:t>
      </w:r>
      <w:r w:rsidRPr="00E0488D">
        <w:t xml:space="preserve"> </w:t>
      </w:r>
      <w:r w:rsidRPr="00E0488D">
        <w:rPr>
          <w:rStyle w:val="hps"/>
          <w:rFonts w:cs="Arial"/>
          <w:color w:val="000000" w:themeColor="text1"/>
        </w:rPr>
        <w:t>1,41 milioane</w:t>
      </w:r>
      <w:r w:rsidRPr="00E0488D">
        <w:t xml:space="preserve"> </w:t>
      </w:r>
      <w:r w:rsidRPr="00E0488D">
        <w:rPr>
          <w:rStyle w:val="hps"/>
          <w:rFonts w:cs="Arial"/>
          <w:color w:val="000000" w:themeColor="text1"/>
        </w:rPr>
        <w:t>TEU, înainte</w:t>
      </w:r>
      <w:r w:rsidRPr="00E0488D">
        <w:t xml:space="preserve"> </w:t>
      </w:r>
      <w:r w:rsidRPr="00E0488D">
        <w:rPr>
          <w:rStyle w:val="hps"/>
          <w:rFonts w:cs="Arial"/>
          <w:color w:val="000000" w:themeColor="text1"/>
        </w:rPr>
        <w:t>de criza economică</w:t>
      </w:r>
      <w:r w:rsidRPr="00E0488D">
        <w:t xml:space="preserve">, </w:t>
      </w:r>
      <w:r w:rsidRPr="00E0488D">
        <w:rPr>
          <w:rStyle w:val="hps"/>
          <w:rFonts w:cs="Arial"/>
          <w:color w:val="000000" w:themeColor="text1"/>
        </w:rPr>
        <w:t>contribuind la</w:t>
      </w:r>
      <w:r w:rsidRPr="00E0488D">
        <w:t xml:space="preserve"> </w:t>
      </w:r>
      <w:r w:rsidRPr="00E0488D">
        <w:rPr>
          <w:rStyle w:val="hps"/>
          <w:rFonts w:cs="Arial"/>
          <w:color w:val="000000" w:themeColor="text1"/>
        </w:rPr>
        <w:t>volume care au fost reduse la mai mult de jumătate,</w:t>
      </w:r>
      <w:r w:rsidRPr="00E0488D">
        <w:t xml:space="preserve"> l</w:t>
      </w:r>
      <w:r w:rsidRPr="00E0488D">
        <w:rPr>
          <w:rStyle w:val="hps"/>
          <w:rFonts w:cs="Arial"/>
          <w:color w:val="000000" w:themeColor="text1"/>
        </w:rPr>
        <w:t>a</w:t>
      </w:r>
      <w:r w:rsidRPr="00E0488D">
        <w:t xml:space="preserve"> </w:t>
      </w:r>
      <w:r w:rsidRPr="00E0488D">
        <w:rPr>
          <w:rStyle w:val="hps"/>
          <w:rFonts w:cs="Arial"/>
          <w:color w:val="000000" w:themeColor="text1"/>
        </w:rPr>
        <w:t>doar</w:t>
      </w:r>
      <w:r w:rsidRPr="00E0488D">
        <w:t xml:space="preserve"> </w:t>
      </w:r>
      <w:r w:rsidRPr="00E0488D">
        <w:rPr>
          <w:rStyle w:val="hps"/>
          <w:rFonts w:cs="Arial"/>
          <w:color w:val="000000" w:themeColor="text1"/>
        </w:rPr>
        <w:t>557.000</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2010.</w:t>
      </w:r>
      <w:r w:rsidRPr="00E0488D">
        <w:t xml:space="preserve"> </w:t>
      </w:r>
      <w:r w:rsidRPr="00E0488D">
        <w:rPr>
          <w:rStyle w:val="hps"/>
          <w:rFonts w:cs="Arial"/>
          <w:color w:val="000000" w:themeColor="text1"/>
        </w:rPr>
        <w:t>Această tendință de scădere</w:t>
      </w:r>
      <w:r w:rsidRPr="00E0488D">
        <w:t xml:space="preserve"> s-</w:t>
      </w:r>
      <w:r w:rsidRPr="00E0488D">
        <w:rPr>
          <w:rStyle w:val="hps"/>
          <w:rFonts w:cs="Arial"/>
          <w:color w:val="000000" w:themeColor="text1"/>
        </w:rPr>
        <w:t>a</w:t>
      </w:r>
      <w:r w:rsidRPr="00E0488D">
        <w:t xml:space="preserve"> </w:t>
      </w:r>
      <w:r w:rsidRPr="00E0488D">
        <w:rPr>
          <w:rStyle w:val="hps"/>
          <w:rFonts w:cs="Arial"/>
          <w:color w:val="000000" w:themeColor="text1"/>
        </w:rPr>
        <w:t>inversat</w:t>
      </w:r>
      <w:r w:rsidRPr="00E0488D">
        <w:t xml:space="preserve"> </w:t>
      </w:r>
      <w:r w:rsidRPr="00E0488D">
        <w:rPr>
          <w:rStyle w:val="hps"/>
          <w:rFonts w:cs="Arial"/>
          <w:color w:val="000000" w:themeColor="text1"/>
        </w:rPr>
        <w:t>ușor</w:t>
      </w:r>
      <w:r w:rsidRPr="00E0488D">
        <w:t xml:space="preserve"> </w:t>
      </w:r>
      <w:r w:rsidRPr="00E0488D">
        <w:rPr>
          <w:rStyle w:val="hps"/>
          <w:rFonts w:cs="Arial"/>
          <w:color w:val="000000" w:themeColor="text1"/>
        </w:rPr>
        <w:t>prin creșterea</w:t>
      </w:r>
      <w:r w:rsidRPr="00E0488D">
        <w:t xml:space="preserve"> </w:t>
      </w:r>
      <w:r w:rsidRPr="00E0488D">
        <w:rPr>
          <w:rStyle w:val="hps"/>
          <w:rFonts w:cs="Arial"/>
          <w:color w:val="000000" w:themeColor="text1"/>
        </w:rPr>
        <w:t>volume</w:t>
      </w:r>
      <w:r w:rsidRPr="00E0488D">
        <w:t xml:space="preserve">lor </w:t>
      </w:r>
      <w:r w:rsidRPr="00E0488D">
        <w:rPr>
          <w:rStyle w:val="hps"/>
          <w:rFonts w:cs="Arial"/>
          <w:color w:val="000000" w:themeColor="text1"/>
        </w:rPr>
        <w:t>la</w:t>
      </w:r>
      <w:r w:rsidRPr="00E0488D">
        <w:t xml:space="preserve"> </w:t>
      </w:r>
      <w:r w:rsidRPr="00E0488D">
        <w:rPr>
          <w:rStyle w:val="hps"/>
          <w:rFonts w:cs="Arial"/>
          <w:color w:val="000000" w:themeColor="text1"/>
        </w:rPr>
        <w:t>663.000</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2011</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reprezintă în continuare</w:t>
      </w:r>
      <w:r w:rsidRPr="00E0488D">
        <w:t xml:space="preserve"> </w:t>
      </w:r>
      <w:r w:rsidRPr="00E0488D">
        <w:rPr>
          <w:rStyle w:val="hps"/>
          <w:rFonts w:cs="Arial"/>
          <w:color w:val="000000" w:themeColor="text1"/>
        </w:rPr>
        <w:t>doar</w:t>
      </w:r>
      <w:r w:rsidRPr="00E0488D">
        <w:t xml:space="preserve"> </w:t>
      </w:r>
      <w:r w:rsidRPr="00E0488D">
        <w:rPr>
          <w:rStyle w:val="hps"/>
          <w:rFonts w:cs="Arial"/>
          <w:color w:val="000000" w:themeColor="text1"/>
        </w:rPr>
        <w:t>47</w:t>
      </w:r>
      <w:r w:rsidRPr="00E0488D">
        <w:t xml:space="preserve">% din volumele din </w:t>
      </w:r>
      <w:r w:rsidRPr="00E0488D">
        <w:rPr>
          <w:rStyle w:val="hps"/>
          <w:rFonts w:cs="Arial"/>
          <w:color w:val="000000" w:themeColor="text1"/>
        </w:rPr>
        <w:t>2007</w:t>
      </w:r>
      <w:r w:rsidRPr="00E0488D">
        <w:t>.</w:t>
      </w:r>
    </w:p>
    <w:p w:rsidR="00BD59B2" w:rsidRPr="00E0488D" w:rsidRDefault="00BD59B2" w:rsidP="002B7E09">
      <w:pPr>
        <w:pStyle w:val="NumberedParas"/>
        <w:rPr>
          <w:lang w:eastAsia="en-GB"/>
        </w:rPr>
      </w:pPr>
      <w:r w:rsidRPr="00E0488D">
        <w:rPr>
          <w:rStyle w:val="hps"/>
          <w:rFonts w:cs="Arial"/>
          <w:color w:val="000000" w:themeColor="text1"/>
        </w:rPr>
        <w:t>Portul Constanța</w:t>
      </w:r>
      <w:r w:rsidRPr="00E0488D">
        <w:t xml:space="preserve"> se confruntă de asemenea cu competiția </w:t>
      </w:r>
      <w:r w:rsidRPr="00E0488D">
        <w:rPr>
          <w:rStyle w:val="hps"/>
          <w:rFonts w:cs="Arial"/>
          <w:color w:val="000000" w:themeColor="text1"/>
        </w:rPr>
        <w:t>Portului Illichivsk</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Ucraina</w:t>
      </w:r>
      <w:r w:rsidRPr="00E0488D">
        <w:t xml:space="preserve">. </w:t>
      </w:r>
      <w:r w:rsidRPr="00E0488D">
        <w:rPr>
          <w:rStyle w:val="hps"/>
          <w:rFonts w:cs="Arial"/>
          <w:color w:val="000000" w:themeColor="text1"/>
        </w:rPr>
        <w:t>Căile interne ale Portului</w:t>
      </w:r>
      <w:r w:rsidRPr="00E0488D">
        <w:t xml:space="preserve"> </w:t>
      </w:r>
      <w:r w:rsidRPr="00E0488D">
        <w:rPr>
          <w:rStyle w:val="hps"/>
          <w:rFonts w:cs="Arial"/>
          <w:color w:val="000000" w:themeColor="text1"/>
        </w:rPr>
        <w:t>Illichivsk</w:t>
      </w:r>
      <w:r w:rsidRPr="00E0488D">
        <w:t xml:space="preserve"> </w:t>
      </w:r>
      <w:r w:rsidRPr="00E0488D">
        <w:rPr>
          <w:rStyle w:val="hps"/>
          <w:rFonts w:cs="Arial"/>
          <w:color w:val="000000" w:themeColor="text1"/>
        </w:rPr>
        <w:t>spre</w:t>
      </w:r>
      <w:r w:rsidRPr="00E0488D">
        <w:t xml:space="preserve"> </w:t>
      </w:r>
      <w:r w:rsidRPr="00E0488D">
        <w:rPr>
          <w:rStyle w:val="hps"/>
          <w:rFonts w:cs="Arial"/>
          <w:color w:val="000000" w:themeColor="text1"/>
        </w:rPr>
        <w:t>Rusia</w:t>
      </w:r>
      <w:r w:rsidRPr="00E0488D">
        <w:t xml:space="preserve">, </w:t>
      </w:r>
      <w:r w:rsidRPr="00E0488D">
        <w:rPr>
          <w:rStyle w:val="hps"/>
          <w:rFonts w:cs="Arial"/>
          <w:color w:val="000000" w:themeColor="text1"/>
        </w:rPr>
        <w:t>Statele Baltice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Europa de Nord</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eventual</w:t>
      </w:r>
      <w:r w:rsidRPr="00E0488D">
        <w:t xml:space="preserve"> </w:t>
      </w:r>
      <w:r w:rsidRPr="00E0488D">
        <w:rPr>
          <w:rStyle w:val="hps"/>
          <w:rFonts w:cs="Arial"/>
          <w:color w:val="000000" w:themeColor="text1"/>
        </w:rPr>
        <w:t>mai scurte</w:t>
      </w:r>
      <w:r w:rsidRPr="00E0488D">
        <w:t xml:space="preserve"> </w:t>
      </w:r>
      <w:r w:rsidRPr="00E0488D">
        <w:rPr>
          <w:rStyle w:val="hps"/>
          <w:rFonts w:cs="Arial"/>
          <w:color w:val="000000" w:themeColor="text1"/>
        </w:rPr>
        <w:t>și mai rapide</w:t>
      </w:r>
      <w:r w:rsidRPr="00E0488D">
        <w:t xml:space="preserve"> </w:t>
      </w:r>
      <w:r w:rsidRPr="00E0488D">
        <w:rPr>
          <w:rStyle w:val="hps"/>
          <w:rFonts w:cs="Arial"/>
          <w:color w:val="000000" w:themeColor="text1"/>
        </w:rPr>
        <w:t>decât</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România</w:t>
      </w:r>
      <w:r w:rsidRPr="00E0488D">
        <w:t xml:space="preserve">, care are </w:t>
      </w:r>
      <w:r w:rsidRPr="00E0488D">
        <w:rPr>
          <w:rStyle w:val="hps"/>
          <w:rFonts w:cs="Arial"/>
          <w:color w:val="000000" w:themeColor="text1"/>
        </w:rPr>
        <w:t>o</w:t>
      </w:r>
      <w:r w:rsidRPr="00E0488D">
        <w:t xml:space="preserve"> </w:t>
      </w:r>
      <w:r w:rsidRPr="00E0488D">
        <w:rPr>
          <w:rStyle w:val="hps"/>
          <w:rFonts w:cs="Arial"/>
          <w:color w:val="000000" w:themeColor="text1"/>
        </w:rPr>
        <w:t>infrastructură</w:t>
      </w:r>
      <w:r w:rsidRPr="00E0488D">
        <w:t xml:space="preserve"> </w:t>
      </w:r>
      <w:r w:rsidRPr="00E0488D">
        <w:rPr>
          <w:rStyle w:val="hps"/>
          <w:rFonts w:cs="Arial"/>
          <w:color w:val="000000" w:themeColor="text1"/>
        </w:rPr>
        <w:t>săracă</w:t>
      </w:r>
      <w:r w:rsidRPr="00E0488D">
        <w:t xml:space="preserve">. </w:t>
      </w:r>
      <w:r w:rsidRPr="00E0488D">
        <w:rPr>
          <w:rStyle w:val="hps"/>
          <w:rFonts w:cs="Arial"/>
          <w:color w:val="000000" w:themeColor="text1"/>
        </w:rPr>
        <w:t>În 2008</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Illichivsk</w:t>
      </w:r>
      <w:r w:rsidRPr="00E0488D">
        <w:t xml:space="preserve"> a </w:t>
      </w:r>
      <w:r w:rsidRPr="00E0488D">
        <w:rPr>
          <w:rStyle w:val="hps"/>
          <w:rFonts w:cs="Arial"/>
          <w:color w:val="000000" w:themeColor="text1"/>
        </w:rPr>
        <w:t>ajuns la marca</w:t>
      </w:r>
      <w:r w:rsidRPr="00E0488D">
        <w:t xml:space="preserve"> </w:t>
      </w:r>
      <w:r w:rsidRPr="00E0488D">
        <w:rPr>
          <w:rStyle w:val="hps"/>
          <w:rFonts w:cs="Arial"/>
          <w:color w:val="000000" w:themeColor="text1"/>
        </w:rPr>
        <w:t>de jumătate de</w:t>
      </w:r>
      <w:r w:rsidRPr="00E0488D">
        <w:t xml:space="preserve"> </w:t>
      </w:r>
      <w:r w:rsidRPr="00E0488D">
        <w:rPr>
          <w:rStyle w:val="hps"/>
          <w:rFonts w:cs="Arial"/>
          <w:color w:val="000000" w:themeColor="text1"/>
        </w:rPr>
        <w:t>milion</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transbordări 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devenind astfel</w:t>
      </w:r>
      <w:r w:rsidRPr="00E0488D">
        <w:t xml:space="preserve"> principalul </w:t>
      </w:r>
      <w:r w:rsidRPr="00E0488D">
        <w:rPr>
          <w:rStyle w:val="hps"/>
          <w:rFonts w:cs="Arial"/>
          <w:color w:val="000000" w:themeColor="text1"/>
        </w:rPr>
        <w:t>port 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al</w:t>
      </w:r>
      <w:r w:rsidRPr="00E0488D">
        <w:t xml:space="preserve"> </w:t>
      </w:r>
      <w:r w:rsidRPr="00E0488D">
        <w:rPr>
          <w:rStyle w:val="hps"/>
          <w:rFonts w:cs="Arial"/>
          <w:color w:val="000000" w:themeColor="text1"/>
        </w:rPr>
        <w:t>Ucrainei</w:t>
      </w:r>
      <w:r w:rsidRPr="00E0488D">
        <w:rPr>
          <w:lang w:eastAsia="en-GB"/>
        </w:rPr>
        <w:t xml:space="preserve">. </w:t>
      </w:r>
    </w:p>
    <w:p w:rsidR="00BD59B2" w:rsidRPr="00E0488D" w:rsidRDefault="00BD59B2" w:rsidP="002B7E09">
      <w:pPr>
        <w:pStyle w:val="NumberedParas"/>
      </w:pPr>
      <w:r w:rsidRPr="00E0488D">
        <w:rPr>
          <w:rStyle w:val="hps"/>
          <w:rFonts w:cs="Arial"/>
          <w:color w:val="000000" w:themeColor="text1"/>
        </w:rPr>
        <w:t>Portul</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reacționează la</w:t>
      </w:r>
      <w:r w:rsidRPr="00E0488D">
        <w:t xml:space="preserve"> </w:t>
      </w:r>
      <w:r w:rsidRPr="00E0488D">
        <w:rPr>
          <w:rStyle w:val="hps"/>
          <w:rFonts w:cs="Arial"/>
          <w:color w:val="000000" w:themeColor="text1"/>
        </w:rPr>
        <w:t>concurență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caută</w:t>
      </w:r>
      <w:r w:rsidRPr="00E0488D">
        <w:t xml:space="preserve"> </w:t>
      </w:r>
      <w:r w:rsidRPr="00E0488D">
        <w:rPr>
          <w:rStyle w:val="hps"/>
          <w:rFonts w:cs="Arial"/>
          <w:color w:val="000000" w:themeColor="text1"/>
        </w:rPr>
        <w:t>mai multe</w:t>
      </w:r>
      <w:r w:rsidRPr="00E0488D">
        <w:t xml:space="preserve"> </w:t>
      </w:r>
      <w:r w:rsidRPr="00E0488D">
        <w:rPr>
          <w:rStyle w:val="hps"/>
          <w:rFonts w:cs="Arial"/>
          <w:color w:val="000000" w:themeColor="text1"/>
        </w:rPr>
        <w:t>parteneriate</w:t>
      </w:r>
      <w:r w:rsidRPr="00E0488D">
        <w:t xml:space="preserve">. </w:t>
      </w:r>
      <w:r w:rsidRPr="00E0488D">
        <w:rPr>
          <w:rStyle w:val="hps"/>
          <w:rFonts w:cs="Arial"/>
          <w:color w:val="000000" w:themeColor="text1"/>
        </w:rPr>
        <w:t>In</w:t>
      </w:r>
      <w:r w:rsidRPr="00E0488D">
        <w:t xml:space="preserve"> </w:t>
      </w:r>
      <w:r w:rsidRPr="00E0488D">
        <w:rPr>
          <w:rStyle w:val="hps"/>
          <w:rFonts w:cs="Arial"/>
          <w:color w:val="000000" w:themeColor="text1"/>
        </w:rPr>
        <w:t>ultimii doi ani,</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a semnat</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protocol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cooperare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domeniul</w:t>
      </w:r>
      <w:r w:rsidRPr="00E0488D">
        <w:t xml:space="preserve"> </w:t>
      </w:r>
      <w:r w:rsidRPr="00E0488D">
        <w:rPr>
          <w:rStyle w:val="hps"/>
          <w:rFonts w:cs="Arial"/>
          <w:color w:val="000000" w:themeColor="text1"/>
        </w:rPr>
        <w:t>infrastructurii de transport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 port</w:t>
      </w:r>
      <w:r w:rsidRPr="00E0488D">
        <w:t xml:space="preserve"> </w:t>
      </w:r>
      <w:r w:rsidRPr="00E0488D">
        <w:rPr>
          <w:rStyle w:val="hps"/>
          <w:rFonts w:cs="Arial"/>
          <w:color w:val="000000" w:themeColor="text1"/>
        </w:rPr>
        <w:t>maritim</w:t>
      </w:r>
      <w:r w:rsidRPr="00E0488D">
        <w:t xml:space="preserve">, de exemplu, </w:t>
      </w:r>
      <w:r w:rsidRPr="00E0488D">
        <w:rPr>
          <w:rStyle w:val="hps"/>
          <w:rFonts w:cs="Arial"/>
          <w:color w:val="000000" w:themeColor="text1"/>
        </w:rPr>
        <w:t>cu</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Jebel Ali</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Dubai</w:t>
      </w:r>
      <w:r w:rsidRPr="00E0488D">
        <w:t xml:space="preserve">. </w:t>
      </w:r>
      <w:r w:rsidRPr="00E0488D">
        <w:rPr>
          <w:rStyle w:val="hps"/>
          <w:rFonts w:cs="Arial"/>
          <w:color w:val="000000" w:themeColor="text1"/>
        </w:rPr>
        <w:t>Acordul de cooperare</w:t>
      </w:r>
      <w:r w:rsidRPr="00E0488D">
        <w:t xml:space="preserve"> </w:t>
      </w:r>
      <w:r w:rsidRPr="00E0488D">
        <w:rPr>
          <w:rStyle w:val="hps"/>
          <w:rFonts w:cs="Arial"/>
          <w:color w:val="000000" w:themeColor="text1"/>
        </w:rPr>
        <w:t>a fost</w:t>
      </w:r>
      <w:r w:rsidRPr="00E0488D">
        <w:t xml:space="preserve"> </w:t>
      </w:r>
      <w:r w:rsidRPr="00E0488D">
        <w:rPr>
          <w:rStyle w:val="hps"/>
          <w:rFonts w:cs="Arial"/>
          <w:color w:val="000000" w:themeColor="text1"/>
        </w:rPr>
        <w:t>inițiat</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DP World</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operează</w:t>
      </w:r>
      <w:r w:rsidRPr="00E0488D">
        <w:t xml:space="preserve"> </w:t>
      </w:r>
      <w:r w:rsidRPr="00E0488D">
        <w:rPr>
          <w:rStyle w:val="hps"/>
          <w:rFonts w:cs="Arial"/>
          <w:color w:val="000000" w:themeColor="text1"/>
        </w:rPr>
        <w:t>în cele două</w:t>
      </w:r>
      <w:r w:rsidRPr="00E0488D">
        <w:t xml:space="preserve"> </w:t>
      </w:r>
      <w:r w:rsidRPr="00E0488D">
        <w:rPr>
          <w:rStyle w:val="hps"/>
          <w:rFonts w:cs="Arial"/>
          <w:color w:val="000000" w:themeColor="text1"/>
        </w:rPr>
        <w:t>porturi</w:t>
      </w:r>
      <w:r w:rsidRPr="00E0488D">
        <w:t xml:space="preserve">. </w:t>
      </w:r>
      <w:r w:rsidRPr="00E0488D">
        <w:rPr>
          <w:rStyle w:val="hps"/>
          <w:rFonts w:cs="Arial"/>
          <w:color w:val="000000" w:themeColor="text1"/>
        </w:rPr>
        <w:t>Se speră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acest acord va</w:t>
      </w:r>
      <w:r w:rsidRPr="00E0488D">
        <w:t xml:space="preserve"> </w:t>
      </w:r>
      <w:r w:rsidRPr="00E0488D">
        <w:rPr>
          <w:rStyle w:val="hps"/>
          <w:rFonts w:cs="Arial"/>
          <w:color w:val="000000" w:themeColor="text1"/>
        </w:rPr>
        <w:t>duce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creștere a</w:t>
      </w:r>
      <w:r w:rsidRPr="00E0488D">
        <w:t xml:space="preserve"> </w:t>
      </w:r>
      <w:r w:rsidRPr="00E0488D">
        <w:rPr>
          <w:rStyle w:val="hps"/>
          <w:rFonts w:cs="Arial"/>
          <w:color w:val="000000" w:themeColor="text1"/>
        </w:rPr>
        <w:t>fluxurilor</w:t>
      </w:r>
      <w:r w:rsidRPr="00E0488D">
        <w:t xml:space="preserve"> </w:t>
      </w:r>
      <w:r w:rsidRPr="00E0488D">
        <w:rPr>
          <w:rStyle w:val="hps"/>
          <w:rFonts w:cs="Arial"/>
          <w:color w:val="000000" w:themeColor="text1"/>
        </w:rPr>
        <w:t>de marfă</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cele două porturi</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facilitati</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să sprijine inițiativele</w:t>
      </w:r>
      <w:r w:rsidRPr="00E0488D">
        <w:t xml:space="preserve"> </w:t>
      </w:r>
      <w:r w:rsidRPr="00E0488D">
        <w:rPr>
          <w:rStyle w:val="hps"/>
          <w:rFonts w:cs="Arial"/>
          <w:color w:val="000000" w:themeColor="text1"/>
        </w:rPr>
        <w:t>oricărui operator de a</w:t>
      </w:r>
      <w:r w:rsidRPr="00E0488D">
        <w:t xml:space="preserve"> </w:t>
      </w:r>
      <w:r w:rsidRPr="00E0488D">
        <w:rPr>
          <w:rStyle w:val="hps"/>
          <w:rFonts w:cs="Arial"/>
          <w:color w:val="000000" w:themeColor="text1"/>
        </w:rPr>
        <w:t>stabili</w:t>
      </w:r>
      <w:r w:rsidRPr="00E0488D">
        <w:t xml:space="preserve"> </w:t>
      </w:r>
      <w:r w:rsidRPr="00E0488D">
        <w:rPr>
          <w:rStyle w:val="hps"/>
          <w:rFonts w:cs="Arial"/>
          <w:color w:val="000000" w:themeColor="text1"/>
        </w:rPr>
        <w:t>linii</w:t>
      </w:r>
      <w:r w:rsidRPr="00E0488D">
        <w:t xml:space="preserve"> de transport </w:t>
      </w:r>
      <w:r w:rsidRPr="00E0488D">
        <w:rPr>
          <w:rStyle w:val="hps"/>
          <w:rFonts w:cs="Arial"/>
          <w:color w:val="000000" w:themeColor="text1"/>
        </w:rPr>
        <w:t>între cele două porturi</w:t>
      </w:r>
      <w:r w:rsidRPr="00E0488D">
        <w:t>.</w:t>
      </w:r>
    </w:p>
    <w:p w:rsidR="00BD59B2" w:rsidRPr="00E0488D" w:rsidRDefault="00BD59B2" w:rsidP="00BD59B2">
      <w:pPr>
        <w:pStyle w:val="Hdg3"/>
        <w:spacing w:after="120"/>
        <w:rPr>
          <w:i w:val="0"/>
          <w:color w:val="auto"/>
        </w:rPr>
      </w:pPr>
      <w:r w:rsidRPr="00E0488D">
        <w:rPr>
          <w:i w:val="0"/>
          <w:color w:val="auto"/>
        </w:rPr>
        <w:t>Terminalul de containere Constanța Sud (CSCT)</w:t>
      </w:r>
    </w:p>
    <w:p w:rsidR="00BD59B2" w:rsidRPr="00E0488D" w:rsidRDefault="00BD59B2" w:rsidP="002B7E09">
      <w:pPr>
        <w:pStyle w:val="NumberedParas"/>
      </w:pPr>
      <w:r w:rsidRPr="00E0488D">
        <w:rPr>
          <w:rStyle w:val="hps"/>
          <w:rFonts w:cs="Arial"/>
          <w:color w:val="000000" w:themeColor="text1"/>
        </w:rPr>
        <w:t>DP World</w:t>
      </w:r>
      <w:r w:rsidRPr="00E0488D">
        <w:t xml:space="preserve"> </w:t>
      </w:r>
      <w:r w:rsidRPr="00E0488D">
        <w:rPr>
          <w:rStyle w:val="hps"/>
          <w:rFonts w:cs="Arial"/>
          <w:color w:val="000000" w:themeColor="text1"/>
        </w:rPr>
        <w:t>operează</w:t>
      </w:r>
      <w:r w:rsidRPr="00E0488D">
        <w:t xml:space="preserve"> </w:t>
      </w:r>
      <w:r w:rsidRPr="00E0488D">
        <w:rPr>
          <w:rStyle w:val="hps"/>
          <w:rFonts w:cs="Arial"/>
          <w:color w:val="000000" w:themeColor="text1"/>
        </w:rPr>
        <w:t>aproximativ 50 de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30 de țări</w:t>
      </w:r>
      <w:r w:rsidRPr="00E0488D">
        <w:t xml:space="preserve">. </w:t>
      </w:r>
      <w:r w:rsidRPr="00E0488D">
        <w:rPr>
          <w:rStyle w:val="hps"/>
          <w:rFonts w:cs="Arial"/>
          <w:color w:val="000000" w:themeColor="text1"/>
        </w:rPr>
        <w:t>Acesta a decis</w:t>
      </w:r>
      <w:r w:rsidRPr="00E0488D">
        <w:t xml:space="preserve"> </w:t>
      </w:r>
      <w:r w:rsidRPr="00E0488D">
        <w:rPr>
          <w:rStyle w:val="hps"/>
          <w:rFonts w:cs="Arial"/>
          <w:color w:val="000000" w:themeColor="text1"/>
        </w:rPr>
        <w:t>să investească în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o poartă de acces</w:t>
      </w:r>
      <w:r w:rsidRPr="00E0488D">
        <w:t xml:space="preserve"> </w:t>
      </w:r>
      <w:r w:rsidRPr="00E0488D">
        <w:rPr>
          <w:rStyle w:val="hps"/>
          <w:rFonts w:cs="Arial"/>
          <w:color w:val="000000" w:themeColor="text1"/>
        </w:rPr>
        <w:t>spre</w:t>
      </w:r>
      <w:r w:rsidRPr="00E0488D">
        <w:t xml:space="preserve"> </w:t>
      </w:r>
      <w:r w:rsidRPr="00E0488D">
        <w:rPr>
          <w:rStyle w:val="hps"/>
          <w:rFonts w:cs="Arial"/>
          <w:color w:val="000000" w:themeColor="text1"/>
        </w:rPr>
        <w:t>Europa de Est</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începerea operatiunilor</w:t>
      </w:r>
      <w:r w:rsidRPr="00E0488D">
        <w:t xml:space="preserve"> </w:t>
      </w:r>
      <w:r w:rsidRPr="00E0488D">
        <w:rPr>
          <w:rStyle w:val="hps"/>
          <w:rFonts w:cs="Arial"/>
          <w:color w:val="000000" w:themeColor="text1"/>
        </w:rPr>
        <w:t>in 2004</w:t>
      </w:r>
      <w:r w:rsidRPr="00E0488D">
        <w:t xml:space="preserve">, </w:t>
      </w:r>
      <w:r w:rsidRPr="00E0488D">
        <w:rPr>
          <w:rStyle w:val="hps"/>
          <w:rFonts w:cs="Arial"/>
          <w:color w:val="000000" w:themeColor="text1"/>
        </w:rPr>
        <w:t>CSCT</w:t>
      </w:r>
      <w:r w:rsidRPr="00E0488D">
        <w:t xml:space="preserve"> </w:t>
      </w:r>
      <w:r w:rsidRPr="00E0488D">
        <w:rPr>
          <w:rStyle w:val="hps"/>
          <w:rFonts w:cs="Arial"/>
          <w:color w:val="000000" w:themeColor="text1"/>
        </w:rPr>
        <w:t>s-a impus ca</w:t>
      </w:r>
      <w:r w:rsidRPr="00E0488D">
        <w:t xml:space="preserve"> un </w:t>
      </w:r>
      <w:r w:rsidRPr="00E0488D">
        <w:rPr>
          <w:rStyle w:val="hps"/>
          <w:rFonts w:cs="Arial"/>
          <w:color w:val="000000" w:themeColor="text1"/>
        </w:rPr>
        <w:t>hub</w:t>
      </w:r>
      <w:r w:rsidRPr="00E0488D">
        <w:t xml:space="preserve"> </w:t>
      </w:r>
      <w:r w:rsidRPr="00E0488D">
        <w:rPr>
          <w:rStyle w:val="hps"/>
          <w:rFonts w:cs="Arial"/>
          <w:color w:val="000000" w:themeColor="text1"/>
        </w:rPr>
        <w:t>principal</w:t>
      </w:r>
      <w:r w:rsidRPr="00E0488D">
        <w:t xml:space="preserve"> de </w:t>
      </w:r>
      <w:r w:rsidRPr="00E0488D">
        <w:rPr>
          <w:rStyle w:val="hps"/>
          <w:rFonts w:cs="Arial"/>
          <w:color w:val="000000" w:themeColor="text1"/>
        </w:rPr>
        <w:t>containere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Marea Neagră</w:t>
      </w:r>
      <w:r w:rsidRPr="00E0488D">
        <w:t xml:space="preserve">. </w:t>
      </w:r>
      <w:r w:rsidRPr="00E0488D">
        <w:rPr>
          <w:rStyle w:val="hps"/>
          <w:rFonts w:cs="Arial"/>
          <w:color w:val="000000" w:themeColor="text1"/>
        </w:rPr>
        <w:t>Acest terminal</w:t>
      </w:r>
      <w:r w:rsidRPr="00E0488D">
        <w:t xml:space="preserve"> </w:t>
      </w:r>
      <w:r w:rsidRPr="00E0488D">
        <w:rPr>
          <w:rStyle w:val="hps"/>
          <w:rFonts w:cs="Arial"/>
          <w:color w:val="000000" w:themeColor="text1"/>
        </w:rPr>
        <w:t>este de departe</w:t>
      </w:r>
      <w:r w:rsidRPr="00E0488D">
        <w:t xml:space="preserve"> </w:t>
      </w:r>
      <w:r w:rsidRPr="00E0488D">
        <w:rPr>
          <w:rStyle w:val="hps"/>
          <w:rFonts w:cs="Arial"/>
          <w:color w:val="000000" w:themeColor="text1"/>
        </w:rPr>
        <w:t>cel mai mare</w:t>
      </w:r>
      <w:r w:rsidRPr="00E0488D">
        <w:t xml:space="preserve"> </w:t>
      </w:r>
      <w:r w:rsidRPr="00E0488D">
        <w:rPr>
          <w:rStyle w:val="hps"/>
          <w:rFonts w:cs="Arial"/>
          <w:color w:val="000000" w:themeColor="text1"/>
        </w:rPr>
        <w:t>terminal de containere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Constanta</w:t>
      </w:r>
      <w:r w:rsidRPr="00E0488D">
        <w:t xml:space="preserve">, dar </w:t>
      </w:r>
      <w:r w:rsidRPr="00E0488D">
        <w:rPr>
          <w:rStyle w:val="hps"/>
          <w:rFonts w:cs="Arial"/>
          <w:color w:val="000000" w:themeColor="text1"/>
        </w:rPr>
        <w:t>nu și singurul</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s-a dezvoltat, operând o mare parte din totalul de 1,4 TEU din portul Constanța</w:t>
      </w:r>
      <w:r w:rsidRPr="00E0488D">
        <w:t xml:space="preserve"> </w:t>
      </w:r>
      <w:r w:rsidRPr="00E0488D">
        <w:rPr>
          <w:rStyle w:val="hps"/>
          <w:rFonts w:cs="Arial"/>
          <w:color w:val="000000" w:themeColor="text1"/>
        </w:rPr>
        <w:t>în anii</w:t>
      </w:r>
      <w:r w:rsidRPr="00E0488D">
        <w:t xml:space="preserve"> </w:t>
      </w:r>
      <w:r w:rsidRPr="00E0488D">
        <w:rPr>
          <w:rStyle w:val="hps"/>
          <w:rFonts w:cs="Arial"/>
          <w:color w:val="000000" w:themeColor="text1"/>
        </w:rPr>
        <w:t>2007</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2008,</w:t>
      </w:r>
      <w:r w:rsidRPr="00E0488D">
        <w:t xml:space="preserve"> </w:t>
      </w:r>
      <w:r w:rsidRPr="00E0488D">
        <w:rPr>
          <w:rStyle w:val="hps"/>
          <w:rFonts w:cs="Arial"/>
          <w:color w:val="000000" w:themeColor="text1"/>
        </w:rPr>
        <w:t>capacitatea</w:t>
      </w:r>
      <w:r w:rsidRPr="00E0488D">
        <w:t xml:space="preserve"> </w:t>
      </w:r>
      <w:r w:rsidRPr="00E0488D">
        <w:rPr>
          <w:rStyle w:val="hps"/>
          <w:rFonts w:cs="Arial"/>
          <w:color w:val="000000" w:themeColor="text1"/>
        </w:rPr>
        <w:t>sa actuală</w:t>
      </w:r>
      <w:r w:rsidRPr="00E0488D">
        <w:t xml:space="preserve"> </w:t>
      </w:r>
      <w:r w:rsidRPr="00E0488D">
        <w:rPr>
          <w:rStyle w:val="hps"/>
          <w:rFonts w:cs="Arial"/>
          <w:color w:val="000000" w:themeColor="text1"/>
        </w:rPr>
        <w:t xml:space="preserve"> este</w:t>
      </w:r>
      <w:r w:rsidRPr="00E0488D">
        <w:t xml:space="preserve"> </w:t>
      </w:r>
      <w:r w:rsidRPr="00E0488D">
        <w:rPr>
          <w:rStyle w:val="hps"/>
          <w:rFonts w:cs="Arial"/>
          <w:color w:val="000000" w:themeColor="text1"/>
        </w:rPr>
        <w:t>de 1,5 milioane</w:t>
      </w:r>
      <w:r w:rsidRPr="00E0488D">
        <w:t xml:space="preserve"> </w:t>
      </w:r>
      <w:r w:rsidRPr="00E0488D">
        <w:rPr>
          <w:rStyle w:val="hps"/>
          <w:rFonts w:cs="Arial"/>
          <w:color w:val="000000" w:themeColor="text1"/>
        </w:rPr>
        <w:t>TEU</w:t>
      </w:r>
      <w:r w:rsidRPr="00E0488D">
        <w:t xml:space="preserve">, cu </w:t>
      </w:r>
      <w:r w:rsidRPr="00E0488D">
        <w:rPr>
          <w:rStyle w:val="hps"/>
          <w:rFonts w:cs="Arial"/>
          <w:color w:val="000000" w:themeColor="text1"/>
        </w:rPr>
        <w:t>teren</w:t>
      </w:r>
      <w:r w:rsidRPr="00E0488D">
        <w:t xml:space="preserve"> </w:t>
      </w:r>
      <w:r w:rsidRPr="00E0488D">
        <w:rPr>
          <w:rStyle w:val="hps"/>
          <w:rFonts w:cs="Arial"/>
          <w:color w:val="000000" w:themeColor="text1"/>
        </w:rPr>
        <w:t>suficient</w:t>
      </w:r>
      <w:r w:rsidRPr="00E0488D">
        <w:t xml:space="preserve"> </w:t>
      </w:r>
      <w:r w:rsidRPr="00E0488D">
        <w:rPr>
          <w:rStyle w:val="hps"/>
          <w:rFonts w:cs="Arial"/>
          <w:color w:val="000000" w:themeColor="text1"/>
        </w:rPr>
        <w:t>să se extindă la</w:t>
      </w:r>
      <w:r w:rsidRPr="00E0488D">
        <w:t xml:space="preserve"> </w:t>
      </w:r>
      <w:r w:rsidRPr="00E0488D">
        <w:rPr>
          <w:rStyle w:val="hps"/>
          <w:rFonts w:cs="Arial"/>
          <w:color w:val="000000" w:themeColor="text1"/>
        </w:rPr>
        <w:t>4,5 milioane</w:t>
      </w:r>
      <w:r w:rsidRPr="00E0488D">
        <w:t xml:space="preserve"> </w:t>
      </w:r>
      <w:r w:rsidRPr="00E0488D">
        <w:rPr>
          <w:rStyle w:val="hps"/>
          <w:rFonts w:cs="Arial"/>
          <w:color w:val="000000" w:themeColor="text1"/>
        </w:rPr>
        <w:t>TEU</w:t>
      </w:r>
      <w:r w:rsidRPr="00E0488D">
        <w:t>.</w:t>
      </w:r>
    </w:p>
    <w:p w:rsidR="00BD59B2" w:rsidRPr="00E0488D" w:rsidRDefault="00BD59B2" w:rsidP="00BD59B2">
      <w:pPr>
        <w:spacing w:line="276" w:lineRule="auto"/>
        <w:rPr>
          <w:sz w:val="22"/>
          <w:szCs w:val="22"/>
          <w:lang w:val="ro-RO"/>
        </w:rPr>
      </w:pPr>
    </w:p>
    <w:p w:rsidR="00BD59B2" w:rsidRPr="00E0488D" w:rsidRDefault="00BD59B2" w:rsidP="00BD59B2">
      <w:pPr>
        <w:spacing w:line="276" w:lineRule="auto"/>
        <w:ind w:left="851"/>
        <w:rPr>
          <w:sz w:val="22"/>
          <w:szCs w:val="22"/>
          <w:lang w:val="ro-RO"/>
        </w:rPr>
      </w:pPr>
      <w:r w:rsidRPr="00E0488D">
        <w:rPr>
          <w:noProof/>
          <w:sz w:val="22"/>
          <w:szCs w:val="22"/>
          <w:lang w:val="ro-RO" w:eastAsia="ro-RO"/>
        </w:rPr>
        <w:drawing>
          <wp:inline distT="0" distB="0" distL="0" distR="0">
            <wp:extent cx="3467100" cy="2609850"/>
            <wp:effectExtent l="19050" t="0" r="0" b="0"/>
            <wp:docPr id="300" name="Picture 1" descr="C:\Users\clarkegj\Pictures\2012-05-24 romania may 2012\romania may 2012 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kegj\Pictures\2012-05-24 romania may 2012\romania may 2012 079.JPG"/>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3467100" cy="2609850"/>
                    </a:xfrm>
                    <a:prstGeom prst="rect">
                      <a:avLst/>
                    </a:prstGeom>
                    <a:noFill/>
                    <a:ln w="9525">
                      <a:noFill/>
                      <a:miter lim="800000"/>
                      <a:headEnd/>
                      <a:tailEnd/>
                    </a:ln>
                  </pic:spPr>
                </pic:pic>
              </a:graphicData>
            </a:graphic>
          </wp:inline>
        </w:drawing>
      </w:r>
    </w:p>
    <w:p w:rsidR="00BD59B2" w:rsidRPr="00E0488D" w:rsidRDefault="00BD59B2" w:rsidP="00BD59B2">
      <w:pPr>
        <w:pStyle w:val="Body"/>
        <w:ind w:left="851"/>
        <w:rPr>
          <w:rFonts w:cs="Arial"/>
          <w:b/>
          <w:i w:val="0"/>
          <w:lang w:val="ro-RO"/>
        </w:rPr>
      </w:pPr>
      <w:r w:rsidRPr="00E0488D">
        <w:rPr>
          <w:rFonts w:cs="Arial"/>
          <w:b/>
          <w:i w:val="0"/>
          <w:lang w:val="ro-RO"/>
        </w:rPr>
        <w:t>Figura 8.1 Sediul DP World în terminalul Constanța Sud (CSCT)</w:t>
      </w:r>
    </w:p>
    <w:p w:rsidR="00BD59B2" w:rsidRPr="00E0488D" w:rsidRDefault="00BD59B2" w:rsidP="002B7E09">
      <w:pPr>
        <w:pStyle w:val="NumberedParas"/>
      </w:pPr>
      <w:r w:rsidRPr="00E0488D">
        <w:rPr>
          <w:rStyle w:val="hps"/>
          <w:rFonts w:cs="Arial"/>
          <w:color w:val="000000" w:themeColor="text1"/>
        </w:rPr>
        <w:t>Terminalul</w:t>
      </w:r>
      <w:r w:rsidRPr="00E0488D">
        <w:t xml:space="preserve"> </w:t>
      </w:r>
      <w:r w:rsidRPr="00E0488D">
        <w:rPr>
          <w:rStyle w:val="hps"/>
          <w:rFonts w:cs="Arial"/>
          <w:color w:val="000000" w:themeColor="text1"/>
        </w:rPr>
        <w:t>manevrează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serie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nave container</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vasele</w:t>
      </w:r>
      <w:r w:rsidRPr="00E0488D">
        <w:t xml:space="preserve"> </w:t>
      </w:r>
      <w:r w:rsidRPr="00E0488D">
        <w:rPr>
          <w:rStyle w:val="hps"/>
          <w:rFonts w:cs="Arial"/>
          <w:color w:val="000000" w:themeColor="text1"/>
        </w:rPr>
        <w:t>de adâncime</w:t>
      </w:r>
      <w:r w:rsidRPr="00E0488D">
        <w:t xml:space="preserve"> </w:t>
      </w:r>
      <w:r w:rsidRPr="00E0488D">
        <w:rPr>
          <w:rStyle w:val="hps"/>
          <w:rFonts w:cs="Arial"/>
          <w:color w:val="000000" w:themeColor="text1"/>
        </w:rPr>
        <w:t>către</w:t>
      </w:r>
      <w:r w:rsidRPr="00E0488D">
        <w:t xml:space="preserve"> </w:t>
      </w:r>
      <w:r w:rsidRPr="00E0488D">
        <w:rPr>
          <w:rStyle w:val="hps"/>
          <w:rFonts w:cs="Arial"/>
          <w:color w:val="000000" w:themeColor="text1"/>
        </w:rPr>
        <w:t>navele alimentatoare</w:t>
      </w:r>
      <w:r w:rsidRPr="00E0488D">
        <w:t xml:space="preserve"> </w:t>
      </w:r>
      <w:r w:rsidRPr="00E0488D">
        <w:rPr>
          <w:rStyle w:val="hps"/>
          <w:rFonts w:cs="Arial"/>
          <w:color w:val="000000" w:themeColor="text1"/>
        </w:rPr>
        <w:t>de coastă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barje</w:t>
      </w:r>
      <w:r w:rsidRPr="00E0488D">
        <w:t xml:space="preserve"> </w:t>
      </w:r>
      <w:r w:rsidRPr="00E0488D">
        <w:rPr>
          <w:rStyle w:val="hps"/>
          <w:rFonts w:cs="Arial"/>
          <w:color w:val="000000" w:themeColor="text1"/>
        </w:rPr>
        <w:t>destinate</w:t>
      </w:r>
      <w:r w:rsidRPr="00E0488D">
        <w:t xml:space="preserve"> </w:t>
      </w:r>
      <w:r w:rsidRPr="00E0488D">
        <w:rPr>
          <w:rStyle w:val="hps"/>
          <w:rFonts w:cs="Arial"/>
          <w:color w:val="000000" w:themeColor="text1"/>
        </w:rPr>
        <w:t>porturilor</w:t>
      </w:r>
      <w:r w:rsidRPr="00E0488D">
        <w:t xml:space="preserve"> </w:t>
      </w:r>
      <w:r w:rsidRPr="00E0488D">
        <w:rPr>
          <w:rStyle w:val="hps"/>
          <w:rFonts w:cs="Arial"/>
          <w:color w:val="000000" w:themeColor="text1"/>
        </w:rPr>
        <w:t>fluviale</w:t>
      </w:r>
      <w:r w:rsidRPr="00E0488D">
        <w:t xml:space="preserve"> </w:t>
      </w:r>
      <w:r w:rsidRPr="00E0488D">
        <w:rPr>
          <w:rStyle w:val="hps"/>
          <w:rFonts w:cs="Arial"/>
          <w:color w:val="000000" w:themeColor="text1"/>
        </w:rPr>
        <w:t>de pe</w:t>
      </w:r>
      <w:r w:rsidRPr="00E0488D">
        <w:t xml:space="preserve"> </w:t>
      </w:r>
      <w:r w:rsidRPr="00E0488D">
        <w:rPr>
          <w:rStyle w:val="hps"/>
          <w:rFonts w:cs="Arial"/>
          <w:color w:val="000000" w:themeColor="text1"/>
        </w:rPr>
        <w:t>Dunăre</w:t>
      </w:r>
      <w:r w:rsidRPr="00E0488D">
        <w:t xml:space="preserve">. </w:t>
      </w:r>
      <w:r w:rsidRPr="00E0488D">
        <w:rPr>
          <w:rStyle w:val="hps"/>
          <w:rFonts w:cs="Arial"/>
          <w:color w:val="000000" w:themeColor="text1"/>
        </w:rPr>
        <w:t>Se înțelege</w:t>
      </w:r>
      <w:r w:rsidRPr="00E0488D">
        <w:t xml:space="preserve"> că </w:t>
      </w:r>
      <w:r w:rsidRPr="00E0488D">
        <w:rPr>
          <w:rStyle w:val="hps"/>
          <w:rFonts w:cs="Arial"/>
          <w:color w:val="000000" w:themeColor="text1"/>
        </w:rPr>
        <w:t>cea mai mare</w:t>
      </w:r>
      <w:r w:rsidRPr="00E0488D">
        <w:t xml:space="preserve"> </w:t>
      </w:r>
      <w:r w:rsidRPr="00E0488D">
        <w:rPr>
          <w:rStyle w:val="hps"/>
          <w:rFonts w:cs="Arial"/>
          <w:color w:val="000000" w:themeColor="text1"/>
        </w:rPr>
        <w:t>navă</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poate</w:t>
      </w:r>
      <w:r w:rsidRPr="00E0488D">
        <w:t xml:space="preserve"> </w:t>
      </w:r>
      <w:r w:rsidRPr="00E0488D">
        <w:rPr>
          <w:rStyle w:val="hps"/>
          <w:rFonts w:cs="Arial"/>
          <w:color w:val="000000" w:themeColor="text1"/>
        </w:rPr>
        <w:t>fi</w:t>
      </w:r>
      <w:r w:rsidRPr="00E0488D">
        <w:t xml:space="preserve"> </w:t>
      </w:r>
      <w:r w:rsidRPr="00E0488D">
        <w:rPr>
          <w:rStyle w:val="hps"/>
          <w:rFonts w:cs="Arial"/>
          <w:color w:val="000000" w:themeColor="text1"/>
        </w:rPr>
        <w:t>operată</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navă</w:t>
      </w:r>
      <w:r w:rsidRPr="00E0488D">
        <w:t xml:space="preserve"> </w:t>
      </w:r>
      <w:r w:rsidRPr="00E0488D">
        <w:rPr>
          <w:rStyle w:val="hps"/>
          <w:rFonts w:cs="Arial"/>
          <w:color w:val="000000" w:themeColor="text1"/>
        </w:rPr>
        <w:t>container de adâncime,</w:t>
      </w:r>
      <w:r w:rsidRPr="00E0488D">
        <w:t xml:space="preserve"> </w:t>
      </w:r>
      <w:r w:rsidRPr="00E0488D">
        <w:rPr>
          <w:rStyle w:val="hps"/>
          <w:rFonts w:cs="Arial"/>
          <w:color w:val="000000" w:themeColor="text1"/>
        </w:rPr>
        <w:t>de 8.000</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Există servicii</w:t>
      </w:r>
      <w:r w:rsidRPr="00E0488D">
        <w:t xml:space="preserve"> </w:t>
      </w:r>
      <w:r w:rsidRPr="00E0488D">
        <w:rPr>
          <w:rStyle w:val="hps"/>
          <w:rFonts w:cs="Arial"/>
          <w:color w:val="000000" w:themeColor="text1"/>
        </w:rPr>
        <w:t>de acces către</w:t>
      </w:r>
      <w:r w:rsidRPr="00E0488D">
        <w:t xml:space="preserve"> </w:t>
      </w:r>
      <w:r w:rsidRPr="00E0488D">
        <w:rPr>
          <w:rStyle w:val="hps"/>
          <w:rFonts w:cs="Arial"/>
          <w:color w:val="000000" w:themeColor="text1"/>
        </w:rPr>
        <w:t>toate porturile</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de la Marea Neagră</w:t>
      </w:r>
      <w:r w:rsidRPr="00E0488D">
        <w:t xml:space="preserve">. </w:t>
      </w:r>
      <w:r w:rsidRPr="00E0488D">
        <w:rPr>
          <w:rStyle w:val="hps"/>
          <w:rFonts w:cs="Arial"/>
          <w:color w:val="000000" w:themeColor="text1"/>
        </w:rPr>
        <w:t>Mai multe</w:t>
      </w:r>
      <w:r w:rsidRPr="00E0488D">
        <w:t xml:space="preserve"> </w:t>
      </w:r>
      <w:r w:rsidRPr="00E0488D">
        <w:rPr>
          <w:rStyle w:val="hps"/>
          <w:rFonts w:cs="Arial"/>
          <w:color w:val="000000" w:themeColor="text1"/>
        </w:rPr>
        <w:t>servicii regulate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barje</w:t>
      </w:r>
      <w:r w:rsidRPr="00E0488D">
        <w:t xml:space="preserve"> </w:t>
      </w:r>
      <w:r w:rsidRPr="00E0488D">
        <w:rPr>
          <w:rStyle w:val="hps"/>
          <w:rFonts w:cs="Arial"/>
          <w:color w:val="000000" w:themeColor="text1"/>
        </w:rPr>
        <w:t>operează</w:t>
      </w:r>
      <w:r w:rsidRPr="00E0488D">
        <w:t xml:space="preserve"> inclusiv </w:t>
      </w:r>
      <w:r w:rsidRPr="00E0488D">
        <w:rPr>
          <w:rStyle w:val="hps"/>
          <w:rFonts w:cs="Arial"/>
          <w:color w:val="000000" w:themeColor="text1"/>
        </w:rPr>
        <w:t>containerele</w:t>
      </w:r>
      <w:r w:rsidRPr="00E0488D">
        <w:t xml:space="preserve"> </w:t>
      </w:r>
      <w:r w:rsidRPr="00E0488D">
        <w:rPr>
          <w:rStyle w:val="hps"/>
          <w:rFonts w:cs="Arial"/>
          <w:color w:val="000000" w:themeColor="text1"/>
        </w:rPr>
        <w:t>de tranzit</w:t>
      </w:r>
      <w:r w:rsidRPr="00E0488D">
        <w:t xml:space="preserve"> </w:t>
      </w:r>
      <w:r w:rsidRPr="00E0488D">
        <w:rPr>
          <w:rStyle w:val="hps"/>
          <w:rFonts w:cs="Arial"/>
          <w:color w:val="000000" w:themeColor="text1"/>
        </w:rPr>
        <w:t>intern</w:t>
      </w:r>
      <w:r w:rsidRPr="00E0488D">
        <w:t xml:space="preserve"> </w:t>
      </w:r>
      <w:r w:rsidRPr="00E0488D">
        <w:rPr>
          <w:rStyle w:val="hps"/>
          <w:rFonts w:cs="Arial"/>
          <w:color w:val="000000" w:themeColor="text1"/>
        </w:rPr>
        <w:t>operate în</w:t>
      </w:r>
      <w:r w:rsidRPr="00E0488D">
        <w:t xml:space="preserve"> </w:t>
      </w:r>
      <w:r w:rsidRPr="00E0488D">
        <w:rPr>
          <w:rStyle w:val="hps"/>
          <w:rFonts w:cs="Arial"/>
          <w:color w:val="000000" w:themeColor="text1"/>
        </w:rPr>
        <w:t>Zona Libera Giurgiu</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vas</w:t>
      </w:r>
      <w:r w:rsidRPr="00E0488D">
        <w:t xml:space="preserve"> de</w:t>
      </w:r>
      <w:r w:rsidRPr="00E0488D">
        <w:rPr>
          <w:rStyle w:val="hps"/>
          <w:rFonts w:cs="Arial"/>
          <w:color w:val="000000" w:themeColor="text1"/>
        </w:rPr>
        <w:t>servește</w:t>
      </w:r>
      <w:r w:rsidRPr="00E0488D">
        <w:t xml:space="preserve"> și Portul </w:t>
      </w:r>
      <w:r w:rsidRPr="00E0488D">
        <w:rPr>
          <w:rStyle w:val="hps"/>
          <w:rFonts w:cs="Arial"/>
          <w:color w:val="000000" w:themeColor="text1"/>
        </w:rPr>
        <w:t>Svishtov</w:t>
      </w:r>
      <w:r w:rsidRPr="00E0488D">
        <w:t xml:space="preserve"> </w:t>
      </w:r>
      <w:r w:rsidRPr="00E0488D">
        <w:rPr>
          <w:rStyle w:val="hps"/>
          <w:rFonts w:cs="Arial"/>
          <w:color w:val="000000" w:themeColor="text1"/>
        </w:rPr>
        <w:t>(</w:t>
      </w:r>
      <w:r w:rsidRPr="00E0488D">
        <w:t xml:space="preserve">Bulgaria), </w:t>
      </w:r>
      <w:r w:rsidRPr="00E0488D">
        <w:rPr>
          <w:rStyle w:val="hps"/>
          <w:rFonts w:cs="Arial"/>
          <w:color w:val="000000" w:themeColor="text1"/>
        </w:rPr>
        <w:t>în funcție de necesități</w:t>
      </w:r>
      <w:r w:rsidRPr="00E0488D">
        <w:t xml:space="preserve">. </w:t>
      </w:r>
      <w:r w:rsidRPr="00E0488D">
        <w:rPr>
          <w:rStyle w:val="hps"/>
          <w:rFonts w:cs="Arial"/>
          <w:color w:val="000000" w:themeColor="text1"/>
        </w:rPr>
        <w:t>Există servicii</w:t>
      </w:r>
      <w:r w:rsidRPr="00E0488D">
        <w:t xml:space="preserve"> </w:t>
      </w:r>
      <w:r w:rsidRPr="00E0488D">
        <w:rPr>
          <w:rStyle w:val="hps"/>
          <w:rFonts w:cs="Arial"/>
          <w:color w:val="000000" w:themeColor="text1"/>
        </w:rPr>
        <w:t>de tranzit internațional</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Belgrad</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opțiuni pentru</w:t>
      </w:r>
      <w:r w:rsidRPr="00E0488D">
        <w:t xml:space="preserve"> </w:t>
      </w:r>
      <w:r w:rsidRPr="00E0488D">
        <w:rPr>
          <w:rStyle w:val="hps"/>
          <w:rFonts w:cs="Arial"/>
          <w:color w:val="000000" w:themeColor="text1"/>
        </w:rPr>
        <w:t>Ungaria</w:t>
      </w:r>
      <w:r w:rsidRPr="00E0488D">
        <w:t xml:space="preserve">, </w:t>
      </w:r>
      <w:r w:rsidRPr="00E0488D">
        <w:rPr>
          <w:rStyle w:val="hps"/>
          <w:rFonts w:cs="Arial"/>
          <w:color w:val="000000" w:themeColor="text1"/>
        </w:rPr>
        <w:t>Slovacia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Austria</w:t>
      </w:r>
      <w:r w:rsidRPr="00E0488D">
        <w:t>.</w:t>
      </w:r>
    </w:p>
    <w:p w:rsidR="00BD59B2" w:rsidRPr="00E0488D" w:rsidRDefault="00BD59B2" w:rsidP="002B7E09">
      <w:pPr>
        <w:pStyle w:val="NumberedParas"/>
      </w:pPr>
      <w:r w:rsidRPr="00E0488D">
        <w:rPr>
          <w:rStyle w:val="hps"/>
          <w:rFonts w:cs="Arial"/>
          <w:color w:val="000000" w:themeColor="text1"/>
        </w:rPr>
        <w:t>Dana</w:t>
      </w:r>
      <w:r w:rsidRPr="00E0488D">
        <w:t xml:space="preserve"> </w:t>
      </w:r>
      <w:r w:rsidRPr="00E0488D">
        <w:rPr>
          <w:rStyle w:val="hps"/>
          <w:rFonts w:cs="Arial"/>
          <w:color w:val="000000" w:themeColor="text1"/>
        </w:rPr>
        <w:t>principală</w:t>
      </w:r>
      <w:r w:rsidRPr="00E0488D">
        <w:t xml:space="preserve"> </w:t>
      </w:r>
      <w:r w:rsidRPr="00E0488D">
        <w:rPr>
          <w:rStyle w:val="hps"/>
          <w:rFonts w:cs="Arial"/>
          <w:color w:val="000000" w:themeColor="text1"/>
        </w:rPr>
        <w:t>are o lungime de</w:t>
      </w:r>
      <w:r w:rsidRPr="00E0488D">
        <w:t xml:space="preserve"> </w:t>
      </w:r>
      <w:r w:rsidRPr="00E0488D">
        <w:rPr>
          <w:rStyle w:val="hps"/>
          <w:rFonts w:cs="Arial"/>
          <w:color w:val="000000" w:themeColor="text1"/>
        </w:rPr>
        <w:t>634</w:t>
      </w:r>
      <w:r w:rsidRPr="00E0488D">
        <w:t xml:space="preserve"> </w:t>
      </w:r>
      <w:r w:rsidRPr="00E0488D">
        <w:rPr>
          <w:rStyle w:val="hps"/>
          <w:rFonts w:cs="Arial"/>
          <w:color w:val="000000" w:themeColor="text1"/>
        </w:rPr>
        <w:t>de metri</w:t>
      </w:r>
      <w:r w:rsidRPr="00E0488D">
        <w:t xml:space="preserve">, cu </w:t>
      </w:r>
      <w:r w:rsidRPr="00E0488D">
        <w:rPr>
          <w:rStyle w:val="hps"/>
          <w:rFonts w:cs="Arial"/>
          <w:color w:val="000000" w:themeColor="text1"/>
        </w:rPr>
        <w:t>o</w:t>
      </w:r>
      <w:r w:rsidRPr="00E0488D">
        <w:t xml:space="preserve"> </w:t>
      </w:r>
      <w:r w:rsidRPr="00E0488D">
        <w:rPr>
          <w:rStyle w:val="hps"/>
          <w:rFonts w:cs="Arial"/>
          <w:color w:val="000000" w:themeColor="text1"/>
        </w:rPr>
        <w:t>dană</w:t>
      </w:r>
      <w:r w:rsidRPr="00E0488D">
        <w:t xml:space="preserve"> </w:t>
      </w:r>
      <w:r w:rsidRPr="00E0488D">
        <w:rPr>
          <w:rStyle w:val="hps"/>
          <w:rFonts w:cs="Arial"/>
          <w:color w:val="000000" w:themeColor="text1"/>
        </w:rPr>
        <w:t>de alimentare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411</w:t>
      </w:r>
      <w:r w:rsidRPr="00E0488D">
        <w:t xml:space="preserve"> </w:t>
      </w:r>
      <w:r w:rsidRPr="00E0488D">
        <w:rPr>
          <w:rStyle w:val="hps"/>
          <w:rFonts w:cs="Arial"/>
          <w:color w:val="000000" w:themeColor="text1"/>
        </w:rPr>
        <w:t>de metri</w:t>
      </w:r>
      <w:r w:rsidRPr="00E0488D">
        <w:t xml:space="preserve">. </w:t>
      </w:r>
      <w:r w:rsidRPr="00E0488D">
        <w:rPr>
          <w:rStyle w:val="hps"/>
          <w:rFonts w:cs="Arial"/>
          <w:color w:val="000000" w:themeColor="text1"/>
        </w:rPr>
        <w:t>Nivelul de pescaj</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unul</w:t>
      </w:r>
      <w:r w:rsidRPr="00E0488D">
        <w:t xml:space="preserve"> </w:t>
      </w:r>
      <w:r w:rsidRPr="00E0488D">
        <w:rPr>
          <w:rStyle w:val="hps"/>
          <w:rFonts w:cs="Arial"/>
          <w:color w:val="000000" w:themeColor="text1"/>
        </w:rPr>
        <w:t>minim</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14,5</w:t>
      </w:r>
      <w:r w:rsidRPr="00E0488D">
        <w:t xml:space="preserve"> care </w:t>
      </w:r>
      <w:r w:rsidRPr="00E0488D">
        <w:rPr>
          <w:rStyle w:val="hps"/>
          <w:rFonts w:cs="Arial"/>
          <w:color w:val="000000" w:themeColor="text1"/>
        </w:rPr>
        <w:t>permite vaselor</w:t>
      </w:r>
      <w:r w:rsidRPr="00E0488D">
        <w:t xml:space="preserve"> </w:t>
      </w:r>
      <w:r w:rsidRPr="00E0488D">
        <w:rPr>
          <w:rStyle w:val="hps"/>
          <w:rFonts w:cs="Arial"/>
          <w:color w:val="000000" w:themeColor="text1"/>
        </w:rPr>
        <w:t>de mare capacitate</w:t>
      </w:r>
      <w:r w:rsidRPr="00E0488D">
        <w:t xml:space="preserve"> </w:t>
      </w:r>
      <w:r w:rsidRPr="00E0488D">
        <w:rPr>
          <w:rStyle w:val="hps"/>
          <w:rFonts w:cs="Arial"/>
          <w:color w:val="000000" w:themeColor="text1"/>
        </w:rPr>
        <w:t>să funcționeze</w:t>
      </w:r>
      <w:r w:rsidRPr="00E0488D">
        <w:t xml:space="preserve">. </w:t>
      </w:r>
      <w:r w:rsidRPr="00E0488D">
        <w:rPr>
          <w:rStyle w:val="hps"/>
          <w:rFonts w:cs="Arial"/>
          <w:color w:val="000000" w:themeColor="text1"/>
        </w:rPr>
        <w:t>Există planuri</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două dane</w:t>
      </w:r>
      <w:r w:rsidRPr="00E0488D">
        <w:t xml:space="preserve"> </w:t>
      </w:r>
      <w:r w:rsidRPr="00E0488D">
        <w:rPr>
          <w:rStyle w:val="hps"/>
          <w:rFonts w:cs="Arial"/>
          <w:color w:val="000000" w:themeColor="text1"/>
        </w:rPr>
        <w:t>suplimentare (</w:t>
      </w:r>
      <w:r w:rsidRPr="00E0488D">
        <w:t xml:space="preserve">129, </w:t>
      </w:r>
      <w:r w:rsidRPr="00E0488D">
        <w:rPr>
          <w:rStyle w:val="hps"/>
          <w:rFonts w:cs="Arial"/>
          <w:color w:val="000000" w:themeColor="text1"/>
        </w:rPr>
        <w:t>130)</w:t>
      </w:r>
      <w:r w:rsidRPr="00E0488D">
        <w:t xml:space="preserve"> </w:t>
      </w:r>
      <w:r w:rsidRPr="00E0488D">
        <w:rPr>
          <w:rStyle w:val="hps"/>
          <w:rFonts w:cs="Arial"/>
          <w:color w:val="000000" w:themeColor="text1"/>
        </w:rPr>
        <w:t>care dau</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plus</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510m</w:t>
      </w:r>
      <w:r w:rsidRPr="00E0488D">
        <w:t xml:space="preserve"> </w:t>
      </w:r>
      <w:r w:rsidRPr="00E0488D">
        <w:rPr>
          <w:rStyle w:val="hps"/>
          <w:rFonts w:cs="Arial"/>
          <w:color w:val="000000" w:themeColor="text1"/>
        </w:rPr>
        <w:t>de acostare</w:t>
      </w:r>
      <w:r w:rsidRPr="00E0488D">
        <w:t>.</w:t>
      </w:r>
    </w:p>
    <w:p w:rsidR="00BD59B2" w:rsidRPr="00E0488D" w:rsidRDefault="00BD59B2" w:rsidP="002B7E09">
      <w:pPr>
        <w:pStyle w:val="NumberedParas"/>
      </w:pPr>
      <w:r w:rsidRPr="00E0488D">
        <w:rPr>
          <w:rStyle w:val="hps"/>
          <w:rFonts w:cs="Arial"/>
          <w:color w:val="000000" w:themeColor="text1"/>
        </w:rPr>
        <w:t>Terminalul 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are 8</w:t>
      </w:r>
      <w:r w:rsidRPr="00E0488D">
        <w:t xml:space="preserve"> macarale de tipul ship-to-shore, </w:t>
      </w:r>
      <w:r w:rsidRPr="00E0488D">
        <w:rPr>
          <w:rStyle w:val="hps"/>
          <w:rFonts w:cs="Arial"/>
          <w:color w:val="000000" w:themeColor="text1"/>
        </w:rPr>
        <w:t>13 macarale pe</w:t>
      </w:r>
      <w:r w:rsidRPr="00E0488D">
        <w:t xml:space="preserve"> </w:t>
      </w:r>
      <w:r w:rsidRPr="00E0488D">
        <w:rPr>
          <w:rStyle w:val="hps"/>
          <w:rFonts w:cs="Arial"/>
          <w:color w:val="000000" w:themeColor="text1"/>
        </w:rPr>
        <w:t>anvelope de cauciuc</w:t>
      </w:r>
      <w:r w:rsidRPr="00E0488D">
        <w:t xml:space="preserve"> </w:t>
      </w:r>
      <w:r w:rsidRPr="00E0488D">
        <w:rPr>
          <w:rStyle w:val="hps"/>
          <w:rFonts w:cs="Arial"/>
          <w:color w:val="000000" w:themeColor="text1"/>
        </w:rPr>
        <w:t>și două</w:t>
      </w:r>
      <w:r w:rsidRPr="00E0488D">
        <w:t xml:space="preserve"> poduri rulante pe </w:t>
      </w:r>
      <w:r w:rsidRPr="00E0488D">
        <w:rPr>
          <w:rStyle w:val="hps"/>
          <w:rFonts w:cs="Arial"/>
          <w:color w:val="000000" w:themeColor="text1"/>
        </w:rPr>
        <w:t>șine,iar</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suplimentate de</w:t>
      </w:r>
      <w:r w:rsidRPr="00E0488D">
        <w:t xml:space="preserve"> </w:t>
      </w:r>
      <w:r w:rsidRPr="00E0488D">
        <w:rPr>
          <w:rStyle w:val="hps"/>
          <w:rFonts w:cs="Arial"/>
          <w:color w:val="000000" w:themeColor="text1"/>
        </w:rPr>
        <w:t>4</w:t>
      </w:r>
      <w:r w:rsidRPr="00E0488D">
        <w:t xml:space="preserve"> </w:t>
      </w:r>
      <w:r w:rsidRPr="00E0488D">
        <w:rPr>
          <w:rStyle w:val="hps"/>
          <w:rFonts w:cs="Arial"/>
          <w:color w:val="000000" w:themeColor="text1"/>
        </w:rPr>
        <w:t>stivuitoare</w:t>
      </w:r>
      <w:r w:rsidRPr="00E0488D">
        <w:t xml:space="preserve"> </w:t>
      </w:r>
      <w:r w:rsidRPr="00E0488D">
        <w:rPr>
          <w:rStyle w:val="hps"/>
          <w:rFonts w:cs="Arial"/>
          <w:color w:val="000000" w:themeColor="text1"/>
        </w:rPr>
        <w:t>și 4</w:t>
      </w:r>
      <w:r w:rsidRPr="00E0488D">
        <w:t xml:space="preserve"> </w:t>
      </w:r>
      <w:r w:rsidRPr="00E0488D">
        <w:rPr>
          <w:rStyle w:val="hps"/>
          <w:rFonts w:cs="Arial"/>
          <w:color w:val="000000" w:themeColor="text1"/>
        </w:rPr>
        <w:t>stivuitoare</w:t>
      </w:r>
      <w:r w:rsidRPr="00E0488D">
        <w:t xml:space="preserve"> cu brațe </w:t>
      </w:r>
      <w:r w:rsidRPr="00E0488D">
        <w:rPr>
          <w:rStyle w:val="hps"/>
          <w:rFonts w:cs="Arial"/>
          <w:color w:val="000000" w:themeColor="text1"/>
        </w:rPr>
        <w:t>goale</w:t>
      </w:r>
      <w:r w:rsidRPr="00E0488D">
        <w:t xml:space="preserve">. </w:t>
      </w:r>
      <w:r w:rsidRPr="00E0488D">
        <w:rPr>
          <w:rStyle w:val="hps"/>
          <w:rFonts w:cs="Arial"/>
          <w:color w:val="000000" w:themeColor="text1"/>
        </w:rPr>
        <w:t xml:space="preserve">Portul  este dotat </w:t>
      </w:r>
      <w:r w:rsidRPr="00E0488D">
        <w:t xml:space="preserve">de asemenea cu </w:t>
      </w:r>
      <w:r w:rsidRPr="00E0488D">
        <w:rPr>
          <w:rStyle w:val="hps"/>
          <w:rFonts w:cs="Arial"/>
          <w:color w:val="000000" w:themeColor="text1"/>
        </w:rPr>
        <w:t>55 de</w:t>
      </w:r>
      <w:r w:rsidRPr="00E0488D">
        <w:t xml:space="preserve"> </w:t>
      </w:r>
      <w:r w:rsidRPr="00E0488D">
        <w:rPr>
          <w:rStyle w:val="hps"/>
          <w:rFonts w:cs="Arial"/>
          <w:color w:val="000000" w:themeColor="text1"/>
        </w:rPr>
        <w:t>ITVs</w:t>
      </w:r>
      <w:r w:rsidRPr="00E0488D">
        <w:t xml:space="preserve"> </w:t>
      </w:r>
      <w:r w:rsidRPr="00E0488D">
        <w:rPr>
          <w:rStyle w:val="hps"/>
          <w:rFonts w:cs="Arial"/>
          <w:color w:val="000000" w:themeColor="text1"/>
        </w:rPr>
        <w:t>(vehicule</w:t>
      </w:r>
      <w:r w:rsidRPr="00E0488D">
        <w:t xml:space="preserve"> </w:t>
      </w:r>
      <w:r w:rsidRPr="00E0488D">
        <w:rPr>
          <w:rStyle w:val="hps"/>
          <w:rFonts w:cs="Arial"/>
          <w:color w:val="000000" w:themeColor="text1"/>
        </w:rPr>
        <w:t>de transfer intern</w:t>
      </w:r>
      <w:r w:rsidRPr="00E0488D">
        <w:t xml:space="preserve">) </w:t>
      </w:r>
      <w:r w:rsidRPr="00E0488D">
        <w:rPr>
          <w:rStyle w:val="hps"/>
          <w:rFonts w:cs="Arial"/>
          <w:color w:val="000000" w:themeColor="text1"/>
        </w:rPr>
        <w:t>pentru deplasarea</w:t>
      </w:r>
      <w:r w:rsidRPr="00E0488D">
        <w:t xml:space="preserve"> </w:t>
      </w:r>
      <w:r w:rsidRPr="00E0488D">
        <w:rPr>
          <w:rStyle w:val="hps"/>
          <w:rFonts w:cs="Arial"/>
          <w:color w:val="000000" w:themeColor="text1"/>
        </w:rPr>
        <w:t>cutiilor în cadrul terminalului</w:t>
      </w:r>
      <w:r w:rsidRPr="00E0488D">
        <w:t xml:space="preserve">. </w:t>
      </w:r>
      <w:r w:rsidRPr="00E0488D">
        <w:rPr>
          <w:rStyle w:val="hps"/>
          <w:rFonts w:cs="Arial"/>
          <w:color w:val="000000" w:themeColor="text1"/>
        </w:rPr>
        <w:t>Portul</w:t>
      </w:r>
      <w:r w:rsidRPr="00E0488D">
        <w:t xml:space="preserve"> a </w:t>
      </w:r>
      <w:r w:rsidRPr="00E0488D">
        <w:rPr>
          <w:rStyle w:val="hps"/>
          <w:rFonts w:cs="Arial"/>
          <w:color w:val="000000" w:themeColor="text1"/>
        </w:rPr>
        <w:t>operat</w:t>
      </w:r>
      <w:r w:rsidRPr="00E0488D">
        <w:t xml:space="preserve"> </w:t>
      </w:r>
      <w:r w:rsidRPr="00E0488D">
        <w:rPr>
          <w:rStyle w:val="hps"/>
          <w:rFonts w:cs="Arial"/>
          <w:color w:val="000000" w:themeColor="text1"/>
        </w:rPr>
        <w:t>364 zile</w:t>
      </w:r>
      <w:r w:rsidRPr="00E0488D">
        <w:t xml:space="preserve"> </w:t>
      </w:r>
      <w:r w:rsidRPr="00E0488D">
        <w:rPr>
          <w:rStyle w:val="hps"/>
          <w:rFonts w:cs="Arial"/>
          <w:color w:val="000000" w:themeColor="text1"/>
        </w:rPr>
        <w:t>pe an</w:t>
      </w:r>
      <w:r w:rsidRPr="00E0488D">
        <w:t xml:space="preserve">, </w:t>
      </w:r>
      <w:r w:rsidRPr="00E0488D">
        <w:rPr>
          <w:rStyle w:val="hps"/>
          <w:rFonts w:cs="Arial"/>
          <w:color w:val="000000" w:themeColor="text1"/>
        </w:rPr>
        <w:t>24 de ore pe</w:t>
      </w:r>
      <w:r w:rsidRPr="00E0488D">
        <w:t xml:space="preserve"> </w:t>
      </w:r>
      <w:r w:rsidRPr="00E0488D">
        <w:rPr>
          <w:rStyle w:val="hps"/>
          <w:rFonts w:cs="Arial"/>
          <w:color w:val="000000" w:themeColor="text1"/>
        </w:rPr>
        <w:t>zi</w:t>
      </w:r>
      <w:r w:rsidRPr="00E0488D">
        <w:t xml:space="preserve">, în două </w:t>
      </w:r>
      <w:r w:rsidRPr="00E0488D">
        <w:rPr>
          <w:rStyle w:val="hps"/>
          <w:rFonts w:cs="Arial"/>
          <w:color w:val="000000" w:themeColor="text1"/>
        </w:rPr>
        <w:t>ture</w:t>
      </w:r>
      <w:r w:rsidRPr="00E0488D">
        <w:t xml:space="preserve"> </w:t>
      </w:r>
      <w:r w:rsidRPr="00E0488D">
        <w:rPr>
          <w:rStyle w:val="hps"/>
          <w:rFonts w:cs="Arial"/>
          <w:color w:val="000000" w:themeColor="text1"/>
        </w:rPr>
        <w:t>de 12</w:t>
      </w:r>
      <w:r w:rsidRPr="00E0488D">
        <w:t xml:space="preserve"> </w:t>
      </w:r>
      <w:r w:rsidRPr="00E0488D">
        <w:rPr>
          <w:rStyle w:val="hps"/>
          <w:rFonts w:cs="Arial"/>
          <w:color w:val="000000" w:themeColor="text1"/>
        </w:rPr>
        <w:t>ore</w:t>
      </w:r>
      <w:r w:rsidRPr="00E0488D">
        <w:t xml:space="preserve">, dar </w:t>
      </w:r>
      <w:r w:rsidRPr="00E0488D">
        <w:rPr>
          <w:rStyle w:val="hps"/>
          <w:rFonts w:cs="Arial"/>
          <w:color w:val="000000" w:themeColor="text1"/>
        </w:rPr>
        <w:t>ca</w:t>
      </w:r>
      <w:r w:rsidRPr="00E0488D">
        <w:t xml:space="preserve"> și </w:t>
      </w:r>
      <w:r w:rsidRPr="00E0488D">
        <w:rPr>
          <w:rStyle w:val="hps"/>
          <w:rFonts w:cs="Arial"/>
          <w:color w:val="000000" w:themeColor="text1"/>
        </w:rPr>
        <w:t>cele mai multe</w:t>
      </w:r>
      <w:r w:rsidRPr="00E0488D">
        <w:t xml:space="preserve"> </w:t>
      </w:r>
      <w:r w:rsidRPr="00E0488D">
        <w:rPr>
          <w:rStyle w:val="hps"/>
          <w:rFonts w:cs="Arial"/>
          <w:color w:val="000000" w:themeColor="text1"/>
        </w:rPr>
        <w:t>porturi</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și perioade</w:t>
      </w:r>
      <w:r w:rsidRPr="00E0488D">
        <w:t xml:space="preserve"> </w:t>
      </w:r>
      <w:r w:rsidRPr="00E0488D">
        <w:rPr>
          <w:rStyle w:val="hps"/>
          <w:rFonts w:cs="Arial"/>
          <w:color w:val="000000" w:themeColor="text1"/>
        </w:rPr>
        <w:t>mai aglomerate</w:t>
      </w:r>
      <w:r w:rsidRPr="00E0488D">
        <w:t xml:space="preserve"> </w:t>
      </w:r>
      <w:r w:rsidRPr="00E0488D">
        <w:rPr>
          <w:rStyle w:val="hps"/>
          <w:rFonts w:cs="Arial"/>
          <w:color w:val="000000" w:themeColor="text1"/>
        </w:rPr>
        <w:t>ale zilei</w:t>
      </w:r>
      <w:r w:rsidRPr="00E0488D">
        <w:t xml:space="preserve"> </w:t>
      </w:r>
      <w:r w:rsidRPr="00E0488D">
        <w:rPr>
          <w:rStyle w:val="hps"/>
          <w:rFonts w:cs="Arial"/>
          <w:color w:val="000000" w:themeColor="text1"/>
        </w:rPr>
        <w:t>/</w:t>
      </w:r>
      <w:r w:rsidRPr="00E0488D">
        <w:t xml:space="preserve"> </w:t>
      </w:r>
      <w:r w:rsidRPr="00E0488D">
        <w:rPr>
          <w:rStyle w:val="hps"/>
          <w:rFonts w:cs="Arial"/>
          <w:color w:val="000000" w:themeColor="text1"/>
        </w:rPr>
        <w:t>săptămânii</w:t>
      </w:r>
      <w:r w:rsidRPr="00E0488D">
        <w:t xml:space="preserve">. </w:t>
      </w:r>
    </w:p>
    <w:p w:rsidR="00BD59B2" w:rsidRPr="00E0488D" w:rsidRDefault="00BD59B2" w:rsidP="002B7E09">
      <w:pPr>
        <w:pStyle w:val="NumberedParas"/>
      </w:pPr>
      <w:r w:rsidRPr="00E0488D">
        <w:rPr>
          <w:rStyle w:val="hps"/>
          <w:rFonts w:cs="Arial"/>
          <w:color w:val="000000" w:themeColor="text1"/>
        </w:rPr>
        <w:t>DP World</w:t>
      </w:r>
      <w:r w:rsidRPr="00E0488D">
        <w:t xml:space="preserve"> </w:t>
      </w:r>
      <w:r w:rsidRPr="00E0488D">
        <w:rPr>
          <w:rStyle w:val="hps"/>
          <w:rFonts w:cs="Arial"/>
          <w:color w:val="000000" w:themeColor="text1"/>
        </w:rPr>
        <w:t>are propriul</w:t>
      </w:r>
      <w:r w:rsidRPr="00E0488D">
        <w:t xml:space="preserve"> </w:t>
      </w:r>
      <w:r w:rsidRPr="00E0488D">
        <w:rPr>
          <w:rStyle w:val="hps"/>
          <w:rFonts w:cs="Arial"/>
          <w:color w:val="000000" w:themeColor="text1"/>
        </w:rPr>
        <w:t>terminal</w:t>
      </w:r>
      <w:r w:rsidRPr="00E0488D">
        <w:t xml:space="preserve"> </w:t>
      </w:r>
      <w:r w:rsidRPr="00E0488D">
        <w:rPr>
          <w:rStyle w:val="hps"/>
          <w:rFonts w:cs="Arial"/>
          <w:color w:val="000000" w:themeColor="text1"/>
        </w:rPr>
        <w:t>feroviar</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3</w:t>
      </w:r>
      <w:r w:rsidRPr="00E0488D">
        <w:t xml:space="preserve"> </w:t>
      </w:r>
      <w:r w:rsidRPr="00E0488D">
        <w:rPr>
          <w:rStyle w:val="hps"/>
          <w:rFonts w:cs="Arial"/>
          <w:color w:val="000000" w:themeColor="text1"/>
        </w:rPr>
        <w:t>linii de cale ferată</w:t>
      </w:r>
      <w:r w:rsidRPr="00E0488D">
        <w:t xml:space="preserve">, </w:t>
      </w:r>
      <w:r w:rsidRPr="00E0488D">
        <w:rPr>
          <w:rStyle w:val="hps"/>
          <w:rFonts w:cs="Arial"/>
          <w:color w:val="000000" w:themeColor="text1"/>
        </w:rPr>
        <w:t>fiecare</w:t>
      </w:r>
      <w:r w:rsidRPr="00E0488D">
        <w:t xml:space="preserve"> de </w:t>
      </w:r>
      <w:r w:rsidRPr="00E0488D">
        <w:rPr>
          <w:rStyle w:val="hps"/>
          <w:rFonts w:cs="Arial"/>
          <w:color w:val="000000" w:themeColor="text1"/>
        </w:rPr>
        <w:t>600m</w:t>
      </w:r>
      <w:r w:rsidRPr="00E0488D">
        <w:t xml:space="preserve"> </w:t>
      </w:r>
      <w:r w:rsidRPr="00E0488D">
        <w:rPr>
          <w:rStyle w:val="hps"/>
          <w:rFonts w:cs="Arial"/>
          <w:color w:val="000000" w:themeColor="text1"/>
        </w:rPr>
        <w:t>lungime</w:t>
      </w:r>
      <w:r w:rsidRPr="00E0488D">
        <w:t xml:space="preserve"> </w:t>
      </w:r>
      <w:r w:rsidRPr="00E0488D">
        <w:rPr>
          <w:rStyle w:val="hps"/>
          <w:rFonts w:cs="Arial"/>
          <w:color w:val="000000" w:themeColor="text1"/>
        </w:rPr>
        <w:t>capabil să manevreze</w:t>
      </w:r>
      <w:r w:rsidRPr="00E0488D">
        <w:t xml:space="preserve"> </w:t>
      </w:r>
      <w:r w:rsidRPr="00E0488D">
        <w:rPr>
          <w:rStyle w:val="hps"/>
          <w:rFonts w:cs="Arial"/>
          <w:color w:val="000000" w:themeColor="text1"/>
        </w:rPr>
        <w:t>3</w:t>
      </w:r>
      <w:r w:rsidRPr="00E0488D">
        <w:t xml:space="preserve"> </w:t>
      </w:r>
      <w:r w:rsidRPr="00E0488D">
        <w:rPr>
          <w:rStyle w:val="hps"/>
          <w:rFonts w:cs="Arial"/>
          <w:color w:val="000000" w:themeColor="text1"/>
        </w:rPr>
        <w:t>trenuri</w:t>
      </w:r>
      <w:r w:rsidRPr="00E0488D">
        <w:t xml:space="preserve"> complete </w:t>
      </w:r>
      <w:r w:rsidRPr="00E0488D">
        <w:rPr>
          <w:rStyle w:val="hps"/>
          <w:rFonts w:cs="Arial"/>
          <w:color w:val="000000" w:themeColor="text1"/>
        </w:rPr>
        <w:t>de 30</w:t>
      </w:r>
      <w:r w:rsidRPr="00E0488D">
        <w:t xml:space="preserve"> </w:t>
      </w:r>
      <w:r w:rsidRPr="00E0488D">
        <w:rPr>
          <w:rStyle w:val="hps"/>
          <w:rFonts w:cs="Arial"/>
          <w:color w:val="000000" w:themeColor="text1"/>
        </w:rPr>
        <w:t>de vagoane</w:t>
      </w:r>
      <w:r w:rsidRPr="00E0488D">
        <w:t xml:space="preserve"> </w:t>
      </w:r>
      <w:r w:rsidRPr="00E0488D">
        <w:rPr>
          <w:rStyle w:val="hps"/>
          <w:rFonts w:cs="Arial"/>
          <w:color w:val="000000" w:themeColor="text1"/>
        </w:rPr>
        <w:t>dintr-o dată</w:t>
      </w:r>
      <w:r w:rsidRPr="00E0488D">
        <w:t xml:space="preserve">. </w:t>
      </w:r>
      <w:r w:rsidRPr="00E0488D">
        <w:rPr>
          <w:rStyle w:val="hps"/>
          <w:rFonts w:cs="Arial"/>
          <w:color w:val="000000" w:themeColor="text1"/>
        </w:rPr>
        <w:t>Există mai multe</w:t>
      </w:r>
      <w:r w:rsidRPr="00E0488D">
        <w:t xml:space="preserve"> </w:t>
      </w:r>
      <w:r w:rsidRPr="00E0488D">
        <w:rPr>
          <w:rStyle w:val="hps"/>
          <w:rFonts w:cs="Arial"/>
          <w:color w:val="000000" w:themeColor="text1"/>
        </w:rPr>
        <w:t>linii de garare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trenurile</w:t>
      </w:r>
      <w:r w:rsidRPr="00E0488D">
        <w:t xml:space="preserve"> </w:t>
      </w:r>
      <w:r w:rsidRPr="00E0488D">
        <w:rPr>
          <w:rStyle w:val="hps"/>
          <w:rFonts w:cs="Arial"/>
          <w:color w:val="000000" w:themeColor="text1"/>
        </w:rPr>
        <w:t>de containere</w:t>
      </w:r>
      <w:r w:rsidRPr="00E0488D">
        <w:t xml:space="preserve"> care </w:t>
      </w:r>
      <w:r w:rsidRPr="00E0488D">
        <w:rPr>
          <w:rStyle w:val="hps"/>
          <w:rFonts w:cs="Arial"/>
          <w:color w:val="000000" w:themeColor="text1"/>
        </w:rPr>
        <w:t>așteaptă să fie</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Există</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6-7</w:t>
      </w:r>
      <w:r w:rsidRPr="00E0488D">
        <w:t xml:space="preserve"> </w:t>
      </w:r>
      <w:r w:rsidRPr="00E0488D">
        <w:rPr>
          <w:rStyle w:val="hps"/>
          <w:rFonts w:cs="Arial"/>
          <w:color w:val="000000" w:themeColor="text1"/>
        </w:rPr>
        <w:t>trenuri</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pe zi,</w:t>
      </w:r>
      <w:r w:rsidRPr="00E0488D">
        <w:t xml:space="preserve"> </w:t>
      </w:r>
      <w:r w:rsidRPr="00E0488D">
        <w:rPr>
          <w:rStyle w:val="hps"/>
          <w:rFonts w:cs="Arial"/>
          <w:color w:val="000000" w:themeColor="text1"/>
        </w:rPr>
        <w:t>în funcție de</w:t>
      </w:r>
      <w:r w:rsidRPr="00E0488D">
        <w:t xml:space="preserve"> terminalul </w:t>
      </w:r>
      <w:r w:rsidRPr="00E0488D">
        <w:rPr>
          <w:rStyle w:val="hps"/>
          <w:rFonts w:cs="Arial"/>
          <w:color w:val="000000" w:themeColor="text1"/>
        </w:rPr>
        <w:t>DP World</w:t>
      </w:r>
      <w:r w:rsidRPr="00E0488D">
        <w:t xml:space="preserve">. </w:t>
      </w:r>
      <w:r w:rsidRPr="00E0488D">
        <w:rPr>
          <w:rStyle w:val="hps"/>
          <w:rFonts w:cs="Arial"/>
          <w:color w:val="000000" w:themeColor="text1"/>
        </w:rPr>
        <w:t>Dintr-o</w:t>
      </w:r>
      <w:r w:rsidRPr="00E0488D">
        <w:t xml:space="preserve"> </w:t>
      </w:r>
      <w:r w:rsidRPr="00E0488D">
        <w:rPr>
          <w:rStyle w:val="hps"/>
          <w:rFonts w:cs="Arial"/>
          <w:color w:val="000000" w:themeColor="text1"/>
        </w:rPr>
        <w:t>vizită</w:t>
      </w:r>
      <w:r w:rsidRPr="00E0488D">
        <w:t xml:space="preserve"> efectuată </w:t>
      </w:r>
      <w:r w:rsidRPr="00E0488D">
        <w:rPr>
          <w:rStyle w:val="hps"/>
          <w:rFonts w:cs="Arial"/>
          <w:color w:val="000000" w:themeColor="text1"/>
        </w:rPr>
        <w:t>de</w:t>
      </w:r>
      <w:r w:rsidRPr="00E0488D">
        <w:t xml:space="preserve"> </w:t>
      </w:r>
      <w:r w:rsidRPr="00E0488D">
        <w:rPr>
          <w:rStyle w:val="hps"/>
          <w:rFonts w:cs="Arial"/>
          <w:color w:val="000000" w:themeColor="text1"/>
        </w:rPr>
        <w:t>echipa de proiect</w:t>
      </w:r>
      <w:r w:rsidRPr="00E0488D">
        <w:t xml:space="preserve"> </w:t>
      </w:r>
      <w:r w:rsidRPr="00E0488D">
        <w:rPr>
          <w:rStyle w:val="hps"/>
          <w:rFonts w:cs="Arial"/>
          <w:color w:val="000000" w:themeColor="text1"/>
        </w:rPr>
        <w:t>s-a</w:t>
      </w:r>
      <w:r w:rsidRPr="00E0488D">
        <w:t xml:space="preserve"> </w:t>
      </w:r>
      <w:r w:rsidRPr="00E0488D">
        <w:rPr>
          <w:rStyle w:val="hps"/>
          <w:rFonts w:cs="Arial"/>
          <w:color w:val="000000" w:themeColor="text1"/>
        </w:rPr>
        <w:t>observat faptul</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vagoanele</w:t>
      </w:r>
      <w:r w:rsidRPr="00E0488D">
        <w:t xml:space="preserve"> </w:t>
      </w:r>
      <w:r w:rsidRPr="00E0488D">
        <w:rPr>
          <w:rStyle w:val="hps"/>
          <w:rFonts w:cs="Arial"/>
          <w:color w:val="000000" w:themeColor="text1"/>
        </w:rPr>
        <w:t>trenurilor sunt</w:t>
      </w:r>
      <w:r w:rsidRPr="00E0488D">
        <w:t xml:space="preserve"> </w:t>
      </w:r>
      <w:r w:rsidRPr="00E0488D">
        <w:rPr>
          <w:rStyle w:val="hps"/>
          <w:rFonts w:cs="Arial"/>
          <w:color w:val="000000" w:themeColor="text1"/>
        </w:rPr>
        <w:t>vechi</w:t>
      </w:r>
      <w:r w:rsidRPr="00E0488D">
        <w:t xml:space="preserve">, cu </w:t>
      </w:r>
      <w:r w:rsidRPr="00E0488D">
        <w:rPr>
          <w:rStyle w:val="hps"/>
          <w:rFonts w:cs="Arial"/>
          <w:color w:val="000000" w:themeColor="text1"/>
        </w:rPr>
        <w:t>spații largi irosite în trenurile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ar putea avea</w:t>
      </w:r>
      <w:r w:rsidRPr="00E0488D">
        <w:t xml:space="preserve"> </w:t>
      </w:r>
      <w:r w:rsidRPr="00E0488D">
        <w:rPr>
          <w:rStyle w:val="hps"/>
          <w:rFonts w:cs="Arial"/>
          <w:color w:val="000000" w:themeColor="text1"/>
        </w:rPr>
        <w:t>o mai bună</w:t>
      </w:r>
      <w:r w:rsidRPr="00E0488D">
        <w:t xml:space="preserve"> </w:t>
      </w:r>
      <w:r w:rsidRPr="00E0488D">
        <w:rPr>
          <w:rStyle w:val="hps"/>
          <w:rFonts w:cs="Arial"/>
          <w:color w:val="000000" w:themeColor="text1"/>
        </w:rPr>
        <w:t>productivitate</w:t>
      </w:r>
      <w:r w:rsidRPr="00E0488D">
        <w:t>. Liniile sunt deservite de d</w:t>
      </w:r>
      <w:r w:rsidRPr="00E0488D">
        <w:rPr>
          <w:rStyle w:val="hps"/>
          <w:rFonts w:cs="Arial"/>
          <w:color w:val="000000" w:themeColor="text1"/>
        </w:rPr>
        <w:t>ouă</w:t>
      </w:r>
      <w:r w:rsidRPr="00E0488D">
        <w:t xml:space="preserve"> </w:t>
      </w:r>
      <w:r w:rsidRPr="00E0488D">
        <w:rPr>
          <w:rStyle w:val="hps"/>
          <w:rFonts w:cs="Arial"/>
          <w:color w:val="000000" w:themeColor="text1"/>
        </w:rPr>
        <w:t>poduri rulante</w:t>
      </w:r>
      <w:r w:rsidRPr="00E0488D">
        <w:t xml:space="preserve">. </w:t>
      </w:r>
      <w:r w:rsidRPr="00E0488D">
        <w:rPr>
          <w:rStyle w:val="hps"/>
          <w:rFonts w:cs="Arial"/>
          <w:color w:val="000000" w:themeColor="text1"/>
        </w:rPr>
        <w:t>În manualul DP World</w:t>
      </w:r>
      <w:r w:rsidRPr="00E0488D">
        <w:t xml:space="preserve"> </w:t>
      </w:r>
      <w:r w:rsidRPr="00E0488D">
        <w:rPr>
          <w:rStyle w:val="hps"/>
          <w:rFonts w:cs="Arial"/>
          <w:color w:val="000000" w:themeColor="text1"/>
        </w:rPr>
        <w:t>s-a menționat</w:t>
      </w:r>
      <w:r w:rsidRPr="00E0488D">
        <w:t xml:space="preserve"> </w:t>
      </w:r>
      <w:r w:rsidRPr="00E0488D">
        <w:rPr>
          <w:rStyle w:val="hps"/>
          <w:rFonts w:cs="Arial"/>
          <w:color w:val="000000" w:themeColor="text1"/>
        </w:rPr>
        <w:t>că anumite părți ale</w:t>
      </w:r>
      <w:r w:rsidRPr="00E0488D">
        <w:t xml:space="preserve"> </w:t>
      </w:r>
      <w:r w:rsidRPr="00E0488D">
        <w:rPr>
          <w:rStyle w:val="hps"/>
          <w:rFonts w:cs="Arial"/>
          <w:color w:val="000000" w:themeColor="text1"/>
        </w:rPr>
        <w:t>magistralei feroviare</w:t>
      </w:r>
      <w:r w:rsidRPr="00E0488D">
        <w:t xml:space="preserve"> </w:t>
      </w:r>
      <w:r w:rsidRPr="00E0488D">
        <w:rPr>
          <w:rStyle w:val="hps"/>
          <w:rFonts w:cs="Arial"/>
          <w:color w:val="000000" w:themeColor="text1"/>
        </w:rPr>
        <w:t>sunt</w:t>
      </w:r>
      <w:r w:rsidRPr="00E0488D">
        <w:t xml:space="preserve"> în curs de </w:t>
      </w:r>
      <w:r w:rsidRPr="00E0488D">
        <w:rPr>
          <w:rStyle w:val="hps"/>
          <w:rFonts w:cs="Arial"/>
          <w:color w:val="000000" w:themeColor="text1"/>
        </w:rPr>
        <w:t>modernizate în următorii</w:t>
      </w:r>
      <w:r w:rsidRPr="00E0488D">
        <w:t xml:space="preserve"> </w:t>
      </w:r>
      <w:r w:rsidRPr="00E0488D">
        <w:rPr>
          <w:rStyle w:val="hps"/>
          <w:rFonts w:cs="Arial"/>
          <w:color w:val="000000" w:themeColor="text1"/>
        </w:rPr>
        <w:t>trei ani</w:t>
      </w:r>
      <w:r w:rsidRPr="00E0488D">
        <w:t xml:space="preserve"> </w:t>
      </w:r>
      <w:r w:rsidRPr="00E0488D">
        <w:rPr>
          <w:rStyle w:val="hps"/>
          <w:rFonts w:cs="Arial"/>
          <w:color w:val="000000" w:themeColor="text1"/>
        </w:rPr>
        <w:t>pentru a putea găzdui</w:t>
      </w:r>
      <w:r w:rsidRPr="00E0488D">
        <w:t xml:space="preserve"> </w:t>
      </w:r>
      <w:r w:rsidRPr="00E0488D">
        <w:rPr>
          <w:rStyle w:val="hps"/>
          <w:rFonts w:cs="Arial"/>
          <w:color w:val="000000" w:themeColor="text1"/>
        </w:rPr>
        <w:t>trenurile de marfă de</w:t>
      </w:r>
      <w:r w:rsidRPr="00E0488D">
        <w:t xml:space="preserve"> </w:t>
      </w:r>
      <w:r w:rsidRPr="00E0488D">
        <w:rPr>
          <w:rStyle w:val="hps"/>
          <w:rFonts w:cs="Arial"/>
          <w:color w:val="000000" w:themeColor="text1"/>
        </w:rPr>
        <w:t>mare</w:t>
      </w:r>
      <w:r w:rsidRPr="00E0488D">
        <w:t xml:space="preserve"> </w:t>
      </w:r>
      <w:r w:rsidRPr="00E0488D">
        <w:rPr>
          <w:rStyle w:val="hps"/>
          <w:rFonts w:cs="Arial"/>
          <w:color w:val="000000" w:themeColor="text1"/>
        </w:rPr>
        <w:t>viteză</w:t>
      </w:r>
      <w:r w:rsidRPr="00E0488D">
        <w:t xml:space="preserve">. </w:t>
      </w:r>
      <w:r w:rsidRPr="00E0488D">
        <w:rPr>
          <w:rStyle w:val="hps"/>
          <w:rFonts w:cs="Arial"/>
          <w:color w:val="000000" w:themeColor="text1"/>
        </w:rPr>
        <w:t>Îmbunătățirile aduse</w:t>
      </w:r>
      <w:r w:rsidRPr="00E0488D">
        <w:t xml:space="preserve"> </w:t>
      </w:r>
      <w:r w:rsidRPr="00E0488D">
        <w:rPr>
          <w:rStyle w:val="hps"/>
          <w:rFonts w:cs="Arial"/>
          <w:color w:val="000000" w:themeColor="text1"/>
        </w:rPr>
        <w:t>rețelei feroviare</w:t>
      </w:r>
      <w:r w:rsidRPr="00E0488D">
        <w:t xml:space="preserve"> </w:t>
      </w:r>
      <w:r w:rsidRPr="00E0488D">
        <w:rPr>
          <w:rStyle w:val="hps"/>
          <w:rFonts w:cs="Arial"/>
          <w:color w:val="000000" w:themeColor="text1"/>
        </w:rPr>
        <w:t>din port</w:t>
      </w:r>
      <w:r w:rsidRPr="00E0488D">
        <w:t xml:space="preserve"> </w:t>
      </w:r>
      <w:r w:rsidRPr="00E0488D">
        <w:rPr>
          <w:rStyle w:val="hps"/>
          <w:rFonts w:cs="Arial"/>
          <w:color w:val="000000" w:themeColor="text1"/>
        </w:rPr>
        <w:t>vor</w:t>
      </w:r>
      <w:r w:rsidRPr="00E0488D">
        <w:t xml:space="preserve"> </w:t>
      </w:r>
      <w:r w:rsidRPr="00E0488D">
        <w:rPr>
          <w:rStyle w:val="hps"/>
          <w:rFonts w:cs="Arial"/>
          <w:color w:val="000000" w:themeColor="text1"/>
        </w:rPr>
        <w:t>avea</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efect</w:t>
      </w:r>
      <w:r w:rsidRPr="00E0488D">
        <w:t xml:space="preserve"> </w:t>
      </w:r>
      <w:r w:rsidRPr="00E0488D">
        <w:rPr>
          <w:rStyle w:val="hps"/>
          <w:rFonts w:cs="Arial"/>
          <w:color w:val="000000" w:themeColor="text1"/>
        </w:rPr>
        <w:t>semnificativ</w:t>
      </w:r>
      <w:r w:rsidRPr="00E0488D">
        <w:t xml:space="preserve"> </w:t>
      </w:r>
      <w:r w:rsidRPr="00E0488D">
        <w:rPr>
          <w:rStyle w:val="hps"/>
          <w:rFonts w:cs="Arial"/>
          <w:color w:val="000000" w:themeColor="text1"/>
        </w:rPr>
        <w:t>asupra</w:t>
      </w:r>
      <w:r w:rsidRPr="00E0488D">
        <w:t xml:space="preserve"> </w:t>
      </w:r>
      <w:r w:rsidRPr="00E0488D">
        <w:rPr>
          <w:rStyle w:val="hps"/>
          <w:rFonts w:cs="Arial"/>
          <w:color w:val="000000" w:themeColor="text1"/>
        </w:rPr>
        <w:t>timpului de parcurs pentru tranzitul</w:t>
      </w:r>
      <w:r w:rsidRPr="00E0488D">
        <w:t xml:space="preserve"> </w:t>
      </w:r>
      <w:r w:rsidRPr="00E0488D">
        <w:rPr>
          <w:rStyle w:val="hps"/>
          <w:rFonts w:cs="Arial"/>
          <w:color w:val="000000" w:themeColor="text1"/>
        </w:rPr>
        <w:t>feroviar</w:t>
      </w:r>
      <w:r w:rsidRPr="00E0488D">
        <w:t xml:space="preserve">. </w:t>
      </w:r>
      <w:r w:rsidRPr="00E0488D">
        <w:rPr>
          <w:rStyle w:val="hps"/>
          <w:rFonts w:cs="Arial"/>
          <w:color w:val="000000" w:themeColor="text1"/>
        </w:rPr>
        <w:t>Liniile</w:t>
      </w:r>
      <w:r w:rsidRPr="00E0488D">
        <w:t xml:space="preserve"> </w:t>
      </w:r>
      <w:r w:rsidRPr="00E0488D">
        <w:rPr>
          <w:rStyle w:val="hps"/>
          <w:rFonts w:cs="Arial"/>
          <w:color w:val="000000" w:themeColor="text1"/>
        </w:rPr>
        <w:t>suplimentare</w:t>
      </w:r>
      <w:r w:rsidRPr="00E0488D">
        <w:t xml:space="preserve"> </w:t>
      </w:r>
      <w:r w:rsidRPr="00E0488D">
        <w:rPr>
          <w:rStyle w:val="hps"/>
          <w:rFonts w:cs="Arial"/>
          <w:color w:val="000000" w:themeColor="text1"/>
        </w:rPr>
        <w:t>vor conecta</w:t>
      </w:r>
      <w:r w:rsidRPr="00E0488D">
        <w:t xml:space="preserve"> </w:t>
      </w:r>
      <w:r w:rsidRPr="00E0488D">
        <w:rPr>
          <w:rStyle w:val="hps"/>
          <w:rFonts w:cs="Arial"/>
          <w:color w:val="000000" w:themeColor="text1"/>
        </w:rPr>
        <w:t>partea de nord</w:t>
      </w:r>
      <w:r w:rsidRPr="00E0488D">
        <w:t xml:space="preserve"> </w:t>
      </w:r>
      <w:r w:rsidRPr="00E0488D">
        <w:rPr>
          <w:rStyle w:val="hps"/>
          <w:rFonts w:cs="Arial"/>
          <w:color w:val="000000" w:themeColor="text1"/>
        </w:rPr>
        <w:t>cu</w:t>
      </w:r>
      <w:r w:rsidRPr="00E0488D">
        <w:t xml:space="preserve"> partea de sud a </w:t>
      </w:r>
      <w:r w:rsidRPr="00E0488D">
        <w:rPr>
          <w:rStyle w:val="hps"/>
          <w:rFonts w:cs="Arial"/>
          <w:color w:val="000000" w:themeColor="text1"/>
        </w:rPr>
        <w:t>portului</w:t>
      </w:r>
      <w:r w:rsidRPr="00E0488D">
        <w:t xml:space="preserve">. </w:t>
      </w:r>
    </w:p>
    <w:p w:rsidR="00BD59B2" w:rsidRPr="00E0488D" w:rsidRDefault="00BD59B2" w:rsidP="002B7E09">
      <w:pPr>
        <w:pStyle w:val="NumberedParas"/>
      </w:pPr>
      <w:r w:rsidRPr="00E0488D">
        <w:rPr>
          <w:rStyle w:val="hps"/>
          <w:rFonts w:cs="Arial"/>
          <w:color w:val="000000" w:themeColor="text1"/>
        </w:rPr>
        <w:t>Transport rutier</w:t>
      </w:r>
      <w:r w:rsidRPr="00E0488D">
        <w:t xml:space="preserve"> </w:t>
      </w:r>
      <w:r w:rsidRPr="00E0488D">
        <w:rPr>
          <w:rStyle w:val="hps"/>
          <w:rFonts w:cs="Arial"/>
          <w:color w:val="000000" w:themeColor="text1"/>
        </w:rPr>
        <w:t>este modul</w:t>
      </w:r>
      <w:r w:rsidRPr="00E0488D">
        <w:t xml:space="preserve"> </w:t>
      </w:r>
      <w:r w:rsidRPr="00E0488D">
        <w:rPr>
          <w:rStyle w:val="hps"/>
          <w:rFonts w:cs="Arial"/>
          <w:color w:val="000000" w:themeColor="text1"/>
        </w:rPr>
        <w:t>dominant de transport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există</w:t>
      </w:r>
      <w:r w:rsidRPr="00E0488D">
        <w:t xml:space="preserve"> </w:t>
      </w:r>
      <w:r w:rsidRPr="00E0488D">
        <w:rPr>
          <w:rStyle w:val="hps"/>
          <w:rFonts w:cs="Arial"/>
          <w:color w:val="000000" w:themeColor="text1"/>
        </w:rPr>
        <w:t>3</w:t>
      </w:r>
      <w:r w:rsidRPr="00E0488D">
        <w:t xml:space="preserve"> golfuri </w:t>
      </w:r>
      <w:r w:rsidRPr="00E0488D">
        <w:rPr>
          <w:rStyle w:val="hps"/>
          <w:rFonts w:cs="Arial"/>
          <w:color w:val="000000" w:themeColor="text1"/>
        </w:rPr>
        <w:t>de intrare mărfuri și unul pentru ieșire</w:t>
      </w:r>
      <w:r w:rsidRPr="00E0488D">
        <w:t xml:space="preserve"> </w:t>
      </w:r>
      <w:r w:rsidRPr="00E0488D">
        <w:rPr>
          <w:rStyle w:val="hps"/>
          <w:rFonts w:cs="Arial"/>
          <w:color w:val="000000" w:themeColor="text1"/>
        </w:rPr>
        <w:t>utilizate în mod regulat</w:t>
      </w:r>
      <w:r w:rsidRPr="00E0488D">
        <w:t xml:space="preserve">, dar </w:t>
      </w:r>
      <w:r w:rsidRPr="00E0488D">
        <w:rPr>
          <w:rStyle w:val="hps"/>
          <w:rFonts w:cs="Arial"/>
          <w:color w:val="000000" w:themeColor="text1"/>
        </w:rPr>
        <w:t>există</w:t>
      </w:r>
      <w:r w:rsidRPr="00E0488D">
        <w:t xml:space="preserve"> </w:t>
      </w:r>
      <w:r w:rsidRPr="00E0488D">
        <w:rPr>
          <w:rStyle w:val="hps"/>
          <w:rFonts w:cs="Arial"/>
          <w:color w:val="000000" w:themeColor="text1"/>
        </w:rPr>
        <w:t>porti</w:t>
      </w:r>
      <w:r w:rsidRPr="00E0488D">
        <w:t xml:space="preserve"> </w:t>
      </w:r>
      <w:r w:rsidRPr="00E0488D">
        <w:rPr>
          <w:rStyle w:val="hps"/>
          <w:rFonts w:cs="Arial"/>
          <w:color w:val="000000" w:themeColor="text1"/>
        </w:rPr>
        <w:t>suplimentare</w:t>
      </w:r>
      <w:r w:rsidRPr="00E0488D">
        <w:t xml:space="preserve"> </w:t>
      </w:r>
      <w:r w:rsidRPr="00E0488D">
        <w:rPr>
          <w:rStyle w:val="hps"/>
          <w:rFonts w:cs="Arial"/>
          <w:color w:val="000000" w:themeColor="text1"/>
        </w:rPr>
        <w:t>care ar putea fi</w:t>
      </w:r>
      <w:r w:rsidRPr="00E0488D">
        <w:t xml:space="preserve"> </w:t>
      </w:r>
      <w:r w:rsidRPr="00E0488D">
        <w:rPr>
          <w:rStyle w:val="hps"/>
          <w:rFonts w:cs="Arial"/>
          <w:color w:val="000000" w:themeColor="text1"/>
        </w:rPr>
        <w:t>puse în funcțiune</w:t>
      </w:r>
      <w:r w:rsidRPr="00E0488D">
        <w:t xml:space="preserve"> </w:t>
      </w:r>
      <w:r w:rsidRPr="00E0488D">
        <w:rPr>
          <w:rStyle w:val="hps"/>
          <w:rFonts w:cs="Arial"/>
          <w:color w:val="000000" w:themeColor="text1"/>
        </w:rPr>
        <w:t>în cazul în care</w:t>
      </w:r>
      <w:r w:rsidRPr="00E0488D">
        <w:t xml:space="preserve"> </w:t>
      </w:r>
      <w:r w:rsidRPr="00E0488D">
        <w:rPr>
          <w:rStyle w:val="hps"/>
          <w:rFonts w:cs="Arial"/>
          <w:color w:val="000000" w:themeColor="text1"/>
        </w:rPr>
        <w:t>este nevoie de</w:t>
      </w:r>
      <w:r w:rsidRPr="00E0488D">
        <w:t xml:space="preserve"> o </w:t>
      </w:r>
      <w:r w:rsidRPr="00E0488D">
        <w:rPr>
          <w:rStyle w:val="hps"/>
          <w:rFonts w:cs="Arial"/>
          <w:color w:val="000000" w:themeColor="text1"/>
        </w:rPr>
        <w:t>capacitate suplimentară</w:t>
      </w:r>
      <w:r w:rsidRPr="00E0488D">
        <w:t xml:space="preserve">. </w:t>
      </w:r>
      <w:r w:rsidRPr="00E0488D">
        <w:rPr>
          <w:rStyle w:val="hps"/>
          <w:rFonts w:cs="Arial"/>
          <w:color w:val="000000" w:themeColor="text1"/>
        </w:rPr>
        <w:t>Se încearcă  operarea unui</w:t>
      </w:r>
      <w:r w:rsidRPr="00E0488D">
        <w:t xml:space="preserve"> </w:t>
      </w:r>
      <w:r w:rsidRPr="00E0488D">
        <w:rPr>
          <w:rStyle w:val="hps"/>
          <w:rFonts w:cs="Arial"/>
          <w:color w:val="000000" w:themeColor="text1"/>
        </w:rPr>
        <w:t>camion</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15 minute</w:t>
      </w:r>
      <w:r w:rsidRPr="00E0488D">
        <w:t xml:space="preserve">, dar </w:t>
      </w:r>
      <w:r w:rsidRPr="00E0488D">
        <w:rPr>
          <w:rStyle w:val="hps"/>
          <w:rFonts w:cs="Arial"/>
          <w:color w:val="000000" w:themeColor="text1"/>
        </w:rPr>
        <w:t>poate dura</w:t>
      </w:r>
      <w:r w:rsidRPr="00E0488D">
        <w:t xml:space="preserve"> și </w:t>
      </w:r>
      <w:r w:rsidRPr="00E0488D">
        <w:rPr>
          <w:rStyle w:val="hps"/>
          <w:rFonts w:cs="Arial"/>
          <w:color w:val="000000" w:themeColor="text1"/>
        </w:rPr>
        <w:t>o</w:t>
      </w:r>
      <w:r w:rsidRPr="00E0488D">
        <w:t xml:space="preserve"> </w:t>
      </w:r>
      <w:r w:rsidRPr="00E0488D">
        <w:rPr>
          <w:rStyle w:val="hps"/>
          <w:rFonts w:cs="Arial"/>
          <w:color w:val="000000" w:themeColor="text1"/>
        </w:rPr>
        <w:t>oră</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manevrează aproximativ</w:t>
      </w:r>
      <w:r w:rsidRPr="00E0488D">
        <w:t xml:space="preserve"> </w:t>
      </w:r>
      <w:r w:rsidRPr="00E0488D">
        <w:rPr>
          <w:rStyle w:val="hps"/>
          <w:rFonts w:cs="Arial"/>
          <w:color w:val="000000" w:themeColor="text1"/>
        </w:rPr>
        <w:t>850</w:t>
      </w:r>
      <w:r w:rsidRPr="00E0488D">
        <w:t xml:space="preserve"> </w:t>
      </w:r>
      <w:r w:rsidRPr="00E0488D">
        <w:rPr>
          <w:rStyle w:val="hps"/>
          <w:rFonts w:cs="Arial"/>
          <w:color w:val="000000" w:themeColor="text1"/>
        </w:rPr>
        <w:t>de camioane</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într-o</w:t>
      </w:r>
      <w:r w:rsidRPr="00E0488D">
        <w:t xml:space="preserve"> </w:t>
      </w:r>
      <w:r w:rsidRPr="00E0488D">
        <w:rPr>
          <w:rStyle w:val="hps"/>
          <w:rFonts w:cs="Arial"/>
          <w:color w:val="000000" w:themeColor="text1"/>
        </w:rPr>
        <w:t>zi obișnuită</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activitate</w:t>
      </w:r>
      <w:r w:rsidRPr="00E0488D">
        <w:t xml:space="preserve"> intensă </w:t>
      </w:r>
      <w:r w:rsidRPr="00E0488D">
        <w:rPr>
          <w:rStyle w:val="hps"/>
          <w:rFonts w:cs="Arial"/>
          <w:color w:val="000000" w:themeColor="text1"/>
        </w:rPr>
        <w:t>este</w:t>
      </w:r>
      <w:r w:rsidRPr="00E0488D">
        <w:t xml:space="preserve"> </w:t>
      </w:r>
      <w:r w:rsidRPr="00E0488D">
        <w:rPr>
          <w:rStyle w:val="hps"/>
          <w:rFonts w:cs="Arial"/>
          <w:color w:val="000000" w:themeColor="text1"/>
        </w:rPr>
        <w:t>de la orele</w:t>
      </w:r>
      <w:r w:rsidRPr="00E0488D">
        <w:t xml:space="preserve"> </w:t>
      </w:r>
      <w:r w:rsidRPr="00E0488D">
        <w:rPr>
          <w:rStyle w:val="hps"/>
          <w:rFonts w:cs="Arial"/>
          <w:color w:val="000000" w:themeColor="text1"/>
        </w:rPr>
        <w:t>14</w:t>
      </w:r>
      <w:r w:rsidRPr="00E0488D">
        <w:t xml:space="preserve"> </w:t>
      </w:r>
      <w:r w:rsidRPr="00E0488D">
        <w:rPr>
          <w:rStyle w:val="hps"/>
          <w:rFonts w:cs="Arial"/>
          <w:color w:val="000000" w:themeColor="text1"/>
        </w:rPr>
        <w:t>până la</w:t>
      </w:r>
      <w:r w:rsidRPr="00E0488D">
        <w:t xml:space="preserve"> orele </w:t>
      </w:r>
      <w:r w:rsidRPr="00E0488D">
        <w:rPr>
          <w:rStyle w:val="hps"/>
          <w:rFonts w:cs="Arial"/>
          <w:color w:val="000000" w:themeColor="text1"/>
        </w:rPr>
        <w:t>22</w:t>
      </w:r>
      <w:r w:rsidRPr="00E0488D">
        <w:t xml:space="preserve">, cu </w:t>
      </w:r>
      <w:r w:rsidRPr="00E0488D">
        <w:rPr>
          <w:rStyle w:val="hps"/>
          <w:rFonts w:cs="Arial"/>
          <w:color w:val="000000" w:themeColor="text1"/>
        </w:rPr>
        <w:t>o oră</w:t>
      </w:r>
      <w:r w:rsidRPr="00E0488D">
        <w:t xml:space="preserve"> </w:t>
      </w:r>
      <w:r w:rsidRPr="00E0488D">
        <w:rPr>
          <w:rStyle w:val="hps"/>
          <w:rFonts w:cs="Arial"/>
          <w:color w:val="000000" w:themeColor="text1"/>
        </w:rPr>
        <w:t>de vârf</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5-6pm</w:t>
      </w:r>
      <w:r w:rsidRPr="00E0488D">
        <w:t xml:space="preserve"> </w:t>
      </w:r>
      <w:r w:rsidRPr="00E0488D">
        <w:rPr>
          <w:rStyle w:val="hps"/>
          <w:rFonts w:cs="Arial"/>
          <w:color w:val="000000" w:themeColor="text1"/>
        </w:rPr>
        <w:t>în care s-au operat</w:t>
      </w:r>
      <w:r w:rsidRPr="00E0488D">
        <w:t xml:space="preserve"> </w:t>
      </w:r>
      <w:r w:rsidRPr="00E0488D">
        <w:rPr>
          <w:rStyle w:val="hps"/>
          <w:rFonts w:cs="Arial"/>
          <w:color w:val="000000" w:themeColor="text1"/>
        </w:rPr>
        <w:t>54 de</w:t>
      </w:r>
      <w:r w:rsidRPr="00E0488D">
        <w:t xml:space="preserve"> </w:t>
      </w:r>
      <w:r w:rsidRPr="00E0488D">
        <w:rPr>
          <w:rStyle w:val="hps"/>
          <w:rFonts w:cs="Arial"/>
          <w:color w:val="000000" w:themeColor="text1"/>
        </w:rPr>
        <w:t>containere</w:t>
      </w:r>
      <w:r w:rsidRPr="00E0488D">
        <w:t>. De r</w:t>
      </w:r>
      <w:r w:rsidRPr="00E0488D">
        <w:rPr>
          <w:rStyle w:val="hps"/>
          <w:rFonts w:cs="Arial"/>
          <w:color w:val="000000" w:themeColor="text1"/>
        </w:rPr>
        <w:t>eținut faptul aceste date se bazează pe</w:t>
      </w:r>
      <w:r w:rsidRPr="00E0488D">
        <w:t xml:space="preserve">  </w:t>
      </w:r>
      <w:r w:rsidRPr="00E0488D">
        <w:rPr>
          <w:rStyle w:val="hps"/>
          <w:rFonts w:cs="Arial"/>
          <w:color w:val="000000" w:themeColor="text1"/>
        </w:rPr>
        <w:t>observațiile făcute</w:t>
      </w:r>
      <w:r w:rsidRPr="00E0488D">
        <w:t xml:space="preserve"> </w:t>
      </w:r>
      <w:r w:rsidRPr="00E0488D">
        <w:rPr>
          <w:rStyle w:val="hps"/>
          <w:rFonts w:cs="Arial"/>
          <w:color w:val="000000" w:themeColor="text1"/>
        </w:rPr>
        <w:t>într-o perioadă de</w:t>
      </w:r>
      <w:r w:rsidRPr="00E0488D">
        <w:t xml:space="preserve"> </w:t>
      </w:r>
      <w:r w:rsidRPr="00E0488D">
        <w:rPr>
          <w:rStyle w:val="hps"/>
          <w:rFonts w:cs="Arial"/>
          <w:color w:val="000000" w:themeColor="text1"/>
        </w:rPr>
        <w:t>24 de ore.</w:t>
      </w:r>
      <w:r w:rsidRPr="00E0488D">
        <w:t xml:space="preserve"> </w:t>
      </w:r>
      <w:r w:rsidRPr="00E0488D">
        <w:rPr>
          <w:rStyle w:val="hps"/>
          <w:rFonts w:cs="Arial"/>
          <w:color w:val="000000" w:themeColor="text1"/>
        </w:rPr>
        <w:t>Se are în vedere</w:t>
      </w:r>
      <w:r w:rsidRPr="00E0488D">
        <w:t xml:space="preserve"> </w:t>
      </w:r>
      <w:r w:rsidRPr="00E0488D">
        <w:rPr>
          <w:rStyle w:val="hps"/>
          <w:rFonts w:cs="Arial"/>
          <w:color w:val="000000" w:themeColor="text1"/>
        </w:rPr>
        <w:t>introducerea unui</w:t>
      </w:r>
      <w:r w:rsidRPr="00E0488D">
        <w:t xml:space="preserve"> </w:t>
      </w:r>
      <w:r w:rsidRPr="00E0488D">
        <w:rPr>
          <w:rStyle w:val="hps"/>
          <w:rFonts w:cs="Arial"/>
          <w:color w:val="000000" w:themeColor="text1"/>
        </w:rPr>
        <w:t>sistem</w:t>
      </w:r>
      <w:r w:rsidRPr="00E0488D">
        <w:t xml:space="preserve"> </w:t>
      </w:r>
      <w:r w:rsidRPr="00E0488D">
        <w:rPr>
          <w:rStyle w:val="hps"/>
          <w:rFonts w:cs="Arial"/>
          <w:color w:val="000000" w:themeColor="text1"/>
        </w:rPr>
        <w:t>de rezervare</w:t>
      </w:r>
      <w:r w:rsidRPr="00E0488D">
        <w:t xml:space="preserve"> </w:t>
      </w:r>
      <w:r w:rsidRPr="00E0488D">
        <w:rPr>
          <w:rStyle w:val="hps"/>
          <w:rFonts w:cs="Arial"/>
          <w:color w:val="000000" w:themeColor="text1"/>
        </w:rPr>
        <w:t>autovehicule cum ar fi</w:t>
      </w:r>
      <w:r w:rsidRPr="00E0488D">
        <w:t xml:space="preserve"> </w:t>
      </w:r>
      <w:r w:rsidRPr="00E0488D">
        <w:rPr>
          <w:rStyle w:val="hps"/>
          <w:rFonts w:cs="Arial"/>
          <w:color w:val="000000" w:themeColor="text1"/>
        </w:rPr>
        <w:t>cel utilizat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Southampton în Marea Britanie</w:t>
      </w:r>
      <w:r w:rsidRPr="00E0488D">
        <w:t xml:space="preserve">. </w:t>
      </w:r>
    </w:p>
    <w:p w:rsidR="00BD59B2" w:rsidRPr="00E0488D" w:rsidRDefault="00BD59B2" w:rsidP="00BD59B2">
      <w:pPr>
        <w:rPr>
          <w:lang w:val="ro-RO"/>
        </w:rPr>
      </w:pPr>
    </w:p>
    <w:p w:rsidR="00BD59B2" w:rsidRPr="00E0488D" w:rsidRDefault="00BD59B2" w:rsidP="00BD59B2">
      <w:pPr>
        <w:spacing w:line="276" w:lineRule="auto"/>
        <w:ind w:left="851"/>
        <w:rPr>
          <w:sz w:val="22"/>
          <w:szCs w:val="22"/>
          <w:lang w:val="ro-RO"/>
        </w:rPr>
      </w:pPr>
      <w:r w:rsidRPr="00E0488D">
        <w:rPr>
          <w:noProof/>
          <w:sz w:val="22"/>
          <w:szCs w:val="22"/>
          <w:lang w:val="ro-RO" w:eastAsia="ro-RO"/>
        </w:rPr>
        <w:drawing>
          <wp:inline distT="0" distB="0" distL="0" distR="0">
            <wp:extent cx="3486150" cy="2609850"/>
            <wp:effectExtent l="19050" t="0" r="0" b="0"/>
            <wp:docPr id="309" name="Picture 2" descr="C:\Users\clarkegj\Pictures\2012-05-24 romania may 2012\romania may 2012 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rkegj\Pictures\2012-05-24 romania may 2012\romania may 2012 078.JPG"/>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3486150" cy="2609850"/>
                    </a:xfrm>
                    <a:prstGeom prst="rect">
                      <a:avLst/>
                    </a:prstGeom>
                    <a:noFill/>
                    <a:ln w="9525">
                      <a:noFill/>
                      <a:miter lim="800000"/>
                      <a:headEnd/>
                      <a:tailEnd/>
                    </a:ln>
                  </pic:spPr>
                </pic:pic>
              </a:graphicData>
            </a:graphic>
          </wp:inline>
        </w:drawing>
      </w:r>
    </w:p>
    <w:p w:rsidR="00BD59B2" w:rsidRPr="00E0488D" w:rsidRDefault="00BD59B2" w:rsidP="00BD59B2">
      <w:pPr>
        <w:pStyle w:val="Body"/>
        <w:ind w:left="851"/>
        <w:rPr>
          <w:rFonts w:cs="Arial"/>
          <w:b/>
          <w:i w:val="0"/>
          <w:lang w:val="ro-RO"/>
        </w:rPr>
      </w:pPr>
      <w:r w:rsidRPr="00E0488D">
        <w:rPr>
          <w:rFonts w:cs="Arial"/>
          <w:b/>
          <w:i w:val="0"/>
          <w:lang w:val="ro-RO"/>
        </w:rPr>
        <w:t xml:space="preserve">Figura 8.2 Camion de containere în terminalul DP World care transportă două containere 20’ pentru compania mediteraneană de transport </w:t>
      </w:r>
    </w:p>
    <w:p w:rsidR="00BD59B2" w:rsidRPr="00E0488D" w:rsidRDefault="00BD59B2" w:rsidP="002B7E09">
      <w:pPr>
        <w:pStyle w:val="NumberedParas"/>
      </w:pPr>
      <w:r w:rsidRPr="00E0488D">
        <w:rPr>
          <w:rStyle w:val="hps"/>
          <w:rFonts w:cs="Arial"/>
          <w:color w:val="000000" w:themeColor="text1"/>
        </w:rPr>
        <w:t>Potrivit</w:t>
      </w:r>
      <w:r w:rsidRPr="00E0488D">
        <w:t xml:space="preserve"> </w:t>
      </w:r>
      <w:r w:rsidRPr="00E0488D">
        <w:rPr>
          <w:rStyle w:val="hps"/>
          <w:rFonts w:cs="Arial"/>
          <w:color w:val="000000" w:themeColor="text1"/>
        </w:rPr>
        <w:t>operatorului terminalului</w:t>
      </w:r>
      <w:r w:rsidRPr="00E0488D">
        <w:t xml:space="preserve">  acesta manevrează </w:t>
      </w:r>
      <w:r w:rsidRPr="00E0488D">
        <w:rPr>
          <w:rStyle w:val="hps"/>
          <w:rFonts w:cs="Arial"/>
          <w:color w:val="000000" w:themeColor="text1"/>
        </w:rPr>
        <w:t>un mixt de containere de</w:t>
      </w:r>
      <w:r w:rsidRPr="00E0488D">
        <w:t xml:space="preserve"> diverse </w:t>
      </w:r>
      <w:r w:rsidRPr="00E0488D">
        <w:rPr>
          <w:rStyle w:val="hps"/>
          <w:rFonts w:cs="Arial"/>
          <w:color w:val="000000" w:themeColor="text1"/>
        </w:rPr>
        <w:t>dimensiuni</w:t>
      </w:r>
      <w:r w:rsidRPr="00E0488D">
        <w:t xml:space="preserve"> unde </w:t>
      </w:r>
      <w:r w:rsidRPr="00E0488D">
        <w:rPr>
          <w:rStyle w:val="hps"/>
          <w:rFonts w:cs="Arial"/>
          <w:color w:val="000000" w:themeColor="text1"/>
        </w:rPr>
        <w:t>aproximativ 55%</w:t>
      </w:r>
      <w:r w:rsidRPr="00E0488D">
        <w:t xml:space="preserve"> </w:t>
      </w:r>
      <w:r w:rsidRPr="00E0488D">
        <w:rPr>
          <w:rStyle w:val="hps"/>
          <w:rFonts w:cs="Arial"/>
          <w:color w:val="000000" w:themeColor="text1"/>
        </w:rPr>
        <w:t xml:space="preserve">fiind de tipul </w:t>
      </w:r>
      <w:r w:rsidRPr="00E0488D">
        <w:t xml:space="preserve">20’, iar </w:t>
      </w:r>
      <w:r w:rsidRPr="00E0488D">
        <w:rPr>
          <w:rStyle w:val="hps"/>
          <w:rFonts w:cs="Arial"/>
          <w:color w:val="000000" w:themeColor="text1"/>
        </w:rPr>
        <w:t>restul fiind</w:t>
      </w:r>
      <w:r w:rsidRPr="00E0488D">
        <w:t xml:space="preserve"> </w:t>
      </w:r>
      <w:r w:rsidRPr="00E0488D">
        <w:rPr>
          <w:rStyle w:val="hps"/>
          <w:rFonts w:cs="Arial"/>
          <w:color w:val="000000" w:themeColor="text1"/>
        </w:rPr>
        <w:t>în principal</w:t>
      </w:r>
      <w:r w:rsidRPr="00E0488D">
        <w:t xml:space="preserve"> de </w:t>
      </w:r>
      <w:r w:rsidRPr="00E0488D">
        <w:rPr>
          <w:rStyle w:val="hps"/>
          <w:rFonts w:cs="Arial"/>
          <w:color w:val="000000" w:themeColor="text1"/>
        </w:rPr>
        <w:t>40</w:t>
      </w:r>
      <w:r w:rsidRPr="00E0488D">
        <w:t xml:space="preserve"> </w:t>
      </w:r>
      <w:r w:rsidRPr="00E0488D">
        <w:rPr>
          <w:rStyle w:val="hps"/>
          <w:rFonts w:cs="Arial"/>
          <w:color w:val="000000" w:themeColor="text1"/>
        </w:rPr>
        <w:t>'</w:t>
      </w:r>
      <w:r w:rsidRPr="00E0488D">
        <w:t xml:space="preserve">dar există unele de </w:t>
      </w:r>
      <w:r w:rsidRPr="00E0488D">
        <w:rPr>
          <w:rStyle w:val="hps"/>
          <w:rFonts w:cs="Arial"/>
          <w:color w:val="000000" w:themeColor="text1"/>
        </w:rPr>
        <w:t>30'</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45 '</w:t>
      </w:r>
      <w:r w:rsidRPr="00E0488D">
        <w:t>. Printre s</w:t>
      </w:r>
      <w:r w:rsidRPr="00E0488D">
        <w:rPr>
          <w:rStyle w:val="hps"/>
          <w:rFonts w:cs="Arial"/>
          <w:color w:val="000000" w:themeColor="text1"/>
        </w:rPr>
        <w:t>erviciile</w:t>
      </w:r>
      <w:r w:rsidRPr="00E0488D">
        <w:t xml:space="preserve"> </w:t>
      </w:r>
      <w:r w:rsidRPr="00E0488D">
        <w:rPr>
          <w:rStyle w:val="hps"/>
          <w:rFonts w:cs="Arial"/>
          <w:color w:val="000000" w:themeColor="text1"/>
        </w:rPr>
        <w:t>terminalului sunt</w:t>
      </w:r>
      <w:r w:rsidRPr="00E0488D">
        <w:t xml:space="preserve"> </w:t>
      </w:r>
      <w:r w:rsidRPr="00E0488D">
        <w:rPr>
          <w:rStyle w:val="hps"/>
          <w:rFonts w:cs="Arial"/>
          <w:color w:val="000000" w:themeColor="text1"/>
        </w:rPr>
        <w:t>incluse</w:t>
      </w:r>
      <w:r w:rsidRPr="00E0488D">
        <w:t xml:space="preserve"> </w:t>
      </w:r>
      <w:r w:rsidRPr="00E0488D">
        <w:rPr>
          <w:rStyle w:val="hps"/>
          <w:rFonts w:cs="Arial"/>
          <w:color w:val="000000" w:themeColor="text1"/>
        </w:rPr>
        <w:t>624 de</w:t>
      </w:r>
      <w:r w:rsidRPr="00E0488D">
        <w:t xml:space="preserve"> </w:t>
      </w:r>
      <w:r w:rsidRPr="00E0488D">
        <w:rPr>
          <w:rStyle w:val="hps"/>
          <w:rFonts w:cs="Arial"/>
          <w:color w:val="000000" w:themeColor="text1"/>
        </w:rPr>
        <w:t>prize</w:t>
      </w:r>
      <w:r w:rsidRPr="00E0488D">
        <w:t xml:space="preserve"> </w:t>
      </w:r>
      <w:r w:rsidRPr="00E0488D">
        <w:rPr>
          <w:rStyle w:val="hps"/>
          <w:rFonts w:cs="Arial"/>
          <w:color w:val="000000" w:themeColor="text1"/>
        </w:rPr>
        <w:t>frigorifice</w:t>
      </w:r>
      <w:r w:rsidRPr="00E0488D">
        <w:t xml:space="preserve"> </w:t>
      </w:r>
      <w:r w:rsidRPr="00E0488D">
        <w:rPr>
          <w:rStyle w:val="hps"/>
          <w:rFonts w:cs="Arial"/>
          <w:color w:val="000000" w:themeColor="text1"/>
        </w:rPr>
        <w:t>și monitorizarea</w:t>
      </w:r>
      <w:r w:rsidRPr="00E0488D">
        <w:t xml:space="preserve"> </w:t>
      </w:r>
      <w:r w:rsidRPr="00E0488D">
        <w:rPr>
          <w:rStyle w:val="hps"/>
          <w:rFonts w:cs="Arial"/>
          <w:color w:val="000000" w:themeColor="text1"/>
        </w:rPr>
        <w:t>terminalelor cu temperatură controlata</w:t>
      </w:r>
      <w:r w:rsidRPr="00E0488D">
        <w:t xml:space="preserve">, </w:t>
      </w:r>
      <w:r w:rsidRPr="00E0488D">
        <w:rPr>
          <w:rStyle w:val="hps"/>
          <w:rFonts w:cs="Arial"/>
          <w:color w:val="000000" w:themeColor="text1"/>
        </w:rPr>
        <w:t>încărcare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descărcarea containerelor</w:t>
      </w:r>
      <w:r w:rsidRPr="00E0488D">
        <w:t xml:space="preserve">, </w:t>
      </w:r>
      <w:r w:rsidRPr="00E0488D">
        <w:rPr>
          <w:rStyle w:val="hps"/>
          <w:rFonts w:cs="Arial"/>
          <w:color w:val="000000" w:themeColor="text1"/>
        </w:rPr>
        <w:t>mesaje</w:t>
      </w:r>
      <w:r w:rsidRPr="00E0488D">
        <w:t xml:space="preserve"> </w:t>
      </w:r>
      <w:r w:rsidRPr="00E0488D">
        <w:rPr>
          <w:rStyle w:val="hps"/>
          <w:rFonts w:cs="Arial"/>
          <w:color w:val="000000" w:themeColor="text1"/>
        </w:rPr>
        <w:t>EDI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facilități de birou</w:t>
      </w:r>
      <w:r w:rsidRPr="00E0488D">
        <w:t xml:space="preserve">. </w:t>
      </w:r>
      <w:r w:rsidRPr="00E0488D">
        <w:rPr>
          <w:rStyle w:val="hps"/>
          <w:rFonts w:cs="Arial"/>
          <w:color w:val="000000" w:themeColor="text1"/>
        </w:rPr>
        <w:t>DP World</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sistem</w:t>
      </w:r>
      <w:r w:rsidRPr="00E0488D">
        <w:t xml:space="preserve"> </w:t>
      </w:r>
      <w:r w:rsidRPr="00E0488D">
        <w:rPr>
          <w:rStyle w:val="hps"/>
          <w:rFonts w:cs="Arial"/>
          <w:color w:val="000000" w:themeColor="text1"/>
        </w:rPr>
        <w:t>informatic</w:t>
      </w:r>
      <w:r w:rsidRPr="00E0488D">
        <w:t xml:space="preserve"> </w:t>
      </w:r>
      <w:r w:rsidRPr="00E0488D">
        <w:rPr>
          <w:rStyle w:val="hps"/>
          <w:rFonts w:cs="Arial"/>
          <w:color w:val="000000" w:themeColor="text1"/>
        </w:rPr>
        <w:t>sofisticat</w:t>
      </w:r>
      <w:r w:rsidRPr="00E0488D">
        <w:t xml:space="preserve"> </w:t>
      </w:r>
      <w:r w:rsidRPr="00E0488D">
        <w:rPr>
          <w:rStyle w:val="hps"/>
          <w:rFonts w:cs="Arial"/>
          <w:color w:val="000000" w:themeColor="text1"/>
        </w:rPr>
        <w:t>EDIFACT</w:t>
      </w:r>
      <w:r w:rsidRPr="00E0488D">
        <w:t xml:space="preserve"> </w:t>
      </w:r>
      <w:r w:rsidRPr="00E0488D">
        <w:rPr>
          <w:rStyle w:val="hps"/>
          <w:rFonts w:cs="Arial"/>
          <w:color w:val="000000" w:themeColor="text1"/>
        </w:rPr>
        <w:t>standard,iar sistemul de operare</w:t>
      </w:r>
      <w:r w:rsidRPr="00E0488D">
        <w:t xml:space="preserve"> al </w:t>
      </w:r>
      <w:r w:rsidRPr="00E0488D">
        <w:rPr>
          <w:rStyle w:val="hps"/>
          <w:rFonts w:cs="Arial"/>
          <w:color w:val="000000" w:themeColor="text1"/>
        </w:rPr>
        <w:t>terminalului este</w:t>
      </w:r>
      <w:r w:rsidRPr="00E0488D">
        <w:t xml:space="preserve"> </w:t>
      </w:r>
      <w:r w:rsidRPr="00E0488D">
        <w:rPr>
          <w:rStyle w:val="hps"/>
          <w:rFonts w:cs="Arial"/>
          <w:color w:val="000000" w:themeColor="text1"/>
        </w:rPr>
        <w:t>furnizat de</w:t>
      </w:r>
      <w:r w:rsidRPr="00E0488D">
        <w:t xml:space="preserve"> </w:t>
      </w:r>
      <w:r w:rsidRPr="00E0488D">
        <w:rPr>
          <w:rStyle w:val="hps"/>
          <w:rFonts w:cs="Arial"/>
          <w:color w:val="000000" w:themeColor="text1"/>
        </w:rPr>
        <w:t>Navis</w:t>
      </w:r>
      <w:r w:rsidRPr="00E0488D">
        <w:t>.</w:t>
      </w:r>
    </w:p>
    <w:p w:rsidR="00BD59B2" w:rsidRPr="00E0488D" w:rsidRDefault="00BD59B2" w:rsidP="00BD59B2">
      <w:pPr>
        <w:pStyle w:val="Hdg3"/>
      </w:pPr>
      <w:r w:rsidRPr="00E0488D">
        <w:t>Transport maritim</w:t>
      </w:r>
    </w:p>
    <w:p w:rsidR="00BD59B2" w:rsidRPr="00E0488D" w:rsidRDefault="00BD59B2" w:rsidP="002B7E09">
      <w:pPr>
        <w:pStyle w:val="NumberedParas"/>
      </w:pPr>
      <w:r w:rsidRPr="00E0488D">
        <w:t xml:space="preserve">Începând cu anul 2005 în Portul Constanța s-au operat următoarele tonaje </w:t>
      </w:r>
    </w:p>
    <w:p w:rsidR="00BD59B2" w:rsidRPr="00E0488D" w:rsidRDefault="00BD59B2" w:rsidP="00BD59B2">
      <w:pPr>
        <w:pStyle w:val="Body"/>
        <w:spacing w:before="120" w:after="120"/>
        <w:ind w:left="680"/>
        <w:rPr>
          <w:b/>
          <w:lang w:val="ro-RO"/>
        </w:rPr>
      </w:pPr>
      <w:r w:rsidRPr="00E0488D">
        <w:rPr>
          <w:b/>
          <w:i w:val="0"/>
          <w:lang w:val="ro-RO"/>
        </w:rPr>
        <w:t>Tabelul 8.2 Evoluția traficului de containere în portul Constanța</w:t>
      </w:r>
    </w:p>
    <w:tbl>
      <w:tblPr>
        <w:tblW w:w="9611" w:type="dxa"/>
        <w:tblInd w:w="851" w:type="dxa"/>
        <w:tblLook w:val="04A0" w:firstRow="1" w:lastRow="0" w:firstColumn="1" w:lastColumn="0" w:noHBand="0" w:noVBand="1"/>
      </w:tblPr>
      <w:tblGrid>
        <w:gridCol w:w="1394"/>
        <w:gridCol w:w="1115"/>
        <w:gridCol w:w="1253"/>
        <w:gridCol w:w="1253"/>
        <w:gridCol w:w="1253"/>
        <w:gridCol w:w="1115"/>
        <w:gridCol w:w="1115"/>
        <w:gridCol w:w="1113"/>
      </w:tblGrid>
      <w:tr w:rsidR="00BD59B2" w:rsidRPr="00E0488D" w:rsidTr="009972B3">
        <w:trPr>
          <w:trHeight w:val="285"/>
        </w:trPr>
        <w:tc>
          <w:tcPr>
            <w:tcW w:w="725" w:type="pct"/>
            <w:tcBorders>
              <w:top w:val="single" w:sz="12" w:space="0" w:color="000000"/>
              <w:left w:val="single" w:sz="12" w:space="0" w:color="000000"/>
              <w:bottom w:val="single" w:sz="12" w:space="0" w:color="000000"/>
              <w:right w:val="single" w:sz="12" w:space="0" w:color="000000"/>
            </w:tcBorders>
            <w:shd w:val="clear" w:color="auto" w:fill="C6D9F1"/>
            <w:vAlign w:val="center"/>
            <w:hideMark/>
          </w:tcPr>
          <w:p w:rsidR="00BD59B2" w:rsidRPr="00E0488D" w:rsidRDefault="00BD59B2" w:rsidP="009972B3">
            <w:pPr>
              <w:rPr>
                <w:b/>
                <w:sz w:val="22"/>
                <w:szCs w:val="22"/>
                <w:lang w:val="ro-RO" w:eastAsia="en-GB"/>
              </w:rPr>
            </w:pPr>
            <w:r w:rsidRPr="00E0488D">
              <w:rPr>
                <w:b/>
                <w:sz w:val="22"/>
                <w:szCs w:val="22"/>
                <w:lang w:val="ro-RO" w:eastAsia="en-GB"/>
              </w:rPr>
              <w:t>Anul</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2005</w:t>
            </w:r>
          </w:p>
        </w:tc>
        <w:tc>
          <w:tcPr>
            <w:tcW w:w="652"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2006</w:t>
            </w:r>
          </w:p>
        </w:tc>
        <w:tc>
          <w:tcPr>
            <w:tcW w:w="652"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2007</w:t>
            </w:r>
          </w:p>
        </w:tc>
        <w:tc>
          <w:tcPr>
            <w:tcW w:w="652"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2008</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2009</w:t>
            </w:r>
          </w:p>
        </w:tc>
        <w:tc>
          <w:tcPr>
            <w:tcW w:w="580"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2010</w:t>
            </w:r>
          </w:p>
        </w:tc>
        <w:tc>
          <w:tcPr>
            <w:tcW w:w="579" w:type="pct"/>
            <w:tcBorders>
              <w:top w:val="single" w:sz="12" w:space="0" w:color="000000"/>
              <w:left w:val="nil"/>
              <w:bottom w:val="single" w:sz="12" w:space="0" w:color="000000"/>
              <w:right w:val="single" w:sz="12" w:space="0" w:color="000000"/>
            </w:tcBorders>
            <w:shd w:val="clear" w:color="auto" w:fill="C6D9F1"/>
            <w:vAlign w:val="center"/>
            <w:hideMark/>
          </w:tcPr>
          <w:p w:rsidR="00BD59B2" w:rsidRPr="00E0488D" w:rsidRDefault="00BD59B2" w:rsidP="009972B3">
            <w:pPr>
              <w:jc w:val="center"/>
              <w:rPr>
                <w:b/>
                <w:sz w:val="22"/>
                <w:szCs w:val="22"/>
                <w:lang w:val="ro-RO" w:eastAsia="en-GB"/>
              </w:rPr>
            </w:pPr>
            <w:r w:rsidRPr="00E0488D">
              <w:rPr>
                <w:b/>
                <w:sz w:val="22"/>
                <w:szCs w:val="22"/>
                <w:lang w:val="ro-RO" w:eastAsia="en-GB"/>
              </w:rPr>
              <w:t>2011</w:t>
            </w:r>
          </w:p>
        </w:tc>
      </w:tr>
      <w:tr w:rsidR="00BD59B2" w:rsidRPr="00E0488D" w:rsidTr="009972B3">
        <w:trPr>
          <w:trHeight w:val="285"/>
        </w:trPr>
        <w:tc>
          <w:tcPr>
            <w:tcW w:w="725" w:type="pct"/>
            <w:tcBorders>
              <w:top w:val="single" w:sz="12" w:space="0" w:color="000000"/>
              <w:left w:val="single" w:sz="12" w:space="0" w:color="000000"/>
              <w:bottom w:val="single" w:sz="12" w:space="0" w:color="000000"/>
              <w:right w:val="single" w:sz="12" w:space="0" w:color="000000"/>
            </w:tcBorders>
            <w:shd w:val="clear" w:color="auto" w:fill="auto"/>
            <w:vAlign w:val="center"/>
            <w:hideMark/>
          </w:tcPr>
          <w:p w:rsidR="00BD59B2" w:rsidRPr="00E0488D" w:rsidRDefault="00BD59B2" w:rsidP="009972B3">
            <w:pPr>
              <w:rPr>
                <w:sz w:val="22"/>
                <w:szCs w:val="22"/>
                <w:lang w:val="ro-RO" w:eastAsia="en-GB"/>
              </w:rPr>
            </w:pPr>
            <w:r w:rsidRPr="00E0488D">
              <w:rPr>
                <w:sz w:val="22"/>
                <w:szCs w:val="22"/>
                <w:lang w:val="ro-RO" w:eastAsia="en-GB"/>
              </w:rPr>
              <w:t>Containere</w:t>
            </w:r>
          </w:p>
          <w:p w:rsidR="00BD59B2" w:rsidRPr="00E0488D" w:rsidRDefault="00BD59B2" w:rsidP="009972B3">
            <w:pPr>
              <w:rPr>
                <w:sz w:val="22"/>
                <w:szCs w:val="22"/>
                <w:lang w:val="ro-RO" w:eastAsia="en-GB"/>
              </w:rPr>
            </w:pPr>
            <w:r w:rsidRPr="00E0488D">
              <w:rPr>
                <w:sz w:val="22"/>
                <w:szCs w:val="22"/>
                <w:lang w:val="ro-RO" w:eastAsia="en-GB"/>
              </w:rPr>
              <w:t>(număr)</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493.214</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672.443</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912.509</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894.876</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375.293</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353.711</w:t>
            </w:r>
          </w:p>
        </w:tc>
        <w:tc>
          <w:tcPr>
            <w:tcW w:w="579"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414.096</w:t>
            </w:r>
          </w:p>
        </w:tc>
      </w:tr>
      <w:tr w:rsidR="00BD59B2" w:rsidRPr="00E0488D" w:rsidTr="009972B3">
        <w:trPr>
          <w:trHeight w:val="285"/>
        </w:trPr>
        <w:tc>
          <w:tcPr>
            <w:tcW w:w="725" w:type="pct"/>
            <w:tcBorders>
              <w:top w:val="single" w:sz="12" w:space="0" w:color="000000"/>
              <w:left w:val="single" w:sz="12" w:space="0" w:color="000000"/>
              <w:bottom w:val="single" w:sz="12" w:space="0" w:color="000000"/>
              <w:right w:val="single" w:sz="12" w:space="0" w:color="000000"/>
            </w:tcBorders>
            <w:shd w:val="clear" w:color="auto" w:fill="auto"/>
            <w:vAlign w:val="center"/>
            <w:hideMark/>
          </w:tcPr>
          <w:p w:rsidR="00BD59B2" w:rsidRPr="00E0488D" w:rsidRDefault="00BD59B2" w:rsidP="009972B3">
            <w:pPr>
              <w:rPr>
                <w:sz w:val="22"/>
                <w:szCs w:val="22"/>
                <w:lang w:val="ro-RO" w:eastAsia="en-GB"/>
              </w:rPr>
            </w:pPr>
            <w:r w:rsidRPr="00E0488D">
              <w:rPr>
                <w:sz w:val="22"/>
                <w:szCs w:val="22"/>
                <w:lang w:val="ro-RO" w:eastAsia="en-GB"/>
              </w:rPr>
              <w:t>Containere (TEU)</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768.099</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1.037.077</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1.411.414</w:t>
            </w:r>
          </w:p>
        </w:tc>
        <w:tc>
          <w:tcPr>
            <w:tcW w:w="652"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1.380.935</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594.299</w:t>
            </w:r>
          </w:p>
        </w:tc>
        <w:tc>
          <w:tcPr>
            <w:tcW w:w="580"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556.694</w:t>
            </w:r>
          </w:p>
        </w:tc>
        <w:tc>
          <w:tcPr>
            <w:tcW w:w="579" w:type="pct"/>
            <w:tcBorders>
              <w:top w:val="single" w:sz="12" w:space="0" w:color="000000"/>
              <w:left w:val="nil"/>
              <w:bottom w:val="single" w:sz="12" w:space="0" w:color="000000"/>
              <w:right w:val="single" w:sz="12" w:space="0" w:color="000000"/>
            </w:tcBorders>
            <w:shd w:val="clear" w:color="auto" w:fill="auto"/>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662.796</w:t>
            </w:r>
          </w:p>
        </w:tc>
      </w:tr>
    </w:tbl>
    <w:p w:rsidR="00BD59B2" w:rsidRPr="00E0488D" w:rsidRDefault="00BD59B2" w:rsidP="00BD59B2">
      <w:pPr>
        <w:pStyle w:val="Frspaiere1"/>
        <w:ind w:left="851"/>
        <w:rPr>
          <w:i/>
          <w:sz w:val="18"/>
          <w:szCs w:val="18"/>
          <w:lang w:val="ro-RO"/>
        </w:rPr>
      </w:pPr>
      <w:r w:rsidRPr="00E0488D">
        <w:rPr>
          <w:i/>
          <w:sz w:val="18"/>
          <w:szCs w:val="18"/>
          <w:lang w:val="ro-RO"/>
        </w:rPr>
        <w:t xml:space="preserve">Sursa: Broșura de prezentare a Portului Constanta </w:t>
      </w:r>
    </w:p>
    <w:p w:rsidR="00BD59B2" w:rsidRPr="00E0488D" w:rsidRDefault="00BD59B2" w:rsidP="00BD59B2">
      <w:pPr>
        <w:pStyle w:val="Hdg3"/>
      </w:pPr>
      <w:r w:rsidRPr="00E0488D">
        <w:t>Transport rutier</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a efectuat</w:t>
      </w:r>
      <w:r w:rsidRPr="00E0488D">
        <w:t xml:space="preserve"> </w:t>
      </w:r>
      <w:r w:rsidRPr="00E0488D">
        <w:rPr>
          <w:rStyle w:val="hps"/>
          <w:rFonts w:cs="Arial"/>
          <w:color w:val="000000" w:themeColor="text1"/>
        </w:rPr>
        <w:t>contorizări de</w:t>
      </w:r>
      <w:r w:rsidRPr="00E0488D">
        <w:t xml:space="preserve"> </w:t>
      </w:r>
      <w:r w:rsidRPr="00E0488D">
        <w:rPr>
          <w:rStyle w:val="hps"/>
          <w:rFonts w:cs="Arial"/>
          <w:color w:val="000000" w:themeColor="text1"/>
        </w:rPr>
        <w:t>trafic</w:t>
      </w:r>
      <w:r w:rsidRPr="00E0488D">
        <w:t xml:space="preserve"> </w:t>
      </w:r>
      <w:r w:rsidRPr="00E0488D">
        <w:rPr>
          <w:rStyle w:val="hps"/>
          <w:rFonts w:cs="Arial"/>
          <w:color w:val="000000" w:themeColor="text1"/>
        </w:rPr>
        <w:t>în Portul</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la Porțile</w:t>
      </w:r>
      <w:r w:rsidRPr="00E0488D">
        <w:t xml:space="preserve"> </w:t>
      </w:r>
      <w:r w:rsidRPr="00E0488D">
        <w:rPr>
          <w:rStyle w:val="hps"/>
          <w:rFonts w:cs="Arial"/>
          <w:color w:val="000000" w:themeColor="text1"/>
        </w:rPr>
        <w:t>10</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14</w:t>
      </w:r>
      <w:r w:rsidRPr="00E0488D">
        <w:t xml:space="preserve">, prin care s-a efectuat clasificarea </w:t>
      </w:r>
      <w:r w:rsidRPr="00E0488D">
        <w:rPr>
          <w:rStyle w:val="hps"/>
          <w:rFonts w:cs="Arial"/>
          <w:color w:val="000000" w:themeColor="text1"/>
        </w:rPr>
        <w:t>fiecărui</w:t>
      </w:r>
      <w:r w:rsidRPr="00E0488D">
        <w:t xml:space="preserve"> </w:t>
      </w:r>
      <w:r w:rsidRPr="00E0488D">
        <w:rPr>
          <w:rStyle w:val="hps"/>
          <w:rFonts w:cs="Arial"/>
          <w:color w:val="000000" w:themeColor="text1"/>
        </w:rPr>
        <w:t>VMG care</w:t>
      </w:r>
      <w:r w:rsidRPr="00E0488D">
        <w:t xml:space="preserve"> </w:t>
      </w:r>
      <w:r w:rsidRPr="00E0488D">
        <w:rPr>
          <w:rStyle w:val="hps"/>
          <w:rFonts w:cs="Arial"/>
          <w:color w:val="000000" w:themeColor="text1"/>
        </w:rPr>
        <w:t>intra și ieșea din port</w:t>
      </w:r>
      <w:r w:rsidRPr="00E0488D">
        <w:t xml:space="preserve">, </w:t>
      </w:r>
      <w:r w:rsidRPr="00E0488D">
        <w:rPr>
          <w:rStyle w:val="hps"/>
          <w:rFonts w:cs="Arial"/>
          <w:color w:val="000000" w:themeColor="text1"/>
        </w:rPr>
        <w:t>pentru a vedea</w:t>
      </w:r>
      <w:r w:rsidRPr="00E0488D">
        <w:t xml:space="preserve"> </w:t>
      </w:r>
      <w:r w:rsidRPr="00E0488D">
        <w:rPr>
          <w:rStyle w:val="hps"/>
          <w:rFonts w:cs="Arial"/>
          <w:color w:val="000000" w:themeColor="text1"/>
        </w:rPr>
        <w:t>ce tipuri de mărfuri</w:t>
      </w:r>
      <w:r w:rsidRPr="00E0488D">
        <w:t xml:space="preserve"> </w:t>
      </w:r>
      <w:r w:rsidRPr="00E0488D">
        <w:rPr>
          <w:rStyle w:val="hps"/>
          <w:rFonts w:cs="Arial"/>
          <w:color w:val="000000" w:themeColor="text1"/>
        </w:rPr>
        <w:t>se</w:t>
      </w:r>
      <w:r w:rsidRPr="00E0488D">
        <w:t xml:space="preserve"> </w:t>
      </w:r>
      <w:r w:rsidRPr="00E0488D">
        <w:rPr>
          <w:rStyle w:val="hps"/>
          <w:rFonts w:cs="Arial"/>
          <w:color w:val="000000" w:themeColor="text1"/>
        </w:rPr>
        <w:t>transportă</w:t>
      </w:r>
      <w:r w:rsidRPr="00E0488D">
        <w:t xml:space="preserve">. </w:t>
      </w:r>
      <w:r w:rsidRPr="00E0488D">
        <w:rPr>
          <w:rStyle w:val="hps"/>
          <w:rFonts w:cs="Arial"/>
          <w:color w:val="000000" w:themeColor="text1"/>
        </w:rPr>
        <w:t>Contorizările</w:t>
      </w:r>
      <w:r w:rsidRPr="00E0488D">
        <w:t xml:space="preserve"> </w:t>
      </w:r>
      <w:r w:rsidRPr="00E0488D">
        <w:rPr>
          <w:rStyle w:val="hps"/>
          <w:rFonts w:cs="Arial"/>
          <w:color w:val="000000" w:themeColor="text1"/>
        </w:rPr>
        <w:t>de trafic</w:t>
      </w:r>
      <w:r w:rsidRPr="00E0488D">
        <w:t xml:space="preserve"> </w:t>
      </w:r>
      <w:r w:rsidRPr="00E0488D">
        <w:rPr>
          <w:rStyle w:val="hps"/>
          <w:rFonts w:cs="Arial"/>
          <w:color w:val="000000" w:themeColor="text1"/>
        </w:rPr>
        <w:t>au avut loc</w:t>
      </w:r>
      <w:r w:rsidRPr="00E0488D">
        <w:t xml:space="preserve"> </w:t>
      </w:r>
      <w:r w:rsidRPr="00E0488D">
        <w:rPr>
          <w:rStyle w:val="hps"/>
          <w:rFonts w:cs="Arial"/>
          <w:color w:val="000000" w:themeColor="text1"/>
        </w:rPr>
        <w:t>peste 24 de ore</w:t>
      </w:r>
      <w:r w:rsidRPr="00E0488D">
        <w:t xml:space="preserve">. </w:t>
      </w:r>
      <w:r w:rsidRPr="00E0488D">
        <w:rPr>
          <w:rStyle w:val="hps"/>
          <w:rFonts w:cs="Arial"/>
          <w:color w:val="000000" w:themeColor="text1"/>
        </w:rPr>
        <w:t>57</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vehiculele de marfă</w:t>
      </w:r>
      <w:r w:rsidRPr="00E0488D">
        <w:t xml:space="preserve"> </w:t>
      </w:r>
      <w:r w:rsidRPr="00E0488D">
        <w:rPr>
          <w:rStyle w:val="hps"/>
          <w:rFonts w:cs="Arial"/>
          <w:color w:val="000000" w:themeColor="text1"/>
        </w:rPr>
        <w:t>sunt implicate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transportul de containere.</w:t>
      </w:r>
      <w:r w:rsidRPr="00E0488D">
        <w:t xml:space="preserve"> </w:t>
      </w:r>
      <w:r w:rsidRPr="00E0488D">
        <w:rPr>
          <w:rStyle w:val="hps"/>
          <w:rFonts w:cs="Arial"/>
          <w:color w:val="000000" w:themeColor="text1"/>
        </w:rPr>
        <w:t>În prezent</w:t>
      </w:r>
      <w:r w:rsidRPr="00E0488D">
        <w:t xml:space="preserve"> se poate</w:t>
      </w:r>
      <w:r w:rsidRPr="00E0488D">
        <w:rPr>
          <w:rStyle w:val="hps"/>
          <w:rFonts w:cs="Arial"/>
          <w:color w:val="000000" w:themeColor="text1"/>
        </w:rPr>
        <w:t xml:space="preserve"> conduce</w:t>
      </w:r>
      <w:r w:rsidRPr="00E0488D">
        <w:t xml:space="preserve"> de </w:t>
      </w:r>
      <w:r w:rsidRPr="00E0488D">
        <w:rPr>
          <w:rStyle w:val="hps"/>
          <w:rFonts w:cs="Arial"/>
          <w:color w:val="000000" w:themeColor="text1"/>
        </w:rPr>
        <w:t>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și retur</w:t>
      </w:r>
      <w:r w:rsidRPr="00E0488D">
        <w:t xml:space="preserve"> </w:t>
      </w:r>
      <w:r w:rsidRPr="00E0488D">
        <w:rPr>
          <w:rStyle w:val="hps"/>
          <w:rFonts w:cs="Arial"/>
          <w:color w:val="000000" w:themeColor="text1"/>
        </w:rPr>
        <w:t>într-o singură</w:t>
      </w:r>
      <w:r w:rsidRPr="00E0488D">
        <w:t xml:space="preserve"> </w:t>
      </w:r>
      <w:r w:rsidRPr="00E0488D">
        <w:rPr>
          <w:rStyle w:val="hps"/>
          <w:rFonts w:cs="Arial"/>
          <w:color w:val="000000" w:themeColor="text1"/>
        </w:rPr>
        <w:t>zi</w:t>
      </w:r>
      <w:r w:rsidRPr="00E0488D">
        <w:t xml:space="preserve">. </w:t>
      </w:r>
      <w:r w:rsidRPr="00E0488D">
        <w:rPr>
          <w:rStyle w:val="hps"/>
          <w:rFonts w:cs="Arial"/>
          <w:color w:val="000000" w:themeColor="text1"/>
        </w:rPr>
        <w:t>Se consideră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multe dintre</w:t>
      </w:r>
      <w:r w:rsidRPr="00E0488D">
        <w:t xml:space="preserve"> </w:t>
      </w:r>
      <w:r w:rsidRPr="00E0488D">
        <w:rPr>
          <w:rStyle w:val="hps"/>
          <w:rFonts w:cs="Arial"/>
          <w:color w:val="000000" w:themeColor="text1"/>
        </w:rPr>
        <w:t>containerele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transportate</w:t>
      </w:r>
      <w:r w:rsidRPr="00E0488D">
        <w:t xml:space="preserve"> </w:t>
      </w:r>
      <w:r w:rsidRPr="00E0488D">
        <w:rPr>
          <w:rStyle w:val="hps"/>
          <w:rFonts w:cs="Arial"/>
          <w:color w:val="000000" w:themeColor="text1"/>
        </w:rPr>
        <w:t>pe cale rutieră</w:t>
      </w:r>
      <w:r w:rsidRPr="00E0488D">
        <w:t xml:space="preserve"> </w:t>
      </w:r>
      <w:r w:rsidRPr="00E0488D">
        <w:rPr>
          <w:rStyle w:val="hps"/>
          <w:rFonts w:cs="Arial"/>
          <w:color w:val="000000" w:themeColor="text1"/>
        </w:rPr>
        <w:t>au ca destinație finală</w:t>
      </w:r>
      <w:r w:rsidRPr="00E0488D">
        <w:t xml:space="preserve"> </w:t>
      </w:r>
      <w:r w:rsidRPr="00E0488D">
        <w:rPr>
          <w:rStyle w:val="hps"/>
          <w:rFonts w:cs="Arial"/>
          <w:color w:val="000000" w:themeColor="text1"/>
        </w:rPr>
        <w:t>București</w:t>
      </w:r>
      <w:r w:rsidRPr="00E0488D">
        <w:t xml:space="preserve">, deoarece este </w:t>
      </w:r>
      <w:r w:rsidRPr="00E0488D">
        <w:rPr>
          <w:rStyle w:val="hps"/>
          <w:rFonts w:cs="Arial"/>
          <w:color w:val="000000" w:themeColor="text1"/>
        </w:rPr>
        <w:t>un</w:t>
      </w:r>
      <w:r w:rsidRPr="00E0488D">
        <w:t xml:space="preserve"> mare </w:t>
      </w:r>
      <w:r w:rsidRPr="00E0488D">
        <w:rPr>
          <w:rStyle w:val="hps"/>
          <w:rFonts w:cs="Arial"/>
          <w:color w:val="000000" w:themeColor="text1"/>
        </w:rPr>
        <w:t>centru de</w:t>
      </w:r>
      <w:r w:rsidRPr="00E0488D">
        <w:t xml:space="preserve"> </w:t>
      </w:r>
      <w:r w:rsidRPr="00E0488D">
        <w:rPr>
          <w:rStyle w:val="hps"/>
          <w:rFonts w:cs="Arial"/>
          <w:color w:val="000000" w:themeColor="text1"/>
        </w:rPr>
        <w:t>populatie</w:t>
      </w:r>
      <w:r w:rsidRPr="00E0488D">
        <w:t>.</w:t>
      </w:r>
    </w:p>
    <w:p w:rsidR="00BD59B2" w:rsidRPr="00E0488D" w:rsidRDefault="00BD59B2" w:rsidP="002B7E09">
      <w:pPr>
        <w:pStyle w:val="NumberedParas"/>
      </w:pPr>
      <w:r w:rsidRPr="00E0488D">
        <w:t xml:space="preserve">Autostrada A2 </w:t>
      </w:r>
      <w:r w:rsidRPr="00E0488D">
        <w:rPr>
          <w:rStyle w:val="hps"/>
          <w:rFonts w:cs="Arial"/>
          <w:color w:val="000000" w:themeColor="text1"/>
        </w:rPr>
        <w:t>include de curând un nou acces direct în port, prin intermediul unui nod rutier</w:t>
      </w:r>
      <w:r w:rsidRPr="00E0488D">
        <w:t xml:space="preserve">. </w:t>
      </w:r>
      <w:r w:rsidRPr="00E0488D">
        <w:rPr>
          <w:rStyle w:val="hps"/>
          <w:rFonts w:cs="Arial"/>
          <w:color w:val="000000" w:themeColor="text1"/>
        </w:rPr>
        <w:t>Se estimează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acest lucru va</w:t>
      </w:r>
      <w:r w:rsidRPr="00E0488D">
        <w:t xml:space="preserve"> </w:t>
      </w:r>
      <w:r w:rsidRPr="00E0488D">
        <w:rPr>
          <w:rStyle w:val="hps"/>
          <w:rFonts w:cs="Arial"/>
          <w:color w:val="000000" w:themeColor="text1"/>
        </w:rPr>
        <w:t>reduce timpul de călătorie cu</w:t>
      </w:r>
      <w:r w:rsidRPr="00E0488D">
        <w:t xml:space="preserve"> </w:t>
      </w:r>
      <w:r w:rsidRPr="00E0488D">
        <w:rPr>
          <w:rStyle w:val="hps"/>
          <w:rFonts w:cs="Arial"/>
          <w:color w:val="000000" w:themeColor="text1"/>
        </w:rPr>
        <w:t>30 minute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posibil să</w:t>
      </w:r>
      <w:r w:rsidRPr="00E0488D">
        <w:t xml:space="preserve"> </w:t>
      </w:r>
      <w:r w:rsidRPr="00E0488D">
        <w:rPr>
          <w:rStyle w:val="hps"/>
          <w:rFonts w:cs="Arial"/>
          <w:color w:val="000000" w:themeColor="text1"/>
        </w:rPr>
        <w:t>facă transportul rutier</w:t>
      </w:r>
      <w:r w:rsidRPr="00E0488D">
        <w:t xml:space="preserve"> un mod </w:t>
      </w:r>
      <w:r w:rsidRPr="00E0488D">
        <w:rPr>
          <w:rStyle w:val="hps"/>
          <w:rFonts w:cs="Arial"/>
          <w:color w:val="000000" w:themeColor="text1"/>
        </w:rPr>
        <w:t>mai</w:t>
      </w:r>
      <w:r w:rsidRPr="00E0488D">
        <w:t xml:space="preserve"> </w:t>
      </w:r>
      <w:r w:rsidRPr="00E0488D">
        <w:rPr>
          <w:rStyle w:val="hps"/>
          <w:rFonts w:cs="Arial"/>
          <w:color w:val="000000" w:themeColor="text1"/>
        </w:rPr>
        <w:t>atractiv</w:t>
      </w:r>
      <w:r w:rsidRPr="00E0488D">
        <w:t xml:space="preserve">. </w:t>
      </w:r>
      <w:r w:rsidRPr="00E0488D">
        <w:rPr>
          <w:rStyle w:val="hps"/>
          <w:rFonts w:cs="Arial"/>
          <w:color w:val="000000" w:themeColor="text1"/>
        </w:rPr>
        <w:t>Acest lucru ar putea</w:t>
      </w:r>
      <w:r w:rsidRPr="00E0488D">
        <w:t xml:space="preserve"> </w:t>
      </w:r>
      <w:r w:rsidRPr="00E0488D">
        <w:rPr>
          <w:rStyle w:val="hps"/>
          <w:rFonts w:cs="Arial"/>
          <w:color w:val="000000" w:themeColor="text1"/>
        </w:rPr>
        <w:t>permite</w:t>
      </w:r>
      <w:r w:rsidRPr="00E0488D">
        <w:t xml:space="preserve"> modului de </w:t>
      </w:r>
      <w:r w:rsidRPr="00E0488D">
        <w:rPr>
          <w:rStyle w:val="hps"/>
          <w:rFonts w:cs="Arial"/>
          <w:color w:val="000000" w:themeColor="text1"/>
        </w:rPr>
        <w:t>transport rutier</w:t>
      </w:r>
      <w:r w:rsidRPr="00E0488D">
        <w:t xml:space="preserve"> </w:t>
      </w:r>
      <w:r w:rsidRPr="00E0488D">
        <w:rPr>
          <w:rStyle w:val="hps"/>
          <w:rFonts w:cs="Arial"/>
          <w:color w:val="000000" w:themeColor="text1"/>
        </w:rPr>
        <w:t>să obțină</w:t>
      </w:r>
      <w:r w:rsidRPr="00E0488D">
        <w:t xml:space="preserve"> </w:t>
      </w:r>
      <w:r w:rsidRPr="00E0488D">
        <w:rPr>
          <w:rStyle w:val="hps"/>
          <w:rFonts w:cs="Arial"/>
          <w:color w:val="000000" w:themeColor="text1"/>
        </w:rPr>
        <w:t>o cotă de piață mai mare</w:t>
      </w:r>
      <w:r w:rsidRPr="00E0488D">
        <w:t>.</w:t>
      </w:r>
    </w:p>
    <w:p w:rsidR="00BD59B2" w:rsidRPr="00E0488D" w:rsidRDefault="00BD59B2" w:rsidP="00BD59B2">
      <w:pPr>
        <w:pStyle w:val="Hdg3"/>
      </w:pPr>
      <w:r w:rsidRPr="00E0488D">
        <w:t>Transport fluvial</w:t>
      </w:r>
    </w:p>
    <w:p w:rsidR="00BD59B2" w:rsidRPr="00E0488D" w:rsidRDefault="00BD59B2" w:rsidP="002B7E09">
      <w:pPr>
        <w:pStyle w:val="NumberedParas"/>
      </w:pPr>
      <w:r w:rsidRPr="00E0488D">
        <w:rPr>
          <w:rStyle w:val="hps"/>
          <w:rFonts w:cs="Arial"/>
          <w:color w:val="000000" w:themeColor="text1"/>
        </w:rPr>
        <w:t>Dunărea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alte căi</w:t>
      </w:r>
      <w:r w:rsidRPr="00E0488D">
        <w:t xml:space="preserve"> </w:t>
      </w:r>
      <w:r w:rsidRPr="00E0488D">
        <w:rPr>
          <w:rStyle w:val="hps"/>
          <w:rFonts w:cs="Arial"/>
          <w:color w:val="000000" w:themeColor="text1"/>
        </w:rPr>
        <w:t>navigabile</w:t>
      </w:r>
      <w:r w:rsidRPr="00E0488D">
        <w:t xml:space="preserve"> </w:t>
      </w:r>
      <w:r w:rsidRPr="00E0488D">
        <w:rPr>
          <w:rStyle w:val="hps"/>
          <w:rFonts w:cs="Arial"/>
          <w:color w:val="000000" w:themeColor="text1"/>
        </w:rPr>
        <w:t>artificiale</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parte</w:t>
      </w:r>
      <w:r w:rsidRPr="00E0488D">
        <w:t xml:space="preserve"> </w:t>
      </w:r>
      <w:r w:rsidRPr="00E0488D">
        <w:rPr>
          <w:rStyle w:val="hps"/>
          <w:rFonts w:cs="Arial"/>
          <w:color w:val="000000" w:themeColor="text1"/>
        </w:rPr>
        <w:t>importantă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infrastructurii</w:t>
      </w:r>
      <w:r w:rsidRPr="00E0488D">
        <w:t xml:space="preserve"> </w:t>
      </w:r>
      <w:r w:rsidRPr="00E0488D">
        <w:rPr>
          <w:rStyle w:val="hps"/>
          <w:rFonts w:cs="Arial"/>
          <w:color w:val="000000" w:themeColor="text1"/>
        </w:rPr>
        <w:t>din România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din Europa</w:t>
      </w:r>
      <w:r w:rsidRPr="00E0488D">
        <w:t xml:space="preserve">. </w:t>
      </w:r>
      <w:r w:rsidRPr="00E0488D">
        <w:rPr>
          <w:rStyle w:val="hps"/>
          <w:rFonts w:cs="Arial"/>
          <w:color w:val="000000" w:themeColor="text1"/>
        </w:rPr>
        <w:t>În prezent, există</w:t>
      </w:r>
      <w:r w:rsidRPr="00E0488D">
        <w:t xml:space="preserve">, de asemenea, </w:t>
      </w:r>
      <w:r w:rsidRPr="00E0488D">
        <w:rPr>
          <w:rStyle w:val="hps"/>
          <w:rFonts w:cs="Arial"/>
          <w:color w:val="000000" w:themeColor="text1"/>
        </w:rPr>
        <w:t>fluxuri</w:t>
      </w:r>
      <w:r w:rsidRPr="00E0488D">
        <w:t xml:space="preserve"> </w:t>
      </w:r>
      <w:r w:rsidRPr="00E0488D">
        <w:rPr>
          <w:rStyle w:val="hps"/>
          <w:rFonts w:cs="Arial"/>
          <w:color w:val="000000" w:themeColor="text1"/>
        </w:rPr>
        <w:t>interne pe distanțe</w:t>
      </w:r>
      <w:r w:rsidRPr="00E0488D">
        <w:t xml:space="preserve"> </w:t>
      </w:r>
      <w:r w:rsidRPr="00E0488D">
        <w:rPr>
          <w:rStyle w:val="hps"/>
          <w:rFonts w:cs="Arial"/>
          <w:color w:val="000000" w:themeColor="text1"/>
        </w:rPr>
        <w:t>lungi</w:t>
      </w:r>
      <w:r w:rsidRPr="00E0488D">
        <w:t xml:space="preserve">, </w:t>
      </w:r>
      <w:r w:rsidRPr="00E0488D">
        <w:rPr>
          <w:rStyle w:val="hps"/>
          <w:rFonts w:cs="Arial"/>
          <w:color w:val="000000" w:themeColor="text1"/>
        </w:rPr>
        <w:t>de exemplu,</w:t>
      </w:r>
      <w:r w:rsidRPr="00E0488D">
        <w:t xml:space="preserve"> </w:t>
      </w:r>
      <w:r w:rsidRPr="00E0488D">
        <w:rPr>
          <w:rStyle w:val="hps"/>
          <w:rFonts w:cs="Arial"/>
          <w:color w:val="000000" w:themeColor="text1"/>
        </w:rPr>
        <w:t>există</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flux</w:t>
      </w:r>
      <w:r w:rsidRPr="00E0488D">
        <w:t xml:space="preserve"> semnificativ de transport </w:t>
      </w:r>
      <w:r w:rsidRPr="00E0488D">
        <w:rPr>
          <w:rStyle w:val="hps"/>
          <w:rFonts w:cs="Arial"/>
          <w:color w:val="000000" w:themeColor="text1"/>
        </w:rPr>
        <w:t>minereu</w:t>
      </w:r>
      <w:r w:rsidRPr="00E0488D">
        <w:t xml:space="preserve"> de fier </w:t>
      </w:r>
      <w:r w:rsidRPr="00E0488D">
        <w:rPr>
          <w:rStyle w:val="hps"/>
          <w:rFonts w:cs="Arial"/>
          <w:color w:val="000000" w:themeColor="text1"/>
        </w:rPr>
        <w:t>de</w:t>
      </w:r>
      <w:r w:rsidRPr="00E0488D">
        <w:t xml:space="preserve"> </w:t>
      </w:r>
      <w:r w:rsidRPr="00E0488D">
        <w:rPr>
          <w:rStyle w:val="hps"/>
          <w:rFonts w:cs="Arial"/>
          <w:color w:val="000000" w:themeColor="text1"/>
        </w:rPr>
        <w:t>barje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sud-vestul</w:t>
      </w:r>
      <w:r w:rsidRPr="00E0488D">
        <w:t xml:space="preserve"> </w:t>
      </w:r>
      <w:r w:rsidRPr="00E0488D">
        <w:rPr>
          <w:rStyle w:val="hps"/>
          <w:rFonts w:cs="Arial"/>
          <w:color w:val="000000" w:themeColor="text1"/>
        </w:rPr>
        <w:t>României</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Galati</w:t>
      </w:r>
      <w:r w:rsidRPr="00E0488D">
        <w:t xml:space="preserve">, care se desfășoară pe </w:t>
      </w:r>
      <w:r w:rsidRPr="00E0488D">
        <w:rPr>
          <w:rStyle w:val="hps"/>
          <w:rFonts w:cs="Arial"/>
          <w:color w:val="000000" w:themeColor="text1"/>
        </w:rPr>
        <w:t>o</w:t>
      </w:r>
      <w:r w:rsidRPr="00E0488D">
        <w:t xml:space="preserve"> </w:t>
      </w:r>
      <w:r w:rsidRPr="00E0488D">
        <w:rPr>
          <w:rStyle w:val="hps"/>
          <w:rFonts w:cs="Arial"/>
          <w:color w:val="000000" w:themeColor="text1"/>
        </w:rPr>
        <w:t>distanță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800km</w:t>
      </w:r>
      <w:r w:rsidRPr="00E0488D">
        <w:t xml:space="preserve">. </w:t>
      </w:r>
      <w:r w:rsidRPr="00E0488D">
        <w:rPr>
          <w:rStyle w:val="hps"/>
          <w:rFonts w:cs="Arial"/>
          <w:color w:val="000000" w:themeColor="text1"/>
        </w:rPr>
        <w:t>Ar putea</w:t>
      </w:r>
      <w:r w:rsidRPr="00E0488D">
        <w:t xml:space="preserve"> </w:t>
      </w:r>
      <w:r w:rsidRPr="00E0488D">
        <w:rPr>
          <w:rStyle w:val="hps"/>
          <w:rFonts w:cs="Arial"/>
          <w:color w:val="000000" w:themeColor="text1"/>
        </w:rPr>
        <w:t>exista un potențial</w:t>
      </w:r>
      <w:r w:rsidRPr="00E0488D">
        <w:t xml:space="preserve"> </w:t>
      </w:r>
      <w:r w:rsidRPr="00E0488D">
        <w:rPr>
          <w:rStyle w:val="hps"/>
          <w:rFonts w:cs="Arial"/>
          <w:color w:val="000000" w:themeColor="text1"/>
        </w:rPr>
        <w:t>de creștere a</w:t>
      </w:r>
      <w:r w:rsidRPr="00E0488D">
        <w:t xml:space="preserve"> </w:t>
      </w:r>
      <w:r w:rsidRPr="00E0488D">
        <w:rPr>
          <w:rStyle w:val="hps"/>
          <w:rFonts w:cs="Arial"/>
          <w:color w:val="000000" w:themeColor="text1"/>
        </w:rPr>
        <w:t>fluxurilor</w:t>
      </w:r>
      <w:r w:rsidRPr="00E0488D">
        <w:t xml:space="preserve"> </w:t>
      </w:r>
      <w:r w:rsidRPr="00E0488D">
        <w:rPr>
          <w:rStyle w:val="hps"/>
          <w:rFonts w:cs="Arial"/>
          <w:color w:val="000000" w:themeColor="text1"/>
        </w:rPr>
        <w:t>interne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cu condiția realizării unei</w:t>
      </w:r>
      <w:r w:rsidRPr="00E0488D">
        <w:t xml:space="preserve"> </w:t>
      </w:r>
      <w:r w:rsidRPr="00E0488D">
        <w:rPr>
          <w:rStyle w:val="hps"/>
          <w:rFonts w:cs="Arial"/>
          <w:color w:val="000000" w:themeColor="text1"/>
        </w:rPr>
        <w:t>infrastructuri de</w:t>
      </w:r>
      <w:r w:rsidRPr="00E0488D">
        <w:t xml:space="preserve"> </w:t>
      </w:r>
      <w:r w:rsidRPr="00E0488D">
        <w:rPr>
          <w:rStyle w:val="hps"/>
          <w:rFonts w:cs="Arial"/>
          <w:color w:val="000000" w:themeColor="text1"/>
        </w:rPr>
        <w:t>terminale și</w:t>
      </w:r>
      <w:r w:rsidRPr="00E0488D">
        <w:t xml:space="preserve"> </w:t>
      </w:r>
      <w:r w:rsidRPr="00E0488D">
        <w:rPr>
          <w:rStyle w:val="hps"/>
          <w:rFonts w:cs="Arial"/>
          <w:color w:val="000000" w:themeColor="text1"/>
        </w:rPr>
        <w:t>servicii</w:t>
      </w:r>
      <w:r w:rsidRPr="00E0488D">
        <w:t xml:space="preserve"> </w:t>
      </w:r>
      <w:r w:rsidRPr="00E0488D">
        <w:rPr>
          <w:rStyle w:val="hps"/>
          <w:rFonts w:cs="Arial"/>
          <w:color w:val="000000" w:themeColor="text1"/>
        </w:rPr>
        <w:t>fiabile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rentabile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prezent</w:t>
      </w:r>
      <w:r w:rsidRPr="00E0488D">
        <w:t xml:space="preserve"> </w:t>
      </w:r>
      <w:r w:rsidRPr="00E0488D">
        <w:rPr>
          <w:rStyle w:val="hps"/>
          <w:rFonts w:cs="Arial"/>
          <w:color w:val="000000" w:themeColor="text1"/>
        </w:rPr>
        <w:t>numărul de containere</w:t>
      </w:r>
      <w:r w:rsidRPr="00E0488D">
        <w:t xml:space="preserve"> </w:t>
      </w:r>
      <w:r w:rsidRPr="00E0488D">
        <w:rPr>
          <w:rStyle w:val="hps"/>
          <w:rFonts w:cs="Arial"/>
          <w:color w:val="000000" w:themeColor="text1"/>
        </w:rPr>
        <w:t>care se deplasează</w:t>
      </w:r>
      <w:r w:rsidRPr="00E0488D">
        <w:t xml:space="preserve"> </w:t>
      </w:r>
      <w:r w:rsidRPr="00E0488D">
        <w:rPr>
          <w:rStyle w:val="hps"/>
          <w:rFonts w:cs="Arial"/>
          <w:color w:val="000000" w:themeColor="text1"/>
        </w:rPr>
        <w:t>pe Dunăre</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relativ</w:t>
      </w:r>
      <w:r w:rsidRPr="00E0488D">
        <w:t xml:space="preserve"> </w:t>
      </w:r>
      <w:r w:rsidRPr="00E0488D">
        <w:rPr>
          <w:rStyle w:val="hps"/>
          <w:rFonts w:cs="Arial"/>
          <w:color w:val="000000" w:themeColor="text1"/>
        </w:rPr>
        <w:t>mic, la aproximativ</w:t>
      </w:r>
      <w:r w:rsidRPr="00E0488D">
        <w:t xml:space="preserve"> </w:t>
      </w:r>
      <w:r w:rsidRPr="00E0488D">
        <w:rPr>
          <w:rStyle w:val="hps"/>
          <w:rFonts w:cs="Arial"/>
          <w:color w:val="000000" w:themeColor="text1"/>
        </w:rPr>
        <w:t>2</w:t>
      </w:r>
      <w:r w:rsidRPr="00E0488D">
        <w:t xml:space="preserve">% din numărul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dar</w:t>
      </w:r>
      <w:r w:rsidRPr="00E0488D">
        <w:t xml:space="preserve"> </w:t>
      </w:r>
      <w:r w:rsidRPr="00E0488D">
        <w:rPr>
          <w:rStyle w:val="hps"/>
          <w:rFonts w:cs="Arial"/>
          <w:color w:val="000000" w:themeColor="text1"/>
        </w:rPr>
        <w:t>există un potențial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creștere</w:t>
      </w:r>
      <w:r w:rsidRPr="00E0488D">
        <w:t xml:space="preserve">. </w:t>
      </w:r>
      <w:r w:rsidRPr="00E0488D">
        <w:rPr>
          <w:rStyle w:val="hps"/>
          <w:rFonts w:cs="Arial"/>
          <w:color w:val="000000" w:themeColor="text1"/>
        </w:rPr>
        <w:t>Containerele</w:t>
      </w:r>
      <w:r w:rsidRPr="00E0488D">
        <w:t xml:space="preserve"> </w:t>
      </w:r>
      <w:r w:rsidRPr="00E0488D">
        <w:rPr>
          <w:rStyle w:val="hps"/>
          <w:rFonts w:cs="Arial"/>
          <w:color w:val="000000" w:themeColor="text1"/>
        </w:rPr>
        <w:t>pot fi operate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majoritatea porturilor</w:t>
      </w:r>
      <w:r w:rsidRPr="00E0488D">
        <w:t xml:space="preserve"> </w:t>
      </w:r>
      <w:r w:rsidRPr="00E0488D">
        <w:rPr>
          <w:rStyle w:val="hps"/>
          <w:rFonts w:cs="Arial"/>
          <w:color w:val="000000" w:themeColor="text1"/>
        </w:rPr>
        <w:t>fluviale</w:t>
      </w:r>
      <w:r w:rsidRPr="00E0488D">
        <w:t xml:space="preserve">, folosind </w:t>
      </w:r>
      <w:r w:rsidRPr="00E0488D">
        <w:rPr>
          <w:rStyle w:val="hps"/>
          <w:rFonts w:cs="Arial"/>
          <w:color w:val="000000" w:themeColor="text1"/>
        </w:rPr>
        <w:t>o</w:t>
      </w:r>
      <w:r w:rsidRPr="00E0488D">
        <w:t xml:space="preserve"> </w:t>
      </w:r>
      <w:r w:rsidRPr="00E0488D">
        <w:rPr>
          <w:rStyle w:val="hps"/>
          <w:rFonts w:cs="Arial"/>
          <w:color w:val="000000" w:themeColor="text1"/>
        </w:rPr>
        <w:t>macara</w:t>
      </w:r>
      <w:r w:rsidRPr="00E0488D">
        <w:t xml:space="preserve"> </w:t>
      </w:r>
      <w:r w:rsidRPr="00E0488D">
        <w:rPr>
          <w:rStyle w:val="hps"/>
          <w:rFonts w:cs="Arial"/>
          <w:color w:val="000000" w:themeColor="text1"/>
        </w:rPr>
        <w:t>tradițională</w:t>
      </w:r>
      <w:r w:rsidRPr="00E0488D">
        <w:t xml:space="preserve">, dar </w:t>
      </w:r>
      <w:r w:rsidRPr="00E0488D">
        <w:rPr>
          <w:rStyle w:val="hps"/>
          <w:rFonts w:cs="Arial"/>
          <w:color w:val="000000" w:themeColor="text1"/>
        </w:rPr>
        <w:t>acest lucru</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rapid</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eficient</w:t>
      </w:r>
      <w:r w:rsidRPr="00E0488D">
        <w:t xml:space="preserve">. În </w:t>
      </w:r>
      <w:r w:rsidRPr="00E0488D">
        <w:rPr>
          <w:rStyle w:val="hps"/>
          <w:rFonts w:cs="Arial"/>
          <w:color w:val="000000" w:themeColor="text1"/>
        </w:rPr>
        <w:t>Portul</w:t>
      </w:r>
      <w:r w:rsidRPr="00E0488D">
        <w:t xml:space="preserve"> </w:t>
      </w:r>
      <w:r w:rsidRPr="00E0488D">
        <w:rPr>
          <w:rStyle w:val="hps"/>
          <w:rFonts w:cs="Arial"/>
          <w:color w:val="000000" w:themeColor="text1"/>
        </w:rPr>
        <w:t>Giurgiu</w:t>
      </w:r>
      <w:r w:rsidRPr="00E0488D">
        <w:t xml:space="preserve"> se </w:t>
      </w:r>
      <w:r w:rsidRPr="00E0488D">
        <w:rPr>
          <w:rStyle w:val="hps"/>
          <w:rFonts w:cs="Arial"/>
          <w:color w:val="000000" w:themeColor="text1"/>
        </w:rPr>
        <w:t>manevrează unele containere care</w:t>
      </w:r>
      <w:r w:rsidRPr="00E0488D">
        <w:t xml:space="preserve"> </w:t>
      </w:r>
      <w:r w:rsidRPr="00E0488D">
        <w:rPr>
          <w:rStyle w:val="hps"/>
          <w:rFonts w:cs="Arial"/>
          <w:color w:val="000000" w:themeColor="text1"/>
        </w:rPr>
        <w:t>apoi</w:t>
      </w:r>
      <w:r w:rsidRPr="00E0488D">
        <w:t xml:space="preserve"> </w:t>
      </w:r>
      <w:r w:rsidRPr="00E0488D">
        <w:rPr>
          <w:rStyle w:val="hps"/>
          <w:rFonts w:cs="Arial"/>
          <w:color w:val="000000" w:themeColor="text1"/>
        </w:rPr>
        <w:t>pot merge</w:t>
      </w:r>
      <w:r w:rsidRPr="00E0488D">
        <w:t xml:space="preserve"> </w:t>
      </w:r>
      <w:r w:rsidRPr="00E0488D">
        <w:rPr>
          <w:rStyle w:val="hps"/>
          <w:rFonts w:cs="Arial"/>
          <w:color w:val="000000" w:themeColor="text1"/>
        </w:rPr>
        <w:t>spre nord</w:t>
      </w:r>
      <w:r w:rsidRPr="00E0488D">
        <w:t xml:space="preserve">  pe cale </w:t>
      </w:r>
      <w:r w:rsidRPr="00E0488D">
        <w:rPr>
          <w:rStyle w:val="hps"/>
          <w:rFonts w:cs="Arial"/>
          <w:color w:val="000000" w:themeColor="text1"/>
        </w:rPr>
        <w:t>rutieră</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feroviară</w:t>
      </w:r>
      <w:r w:rsidRPr="00E0488D">
        <w:t>.</w:t>
      </w:r>
    </w:p>
    <w:p w:rsidR="00BD59B2" w:rsidRPr="00E0488D" w:rsidRDefault="00BD59B2" w:rsidP="002B7E09">
      <w:pPr>
        <w:pStyle w:val="NumberedParas"/>
      </w:pPr>
      <w:r w:rsidRPr="00E0488D">
        <w:rPr>
          <w:rStyle w:val="hps"/>
          <w:rFonts w:cs="Arial"/>
          <w:color w:val="000000" w:themeColor="text1"/>
        </w:rPr>
        <w:t>Mai jos este prezentat fluxul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TEU-uri</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sectorul românesc al</w:t>
      </w:r>
      <w:r w:rsidRPr="00E0488D">
        <w:t xml:space="preserve"> </w:t>
      </w:r>
      <w:r w:rsidRPr="00E0488D">
        <w:rPr>
          <w:rStyle w:val="hps"/>
          <w:rFonts w:cs="Arial"/>
          <w:color w:val="000000" w:themeColor="text1"/>
        </w:rPr>
        <w:t>Dunării</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începe</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se încheie la</w:t>
      </w:r>
      <w:r w:rsidRPr="00E0488D">
        <w:t xml:space="preserve"> </w:t>
      </w:r>
      <w:r w:rsidRPr="00E0488D">
        <w:rPr>
          <w:rStyle w:val="hps"/>
          <w:rFonts w:cs="Arial"/>
          <w:color w:val="000000" w:themeColor="text1"/>
        </w:rPr>
        <w:t>Constanta</w:t>
      </w:r>
      <w:r w:rsidRPr="00E0488D">
        <w:t xml:space="preserve">.Tonajul mediu </w:t>
      </w:r>
      <w:r w:rsidRPr="00E0488D">
        <w:rPr>
          <w:rStyle w:val="hps"/>
          <w:rFonts w:cs="Arial"/>
          <w:color w:val="000000" w:themeColor="text1"/>
        </w:rPr>
        <w:t>per</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2010 a fost de</w:t>
      </w:r>
      <w:r w:rsidRPr="00E0488D">
        <w:t xml:space="preserve"> </w:t>
      </w:r>
      <w:r w:rsidRPr="00E0488D">
        <w:rPr>
          <w:rStyle w:val="hps"/>
          <w:rFonts w:cs="Arial"/>
          <w:color w:val="000000" w:themeColor="text1"/>
        </w:rPr>
        <w:t>10,8</w:t>
      </w:r>
      <w:r w:rsidRPr="00E0488D">
        <w:t xml:space="preserve"> </w:t>
      </w:r>
      <w:r w:rsidRPr="00E0488D">
        <w:rPr>
          <w:rStyle w:val="hps"/>
          <w:rFonts w:cs="Arial"/>
          <w:color w:val="000000" w:themeColor="text1"/>
        </w:rPr>
        <w:t>tone</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sunt gestionate</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operatorii de transport</w:t>
      </w:r>
      <w:r w:rsidRPr="00E0488D">
        <w:t xml:space="preserve"> </w:t>
      </w:r>
      <w:r w:rsidRPr="00E0488D">
        <w:rPr>
          <w:rStyle w:val="hps"/>
          <w:rFonts w:cs="Arial"/>
          <w:color w:val="000000" w:themeColor="text1"/>
        </w:rPr>
        <w:t>din România</w:t>
      </w:r>
      <w:r w:rsidRPr="00E0488D">
        <w:t>.</w:t>
      </w:r>
    </w:p>
    <w:p w:rsidR="00BD59B2" w:rsidRPr="00E0488D" w:rsidRDefault="00BD59B2" w:rsidP="00BD59B2">
      <w:pPr>
        <w:pStyle w:val="Body"/>
        <w:spacing w:before="120" w:after="120"/>
        <w:ind w:left="851"/>
        <w:rPr>
          <w:rFonts w:cs="Arial"/>
          <w:b/>
          <w:i w:val="0"/>
          <w:lang w:val="ro-RO"/>
        </w:rPr>
      </w:pPr>
      <w:r w:rsidRPr="00E0488D">
        <w:rPr>
          <w:rFonts w:cs="Arial"/>
          <w:b/>
          <w:i w:val="0"/>
          <w:lang w:val="ro-RO"/>
        </w:rPr>
        <w:t>Tabelul 8.3 –Total TEU-uri pe Fluviul Dunărea</w:t>
      </w:r>
      <w:r w:rsidRPr="00E0488D">
        <w:rPr>
          <w:rStyle w:val="FootnoteReference"/>
          <w:rFonts w:cs="Arial"/>
          <w:b/>
          <w:i w:val="0"/>
          <w:lang w:val="ro-RO"/>
        </w:rPr>
        <w:footnoteReference w:id="35"/>
      </w:r>
    </w:p>
    <w:tbl>
      <w:tblPr>
        <w:tblW w:w="0" w:type="auto"/>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75"/>
        <w:gridCol w:w="1134"/>
        <w:gridCol w:w="1276"/>
      </w:tblGrid>
      <w:tr w:rsidR="00BD59B2" w:rsidRPr="00E0488D" w:rsidTr="009972B3">
        <w:tc>
          <w:tcPr>
            <w:tcW w:w="2694" w:type="dxa"/>
            <w:shd w:val="clear" w:color="auto" w:fill="C6D9F1"/>
            <w:vAlign w:val="center"/>
          </w:tcPr>
          <w:p w:rsidR="00BD59B2" w:rsidRPr="00E0488D" w:rsidRDefault="00BD59B2" w:rsidP="009972B3">
            <w:pPr>
              <w:spacing w:line="276" w:lineRule="auto"/>
              <w:jc w:val="center"/>
              <w:rPr>
                <w:b/>
                <w:sz w:val="22"/>
                <w:szCs w:val="22"/>
                <w:lang w:val="ro-RO"/>
              </w:rPr>
            </w:pPr>
          </w:p>
        </w:tc>
        <w:tc>
          <w:tcPr>
            <w:tcW w:w="1275" w:type="dxa"/>
            <w:shd w:val="clear" w:color="auto" w:fill="C6D9F1"/>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2008</w:t>
            </w:r>
          </w:p>
        </w:tc>
        <w:tc>
          <w:tcPr>
            <w:tcW w:w="1134" w:type="dxa"/>
            <w:shd w:val="clear" w:color="auto" w:fill="C6D9F1"/>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2009</w:t>
            </w:r>
          </w:p>
        </w:tc>
        <w:tc>
          <w:tcPr>
            <w:tcW w:w="1276" w:type="dxa"/>
            <w:shd w:val="clear" w:color="auto" w:fill="C6D9F1"/>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2010</w:t>
            </w:r>
          </w:p>
        </w:tc>
      </w:tr>
      <w:tr w:rsidR="00BD59B2" w:rsidRPr="00E0488D" w:rsidTr="009972B3">
        <w:tc>
          <w:tcPr>
            <w:tcW w:w="2694"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TEU-uri</w:t>
            </w:r>
          </w:p>
        </w:tc>
        <w:tc>
          <w:tcPr>
            <w:tcW w:w="127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10.753</w:t>
            </w:r>
          </w:p>
        </w:tc>
        <w:tc>
          <w:tcPr>
            <w:tcW w:w="1134"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8.550</w:t>
            </w:r>
          </w:p>
        </w:tc>
        <w:tc>
          <w:tcPr>
            <w:tcW w:w="127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10.057</w:t>
            </w:r>
          </w:p>
        </w:tc>
      </w:tr>
      <w:tr w:rsidR="00BD59B2" w:rsidRPr="00E0488D" w:rsidTr="009972B3">
        <w:tc>
          <w:tcPr>
            <w:tcW w:w="2694"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Tone</w:t>
            </w:r>
          </w:p>
        </w:tc>
        <w:tc>
          <w:tcPr>
            <w:tcW w:w="127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106.919</w:t>
            </w:r>
          </w:p>
        </w:tc>
        <w:tc>
          <w:tcPr>
            <w:tcW w:w="1134"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80.344</w:t>
            </w:r>
          </w:p>
        </w:tc>
        <w:tc>
          <w:tcPr>
            <w:tcW w:w="127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108.783</w:t>
            </w:r>
          </w:p>
        </w:tc>
      </w:tr>
      <w:tr w:rsidR="00BD59B2" w:rsidRPr="00E0488D" w:rsidTr="009972B3">
        <w:tc>
          <w:tcPr>
            <w:tcW w:w="2694"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Media. Tone per TEU</w:t>
            </w:r>
          </w:p>
        </w:tc>
        <w:tc>
          <w:tcPr>
            <w:tcW w:w="127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9,9</w:t>
            </w:r>
          </w:p>
        </w:tc>
        <w:tc>
          <w:tcPr>
            <w:tcW w:w="1134"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9,4</w:t>
            </w:r>
          </w:p>
        </w:tc>
        <w:tc>
          <w:tcPr>
            <w:tcW w:w="127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10,8</w:t>
            </w:r>
          </w:p>
        </w:tc>
      </w:tr>
    </w:tbl>
    <w:p w:rsidR="00BD59B2" w:rsidRPr="00E0488D" w:rsidRDefault="00BD59B2" w:rsidP="00BD59B2">
      <w:pPr>
        <w:pStyle w:val="Frspaiere1"/>
        <w:ind w:left="851"/>
        <w:rPr>
          <w:rFonts w:ascii="Arial" w:hAnsi="Arial" w:cs="Arial"/>
          <w:i/>
          <w:sz w:val="18"/>
          <w:szCs w:val="18"/>
          <w:lang w:val="ro-RO"/>
        </w:rPr>
      </w:pPr>
      <w:r w:rsidRPr="00E0488D">
        <w:rPr>
          <w:rFonts w:ascii="Arial" w:hAnsi="Arial" w:cs="Arial"/>
          <w:i/>
          <w:sz w:val="18"/>
          <w:szCs w:val="18"/>
          <w:lang w:val="ro-RO"/>
        </w:rPr>
        <w:t xml:space="preserve">Sursa:  Manualul Portului Constanta </w:t>
      </w:r>
    </w:p>
    <w:p w:rsidR="00BD59B2" w:rsidRPr="00E0488D" w:rsidRDefault="00BD59B2" w:rsidP="002B7E09">
      <w:pPr>
        <w:pStyle w:val="NumberedParas"/>
      </w:pPr>
      <w:r w:rsidRPr="00E0488D">
        <w:rPr>
          <w:rStyle w:val="hps"/>
          <w:rFonts w:cs="Arial"/>
          <w:color w:val="000000" w:themeColor="text1"/>
        </w:rPr>
        <w:t>Se poate observa</w:t>
      </w:r>
      <w:r w:rsidRPr="00E0488D">
        <w:t xml:space="preserve"> </w:t>
      </w:r>
      <w:r w:rsidRPr="00E0488D">
        <w:rPr>
          <w:rStyle w:val="hps"/>
          <w:rFonts w:cs="Arial"/>
          <w:color w:val="000000" w:themeColor="text1"/>
        </w:rPr>
        <w:t>că numărul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TEU-uri</w:t>
      </w:r>
      <w:r w:rsidRPr="00E0488D">
        <w:t xml:space="preserve"> precum </w:t>
      </w:r>
      <w:r w:rsidRPr="00E0488D">
        <w:rPr>
          <w:rStyle w:val="hps"/>
          <w:rFonts w:cs="Arial"/>
          <w:color w:val="000000" w:themeColor="text1"/>
        </w:rPr>
        <w:t>și</w:t>
      </w:r>
      <w:r w:rsidRPr="00E0488D">
        <w:t xml:space="preserve"> </w:t>
      </w:r>
      <w:r w:rsidRPr="00E0488D">
        <w:rPr>
          <w:rStyle w:val="hps"/>
          <w:rFonts w:cs="Arial"/>
          <w:color w:val="000000" w:themeColor="text1"/>
        </w:rPr>
        <w:t>numărul de</w:t>
      </w:r>
      <w:r w:rsidRPr="00E0488D">
        <w:t xml:space="preserve"> </w:t>
      </w:r>
      <w:r w:rsidRPr="00E0488D">
        <w:rPr>
          <w:rStyle w:val="hps"/>
          <w:rFonts w:cs="Arial"/>
          <w:color w:val="000000" w:themeColor="text1"/>
        </w:rPr>
        <w:t>tone transportate</w:t>
      </w:r>
      <w:r w:rsidRPr="00E0488D">
        <w:t xml:space="preserve"> </w:t>
      </w:r>
      <w:r w:rsidRPr="00E0488D">
        <w:rPr>
          <w:rStyle w:val="hps"/>
          <w:rFonts w:cs="Arial"/>
          <w:color w:val="000000" w:themeColor="text1"/>
        </w:rPr>
        <w:t>a scăzut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2009, fapt care</w:t>
      </w:r>
      <w:r w:rsidRPr="00E0488D">
        <w:t xml:space="preserve"> </w:t>
      </w:r>
      <w:r w:rsidRPr="00E0488D">
        <w:rPr>
          <w:rStyle w:val="hps"/>
          <w:rFonts w:cs="Arial"/>
          <w:color w:val="000000" w:themeColor="text1"/>
        </w:rPr>
        <w:t>coincide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criza economică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Europa</w:t>
      </w:r>
      <w:r w:rsidRPr="00E0488D">
        <w:t>. T</w:t>
      </w:r>
      <w:r w:rsidRPr="00E0488D">
        <w:rPr>
          <w:rStyle w:val="hps"/>
          <w:rFonts w:cs="Arial"/>
          <w:color w:val="000000" w:themeColor="text1"/>
        </w:rPr>
        <w:t>onajul</w:t>
      </w:r>
      <w:r w:rsidRPr="00E0488D">
        <w:t xml:space="preserve"> din </w:t>
      </w:r>
      <w:r w:rsidRPr="00E0488D">
        <w:rPr>
          <w:rStyle w:val="hps"/>
          <w:rFonts w:cs="Arial"/>
          <w:color w:val="000000" w:themeColor="text1"/>
        </w:rPr>
        <w:t>2010</w:t>
      </w:r>
      <w:r w:rsidRPr="00E0488D">
        <w:t xml:space="preserve"> </w:t>
      </w:r>
      <w:r w:rsidRPr="00E0488D">
        <w:rPr>
          <w:rStyle w:val="hps"/>
          <w:rFonts w:cs="Arial"/>
          <w:color w:val="000000" w:themeColor="text1"/>
        </w:rPr>
        <w:t>a revenit la</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nivel similar celui</w:t>
      </w:r>
      <w:r w:rsidRPr="00E0488D">
        <w:t xml:space="preserve"> </w:t>
      </w:r>
      <w:r w:rsidRPr="00E0488D">
        <w:rPr>
          <w:rStyle w:val="hps"/>
          <w:rFonts w:cs="Arial"/>
          <w:color w:val="000000" w:themeColor="text1"/>
        </w:rPr>
        <w:t>observat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2008.Cel mai mare</w:t>
      </w:r>
      <w:r w:rsidRPr="00E0488D">
        <w:t xml:space="preserve"> </w:t>
      </w:r>
      <w:r w:rsidRPr="00E0488D">
        <w:rPr>
          <w:rStyle w:val="hps"/>
          <w:rFonts w:cs="Arial"/>
          <w:color w:val="000000" w:themeColor="text1"/>
        </w:rPr>
        <w:t>transportator</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TEU-uri</w:t>
      </w:r>
      <w:r w:rsidRPr="00E0488D">
        <w:t xml:space="preserve"> </w:t>
      </w:r>
      <w:r w:rsidRPr="00E0488D">
        <w:rPr>
          <w:rStyle w:val="hps"/>
          <w:rFonts w:cs="Arial"/>
          <w:color w:val="000000" w:themeColor="text1"/>
        </w:rPr>
        <w:t>pe Dunăre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Transcanal</w:t>
      </w:r>
      <w:r w:rsidRPr="00E0488D">
        <w:t xml:space="preserve">, care </w:t>
      </w:r>
      <w:r w:rsidRPr="00E0488D">
        <w:rPr>
          <w:rStyle w:val="hps"/>
          <w:rFonts w:cs="Arial"/>
          <w:color w:val="000000" w:themeColor="text1"/>
        </w:rPr>
        <w:t>în</w:t>
      </w:r>
      <w:r w:rsidRPr="00E0488D">
        <w:t xml:space="preserve"> </w:t>
      </w:r>
      <w:r w:rsidRPr="00E0488D">
        <w:rPr>
          <w:rStyle w:val="hps"/>
          <w:rFonts w:cs="Arial"/>
          <w:color w:val="000000" w:themeColor="text1"/>
        </w:rPr>
        <w:t>2010 a</w:t>
      </w:r>
      <w:r w:rsidRPr="00E0488D">
        <w:t xml:space="preserve"> </w:t>
      </w:r>
      <w:r w:rsidRPr="00E0488D">
        <w:rPr>
          <w:rStyle w:val="hps"/>
          <w:rFonts w:cs="Arial"/>
          <w:color w:val="000000" w:themeColor="text1"/>
        </w:rPr>
        <w:t>operat</w:t>
      </w:r>
      <w:r w:rsidRPr="00E0488D">
        <w:t xml:space="preserve"> </w:t>
      </w:r>
      <w:r w:rsidRPr="00E0488D">
        <w:rPr>
          <w:rStyle w:val="hps"/>
          <w:rFonts w:cs="Arial"/>
          <w:color w:val="000000" w:themeColor="text1"/>
        </w:rPr>
        <w:t>77</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TEU-uri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75</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tonele</w:t>
      </w:r>
      <w:r w:rsidRPr="00E0488D">
        <w:t xml:space="preserve"> </w:t>
      </w:r>
      <w:r w:rsidRPr="00E0488D">
        <w:rPr>
          <w:rStyle w:val="hps"/>
          <w:rFonts w:cs="Arial"/>
          <w:color w:val="000000" w:themeColor="text1"/>
        </w:rPr>
        <w:t>asociate</w:t>
      </w:r>
      <w:r w:rsidRPr="00E0488D">
        <w:t>.</w:t>
      </w:r>
    </w:p>
    <w:p w:rsidR="00BD59B2" w:rsidRPr="00E0488D" w:rsidRDefault="00BD59B2" w:rsidP="002B7E09">
      <w:pPr>
        <w:pStyle w:val="NumberedParas"/>
      </w:pPr>
      <w:r w:rsidRPr="00E0488D">
        <w:rPr>
          <w:rStyle w:val="hps"/>
          <w:rFonts w:cs="Arial"/>
          <w:color w:val="000000" w:themeColor="text1"/>
        </w:rPr>
        <w:t>Deși</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de departe</w:t>
      </w:r>
      <w:r w:rsidRPr="00E0488D">
        <w:t xml:space="preserve"> </w:t>
      </w:r>
      <w:r w:rsidRPr="00E0488D">
        <w:rPr>
          <w:rStyle w:val="hps"/>
          <w:rFonts w:cs="Arial"/>
          <w:color w:val="000000" w:themeColor="text1"/>
        </w:rPr>
        <w:t>cel mai mare</w:t>
      </w:r>
      <w:r w:rsidRPr="00E0488D">
        <w:t xml:space="preserve"> </w:t>
      </w:r>
      <w:r w:rsidRPr="00E0488D">
        <w:rPr>
          <w:rStyle w:val="hps"/>
          <w:rFonts w:cs="Arial"/>
          <w:color w:val="000000" w:themeColor="text1"/>
        </w:rPr>
        <w:t>generator de</w:t>
      </w:r>
      <w:r w:rsidRPr="00E0488D">
        <w:t xml:space="preserve"> </w:t>
      </w:r>
      <w:r w:rsidRPr="00E0488D">
        <w:rPr>
          <w:rStyle w:val="hps"/>
          <w:rFonts w:cs="Arial"/>
          <w:color w:val="000000" w:themeColor="text1"/>
        </w:rPr>
        <w:t>transport intermodal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Portul</w:t>
      </w:r>
      <w:r w:rsidRPr="00E0488D">
        <w:t xml:space="preserve"> </w:t>
      </w:r>
      <w:r w:rsidRPr="00E0488D">
        <w:rPr>
          <w:rStyle w:val="hps"/>
          <w:rFonts w:cs="Arial"/>
          <w:color w:val="000000" w:themeColor="text1"/>
        </w:rPr>
        <w:t>Galați încearcă să</w:t>
      </w:r>
      <w:r w:rsidRPr="00E0488D">
        <w:t xml:space="preserve"> </w:t>
      </w:r>
      <w:r w:rsidRPr="00E0488D">
        <w:rPr>
          <w:rStyle w:val="hps"/>
          <w:rFonts w:cs="Arial"/>
          <w:color w:val="000000" w:themeColor="text1"/>
        </w:rPr>
        <w:t>atragă</w:t>
      </w:r>
      <w:r w:rsidRPr="00E0488D">
        <w:t xml:space="preserve"> </w:t>
      </w:r>
      <w:r w:rsidRPr="00E0488D">
        <w:rPr>
          <w:rStyle w:val="hps"/>
          <w:rFonts w:cs="Arial"/>
          <w:color w:val="000000" w:themeColor="text1"/>
        </w:rPr>
        <w:t>comerțul</w:t>
      </w:r>
      <w:r w:rsidRPr="00E0488D">
        <w:t xml:space="preserve"> de la </w:t>
      </w:r>
      <w:r w:rsidRPr="00E0488D">
        <w:rPr>
          <w:rStyle w:val="hps"/>
          <w:rFonts w:cs="Arial"/>
          <w:color w:val="000000" w:themeColor="text1"/>
        </w:rPr>
        <w:t>Mărea Neagră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preferință</w:t>
      </w:r>
      <w:r w:rsidRPr="00E0488D">
        <w:t xml:space="preserve"> de </w:t>
      </w:r>
      <w:r w:rsidRPr="00E0488D">
        <w:rPr>
          <w:rStyle w:val="hps"/>
          <w:rFonts w:cs="Arial"/>
          <w:color w:val="000000" w:themeColor="text1"/>
        </w:rPr>
        <w:t>la</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prețuri mai mici</w:t>
      </w:r>
      <w:r w:rsidRPr="00E0488D">
        <w:t xml:space="preserve">. </w:t>
      </w:r>
      <w:r w:rsidRPr="00E0488D">
        <w:rPr>
          <w:rStyle w:val="hps"/>
          <w:rFonts w:cs="Arial"/>
          <w:color w:val="000000" w:themeColor="text1"/>
        </w:rPr>
        <w:t>Scopul lor</w:t>
      </w:r>
      <w:r w:rsidRPr="00E0488D">
        <w:t xml:space="preserve"> </w:t>
      </w:r>
      <w:r w:rsidRPr="00E0488D">
        <w:rPr>
          <w:rStyle w:val="hps"/>
          <w:rFonts w:cs="Arial"/>
          <w:color w:val="000000" w:themeColor="text1"/>
        </w:rPr>
        <w:t>este de a forma</w:t>
      </w:r>
      <w:r w:rsidRPr="00E0488D">
        <w:t xml:space="preserve"> </w:t>
      </w:r>
      <w:r w:rsidRPr="00E0488D">
        <w:rPr>
          <w:rStyle w:val="hps"/>
          <w:rFonts w:cs="Arial"/>
          <w:color w:val="000000" w:themeColor="text1"/>
        </w:rPr>
        <w:t>trenuri de mărfuri vrac</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către destinații</w:t>
      </w:r>
      <w:r w:rsidRPr="00E0488D">
        <w:t xml:space="preserve"> </w:t>
      </w:r>
      <w:r w:rsidRPr="00E0488D">
        <w:rPr>
          <w:rStyle w:val="hps"/>
          <w:rFonts w:cs="Arial"/>
          <w:color w:val="000000" w:themeColor="text1"/>
        </w:rPr>
        <w:t>internaționale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exemplu</w:t>
      </w:r>
      <w:r w:rsidRPr="00E0488D">
        <w:t xml:space="preserve"> </w:t>
      </w:r>
      <w:r w:rsidRPr="00E0488D">
        <w:rPr>
          <w:rStyle w:val="hps"/>
          <w:rFonts w:cs="Arial"/>
          <w:color w:val="000000" w:themeColor="text1"/>
        </w:rPr>
        <w:t>Duisberg</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Germania</w:t>
      </w:r>
      <w:r w:rsidRPr="00E0488D">
        <w:t xml:space="preserve">. De asemenea, </w:t>
      </w:r>
      <w:r w:rsidRPr="00E0488D">
        <w:rPr>
          <w:rStyle w:val="hps"/>
          <w:rFonts w:cs="Arial"/>
          <w:color w:val="000000" w:themeColor="text1"/>
        </w:rPr>
        <w:t>Galati</w:t>
      </w:r>
      <w:r w:rsidRPr="00E0488D">
        <w:t xml:space="preserve"> </w:t>
      </w:r>
      <w:r w:rsidRPr="00E0488D">
        <w:rPr>
          <w:rStyle w:val="hps"/>
          <w:rFonts w:cs="Arial"/>
          <w:color w:val="000000" w:themeColor="text1"/>
        </w:rPr>
        <w:t>acționează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port de</w:t>
      </w:r>
      <w:r w:rsidRPr="00E0488D">
        <w:t xml:space="preserve"> </w:t>
      </w:r>
      <w:r w:rsidRPr="00E0488D">
        <w:rPr>
          <w:rStyle w:val="hps"/>
          <w:rFonts w:cs="Arial"/>
          <w:color w:val="000000" w:themeColor="text1"/>
        </w:rPr>
        <w:t>transbordare</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barje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nave</w:t>
      </w:r>
      <w:r w:rsidRPr="00E0488D">
        <w:t xml:space="preserve"> </w:t>
      </w:r>
      <w:r w:rsidRPr="00E0488D">
        <w:rPr>
          <w:rStyle w:val="hps"/>
          <w:rFonts w:cs="Arial"/>
          <w:color w:val="000000" w:themeColor="text1"/>
        </w:rPr>
        <w:t>de coastă</w:t>
      </w:r>
      <w:r w:rsidRPr="00E0488D">
        <w:t xml:space="preserve"> pentru </w:t>
      </w:r>
      <w:r w:rsidRPr="00E0488D">
        <w:rPr>
          <w:rStyle w:val="hps"/>
          <w:rFonts w:cs="Arial"/>
          <w:color w:val="000000" w:themeColor="text1"/>
        </w:rPr>
        <w:t>livrarea mărfurilor</w:t>
      </w:r>
      <w:r w:rsidRPr="00E0488D">
        <w:t xml:space="preserve"> </w:t>
      </w:r>
      <w:r w:rsidRPr="00E0488D">
        <w:rPr>
          <w:rStyle w:val="hps"/>
          <w:rFonts w:cs="Arial"/>
          <w:color w:val="000000" w:themeColor="text1"/>
        </w:rPr>
        <w:t>mai departe</w:t>
      </w:r>
      <w:r w:rsidRPr="00E0488D">
        <w:t xml:space="preserve"> </w:t>
      </w:r>
      <w:r w:rsidRPr="00E0488D">
        <w:rPr>
          <w:rStyle w:val="hps"/>
          <w:rFonts w:cs="Arial"/>
          <w:color w:val="000000" w:themeColor="text1"/>
        </w:rPr>
        <w:t>spre</w:t>
      </w:r>
      <w:r w:rsidRPr="00E0488D">
        <w:t xml:space="preserve"> </w:t>
      </w:r>
      <w:r w:rsidRPr="00E0488D">
        <w:rPr>
          <w:rStyle w:val="hps"/>
          <w:rFonts w:cs="Arial"/>
          <w:color w:val="000000" w:themeColor="text1"/>
        </w:rPr>
        <w:t>porturile</w:t>
      </w:r>
      <w:r w:rsidRPr="00E0488D">
        <w:t xml:space="preserve"> </w:t>
      </w:r>
      <w:r w:rsidRPr="00E0488D">
        <w:rPr>
          <w:rStyle w:val="hps"/>
          <w:rFonts w:cs="Arial"/>
          <w:color w:val="000000" w:themeColor="text1"/>
        </w:rPr>
        <w:t>de la Marea Neagră</w:t>
      </w:r>
      <w:r w:rsidRPr="00E0488D">
        <w:t xml:space="preserve"> </w:t>
      </w:r>
      <w:r w:rsidRPr="00E0488D">
        <w:rPr>
          <w:rStyle w:val="hps"/>
          <w:rFonts w:cs="Arial"/>
          <w:color w:val="000000" w:themeColor="text1"/>
        </w:rPr>
        <w:t>care deservesc</w:t>
      </w:r>
      <w:r w:rsidRPr="00E0488D">
        <w:t xml:space="preserve"> </w:t>
      </w:r>
      <w:r w:rsidRPr="00E0488D">
        <w:rPr>
          <w:rStyle w:val="hps"/>
          <w:rFonts w:cs="Arial"/>
          <w:color w:val="000000" w:themeColor="text1"/>
        </w:rPr>
        <w:t>Ucraina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Rusia</w:t>
      </w:r>
      <w:r w:rsidRPr="00E0488D">
        <w:t xml:space="preserve">. </w:t>
      </w:r>
      <w:r w:rsidRPr="00E0488D">
        <w:rPr>
          <w:rStyle w:val="hps"/>
          <w:rFonts w:cs="Arial"/>
          <w:color w:val="000000" w:themeColor="text1"/>
        </w:rPr>
        <w:t>Acesta oferă</w:t>
      </w:r>
      <w:r w:rsidRPr="00E0488D">
        <w:t xml:space="preserve"> </w:t>
      </w:r>
      <w:r w:rsidRPr="00E0488D">
        <w:rPr>
          <w:rStyle w:val="hps"/>
          <w:rFonts w:cs="Arial"/>
          <w:color w:val="000000" w:themeColor="text1"/>
        </w:rPr>
        <w:t>un serviciu direct</w:t>
      </w:r>
      <w:r w:rsidRPr="00E0488D">
        <w:t xml:space="preserve"> de transport feroviar de </w:t>
      </w:r>
      <w:r w:rsidRPr="00E0488D">
        <w:rPr>
          <w:rStyle w:val="hps"/>
          <w:rFonts w:cs="Arial"/>
          <w:color w:val="000000" w:themeColor="text1"/>
        </w:rPr>
        <w:t>marfă</w:t>
      </w:r>
      <w:r w:rsidRPr="00E0488D">
        <w:t xml:space="preserve"> </w:t>
      </w:r>
      <w:r w:rsidRPr="00E0488D">
        <w:rPr>
          <w:rStyle w:val="hps"/>
          <w:rFonts w:cs="Arial"/>
          <w:color w:val="000000" w:themeColor="text1"/>
        </w:rPr>
        <w:t>în Kazahstan</w:t>
      </w:r>
      <w:r w:rsidRPr="00E0488D">
        <w:t xml:space="preserve">, deoarece este </w:t>
      </w:r>
      <w:r w:rsidRPr="00E0488D">
        <w:rPr>
          <w:rStyle w:val="hps"/>
          <w:rFonts w:cs="Arial"/>
          <w:color w:val="000000" w:themeColor="text1"/>
        </w:rPr>
        <w:t>singurul port</w:t>
      </w:r>
      <w:r w:rsidRPr="00E0488D">
        <w:t xml:space="preserve"> </w:t>
      </w:r>
      <w:r w:rsidRPr="00E0488D">
        <w:rPr>
          <w:rStyle w:val="hps"/>
          <w:rFonts w:cs="Arial"/>
          <w:color w:val="000000" w:themeColor="text1"/>
        </w:rPr>
        <w:t>românesc</w:t>
      </w:r>
      <w:r w:rsidRPr="00E0488D">
        <w:t xml:space="preserve"> care </w:t>
      </w:r>
      <w:r w:rsidRPr="00E0488D">
        <w:rPr>
          <w:rStyle w:val="hps"/>
          <w:rFonts w:cs="Arial"/>
          <w:color w:val="000000" w:themeColor="text1"/>
        </w:rPr>
        <w:t>dispune de linii de cale ferată atât</w:t>
      </w:r>
      <w:r w:rsidRPr="00E0488D">
        <w:t xml:space="preserve"> cu ecartament de </w:t>
      </w:r>
      <w:r w:rsidRPr="00E0488D">
        <w:rPr>
          <w:rStyle w:val="hps"/>
          <w:rFonts w:cs="Arial"/>
          <w:color w:val="000000" w:themeColor="text1"/>
        </w:rPr>
        <w:t>1435</w:t>
      </w:r>
      <w:r w:rsidRPr="00E0488D">
        <w:t xml:space="preserve"> </w:t>
      </w:r>
      <w:r w:rsidRPr="00E0488D">
        <w:rPr>
          <w:rStyle w:val="hps"/>
          <w:rFonts w:cs="Arial"/>
          <w:color w:val="000000" w:themeColor="text1"/>
        </w:rPr>
        <w:t>(</w:t>
      </w:r>
      <w:r w:rsidRPr="00E0488D">
        <w:t xml:space="preserve">ecartament </w:t>
      </w:r>
      <w:r w:rsidRPr="00E0488D">
        <w:rPr>
          <w:rStyle w:val="hps"/>
          <w:rFonts w:cs="Arial"/>
          <w:color w:val="000000" w:themeColor="text1"/>
        </w:rPr>
        <w:t>european</w:t>
      </w:r>
      <w:r w:rsidRPr="00E0488D">
        <w:t xml:space="preserve">) cât </w:t>
      </w:r>
      <w:r w:rsidRPr="00E0488D">
        <w:rPr>
          <w:rStyle w:val="hps"/>
          <w:rFonts w:cs="Arial"/>
          <w:color w:val="000000" w:themeColor="text1"/>
        </w:rPr>
        <w:t>și</w:t>
      </w:r>
      <w:r w:rsidRPr="00E0488D">
        <w:t xml:space="preserve"> de </w:t>
      </w:r>
      <w:r w:rsidRPr="00E0488D">
        <w:rPr>
          <w:rStyle w:val="hps"/>
          <w:rFonts w:cs="Arial"/>
          <w:color w:val="000000" w:themeColor="text1"/>
        </w:rPr>
        <w:t>1520mm</w:t>
      </w:r>
      <w:r w:rsidRPr="00E0488D">
        <w:t xml:space="preserve"> </w:t>
      </w:r>
      <w:r w:rsidRPr="00E0488D">
        <w:rPr>
          <w:rStyle w:val="hps"/>
          <w:rFonts w:cs="Arial"/>
          <w:color w:val="000000" w:themeColor="text1"/>
        </w:rPr>
        <w:t>(</w:t>
      </w:r>
      <w:r w:rsidRPr="00E0488D">
        <w:t>ecartament rusesc)</w:t>
      </w:r>
      <w:r w:rsidRPr="00E0488D">
        <w:rPr>
          <w:rStyle w:val="hps"/>
          <w:rFonts w:cs="Arial"/>
          <w:color w:val="000000" w:themeColor="text1"/>
        </w:rPr>
        <w:t>.</w:t>
      </w:r>
      <w:r w:rsidRPr="00E0488D">
        <w:t xml:space="preserve"> </w:t>
      </w:r>
    </w:p>
    <w:p w:rsidR="00BD59B2" w:rsidRPr="00E0488D" w:rsidRDefault="00BD59B2" w:rsidP="00BD59B2">
      <w:pPr>
        <w:pStyle w:val="Hdg3"/>
      </w:pPr>
      <w:r w:rsidRPr="00E0488D">
        <w:t>Tranport feroviar</w:t>
      </w:r>
    </w:p>
    <w:p w:rsidR="00BD59B2" w:rsidRPr="00E0488D" w:rsidRDefault="00BD59B2" w:rsidP="002B7E09">
      <w:pPr>
        <w:pStyle w:val="NumberedParas"/>
      </w:pPr>
      <w:r w:rsidRPr="00E0488D">
        <w:rPr>
          <w:rStyle w:val="hps"/>
          <w:rFonts w:cs="Arial"/>
          <w:color w:val="000000" w:themeColor="text1"/>
        </w:rPr>
        <w:t>CFR Marfă</w:t>
      </w:r>
      <w:r w:rsidRPr="00E0488D">
        <w:t xml:space="preserve"> </w:t>
      </w:r>
      <w:r w:rsidRPr="00E0488D">
        <w:rPr>
          <w:rStyle w:val="hps"/>
          <w:rFonts w:cs="Arial"/>
          <w:color w:val="000000" w:themeColor="text1"/>
        </w:rPr>
        <w:t>ne-a pus la dispoziție informații</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cele 14</w:t>
      </w:r>
      <w:r w:rsidRPr="00E0488D">
        <w:t xml:space="preserv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active care le aparțin.</w:t>
      </w:r>
      <w:r w:rsidRPr="00E0488D">
        <w:t xml:space="preserve"> </w:t>
      </w:r>
      <w:r w:rsidRPr="00E0488D">
        <w:rPr>
          <w:rStyle w:val="hps"/>
          <w:rFonts w:cs="Arial"/>
          <w:color w:val="000000" w:themeColor="text1"/>
        </w:rPr>
        <w:t>(</w:t>
      </w:r>
      <w:r w:rsidRPr="00E0488D">
        <w:t xml:space="preserve">12 </w:t>
      </w:r>
      <w:r w:rsidRPr="00E0488D">
        <w:rPr>
          <w:rStyle w:val="hps"/>
          <w:rFonts w:cs="Arial"/>
          <w:color w:val="000000" w:themeColor="text1"/>
        </w:rPr>
        <w:t>sunt inactive</w:t>
      </w:r>
      <w:r w:rsidRPr="00E0488D">
        <w:t xml:space="preserve">). </w:t>
      </w:r>
      <w:r w:rsidRPr="00E0488D">
        <w:rPr>
          <w:rStyle w:val="hps"/>
          <w:rFonts w:cs="Arial"/>
          <w:color w:val="000000" w:themeColor="text1"/>
        </w:rPr>
        <w:t>Tabelele 8.4 și 8.5</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detalii cu privire la</w:t>
      </w:r>
      <w:r w:rsidRPr="00E0488D">
        <w:t xml:space="preserve"> </w:t>
      </w:r>
      <w:r w:rsidRPr="00E0488D">
        <w:rPr>
          <w:rStyle w:val="hps"/>
          <w:rFonts w:cs="Arial"/>
          <w:color w:val="000000" w:themeColor="text1"/>
        </w:rPr>
        <w:t>aceste terminale</w:t>
      </w:r>
      <w:r w:rsidRPr="00E0488D">
        <w:t>.</w:t>
      </w:r>
    </w:p>
    <w:p w:rsidR="00BD59B2" w:rsidRPr="00E0488D" w:rsidRDefault="00BD59B2" w:rsidP="00BD59B2">
      <w:pPr>
        <w:pStyle w:val="Body"/>
        <w:spacing w:before="120" w:after="120"/>
        <w:ind w:left="851"/>
        <w:rPr>
          <w:rFonts w:cs="Arial"/>
          <w:b/>
          <w:i w:val="0"/>
          <w:lang w:val="ro-RO"/>
        </w:rPr>
      </w:pPr>
      <w:r w:rsidRPr="00E0488D">
        <w:rPr>
          <w:rFonts w:cs="Arial"/>
          <w:b/>
          <w:i w:val="0"/>
          <w:lang w:val="ro-RO"/>
        </w:rPr>
        <w:t xml:space="preserve">Tabelul 8.4 Locația terminalelor intermodale de marfă ale CFR Marfă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2"/>
        <w:gridCol w:w="3026"/>
        <w:gridCol w:w="3310"/>
        <w:gridCol w:w="3089"/>
      </w:tblGrid>
      <w:tr w:rsidR="00BD59B2" w:rsidRPr="00E0488D" w:rsidTr="009972B3">
        <w:trPr>
          <w:trHeight w:val="568"/>
          <w:tblHeader/>
        </w:trPr>
        <w:tc>
          <w:tcPr>
            <w:tcW w:w="515" w:type="pct"/>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Nr.</w:t>
            </w:r>
          </w:p>
        </w:tc>
        <w:tc>
          <w:tcPr>
            <w:tcW w:w="1440" w:type="pct"/>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Terminal</w:t>
            </w:r>
          </w:p>
        </w:tc>
        <w:tc>
          <w:tcPr>
            <w:tcW w:w="1575" w:type="pct"/>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 xml:space="preserve">Macarale </w:t>
            </w:r>
          </w:p>
        </w:tc>
        <w:tc>
          <w:tcPr>
            <w:tcW w:w="1470" w:type="pct"/>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Stadiul curent</w:t>
            </w:r>
          </w:p>
        </w:tc>
      </w:tr>
      <w:tr w:rsidR="00BD59B2" w:rsidRPr="00E0488D" w:rsidTr="009972B3">
        <w:trPr>
          <w:trHeight w:val="420"/>
        </w:trPr>
        <w:tc>
          <w:tcPr>
            <w:tcW w:w="515" w:type="pct"/>
            <w:vAlign w:val="center"/>
          </w:tcPr>
          <w:p w:rsidR="00BD59B2" w:rsidRPr="00E0488D" w:rsidRDefault="00BD59B2" w:rsidP="009972B3">
            <w:pPr>
              <w:jc w:val="center"/>
              <w:rPr>
                <w:sz w:val="22"/>
                <w:szCs w:val="22"/>
                <w:lang w:val="ro-RO"/>
              </w:rPr>
            </w:pPr>
            <w:r w:rsidRPr="00E0488D">
              <w:rPr>
                <w:sz w:val="22"/>
                <w:szCs w:val="22"/>
                <w:lang w:val="ro-RO"/>
              </w:rPr>
              <w:t>1</w:t>
            </w:r>
          </w:p>
        </w:tc>
        <w:tc>
          <w:tcPr>
            <w:tcW w:w="1440" w:type="pct"/>
            <w:vAlign w:val="center"/>
          </w:tcPr>
          <w:p w:rsidR="00BD59B2" w:rsidRPr="00E0488D" w:rsidRDefault="00BD59B2" w:rsidP="009972B3">
            <w:pPr>
              <w:rPr>
                <w:sz w:val="22"/>
                <w:szCs w:val="22"/>
                <w:lang w:val="ro-RO"/>
              </w:rPr>
            </w:pPr>
            <w:r w:rsidRPr="00E0488D">
              <w:rPr>
                <w:sz w:val="22"/>
                <w:szCs w:val="22"/>
                <w:lang w:val="ro-RO"/>
              </w:rPr>
              <w:t>Bucurestii Noi</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4 macarale (1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w:t>
            </w:r>
          </w:p>
        </w:tc>
        <w:tc>
          <w:tcPr>
            <w:tcW w:w="1440" w:type="pct"/>
            <w:vAlign w:val="center"/>
          </w:tcPr>
          <w:p w:rsidR="00BD59B2" w:rsidRPr="00E0488D" w:rsidRDefault="00BD59B2" w:rsidP="009972B3">
            <w:pPr>
              <w:rPr>
                <w:sz w:val="22"/>
                <w:szCs w:val="22"/>
                <w:lang w:val="ro-RO"/>
              </w:rPr>
            </w:pPr>
            <w:r w:rsidRPr="00E0488D">
              <w:rPr>
                <w:sz w:val="22"/>
                <w:szCs w:val="22"/>
                <w:lang w:val="ro-RO"/>
              </w:rPr>
              <w:t>Bucuresti Sud ( Titan )</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3 macarale (1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3</w:t>
            </w:r>
          </w:p>
        </w:tc>
        <w:tc>
          <w:tcPr>
            <w:tcW w:w="1440" w:type="pct"/>
            <w:vAlign w:val="center"/>
          </w:tcPr>
          <w:p w:rsidR="00BD59B2" w:rsidRPr="00E0488D" w:rsidRDefault="00BD59B2" w:rsidP="009972B3">
            <w:pPr>
              <w:rPr>
                <w:sz w:val="22"/>
                <w:szCs w:val="22"/>
                <w:lang w:val="ro-RO"/>
              </w:rPr>
            </w:pPr>
            <w:r w:rsidRPr="00E0488D">
              <w:rPr>
                <w:sz w:val="22"/>
                <w:szCs w:val="22"/>
                <w:lang w:val="ro-RO"/>
              </w:rPr>
              <w:t>Bucuresti Progresu</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conservare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Închis</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4</w:t>
            </w:r>
          </w:p>
        </w:tc>
        <w:tc>
          <w:tcPr>
            <w:tcW w:w="1440" w:type="pct"/>
            <w:vAlign w:val="center"/>
          </w:tcPr>
          <w:p w:rsidR="00BD59B2" w:rsidRPr="00E0488D" w:rsidRDefault="00BD59B2" w:rsidP="009972B3">
            <w:pPr>
              <w:rPr>
                <w:sz w:val="22"/>
                <w:szCs w:val="22"/>
                <w:lang w:val="ro-RO"/>
              </w:rPr>
            </w:pPr>
            <w:r w:rsidRPr="00E0488D">
              <w:rPr>
                <w:sz w:val="22"/>
                <w:szCs w:val="22"/>
                <w:lang w:val="ro-RO"/>
              </w:rPr>
              <w:t>Ploiesti Crang</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3 macarale (1 activă)</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5</w:t>
            </w:r>
          </w:p>
        </w:tc>
        <w:tc>
          <w:tcPr>
            <w:tcW w:w="1440" w:type="pct"/>
            <w:vAlign w:val="center"/>
          </w:tcPr>
          <w:p w:rsidR="00BD59B2" w:rsidRPr="00E0488D" w:rsidRDefault="00BD59B2" w:rsidP="009972B3">
            <w:pPr>
              <w:rPr>
                <w:sz w:val="22"/>
                <w:szCs w:val="22"/>
                <w:lang w:val="ro-RO"/>
              </w:rPr>
            </w:pPr>
            <w:r w:rsidRPr="00E0488D">
              <w:rPr>
                <w:sz w:val="22"/>
                <w:szCs w:val="22"/>
                <w:lang w:val="ro-RO"/>
              </w:rPr>
              <w:t>Bradu de Sus</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macarale în funcțiune</w:t>
            </w:r>
          </w:p>
        </w:tc>
        <w:tc>
          <w:tcPr>
            <w:tcW w:w="1470" w:type="pct"/>
          </w:tcPr>
          <w:p w:rsidR="00BD59B2" w:rsidRPr="00E0488D" w:rsidRDefault="00BD59B2" w:rsidP="009972B3">
            <w:pPr>
              <w:jc w:val="center"/>
              <w:rPr>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6</w:t>
            </w:r>
          </w:p>
        </w:tc>
        <w:tc>
          <w:tcPr>
            <w:tcW w:w="1440" w:type="pct"/>
            <w:vAlign w:val="center"/>
          </w:tcPr>
          <w:p w:rsidR="00BD59B2" w:rsidRPr="00E0488D" w:rsidRDefault="00BD59B2" w:rsidP="009972B3">
            <w:pPr>
              <w:rPr>
                <w:sz w:val="22"/>
                <w:szCs w:val="22"/>
                <w:lang w:val="ro-RO"/>
              </w:rPr>
            </w:pPr>
            <w:r w:rsidRPr="00E0488D">
              <w:rPr>
                <w:sz w:val="22"/>
                <w:szCs w:val="22"/>
                <w:lang w:val="ro-RO"/>
              </w:rPr>
              <w:t>Bujoreni Valcea</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macarale (1 în funcțiune, 1 nu funcționează)</w:t>
            </w:r>
          </w:p>
        </w:tc>
        <w:tc>
          <w:tcPr>
            <w:tcW w:w="1470" w:type="pct"/>
          </w:tcPr>
          <w:p w:rsidR="00BD59B2" w:rsidRPr="00E0488D" w:rsidRDefault="00BD59B2" w:rsidP="009972B3">
            <w:pPr>
              <w:jc w:val="center"/>
              <w:rPr>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7</w:t>
            </w:r>
          </w:p>
        </w:tc>
        <w:tc>
          <w:tcPr>
            <w:tcW w:w="1440" w:type="pct"/>
            <w:vAlign w:val="center"/>
          </w:tcPr>
          <w:p w:rsidR="00BD59B2" w:rsidRPr="00E0488D" w:rsidRDefault="00BD59B2" w:rsidP="009972B3">
            <w:pPr>
              <w:rPr>
                <w:sz w:val="22"/>
                <w:szCs w:val="22"/>
                <w:lang w:val="ro-RO"/>
              </w:rPr>
            </w:pPr>
            <w:r w:rsidRPr="00E0488D">
              <w:rPr>
                <w:sz w:val="22"/>
                <w:szCs w:val="22"/>
                <w:lang w:val="ro-RO"/>
              </w:rPr>
              <w:t>Craiova</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3 macarale care nu funcționează (1 in conservare)</w:t>
            </w:r>
          </w:p>
        </w:tc>
        <w:tc>
          <w:tcPr>
            <w:tcW w:w="1470" w:type="pct"/>
          </w:tcPr>
          <w:p w:rsidR="00BD59B2" w:rsidRPr="00E0488D" w:rsidRDefault="00BD59B2" w:rsidP="009972B3">
            <w:pPr>
              <w:jc w:val="center"/>
              <w:rPr>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8</w:t>
            </w:r>
          </w:p>
        </w:tc>
        <w:tc>
          <w:tcPr>
            <w:tcW w:w="1440" w:type="pct"/>
            <w:vAlign w:val="center"/>
          </w:tcPr>
          <w:p w:rsidR="00BD59B2" w:rsidRPr="00E0488D" w:rsidRDefault="00BD59B2" w:rsidP="009972B3">
            <w:pPr>
              <w:rPr>
                <w:sz w:val="22"/>
                <w:szCs w:val="22"/>
                <w:lang w:val="ro-RO"/>
              </w:rPr>
            </w:pPr>
            <w:r w:rsidRPr="00E0488D">
              <w:rPr>
                <w:sz w:val="22"/>
                <w:szCs w:val="22"/>
                <w:lang w:val="ro-RO"/>
              </w:rPr>
              <w:t>Semenic</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3 macarale (2 în funcțiune)</w:t>
            </w:r>
          </w:p>
        </w:tc>
        <w:tc>
          <w:tcPr>
            <w:tcW w:w="1470" w:type="pct"/>
          </w:tcPr>
          <w:p w:rsidR="00BD59B2" w:rsidRPr="00E0488D" w:rsidRDefault="00BD59B2" w:rsidP="009972B3">
            <w:pPr>
              <w:jc w:val="center"/>
              <w:rPr>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9</w:t>
            </w:r>
          </w:p>
        </w:tc>
        <w:tc>
          <w:tcPr>
            <w:tcW w:w="1440" w:type="pct"/>
            <w:vAlign w:val="center"/>
          </w:tcPr>
          <w:p w:rsidR="00BD59B2" w:rsidRPr="00E0488D" w:rsidRDefault="00BD59B2" w:rsidP="009972B3">
            <w:pPr>
              <w:rPr>
                <w:sz w:val="22"/>
                <w:szCs w:val="22"/>
                <w:lang w:val="ro-RO"/>
              </w:rPr>
            </w:pPr>
            <w:r w:rsidRPr="00E0488D">
              <w:rPr>
                <w:sz w:val="22"/>
                <w:szCs w:val="22"/>
                <w:lang w:val="ro-RO"/>
              </w:rPr>
              <w:t>Glogovat</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macarele care nu funcționează</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Închis</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10</w:t>
            </w:r>
          </w:p>
        </w:tc>
        <w:tc>
          <w:tcPr>
            <w:tcW w:w="1440" w:type="pct"/>
            <w:vAlign w:val="center"/>
          </w:tcPr>
          <w:p w:rsidR="00BD59B2" w:rsidRPr="00E0488D" w:rsidRDefault="00BD59B2" w:rsidP="009972B3">
            <w:pPr>
              <w:rPr>
                <w:sz w:val="22"/>
                <w:szCs w:val="22"/>
                <w:lang w:val="ro-RO"/>
              </w:rPr>
            </w:pPr>
            <w:r w:rsidRPr="00E0488D">
              <w:rPr>
                <w:sz w:val="22"/>
                <w:szCs w:val="22"/>
                <w:lang w:val="ro-RO"/>
              </w:rPr>
              <w:t>Cluj Napoca Est</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rPr>
          <w:trHeight w:val="278"/>
        </w:trPr>
        <w:tc>
          <w:tcPr>
            <w:tcW w:w="515" w:type="pct"/>
            <w:vAlign w:val="center"/>
          </w:tcPr>
          <w:p w:rsidR="00BD59B2" w:rsidRPr="00E0488D" w:rsidRDefault="00BD59B2" w:rsidP="009972B3">
            <w:pPr>
              <w:jc w:val="center"/>
              <w:rPr>
                <w:sz w:val="22"/>
                <w:szCs w:val="22"/>
                <w:lang w:val="ro-RO"/>
              </w:rPr>
            </w:pPr>
            <w:r w:rsidRPr="00E0488D">
              <w:rPr>
                <w:sz w:val="22"/>
                <w:szCs w:val="22"/>
                <w:lang w:val="ro-RO"/>
              </w:rPr>
              <w:t>11</w:t>
            </w:r>
          </w:p>
        </w:tc>
        <w:tc>
          <w:tcPr>
            <w:tcW w:w="1440" w:type="pct"/>
            <w:vAlign w:val="center"/>
          </w:tcPr>
          <w:p w:rsidR="00BD59B2" w:rsidRPr="00E0488D" w:rsidRDefault="00BD59B2" w:rsidP="009972B3">
            <w:pPr>
              <w:rPr>
                <w:sz w:val="22"/>
                <w:szCs w:val="22"/>
                <w:lang w:val="ro-RO"/>
              </w:rPr>
            </w:pPr>
            <w:r w:rsidRPr="00E0488D">
              <w:rPr>
                <w:sz w:val="22"/>
                <w:szCs w:val="22"/>
                <w:lang w:val="ro-RO"/>
              </w:rPr>
              <w:t>Oradea Est</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macarale (1 în conservare și 1 aprobată pentru eliminare)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12</w:t>
            </w:r>
          </w:p>
        </w:tc>
        <w:tc>
          <w:tcPr>
            <w:tcW w:w="1440" w:type="pct"/>
            <w:vAlign w:val="center"/>
          </w:tcPr>
          <w:p w:rsidR="00BD59B2" w:rsidRPr="00E0488D" w:rsidRDefault="00BD59B2" w:rsidP="009972B3">
            <w:pPr>
              <w:rPr>
                <w:sz w:val="22"/>
                <w:szCs w:val="22"/>
                <w:lang w:val="ro-RO"/>
              </w:rPr>
            </w:pPr>
            <w:r w:rsidRPr="00E0488D">
              <w:rPr>
                <w:sz w:val="22"/>
                <w:szCs w:val="22"/>
                <w:lang w:val="ro-RO"/>
              </w:rPr>
              <w:t>Bistrita Nord</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13</w:t>
            </w:r>
          </w:p>
        </w:tc>
        <w:tc>
          <w:tcPr>
            <w:tcW w:w="1440" w:type="pct"/>
            <w:vAlign w:val="center"/>
          </w:tcPr>
          <w:p w:rsidR="00BD59B2" w:rsidRPr="00E0488D" w:rsidRDefault="00BD59B2" w:rsidP="009972B3">
            <w:pPr>
              <w:rPr>
                <w:sz w:val="22"/>
                <w:szCs w:val="22"/>
                <w:lang w:val="ro-RO"/>
              </w:rPr>
            </w:pPr>
            <w:r w:rsidRPr="00E0488D">
              <w:rPr>
                <w:sz w:val="22"/>
                <w:szCs w:val="22"/>
                <w:lang w:val="ro-RO"/>
              </w:rPr>
              <w:t>Baia Mare</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macarale (1în conservare și 1 aprobată pentru eliminare)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Închis</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14</w:t>
            </w:r>
          </w:p>
        </w:tc>
        <w:tc>
          <w:tcPr>
            <w:tcW w:w="1440" w:type="pct"/>
            <w:vAlign w:val="center"/>
          </w:tcPr>
          <w:p w:rsidR="00BD59B2" w:rsidRPr="00E0488D" w:rsidRDefault="00BD59B2" w:rsidP="009972B3">
            <w:pPr>
              <w:rPr>
                <w:sz w:val="22"/>
                <w:szCs w:val="22"/>
                <w:lang w:val="ro-RO"/>
              </w:rPr>
            </w:pPr>
            <w:r w:rsidRPr="00E0488D">
              <w:rPr>
                <w:sz w:val="22"/>
                <w:szCs w:val="22"/>
                <w:lang w:val="ro-RO"/>
              </w:rPr>
              <w:t>Turda</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15</w:t>
            </w:r>
          </w:p>
        </w:tc>
        <w:tc>
          <w:tcPr>
            <w:tcW w:w="1440" w:type="pct"/>
            <w:vAlign w:val="center"/>
          </w:tcPr>
          <w:p w:rsidR="00BD59B2" w:rsidRPr="00E0488D" w:rsidRDefault="00BD59B2" w:rsidP="009972B3">
            <w:pPr>
              <w:rPr>
                <w:sz w:val="22"/>
                <w:szCs w:val="22"/>
                <w:lang w:val="ro-RO"/>
              </w:rPr>
            </w:pPr>
            <w:r w:rsidRPr="00E0488D">
              <w:rPr>
                <w:sz w:val="22"/>
                <w:szCs w:val="22"/>
                <w:lang w:val="ro-RO"/>
              </w:rPr>
              <w:t>Zalau Nord</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16</w:t>
            </w:r>
          </w:p>
        </w:tc>
        <w:tc>
          <w:tcPr>
            <w:tcW w:w="1440" w:type="pct"/>
            <w:vAlign w:val="center"/>
          </w:tcPr>
          <w:p w:rsidR="00BD59B2" w:rsidRPr="00E0488D" w:rsidRDefault="00BD59B2" w:rsidP="009972B3">
            <w:pPr>
              <w:rPr>
                <w:sz w:val="22"/>
                <w:szCs w:val="22"/>
                <w:lang w:val="ro-RO"/>
              </w:rPr>
            </w:pPr>
            <w:r w:rsidRPr="00E0488D">
              <w:rPr>
                <w:sz w:val="22"/>
                <w:szCs w:val="22"/>
                <w:lang w:val="ro-RO"/>
              </w:rPr>
              <w:t>Brasov Triaj</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macarale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17</w:t>
            </w:r>
          </w:p>
        </w:tc>
        <w:tc>
          <w:tcPr>
            <w:tcW w:w="1440" w:type="pct"/>
            <w:vAlign w:val="center"/>
          </w:tcPr>
          <w:p w:rsidR="00BD59B2" w:rsidRPr="00E0488D" w:rsidRDefault="00BD59B2" w:rsidP="009972B3">
            <w:pPr>
              <w:rPr>
                <w:sz w:val="22"/>
                <w:szCs w:val="22"/>
                <w:lang w:val="ro-RO"/>
              </w:rPr>
            </w:pPr>
            <w:r w:rsidRPr="00E0488D">
              <w:rPr>
                <w:sz w:val="22"/>
                <w:szCs w:val="22"/>
                <w:lang w:val="ro-RO"/>
              </w:rPr>
              <w:t>Medias</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18</w:t>
            </w:r>
          </w:p>
        </w:tc>
        <w:tc>
          <w:tcPr>
            <w:tcW w:w="1440" w:type="pct"/>
            <w:vAlign w:val="center"/>
          </w:tcPr>
          <w:p w:rsidR="00BD59B2" w:rsidRPr="00E0488D" w:rsidRDefault="00BD59B2" w:rsidP="009972B3">
            <w:pPr>
              <w:rPr>
                <w:sz w:val="22"/>
                <w:szCs w:val="22"/>
                <w:lang w:val="ro-RO"/>
              </w:rPr>
            </w:pPr>
            <w:r w:rsidRPr="00E0488D">
              <w:rPr>
                <w:sz w:val="22"/>
                <w:szCs w:val="22"/>
                <w:lang w:val="ro-RO"/>
              </w:rPr>
              <w:t>Sibiu</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conservare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Closed</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19</w:t>
            </w:r>
          </w:p>
        </w:tc>
        <w:tc>
          <w:tcPr>
            <w:tcW w:w="1440" w:type="pct"/>
            <w:vAlign w:val="center"/>
          </w:tcPr>
          <w:p w:rsidR="00BD59B2" w:rsidRPr="00E0488D" w:rsidRDefault="00BD59B2" w:rsidP="009972B3">
            <w:pPr>
              <w:rPr>
                <w:sz w:val="22"/>
                <w:szCs w:val="22"/>
                <w:lang w:val="ro-RO"/>
              </w:rPr>
            </w:pPr>
            <w:r w:rsidRPr="00E0488D">
              <w:rPr>
                <w:sz w:val="22"/>
                <w:szCs w:val="22"/>
                <w:lang w:val="ro-RO"/>
              </w:rPr>
              <w:t>Targu Mures Sud</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conservare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Closed</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20</w:t>
            </w:r>
          </w:p>
        </w:tc>
        <w:tc>
          <w:tcPr>
            <w:tcW w:w="1440" w:type="pct"/>
            <w:vAlign w:val="center"/>
          </w:tcPr>
          <w:p w:rsidR="00BD59B2" w:rsidRPr="00E0488D" w:rsidRDefault="00BD59B2" w:rsidP="009972B3">
            <w:pPr>
              <w:rPr>
                <w:sz w:val="22"/>
                <w:szCs w:val="22"/>
                <w:lang w:val="ro-RO"/>
              </w:rPr>
            </w:pPr>
            <w:r w:rsidRPr="00E0488D">
              <w:rPr>
                <w:sz w:val="22"/>
                <w:szCs w:val="22"/>
                <w:lang w:val="ro-RO"/>
              </w:rPr>
              <w:t>Socola Marfuri (Iasi)</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Not currently active</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21</w:t>
            </w:r>
          </w:p>
        </w:tc>
        <w:tc>
          <w:tcPr>
            <w:tcW w:w="1440" w:type="pct"/>
            <w:vAlign w:val="center"/>
          </w:tcPr>
          <w:p w:rsidR="00BD59B2" w:rsidRPr="00E0488D" w:rsidRDefault="00BD59B2" w:rsidP="009972B3">
            <w:pPr>
              <w:rPr>
                <w:sz w:val="22"/>
                <w:szCs w:val="22"/>
                <w:lang w:val="ro-RO"/>
              </w:rPr>
            </w:pPr>
            <w:r w:rsidRPr="00E0488D">
              <w:rPr>
                <w:sz w:val="22"/>
                <w:szCs w:val="22"/>
                <w:lang w:val="ro-RO"/>
              </w:rPr>
              <w:t>Suceava</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22</w:t>
            </w:r>
          </w:p>
        </w:tc>
        <w:tc>
          <w:tcPr>
            <w:tcW w:w="1440" w:type="pct"/>
            <w:vAlign w:val="center"/>
          </w:tcPr>
          <w:p w:rsidR="00BD59B2" w:rsidRPr="00E0488D" w:rsidRDefault="00BD59B2" w:rsidP="009972B3">
            <w:pPr>
              <w:rPr>
                <w:sz w:val="22"/>
                <w:szCs w:val="22"/>
                <w:lang w:val="ro-RO"/>
              </w:rPr>
            </w:pPr>
            <w:r w:rsidRPr="00E0488D">
              <w:rPr>
                <w:sz w:val="22"/>
                <w:szCs w:val="22"/>
                <w:lang w:val="ro-RO"/>
              </w:rPr>
              <w:t>Bacau</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1 macara în funcțiune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Activ</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23</w:t>
            </w:r>
          </w:p>
        </w:tc>
        <w:tc>
          <w:tcPr>
            <w:tcW w:w="1440" w:type="pct"/>
            <w:vAlign w:val="center"/>
          </w:tcPr>
          <w:p w:rsidR="00BD59B2" w:rsidRPr="00E0488D" w:rsidRDefault="00BD59B2" w:rsidP="009972B3">
            <w:pPr>
              <w:rPr>
                <w:sz w:val="22"/>
                <w:szCs w:val="22"/>
                <w:lang w:val="ro-RO"/>
              </w:rPr>
            </w:pPr>
            <w:r w:rsidRPr="00E0488D">
              <w:rPr>
                <w:sz w:val="22"/>
                <w:szCs w:val="22"/>
                <w:lang w:val="ro-RO"/>
              </w:rPr>
              <w:t>Botosani</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Fără macarale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Închis</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24</w:t>
            </w:r>
          </w:p>
        </w:tc>
        <w:tc>
          <w:tcPr>
            <w:tcW w:w="1440" w:type="pct"/>
            <w:vAlign w:val="center"/>
          </w:tcPr>
          <w:p w:rsidR="00BD59B2" w:rsidRPr="00E0488D" w:rsidRDefault="00BD59B2" w:rsidP="009972B3">
            <w:pPr>
              <w:rPr>
                <w:sz w:val="22"/>
                <w:szCs w:val="22"/>
                <w:lang w:val="ro-RO"/>
              </w:rPr>
            </w:pPr>
            <w:r w:rsidRPr="00E0488D">
              <w:rPr>
                <w:sz w:val="22"/>
                <w:szCs w:val="22"/>
                <w:lang w:val="ro-RO"/>
              </w:rPr>
              <w:t>Galati Marfuri</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3 macarale în conservare</w:t>
            </w:r>
          </w:p>
        </w:tc>
        <w:tc>
          <w:tcPr>
            <w:tcW w:w="1470" w:type="pct"/>
          </w:tcPr>
          <w:p w:rsidR="00BD59B2" w:rsidRPr="00E0488D" w:rsidRDefault="00BD59B2" w:rsidP="009972B3">
            <w:pPr>
              <w:jc w:val="center"/>
              <w:rPr>
                <w:lang w:val="ro-RO"/>
              </w:rPr>
            </w:pPr>
            <w:r w:rsidRPr="00E0488D">
              <w:rPr>
                <w:sz w:val="22"/>
                <w:szCs w:val="22"/>
                <w:lang w:val="ro-RO"/>
              </w:rPr>
              <w:t>Nu este activ în prezent</w:t>
            </w:r>
          </w:p>
        </w:tc>
      </w:tr>
      <w:tr w:rsidR="00BD59B2" w:rsidRPr="00E0488D" w:rsidTr="009972B3">
        <w:trPr>
          <w:trHeight w:val="79"/>
        </w:trPr>
        <w:tc>
          <w:tcPr>
            <w:tcW w:w="515" w:type="pct"/>
            <w:vAlign w:val="center"/>
          </w:tcPr>
          <w:p w:rsidR="00BD59B2" w:rsidRPr="00E0488D" w:rsidRDefault="00BD59B2" w:rsidP="009972B3">
            <w:pPr>
              <w:jc w:val="center"/>
              <w:rPr>
                <w:sz w:val="22"/>
                <w:szCs w:val="22"/>
                <w:lang w:val="ro-RO"/>
              </w:rPr>
            </w:pPr>
            <w:r w:rsidRPr="00E0488D">
              <w:rPr>
                <w:sz w:val="22"/>
                <w:szCs w:val="22"/>
                <w:lang w:val="ro-RO"/>
              </w:rPr>
              <w:t>25</w:t>
            </w:r>
          </w:p>
        </w:tc>
        <w:tc>
          <w:tcPr>
            <w:tcW w:w="1440" w:type="pct"/>
            <w:vAlign w:val="center"/>
          </w:tcPr>
          <w:p w:rsidR="00BD59B2" w:rsidRPr="00E0488D" w:rsidRDefault="00BD59B2" w:rsidP="009972B3">
            <w:pPr>
              <w:rPr>
                <w:sz w:val="22"/>
                <w:szCs w:val="22"/>
                <w:lang w:val="ro-RO"/>
              </w:rPr>
            </w:pPr>
            <w:r w:rsidRPr="00E0488D">
              <w:rPr>
                <w:sz w:val="22"/>
                <w:szCs w:val="22"/>
                <w:lang w:val="ro-RO"/>
              </w:rPr>
              <w:t>Buzau Sud</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2 macarale (una în funcțiune și una în conservare)</w:t>
            </w:r>
          </w:p>
        </w:tc>
        <w:tc>
          <w:tcPr>
            <w:tcW w:w="1470" w:type="pct"/>
          </w:tcPr>
          <w:p w:rsidR="00BD59B2" w:rsidRPr="00E0488D" w:rsidRDefault="00BD59B2" w:rsidP="009972B3">
            <w:pPr>
              <w:jc w:val="center"/>
              <w:rPr>
                <w:lang w:val="ro-RO"/>
              </w:rPr>
            </w:pPr>
            <w:r w:rsidRPr="00E0488D">
              <w:rPr>
                <w:sz w:val="22"/>
                <w:szCs w:val="22"/>
                <w:lang w:val="ro-RO"/>
              </w:rPr>
              <w:t>Nu este activ în prezent</w:t>
            </w:r>
          </w:p>
        </w:tc>
      </w:tr>
      <w:tr w:rsidR="00BD59B2" w:rsidRPr="00E0488D" w:rsidTr="009972B3">
        <w:tc>
          <w:tcPr>
            <w:tcW w:w="515" w:type="pct"/>
            <w:vAlign w:val="center"/>
          </w:tcPr>
          <w:p w:rsidR="00BD59B2" w:rsidRPr="00E0488D" w:rsidRDefault="00BD59B2" w:rsidP="009972B3">
            <w:pPr>
              <w:jc w:val="center"/>
              <w:rPr>
                <w:sz w:val="22"/>
                <w:szCs w:val="22"/>
                <w:lang w:val="ro-RO"/>
              </w:rPr>
            </w:pPr>
            <w:r w:rsidRPr="00E0488D">
              <w:rPr>
                <w:sz w:val="22"/>
                <w:szCs w:val="22"/>
                <w:lang w:val="ro-RO"/>
              </w:rPr>
              <w:t>26</w:t>
            </w:r>
          </w:p>
        </w:tc>
        <w:tc>
          <w:tcPr>
            <w:tcW w:w="1440" w:type="pct"/>
            <w:vAlign w:val="center"/>
          </w:tcPr>
          <w:p w:rsidR="00BD59B2" w:rsidRPr="00E0488D" w:rsidRDefault="00BD59B2" w:rsidP="009972B3">
            <w:pPr>
              <w:rPr>
                <w:sz w:val="22"/>
                <w:szCs w:val="22"/>
                <w:lang w:val="ro-RO"/>
              </w:rPr>
            </w:pPr>
            <w:r w:rsidRPr="00E0488D">
              <w:rPr>
                <w:sz w:val="22"/>
                <w:szCs w:val="22"/>
                <w:lang w:val="ro-RO"/>
              </w:rPr>
              <w:t>Constanta Marfuri</w:t>
            </w:r>
          </w:p>
        </w:tc>
        <w:tc>
          <w:tcPr>
            <w:tcW w:w="1575" w:type="pct"/>
            <w:vAlign w:val="center"/>
          </w:tcPr>
          <w:p w:rsidR="00BD59B2" w:rsidRPr="00E0488D" w:rsidRDefault="00BD59B2" w:rsidP="009972B3">
            <w:pPr>
              <w:jc w:val="center"/>
              <w:rPr>
                <w:sz w:val="22"/>
                <w:szCs w:val="22"/>
                <w:lang w:val="ro-RO"/>
              </w:rPr>
            </w:pPr>
            <w:r w:rsidRPr="00E0488D">
              <w:rPr>
                <w:sz w:val="22"/>
                <w:szCs w:val="22"/>
                <w:lang w:val="ro-RO"/>
              </w:rPr>
              <w:t>Fără macarale, 3 macarale au fost mutate</w:t>
            </w:r>
          </w:p>
        </w:tc>
        <w:tc>
          <w:tcPr>
            <w:tcW w:w="1470" w:type="pct"/>
            <w:vAlign w:val="center"/>
          </w:tcPr>
          <w:p w:rsidR="00BD59B2" w:rsidRPr="00E0488D" w:rsidRDefault="00BD59B2" w:rsidP="009972B3">
            <w:pPr>
              <w:jc w:val="center"/>
              <w:rPr>
                <w:sz w:val="22"/>
                <w:szCs w:val="22"/>
                <w:lang w:val="ro-RO"/>
              </w:rPr>
            </w:pPr>
            <w:r w:rsidRPr="00E0488D">
              <w:rPr>
                <w:sz w:val="22"/>
                <w:szCs w:val="22"/>
                <w:lang w:val="ro-RO"/>
              </w:rPr>
              <w:t>Închis</w:t>
            </w:r>
          </w:p>
        </w:tc>
      </w:tr>
    </w:tbl>
    <w:p w:rsidR="00BD59B2" w:rsidRPr="00E0488D" w:rsidRDefault="00BD59B2" w:rsidP="00BD59B2">
      <w:pPr>
        <w:pStyle w:val="Body"/>
        <w:ind w:left="851"/>
        <w:rPr>
          <w:rFonts w:cs="Arial"/>
          <w:i w:val="0"/>
          <w:sz w:val="18"/>
          <w:szCs w:val="18"/>
          <w:lang w:val="ro-RO"/>
        </w:rPr>
      </w:pPr>
      <w:r w:rsidRPr="00E0488D">
        <w:rPr>
          <w:rFonts w:cs="Arial"/>
          <w:sz w:val="18"/>
          <w:szCs w:val="18"/>
          <w:lang w:val="ro-RO"/>
        </w:rPr>
        <w:t>Sursa: CFR Marfă, Martie 2013</w:t>
      </w:r>
    </w:p>
    <w:p w:rsidR="00BD59B2" w:rsidRPr="00E0488D" w:rsidRDefault="00BD59B2" w:rsidP="002B7E09">
      <w:pPr>
        <w:pStyle w:val="NumberedParas"/>
      </w:pPr>
      <w:r w:rsidRPr="00E0488D">
        <w:rPr>
          <w:rStyle w:val="hps"/>
          <w:rFonts w:cs="Arial"/>
          <w:color w:val="000000" w:themeColor="text1"/>
        </w:rPr>
        <w:t>Există câțiva alți</w:t>
      </w:r>
      <w:r w:rsidRPr="00E0488D">
        <w:t xml:space="preserve"> </w:t>
      </w:r>
      <w:r w:rsidRPr="00E0488D">
        <w:rPr>
          <w:rStyle w:val="hps"/>
          <w:rFonts w:cs="Arial"/>
          <w:color w:val="000000" w:themeColor="text1"/>
        </w:rPr>
        <w:t>proprietari de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publice</w:t>
      </w:r>
      <w:r w:rsidRPr="00E0488D">
        <w:t xml:space="preserve"> </w:t>
      </w:r>
      <w:r w:rsidRPr="00E0488D">
        <w:rPr>
          <w:rStyle w:val="hps"/>
          <w:rFonts w:cs="Arial"/>
          <w:color w:val="000000" w:themeColor="text1"/>
        </w:rPr>
        <w:t>sau operatori în mare parte asociate</w:t>
      </w:r>
      <w:r w:rsidRPr="00E0488D">
        <w:t xml:space="preserve"> </w:t>
      </w:r>
      <w:r w:rsidRPr="00E0488D">
        <w:rPr>
          <w:rStyle w:val="hps"/>
          <w:rFonts w:cs="Arial"/>
          <w:color w:val="000000" w:themeColor="text1"/>
        </w:rPr>
        <w:t>porturilor, iar</w:t>
      </w:r>
      <w:r w:rsidRPr="00E0488D">
        <w:t xml:space="preserve"> </w:t>
      </w:r>
      <w:r w:rsidRPr="00E0488D">
        <w:rPr>
          <w:rStyle w:val="hps"/>
          <w:rFonts w:cs="Arial"/>
          <w:color w:val="000000" w:themeColor="text1"/>
        </w:rPr>
        <w:t>tabelul de mai jos</w:t>
      </w:r>
      <w:r w:rsidRPr="00E0488D">
        <w:t xml:space="preserve"> </w:t>
      </w:r>
      <w:r w:rsidRPr="00E0488D">
        <w:rPr>
          <w:rStyle w:val="hps"/>
          <w:rFonts w:cs="Arial"/>
          <w:color w:val="000000" w:themeColor="text1"/>
        </w:rPr>
        <w:t>prezintă</w:t>
      </w:r>
      <w:r w:rsidRPr="00E0488D">
        <w:t xml:space="preserve"> </w:t>
      </w:r>
      <w:r w:rsidRPr="00E0488D">
        <w:rPr>
          <w:rStyle w:val="hps"/>
          <w:rFonts w:cs="Arial"/>
          <w:color w:val="000000" w:themeColor="text1"/>
        </w:rPr>
        <w:t>locația acestor</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DP World</w:t>
      </w:r>
      <w:r w:rsidRPr="00E0488D">
        <w:t xml:space="preserve">, </w:t>
      </w:r>
      <w:r w:rsidRPr="00E0488D">
        <w:rPr>
          <w:rStyle w:val="hps"/>
          <w:rFonts w:cs="Arial"/>
          <w:color w:val="000000" w:themeColor="text1"/>
        </w:rPr>
        <w:t>APM</w:t>
      </w:r>
      <w:r w:rsidRPr="00E0488D">
        <w:t xml:space="preserve">, </w:t>
      </w:r>
      <w:r w:rsidRPr="00E0488D">
        <w:rPr>
          <w:rStyle w:val="hps"/>
          <w:rFonts w:cs="Arial"/>
          <w:color w:val="000000" w:themeColor="text1"/>
        </w:rPr>
        <w:t>SOCEP</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UMEX</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operatori privați</w:t>
      </w:r>
      <w:r w:rsidRPr="00E0488D">
        <w:t xml:space="preserve"> </w:t>
      </w:r>
      <w:r w:rsidRPr="00E0488D">
        <w:rPr>
          <w:rStyle w:val="hps"/>
          <w:rFonts w:cs="Arial"/>
          <w:color w:val="000000" w:themeColor="text1"/>
        </w:rPr>
        <w:t>din portul</w:t>
      </w:r>
      <w:r w:rsidRPr="00E0488D">
        <w:t xml:space="preserve"> </w:t>
      </w:r>
      <w:r w:rsidRPr="00E0488D">
        <w:rPr>
          <w:rStyle w:val="hps"/>
          <w:rFonts w:cs="Arial"/>
          <w:color w:val="000000" w:themeColor="text1"/>
        </w:rPr>
        <w:t>public</w:t>
      </w:r>
      <w:r w:rsidRPr="00E0488D">
        <w:t xml:space="preserve"> </w:t>
      </w:r>
      <w:r w:rsidRPr="00E0488D">
        <w:rPr>
          <w:rStyle w:val="hps"/>
          <w:rFonts w:cs="Arial"/>
          <w:color w:val="000000" w:themeColor="text1"/>
        </w:rPr>
        <w:t>Constanta</w:t>
      </w:r>
      <w:r w:rsidRPr="00E0488D">
        <w:t>. Terminalul de containere DP World Constanța Sud operează în prezent 97% din traficul total de containere din port.</w:t>
      </w:r>
    </w:p>
    <w:p w:rsidR="00BD59B2" w:rsidRPr="00E0488D" w:rsidRDefault="00BD59B2" w:rsidP="002B7E09">
      <w:pPr>
        <w:pStyle w:val="NumberedParas"/>
      </w:pPr>
      <w:r w:rsidRPr="00E0488D">
        <w:t>Și în alte porturi din România, situate pe Dunăre, se operează în prezent containere, deși nu prin intermediului unor terminale specializate. Acestea sunt Galați, Tulcea, Brăila, Giurgiu, Călărași, Oltenița, Corabia, Drobeta Turnu-Severin, Calafat și Orșova (Figura 8.5).</w:t>
      </w:r>
    </w:p>
    <w:p w:rsidR="00BD59B2" w:rsidRPr="00E0488D" w:rsidRDefault="00BD59B2" w:rsidP="002B7E09">
      <w:pPr>
        <w:pStyle w:val="NumberedParas"/>
      </w:pPr>
      <w:r w:rsidRPr="00E0488D">
        <w:t>Există unele facilități de cale ferată și terminale intermodale administrate de către operatori privați, așa cum este prezentat în Tabelul 8.5.</w:t>
      </w:r>
    </w:p>
    <w:p w:rsidR="00BD59B2" w:rsidRPr="00E0488D" w:rsidRDefault="00BD59B2" w:rsidP="00BD59B2">
      <w:pPr>
        <w:pStyle w:val="Body"/>
        <w:ind w:left="851"/>
        <w:rPr>
          <w:rFonts w:cs="Arial"/>
          <w:b/>
          <w:i w:val="0"/>
          <w:lang w:val="ro-RO"/>
        </w:rPr>
      </w:pPr>
      <w:r w:rsidRPr="00E0488D">
        <w:rPr>
          <w:rFonts w:cs="Arial"/>
          <w:b/>
          <w:i w:val="0"/>
          <w:lang w:val="ro-RO"/>
        </w:rPr>
        <w:t>Tabelul 8.5 Locația terminalelor private de marfă</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4153"/>
        <w:gridCol w:w="1843"/>
      </w:tblGrid>
      <w:tr w:rsidR="00BD59B2" w:rsidRPr="00E0488D" w:rsidTr="009972B3">
        <w:trPr>
          <w:trHeight w:val="543"/>
          <w:tblHeader/>
        </w:trPr>
        <w:tc>
          <w:tcPr>
            <w:tcW w:w="936" w:type="dxa"/>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No.</w:t>
            </w:r>
          </w:p>
        </w:tc>
        <w:tc>
          <w:tcPr>
            <w:tcW w:w="4153" w:type="dxa"/>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Terminal</w:t>
            </w:r>
          </w:p>
        </w:tc>
        <w:tc>
          <w:tcPr>
            <w:tcW w:w="1843" w:type="dxa"/>
            <w:shd w:val="clear" w:color="auto" w:fill="C6D9F1"/>
            <w:vAlign w:val="center"/>
          </w:tcPr>
          <w:p w:rsidR="00BD59B2" w:rsidRPr="00E0488D" w:rsidRDefault="00BD59B2" w:rsidP="009972B3">
            <w:pPr>
              <w:jc w:val="center"/>
              <w:rPr>
                <w:b/>
                <w:sz w:val="22"/>
                <w:szCs w:val="22"/>
                <w:lang w:val="ro-RO"/>
              </w:rPr>
            </w:pPr>
            <w:r w:rsidRPr="00E0488D">
              <w:rPr>
                <w:b/>
                <w:sz w:val="22"/>
                <w:szCs w:val="22"/>
                <w:lang w:val="ro-RO"/>
              </w:rPr>
              <w:t>Locația</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1</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Europolis Park/Tibbett Logistics</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București</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2</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Comat Electro</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București</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3</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Parcul Industrial Faur</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București</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4</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Railport Arad</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Arad</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5</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Trade Trans Terminal</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Arad</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6</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DB Schenker Romtrans SA</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Arad</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7</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DB Schenker Romtrans SA</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Iași</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8</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Unicom Oil Rail Terminal</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Galați</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9</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DB Schenker Romtrans SA</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Oradea</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10</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Unicom Holding Halmeu</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Satu Mare</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11</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Unicom Holding Dornesti</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Suceava</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12</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Unicom Holding</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Mehedinți</w:t>
            </w:r>
          </w:p>
        </w:tc>
      </w:tr>
      <w:tr w:rsidR="00BD59B2" w:rsidRPr="00E0488D" w:rsidTr="009972B3">
        <w:trPr>
          <w:trHeight w:hRule="exact" w:val="454"/>
        </w:trPr>
        <w:tc>
          <w:tcPr>
            <w:tcW w:w="936" w:type="dxa"/>
            <w:vAlign w:val="center"/>
          </w:tcPr>
          <w:p w:rsidR="00BD59B2" w:rsidRPr="00E0488D" w:rsidRDefault="00BD59B2" w:rsidP="009972B3">
            <w:pPr>
              <w:jc w:val="center"/>
              <w:rPr>
                <w:sz w:val="22"/>
                <w:szCs w:val="22"/>
                <w:lang w:val="ro-RO"/>
              </w:rPr>
            </w:pPr>
            <w:r w:rsidRPr="00E0488D">
              <w:rPr>
                <w:sz w:val="22"/>
                <w:szCs w:val="22"/>
                <w:lang w:val="ro-RO"/>
              </w:rPr>
              <w:t>13</w:t>
            </w:r>
          </w:p>
        </w:tc>
        <w:tc>
          <w:tcPr>
            <w:tcW w:w="4153" w:type="dxa"/>
            <w:vAlign w:val="center"/>
          </w:tcPr>
          <w:p w:rsidR="00BD59B2" w:rsidRPr="00E0488D" w:rsidRDefault="00BD59B2" w:rsidP="009972B3">
            <w:pPr>
              <w:jc w:val="center"/>
              <w:rPr>
                <w:sz w:val="22"/>
                <w:szCs w:val="22"/>
                <w:lang w:val="ro-RO"/>
              </w:rPr>
            </w:pPr>
            <w:r w:rsidRPr="00E0488D">
              <w:rPr>
                <w:sz w:val="22"/>
                <w:szCs w:val="22"/>
                <w:lang w:val="ro-RO"/>
              </w:rPr>
              <w:t>Allianso Group</w:t>
            </w:r>
          </w:p>
        </w:tc>
        <w:tc>
          <w:tcPr>
            <w:tcW w:w="1843" w:type="dxa"/>
            <w:vAlign w:val="center"/>
          </w:tcPr>
          <w:p w:rsidR="00BD59B2" w:rsidRPr="00E0488D" w:rsidRDefault="00BD59B2" w:rsidP="009972B3">
            <w:pPr>
              <w:jc w:val="center"/>
              <w:rPr>
                <w:sz w:val="22"/>
                <w:szCs w:val="22"/>
                <w:lang w:val="ro-RO"/>
              </w:rPr>
            </w:pPr>
            <w:r w:rsidRPr="00E0488D">
              <w:rPr>
                <w:sz w:val="22"/>
                <w:szCs w:val="22"/>
                <w:lang w:val="ro-RO"/>
              </w:rPr>
              <w:t>Ploiești</w:t>
            </w:r>
          </w:p>
        </w:tc>
      </w:tr>
    </w:tbl>
    <w:p w:rsidR="00BD59B2" w:rsidRPr="00E0488D" w:rsidRDefault="00BD59B2" w:rsidP="00BD59B2">
      <w:pPr>
        <w:pStyle w:val="Frspaiere1"/>
        <w:ind w:left="851"/>
        <w:rPr>
          <w:rFonts w:ascii="Arial" w:hAnsi="Arial" w:cs="Arial"/>
          <w:i/>
          <w:sz w:val="18"/>
          <w:szCs w:val="18"/>
          <w:lang w:val="ro-RO"/>
        </w:rPr>
      </w:pPr>
      <w:r w:rsidRPr="00E0488D">
        <w:rPr>
          <w:rFonts w:ascii="Arial" w:hAnsi="Arial" w:cs="Arial"/>
          <w:i/>
          <w:sz w:val="18"/>
          <w:szCs w:val="18"/>
          <w:lang w:val="ro-RO"/>
        </w:rPr>
        <w:t xml:space="preserve">Sursa: Analiza AECOM </w:t>
      </w:r>
    </w:p>
    <w:p w:rsidR="00BD59B2" w:rsidRPr="00E0488D" w:rsidRDefault="00BD59B2" w:rsidP="00BD59B2">
      <w:pPr>
        <w:spacing w:line="276" w:lineRule="auto"/>
        <w:rPr>
          <w:sz w:val="22"/>
          <w:szCs w:val="22"/>
          <w:lang w:val="ro-RO"/>
        </w:rPr>
      </w:pPr>
    </w:p>
    <w:p w:rsidR="00BD59B2" w:rsidRPr="00E0488D" w:rsidRDefault="00BD59B2" w:rsidP="002B7E09">
      <w:pPr>
        <w:pStyle w:val="NumberedParas"/>
      </w:pPr>
      <w:r w:rsidRPr="00E0488D">
        <w:t>O parte dintre aceste terminale sunt asociate facilităților industriale locale sau lanțurilor de producție și nu fac obiectul analizei de față. Altele oferă facilități disponibile tuturor pentru operarea containerelor, iar în aceste situații (cum ar fi cele localizate la Arad, București și Ploiești) am luat în considerare capacitățile acestora în cadrul elaborării Master Planului.</w:t>
      </w:r>
    </w:p>
    <w:p w:rsidR="00BD59B2" w:rsidRPr="00E0488D" w:rsidRDefault="00BD59B2" w:rsidP="00BD59B2">
      <w:pPr>
        <w:spacing w:line="276" w:lineRule="auto"/>
        <w:rPr>
          <w:sz w:val="22"/>
          <w:szCs w:val="22"/>
          <w:lang w:val="ro-RO"/>
        </w:rPr>
      </w:pPr>
    </w:p>
    <w:p w:rsidR="00BD59B2" w:rsidRPr="00E0488D" w:rsidRDefault="00BD59B2" w:rsidP="00BD59B2">
      <w:pPr>
        <w:spacing w:line="276" w:lineRule="auto"/>
        <w:rPr>
          <w:sz w:val="22"/>
          <w:szCs w:val="22"/>
          <w:lang w:val="ro-RO"/>
        </w:rPr>
        <w:sectPr w:rsidR="00BD59B2" w:rsidRPr="00E0488D" w:rsidSect="00933C17">
          <w:headerReference w:type="default" r:id="rId311"/>
          <w:pgSz w:w="11907" w:h="16840" w:code="9"/>
          <w:pgMar w:top="1418" w:right="709" w:bottom="1418" w:left="907" w:header="357" w:footer="567" w:gutter="0"/>
          <w:cols w:space="187"/>
          <w:docGrid w:linePitch="360"/>
        </w:sectPr>
      </w:pPr>
    </w:p>
    <w:p w:rsidR="00BD59B2" w:rsidRPr="00E0488D" w:rsidRDefault="00BD59B2" w:rsidP="00BD59B2">
      <w:pPr>
        <w:spacing w:line="276" w:lineRule="auto"/>
        <w:rPr>
          <w:sz w:val="22"/>
          <w:szCs w:val="22"/>
          <w:lang w:val="ro-RO"/>
        </w:rPr>
      </w:pPr>
      <w:r w:rsidRPr="00E0488D">
        <w:rPr>
          <w:sz w:val="22"/>
          <w:szCs w:val="22"/>
          <w:lang w:val="ro-RO"/>
        </w:rPr>
        <w:t>\</w:t>
      </w:r>
    </w:p>
    <w:p w:rsidR="00BD59B2" w:rsidRPr="00E0488D" w:rsidRDefault="00BD59B2" w:rsidP="00BD59B2">
      <w:pPr>
        <w:spacing w:line="276" w:lineRule="auto"/>
        <w:rPr>
          <w:sz w:val="22"/>
          <w:szCs w:val="22"/>
          <w:lang w:val="ro-RO"/>
        </w:rPr>
      </w:pPr>
      <w:r w:rsidRPr="00E0488D">
        <w:rPr>
          <w:noProof/>
          <w:sz w:val="22"/>
          <w:szCs w:val="22"/>
          <w:lang w:val="ro-RO" w:eastAsia="ro-RO"/>
        </w:rPr>
        <w:drawing>
          <wp:inline distT="0" distB="0" distL="0" distR="0">
            <wp:extent cx="8890370" cy="5486400"/>
            <wp:effectExtent l="19050" t="0" r="5980" b="0"/>
            <wp:docPr id="311" name="Picture 1" descr="C:\Documents and Settings\stroumtsasi\Desktop\Ports and Termin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roumtsasi\Desktop\Ports and Terminals.JPG"/>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8892540" cy="5487739"/>
                    </a:xfrm>
                    <a:prstGeom prst="rect">
                      <a:avLst/>
                    </a:prstGeom>
                    <a:noFill/>
                    <a:ln w="9525">
                      <a:noFill/>
                      <a:miter lim="800000"/>
                      <a:headEnd/>
                      <a:tailEnd/>
                    </a:ln>
                  </pic:spPr>
                </pic:pic>
              </a:graphicData>
            </a:graphic>
          </wp:inline>
        </w:drawing>
      </w:r>
    </w:p>
    <w:p w:rsidR="00BD59B2" w:rsidRPr="00E0488D" w:rsidRDefault="00BD59B2" w:rsidP="00BD59B2">
      <w:pPr>
        <w:spacing w:line="276" w:lineRule="auto"/>
        <w:rPr>
          <w:b/>
          <w:sz w:val="22"/>
          <w:szCs w:val="22"/>
          <w:lang w:val="ro-RO"/>
        </w:rPr>
      </w:pPr>
      <w:r w:rsidRPr="00E0488D">
        <w:rPr>
          <w:b/>
          <w:sz w:val="22"/>
          <w:szCs w:val="22"/>
          <w:lang w:val="ro-RO"/>
        </w:rPr>
        <w:t xml:space="preserve">Figura 8.5 – Locația porturilor și terminalelor publice și celor operate privat din România </w:t>
      </w:r>
    </w:p>
    <w:p w:rsidR="00BD59B2" w:rsidRPr="00E0488D" w:rsidRDefault="00BD59B2" w:rsidP="00BD59B2">
      <w:pPr>
        <w:spacing w:line="276" w:lineRule="auto"/>
        <w:rPr>
          <w:lang w:val="ro-RO"/>
        </w:rPr>
      </w:pPr>
      <w:r w:rsidRPr="00E0488D">
        <w:rPr>
          <w:i/>
          <w:lang w:val="ro-RO"/>
        </w:rPr>
        <w:t xml:space="preserve">Sursa:  Analiza AECOM </w:t>
      </w:r>
    </w:p>
    <w:p w:rsidR="00BD59B2" w:rsidRPr="00E0488D" w:rsidRDefault="00BD59B2" w:rsidP="00BD59B2">
      <w:pPr>
        <w:spacing w:line="276" w:lineRule="auto"/>
        <w:rPr>
          <w:sz w:val="22"/>
          <w:szCs w:val="22"/>
          <w:lang w:val="ro-RO"/>
        </w:rPr>
      </w:pPr>
    </w:p>
    <w:p w:rsidR="00BD59B2" w:rsidRPr="00E0488D" w:rsidRDefault="00BD59B2" w:rsidP="00BD59B2">
      <w:pPr>
        <w:spacing w:line="276" w:lineRule="auto"/>
        <w:rPr>
          <w:sz w:val="22"/>
          <w:szCs w:val="22"/>
          <w:lang w:val="ro-RO"/>
        </w:rPr>
        <w:sectPr w:rsidR="00BD59B2" w:rsidRPr="00E0488D" w:rsidSect="00271B61">
          <w:pgSz w:w="16840" w:h="11907" w:orient="landscape" w:code="9"/>
          <w:pgMar w:top="907" w:right="1418" w:bottom="709" w:left="1418" w:header="357" w:footer="567" w:gutter="0"/>
          <w:cols w:space="187"/>
          <w:docGrid w:linePitch="360"/>
        </w:sectPr>
      </w:pPr>
    </w:p>
    <w:p w:rsidR="00BD59B2" w:rsidRPr="00E0488D" w:rsidRDefault="00BD59B2" w:rsidP="00BD59B2">
      <w:pPr>
        <w:spacing w:line="276" w:lineRule="auto"/>
        <w:ind w:firstLine="851"/>
        <w:rPr>
          <w:sz w:val="22"/>
          <w:szCs w:val="22"/>
          <w:lang w:val="ro-RO"/>
        </w:rPr>
      </w:pPr>
      <w:r w:rsidRPr="00E0488D">
        <w:rPr>
          <w:noProof/>
          <w:sz w:val="22"/>
          <w:szCs w:val="22"/>
          <w:lang w:val="ro-RO" w:eastAsia="ro-RO"/>
        </w:rPr>
        <w:drawing>
          <wp:inline distT="0" distB="0" distL="0" distR="0">
            <wp:extent cx="3619500" cy="2705100"/>
            <wp:effectExtent l="19050" t="0" r="0" b="0"/>
            <wp:docPr id="312" name="Picture 6" descr="C:\Users\clarkegj\Pictures\2012-05-24 romania may 2012\romania may 2012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rkegj\Pictures\2012-05-24 romania may 2012\romania may 2012 081.JPG"/>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3619500" cy="2705100"/>
                    </a:xfrm>
                    <a:prstGeom prst="rect">
                      <a:avLst/>
                    </a:prstGeom>
                    <a:noFill/>
                    <a:ln w="9525">
                      <a:noFill/>
                      <a:miter lim="800000"/>
                      <a:headEnd/>
                      <a:tailEnd/>
                    </a:ln>
                  </pic:spPr>
                </pic:pic>
              </a:graphicData>
            </a:graphic>
          </wp:inline>
        </w:drawing>
      </w:r>
    </w:p>
    <w:p w:rsidR="00BD59B2" w:rsidRPr="00E0488D" w:rsidRDefault="00BD59B2" w:rsidP="00BD59B2">
      <w:pPr>
        <w:pStyle w:val="Body"/>
        <w:ind w:left="851"/>
        <w:rPr>
          <w:rFonts w:cs="Arial"/>
          <w:b/>
          <w:i w:val="0"/>
          <w:lang w:val="ro-RO"/>
        </w:rPr>
      </w:pPr>
      <w:r w:rsidRPr="00E0488D">
        <w:rPr>
          <w:rFonts w:cs="Arial"/>
          <w:b/>
          <w:i w:val="0"/>
          <w:lang w:val="ro-RO"/>
        </w:rPr>
        <w:t>Figura 8.6 Vedere asupra unei părți ale rețelei extinse de linii de garare în Portul Constanța</w:t>
      </w:r>
    </w:p>
    <w:p w:rsidR="00BD59B2" w:rsidRPr="00E0488D" w:rsidRDefault="00BD59B2" w:rsidP="002B7E09">
      <w:pPr>
        <w:pStyle w:val="NumberedParas"/>
      </w:pPr>
      <w:r w:rsidRPr="00E0488D">
        <w:rPr>
          <w:rStyle w:val="hps"/>
          <w:rFonts w:cs="Arial"/>
          <w:color w:val="000000" w:themeColor="text1"/>
        </w:rPr>
        <w:t>Tabelul de mai jos</w:t>
      </w:r>
      <w:r w:rsidRPr="00E0488D">
        <w:t xml:space="preserve"> </w:t>
      </w:r>
      <w:r w:rsidRPr="00E0488D">
        <w:rPr>
          <w:rStyle w:val="hps"/>
          <w:rFonts w:cs="Arial"/>
          <w:color w:val="000000" w:themeColor="text1"/>
        </w:rPr>
        <w:t>prezintă</w:t>
      </w:r>
      <w:r w:rsidRPr="00E0488D">
        <w:t xml:space="preserve"> </w:t>
      </w:r>
      <w:r w:rsidRPr="00E0488D">
        <w:rPr>
          <w:rStyle w:val="hps"/>
          <w:rFonts w:cs="Arial"/>
          <w:color w:val="000000" w:themeColor="text1"/>
        </w:rPr>
        <w:t>numarul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exprimate în</w:t>
      </w:r>
      <w:r w:rsidRPr="00E0488D">
        <w:t xml:space="preserve"> </w:t>
      </w:r>
      <w:r w:rsidRPr="00E0488D">
        <w:rPr>
          <w:rStyle w:val="hps"/>
          <w:rFonts w:cs="Arial"/>
          <w:color w:val="000000" w:themeColor="text1"/>
        </w:rPr>
        <w:t>Unitati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transport intermodal</w:t>
      </w:r>
      <w:r w:rsidRPr="00E0488D">
        <w:t xml:space="preserve"> </w:t>
      </w:r>
      <w:r w:rsidRPr="00E0488D">
        <w:rPr>
          <w:rStyle w:val="hps"/>
          <w:rFonts w:cs="Arial"/>
          <w:color w:val="000000" w:themeColor="text1"/>
        </w:rPr>
        <w:t>(</w:t>
      </w:r>
      <w:r w:rsidRPr="00E0488D">
        <w:t xml:space="preserve">UTI) </w:t>
      </w:r>
      <w:r w:rsidRPr="00E0488D">
        <w:rPr>
          <w:rStyle w:val="hps"/>
          <w:rFonts w:cs="Arial"/>
          <w:color w:val="000000" w:themeColor="text1"/>
        </w:rPr>
        <w:t>în</w:t>
      </w:r>
      <w:r w:rsidRPr="00E0488D">
        <w:t xml:space="preserve"> </w:t>
      </w:r>
      <w:r w:rsidRPr="00E0488D">
        <w:rPr>
          <w:rStyle w:val="hps"/>
          <w:rFonts w:cs="Arial"/>
          <w:color w:val="000000" w:themeColor="text1"/>
        </w:rPr>
        <w:t>terminalele</w:t>
      </w:r>
      <w:r w:rsidRPr="00E0488D">
        <w:t xml:space="preserve"> </w:t>
      </w:r>
      <w:r w:rsidRPr="00E0488D">
        <w:rPr>
          <w:rStyle w:val="hps"/>
          <w:rFonts w:cs="Arial"/>
          <w:color w:val="000000" w:themeColor="text1"/>
        </w:rPr>
        <w:t>sale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2011</w:t>
      </w:r>
      <w:r w:rsidRPr="00E0488D">
        <w:t>.</w:t>
      </w:r>
    </w:p>
    <w:p w:rsidR="00BD59B2" w:rsidRPr="00E0488D" w:rsidRDefault="00BD59B2" w:rsidP="00BD59B2">
      <w:pPr>
        <w:pStyle w:val="Body"/>
        <w:spacing w:before="120" w:after="120"/>
        <w:ind w:left="851"/>
        <w:rPr>
          <w:rFonts w:cs="Arial"/>
          <w:b/>
          <w:i w:val="0"/>
          <w:lang w:val="ro-RO"/>
        </w:rPr>
      </w:pPr>
      <w:r w:rsidRPr="00E0488D">
        <w:rPr>
          <w:rFonts w:cs="Arial"/>
          <w:b/>
          <w:i w:val="0"/>
          <w:lang w:val="ro-RO"/>
        </w:rPr>
        <w:t>Tabelul 8.6 Containere (UTI) operate în terminalele CFR Marfă, 2011</w:t>
      </w:r>
    </w:p>
    <w:tbl>
      <w:tblPr>
        <w:tblW w:w="0" w:type="auto"/>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2906"/>
        <w:gridCol w:w="3090"/>
      </w:tblGrid>
      <w:tr w:rsidR="00BD59B2" w:rsidRPr="00E0488D" w:rsidTr="009972B3">
        <w:tc>
          <w:tcPr>
            <w:tcW w:w="916" w:type="dxa"/>
            <w:shd w:val="clear" w:color="auto" w:fill="C6D9F1"/>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Nr.</w:t>
            </w:r>
          </w:p>
        </w:tc>
        <w:tc>
          <w:tcPr>
            <w:tcW w:w="2906" w:type="dxa"/>
            <w:shd w:val="clear" w:color="auto" w:fill="C6D9F1"/>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Numele terminalului de containere</w:t>
            </w:r>
          </w:p>
        </w:tc>
        <w:tc>
          <w:tcPr>
            <w:tcW w:w="3090" w:type="dxa"/>
            <w:shd w:val="clear" w:color="auto" w:fill="C6D9F1"/>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Containere operate (UTI)</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Bucurestii Noi</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1.804</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2</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Bucurestii Titan</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360</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3</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Ploiesti Crang</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4.192</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4</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Bradu de Sus</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1.308</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5</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Bujoreni Valcea</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564</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6</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Semenic</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324</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7</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Cluj Napoca Est</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1.412</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8</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Oradea Est</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72</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9</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Turda</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1.780</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10</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Zalau</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1.720</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11</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Brasov Triaj</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3.900</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12</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Medias</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72</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13</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Socola Marfuri</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60</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14</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Suceava</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2.732</w:t>
            </w:r>
          </w:p>
        </w:tc>
      </w:tr>
      <w:tr w:rsidR="00BD59B2" w:rsidRPr="00E0488D" w:rsidTr="009972B3">
        <w:tc>
          <w:tcPr>
            <w:tcW w:w="9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15</w:t>
            </w:r>
          </w:p>
        </w:tc>
        <w:tc>
          <w:tcPr>
            <w:tcW w:w="290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Bacau</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1.604</w:t>
            </w:r>
          </w:p>
        </w:tc>
      </w:tr>
      <w:tr w:rsidR="00BD59B2" w:rsidRPr="00E0488D" w:rsidTr="009972B3">
        <w:tc>
          <w:tcPr>
            <w:tcW w:w="3822" w:type="dxa"/>
            <w:gridSpan w:val="2"/>
            <w:vAlign w:val="center"/>
          </w:tcPr>
          <w:p w:rsidR="00BD59B2" w:rsidRPr="00E0488D" w:rsidRDefault="00BD59B2" w:rsidP="009972B3">
            <w:pPr>
              <w:spacing w:line="276" w:lineRule="auto"/>
              <w:jc w:val="center"/>
              <w:rPr>
                <w:sz w:val="22"/>
                <w:szCs w:val="22"/>
                <w:lang w:val="ro-RO"/>
              </w:rPr>
            </w:pPr>
            <w:r w:rsidRPr="00E0488D">
              <w:rPr>
                <w:sz w:val="22"/>
                <w:szCs w:val="22"/>
                <w:lang w:val="ro-RO"/>
              </w:rPr>
              <w:t>Total</w:t>
            </w:r>
          </w:p>
        </w:tc>
        <w:tc>
          <w:tcPr>
            <w:tcW w:w="3090"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21.904</w:t>
            </w:r>
          </w:p>
        </w:tc>
      </w:tr>
    </w:tbl>
    <w:p w:rsidR="00BD59B2" w:rsidRPr="00E0488D" w:rsidRDefault="00BD59B2" w:rsidP="00BD59B2">
      <w:pPr>
        <w:pStyle w:val="Frspaiere1"/>
        <w:ind w:left="851"/>
        <w:rPr>
          <w:rFonts w:ascii="Arial" w:hAnsi="Arial" w:cs="Arial"/>
          <w:i/>
          <w:sz w:val="18"/>
          <w:szCs w:val="18"/>
          <w:lang w:val="ro-RO"/>
        </w:rPr>
      </w:pPr>
      <w:r w:rsidRPr="00E0488D">
        <w:rPr>
          <w:rFonts w:ascii="Arial" w:hAnsi="Arial" w:cs="Arial"/>
          <w:i/>
          <w:sz w:val="18"/>
          <w:szCs w:val="18"/>
          <w:lang w:val="ro-RO"/>
        </w:rPr>
        <w:t xml:space="preserve">Sursa: Date CFR Marfă </w:t>
      </w:r>
    </w:p>
    <w:p w:rsidR="00BD59B2" w:rsidRPr="00E0488D" w:rsidRDefault="00BD59B2" w:rsidP="002B7E09">
      <w:pPr>
        <w:pStyle w:val="NumberedParas"/>
      </w:pPr>
      <w:r w:rsidRPr="00E0488D">
        <w:rPr>
          <w:rStyle w:val="hps"/>
          <w:rFonts w:cs="Arial"/>
          <w:color w:val="000000" w:themeColor="text1"/>
        </w:rPr>
        <w:t>Cifrele de mai sus</w:t>
      </w:r>
      <w:r w:rsidRPr="00E0488D">
        <w:t xml:space="preserve"> </w:t>
      </w:r>
      <w:r w:rsidRPr="00E0488D">
        <w:rPr>
          <w:rStyle w:val="hps"/>
          <w:rFonts w:cs="Arial"/>
          <w:color w:val="000000" w:themeColor="text1"/>
        </w:rPr>
        <w:t>arată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21.904</w:t>
      </w:r>
      <w:r w:rsidRPr="00E0488D">
        <w:t xml:space="preserve"> </w:t>
      </w:r>
      <w:r w:rsidRPr="00E0488D">
        <w:rPr>
          <w:rStyle w:val="hps"/>
          <w:rFonts w:cs="Arial"/>
          <w:color w:val="000000" w:themeColor="text1"/>
        </w:rPr>
        <w:t>containerele</w:t>
      </w:r>
      <w:r w:rsidRPr="00E0488D">
        <w:t xml:space="preserve"> </w:t>
      </w:r>
      <w:r w:rsidRPr="00E0488D">
        <w:rPr>
          <w:rStyle w:val="hps"/>
          <w:rFonts w:cs="Arial"/>
          <w:color w:val="000000" w:themeColor="text1"/>
        </w:rPr>
        <w:t>au fost</w:t>
      </w:r>
      <w:r w:rsidRPr="00E0488D">
        <w:t xml:space="preserve"> </w:t>
      </w:r>
      <w:r w:rsidRPr="00E0488D">
        <w:rPr>
          <w:rStyle w:val="hps"/>
          <w:rFonts w:cs="Arial"/>
          <w:color w:val="000000" w:themeColor="text1"/>
        </w:rPr>
        <w:t>operate în depourile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4.192</w:t>
      </w:r>
      <w:r w:rsidRPr="00E0488D">
        <w:t xml:space="preserve"> </w:t>
      </w:r>
      <w:r w:rsidRPr="00E0488D">
        <w:rPr>
          <w:rStyle w:val="hps"/>
          <w:rFonts w:cs="Arial"/>
          <w:color w:val="000000" w:themeColor="text1"/>
        </w:rPr>
        <w:t>au fost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Ploiesti</w:t>
      </w:r>
      <w:r w:rsidRPr="00E0488D">
        <w:t xml:space="preserve"> </w:t>
      </w:r>
      <w:r w:rsidRPr="00E0488D">
        <w:rPr>
          <w:rStyle w:val="hps"/>
          <w:rFonts w:cs="Arial"/>
          <w:color w:val="000000" w:themeColor="text1"/>
        </w:rPr>
        <w:t>Crang</w:t>
      </w:r>
      <w:r w:rsidRPr="00E0488D">
        <w:t xml:space="preserve">, care în prezent este </w:t>
      </w:r>
      <w:r w:rsidRPr="00E0488D">
        <w:rPr>
          <w:rStyle w:val="hps"/>
          <w:rFonts w:cs="Arial"/>
          <w:color w:val="000000" w:themeColor="text1"/>
        </w:rPr>
        <w:t>raportat ca fiind</w:t>
      </w:r>
      <w:r w:rsidRPr="00E0488D">
        <w:t xml:space="preserve"> </w:t>
      </w:r>
      <w:r w:rsidRPr="00E0488D">
        <w:rPr>
          <w:rStyle w:val="hps"/>
          <w:rFonts w:cs="Arial"/>
          <w:color w:val="000000" w:themeColor="text1"/>
        </w:rPr>
        <w:t>inactiv</w:t>
      </w:r>
      <w:r w:rsidRPr="00E0488D">
        <w:t xml:space="preserve">. </w:t>
      </w:r>
      <w:r w:rsidRPr="00E0488D">
        <w:rPr>
          <w:rStyle w:val="hps"/>
          <w:rFonts w:cs="Arial"/>
          <w:color w:val="000000" w:themeColor="text1"/>
        </w:rPr>
        <w:t>Deși informațiile</w:t>
      </w:r>
      <w:r w:rsidRPr="00E0488D">
        <w:t xml:space="preserve"> </w:t>
      </w:r>
      <w:r w:rsidRPr="00E0488D">
        <w:rPr>
          <w:rStyle w:val="hps"/>
          <w:rFonts w:cs="Arial"/>
          <w:color w:val="000000" w:themeColor="text1"/>
        </w:rPr>
        <w:t xml:space="preserve">nu prezintă </w:t>
      </w:r>
      <w:r w:rsidRPr="00E0488D">
        <w:t xml:space="preserve"> </w:t>
      </w:r>
      <w:r w:rsidRPr="00E0488D">
        <w:rPr>
          <w:rStyle w:val="hps"/>
          <w:rFonts w:cs="Arial"/>
          <w:color w:val="000000" w:themeColor="text1"/>
        </w:rPr>
        <w:t>originea și destinația</w:t>
      </w:r>
      <w:r w:rsidRPr="00E0488D">
        <w:t xml:space="preserve"> </w:t>
      </w:r>
      <w:r w:rsidRPr="00E0488D">
        <w:rPr>
          <w:rStyle w:val="hps"/>
          <w:rFonts w:cs="Arial"/>
          <w:color w:val="000000" w:themeColor="text1"/>
        </w:rPr>
        <w:t>containerelor</w:t>
      </w:r>
      <w:r w:rsidRPr="00E0488D">
        <w:t xml:space="preserve">, </w:t>
      </w:r>
      <w:r w:rsidRPr="00E0488D">
        <w:rPr>
          <w:rStyle w:val="hps"/>
          <w:rFonts w:cs="Arial"/>
          <w:color w:val="000000" w:themeColor="text1"/>
        </w:rPr>
        <w:t>nici</w:t>
      </w:r>
      <w:r w:rsidRPr="00E0488D">
        <w:t xml:space="preserve"> </w:t>
      </w:r>
      <w:r w:rsidRPr="00E0488D">
        <w:rPr>
          <w:rStyle w:val="hps"/>
          <w:rFonts w:cs="Arial"/>
          <w:color w:val="000000" w:themeColor="text1"/>
        </w:rPr>
        <w:t>dacă</w:t>
      </w:r>
      <w:r w:rsidRPr="00E0488D">
        <w:t xml:space="preserve"> </w:t>
      </w:r>
      <w:r w:rsidRPr="00E0488D">
        <w:rPr>
          <w:rStyle w:val="hps"/>
          <w:rFonts w:cs="Arial"/>
          <w:color w:val="000000" w:themeColor="text1"/>
        </w:rPr>
        <w:t>acestea au fost</w:t>
      </w:r>
      <w:r w:rsidRPr="00E0488D">
        <w:t xml:space="preserve"> </w:t>
      </w:r>
      <w:r w:rsidRPr="00E0488D">
        <w:rPr>
          <w:rStyle w:val="hps"/>
          <w:rFonts w:cs="Arial"/>
          <w:color w:val="000000" w:themeColor="text1"/>
        </w:rPr>
        <w:t>cutii de 20</w:t>
      </w:r>
      <w:r w:rsidRPr="00E0488D">
        <w:t xml:space="preserve"> </w:t>
      </w:r>
      <w:r w:rsidRPr="00E0488D">
        <w:rPr>
          <w:rStyle w:val="hps"/>
          <w:rFonts w:cs="Arial"/>
          <w:color w:val="000000" w:themeColor="text1"/>
        </w:rPr>
        <w:t>"</w:t>
      </w:r>
      <w:r w:rsidRPr="00E0488D">
        <w:t xml:space="preserve">sau </w:t>
      </w:r>
      <w:r w:rsidRPr="00E0488D">
        <w:rPr>
          <w:rStyle w:val="hps"/>
          <w:rFonts w:cs="Arial"/>
          <w:color w:val="000000" w:themeColor="text1"/>
        </w:rPr>
        <w:t>40</w:t>
      </w:r>
      <w:r w:rsidRPr="00E0488D">
        <w:t xml:space="preserve">",  </w:t>
      </w:r>
      <w:r w:rsidRPr="00E0488D">
        <w:rPr>
          <w:rStyle w:val="hps"/>
          <w:rFonts w:cs="Arial"/>
          <w:color w:val="000000" w:themeColor="text1"/>
        </w:rPr>
        <w:t>volumele</w:t>
      </w:r>
      <w:r w:rsidRPr="00E0488D">
        <w:t xml:space="preserve"> </w:t>
      </w:r>
      <w:r w:rsidRPr="00E0488D">
        <w:rPr>
          <w:rStyle w:val="hps"/>
          <w:rFonts w:cs="Arial"/>
          <w:color w:val="000000" w:themeColor="text1"/>
        </w:rPr>
        <w:t>de mai sus</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doar</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4</w:t>
      </w:r>
      <w:r w:rsidRPr="00E0488D">
        <w:t xml:space="preserve">% </w:t>
      </w:r>
      <w:r w:rsidRPr="00E0488D">
        <w:rPr>
          <w:rStyle w:val="hps"/>
          <w:rFonts w:cs="Arial"/>
          <w:color w:val="000000" w:themeColor="text1"/>
        </w:rPr>
        <w:t>din volumul</w:t>
      </w:r>
      <w:r w:rsidRPr="00E0488D">
        <w:t xml:space="preserve"> </w:t>
      </w:r>
      <w:r w:rsidRPr="00E0488D">
        <w:rPr>
          <w:rStyle w:val="hps"/>
          <w:rFonts w:cs="Arial"/>
          <w:color w:val="000000" w:themeColor="text1"/>
        </w:rPr>
        <w:t>operat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Prin urmare,</w:t>
      </w:r>
      <w:r w:rsidRPr="00E0488D">
        <w:t xml:space="preserve"> </w:t>
      </w:r>
      <w:r w:rsidRPr="00E0488D">
        <w:rPr>
          <w:rStyle w:val="hps"/>
          <w:rFonts w:cs="Arial"/>
          <w:color w:val="000000" w:themeColor="text1"/>
        </w:rPr>
        <w:t>am</w:t>
      </w:r>
      <w:r w:rsidRPr="00E0488D">
        <w:t xml:space="preserve"> </w:t>
      </w:r>
      <w:r w:rsidRPr="00E0488D">
        <w:rPr>
          <w:rStyle w:val="hps"/>
          <w:rFonts w:cs="Arial"/>
          <w:color w:val="000000" w:themeColor="text1"/>
        </w:rPr>
        <w:t>folosit datele</w:t>
      </w:r>
      <w:r w:rsidRPr="00E0488D">
        <w:t xml:space="preserve"> </w:t>
      </w:r>
      <w:r w:rsidRPr="00E0488D">
        <w:rPr>
          <w:rStyle w:val="hps"/>
          <w:rFonts w:cs="Arial"/>
          <w:color w:val="000000" w:themeColor="text1"/>
        </w:rPr>
        <w:t>brute</w:t>
      </w:r>
      <w:r w:rsidRPr="00E0488D">
        <w:t xml:space="preserve"> </w:t>
      </w:r>
      <w:r w:rsidRPr="00E0488D">
        <w:rPr>
          <w:rStyle w:val="hps"/>
          <w:rFonts w:cs="Arial"/>
          <w:color w:val="000000" w:themeColor="text1"/>
        </w:rPr>
        <w:t>despre</w:t>
      </w:r>
      <w:r w:rsidRPr="00E0488D">
        <w:t xml:space="preserve"> </w:t>
      </w:r>
      <w:r w:rsidRPr="00E0488D">
        <w:rPr>
          <w:rStyle w:val="hps"/>
          <w:rFonts w:cs="Arial"/>
          <w:color w:val="000000" w:themeColor="text1"/>
        </w:rPr>
        <w:t>mărfurile din</w:t>
      </w:r>
      <w:r w:rsidRPr="00E0488D">
        <w:t xml:space="preserve"> </w:t>
      </w:r>
      <w:r w:rsidRPr="00E0488D">
        <w:rPr>
          <w:rStyle w:val="hps"/>
          <w:rFonts w:cs="Arial"/>
          <w:color w:val="000000" w:themeColor="text1"/>
        </w:rPr>
        <w:t>trenuri</w:t>
      </w:r>
      <w:r w:rsidRPr="00E0488D">
        <w:t xml:space="preserve"> </w:t>
      </w:r>
      <w:r w:rsidRPr="00E0488D">
        <w:rPr>
          <w:rStyle w:val="hps"/>
          <w:rFonts w:cs="Arial"/>
          <w:color w:val="000000" w:themeColor="text1"/>
        </w:rPr>
        <w:t>oferite de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pentru a stabili volumul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fluxurile 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atat</w:t>
      </w:r>
      <w:r w:rsidRPr="00E0488D">
        <w:t xml:space="preserve"> </w:t>
      </w:r>
      <w:r w:rsidRPr="00E0488D">
        <w:rPr>
          <w:rStyle w:val="hps"/>
          <w:rFonts w:cs="Arial"/>
          <w:color w:val="000000" w:themeColor="text1"/>
        </w:rPr>
        <w:t>goale cât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pline</w:t>
      </w:r>
      <w:r w:rsidRPr="00E0488D">
        <w:t xml:space="preserve"> </w:t>
      </w:r>
      <w:r w:rsidRPr="00E0488D">
        <w:rPr>
          <w:rStyle w:val="hps"/>
          <w:rFonts w:cs="Arial"/>
          <w:color w:val="000000" w:themeColor="text1"/>
        </w:rPr>
        <w:t>pe trenurile lor</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2011.</w:t>
      </w:r>
      <w:r w:rsidRPr="00E0488D">
        <w:t xml:space="preserve"> </w:t>
      </w:r>
      <w:r w:rsidRPr="00E0488D">
        <w:rPr>
          <w:rStyle w:val="hps"/>
          <w:rFonts w:cs="Arial"/>
          <w:color w:val="000000" w:themeColor="text1"/>
        </w:rPr>
        <w:t>Estimarea noastră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că majoritatea containerelor transportate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CFR Marfă</w:t>
      </w:r>
      <w:r w:rsidRPr="00E0488D">
        <w:t xml:space="preserve"> merg sau vin de la clienții </w:t>
      </w:r>
      <w:r w:rsidRPr="00E0488D">
        <w:rPr>
          <w:rStyle w:val="hps"/>
          <w:rFonts w:cs="Arial"/>
          <w:color w:val="000000" w:themeColor="text1"/>
        </w:rPr>
        <w:t>industrial</w:t>
      </w:r>
      <w:r w:rsidRPr="00E0488D">
        <w:t xml:space="preserve">i, </w:t>
      </w:r>
      <w:r w:rsidRPr="00E0488D">
        <w:rPr>
          <w:rStyle w:val="hps"/>
          <w:rFonts w:cs="Arial"/>
          <w:color w:val="000000" w:themeColor="text1"/>
        </w:rPr>
        <w:t>de la</w:t>
      </w:r>
      <w:r w:rsidRPr="00E0488D">
        <w:t xml:space="preserve"> </w:t>
      </w:r>
      <w:r w:rsidRPr="00E0488D">
        <w:rPr>
          <w:rStyle w:val="hps"/>
          <w:rFonts w:cs="Arial"/>
          <w:color w:val="000000" w:themeColor="text1"/>
        </w:rPr>
        <w:t>propriile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private.</w:t>
      </w:r>
      <w:r w:rsidRPr="00E0488D">
        <w:t xml:space="preserve"> </w:t>
      </w:r>
      <w:r w:rsidRPr="00E0488D">
        <w:rPr>
          <w:rStyle w:val="hps"/>
          <w:rFonts w:cs="Arial"/>
          <w:color w:val="000000" w:themeColor="text1"/>
        </w:rPr>
        <w:t>Acestea reprezintă</w:t>
      </w:r>
      <w:r w:rsidRPr="00E0488D">
        <w:t xml:space="preserve"> </w:t>
      </w:r>
      <w:r w:rsidRPr="00E0488D">
        <w:rPr>
          <w:rStyle w:val="hps"/>
          <w:rFonts w:cs="Arial"/>
          <w:color w:val="000000" w:themeColor="text1"/>
        </w:rPr>
        <w:t>aproximativ 19%</w:t>
      </w:r>
      <w:r w:rsidRPr="00E0488D">
        <w:t xml:space="preserve"> </w:t>
      </w:r>
      <w:r w:rsidRPr="00E0488D">
        <w:rPr>
          <w:rStyle w:val="hps"/>
          <w:rFonts w:cs="Arial"/>
          <w:color w:val="000000" w:themeColor="text1"/>
        </w:rPr>
        <w:t>din volumul</w:t>
      </w:r>
      <w:r w:rsidRPr="00E0488D">
        <w:t xml:space="preserve"> </w:t>
      </w:r>
      <w:r w:rsidRPr="00E0488D">
        <w:rPr>
          <w:rStyle w:val="hps"/>
          <w:rFonts w:cs="Arial"/>
          <w:color w:val="000000" w:themeColor="text1"/>
        </w:rPr>
        <w:t>operat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Constanța</w:t>
      </w:r>
      <w:r w:rsidRPr="00E0488D">
        <w:t>.</w:t>
      </w:r>
    </w:p>
    <w:p w:rsidR="00BD59B2" w:rsidRPr="00E0488D" w:rsidRDefault="00BD59B2" w:rsidP="00BD59B2">
      <w:pPr>
        <w:pStyle w:val="Body"/>
        <w:spacing w:before="120" w:after="120"/>
        <w:ind w:left="851"/>
        <w:rPr>
          <w:rFonts w:cs="Arial"/>
          <w:b/>
          <w:i w:val="0"/>
          <w:lang w:val="ro-RO"/>
        </w:rPr>
      </w:pPr>
      <w:r w:rsidRPr="00E0488D">
        <w:rPr>
          <w:rFonts w:cs="Arial"/>
          <w:b/>
          <w:i w:val="0"/>
          <w:lang w:val="ro-RO"/>
        </w:rPr>
        <w:t>Tabelul 8.7 Top 20 transporturi de containere pe cale ferată în România de către CFR Marfă, pe tonaj</w:t>
      </w:r>
    </w:p>
    <w:tbl>
      <w:tblPr>
        <w:tblW w:w="781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1036"/>
        <w:gridCol w:w="2268"/>
        <w:gridCol w:w="2410"/>
        <w:gridCol w:w="1418"/>
      </w:tblGrid>
      <w:tr w:rsidR="00BD59B2" w:rsidRPr="00E0488D" w:rsidTr="009972B3">
        <w:trPr>
          <w:trHeight w:val="255"/>
        </w:trPr>
        <w:tc>
          <w:tcPr>
            <w:tcW w:w="754" w:type="dxa"/>
            <w:shd w:val="clear" w:color="auto" w:fill="C6D9F1"/>
            <w:vAlign w:val="center"/>
          </w:tcPr>
          <w:p w:rsidR="00BD59B2" w:rsidRPr="00E0488D" w:rsidRDefault="00BD59B2" w:rsidP="009972B3">
            <w:pPr>
              <w:jc w:val="center"/>
              <w:rPr>
                <w:sz w:val="22"/>
                <w:szCs w:val="22"/>
                <w:lang w:val="ro-RO" w:eastAsia="en-GB"/>
              </w:rPr>
            </w:pPr>
            <w:r w:rsidRPr="00E0488D">
              <w:rPr>
                <w:sz w:val="22"/>
                <w:szCs w:val="22"/>
                <w:lang w:val="ro-RO" w:eastAsia="en-GB"/>
              </w:rPr>
              <w:t>Poziție</w:t>
            </w:r>
          </w:p>
        </w:tc>
        <w:tc>
          <w:tcPr>
            <w:tcW w:w="962" w:type="dxa"/>
            <w:shd w:val="clear" w:color="auto" w:fill="C6D9F1"/>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Regiune</w:t>
            </w:r>
          </w:p>
        </w:tc>
        <w:tc>
          <w:tcPr>
            <w:tcW w:w="2268" w:type="dxa"/>
            <w:shd w:val="clear" w:color="auto" w:fill="C6D9F1"/>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Origine</w:t>
            </w:r>
          </w:p>
        </w:tc>
        <w:tc>
          <w:tcPr>
            <w:tcW w:w="2410" w:type="dxa"/>
            <w:shd w:val="clear" w:color="auto" w:fill="C6D9F1"/>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Destinație</w:t>
            </w:r>
          </w:p>
        </w:tc>
        <w:tc>
          <w:tcPr>
            <w:tcW w:w="1418" w:type="dxa"/>
            <w:shd w:val="clear" w:color="auto" w:fill="C6D9F1"/>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Total</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VINTU DE JOS</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362.384</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DORNESTI</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231.047</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3</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GOVORA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83.022</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4</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VINTU DE JOS</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CURTICI</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75.981</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5</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BRASOV TRIAJ</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62.499</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6</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PLOIESTI CRING</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61.701</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7</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CIUMESTI</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71.648</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8</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DORNESTI</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CURTICI</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52.436</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9</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POIENI</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DILGA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43.528</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10</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BUCURESTI</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57.078</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11</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BUCURESTI</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STAMORA MORAV.</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64.714</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12</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BACAU</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43.058</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13</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CURTICI</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CURTICI</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35.337</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14</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7</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SUCEAVA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34.688</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15</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TIRGOVISTE</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32.762</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16</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TURDA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25.634</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17</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BUJORENI VILCEA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25.317</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18</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CLUJ NAPOCA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26.061</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19</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ZALAU</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20.165</w:t>
            </w:r>
          </w:p>
        </w:tc>
      </w:tr>
      <w:tr w:rsidR="00BD59B2" w:rsidRPr="00E0488D" w:rsidTr="009972B3">
        <w:trPr>
          <w:trHeight w:val="255"/>
        </w:trPr>
        <w:tc>
          <w:tcPr>
            <w:tcW w:w="754" w:type="dxa"/>
            <w:vAlign w:val="center"/>
          </w:tcPr>
          <w:p w:rsidR="00BD59B2" w:rsidRPr="00E0488D" w:rsidRDefault="00BD59B2" w:rsidP="009972B3">
            <w:pPr>
              <w:jc w:val="center"/>
              <w:rPr>
                <w:sz w:val="22"/>
                <w:szCs w:val="22"/>
                <w:lang w:val="ro-RO" w:eastAsia="en-GB"/>
              </w:rPr>
            </w:pPr>
            <w:r w:rsidRPr="00E0488D">
              <w:rPr>
                <w:sz w:val="22"/>
                <w:szCs w:val="22"/>
                <w:lang w:val="ro-RO" w:eastAsia="en-GB"/>
              </w:rPr>
              <w:t>20</w:t>
            </w:r>
          </w:p>
        </w:tc>
        <w:tc>
          <w:tcPr>
            <w:tcW w:w="962"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w:t>
            </w:r>
          </w:p>
        </w:tc>
        <w:tc>
          <w:tcPr>
            <w:tcW w:w="2268"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CONSTANTA</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18.925</w:t>
            </w:r>
          </w:p>
        </w:tc>
      </w:tr>
      <w:tr w:rsidR="00BD59B2" w:rsidRPr="00E0488D" w:rsidTr="009972B3">
        <w:trPr>
          <w:trHeight w:val="255"/>
        </w:trPr>
        <w:tc>
          <w:tcPr>
            <w:tcW w:w="6394" w:type="dxa"/>
            <w:gridSpan w:val="4"/>
            <w:vAlign w:val="center"/>
          </w:tcPr>
          <w:p w:rsidR="00BD59B2" w:rsidRPr="00E0488D" w:rsidRDefault="00BD59B2" w:rsidP="009972B3">
            <w:pPr>
              <w:jc w:val="center"/>
              <w:rPr>
                <w:sz w:val="22"/>
                <w:szCs w:val="22"/>
                <w:lang w:val="ro-RO" w:eastAsia="en-GB"/>
              </w:rPr>
            </w:pPr>
            <w:r w:rsidRPr="00E0488D">
              <w:rPr>
                <w:sz w:val="22"/>
                <w:szCs w:val="22"/>
                <w:lang w:val="ro-RO" w:eastAsia="en-GB"/>
              </w:rPr>
              <w:t>Total</w:t>
            </w:r>
          </w:p>
        </w:tc>
        <w:tc>
          <w:tcPr>
            <w:tcW w:w="1418" w:type="dxa"/>
            <w:shd w:val="clear" w:color="auto" w:fill="auto"/>
            <w:noWrap/>
            <w:vAlign w:val="center"/>
            <w:hideMark/>
          </w:tcPr>
          <w:p w:rsidR="00BD59B2" w:rsidRPr="00E0488D" w:rsidRDefault="00BD59B2" w:rsidP="009972B3">
            <w:pPr>
              <w:jc w:val="center"/>
              <w:rPr>
                <w:sz w:val="22"/>
                <w:szCs w:val="22"/>
                <w:lang w:val="ro-RO"/>
              </w:rPr>
            </w:pPr>
            <w:r w:rsidRPr="00E0488D">
              <w:rPr>
                <w:sz w:val="22"/>
                <w:szCs w:val="22"/>
                <w:lang w:val="ro-RO"/>
              </w:rPr>
              <w:t>1.427.985</w:t>
            </w:r>
          </w:p>
        </w:tc>
      </w:tr>
    </w:tbl>
    <w:p w:rsidR="00BD59B2" w:rsidRPr="00E0488D" w:rsidRDefault="00BD59B2" w:rsidP="00BD59B2">
      <w:pPr>
        <w:pStyle w:val="Frspaiere1"/>
        <w:ind w:left="851"/>
        <w:rPr>
          <w:rFonts w:ascii="Arial" w:hAnsi="Arial" w:cs="Arial"/>
          <w:i/>
          <w:sz w:val="18"/>
          <w:szCs w:val="18"/>
          <w:lang w:val="ro-RO"/>
        </w:rPr>
      </w:pPr>
      <w:r w:rsidRPr="00E0488D">
        <w:rPr>
          <w:rFonts w:ascii="Arial" w:hAnsi="Arial" w:cs="Arial"/>
          <w:i/>
          <w:sz w:val="18"/>
          <w:szCs w:val="18"/>
          <w:lang w:val="ro-RO"/>
        </w:rPr>
        <w:t xml:space="preserve">Sursa: Analiza AECOM privind datele CFR Marfă </w:t>
      </w:r>
    </w:p>
    <w:p w:rsidR="00BD59B2" w:rsidRPr="00E0488D" w:rsidRDefault="00BD59B2" w:rsidP="002B7E09">
      <w:pPr>
        <w:pStyle w:val="NumberedParas"/>
      </w:pPr>
      <w:r w:rsidRPr="00E0488D">
        <w:rPr>
          <w:rStyle w:val="hps"/>
          <w:rFonts w:cs="Arial"/>
          <w:color w:val="000000" w:themeColor="text1"/>
        </w:rPr>
        <w:t>Primele</w:t>
      </w:r>
      <w:r w:rsidRPr="00E0488D">
        <w:t xml:space="preserve"> </w:t>
      </w:r>
      <w:r w:rsidRPr="00E0488D">
        <w:rPr>
          <w:rStyle w:val="hps"/>
          <w:rFonts w:cs="Arial"/>
          <w:color w:val="000000" w:themeColor="text1"/>
        </w:rPr>
        <w:t>20 de</w:t>
      </w:r>
      <w:r w:rsidRPr="00E0488D">
        <w:t xml:space="preserve"> </w:t>
      </w:r>
      <w:r w:rsidRPr="00E0488D">
        <w:rPr>
          <w:rStyle w:val="hps"/>
          <w:rFonts w:cs="Arial"/>
          <w:color w:val="000000" w:themeColor="text1"/>
        </w:rPr>
        <w:t>rute</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încărcate</w:t>
      </w:r>
      <w:r w:rsidRPr="00E0488D">
        <w:t xml:space="preserve"> </w:t>
      </w:r>
      <w:r w:rsidRPr="00E0488D">
        <w:rPr>
          <w:rStyle w:val="hps"/>
          <w:rFonts w:cs="Arial"/>
          <w:color w:val="000000" w:themeColor="text1"/>
        </w:rPr>
        <w:t>operate de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87</w:t>
      </w:r>
      <w:r w:rsidRPr="00E0488D">
        <w:t xml:space="preserve">% </w:t>
      </w:r>
      <w:r w:rsidRPr="00E0488D">
        <w:rPr>
          <w:rStyle w:val="hps"/>
          <w:rFonts w:cs="Arial"/>
          <w:color w:val="000000" w:themeColor="text1"/>
        </w:rPr>
        <w:t>din totalul</w:t>
      </w:r>
      <w:r w:rsidRPr="00E0488D">
        <w:t xml:space="preserve"> </w:t>
      </w:r>
      <w:r w:rsidRPr="00E0488D">
        <w:rPr>
          <w:rStyle w:val="hps"/>
          <w:rFonts w:cs="Arial"/>
          <w:color w:val="000000" w:themeColor="text1"/>
        </w:rPr>
        <w:t>de tone</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transportate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CFR Marfă</w:t>
      </w:r>
      <w:r w:rsidRPr="00E0488D">
        <w:t xml:space="preserve"> și </w:t>
      </w:r>
      <w:r w:rsidRPr="00E0488D">
        <w:rPr>
          <w:rStyle w:val="hps"/>
          <w:rFonts w:cs="Arial"/>
          <w:color w:val="000000" w:themeColor="text1"/>
        </w:rPr>
        <w:t>arată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sunt consolidate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anumite</w:t>
      </w:r>
      <w:r w:rsidRPr="00E0488D">
        <w:t xml:space="preserve"> </w:t>
      </w:r>
      <w:r w:rsidRPr="00E0488D">
        <w:rPr>
          <w:rStyle w:val="hps"/>
          <w:rFonts w:cs="Arial"/>
          <w:color w:val="000000" w:themeColor="text1"/>
        </w:rPr>
        <w:t>coridoare</w:t>
      </w:r>
      <w:r w:rsidRPr="00E0488D">
        <w:t xml:space="preserve">-cheie. </w:t>
      </w:r>
      <w:r w:rsidRPr="00E0488D">
        <w:rPr>
          <w:rStyle w:val="hps"/>
          <w:rFonts w:cs="Arial"/>
          <w:color w:val="000000" w:themeColor="text1"/>
        </w:rPr>
        <w:t>Rețeaua feroviară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împărțită în</w:t>
      </w:r>
      <w:r w:rsidRPr="00E0488D">
        <w:t xml:space="preserve"> </w:t>
      </w:r>
      <w:r w:rsidRPr="00E0488D">
        <w:rPr>
          <w:rStyle w:val="hps"/>
          <w:rFonts w:cs="Arial"/>
          <w:color w:val="000000" w:themeColor="text1"/>
        </w:rPr>
        <w:t>8 regiuni</w:t>
      </w:r>
      <w:r w:rsidRPr="00E0488D">
        <w:t xml:space="preserve">, unde </w:t>
      </w:r>
      <w:r w:rsidRPr="00E0488D">
        <w:rPr>
          <w:rStyle w:val="hps"/>
          <w:rFonts w:cs="Arial"/>
          <w:color w:val="000000" w:themeColor="text1"/>
        </w:rPr>
        <w:t>Bucuresti</w:t>
      </w:r>
      <w:r w:rsidRPr="00E0488D">
        <w:t xml:space="preserve"> </w:t>
      </w:r>
      <w:r w:rsidRPr="00E0488D">
        <w:rPr>
          <w:rStyle w:val="hps"/>
          <w:rFonts w:cs="Arial"/>
          <w:color w:val="000000" w:themeColor="text1"/>
        </w:rPr>
        <w:t>reprezintă Regiunea 1</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Constanta, regiunea</w:t>
      </w:r>
      <w:r w:rsidRPr="00E0488D">
        <w:t xml:space="preserve"> </w:t>
      </w:r>
      <w:r w:rsidRPr="00E0488D">
        <w:rPr>
          <w:rStyle w:val="hps"/>
          <w:rFonts w:cs="Arial"/>
          <w:color w:val="000000" w:themeColor="text1"/>
        </w:rPr>
        <w:t>8.</w:t>
      </w:r>
      <w:r w:rsidRPr="00E0488D">
        <w:t xml:space="preserve"> </w:t>
      </w:r>
      <w:r w:rsidRPr="00E0488D">
        <w:rPr>
          <w:rStyle w:val="hps"/>
          <w:rFonts w:cs="Arial"/>
          <w:color w:val="000000" w:themeColor="text1"/>
        </w:rPr>
        <w:t>Tabelul de mai sus</w:t>
      </w:r>
      <w:r w:rsidRPr="00E0488D">
        <w:t xml:space="preserve"> </w:t>
      </w:r>
      <w:r w:rsidRPr="00E0488D">
        <w:rPr>
          <w:rStyle w:val="hps"/>
          <w:rFonts w:cs="Arial"/>
          <w:color w:val="000000" w:themeColor="text1"/>
        </w:rPr>
        <w:t>arată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primele</w:t>
      </w:r>
      <w:r w:rsidRPr="00E0488D">
        <w:t xml:space="preserve"> </w:t>
      </w:r>
      <w:r w:rsidRPr="00E0488D">
        <w:rPr>
          <w:rStyle w:val="hps"/>
          <w:rFonts w:cs="Arial"/>
          <w:color w:val="000000" w:themeColor="text1"/>
        </w:rPr>
        <w:t>două fluxuri</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tonaj</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regiunile</w:t>
      </w:r>
      <w:r w:rsidRPr="00E0488D">
        <w:t xml:space="preserve"> </w:t>
      </w:r>
      <w:r w:rsidRPr="00E0488D">
        <w:rPr>
          <w:rStyle w:val="hps"/>
          <w:rFonts w:cs="Arial"/>
          <w:color w:val="000000" w:themeColor="text1"/>
        </w:rPr>
        <w:t>5 și</w:t>
      </w:r>
      <w:r w:rsidRPr="00E0488D">
        <w:t xml:space="preserve"> </w:t>
      </w:r>
      <w:r w:rsidRPr="00E0488D">
        <w:rPr>
          <w:rStyle w:val="hps"/>
          <w:rFonts w:cs="Arial"/>
          <w:color w:val="000000" w:themeColor="text1"/>
        </w:rPr>
        <w:t>6</w:t>
      </w:r>
      <w:r w:rsidRPr="00E0488D">
        <w:t xml:space="preserve">, care </w:t>
      </w:r>
      <w:r w:rsidRPr="00E0488D">
        <w:rPr>
          <w:rStyle w:val="hps"/>
          <w:rFonts w:cs="Arial"/>
          <w:color w:val="000000" w:themeColor="text1"/>
        </w:rPr>
        <w:t>sunt</w:t>
      </w:r>
      <w:r w:rsidRPr="00E0488D">
        <w:t xml:space="preserve"> </w:t>
      </w:r>
      <w:r w:rsidRPr="00E0488D">
        <w:rPr>
          <w:rStyle w:val="hps"/>
          <w:rFonts w:cs="Arial"/>
          <w:color w:val="000000" w:themeColor="text1"/>
        </w:rPr>
        <w:t>zonele centrale</w:t>
      </w:r>
      <w:r w:rsidRPr="00E0488D">
        <w:t xml:space="preserve"> </w:t>
      </w:r>
      <w:r w:rsidRPr="00E0488D">
        <w:rPr>
          <w:rStyle w:val="hps"/>
          <w:rFonts w:cs="Arial"/>
          <w:color w:val="000000" w:themeColor="text1"/>
        </w:rPr>
        <w:t>și de est</w:t>
      </w:r>
      <w:r w:rsidRPr="00E0488D">
        <w:t xml:space="preserve"> </w:t>
      </w:r>
      <w:r w:rsidRPr="00E0488D">
        <w:rPr>
          <w:rStyle w:val="hps"/>
          <w:rFonts w:cs="Arial"/>
          <w:color w:val="000000" w:themeColor="text1"/>
        </w:rPr>
        <w:t>de producție</w:t>
      </w:r>
      <w:r w:rsidRPr="00E0488D">
        <w:t xml:space="preserve">, cu </w:t>
      </w:r>
      <w:r w:rsidRPr="00E0488D">
        <w:rPr>
          <w:rStyle w:val="hps"/>
          <w:rFonts w:cs="Arial"/>
          <w:color w:val="000000" w:themeColor="text1"/>
        </w:rPr>
        <w:t>produse</w:t>
      </w:r>
      <w:r w:rsidRPr="00E0488D">
        <w:t xml:space="preserve"> transportate </w:t>
      </w:r>
      <w:r w:rsidRPr="00E0488D">
        <w:rPr>
          <w:rStyle w:val="hps"/>
          <w:rFonts w:cs="Arial"/>
          <w:color w:val="000000" w:themeColor="text1"/>
        </w:rPr>
        <w:t>la</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export</w:t>
      </w:r>
      <w:r w:rsidRPr="00E0488D">
        <w:t xml:space="preserve">. </w:t>
      </w:r>
      <w:r w:rsidRPr="00E0488D">
        <w:rPr>
          <w:rStyle w:val="hps"/>
          <w:rFonts w:cs="Arial"/>
          <w:color w:val="000000" w:themeColor="text1"/>
        </w:rPr>
        <w:t>Deloc surprinzător</w:t>
      </w:r>
      <w:r w:rsidRPr="00E0488D">
        <w:t xml:space="preserve"> </w:t>
      </w:r>
      <w:r w:rsidRPr="00E0488D">
        <w:rPr>
          <w:rStyle w:val="hps"/>
          <w:rFonts w:cs="Arial"/>
          <w:color w:val="000000" w:themeColor="text1"/>
        </w:rPr>
        <w:t>primele</w:t>
      </w:r>
      <w:r w:rsidRPr="00E0488D">
        <w:t xml:space="preserve"> </w:t>
      </w:r>
      <w:r w:rsidRPr="00E0488D">
        <w:rPr>
          <w:rStyle w:val="hps"/>
          <w:rFonts w:cs="Arial"/>
          <w:color w:val="000000" w:themeColor="text1"/>
        </w:rPr>
        <w:t>două fluxuri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goale</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port către</w:t>
      </w:r>
      <w:r w:rsidRPr="00E0488D">
        <w:t xml:space="preserve"> </w:t>
      </w:r>
      <w:r w:rsidRPr="00E0488D">
        <w:rPr>
          <w:rStyle w:val="hps"/>
          <w:rFonts w:cs="Arial"/>
          <w:color w:val="000000" w:themeColor="text1"/>
        </w:rPr>
        <w:t>aceleasi regiuni</w:t>
      </w:r>
      <w:r w:rsidRPr="00E0488D">
        <w:t>.</w:t>
      </w:r>
    </w:p>
    <w:p w:rsidR="00BD59B2" w:rsidRPr="00E0488D" w:rsidRDefault="00BD59B2" w:rsidP="00BD59B2">
      <w:pPr>
        <w:pStyle w:val="Body"/>
        <w:spacing w:before="120" w:after="120"/>
        <w:ind w:left="851"/>
        <w:rPr>
          <w:rFonts w:cs="Arial"/>
          <w:b/>
          <w:i w:val="0"/>
          <w:lang w:val="ro-RO"/>
        </w:rPr>
      </w:pPr>
      <w:r w:rsidRPr="00E0488D">
        <w:rPr>
          <w:rFonts w:cs="Arial"/>
          <w:b/>
          <w:i w:val="0"/>
          <w:lang w:val="ro-RO"/>
        </w:rPr>
        <w:t>Tabelul 8.8 Top 20 transporturi de containere goale pe cale ferată în Romania, de către CFR Marfă, pe tonaj</w:t>
      </w:r>
    </w:p>
    <w:tbl>
      <w:tblPr>
        <w:tblW w:w="795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1036"/>
        <w:gridCol w:w="2367"/>
        <w:gridCol w:w="2410"/>
        <w:gridCol w:w="1417"/>
      </w:tblGrid>
      <w:tr w:rsidR="00BD59B2" w:rsidRPr="00E0488D" w:rsidTr="009972B3">
        <w:trPr>
          <w:trHeight w:val="255"/>
          <w:tblHeader/>
        </w:trPr>
        <w:tc>
          <w:tcPr>
            <w:tcW w:w="754" w:type="dxa"/>
            <w:shd w:val="clear" w:color="auto" w:fill="C6D9F1"/>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Poziția</w:t>
            </w:r>
          </w:p>
        </w:tc>
        <w:tc>
          <w:tcPr>
            <w:tcW w:w="1005" w:type="dxa"/>
            <w:shd w:val="clear" w:color="auto" w:fill="C6D9F1"/>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Regiune</w:t>
            </w:r>
          </w:p>
        </w:tc>
        <w:tc>
          <w:tcPr>
            <w:tcW w:w="2367" w:type="dxa"/>
            <w:shd w:val="clear" w:color="auto" w:fill="C6D9F1"/>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Origine</w:t>
            </w:r>
          </w:p>
        </w:tc>
        <w:tc>
          <w:tcPr>
            <w:tcW w:w="2410" w:type="dxa"/>
            <w:shd w:val="clear" w:color="auto" w:fill="C6D9F1"/>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Destinație</w:t>
            </w:r>
          </w:p>
        </w:tc>
        <w:tc>
          <w:tcPr>
            <w:tcW w:w="1417" w:type="dxa"/>
            <w:shd w:val="clear" w:color="auto" w:fill="C6D9F1"/>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Total</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VINTU DE JOS</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51.588</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2</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DORNESTI</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34.136</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3</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CIUMESTI</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16.443</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4</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3</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CURTICI</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VINTU DE JOS</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15.041</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5</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6</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DORNESTI/VICSAN</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CIUMESTI</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13.380</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6</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3</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CURTICI</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DORNESTI</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11.044</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7</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BRASOV TRIAJ</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8.343</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GOVORA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7.551</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9</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PLOIESTI CRING</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6.729</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10</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BUCURESTI</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9.478</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11</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SUCEAVA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5.158</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12</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3</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CURTICI</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CURTICI</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4.091</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13</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CLUJ NAPOCA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3.343</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14</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BACAU</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3.696</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15</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TIRGU MURES</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2.914</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16</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BUJORENI VILCEA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2.700</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17</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TIRGOVISTE</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2.580</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18</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4</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ZALAU</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2.043</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19</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LUNCA DE MIJLOC</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1.744</w:t>
            </w:r>
          </w:p>
        </w:tc>
      </w:tr>
      <w:tr w:rsidR="00BD59B2" w:rsidRPr="00E0488D" w:rsidTr="009972B3">
        <w:trPr>
          <w:trHeight w:val="255"/>
        </w:trPr>
        <w:tc>
          <w:tcPr>
            <w:tcW w:w="754" w:type="dxa"/>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20</w:t>
            </w:r>
          </w:p>
        </w:tc>
        <w:tc>
          <w:tcPr>
            <w:tcW w:w="1005"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8</w:t>
            </w:r>
          </w:p>
        </w:tc>
        <w:tc>
          <w:tcPr>
            <w:tcW w:w="2367"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2410" w:type="dxa"/>
            <w:shd w:val="clear" w:color="auto" w:fill="auto"/>
            <w:noWrap/>
            <w:vAlign w:val="center"/>
            <w:hideMark/>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CONSTANTA</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1.742</w:t>
            </w:r>
          </w:p>
        </w:tc>
      </w:tr>
      <w:tr w:rsidR="00BD59B2" w:rsidRPr="00E0488D" w:rsidTr="009972B3">
        <w:trPr>
          <w:trHeight w:val="255"/>
        </w:trPr>
        <w:tc>
          <w:tcPr>
            <w:tcW w:w="6536" w:type="dxa"/>
            <w:gridSpan w:val="4"/>
            <w:vAlign w:val="center"/>
          </w:tcPr>
          <w:p w:rsidR="00BD59B2" w:rsidRPr="00E0488D" w:rsidRDefault="00BD59B2" w:rsidP="009972B3">
            <w:pPr>
              <w:spacing w:line="276" w:lineRule="auto"/>
              <w:jc w:val="center"/>
              <w:rPr>
                <w:sz w:val="22"/>
                <w:szCs w:val="22"/>
                <w:lang w:val="ro-RO" w:eastAsia="en-GB"/>
              </w:rPr>
            </w:pPr>
            <w:r w:rsidRPr="00E0488D">
              <w:rPr>
                <w:sz w:val="22"/>
                <w:szCs w:val="22"/>
                <w:lang w:val="ro-RO" w:eastAsia="en-GB"/>
              </w:rPr>
              <w:t>Total</w:t>
            </w:r>
          </w:p>
        </w:tc>
        <w:tc>
          <w:tcPr>
            <w:tcW w:w="1417"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203.744</w:t>
            </w:r>
          </w:p>
        </w:tc>
      </w:tr>
    </w:tbl>
    <w:p w:rsidR="00BD59B2" w:rsidRPr="00E0488D" w:rsidRDefault="00BD59B2" w:rsidP="00BD59B2">
      <w:pPr>
        <w:pStyle w:val="Frspaiere1"/>
        <w:ind w:left="851"/>
        <w:rPr>
          <w:rFonts w:ascii="Arial" w:hAnsi="Arial" w:cs="Arial"/>
          <w:i/>
          <w:sz w:val="18"/>
          <w:szCs w:val="18"/>
          <w:lang w:val="ro-RO"/>
        </w:rPr>
      </w:pPr>
      <w:r w:rsidRPr="00E0488D">
        <w:rPr>
          <w:rFonts w:ascii="Arial" w:hAnsi="Arial" w:cs="Arial"/>
          <w:i/>
          <w:sz w:val="18"/>
          <w:szCs w:val="18"/>
          <w:lang w:val="ro-RO"/>
        </w:rPr>
        <w:t xml:space="preserve">Sursa: Analiza AECOM privind datele CFR Marfă </w:t>
      </w:r>
    </w:p>
    <w:p w:rsidR="00BD59B2" w:rsidRPr="00E0488D" w:rsidRDefault="00BD59B2" w:rsidP="00BD59B2">
      <w:pPr>
        <w:pStyle w:val="Hdg3"/>
        <w:spacing w:after="120"/>
      </w:pPr>
      <w:r w:rsidRPr="00E0488D">
        <w:t>Transport de containere goale, pe tonaj</w:t>
      </w:r>
    </w:p>
    <w:p w:rsidR="00BD59B2" w:rsidRPr="00E0488D" w:rsidRDefault="00BD59B2" w:rsidP="002B7E09">
      <w:pPr>
        <w:pStyle w:val="NumberedParas"/>
      </w:pPr>
      <w:r w:rsidRPr="00E0488D">
        <w:rPr>
          <w:rStyle w:val="hps"/>
          <w:rFonts w:cs="Arial"/>
          <w:color w:val="000000" w:themeColor="text1"/>
        </w:rPr>
        <w:t>Există</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dezechilibru</w:t>
      </w:r>
      <w:r w:rsidRPr="00E0488D">
        <w:t xml:space="preserve"> </w:t>
      </w:r>
      <w:r w:rsidRPr="00E0488D">
        <w:rPr>
          <w:rStyle w:val="hps"/>
          <w:rFonts w:cs="Arial"/>
          <w:color w:val="000000" w:themeColor="text1"/>
        </w:rPr>
        <w:t>clar</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fluxul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 încărcate</w:t>
      </w:r>
      <w:r w:rsidRPr="00E0488D">
        <w:t xml:space="preserve"> </w:t>
      </w:r>
      <w:r w:rsidRPr="00E0488D">
        <w:rPr>
          <w:rStyle w:val="hps"/>
          <w:rFonts w:cs="Arial"/>
          <w:color w:val="000000" w:themeColor="text1"/>
        </w:rPr>
        <w:t>transportate pe</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existând mai</w:t>
      </w:r>
      <w:r w:rsidRPr="00E0488D">
        <w:t xml:space="preserve"> multe </w:t>
      </w:r>
      <w:r w:rsidRPr="00E0488D">
        <w:rPr>
          <w:rStyle w:val="hps"/>
          <w:rFonts w:cs="Arial"/>
          <w:color w:val="000000" w:themeColor="text1"/>
        </w:rPr>
        <w:t>containere încărcate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produse finite</w:t>
      </w:r>
      <w:r w:rsidRPr="00E0488D">
        <w:t xml:space="preserve"> care </w:t>
      </w:r>
      <w:r w:rsidRPr="00E0488D">
        <w:rPr>
          <w:rStyle w:val="hps"/>
          <w:rFonts w:cs="Arial"/>
          <w:color w:val="000000" w:themeColor="text1"/>
        </w:rPr>
        <w:t>merg</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export</w:t>
      </w:r>
      <w:r w:rsidRPr="00E0488D">
        <w:t xml:space="preserve"> </w:t>
      </w:r>
      <w:r w:rsidRPr="00E0488D">
        <w:rPr>
          <w:rStyle w:val="hps"/>
          <w:rFonts w:cs="Arial"/>
          <w:color w:val="000000" w:themeColor="text1"/>
        </w:rPr>
        <w:t>decât</w:t>
      </w:r>
      <w:r w:rsidRPr="00E0488D">
        <w:t xml:space="preserve"> cele cu bunuri </w:t>
      </w:r>
      <w:r w:rsidRPr="00E0488D">
        <w:rPr>
          <w:rStyle w:val="hps"/>
          <w:rFonts w:cs="Arial"/>
          <w:color w:val="000000" w:themeColor="text1"/>
        </w:rPr>
        <w:t>pentru</w:t>
      </w:r>
      <w:r w:rsidRPr="00E0488D">
        <w:t xml:space="preserve"> </w:t>
      </w:r>
      <w:r w:rsidRPr="00E0488D">
        <w:rPr>
          <w:rStyle w:val="hps"/>
          <w:rFonts w:cs="Arial"/>
          <w:color w:val="000000" w:themeColor="text1"/>
        </w:rPr>
        <w:t>import</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necesită</w:t>
      </w:r>
      <w:r w:rsidRPr="00E0488D">
        <w:t xml:space="preserve"> </w:t>
      </w:r>
      <w:r w:rsidRPr="00E0488D">
        <w:rPr>
          <w:rStyle w:val="hps"/>
          <w:rFonts w:cs="Arial"/>
          <w:color w:val="000000" w:themeColor="text1"/>
        </w:rPr>
        <w:t>transportul</w:t>
      </w:r>
      <w:r w:rsidRPr="00E0488D">
        <w:t xml:space="preserve"> </w:t>
      </w:r>
      <w:r w:rsidRPr="00E0488D">
        <w:rPr>
          <w:rStyle w:val="hps"/>
          <w:rFonts w:cs="Arial"/>
          <w:color w:val="000000" w:themeColor="text1"/>
        </w:rPr>
        <w:t>containerelor goale</w:t>
      </w:r>
      <w:r w:rsidRPr="00E0488D">
        <w:t xml:space="preserve"> </w:t>
      </w:r>
      <w:r w:rsidRPr="00E0488D">
        <w:rPr>
          <w:rStyle w:val="hps"/>
          <w:rFonts w:cs="Arial"/>
          <w:color w:val="000000" w:themeColor="text1"/>
        </w:rPr>
        <w:t>în interiorul țării spre fabricile cheie</w:t>
      </w:r>
      <w:r w:rsidRPr="00E0488D">
        <w:t xml:space="preserve">. </w:t>
      </w:r>
    </w:p>
    <w:p w:rsidR="00BD59B2" w:rsidRPr="00E0488D" w:rsidRDefault="00BD59B2" w:rsidP="002B7E09">
      <w:pPr>
        <w:pStyle w:val="NumberedParas"/>
      </w:pPr>
      <w:r w:rsidRPr="00E0488D">
        <w:rPr>
          <w:rStyle w:val="hps"/>
          <w:rFonts w:cs="Arial"/>
          <w:color w:val="000000" w:themeColor="text1"/>
        </w:rPr>
        <w:t>Cel mai mare flux</w:t>
      </w:r>
      <w:r w:rsidRPr="00E0488D">
        <w:t xml:space="preserve"> </w:t>
      </w:r>
      <w:r w:rsidRPr="00E0488D">
        <w:rPr>
          <w:rStyle w:val="hps"/>
          <w:rFonts w:cs="Arial"/>
          <w:color w:val="000000" w:themeColor="text1"/>
        </w:rPr>
        <w:t>de containere de pe</w:t>
      </w:r>
      <w:r w:rsidRPr="00E0488D">
        <w:t xml:space="preserve"> </w:t>
      </w:r>
      <w:r w:rsidRPr="00E0488D">
        <w:rPr>
          <w:rStyle w:val="hps"/>
          <w:rFonts w:cs="Arial"/>
          <w:color w:val="000000" w:themeColor="text1"/>
        </w:rPr>
        <w:t>trenurile</w:t>
      </w:r>
      <w:r w:rsidRPr="00E0488D">
        <w:t xml:space="preserve"> </w:t>
      </w:r>
      <w:r w:rsidRPr="00E0488D">
        <w:rPr>
          <w:rStyle w:val="hps"/>
          <w:rFonts w:cs="Arial"/>
          <w:color w:val="000000" w:themeColor="text1"/>
        </w:rPr>
        <w:t>operate de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este către și de la</w:t>
      </w:r>
      <w:r w:rsidRPr="00E0488D">
        <w:t xml:space="preserve"> </w:t>
      </w:r>
      <w:r w:rsidRPr="00E0488D">
        <w:rPr>
          <w:rStyle w:val="hps"/>
          <w:rFonts w:cs="Arial"/>
          <w:color w:val="000000" w:themeColor="text1"/>
        </w:rPr>
        <w:t>Vintu de Jos</w:t>
      </w:r>
      <w:r w:rsidRPr="00E0488D">
        <w:t xml:space="preserve">. </w:t>
      </w:r>
      <w:r w:rsidRPr="00E0488D">
        <w:rPr>
          <w:rStyle w:val="hps"/>
          <w:rFonts w:cs="Arial"/>
          <w:color w:val="000000" w:themeColor="text1"/>
        </w:rPr>
        <w:t>Zona este</w:t>
      </w:r>
      <w:r w:rsidRPr="00E0488D">
        <w:t xml:space="preserve"> </w:t>
      </w:r>
      <w:r w:rsidRPr="00E0488D">
        <w:rPr>
          <w:rStyle w:val="hps"/>
          <w:rFonts w:cs="Arial"/>
          <w:color w:val="000000" w:themeColor="text1"/>
        </w:rPr>
        <w:t>una</w:t>
      </w:r>
      <w:r w:rsidRPr="00E0488D">
        <w:t xml:space="preserve"> </w:t>
      </w:r>
      <w:r w:rsidRPr="00E0488D">
        <w:rPr>
          <w:rStyle w:val="hps"/>
          <w:rFonts w:cs="Arial"/>
          <w:color w:val="000000" w:themeColor="text1"/>
        </w:rPr>
        <w:t>dintre principalele surse</w:t>
      </w:r>
      <w:r w:rsidRPr="00E0488D">
        <w:t xml:space="preserve"> </w:t>
      </w:r>
      <w:r w:rsidRPr="00E0488D">
        <w:rPr>
          <w:rStyle w:val="hps"/>
          <w:rFonts w:cs="Arial"/>
          <w:color w:val="000000" w:themeColor="text1"/>
        </w:rPr>
        <w:t>de produse din lemn</w:t>
      </w:r>
      <w:r w:rsidRPr="00E0488D">
        <w:t xml:space="preserve">, iar cei de la </w:t>
      </w:r>
      <w:r w:rsidRPr="00E0488D">
        <w:rPr>
          <w:rStyle w:val="hps"/>
          <w:rFonts w:cs="Arial"/>
          <w:color w:val="000000" w:themeColor="text1"/>
        </w:rPr>
        <w:t>Kronospan</w:t>
      </w:r>
      <w:r w:rsidRPr="00E0488D">
        <w:t xml:space="preserve"> </w:t>
      </w:r>
      <w:r w:rsidRPr="00E0488D">
        <w:rPr>
          <w:rStyle w:val="hps"/>
          <w:rFonts w:cs="Arial"/>
          <w:color w:val="000000" w:themeColor="text1"/>
        </w:rPr>
        <w:t>au</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mare fabrică</w:t>
      </w:r>
      <w:r w:rsidRPr="00E0488D">
        <w:t xml:space="preserve"> </w:t>
      </w:r>
      <w:r w:rsidRPr="00E0488D">
        <w:rPr>
          <w:rStyle w:val="hps"/>
          <w:rFonts w:cs="Arial"/>
          <w:color w:val="000000" w:themeColor="text1"/>
        </w:rPr>
        <w:t>de prelucrare a lemnului</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peste</w:t>
      </w:r>
      <w:r w:rsidRPr="00E0488D">
        <w:t xml:space="preserve"> </w:t>
      </w:r>
      <w:r w:rsidRPr="00E0488D">
        <w:rPr>
          <w:rStyle w:val="hps"/>
          <w:rFonts w:cs="Arial"/>
          <w:color w:val="000000" w:themeColor="text1"/>
        </w:rPr>
        <w:t>500 de angajați</w:t>
      </w:r>
      <w:r w:rsidRPr="00E0488D">
        <w:t xml:space="preserve">. </w:t>
      </w:r>
      <w:r w:rsidRPr="00E0488D">
        <w:rPr>
          <w:rStyle w:val="hps"/>
          <w:rFonts w:cs="Arial"/>
          <w:color w:val="000000" w:themeColor="text1"/>
        </w:rPr>
        <w:t>Aceasta produce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gama largă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produse</w:t>
      </w:r>
      <w:r w:rsidRPr="00E0488D">
        <w:t xml:space="preserve"> </w:t>
      </w:r>
      <w:r w:rsidRPr="00E0488D">
        <w:rPr>
          <w:rStyle w:val="hps"/>
          <w:rFonts w:cs="Arial"/>
          <w:color w:val="000000" w:themeColor="text1"/>
        </w:rPr>
        <w:t>forestiere</w:t>
      </w:r>
      <w:r w:rsidRPr="00E0488D">
        <w:t xml:space="preserve">, inclusiv </w:t>
      </w:r>
      <w:r w:rsidRPr="00E0488D">
        <w:rPr>
          <w:rStyle w:val="hps"/>
          <w:rFonts w:cs="Arial"/>
          <w:color w:val="000000" w:themeColor="text1"/>
        </w:rPr>
        <w:t>plăci fibrolemnoase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mobilă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 mare parte din</w:t>
      </w:r>
      <w:r w:rsidRPr="00E0488D">
        <w:t xml:space="preserve"> </w:t>
      </w:r>
      <w:r w:rsidRPr="00E0488D">
        <w:rPr>
          <w:rStyle w:val="hps"/>
          <w:rFonts w:cs="Arial"/>
          <w:color w:val="000000" w:themeColor="text1"/>
        </w:rPr>
        <w:t>marfă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exportată în containere</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Portul Constanța</w:t>
      </w:r>
      <w:r w:rsidRPr="00E0488D">
        <w:t xml:space="preserve">. La </w:t>
      </w:r>
      <w:r w:rsidRPr="00E0488D">
        <w:rPr>
          <w:rStyle w:val="hps"/>
          <w:rFonts w:cs="Arial"/>
          <w:color w:val="000000" w:themeColor="text1"/>
        </w:rPr>
        <w:t>Vintu de Jos</w:t>
      </w:r>
      <w:r w:rsidRPr="00E0488D">
        <w:t xml:space="preserve"> </w:t>
      </w:r>
      <w:r w:rsidRPr="00E0488D">
        <w:rPr>
          <w:rStyle w:val="hps"/>
          <w:rFonts w:cs="Arial"/>
          <w:color w:val="000000" w:themeColor="text1"/>
        </w:rPr>
        <w:t>există o recepție de linii de garare pentru</w:t>
      </w:r>
      <w:r w:rsidRPr="00E0488D">
        <w:t xml:space="preserve"> </w:t>
      </w:r>
      <w:r w:rsidRPr="00E0488D">
        <w:rPr>
          <w:rStyle w:val="hps"/>
          <w:rFonts w:cs="Arial"/>
          <w:color w:val="000000" w:themeColor="text1"/>
        </w:rPr>
        <w:t>diferite părți</w:t>
      </w:r>
      <w:r w:rsidRPr="00E0488D">
        <w:t xml:space="preserve"> </w:t>
      </w:r>
      <w:r w:rsidRPr="00E0488D">
        <w:rPr>
          <w:rStyle w:val="hps"/>
          <w:rFonts w:cs="Arial"/>
          <w:color w:val="000000" w:themeColor="text1"/>
        </w:rPr>
        <w:t>separate din fabrică</w:t>
      </w:r>
      <w:r w:rsidRPr="00E0488D">
        <w:t xml:space="preserve">. </w:t>
      </w:r>
      <w:r w:rsidRPr="00E0488D">
        <w:rPr>
          <w:rStyle w:val="hps"/>
          <w:rFonts w:cs="Arial"/>
          <w:color w:val="000000" w:themeColor="text1"/>
        </w:rPr>
        <w:t>Produsele</w:t>
      </w:r>
      <w:r w:rsidRPr="00E0488D">
        <w:t xml:space="preserve"> </w:t>
      </w:r>
      <w:r w:rsidRPr="00E0488D">
        <w:rPr>
          <w:rStyle w:val="hps"/>
          <w:rFonts w:cs="Arial"/>
          <w:color w:val="000000" w:themeColor="text1"/>
        </w:rPr>
        <w:t>care sosesc</w:t>
      </w:r>
      <w:r w:rsidRPr="00E0488D">
        <w:t xml:space="preserve"> </w:t>
      </w:r>
      <w:r w:rsidRPr="00E0488D">
        <w:rPr>
          <w:rStyle w:val="hps"/>
          <w:rFonts w:cs="Arial"/>
          <w:color w:val="000000" w:themeColor="text1"/>
        </w:rPr>
        <w:t>la fabrica</w:t>
      </w:r>
      <w:r w:rsidRPr="00E0488D">
        <w:t xml:space="preserve"> </w:t>
      </w:r>
      <w:r w:rsidRPr="00E0488D">
        <w:rPr>
          <w:rStyle w:val="hps"/>
          <w:rFonts w:cs="Arial"/>
          <w:color w:val="000000" w:themeColor="text1"/>
        </w:rPr>
        <w:t>includ</w:t>
      </w:r>
      <w:r w:rsidRPr="00E0488D">
        <w:t xml:space="preserve"> </w:t>
      </w:r>
      <w:r w:rsidRPr="00E0488D">
        <w:rPr>
          <w:rStyle w:val="hps"/>
          <w:rFonts w:cs="Arial"/>
          <w:color w:val="000000" w:themeColor="text1"/>
        </w:rPr>
        <w:t>cherestea</w:t>
      </w:r>
      <w:r w:rsidRPr="00E0488D">
        <w:t xml:space="preserve">, </w:t>
      </w:r>
      <w:r w:rsidRPr="00E0488D">
        <w:rPr>
          <w:rStyle w:val="hps"/>
          <w:rFonts w:cs="Arial"/>
          <w:color w:val="000000" w:themeColor="text1"/>
        </w:rPr>
        <w:t>produse chimice</w:t>
      </w:r>
      <w:r w:rsidRPr="00E0488D">
        <w:t xml:space="preserve">, </w:t>
      </w:r>
      <w:r w:rsidRPr="00E0488D">
        <w:rPr>
          <w:rStyle w:val="hps"/>
          <w:rFonts w:cs="Arial"/>
          <w:color w:val="000000" w:themeColor="text1"/>
        </w:rPr>
        <w:t>minerale</w:t>
      </w:r>
      <w:r w:rsidRPr="00E0488D">
        <w:t xml:space="preserve"> </w:t>
      </w:r>
      <w:r w:rsidRPr="00E0488D">
        <w:rPr>
          <w:rStyle w:val="hps"/>
          <w:rFonts w:cs="Arial"/>
          <w:color w:val="000000" w:themeColor="text1"/>
        </w:rPr>
        <w:t>(</w:t>
      </w:r>
      <w:r w:rsidRPr="00E0488D">
        <w:t xml:space="preserve">azot), </w:t>
      </w:r>
      <w:r w:rsidRPr="00E0488D">
        <w:rPr>
          <w:rStyle w:val="hps"/>
          <w:rFonts w:cs="Arial"/>
          <w:color w:val="000000" w:themeColor="text1"/>
        </w:rPr>
        <w:t>și</w:t>
      </w:r>
      <w:r w:rsidRPr="00E0488D">
        <w:t xml:space="preserve"> </w:t>
      </w:r>
      <w:r w:rsidRPr="00E0488D">
        <w:rPr>
          <w:rStyle w:val="hps"/>
          <w:rFonts w:cs="Arial"/>
          <w:color w:val="000000" w:themeColor="text1"/>
        </w:rPr>
        <w:t>containere goale</w:t>
      </w:r>
      <w:r w:rsidRPr="00E0488D">
        <w:t>, iar</w:t>
      </w:r>
      <w:r w:rsidRPr="00E0488D">
        <w:rPr>
          <w:rStyle w:val="hps"/>
          <w:rFonts w:cs="Arial"/>
          <w:color w:val="000000" w:themeColor="text1"/>
        </w:rPr>
        <w:t xml:space="preserve"> în general</w:t>
      </w:r>
      <w:r w:rsidRPr="00E0488D">
        <w:t xml:space="preserve"> </w:t>
      </w:r>
      <w:r w:rsidRPr="00E0488D">
        <w:rPr>
          <w:rStyle w:val="hps"/>
          <w:rFonts w:cs="Arial"/>
          <w:color w:val="000000" w:themeColor="text1"/>
        </w:rPr>
        <w:t>containerele</w:t>
      </w:r>
      <w:r w:rsidRPr="00E0488D">
        <w:t xml:space="preserve"> </w:t>
      </w:r>
      <w:r w:rsidRPr="00E0488D">
        <w:rPr>
          <w:rStyle w:val="hps"/>
          <w:rFonts w:cs="Arial"/>
          <w:color w:val="000000" w:themeColor="text1"/>
        </w:rPr>
        <w:t>complet încărcate pleacă cu mobilier</w:t>
      </w:r>
      <w:r w:rsidRPr="00E0488D">
        <w:t xml:space="preserve">, </w:t>
      </w:r>
      <w:r w:rsidRPr="00E0488D">
        <w:rPr>
          <w:rStyle w:val="hps"/>
          <w:rFonts w:cs="Arial"/>
          <w:color w:val="000000" w:themeColor="text1"/>
        </w:rPr>
        <w:t>plăci fibrolemnoase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cherestea</w:t>
      </w:r>
      <w:r w:rsidRPr="00E0488D">
        <w:t>.</w:t>
      </w:r>
    </w:p>
    <w:p w:rsidR="00BD59B2" w:rsidRPr="00E0488D" w:rsidRDefault="00BD59B2" w:rsidP="002B7E09">
      <w:pPr>
        <w:pStyle w:val="NumberedParas"/>
      </w:pPr>
      <w:r w:rsidRPr="00E0488D">
        <w:rPr>
          <w:rStyle w:val="hps"/>
          <w:rFonts w:cs="Arial"/>
          <w:color w:val="000000" w:themeColor="text1"/>
        </w:rPr>
        <w:t>Celelalte fluxuri</w:t>
      </w:r>
      <w:r w:rsidRPr="00E0488D">
        <w:t xml:space="preserve"> de volume mari </w:t>
      </w:r>
      <w:r w:rsidRPr="00E0488D">
        <w:rPr>
          <w:rStyle w:val="hps"/>
          <w:rFonts w:cs="Arial"/>
          <w:color w:val="000000" w:themeColor="text1"/>
        </w:rPr>
        <w:t>de containere</w:t>
      </w:r>
      <w:r w:rsidRPr="00E0488D">
        <w:t xml:space="preserve"> </w:t>
      </w:r>
      <w:r w:rsidRPr="00E0488D">
        <w:rPr>
          <w:rStyle w:val="hps"/>
          <w:rFonts w:cs="Arial"/>
          <w:color w:val="000000" w:themeColor="text1"/>
        </w:rPr>
        <w:t>reflectă</w:t>
      </w:r>
      <w:r w:rsidRPr="00E0488D">
        <w:t xml:space="preserve"> </w:t>
      </w:r>
      <w:r w:rsidRPr="00E0488D">
        <w:rPr>
          <w:rStyle w:val="hps"/>
          <w:rFonts w:cs="Arial"/>
          <w:color w:val="000000" w:themeColor="text1"/>
        </w:rPr>
        <w:t>localizarea</w:t>
      </w:r>
      <w:r w:rsidRPr="00E0488D">
        <w:t xml:space="preserve"> </w:t>
      </w:r>
      <w:r w:rsidRPr="00E0488D">
        <w:rPr>
          <w:rStyle w:val="hps"/>
          <w:rFonts w:cs="Arial"/>
          <w:color w:val="000000" w:themeColor="text1"/>
        </w:rPr>
        <w:t>unor importante situri industriale 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Linii de cale ferată</w:t>
      </w:r>
      <w:r w:rsidRPr="00E0488D">
        <w:t xml:space="preserve"> </w:t>
      </w:r>
      <w:r w:rsidRPr="00E0488D">
        <w:rPr>
          <w:rStyle w:val="hps"/>
          <w:rFonts w:cs="Arial"/>
          <w:color w:val="000000" w:themeColor="text1"/>
        </w:rPr>
        <w:t>deservesc</w:t>
      </w:r>
      <w:r w:rsidRPr="00E0488D">
        <w:t xml:space="preserve"> </w:t>
      </w:r>
      <w:r w:rsidRPr="00E0488D">
        <w:rPr>
          <w:rStyle w:val="hps"/>
          <w:rFonts w:cs="Arial"/>
          <w:color w:val="000000" w:themeColor="text1"/>
        </w:rPr>
        <w:t>zonele</w:t>
      </w:r>
      <w:r w:rsidRPr="00E0488D">
        <w:t xml:space="preserve"> </w:t>
      </w:r>
      <w:r w:rsidRPr="00E0488D">
        <w:rPr>
          <w:rStyle w:val="hps"/>
          <w:rFonts w:cs="Arial"/>
          <w:color w:val="000000" w:themeColor="text1"/>
        </w:rPr>
        <w:t>industriale, cum ar</w:t>
      </w:r>
      <w:r w:rsidRPr="00E0488D">
        <w:t xml:space="preserve"> </w:t>
      </w:r>
      <w:r w:rsidRPr="00E0488D">
        <w:rPr>
          <w:rStyle w:val="hps"/>
          <w:rFonts w:cs="Arial"/>
          <w:color w:val="000000" w:themeColor="text1"/>
        </w:rPr>
        <w:t>fi cele</w:t>
      </w:r>
      <w:r w:rsidRPr="00E0488D">
        <w:t xml:space="preserve"> </w:t>
      </w:r>
      <w:r w:rsidRPr="00E0488D">
        <w:rPr>
          <w:rStyle w:val="hps"/>
          <w:rFonts w:cs="Arial"/>
          <w:color w:val="000000" w:themeColor="text1"/>
        </w:rPr>
        <w:t>în apropiere de</w:t>
      </w:r>
      <w:r w:rsidRPr="00E0488D">
        <w:t xml:space="preserve"> </w:t>
      </w:r>
      <w:r w:rsidRPr="00E0488D">
        <w:rPr>
          <w:rStyle w:val="hps"/>
          <w:rFonts w:cs="Arial"/>
          <w:color w:val="000000" w:themeColor="text1"/>
        </w:rPr>
        <w:t>Bacau</w:t>
      </w:r>
      <w:r w:rsidRPr="00E0488D">
        <w:t xml:space="preserve">, </w:t>
      </w:r>
      <w:r w:rsidRPr="00E0488D">
        <w:rPr>
          <w:rStyle w:val="hps"/>
          <w:rFonts w:cs="Arial"/>
          <w:color w:val="000000" w:themeColor="text1"/>
        </w:rPr>
        <w:t>Bujoreni</w:t>
      </w:r>
      <w:r w:rsidRPr="00E0488D">
        <w:t xml:space="preserve">, </w:t>
      </w:r>
      <w:r w:rsidRPr="00E0488D">
        <w:rPr>
          <w:rStyle w:val="hps"/>
          <w:rFonts w:cs="Arial"/>
          <w:color w:val="000000" w:themeColor="text1"/>
        </w:rPr>
        <w:t>Cluj</w:t>
      </w:r>
      <w:r w:rsidRPr="00E0488D">
        <w:t xml:space="preserve">, </w:t>
      </w:r>
      <w:r w:rsidRPr="00E0488D">
        <w:rPr>
          <w:rStyle w:val="hps"/>
          <w:rFonts w:cs="Arial"/>
          <w:color w:val="000000" w:themeColor="text1"/>
        </w:rPr>
        <w:t>Turda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Timișoara</w:t>
      </w:r>
      <w:r w:rsidRPr="00E0488D">
        <w:t xml:space="preserve"> </w:t>
      </w:r>
      <w:r w:rsidRPr="00E0488D">
        <w:rPr>
          <w:rStyle w:val="hps"/>
          <w:rFonts w:cs="Arial"/>
          <w:color w:val="000000" w:themeColor="text1"/>
        </w:rPr>
        <w:t>aproape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Stamora</w:t>
      </w:r>
      <w:r w:rsidRPr="00E0488D">
        <w:t xml:space="preserve">. </w:t>
      </w:r>
      <w:r w:rsidRPr="00E0488D">
        <w:rPr>
          <w:rStyle w:val="hps"/>
          <w:rFonts w:cs="Arial"/>
          <w:color w:val="000000" w:themeColor="text1"/>
        </w:rPr>
        <w:t>Buhusi</w:t>
      </w:r>
      <w:r w:rsidRPr="00E0488D">
        <w:t xml:space="preserve">, </w:t>
      </w:r>
      <w:r w:rsidRPr="00E0488D">
        <w:rPr>
          <w:rStyle w:val="hps"/>
          <w:rFonts w:cs="Arial"/>
          <w:color w:val="000000" w:themeColor="text1"/>
        </w:rPr>
        <w:t>situat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28 km</w:t>
      </w:r>
      <w:r w:rsidRPr="00E0488D">
        <w:t xml:space="preserve"> de </w:t>
      </w:r>
      <w:r w:rsidRPr="00E0488D">
        <w:rPr>
          <w:rStyle w:val="hps"/>
          <w:rFonts w:cs="Arial"/>
          <w:color w:val="000000" w:themeColor="text1"/>
        </w:rPr>
        <w:t>Bacau</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cea mai mare fabrica</w:t>
      </w:r>
      <w:r w:rsidRPr="00E0488D">
        <w:t xml:space="preserve"> </w:t>
      </w:r>
      <w:r w:rsidRPr="00E0488D">
        <w:rPr>
          <w:rStyle w:val="hps"/>
          <w:rFonts w:cs="Arial"/>
          <w:color w:val="000000" w:themeColor="text1"/>
        </w:rPr>
        <w:t>de textile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Europa de Est</w:t>
      </w:r>
      <w:r w:rsidRPr="00E0488D">
        <w:t xml:space="preserve">. </w:t>
      </w:r>
      <w:r w:rsidRPr="00E0488D">
        <w:rPr>
          <w:rStyle w:val="hps"/>
          <w:rFonts w:cs="Arial"/>
          <w:color w:val="000000" w:themeColor="text1"/>
        </w:rPr>
        <w:t>Ploiesti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de asemenea</w:t>
      </w:r>
      <w:r w:rsidRPr="00E0488D">
        <w:t xml:space="preserve"> </w:t>
      </w:r>
      <w:r w:rsidRPr="00E0488D">
        <w:rPr>
          <w:rStyle w:val="hps"/>
          <w:rFonts w:cs="Arial"/>
          <w:color w:val="000000" w:themeColor="text1"/>
        </w:rPr>
        <w:t>una dintre cele mai</w:t>
      </w:r>
      <w:r w:rsidRPr="00E0488D">
        <w:t xml:space="preserve"> </w:t>
      </w:r>
      <w:r w:rsidRPr="00E0488D">
        <w:rPr>
          <w:rStyle w:val="hps"/>
          <w:rFonts w:cs="Arial"/>
          <w:color w:val="000000" w:themeColor="text1"/>
        </w:rPr>
        <w:t>importante</w:t>
      </w:r>
      <w:r w:rsidRPr="00E0488D">
        <w:t xml:space="preserve"> </w:t>
      </w:r>
      <w:r w:rsidRPr="00E0488D">
        <w:rPr>
          <w:rStyle w:val="hps"/>
          <w:rFonts w:cs="Arial"/>
          <w:color w:val="000000" w:themeColor="text1"/>
        </w:rPr>
        <w:t>locatii</w:t>
      </w:r>
      <w:r w:rsidRPr="00E0488D">
        <w:t xml:space="preserve"> </w:t>
      </w:r>
      <w:r w:rsidRPr="00E0488D">
        <w:rPr>
          <w:rStyle w:val="hps"/>
          <w:rFonts w:cs="Arial"/>
          <w:color w:val="000000" w:themeColor="text1"/>
        </w:rPr>
        <w:t>de productie</w:t>
      </w:r>
      <w:r w:rsidRPr="00E0488D">
        <w:t xml:space="preserve"> </w:t>
      </w:r>
      <w:r w:rsidRPr="00E0488D">
        <w:rPr>
          <w:rStyle w:val="hps"/>
          <w:rFonts w:cs="Arial"/>
          <w:color w:val="000000" w:themeColor="text1"/>
        </w:rPr>
        <w:t>textile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 plus</w:t>
      </w:r>
      <w:r w:rsidRPr="00E0488D">
        <w:t xml:space="preserve">, </w:t>
      </w:r>
      <w:r w:rsidRPr="00E0488D">
        <w:rPr>
          <w:rStyle w:val="hps"/>
          <w:rFonts w:cs="Arial"/>
          <w:color w:val="000000" w:themeColor="text1"/>
        </w:rPr>
        <w:t>Comat</w:t>
      </w:r>
      <w:r w:rsidRPr="00E0488D">
        <w:t xml:space="preserve"> </w:t>
      </w:r>
      <w:r w:rsidRPr="00E0488D">
        <w:rPr>
          <w:rStyle w:val="hps"/>
          <w:rFonts w:cs="Arial"/>
          <w:color w:val="000000" w:themeColor="text1"/>
        </w:rPr>
        <w:t>SA</w:t>
      </w:r>
      <w:r w:rsidRPr="00E0488D">
        <w:t xml:space="preserve"> </w:t>
      </w:r>
      <w:r w:rsidRPr="00E0488D">
        <w:rPr>
          <w:rStyle w:val="hps"/>
          <w:rFonts w:cs="Arial"/>
          <w:color w:val="000000" w:themeColor="text1"/>
        </w:rPr>
        <w:t>detine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unitate de productie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diverse produse</w:t>
      </w:r>
      <w:r w:rsidRPr="00E0488D">
        <w:t xml:space="preserve">, cum ar fi </w:t>
      </w:r>
      <w:r w:rsidRPr="00E0488D">
        <w:rPr>
          <w:rStyle w:val="hps"/>
          <w:rFonts w:cs="Arial"/>
          <w:color w:val="000000" w:themeColor="text1"/>
        </w:rPr>
        <w:t>aparate electrice</w:t>
      </w:r>
      <w:r w:rsidRPr="00E0488D">
        <w:t xml:space="preserve">, </w:t>
      </w:r>
      <w:r w:rsidRPr="00E0488D">
        <w:rPr>
          <w:rStyle w:val="hps"/>
          <w:rFonts w:cs="Arial"/>
          <w:color w:val="000000" w:themeColor="text1"/>
        </w:rPr>
        <w:t>PVC</w:t>
      </w:r>
      <w:r w:rsidRPr="00E0488D">
        <w:t xml:space="preserve">, </w:t>
      </w:r>
      <w:r w:rsidRPr="00E0488D">
        <w:rPr>
          <w:rStyle w:val="hps"/>
          <w:rFonts w:cs="Arial"/>
          <w:color w:val="000000" w:themeColor="text1"/>
        </w:rPr>
        <w:t>etc.</w:t>
      </w:r>
      <w:r w:rsidRPr="00E0488D">
        <w:t xml:space="preserve"> </w:t>
      </w:r>
      <w:r w:rsidRPr="00E0488D">
        <w:rPr>
          <w:rStyle w:val="hps"/>
          <w:rFonts w:cs="Arial"/>
          <w:color w:val="000000" w:themeColor="text1"/>
        </w:rPr>
        <w:t>in afara</w:t>
      </w:r>
      <w:r w:rsidRPr="00E0488D">
        <w:t xml:space="preserve"> </w:t>
      </w:r>
      <w:r w:rsidRPr="00E0488D">
        <w:rPr>
          <w:rStyle w:val="hps"/>
          <w:rFonts w:cs="Arial"/>
          <w:color w:val="000000" w:themeColor="text1"/>
        </w:rPr>
        <w:t>orasului</w:t>
      </w:r>
      <w:r w:rsidRPr="00E0488D">
        <w:t xml:space="preserve">. </w:t>
      </w:r>
      <w:r w:rsidRPr="00E0488D">
        <w:rPr>
          <w:rStyle w:val="hps"/>
          <w:rFonts w:cs="Arial"/>
          <w:color w:val="000000" w:themeColor="text1"/>
        </w:rPr>
        <w:t>Kronospan</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o altă fabrică</w:t>
      </w:r>
      <w:r w:rsidRPr="00E0488D">
        <w:t xml:space="preserve">, cu </w:t>
      </w:r>
      <w:r w:rsidRPr="00E0488D">
        <w:rPr>
          <w:rStyle w:val="hps"/>
          <w:rFonts w:cs="Arial"/>
          <w:color w:val="000000" w:themeColor="text1"/>
        </w:rPr>
        <w:t>acces direct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lângă Brașov</w:t>
      </w:r>
      <w:r w:rsidRPr="00E0488D">
        <w:t xml:space="preserve">. </w:t>
      </w:r>
      <w:r w:rsidRPr="00E0488D">
        <w:rPr>
          <w:rStyle w:val="hps"/>
          <w:rFonts w:cs="Arial"/>
          <w:color w:val="000000" w:themeColor="text1"/>
        </w:rPr>
        <w:t>Una</w:t>
      </w:r>
      <w:r w:rsidRPr="00E0488D">
        <w:t xml:space="preserve"> </w:t>
      </w:r>
      <w:r w:rsidRPr="00E0488D">
        <w:rPr>
          <w:rStyle w:val="hps"/>
          <w:rFonts w:cs="Arial"/>
          <w:color w:val="000000" w:themeColor="text1"/>
        </w:rPr>
        <w:t>dintre cele mai mari</w:t>
      </w:r>
      <w:r w:rsidRPr="00E0488D">
        <w:t xml:space="preserve"> </w:t>
      </w:r>
      <w:r w:rsidRPr="00E0488D">
        <w:rPr>
          <w:rStyle w:val="hps"/>
          <w:rFonts w:cs="Arial"/>
          <w:color w:val="000000" w:themeColor="text1"/>
        </w:rPr>
        <w:t>fabrici de</w:t>
      </w:r>
      <w:r w:rsidRPr="00E0488D">
        <w:t xml:space="preserve"> </w:t>
      </w:r>
      <w:r w:rsidRPr="00E0488D">
        <w:rPr>
          <w:rStyle w:val="hps"/>
          <w:rFonts w:cs="Arial"/>
          <w:color w:val="000000" w:themeColor="text1"/>
        </w:rPr>
        <w:t>produse chimice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 situată</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Bujoreni,</w:t>
      </w:r>
      <w:r w:rsidRPr="00E0488D">
        <w:t xml:space="preserve"> </w:t>
      </w:r>
      <w:r w:rsidRPr="00E0488D">
        <w:rPr>
          <w:rStyle w:val="hps"/>
          <w:rFonts w:cs="Arial"/>
          <w:color w:val="000000" w:themeColor="text1"/>
        </w:rPr>
        <w:t>în timp ce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Cluj</w:t>
      </w:r>
      <w:r w:rsidRPr="00E0488D">
        <w:t xml:space="preserve">, compania </w:t>
      </w:r>
      <w:r w:rsidRPr="00E0488D">
        <w:rPr>
          <w:rStyle w:val="hps"/>
          <w:rFonts w:cs="Arial"/>
          <w:color w:val="000000" w:themeColor="text1"/>
        </w:rPr>
        <w:t>Romanoff</w:t>
      </w:r>
      <w:r w:rsidRPr="00E0488D">
        <w:t xml:space="preserve"> </w:t>
      </w:r>
      <w:r w:rsidRPr="00E0488D">
        <w:rPr>
          <w:rStyle w:val="hps"/>
          <w:rFonts w:cs="Arial"/>
          <w:color w:val="000000" w:themeColor="text1"/>
        </w:rPr>
        <w:t>Industries</w:t>
      </w:r>
      <w:r w:rsidRPr="00E0488D">
        <w:t xml:space="preserve"> </w:t>
      </w:r>
      <w:r w:rsidRPr="00E0488D">
        <w:rPr>
          <w:rStyle w:val="hps"/>
          <w:rFonts w:cs="Arial"/>
          <w:color w:val="000000" w:themeColor="text1"/>
        </w:rPr>
        <w:t>a inființat</w:t>
      </w:r>
      <w:r w:rsidRPr="00E0488D">
        <w:t xml:space="preserve"> </w:t>
      </w:r>
      <w:r w:rsidRPr="00E0488D">
        <w:rPr>
          <w:rStyle w:val="hps"/>
          <w:rFonts w:cs="Arial"/>
          <w:color w:val="000000" w:themeColor="text1"/>
        </w:rPr>
        <w:t>un sit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dimensiuni semnificative</w:t>
      </w:r>
      <w:r w:rsidRPr="00E0488D">
        <w:t xml:space="preserve">. </w:t>
      </w:r>
      <w:r w:rsidRPr="00E0488D">
        <w:rPr>
          <w:rStyle w:val="hps"/>
          <w:rFonts w:cs="Arial"/>
          <w:color w:val="000000" w:themeColor="text1"/>
        </w:rPr>
        <w:t>Compania</w:t>
      </w:r>
      <w:r w:rsidRPr="00E0488D">
        <w:t xml:space="preserve"> de î</w:t>
      </w:r>
      <w:r w:rsidRPr="00E0488D">
        <w:rPr>
          <w:rStyle w:val="hps"/>
          <w:rFonts w:cs="Arial"/>
          <w:color w:val="000000" w:themeColor="text1"/>
        </w:rPr>
        <w:t>ngrășăminte chimice</w:t>
      </w:r>
      <w:r w:rsidRPr="00E0488D">
        <w:t xml:space="preserve"> </w:t>
      </w:r>
      <w:r w:rsidRPr="00E0488D">
        <w:rPr>
          <w:rStyle w:val="hps"/>
          <w:rFonts w:cs="Arial"/>
          <w:color w:val="000000" w:themeColor="text1"/>
        </w:rPr>
        <w:t>Azomures</w:t>
      </w:r>
      <w:r w:rsidRPr="00E0488D">
        <w:t xml:space="preserve"> </w:t>
      </w:r>
      <w:r w:rsidRPr="00E0488D">
        <w:rPr>
          <w:rStyle w:val="hps"/>
          <w:rFonts w:cs="Arial"/>
          <w:color w:val="000000" w:themeColor="text1"/>
        </w:rPr>
        <w:t>SA</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acces direct</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liniile de cale ferată</w:t>
      </w:r>
      <w:r w:rsidRPr="00E0488D">
        <w:t xml:space="preserve"> </w:t>
      </w:r>
      <w:r w:rsidRPr="00E0488D">
        <w:rPr>
          <w:rStyle w:val="hps"/>
          <w:rFonts w:cs="Arial"/>
          <w:color w:val="000000" w:themeColor="text1"/>
        </w:rPr>
        <w:t>din Targu Mures</w:t>
      </w:r>
      <w:r w:rsidRPr="00E0488D">
        <w:t xml:space="preserve">. </w:t>
      </w:r>
      <w:r w:rsidRPr="00E0488D">
        <w:rPr>
          <w:rStyle w:val="hps"/>
          <w:rFonts w:cs="Arial"/>
          <w:color w:val="000000" w:themeColor="text1"/>
        </w:rPr>
        <w:t>În cele din urmă</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Târgoviște, compania</w:t>
      </w:r>
      <w:r w:rsidRPr="00E0488D">
        <w:t xml:space="preserve"> </w:t>
      </w:r>
      <w:r w:rsidRPr="00E0488D">
        <w:rPr>
          <w:rStyle w:val="hps"/>
          <w:rFonts w:cs="Arial"/>
          <w:color w:val="000000" w:themeColor="text1"/>
        </w:rPr>
        <w:t>Cromsteel</w:t>
      </w:r>
      <w:r w:rsidRPr="00E0488D">
        <w:t xml:space="preserve"> </w:t>
      </w:r>
      <w:r w:rsidRPr="00E0488D">
        <w:rPr>
          <w:rStyle w:val="hps"/>
          <w:rFonts w:cs="Arial"/>
          <w:color w:val="000000" w:themeColor="text1"/>
        </w:rPr>
        <w:t>Industries</w:t>
      </w:r>
      <w:r w:rsidRPr="00E0488D">
        <w:t xml:space="preserve"> </w:t>
      </w:r>
      <w:r w:rsidRPr="00E0488D">
        <w:rPr>
          <w:rStyle w:val="hps"/>
          <w:rFonts w:cs="Arial"/>
          <w:color w:val="000000" w:themeColor="text1"/>
        </w:rPr>
        <w:t>(</w:t>
      </w:r>
      <w:r w:rsidRPr="00E0488D">
        <w:t xml:space="preserve">producția de oțel) </w:t>
      </w:r>
      <w:r w:rsidRPr="00E0488D">
        <w:rPr>
          <w:rStyle w:val="hps"/>
          <w:rFonts w:cs="Arial"/>
          <w:color w:val="000000" w:themeColor="text1"/>
        </w:rPr>
        <w:t>și</w:t>
      </w:r>
      <w:r w:rsidRPr="00E0488D">
        <w:t xml:space="preserve"> </w:t>
      </w:r>
      <w:r w:rsidRPr="00E0488D">
        <w:rPr>
          <w:rStyle w:val="hps"/>
          <w:rFonts w:cs="Arial"/>
          <w:color w:val="000000" w:themeColor="text1"/>
        </w:rPr>
        <w:t>Mechel</w:t>
      </w:r>
      <w:r w:rsidRPr="00E0488D">
        <w:t xml:space="preserve"> </w:t>
      </w:r>
      <w:r w:rsidRPr="00E0488D">
        <w:rPr>
          <w:rStyle w:val="hps"/>
          <w:rFonts w:cs="Arial"/>
          <w:color w:val="000000" w:themeColor="text1"/>
        </w:rPr>
        <w:t>SA</w:t>
      </w:r>
      <w:r w:rsidRPr="00E0488D">
        <w:t xml:space="preserve"> </w:t>
      </w:r>
      <w:r w:rsidRPr="00E0488D">
        <w:rPr>
          <w:rStyle w:val="hps"/>
          <w:rFonts w:cs="Arial"/>
          <w:color w:val="000000" w:themeColor="text1"/>
        </w:rPr>
        <w:t>(</w:t>
      </w:r>
      <w:r w:rsidRPr="00E0488D">
        <w:t xml:space="preserve">producție </w:t>
      </w:r>
      <w:r w:rsidRPr="00E0488D">
        <w:rPr>
          <w:rStyle w:val="hps"/>
          <w:rFonts w:cs="Arial"/>
          <w:color w:val="000000" w:themeColor="text1"/>
        </w:rPr>
        <w:t>și</w:t>
      </w:r>
      <w:r w:rsidRPr="00E0488D">
        <w:t xml:space="preserve"> </w:t>
      </w:r>
      <w:r w:rsidRPr="00E0488D">
        <w:rPr>
          <w:rStyle w:val="hps"/>
          <w:rFonts w:cs="Arial"/>
          <w:color w:val="000000" w:themeColor="text1"/>
        </w:rPr>
        <w:t>exploatare</w:t>
      </w:r>
      <w:r w:rsidRPr="00E0488D">
        <w:t xml:space="preserve">) </w:t>
      </w:r>
      <w:r w:rsidRPr="00E0488D">
        <w:rPr>
          <w:rStyle w:val="hps"/>
          <w:rFonts w:cs="Arial"/>
          <w:color w:val="000000" w:themeColor="text1"/>
        </w:rPr>
        <w:t>au</w:t>
      </w:r>
      <w:r w:rsidRPr="00E0488D">
        <w:t xml:space="preserve"> </w:t>
      </w:r>
      <w:r w:rsidRPr="00E0488D">
        <w:rPr>
          <w:rStyle w:val="hps"/>
          <w:rFonts w:cs="Arial"/>
          <w:color w:val="000000" w:themeColor="text1"/>
        </w:rPr>
        <w:t>facilități de producție</w:t>
      </w:r>
      <w:r w:rsidRPr="00E0488D">
        <w:t xml:space="preserve"> </w:t>
      </w:r>
      <w:r w:rsidRPr="00E0488D">
        <w:rPr>
          <w:rStyle w:val="hps"/>
          <w:rFonts w:cs="Arial"/>
          <w:color w:val="000000" w:themeColor="text1"/>
        </w:rPr>
        <w:t>în oraș</w:t>
      </w:r>
      <w:r w:rsidRPr="00E0488D">
        <w:t xml:space="preserve">. </w:t>
      </w:r>
      <w:r w:rsidRPr="00E0488D">
        <w:rPr>
          <w:rStyle w:val="hps"/>
          <w:rFonts w:cs="Arial"/>
          <w:color w:val="000000" w:themeColor="text1"/>
        </w:rPr>
        <w:t>Astfel</w:t>
      </w:r>
      <w:r w:rsidRPr="00E0488D">
        <w:t xml:space="preserve">, </w:t>
      </w:r>
      <w:r w:rsidRPr="00E0488D">
        <w:rPr>
          <w:rStyle w:val="hps"/>
          <w:rFonts w:cs="Arial"/>
          <w:color w:val="000000" w:themeColor="text1"/>
        </w:rPr>
        <w:t>fluxurile</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de mare volum</w:t>
      </w:r>
      <w:r w:rsidRPr="00E0488D">
        <w:t xml:space="preserve"> </w:t>
      </w:r>
      <w:r w:rsidRPr="00E0488D">
        <w:rPr>
          <w:rStyle w:val="hps"/>
          <w:rFonts w:cs="Arial"/>
          <w:color w:val="000000" w:themeColor="text1"/>
        </w:rPr>
        <w:t>sunt aliniate</w:t>
      </w:r>
      <w:r w:rsidRPr="00E0488D">
        <w:t xml:space="preserve"> </w:t>
      </w:r>
      <w:r w:rsidRPr="00E0488D">
        <w:rPr>
          <w:rStyle w:val="hps"/>
          <w:rFonts w:cs="Arial"/>
          <w:color w:val="000000" w:themeColor="text1"/>
        </w:rPr>
        <w:t>industriilor majore</w:t>
      </w:r>
      <w:r w:rsidRPr="00E0488D">
        <w:t xml:space="preserve">. </w:t>
      </w:r>
    </w:p>
    <w:p w:rsidR="00BD59B2" w:rsidRPr="00E0488D" w:rsidRDefault="00BD59B2" w:rsidP="002B7E09">
      <w:pPr>
        <w:pStyle w:val="NumberedParas"/>
      </w:pPr>
      <w:r w:rsidRPr="00E0488D">
        <w:rPr>
          <w:rStyle w:val="hps"/>
          <w:rFonts w:cs="Arial"/>
          <w:color w:val="000000" w:themeColor="text1"/>
        </w:rPr>
        <w:t>Primele</w:t>
      </w:r>
      <w:r w:rsidRPr="00E0488D">
        <w:t xml:space="preserve"> </w:t>
      </w:r>
      <w:r w:rsidRPr="00E0488D">
        <w:rPr>
          <w:rStyle w:val="hps"/>
          <w:rFonts w:cs="Arial"/>
          <w:color w:val="000000" w:themeColor="text1"/>
        </w:rPr>
        <w:t>20 de</w:t>
      </w:r>
      <w:r w:rsidRPr="00E0488D">
        <w:t xml:space="preserve"> </w:t>
      </w:r>
      <w:r w:rsidRPr="00E0488D">
        <w:rPr>
          <w:rStyle w:val="hps"/>
          <w:rFonts w:cs="Arial"/>
          <w:color w:val="000000" w:themeColor="text1"/>
        </w:rPr>
        <w:t>rute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goale</w:t>
      </w:r>
      <w:r w:rsidRPr="00E0488D">
        <w:t xml:space="preserve"> </w:t>
      </w:r>
      <w:r w:rsidRPr="00E0488D">
        <w:rPr>
          <w:rStyle w:val="hps"/>
          <w:rFonts w:cs="Arial"/>
          <w:color w:val="000000" w:themeColor="text1"/>
        </w:rPr>
        <w:t>operate de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reprezintă 90</w:t>
      </w:r>
      <w:r w:rsidRPr="00E0488D">
        <w:t xml:space="preserve">% </w:t>
      </w:r>
      <w:r w:rsidRPr="00E0488D">
        <w:rPr>
          <w:rStyle w:val="hps"/>
          <w:rFonts w:cs="Arial"/>
          <w:color w:val="000000" w:themeColor="text1"/>
        </w:rPr>
        <w:t>tonaj</w:t>
      </w:r>
      <w:r w:rsidRPr="00E0488D">
        <w:t xml:space="preserve">ul total de </w:t>
      </w:r>
      <w:r w:rsidRPr="00E0488D">
        <w:rPr>
          <w:rStyle w:val="hps"/>
          <w:rFonts w:cs="Arial"/>
          <w:color w:val="000000" w:themeColor="text1"/>
        </w:rPr>
        <w:t>containere</w:t>
      </w:r>
      <w:r w:rsidRPr="00E0488D">
        <w:t xml:space="preserve"> </w:t>
      </w:r>
      <w:r w:rsidRPr="00E0488D">
        <w:rPr>
          <w:rStyle w:val="hps"/>
          <w:rFonts w:cs="Arial"/>
          <w:color w:val="000000" w:themeColor="text1"/>
        </w:rPr>
        <w:t>goale transportate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Se poate observa</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primele</w:t>
      </w:r>
      <w:r w:rsidRPr="00E0488D">
        <w:t xml:space="preserve"> </w:t>
      </w:r>
      <w:r w:rsidRPr="00E0488D">
        <w:rPr>
          <w:rStyle w:val="hps"/>
          <w:rFonts w:cs="Arial"/>
          <w:color w:val="000000" w:themeColor="text1"/>
        </w:rPr>
        <w:t>20 de</w:t>
      </w:r>
      <w:r w:rsidRPr="00E0488D">
        <w:t xml:space="preserve"> </w:t>
      </w:r>
      <w:r w:rsidRPr="00E0488D">
        <w:rPr>
          <w:rStyle w:val="hps"/>
          <w:rFonts w:cs="Arial"/>
          <w:color w:val="000000" w:themeColor="text1"/>
        </w:rPr>
        <w:t>fluxuri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atât</w:t>
      </w:r>
      <w:r w:rsidRPr="00E0488D">
        <w:t xml:space="preserve"> </w:t>
      </w:r>
      <w:r w:rsidRPr="00E0488D">
        <w:rPr>
          <w:rStyle w:val="hps"/>
          <w:rFonts w:cs="Arial"/>
          <w:color w:val="000000" w:themeColor="text1"/>
        </w:rPr>
        <w:t>încărcate cât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goale</w:t>
      </w:r>
      <w:r w:rsidRPr="00E0488D">
        <w:t xml:space="preserve">, </w:t>
      </w:r>
      <w:r w:rsidRPr="00E0488D">
        <w:rPr>
          <w:rStyle w:val="hps"/>
          <w:rFonts w:cs="Arial"/>
          <w:color w:val="000000" w:themeColor="text1"/>
        </w:rPr>
        <w:t>Constanta</w:t>
      </w:r>
      <w:r w:rsidRPr="00E0488D">
        <w:t xml:space="preserve"> le </w:t>
      </w:r>
      <w:r w:rsidRPr="00E0488D">
        <w:rPr>
          <w:rStyle w:val="hps"/>
          <w:rFonts w:cs="Arial"/>
          <w:color w:val="000000" w:themeColor="text1"/>
        </w:rPr>
        <w:t>are</w:t>
      </w:r>
      <w:r w:rsidRPr="00E0488D">
        <w:t xml:space="preserve"> </w:t>
      </w:r>
      <w:r w:rsidRPr="00E0488D">
        <w:rPr>
          <w:rStyle w:val="hps"/>
          <w:rFonts w:cs="Arial"/>
          <w:color w:val="000000" w:themeColor="text1"/>
        </w:rPr>
        <w:t>pe cele mai multe</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este de așteptat având în vedere că este un port principal 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de mare adâncime</w:t>
      </w:r>
      <w:r w:rsidRPr="00E0488D">
        <w:t xml:space="preserve"> </w:t>
      </w:r>
      <w:r w:rsidRPr="00E0488D">
        <w:rPr>
          <w:rStyle w:val="hps"/>
          <w:rFonts w:cs="Arial"/>
          <w:color w:val="000000" w:themeColor="text1"/>
        </w:rPr>
        <w:t>din România</w:t>
      </w:r>
      <w:r w:rsidRPr="00E0488D">
        <w:t xml:space="preserve">. </w:t>
      </w:r>
      <w:r w:rsidRPr="00E0488D">
        <w:rPr>
          <w:rStyle w:val="hps"/>
          <w:rFonts w:cs="Arial"/>
          <w:color w:val="000000" w:themeColor="text1"/>
        </w:rPr>
        <w:t>După cum s-a menționat</w:t>
      </w:r>
      <w:r w:rsidRPr="00E0488D">
        <w:t xml:space="preserve"> </w:t>
      </w:r>
      <w:r w:rsidRPr="00E0488D">
        <w:rPr>
          <w:rStyle w:val="hps"/>
          <w:rFonts w:cs="Arial"/>
          <w:color w:val="000000" w:themeColor="text1"/>
        </w:rPr>
        <w:t>mai devreme</w:t>
      </w:r>
      <w:r w:rsidRPr="00E0488D">
        <w:t xml:space="preserve">, mai multe </w:t>
      </w:r>
      <w:r w:rsidRPr="00E0488D">
        <w:rPr>
          <w:rStyle w:val="hps"/>
          <w:rFonts w:cs="Arial"/>
          <w:color w:val="000000" w:themeColor="text1"/>
        </w:rPr>
        <w:t>containere</w:t>
      </w:r>
      <w:r w:rsidRPr="00E0488D">
        <w:t xml:space="preserve"> </w:t>
      </w:r>
      <w:r w:rsidRPr="00E0488D">
        <w:rPr>
          <w:rStyle w:val="hps"/>
          <w:rFonts w:cs="Arial"/>
          <w:color w:val="000000" w:themeColor="text1"/>
        </w:rPr>
        <w:t>încărcate</w:t>
      </w:r>
      <w:r w:rsidRPr="00E0488D">
        <w:t xml:space="preserve"> </w:t>
      </w:r>
      <w:r w:rsidRPr="00E0488D">
        <w:rPr>
          <w:rStyle w:val="hps"/>
          <w:rFonts w:cs="Arial"/>
          <w:color w:val="000000" w:themeColor="text1"/>
        </w:rPr>
        <w:t>ajung</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decât</w:t>
      </w:r>
      <w:r w:rsidRPr="00E0488D">
        <w:t xml:space="preserve"> </w:t>
      </w:r>
      <w:r w:rsidRPr="00E0488D">
        <w:rPr>
          <w:rStyle w:val="hps"/>
          <w:rFonts w:cs="Arial"/>
          <w:color w:val="000000" w:themeColor="text1"/>
        </w:rPr>
        <w:t>pleacă</w:t>
      </w:r>
      <w:r w:rsidRPr="00E0488D">
        <w:t xml:space="preserve"> </w:t>
      </w:r>
      <w:r w:rsidRPr="00E0488D">
        <w:rPr>
          <w:rStyle w:val="hps"/>
          <w:rFonts w:cs="Arial"/>
          <w:color w:val="000000" w:themeColor="text1"/>
        </w:rPr>
        <w:t>de acolo</w:t>
      </w:r>
      <w:r w:rsidRPr="00E0488D">
        <w:t xml:space="preserve">. </w:t>
      </w:r>
      <w:r w:rsidRPr="00E0488D">
        <w:rPr>
          <w:rStyle w:val="hps"/>
          <w:rFonts w:cs="Arial"/>
          <w:color w:val="000000" w:themeColor="text1"/>
        </w:rPr>
        <w:t>Cu alte cuvinte</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transportate pe cale ferată,</w:t>
      </w:r>
      <w:r w:rsidRPr="00E0488D">
        <w:t xml:space="preserve"> </w:t>
      </w:r>
      <w:r w:rsidRPr="00E0488D">
        <w:rPr>
          <w:rStyle w:val="hps"/>
          <w:rFonts w:cs="Arial"/>
          <w:color w:val="000000" w:themeColor="text1"/>
        </w:rPr>
        <w:t>sunt utilizate</w:t>
      </w:r>
      <w:r w:rsidRPr="00E0488D">
        <w:t xml:space="preserve"> mai degrabă </w:t>
      </w:r>
      <w:r w:rsidRPr="00E0488D">
        <w:rPr>
          <w:rStyle w:val="hps"/>
          <w:rFonts w:cs="Arial"/>
          <w:color w:val="000000" w:themeColor="text1"/>
        </w:rPr>
        <w:t>pentru</w:t>
      </w:r>
      <w:r w:rsidRPr="00E0488D">
        <w:t xml:space="preserve"> </w:t>
      </w:r>
      <w:r w:rsidRPr="00E0488D">
        <w:rPr>
          <w:rStyle w:val="hps"/>
          <w:rFonts w:cs="Arial"/>
          <w:color w:val="000000" w:themeColor="text1"/>
        </w:rPr>
        <w:t>exporturile industriale</w:t>
      </w:r>
      <w:r w:rsidRPr="00E0488D">
        <w:t xml:space="preserve"> decât </w:t>
      </w:r>
      <w:r w:rsidRPr="00E0488D">
        <w:rPr>
          <w:rStyle w:val="hps"/>
          <w:rFonts w:cs="Arial"/>
          <w:color w:val="000000" w:themeColor="text1"/>
        </w:rPr>
        <w:t>importul de</w:t>
      </w:r>
      <w:r w:rsidRPr="00E0488D">
        <w:t xml:space="preserve"> </w:t>
      </w:r>
      <w:r w:rsidRPr="00E0488D">
        <w:rPr>
          <w:rStyle w:val="hps"/>
          <w:rFonts w:cs="Arial"/>
          <w:color w:val="000000" w:themeColor="text1"/>
        </w:rPr>
        <w:t>bunuri de larg consum</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implică faptul că</w:t>
      </w:r>
      <w:r w:rsidRPr="00E0488D">
        <w:t xml:space="preserve"> </w:t>
      </w:r>
      <w:r w:rsidRPr="00E0488D">
        <w:rPr>
          <w:rStyle w:val="hps"/>
          <w:rFonts w:cs="Arial"/>
          <w:color w:val="000000" w:themeColor="text1"/>
        </w:rPr>
        <w:t>logistica</w:t>
      </w:r>
      <w:r w:rsidRPr="00E0488D">
        <w:t xml:space="preserve"> </w:t>
      </w:r>
      <w:r w:rsidRPr="00E0488D">
        <w:rPr>
          <w:rStyle w:val="hps"/>
          <w:rFonts w:cs="Arial"/>
          <w:color w:val="000000" w:themeColor="text1"/>
        </w:rPr>
        <w:t>pe cale ferată</w:t>
      </w:r>
      <w:r w:rsidRPr="00E0488D">
        <w:t xml:space="preserve"> </w:t>
      </w:r>
      <w:r w:rsidRPr="00E0488D">
        <w:rPr>
          <w:rStyle w:val="hps"/>
          <w:rFonts w:cs="Arial"/>
          <w:color w:val="000000" w:themeColor="text1"/>
        </w:rPr>
        <w:t>nu</w:t>
      </w:r>
      <w:r w:rsidRPr="00E0488D">
        <w:t xml:space="preserve">  oferă </w:t>
      </w:r>
      <w:r w:rsidRPr="00E0488D">
        <w:rPr>
          <w:rStyle w:val="hps"/>
          <w:rFonts w:cs="Arial"/>
          <w:color w:val="000000" w:themeColor="text1"/>
        </w:rPr>
        <w:t>(</w:t>
      </w:r>
      <w:r w:rsidRPr="00E0488D">
        <w:t xml:space="preserve">încă)  </w:t>
      </w:r>
      <w:r w:rsidRPr="00E0488D">
        <w:rPr>
          <w:rStyle w:val="hps"/>
          <w:rFonts w:cs="Arial"/>
          <w:color w:val="000000" w:themeColor="text1"/>
        </w:rPr>
        <w:t>servicii</w:t>
      </w:r>
      <w:r w:rsidRPr="00E0488D">
        <w:t xml:space="preserve"> </w:t>
      </w:r>
      <w:r w:rsidRPr="00E0488D">
        <w:rPr>
          <w:rStyle w:val="hps"/>
          <w:rFonts w:cs="Arial"/>
          <w:color w:val="000000" w:themeColor="text1"/>
        </w:rPr>
        <w:t>competitive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produsele de consum</w:t>
      </w:r>
      <w:r w:rsidRPr="00E0488D">
        <w:t xml:space="preserve"> </w:t>
      </w:r>
      <w:r w:rsidRPr="00E0488D">
        <w:rPr>
          <w:rStyle w:val="hps"/>
          <w:rFonts w:cs="Arial"/>
          <w:color w:val="000000" w:themeColor="text1"/>
        </w:rPr>
        <w:t>de valoare</w:t>
      </w:r>
      <w:r w:rsidRPr="00E0488D">
        <w:t xml:space="preserve"> </w:t>
      </w:r>
      <w:r w:rsidRPr="00E0488D">
        <w:rPr>
          <w:rStyle w:val="hps"/>
          <w:rFonts w:cs="Arial"/>
          <w:color w:val="000000" w:themeColor="text1"/>
        </w:rPr>
        <w:t>mai mare</w:t>
      </w:r>
      <w:r w:rsidRPr="00E0488D">
        <w:t xml:space="preserve"> </w:t>
      </w:r>
      <w:r w:rsidRPr="00E0488D">
        <w:rPr>
          <w:rStyle w:val="hps"/>
          <w:rFonts w:cs="Arial"/>
          <w:color w:val="000000" w:themeColor="text1"/>
        </w:rPr>
        <w:t>sau</w:t>
      </w:r>
      <w:r w:rsidRPr="00E0488D">
        <w:t xml:space="preserve"> pentru produsele de larg consum </w:t>
      </w:r>
      <w:r w:rsidRPr="00E0488D">
        <w:rPr>
          <w:rStyle w:val="hps"/>
          <w:rFonts w:cs="Arial"/>
          <w:color w:val="000000" w:themeColor="text1"/>
        </w:rPr>
        <w:t>și</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există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oportunitate de a</w:t>
      </w:r>
      <w:r w:rsidRPr="00E0488D">
        <w:t xml:space="preserve"> </w:t>
      </w:r>
      <w:r w:rsidRPr="00E0488D">
        <w:rPr>
          <w:rStyle w:val="hps"/>
          <w:rFonts w:cs="Arial"/>
          <w:color w:val="000000" w:themeColor="text1"/>
        </w:rPr>
        <w:t>încărca</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în ambele sensuri</w:t>
      </w:r>
      <w:r w:rsidRPr="00E0488D">
        <w:t xml:space="preserve"> </w:t>
      </w:r>
      <w:r w:rsidRPr="00E0488D">
        <w:rPr>
          <w:rStyle w:val="hps"/>
          <w:rFonts w:cs="Arial"/>
          <w:color w:val="000000" w:themeColor="text1"/>
        </w:rPr>
        <w:t>(</w:t>
      </w:r>
      <w:r w:rsidRPr="00E0488D">
        <w:t xml:space="preserve"> de la și spre </w:t>
      </w:r>
      <w:r w:rsidRPr="00E0488D">
        <w:rPr>
          <w:rStyle w:val="hps"/>
          <w:rFonts w:cs="Arial"/>
          <w:color w:val="000000" w:themeColor="text1"/>
        </w:rPr>
        <w:t>Constanța</w:t>
      </w:r>
      <w:r w:rsidRPr="00E0488D">
        <w:t xml:space="preserve">) pentru </w:t>
      </w:r>
      <w:r w:rsidRPr="00E0488D">
        <w:rPr>
          <w:rStyle w:val="hps"/>
          <w:rFonts w:cs="Arial"/>
          <w:color w:val="000000" w:themeColor="text1"/>
        </w:rPr>
        <w:t>creșterea eficienței.</w:t>
      </w:r>
    </w:p>
    <w:p w:rsidR="00BD59B2" w:rsidRPr="00E0488D" w:rsidRDefault="00BD59B2" w:rsidP="00BD59B2">
      <w:pPr>
        <w:pStyle w:val="Hdg3"/>
      </w:pPr>
      <w:r w:rsidRPr="00E0488D">
        <w:t>Cererea existentă și potențială – Viitoarea rețea de transport intermodal</w:t>
      </w:r>
    </w:p>
    <w:p w:rsidR="00BD59B2" w:rsidRPr="00E0488D" w:rsidRDefault="00BD59B2" w:rsidP="002B7E09">
      <w:pPr>
        <w:pStyle w:val="NumberedParas"/>
      </w:pPr>
      <w:r w:rsidRPr="00E0488D">
        <w:rPr>
          <w:rStyle w:val="hps"/>
          <w:rFonts w:cs="Arial"/>
          <w:color w:val="000000" w:themeColor="text1"/>
        </w:rPr>
        <w:t>Transportul intermodal</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una</w:t>
      </w:r>
      <w:r w:rsidRPr="00E0488D">
        <w:t xml:space="preserve"> </w:t>
      </w:r>
      <w:r w:rsidRPr="00E0488D">
        <w:rPr>
          <w:rStyle w:val="hps"/>
          <w:rFonts w:cs="Arial"/>
          <w:color w:val="000000" w:themeColor="text1"/>
        </w:rPr>
        <w:t>dintre</w:t>
      </w:r>
      <w:r w:rsidRPr="00E0488D">
        <w:t xml:space="preserve"> </w:t>
      </w:r>
      <w:r w:rsidRPr="00E0488D">
        <w:rPr>
          <w:rStyle w:val="hps"/>
          <w:rFonts w:cs="Arial"/>
          <w:color w:val="000000" w:themeColor="text1"/>
        </w:rPr>
        <w:t>cele mai simple modalități</w:t>
      </w:r>
      <w:r w:rsidRPr="00E0488D">
        <w:t xml:space="preserve"> </w:t>
      </w:r>
      <w:r w:rsidRPr="00E0488D">
        <w:rPr>
          <w:rStyle w:val="hps"/>
          <w:rFonts w:cs="Arial"/>
          <w:color w:val="000000" w:themeColor="text1"/>
        </w:rPr>
        <w:t>de reducere a emisiilor</w:t>
      </w:r>
      <w:r w:rsidRPr="00E0488D">
        <w:t xml:space="preserve"> </w:t>
      </w:r>
      <w:r w:rsidRPr="00E0488D">
        <w:rPr>
          <w:rStyle w:val="hps"/>
          <w:rFonts w:cs="Arial"/>
          <w:color w:val="000000" w:themeColor="text1"/>
        </w:rPr>
        <w:t>provenite din transporturi</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transferarea</w:t>
      </w:r>
      <w:r w:rsidRPr="00E0488D">
        <w:t xml:space="preserve"> </w:t>
      </w:r>
      <w:r w:rsidRPr="00E0488D">
        <w:rPr>
          <w:rStyle w:val="hps"/>
          <w:rFonts w:cs="Arial"/>
          <w:color w:val="000000" w:themeColor="text1"/>
        </w:rPr>
        <w:t>fie</w:t>
      </w:r>
      <w:r w:rsidRPr="00E0488D">
        <w:t xml:space="preserve"> </w:t>
      </w:r>
      <w:r w:rsidRPr="00E0488D">
        <w:rPr>
          <w:rStyle w:val="hps"/>
          <w:rFonts w:cs="Arial"/>
          <w:color w:val="000000" w:themeColor="text1"/>
        </w:rPr>
        <w:t>parțială</w:t>
      </w:r>
      <w:r w:rsidRPr="00E0488D">
        <w:t xml:space="preserve">  </w:t>
      </w:r>
      <w:r w:rsidRPr="00E0488D">
        <w:rPr>
          <w:rStyle w:val="hps"/>
          <w:rFonts w:cs="Arial"/>
          <w:color w:val="000000" w:themeColor="text1"/>
        </w:rPr>
        <w:t>sau</w:t>
      </w:r>
      <w:r w:rsidRPr="00E0488D">
        <w:t xml:space="preserve"> în </w:t>
      </w:r>
      <w:r w:rsidRPr="00E0488D">
        <w:rPr>
          <w:rStyle w:val="hps"/>
          <w:rFonts w:cs="Arial"/>
          <w:color w:val="000000" w:themeColor="text1"/>
        </w:rPr>
        <w:t>totalitate</w:t>
      </w:r>
      <w:r w:rsidRPr="00E0488D">
        <w:t xml:space="preserve"> </w:t>
      </w:r>
      <w:r w:rsidRPr="00E0488D">
        <w:rPr>
          <w:rStyle w:val="hps"/>
          <w:rFonts w:cs="Arial"/>
          <w:color w:val="000000" w:themeColor="text1"/>
        </w:rPr>
        <w:t>a călătoriilor</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modul rutier</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moduri de transport mai</w:t>
      </w:r>
      <w:r w:rsidRPr="00E0488D">
        <w:t xml:space="preserve"> </w:t>
      </w:r>
      <w:r w:rsidRPr="00E0488D">
        <w:rPr>
          <w:rStyle w:val="hps"/>
          <w:rFonts w:cs="Arial"/>
          <w:color w:val="000000" w:themeColor="text1"/>
        </w:rPr>
        <w:t>sustenabile</w:t>
      </w:r>
      <w:r w:rsidRPr="00E0488D">
        <w:t xml:space="preserve">, cum ar fi </w:t>
      </w:r>
      <w:r w:rsidRPr="00E0488D">
        <w:rPr>
          <w:rStyle w:val="hps"/>
          <w:rFonts w:cs="Arial"/>
          <w:color w:val="000000" w:themeColor="text1"/>
        </w:rPr>
        <w:t>transportul feroviar sau pe apă</w:t>
      </w:r>
      <w:r w:rsidRPr="00E0488D">
        <w:t xml:space="preserve">. </w:t>
      </w:r>
      <w:r w:rsidRPr="00E0488D">
        <w:rPr>
          <w:rStyle w:val="hps"/>
          <w:rFonts w:cs="Arial"/>
          <w:color w:val="000000" w:themeColor="text1"/>
        </w:rPr>
        <w:t>Există</w:t>
      </w:r>
      <w:r w:rsidRPr="00E0488D">
        <w:t xml:space="preserve">, de asemenea, o </w:t>
      </w:r>
      <w:r w:rsidRPr="00E0488D">
        <w:rPr>
          <w:rStyle w:val="hps"/>
          <w:rFonts w:cs="Arial"/>
          <w:color w:val="000000" w:themeColor="text1"/>
        </w:rPr>
        <w:t>eficiență mai mare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reduceri de costuri</w:t>
      </w:r>
      <w:r w:rsidRPr="00E0488D">
        <w:t xml:space="preserve">, prin </w:t>
      </w:r>
      <w:r w:rsidRPr="00E0488D">
        <w:rPr>
          <w:rStyle w:val="hps"/>
          <w:rFonts w:cs="Arial"/>
          <w:color w:val="000000" w:themeColor="text1"/>
        </w:rPr>
        <w:t>mărirea vitezelor de</w:t>
      </w:r>
      <w:r w:rsidRPr="00E0488D">
        <w:t xml:space="preserve"> </w:t>
      </w:r>
      <w:r w:rsidRPr="00E0488D">
        <w:rPr>
          <w:rStyle w:val="hps"/>
          <w:rFonts w:cs="Arial"/>
          <w:color w:val="000000" w:themeColor="text1"/>
        </w:rPr>
        <w:t>manevrare</w:t>
      </w:r>
      <w:r w:rsidRPr="00E0488D">
        <w:t xml:space="preserve">, reducerea </w:t>
      </w:r>
      <w:r w:rsidRPr="00E0488D">
        <w:rPr>
          <w:rStyle w:val="hps"/>
          <w:rFonts w:cs="Arial"/>
          <w:color w:val="000000" w:themeColor="text1"/>
        </w:rPr>
        <w:t>costurilor</w:t>
      </w:r>
      <w:r w:rsidRPr="00E0488D">
        <w:t xml:space="preserve"> </w:t>
      </w:r>
      <w:r w:rsidRPr="00E0488D">
        <w:rPr>
          <w:rStyle w:val="hps"/>
          <w:rFonts w:cs="Arial"/>
          <w:color w:val="000000" w:themeColor="text1"/>
        </w:rPr>
        <w:t>de manevrare</w:t>
      </w:r>
      <w:r w:rsidRPr="00E0488D">
        <w:t xml:space="preserve"> </w:t>
      </w:r>
      <w:r w:rsidRPr="00E0488D">
        <w:rPr>
          <w:rStyle w:val="hps"/>
          <w:rFonts w:cs="Arial"/>
          <w:color w:val="000000" w:themeColor="text1"/>
        </w:rPr>
        <w:t>și</w:t>
      </w:r>
      <w:r w:rsidRPr="00E0488D">
        <w:t xml:space="preserve"> îmbunătățirea </w:t>
      </w:r>
      <w:r w:rsidRPr="00E0488D">
        <w:rPr>
          <w:rStyle w:val="hps"/>
          <w:rFonts w:cs="Arial"/>
          <w:color w:val="000000" w:themeColor="text1"/>
        </w:rPr>
        <w:t>securității</w:t>
      </w:r>
      <w:r w:rsidRPr="00E0488D">
        <w:t xml:space="preserve">. </w:t>
      </w:r>
    </w:p>
    <w:p w:rsidR="00BD59B2" w:rsidRPr="00E0488D" w:rsidRDefault="00BD59B2" w:rsidP="002B7E09">
      <w:pPr>
        <w:pStyle w:val="NumberedParas"/>
      </w:pPr>
      <w:r w:rsidRPr="00E0488D">
        <w:rPr>
          <w:rStyle w:val="hps"/>
          <w:rFonts w:cs="Arial"/>
          <w:color w:val="000000" w:themeColor="text1"/>
        </w:rPr>
        <w:t>Tabelul 8.9</w:t>
      </w:r>
      <w:r w:rsidRPr="00E0488D">
        <w:t xml:space="preserve"> </w:t>
      </w:r>
      <w:r w:rsidRPr="00E0488D">
        <w:rPr>
          <w:rStyle w:val="hps"/>
          <w:rFonts w:cs="Arial"/>
          <w:color w:val="000000" w:themeColor="text1"/>
        </w:rPr>
        <w:t>prezintă numărul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TEU-uri</w:t>
      </w:r>
      <w:r w:rsidRPr="00E0488D">
        <w:t xml:space="preserve"> </w:t>
      </w:r>
      <w:r w:rsidRPr="00E0488D">
        <w:rPr>
          <w:rStyle w:val="hps"/>
          <w:rFonts w:cs="Arial"/>
          <w:color w:val="000000" w:themeColor="text1"/>
        </w:rPr>
        <w:t>(</w:t>
      </w:r>
      <w:r w:rsidRPr="00E0488D">
        <w:t xml:space="preserve">unități echivalente a </w:t>
      </w:r>
      <w:r w:rsidRPr="00E0488D">
        <w:rPr>
          <w:rStyle w:val="hps"/>
          <w:rFonts w:cs="Arial"/>
          <w:color w:val="000000" w:themeColor="text1"/>
        </w:rPr>
        <w:t>douăzeci</w:t>
      </w:r>
      <w:r w:rsidRPr="00E0488D">
        <w:t xml:space="preserve"> </w:t>
      </w:r>
      <w:r w:rsidRPr="00E0488D">
        <w:rPr>
          <w:rStyle w:val="hps"/>
          <w:rFonts w:cs="Arial"/>
          <w:color w:val="000000" w:themeColor="text1"/>
        </w:rPr>
        <w:t>de picioare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au fost transportate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2011</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ce conțineau acestea</w:t>
      </w:r>
      <w:r w:rsidRPr="00E0488D">
        <w:t xml:space="preserve">. Pe cale ferată s-au transportat </w:t>
      </w:r>
      <w:r w:rsidRPr="00E0488D">
        <w:rPr>
          <w:rStyle w:val="hps"/>
          <w:rFonts w:cs="Arial"/>
          <w:color w:val="000000" w:themeColor="text1"/>
        </w:rPr>
        <w:t>45,5</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toate containerele</w:t>
      </w:r>
      <w:r w:rsidRPr="00E0488D">
        <w:t xml:space="preserve"> </w:t>
      </w:r>
      <w:r w:rsidRPr="00E0488D">
        <w:rPr>
          <w:rStyle w:val="hps"/>
          <w:rFonts w:cs="Arial"/>
          <w:color w:val="000000" w:themeColor="text1"/>
        </w:rPr>
        <w:t>înregistrate</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destinațiile</w:t>
      </w:r>
      <w:r w:rsidRPr="00E0488D">
        <w:t xml:space="preserve"> </w:t>
      </w:r>
      <w:r w:rsidRPr="00E0488D">
        <w:rPr>
          <w:rStyle w:val="hps"/>
          <w:rFonts w:cs="Arial"/>
          <w:color w:val="000000" w:themeColor="text1"/>
        </w:rPr>
        <w:t>interioare</w:t>
      </w:r>
      <w:r w:rsidRPr="00E0488D">
        <w:t xml:space="preserve">. </w:t>
      </w:r>
      <w:r w:rsidRPr="00E0488D">
        <w:rPr>
          <w:rStyle w:val="hps"/>
          <w:rFonts w:cs="Arial"/>
          <w:color w:val="000000" w:themeColor="text1"/>
        </w:rPr>
        <w:t>Cele mai mari</w:t>
      </w:r>
      <w:r w:rsidRPr="00E0488D">
        <w:t xml:space="preserve"> </w:t>
      </w:r>
      <w:r w:rsidRPr="00E0488D">
        <w:rPr>
          <w:rStyle w:val="hps"/>
          <w:rFonts w:cs="Arial"/>
          <w:color w:val="000000" w:themeColor="text1"/>
        </w:rPr>
        <w:t>trei</w:t>
      </w:r>
      <w:r w:rsidRPr="00E0488D">
        <w:t xml:space="preserve"> </w:t>
      </w:r>
      <w:r w:rsidRPr="00E0488D">
        <w:rPr>
          <w:rStyle w:val="hps"/>
          <w:rFonts w:cs="Arial"/>
          <w:color w:val="000000" w:themeColor="text1"/>
        </w:rPr>
        <w:t>grupe de mărfuri</w:t>
      </w:r>
      <w:r w:rsidRPr="00E0488D">
        <w:t xml:space="preserve"> </w:t>
      </w:r>
      <w:r w:rsidRPr="00E0488D">
        <w:rPr>
          <w:rStyle w:val="hps"/>
          <w:rFonts w:cs="Arial"/>
          <w:color w:val="000000" w:themeColor="text1"/>
        </w:rPr>
        <w:t>au fost produse fabricate</w:t>
      </w:r>
      <w:r w:rsidRPr="00E0488D">
        <w:t xml:space="preserve">, </w:t>
      </w:r>
      <w:r w:rsidRPr="00E0488D">
        <w:rPr>
          <w:rStyle w:val="hps"/>
          <w:rFonts w:cs="Arial"/>
          <w:color w:val="000000" w:themeColor="text1"/>
        </w:rPr>
        <w:t>îngrășăminte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produse din metal</w:t>
      </w:r>
      <w:r w:rsidRPr="00E0488D">
        <w:t xml:space="preserve">. </w:t>
      </w:r>
      <w:r w:rsidRPr="00E0488D">
        <w:rPr>
          <w:rStyle w:val="hps"/>
          <w:rFonts w:cs="Arial"/>
          <w:color w:val="000000" w:themeColor="text1"/>
        </w:rPr>
        <w:t>Produsele industriale</w:t>
      </w:r>
      <w:r w:rsidRPr="00E0488D">
        <w:t xml:space="preserve"> </w:t>
      </w:r>
      <w:r w:rsidRPr="00E0488D">
        <w:rPr>
          <w:rStyle w:val="hps"/>
          <w:rFonts w:cs="Arial"/>
          <w:color w:val="000000" w:themeColor="text1"/>
        </w:rPr>
        <w:t>includ o gamă largă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produse</w:t>
      </w:r>
      <w:r w:rsidRPr="00E0488D">
        <w:t xml:space="preserve">, inclusiv </w:t>
      </w:r>
      <w:r w:rsidRPr="00E0488D">
        <w:rPr>
          <w:rStyle w:val="hps"/>
          <w:rFonts w:cs="Arial"/>
          <w:color w:val="000000" w:themeColor="text1"/>
        </w:rPr>
        <w:t>mobilier</w:t>
      </w:r>
      <w:r w:rsidRPr="00E0488D">
        <w:t xml:space="preserve">, </w:t>
      </w:r>
      <w:r w:rsidRPr="00E0488D">
        <w:rPr>
          <w:rStyle w:val="hps"/>
          <w:rFonts w:cs="Arial"/>
          <w:color w:val="000000" w:themeColor="text1"/>
        </w:rPr>
        <w:t>PAL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bunuri de larg consum</w:t>
      </w:r>
      <w:r w:rsidRPr="00E0488D">
        <w:t>.</w:t>
      </w:r>
    </w:p>
    <w:p w:rsidR="00BD59B2" w:rsidRPr="00E0488D" w:rsidRDefault="00BD59B2" w:rsidP="00BD59B2">
      <w:pPr>
        <w:spacing w:line="276" w:lineRule="auto"/>
        <w:ind w:left="851"/>
        <w:rPr>
          <w:b/>
          <w:sz w:val="22"/>
          <w:szCs w:val="22"/>
          <w:lang w:val="ro-RO"/>
        </w:rPr>
      </w:pPr>
      <w:r w:rsidRPr="00E0488D">
        <w:rPr>
          <w:b/>
          <w:sz w:val="22"/>
          <w:szCs w:val="22"/>
          <w:lang w:val="ro-RO"/>
        </w:rPr>
        <w:t xml:space="preserve">Tabelul 8.9: Traficul de containere în anul de bază (TEU-uri pe zi) </w:t>
      </w:r>
    </w:p>
    <w:tbl>
      <w:tblPr>
        <w:tblW w:w="8384" w:type="dxa"/>
        <w:tblInd w:w="964" w:type="dxa"/>
        <w:tblLook w:val="04A0" w:firstRow="1" w:lastRow="0" w:firstColumn="1" w:lastColumn="0" w:noHBand="0" w:noVBand="1"/>
      </w:tblPr>
      <w:tblGrid>
        <w:gridCol w:w="729"/>
        <w:gridCol w:w="3581"/>
        <w:gridCol w:w="1380"/>
        <w:gridCol w:w="1418"/>
        <w:gridCol w:w="1276"/>
      </w:tblGrid>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BD59B2" w:rsidRPr="00E0488D" w:rsidRDefault="00BD59B2" w:rsidP="009972B3">
            <w:pPr>
              <w:spacing w:line="276" w:lineRule="auto"/>
              <w:jc w:val="center"/>
              <w:rPr>
                <w:b/>
                <w:sz w:val="22"/>
                <w:szCs w:val="22"/>
                <w:lang w:val="ro-RO"/>
              </w:rPr>
            </w:pPr>
            <w:r w:rsidRPr="00E0488D">
              <w:rPr>
                <w:b/>
                <w:sz w:val="22"/>
                <w:szCs w:val="22"/>
                <w:lang w:val="ro-RO"/>
              </w:rPr>
              <w:t>Cod</w:t>
            </w:r>
          </w:p>
        </w:tc>
        <w:tc>
          <w:tcPr>
            <w:tcW w:w="358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BD59B2" w:rsidRPr="00E0488D" w:rsidRDefault="00BD59B2" w:rsidP="009972B3">
            <w:pPr>
              <w:spacing w:line="276" w:lineRule="auto"/>
              <w:jc w:val="center"/>
              <w:rPr>
                <w:b/>
                <w:sz w:val="22"/>
                <w:szCs w:val="22"/>
                <w:lang w:val="ro-RO"/>
              </w:rPr>
            </w:pPr>
            <w:r w:rsidRPr="00E0488D">
              <w:rPr>
                <w:b/>
                <w:sz w:val="22"/>
                <w:szCs w:val="22"/>
                <w:lang w:val="ro-RO"/>
              </w:rPr>
              <w:t>Tip de marfă</w:t>
            </w:r>
          </w:p>
        </w:tc>
        <w:tc>
          <w:tcPr>
            <w:tcW w:w="13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BD59B2" w:rsidRPr="00E0488D" w:rsidRDefault="00BD59B2" w:rsidP="009972B3">
            <w:pPr>
              <w:spacing w:line="276" w:lineRule="auto"/>
              <w:jc w:val="center"/>
              <w:rPr>
                <w:b/>
                <w:sz w:val="22"/>
                <w:szCs w:val="22"/>
                <w:lang w:val="ro-RO"/>
              </w:rPr>
            </w:pPr>
            <w:r w:rsidRPr="00E0488D">
              <w:rPr>
                <w:b/>
                <w:sz w:val="22"/>
                <w:szCs w:val="22"/>
                <w:lang w:val="ro-RO"/>
              </w:rPr>
              <w:t>Transport naval</w:t>
            </w:r>
          </w:p>
        </w:tc>
        <w:tc>
          <w:tcPr>
            <w:tcW w:w="141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BD59B2" w:rsidRPr="00E0488D" w:rsidRDefault="00BD59B2" w:rsidP="009972B3">
            <w:pPr>
              <w:spacing w:line="276" w:lineRule="auto"/>
              <w:jc w:val="center"/>
              <w:rPr>
                <w:b/>
                <w:sz w:val="22"/>
                <w:szCs w:val="22"/>
                <w:lang w:val="ro-RO"/>
              </w:rPr>
            </w:pPr>
            <w:r w:rsidRPr="00E0488D">
              <w:rPr>
                <w:b/>
                <w:sz w:val="22"/>
                <w:szCs w:val="22"/>
                <w:lang w:val="ro-RO"/>
              </w:rPr>
              <w:t>Transport feroviar</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BD59B2" w:rsidRPr="00E0488D" w:rsidRDefault="00BD59B2" w:rsidP="009972B3">
            <w:pPr>
              <w:spacing w:line="276" w:lineRule="auto"/>
              <w:jc w:val="center"/>
              <w:rPr>
                <w:b/>
                <w:sz w:val="22"/>
                <w:szCs w:val="22"/>
                <w:lang w:val="ro-RO"/>
              </w:rPr>
            </w:pPr>
            <w:r w:rsidRPr="00E0488D">
              <w:rPr>
                <w:b/>
                <w:sz w:val="22"/>
                <w:szCs w:val="22"/>
                <w:lang w:val="ro-RO"/>
              </w:rPr>
              <w:t>Transport rutier</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0</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agricole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alimentare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62</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2</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Combustibili minerali solizi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3</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Țiței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4</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Minereuri, deșeuri metalice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5</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din metal</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69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159</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6</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Minerale&amp;materiale de construcții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7</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Fertilizatori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220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16</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8</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chimice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26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60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9</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Mașini &amp; utilaje industria grea</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47</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10</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petroliere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21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11</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11</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Corespondeță &amp; colete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12</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fabricate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228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161</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13</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Deșeuri domestice &amp; industriale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15</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14</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Produse forestiere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137</w:t>
            </w:r>
          </w:p>
        </w:tc>
      </w:tr>
      <w:tr w:rsidR="00BD59B2" w:rsidRPr="00E0488D" w:rsidTr="009972B3">
        <w:trPr>
          <w:trHeight w:val="300"/>
        </w:trPr>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b/>
                <w:bCs/>
                <w:sz w:val="22"/>
                <w:szCs w:val="22"/>
                <w:lang w:val="ro-RO"/>
              </w:rPr>
            </w:pPr>
            <w:r w:rsidRPr="00E0488D">
              <w:rPr>
                <w:b/>
                <w:bCs/>
                <w:sz w:val="22"/>
                <w:szCs w:val="22"/>
                <w:lang w:val="ro-RO"/>
              </w:rPr>
              <w:t>15</w:t>
            </w: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Animale vii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0</w:t>
            </w:r>
          </w:p>
        </w:tc>
      </w:tr>
      <w:tr w:rsidR="00BD59B2" w:rsidRPr="00E0488D" w:rsidTr="009972B3">
        <w:trPr>
          <w:trHeight w:val="300"/>
        </w:trPr>
        <w:tc>
          <w:tcPr>
            <w:tcW w:w="729" w:type="dxa"/>
            <w:tcBorders>
              <w:top w:val="single" w:sz="4" w:space="0" w:color="auto"/>
              <w:left w:val="nil"/>
              <w:bottom w:val="nil"/>
              <w:right w:val="nil"/>
            </w:tcBorders>
            <w:shd w:val="clear" w:color="auto" w:fill="auto"/>
            <w:noWrap/>
            <w:vAlign w:val="center"/>
            <w:hideMark/>
          </w:tcPr>
          <w:p w:rsidR="00BD59B2" w:rsidRPr="00E0488D" w:rsidRDefault="00BD59B2" w:rsidP="009972B3">
            <w:pPr>
              <w:spacing w:line="276" w:lineRule="auto"/>
              <w:jc w:val="center"/>
              <w:rPr>
                <w:sz w:val="22"/>
                <w:szCs w:val="22"/>
                <w:lang w:val="ro-RO"/>
              </w:rPr>
            </w:pPr>
          </w:p>
        </w:tc>
        <w:tc>
          <w:tcPr>
            <w:tcW w:w="3581" w:type="dxa"/>
            <w:tcBorders>
              <w:top w:val="single" w:sz="4" w:space="0" w:color="auto"/>
              <w:left w:val="nil"/>
              <w:bottom w:val="single" w:sz="4" w:space="0" w:color="auto"/>
              <w:right w:val="nil"/>
            </w:tcBorders>
            <w:shd w:val="clear" w:color="auto" w:fill="auto"/>
            <w:noWrap/>
            <w:vAlign w:val="center"/>
            <w:hideMark/>
          </w:tcPr>
          <w:p w:rsidR="00BD59B2" w:rsidRPr="00E0488D" w:rsidRDefault="00BD59B2" w:rsidP="009972B3">
            <w:pPr>
              <w:spacing w:line="276" w:lineRule="auto"/>
              <w:jc w:val="center"/>
              <w:rPr>
                <w:sz w:val="22"/>
                <w:szCs w:val="22"/>
                <w:lang w:val="ro-RO"/>
              </w:rPr>
            </w:pPr>
          </w:p>
        </w:tc>
        <w:tc>
          <w:tcPr>
            <w:tcW w:w="1380" w:type="dxa"/>
            <w:tcBorders>
              <w:top w:val="single" w:sz="4" w:space="0" w:color="auto"/>
              <w:left w:val="nil"/>
              <w:bottom w:val="single" w:sz="4" w:space="0" w:color="auto"/>
              <w:right w:val="nil"/>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p>
        </w:tc>
        <w:tc>
          <w:tcPr>
            <w:tcW w:w="1418" w:type="dxa"/>
            <w:tcBorders>
              <w:top w:val="single" w:sz="4" w:space="0" w:color="auto"/>
              <w:left w:val="nil"/>
              <w:bottom w:val="single" w:sz="4" w:space="0" w:color="auto"/>
              <w:right w:val="nil"/>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p>
        </w:tc>
        <w:tc>
          <w:tcPr>
            <w:tcW w:w="1276" w:type="dxa"/>
            <w:tcBorders>
              <w:top w:val="single" w:sz="4" w:space="0" w:color="auto"/>
              <w:left w:val="nil"/>
              <w:bottom w:val="single" w:sz="4" w:space="0" w:color="auto"/>
              <w:right w:val="nil"/>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p>
        </w:tc>
      </w:tr>
      <w:tr w:rsidR="00BD59B2" w:rsidRPr="00E0488D" w:rsidTr="009972B3">
        <w:trPr>
          <w:trHeight w:val="300"/>
        </w:trPr>
        <w:tc>
          <w:tcPr>
            <w:tcW w:w="729" w:type="dxa"/>
            <w:tcBorders>
              <w:top w:val="nil"/>
              <w:left w:val="nil"/>
              <w:bottom w:val="nil"/>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Total</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31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584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317"/>
              <w:jc w:val="center"/>
              <w:rPr>
                <w:sz w:val="22"/>
                <w:szCs w:val="22"/>
                <w:lang w:val="ro-RO"/>
              </w:rPr>
            </w:pPr>
            <w:r w:rsidRPr="00E0488D">
              <w:rPr>
                <w:sz w:val="22"/>
                <w:szCs w:val="22"/>
                <w:lang w:val="ro-RO"/>
              </w:rPr>
              <w:t>669</w:t>
            </w:r>
          </w:p>
        </w:tc>
      </w:tr>
      <w:tr w:rsidR="00BD59B2" w:rsidRPr="00E0488D" w:rsidTr="009972B3">
        <w:trPr>
          <w:trHeight w:val="300"/>
        </w:trPr>
        <w:tc>
          <w:tcPr>
            <w:tcW w:w="729" w:type="dxa"/>
            <w:tcBorders>
              <w:top w:val="nil"/>
              <w:left w:val="nil"/>
              <w:bottom w:val="nil"/>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p>
        </w:tc>
        <w:tc>
          <w:tcPr>
            <w:tcW w:w="3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Proporție</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175"/>
              <w:jc w:val="center"/>
              <w:rPr>
                <w:sz w:val="22"/>
                <w:szCs w:val="22"/>
                <w:lang w:val="ro-RO"/>
              </w:rPr>
            </w:pPr>
            <w:r w:rsidRPr="00E0488D">
              <w:rPr>
                <w:sz w:val="22"/>
                <w:szCs w:val="22"/>
                <w:lang w:val="ro-RO"/>
              </w:rPr>
              <w:t>2.4%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175"/>
              <w:jc w:val="center"/>
              <w:rPr>
                <w:sz w:val="22"/>
                <w:szCs w:val="22"/>
                <w:lang w:val="ro-RO"/>
              </w:rPr>
            </w:pPr>
            <w:r w:rsidRPr="00E0488D">
              <w:rPr>
                <w:sz w:val="22"/>
                <w:szCs w:val="22"/>
                <w:lang w:val="ro-RO"/>
              </w:rPr>
              <w:t>45.5%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spacing w:line="276" w:lineRule="auto"/>
              <w:ind w:right="175"/>
              <w:jc w:val="center"/>
              <w:rPr>
                <w:sz w:val="22"/>
                <w:szCs w:val="22"/>
                <w:lang w:val="ro-RO"/>
              </w:rPr>
            </w:pPr>
            <w:r w:rsidRPr="00E0488D">
              <w:rPr>
                <w:sz w:val="22"/>
                <w:szCs w:val="22"/>
                <w:lang w:val="ro-RO"/>
              </w:rPr>
              <w:t>52.1%</w:t>
            </w:r>
          </w:p>
        </w:tc>
      </w:tr>
    </w:tbl>
    <w:p w:rsidR="00BD59B2" w:rsidRPr="00E0488D" w:rsidRDefault="00BD59B2" w:rsidP="00BD59B2">
      <w:pPr>
        <w:spacing w:line="276" w:lineRule="auto"/>
        <w:rPr>
          <w:sz w:val="22"/>
          <w:szCs w:val="22"/>
          <w:lang w:val="ro-RO"/>
        </w:rPr>
      </w:pPr>
    </w:p>
    <w:p w:rsidR="00BD59B2" w:rsidRPr="00E0488D" w:rsidRDefault="00BD59B2" w:rsidP="002B7E09">
      <w:pPr>
        <w:pStyle w:val="NumberedParas"/>
      </w:pPr>
      <w:r w:rsidRPr="00E0488D">
        <w:rPr>
          <w:rStyle w:val="hps"/>
          <w:rFonts w:cs="Arial"/>
          <w:color w:val="000000" w:themeColor="text1"/>
        </w:rPr>
        <w:t>Deși</w:t>
      </w:r>
      <w:r w:rsidRPr="00E0488D">
        <w:t xml:space="preserve"> cifra de </w:t>
      </w:r>
      <w:r w:rsidRPr="00E0488D">
        <w:rPr>
          <w:rStyle w:val="hps"/>
          <w:rFonts w:cs="Arial"/>
          <w:color w:val="000000" w:themeColor="text1"/>
        </w:rPr>
        <w:t>45,5</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ponderea modală</w:t>
      </w:r>
      <w:r w:rsidRPr="00E0488D">
        <w:t xml:space="preserve"> </w:t>
      </w:r>
      <w:r w:rsidRPr="00E0488D">
        <w:rPr>
          <w:rStyle w:val="hps"/>
          <w:rFonts w:cs="Arial"/>
          <w:color w:val="000000" w:themeColor="text1"/>
        </w:rPr>
        <w:t>este mare</w:t>
      </w:r>
      <w:r w:rsidRPr="00E0488D">
        <w:t xml:space="preserve">, </w:t>
      </w:r>
      <w:r w:rsidRPr="00E0488D">
        <w:rPr>
          <w:rStyle w:val="hps"/>
          <w:rFonts w:cs="Arial"/>
          <w:color w:val="000000" w:themeColor="text1"/>
        </w:rPr>
        <w:t>trebuie să se constate</w:t>
      </w:r>
      <w:r w:rsidRPr="00E0488D">
        <w:t xml:space="preserve"> faptul </w:t>
      </w:r>
      <w:r w:rsidRPr="00E0488D">
        <w:rPr>
          <w:rStyle w:val="hps"/>
          <w:rFonts w:cs="Arial"/>
          <w:color w:val="000000" w:themeColor="text1"/>
        </w:rPr>
        <w:t>că</w:t>
      </w:r>
      <w:r w:rsidRPr="00E0488D">
        <w:t xml:space="preserve"> </w:t>
      </w:r>
      <w:r w:rsidRPr="00E0488D">
        <w:rPr>
          <w:rStyle w:val="hps"/>
          <w:rFonts w:cs="Arial"/>
          <w:color w:val="000000" w:themeColor="text1"/>
        </w:rPr>
        <w:t>industria</w:t>
      </w:r>
      <w:r w:rsidRPr="00E0488D">
        <w:t xml:space="preserve"> </w:t>
      </w:r>
      <w:r w:rsidRPr="00E0488D">
        <w:rPr>
          <w:rStyle w:val="hps"/>
          <w:rFonts w:cs="Arial"/>
          <w:color w:val="000000" w:themeColor="text1"/>
        </w:rPr>
        <w:t>intermodală 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în prezent sub</w:t>
      </w:r>
      <w:r w:rsidRPr="00E0488D">
        <w:rPr>
          <w:rStyle w:val="atn"/>
          <w:rFonts w:cs="Arial"/>
          <w:color w:val="000000" w:themeColor="text1"/>
        </w:rPr>
        <w:t>-</w:t>
      </w:r>
      <w:r w:rsidRPr="00E0488D">
        <w:t xml:space="preserve">dezvoltată: </w:t>
      </w:r>
      <w:r w:rsidRPr="00E0488D">
        <w:rPr>
          <w:rStyle w:val="hps"/>
          <w:rFonts w:cs="Arial"/>
          <w:color w:val="000000" w:themeColor="text1"/>
        </w:rPr>
        <w:t>1.300</w:t>
      </w:r>
      <w:r w:rsidRPr="00E0488D">
        <w:t xml:space="preserve"> </w:t>
      </w:r>
      <w:r w:rsidRPr="00E0488D">
        <w:rPr>
          <w:rStyle w:val="hps"/>
          <w:rFonts w:cs="Arial"/>
          <w:color w:val="000000" w:themeColor="text1"/>
        </w:rPr>
        <w:t>TEU-uri</w:t>
      </w:r>
      <w:r w:rsidRPr="00E0488D">
        <w:t xml:space="preserve"> </w:t>
      </w:r>
      <w:r w:rsidRPr="00E0488D">
        <w:rPr>
          <w:rStyle w:val="hps"/>
          <w:rFonts w:cs="Arial"/>
          <w:color w:val="000000" w:themeColor="text1"/>
        </w:rPr>
        <w:t>pe zi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volum</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redus</w:t>
      </w:r>
      <w:r w:rsidRPr="00E0488D">
        <w:t xml:space="preserve">. </w:t>
      </w:r>
      <w:r w:rsidRPr="00E0488D">
        <w:rPr>
          <w:rStyle w:val="hps"/>
          <w:rFonts w:cs="Arial"/>
          <w:color w:val="000000" w:themeColor="text1"/>
        </w:rPr>
        <w:t>Așa cum am precizat mai înainte, gradul de containerizare a mărfurilor din România este mult mai redus în comparație cu alte țări europene. Cota</w:t>
      </w:r>
      <w:r w:rsidRPr="00E0488D">
        <w:t xml:space="preserve"> de piață a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afectată</w:t>
      </w:r>
      <w:r w:rsidRPr="00E0488D">
        <w:t xml:space="preserve"> </w:t>
      </w:r>
      <w:r w:rsidRPr="00E0488D">
        <w:rPr>
          <w:rStyle w:val="hps"/>
          <w:rFonts w:cs="Arial"/>
          <w:color w:val="000000" w:themeColor="text1"/>
        </w:rPr>
        <w:t>în mod dramatic de</w:t>
      </w:r>
      <w:r w:rsidRPr="00E0488D">
        <w:t xml:space="preserve"> </w:t>
      </w:r>
      <w:r w:rsidRPr="00E0488D">
        <w:rPr>
          <w:rStyle w:val="hps"/>
          <w:rFonts w:cs="Arial"/>
          <w:color w:val="000000" w:themeColor="text1"/>
        </w:rPr>
        <w:t>durata călătoriei</w:t>
      </w:r>
      <w:r w:rsidRPr="00E0488D">
        <w:t xml:space="preserve">. </w:t>
      </w:r>
      <w:r w:rsidRPr="00E0488D">
        <w:rPr>
          <w:rStyle w:val="hps"/>
          <w:rFonts w:cs="Arial"/>
          <w:color w:val="000000" w:themeColor="text1"/>
        </w:rPr>
        <w:t>Figura 8.7</w:t>
      </w:r>
      <w:r w:rsidRPr="00E0488D">
        <w:t xml:space="preserve"> </w:t>
      </w:r>
      <w:r w:rsidRPr="00E0488D">
        <w:rPr>
          <w:rStyle w:val="hps"/>
          <w:rFonts w:cs="Arial"/>
          <w:color w:val="000000" w:themeColor="text1"/>
        </w:rPr>
        <w:t>arată</w:t>
      </w:r>
      <w:r w:rsidRPr="00E0488D">
        <w:t xml:space="preserve"> </w:t>
      </w:r>
      <w:r w:rsidRPr="00E0488D">
        <w:rPr>
          <w:rStyle w:val="hps"/>
          <w:rFonts w:cs="Arial"/>
          <w:color w:val="000000" w:themeColor="text1"/>
        </w:rPr>
        <w:t>că</w:t>
      </w:r>
      <w:r w:rsidRPr="00E0488D">
        <w:t xml:space="preserve"> pentru distanțele mai mari de </w:t>
      </w:r>
      <w:r w:rsidRPr="00E0488D">
        <w:rPr>
          <w:rStyle w:val="hps"/>
          <w:rFonts w:cs="Arial"/>
          <w:color w:val="000000" w:themeColor="text1"/>
        </w:rPr>
        <w:t>200 km</w:t>
      </w:r>
      <w:r w:rsidRPr="00E0488D">
        <w:t xml:space="preserve">, </w:t>
      </w:r>
      <w:r w:rsidRPr="00E0488D">
        <w:rPr>
          <w:rStyle w:val="hps"/>
          <w:rFonts w:cs="Arial"/>
          <w:color w:val="000000" w:themeColor="text1"/>
        </w:rPr>
        <w:t>calea ferată devine din ce în ce mai mult o alegere pentru transportul containerelor</w:t>
      </w:r>
      <w:r w:rsidRPr="00E0488D">
        <w:t xml:space="preserve">. </w:t>
      </w:r>
      <w:r w:rsidRPr="00E0488D">
        <w:rPr>
          <w:rStyle w:val="hps"/>
          <w:rFonts w:cs="Arial"/>
          <w:color w:val="000000" w:themeColor="text1"/>
        </w:rPr>
        <w:t>Acest lucru indică</w:t>
      </w:r>
      <w:r w:rsidRPr="00E0488D">
        <w:t xml:space="preserve"> </w:t>
      </w:r>
      <w:r w:rsidRPr="00E0488D">
        <w:rPr>
          <w:rStyle w:val="hps"/>
          <w:rFonts w:cs="Arial"/>
          <w:color w:val="000000" w:themeColor="text1"/>
        </w:rPr>
        <w:t>un compromis distanță/</w:t>
      </w:r>
      <w:r w:rsidRPr="00E0488D">
        <w:t xml:space="preserve"> </w:t>
      </w:r>
      <w:r w:rsidRPr="00E0488D">
        <w:rPr>
          <w:rStyle w:val="hps"/>
          <w:rFonts w:cs="Arial"/>
          <w:color w:val="000000" w:themeColor="text1"/>
        </w:rPr>
        <w:t>preț</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procesul de luare</w:t>
      </w:r>
      <w:r w:rsidRPr="00E0488D">
        <w:t xml:space="preserve"> </w:t>
      </w:r>
      <w:r w:rsidRPr="00E0488D">
        <w:rPr>
          <w:rStyle w:val="hps"/>
          <w:rFonts w:cs="Arial"/>
          <w:color w:val="000000" w:themeColor="text1"/>
        </w:rPr>
        <w:t>a deciziilor</w:t>
      </w:r>
      <w:r w:rsidRPr="00E0488D">
        <w:t xml:space="preserve"> de către </w:t>
      </w:r>
      <w:r w:rsidRPr="00E0488D">
        <w:rPr>
          <w:rStyle w:val="hps"/>
          <w:rFonts w:cs="Arial"/>
          <w:color w:val="000000" w:themeColor="text1"/>
        </w:rPr>
        <w:t>expeditori</w:t>
      </w:r>
      <w:r w:rsidRPr="00E0488D">
        <w:t xml:space="preserve">, deși </w:t>
      </w:r>
      <w:r w:rsidRPr="00E0488D">
        <w:rPr>
          <w:rStyle w:val="hps"/>
          <w:rFonts w:cs="Arial"/>
          <w:color w:val="000000" w:themeColor="text1"/>
        </w:rPr>
        <w:t>în cazul în care</w:t>
      </w:r>
      <w:r w:rsidRPr="00E0488D">
        <w:t xml:space="preserve"> </w:t>
      </w:r>
      <w:r w:rsidRPr="00E0488D">
        <w:rPr>
          <w:rStyle w:val="hps"/>
          <w:rFonts w:cs="Arial"/>
          <w:color w:val="000000" w:themeColor="text1"/>
        </w:rPr>
        <w:t>oferta</w:t>
      </w:r>
      <w:r w:rsidRPr="00E0488D">
        <w:t xml:space="preserve"> de transport </w:t>
      </w:r>
      <w:r w:rsidRPr="00E0488D">
        <w:rPr>
          <w:rStyle w:val="hps"/>
          <w:rFonts w:cs="Arial"/>
          <w:color w:val="000000" w:themeColor="text1"/>
        </w:rPr>
        <w:t>feroviar</w:t>
      </w:r>
      <w:r w:rsidRPr="00E0488D">
        <w:t xml:space="preserve"> </w:t>
      </w:r>
      <w:r w:rsidRPr="00E0488D">
        <w:rPr>
          <w:rStyle w:val="hps"/>
          <w:rFonts w:cs="Arial"/>
          <w:color w:val="000000" w:themeColor="text1"/>
        </w:rPr>
        <w:t>rămâne</w:t>
      </w:r>
      <w:r w:rsidRPr="00E0488D">
        <w:t xml:space="preserve"> </w:t>
      </w:r>
      <w:r w:rsidRPr="00E0488D">
        <w:rPr>
          <w:rStyle w:val="hps"/>
          <w:rFonts w:cs="Arial"/>
          <w:color w:val="000000" w:themeColor="text1"/>
        </w:rPr>
        <w:t>neschimbată</w:t>
      </w:r>
      <w:r w:rsidRPr="00E0488D">
        <w:t xml:space="preserve"> </w:t>
      </w:r>
      <w:r w:rsidRPr="00E0488D">
        <w:rPr>
          <w:rStyle w:val="hps"/>
          <w:rFonts w:cs="Arial"/>
          <w:color w:val="000000" w:themeColor="text1"/>
        </w:rPr>
        <w:t>în timp ce</w:t>
      </w:r>
      <w:r w:rsidRPr="00E0488D">
        <w:t xml:space="preserve"> </w:t>
      </w:r>
      <w:r w:rsidRPr="00E0488D">
        <w:rPr>
          <w:rStyle w:val="hps"/>
          <w:rFonts w:cs="Arial"/>
          <w:color w:val="000000" w:themeColor="text1"/>
        </w:rPr>
        <w:t>transportul rutier de mărfuri</w:t>
      </w:r>
      <w:r w:rsidRPr="00E0488D">
        <w:t xml:space="preserve"> </w:t>
      </w:r>
      <w:r w:rsidRPr="00E0488D">
        <w:rPr>
          <w:rStyle w:val="hps"/>
          <w:rFonts w:cs="Arial"/>
          <w:color w:val="000000" w:themeColor="text1"/>
        </w:rPr>
        <w:t>se îmbunătățește</w:t>
      </w:r>
      <w:r w:rsidRPr="00E0488D">
        <w:t xml:space="preserve">, este de așteptat ca </w:t>
      </w:r>
      <w:r w:rsidRPr="00E0488D">
        <w:rPr>
          <w:rStyle w:val="hps"/>
          <w:rFonts w:cs="Arial"/>
          <w:color w:val="000000" w:themeColor="text1"/>
        </w:rPr>
        <w:t>distanțele</w:t>
      </w:r>
      <w:r w:rsidRPr="00E0488D">
        <w:t xml:space="preserve"> </w:t>
      </w:r>
      <w:r w:rsidRPr="00E0488D">
        <w:rPr>
          <w:rStyle w:val="hps"/>
          <w:rFonts w:cs="Arial"/>
          <w:color w:val="000000" w:themeColor="text1"/>
        </w:rPr>
        <w:t>de livrare să devină în mod</w:t>
      </w:r>
      <w:r w:rsidRPr="00E0488D">
        <w:t xml:space="preserve"> </w:t>
      </w:r>
      <w:r w:rsidRPr="00E0488D">
        <w:rPr>
          <w:rStyle w:val="hps"/>
          <w:rFonts w:cs="Arial"/>
          <w:color w:val="000000" w:themeColor="text1"/>
        </w:rPr>
        <w:t>semnificativ mai mari</w:t>
      </w:r>
      <w:r w:rsidRPr="00E0488D">
        <w:t>.</w:t>
      </w:r>
    </w:p>
    <w:p w:rsidR="00BD59B2" w:rsidRPr="00E0488D" w:rsidRDefault="00BD59B2" w:rsidP="00BD59B2">
      <w:pPr>
        <w:spacing w:line="276" w:lineRule="auto"/>
        <w:ind w:firstLine="851"/>
        <w:rPr>
          <w:sz w:val="22"/>
          <w:szCs w:val="22"/>
          <w:lang w:val="ro-RO"/>
        </w:rPr>
      </w:pPr>
      <w:r w:rsidRPr="00E0488D">
        <w:rPr>
          <w:noProof/>
          <w:sz w:val="22"/>
          <w:szCs w:val="22"/>
          <w:lang w:val="ro-RO" w:eastAsia="ro-RO"/>
        </w:rPr>
        <w:drawing>
          <wp:inline distT="0" distB="0" distL="0" distR="0">
            <wp:extent cx="4572762" cy="2746629"/>
            <wp:effectExtent l="19050" t="0" r="18288" b="0"/>
            <wp:docPr id="8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00BD59B2" w:rsidRPr="00E0488D" w:rsidRDefault="00BD59B2" w:rsidP="00BD59B2">
      <w:pPr>
        <w:spacing w:line="276" w:lineRule="auto"/>
        <w:ind w:left="851"/>
        <w:rPr>
          <w:b/>
          <w:sz w:val="22"/>
          <w:szCs w:val="22"/>
          <w:lang w:val="ro-RO"/>
        </w:rPr>
      </w:pPr>
      <w:r w:rsidRPr="00E0488D">
        <w:rPr>
          <w:b/>
          <w:sz w:val="22"/>
          <w:szCs w:val="22"/>
          <w:lang w:val="ro-RO"/>
        </w:rPr>
        <w:t xml:space="preserve">Figura 8.7 – Proporția traficului de containere în anul de bază pe cale ferată, pe distanțe  </w:t>
      </w:r>
    </w:p>
    <w:p w:rsidR="00BD59B2" w:rsidRPr="00E0488D" w:rsidRDefault="00BD59B2" w:rsidP="00BD59B2">
      <w:pPr>
        <w:spacing w:line="276" w:lineRule="auto"/>
        <w:rPr>
          <w:sz w:val="22"/>
          <w:szCs w:val="22"/>
          <w:lang w:val="ro-RO"/>
        </w:rPr>
      </w:pPr>
    </w:p>
    <w:p w:rsidR="00BD59B2" w:rsidRPr="00E0488D" w:rsidRDefault="00BD59B2" w:rsidP="002B7E09">
      <w:pPr>
        <w:pStyle w:val="NumberedParas"/>
      </w:pPr>
      <w:r w:rsidRPr="00E0488D">
        <w:rPr>
          <w:rStyle w:val="hps"/>
          <w:rFonts w:cs="Arial"/>
          <w:color w:val="000000" w:themeColor="text1"/>
        </w:rPr>
        <w:t>Cu toate acestea</w:t>
      </w:r>
      <w:r w:rsidRPr="00E0488D">
        <w:t xml:space="preserve">, trebuie luată în considerare </w:t>
      </w:r>
      <w:r w:rsidRPr="00E0488D">
        <w:rPr>
          <w:rStyle w:val="hps"/>
          <w:rFonts w:cs="Arial"/>
          <w:color w:val="000000" w:themeColor="text1"/>
        </w:rPr>
        <w:t>lipsa</w:t>
      </w:r>
      <w:r w:rsidRPr="00E0488D">
        <w:t xml:space="preserve"> </w:t>
      </w:r>
      <w:r w:rsidRPr="00E0488D">
        <w:rPr>
          <w:rStyle w:val="hps"/>
          <w:rFonts w:cs="Arial"/>
          <w:color w:val="000000" w:themeColor="text1"/>
        </w:rPr>
        <w:t>dezvoltării</w:t>
      </w:r>
      <w:r w:rsidRPr="00E0488D">
        <w:t xml:space="preserve"> </w:t>
      </w:r>
      <w:r w:rsidRPr="00E0488D">
        <w:rPr>
          <w:rStyle w:val="hps"/>
          <w:rFonts w:cs="Arial"/>
          <w:color w:val="000000" w:themeColor="text1"/>
        </w:rPr>
        <w:t>pieței</w:t>
      </w:r>
      <w:r w:rsidRPr="00E0488D">
        <w:t xml:space="preserve"> de </w:t>
      </w:r>
      <w:r w:rsidRPr="00E0488D">
        <w:rPr>
          <w:rStyle w:val="hps"/>
          <w:rFonts w:cs="Arial"/>
          <w:color w:val="000000" w:themeColor="text1"/>
        </w:rPr>
        <w:t>containere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prognoza</w:t>
      </w:r>
      <w:r w:rsidRPr="00E0488D">
        <w:t xml:space="preserve"> </w:t>
      </w:r>
      <w:r w:rsidRPr="00E0488D">
        <w:rPr>
          <w:rStyle w:val="hps"/>
          <w:rFonts w:cs="Arial"/>
          <w:color w:val="000000" w:themeColor="text1"/>
        </w:rPr>
        <w:t>potențialului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containerizare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mărfurile considerate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model</w:t>
      </w:r>
      <w:r w:rsidRPr="00E0488D">
        <w:t xml:space="preserve">, </w:t>
      </w:r>
      <w:r w:rsidRPr="00E0488D">
        <w:rPr>
          <w:rStyle w:val="hps"/>
          <w:rFonts w:cs="Arial"/>
          <w:color w:val="000000" w:themeColor="text1"/>
        </w:rPr>
        <w:t>Figura 8.8</w:t>
      </w:r>
      <w:r w:rsidRPr="00E0488D">
        <w:t xml:space="preserve"> </w:t>
      </w:r>
      <w:r w:rsidRPr="00E0488D">
        <w:rPr>
          <w:rStyle w:val="hps"/>
          <w:rFonts w:cs="Arial"/>
          <w:color w:val="000000" w:themeColor="text1"/>
        </w:rPr>
        <w:t>prezintă</w:t>
      </w:r>
      <w:r w:rsidRPr="00E0488D">
        <w:t xml:space="preserve"> </w:t>
      </w:r>
      <w:r w:rsidRPr="00E0488D">
        <w:rPr>
          <w:rStyle w:val="hps"/>
          <w:rFonts w:cs="Arial"/>
          <w:color w:val="000000" w:themeColor="text1"/>
        </w:rPr>
        <w:t>traficul</w:t>
      </w:r>
      <w:r w:rsidRPr="00E0488D">
        <w:t xml:space="preserve"> </w:t>
      </w:r>
      <w:r w:rsidRPr="00E0488D">
        <w:rPr>
          <w:rStyle w:val="hps"/>
          <w:rFonts w:cs="Arial"/>
          <w:color w:val="000000" w:themeColor="text1"/>
        </w:rPr>
        <w:t>de containere transportate pe calea ferată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proporție</w:t>
      </w:r>
      <w:r w:rsidRPr="00E0488D">
        <w:t xml:space="preserve"> </w:t>
      </w:r>
      <w:r w:rsidRPr="00E0488D">
        <w:rPr>
          <w:rStyle w:val="hps"/>
          <w:rFonts w:cs="Arial"/>
          <w:color w:val="000000" w:themeColor="text1"/>
        </w:rPr>
        <w:t>a pieței</w:t>
      </w:r>
      <w:r w:rsidRPr="00E0488D">
        <w:t xml:space="preserve"> de </w:t>
      </w:r>
      <w:r w:rsidRPr="00E0488D">
        <w:rPr>
          <w:rStyle w:val="hps"/>
          <w:rFonts w:cs="Arial"/>
          <w:color w:val="000000" w:themeColor="text1"/>
        </w:rPr>
        <w:t>containere</w:t>
      </w:r>
      <w:r w:rsidRPr="00E0488D">
        <w:t xml:space="preserve"> </w:t>
      </w:r>
      <w:r w:rsidRPr="00E0488D">
        <w:rPr>
          <w:rStyle w:val="hps"/>
          <w:rFonts w:cs="Arial"/>
          <w:color w:val="000000" w:themeColor="text1"/>
        </w:rPr>
        <w:t>prognozată</w:t>
      </w:r>
      <w:r w:rsidRPr="00E0488D">
        <w:t xml:space="preserve">. </w:t>
      </w:r>
      <w:r w:rsidRPr="00E0488D">
        <w:rPr>
          <w:rStyle w:val="hps"/>
          <w:rFonts w:cs="Arial"/>
          <w:color w:val="000000" w:themeColor="text1"/>
        </w:rPr>
        <w:t>Aceasta arată</w:t>
      </w:r>
      <w:r w:rsidRPr="00E0488D">
        <w:t xml:space="preserve"> </w:t>
      </w:r>
      <w:r w:rsidRPr="00E0488D">
        <w:rPr>
          <w:rStyle w:val="hps"/>
          <w:rFonts w:cs="Arial"/>
          <w:color w:val="000000" w:themeColor="text1"/>
        </w:rPr>
        <w:t>că</w:t>
      </w:r>
      <w:r w:rsidRPr="00E0488D">
        <w:t xml:space="preserve"> prin </w:t>
      </w:r>
      <w:r w:rsidRPr="00E0488D">
        <w:rPr>
          <w:rStyle w:val="hps"/>
          <w:rFonts w:cs="Arial"/>
          <w:color w:val="000000" w:themeColor="text1"/>
        </w:rPr>
        <w:t>menținerea</w:t>
      </w:r>
      <w:r w:rsidRPr="00E0488D">
        <w:t xml:space="preserve"> </w:t>
      </w:r>
      <w:r w:rsidRPr="00E0488D">
        <w:rPr>
          <w:rStyle w:val="hps"/>
          <w:rFonts w:cs="Arial"/>
          <w:color w:val="000000" w:themeColor="text1"/>
        </w:rPr>
        <w:t>nivelului actual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activitate</w:t>
      </w:r>
      <w:r w:rsidRPr="00E0488D">
        <w:t xml:space="preserve">, transportul </w:t>
      </w:r>
      <w:r w:rsidRPr="00E0488D">
        <w:rPr>
          <w:rStyle w:val="hps"/>
          <w:rFonts w:cs="Arial"/>
          <w:color w:val="000000" w:themeColor="text1"/>
        </w:rPr>
        <w:t>feroviar</w:t>
      </w:r>
      <w:r w:rsidRPr="00E0488D">
        <w:t xml:space="preserve"> </w:t>
      </w:r>
      <w:r w:rsidRPr="00E0488D">
        <w:rPr>
          <w:rStyle w:val="hps"/>
          <w:rFonts w:cs="Arial"/>
          <w:color w:val="000000" w:themeColor="text1"/>
        </w:rPr>
        <w:t>ar</w:t>
      </w:r>
      <w:r w:rsidRPr="00E0488D">
        <w:t xml:space="preserve"> </w:t>
      </w:r>
      <w:r w:rsidRPr="00E0488D">
        <w:rPr>
          <w:rStyle w:val="hps"/>
          <w:rFonts w:cs="Arial"/>
          <w:color w:val="000000" w:themeColor="text1"/>
        </w:rPr>
        <w:t>reprezenta</w:t>
      </w:r>
      <w:r w:rsidRPr="00E0488D">
        <w:t xml:space="preserve"> </w:t>
      </w:r>
      <w:r w:rsidRPr="00E0488D">
        <w:rPr>
          <w:rStyle w:val="hps"/>
          <w:rFonts w:cs="Arial"/>
          <w:color w:val="000000" w:themeColor="text1"/>
        </w:rPr>
        <w:t>doar</w:t>
      </w:r>
      <w:r w:rsidRPr="00E0488D">
        <w:t xml:space="preserve"> </w:t>
      </w:r>
      <w:r w:rsidRPr="00E0488D">
        <w:rPr>
          <w:rStyle w:val="hps"/>
          <w:rFonts w:cs="Arial"/>
          <w:color w:val="000000" w:themeColor="text1"/>
        </w:rPr>
        <w:t>18%</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piață,</w:t>
      </w:r>
      <w:r w:rsidRPr="00E0488D">
        <w:t xml:space="preserve"> </w:t>
      </w:r>
      <w:r w:rsidRPr="00E0488D">
        <w:rPr>
          <w:rStyle w:val="hps"/>
          <w:rFonts w:cs="Arial"/>
          <w:color w:val="000000" w:themeColor="text1"/>
        </w:rPr>
        <w:t>în esență,</w:t>
      </w:r>
      <w:r w:rsidRPr="00E0488D">
        <w:t xml:space="preserve"> </w:t>
      </w:r>
      <w:r w:rsidRPr="00E0488D">
        <w:rPr>
          <w:rStyle w:val="hps"/>
          <w:rFonts w:cs="Arial"/>
          <w:color w:val="000000" w:themeColor="text1"/>
        </w:rPr>
        <w:t>pierde două treimi din</w:t>
      </w:r>
      <w:r w:rsidRPr="00E0488D">
        <w:t xml:space="preserve"> </w:t>
      </w:r>
      <w:r w:rsidRPr="00E0488D">
        <w:rPr>
          <w:rStyle w:val="hps"/>
          <w:rFonts w:cs="Arial"/>
          <w:color w:val="000000" w:themeColor="text1"/>
        </w:rPr>
        <w:t>potențialul de creștere</w:t>
      </w:r>
      <w:r w:rsidRPr="00E0488D">
        <w:t xml:space="preserve">. </w:t>
      </w:r>
      <w:r w:rsidRPr="00E0488D">
        <w:rPr>
          <w:rStyle w:val="hps"/>
          <w:rFonts w:cs="Arial"/>
          <w:color w:val="000000" w:themeColor="text1"/>
        </w:rPr>
        <w:t>Pe de altă parte</w:t>
      </w:r>
      <w:r w:rsidRPr="00E0488D">
        <w:t xml:space="preserve">, </w:t>
      </w:r>
      <w:r w:rsidRPr="00E0488D">
        <w:rPr>
          <w:rStyle w:val="hps"/>
          <w:rFonts w:cs="Arial"/>
          <w:color w:val="000000" w:themeColor="text1"/>
        </w:rPr>
        <w:t>în cazul în care</w:t>
      </w:r>
      <w:r w:rsidRPr="00E0488D">
        <w:t xml:space="preserve"> </w:t>
      </w:r>
      <w:r w:rsidRPr="00E0488D">
        <w:rPr>
          <w:rStyle w:val="hps"/>
          <w:rFonts w:cs="Arial"/>
          <w:color w:val="000000" w:themeColor="text1"/>
        </w:rPr>
        <w:t>transportul feroviar și-ar putea</w:t>
      </w:r>
      <w:r w:rsidRPr="00E0488D">
        <w:t xml:space="preserve"> </w:t>
      </w:r>
      <w:r w:rsidRPr="00E0488D">
        <w:rPr>
          <w:rStyle w:val="hps"/>
          <w:rFonts w:cs="Arial"/>
          <w:color w:val="000000" w:themeColor="text1"/>
        </w:rPr>
        <w:t>menține</w:t>
      </w:r>
      <w:r w:rsidRPr="00E0488D">
        <w:t xml:space="preserve"> </w:t>
      </w:r>
      <w:r w:rsidRPr="00E0488D">
        <w:rPr>
          <w:rStyle w:val="hps"/>
          <w:rFonts w:cs="Arial"/>
          <w:color w:val="000000" w:themeColor="text1"/>
        </w:rPr>
        <w:t>cota actuală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300kms</w:t>
      </w:r>
      <w:r w:rsidRPr="00E0488D">
        <w:t xml:space="preserve"> </w:t>
      </w:r>
      <w:r w:rsidRPr="00E0488D">
        <w:rPr>
          <w:rStyle w:val="hps"/>
          <w:rFonts w:cs="Arial"/>
          <w:color w:val="000000" w:themeColor="text1"/>
        </w:rPr>
        <w:t>de trafic</w:t>
      </w:r>
      <w:r w:rsidRPr="00E0488D">
        <w:t xml:space="preserve"> </w:t>
      </w:r>
      <w:r w:rsidRPr="00E0488D">
        <w:rPr>
          <w:rStyle w:val="hps"/>
          <w:rFonts w:cs="Arial"/>
          <w:color w:val="000000" w:themeColor="text1"/>
        </w:rPr>
        <w:t>de călătorie</w:t>
      </w:r>
      <w:r w:rsidRPr="00E0488D">
        <w:t xml:space="preserve">, respectiv </w:t>
      </w:r>
      <w:r w:rsidRPr="00E0488D">
        <w:rPr>
          <w:rStyle w:val="hps"/>
          <w:rFonts w:cs="Arial"/>
          <w:color w:val="000000" w:themeColor="text1"/>
        </w:rPr>
        <w:t>(</w:t>
      </w:r>
      <w:r w:rsidRPr="00E0488D">
        <w:t xml:space="preserve">58%), </w:t>
      </w:r>
      <w:r w:rsidRPr="00E0488D">
        <w:rPr>
          <w:rStyle w:val="hps"/>
          <w:rFonts w:cs="Arial"/>
          <w:color w:val="000000" w:themeColor="text1"/>
        </w:rPr>
        <w:t>analiza</w:t>
      </w:r>
      <w:r w:rsidRPr="00E0488D">
        <w:t xml:space="preserve"> </w:t>
      </w:r>
      <w:r w:rsidRPr="00E0488D">
        <w:rPr>
          <w:rStyle w:val="hps"/>
          <w:rFonts w:cs="Arial"/>
          <w:color w:val="000000" w:themeColor="text1"/>
        </w:rPr>
        <w:t>implică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triplare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traficului de containere</w:t>
      </w:r>
      <w:r w:rsidRPr="00E0488D">
        <w:t xml:space="preserve"> </w:t>
      </w:r>
      <w:r w:rsidRPr="00E0488D">
        <w:rPr>
          <w:rStyle w:val="hps"/>
          <w:rFonts w:cs="Arial"/>
          <w:color w:val="000000" w:themeColor="text1"/>
        </w:rPr>
        <w:t>pe calea ferată</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ar putea pune</w:t>
      </w:r>
      <w:r w:rsidRPr="00E0488D">
        <w:t xml:space="preserve"> </w:t>
      </w:r>
      <w:r w:rsidRPr="00E0488D">
        <w:rPr>
          <w:rStyle w:val="hps"/>
          <w:rFonts w:cs="Arial"/>
          <w:color w:val="000000" w:themeColor="text1"/>
        </w:rPr>
        <w:t>o presiune puternică</w:t>
      </w:r>
      <w:r w:rsidRPr="00E0488D">
        <w:t xml:space="preserve"> </w:t>
      </w:r>
      <w:r w:rsidRPr="00E0488D">
        <w:rPr>
          <w:rStyle w:val="hps"/>
          <w:rFonts w:cs="Arial"/>
          <w:color w:val="000000" w:themeColor="text1"/>
        </w:rPr>
        <w:t>asupra</w:t>
      </w:r>
      <w:r w:rsidRPr="00E0488D">
        <w:t xml:space="preserve"> </w:t>
      </w:r>
      <w:r w:rsidRPr="00E0488D">
        <w:rPr>
          <w:rStyle w:val="hps"/>
          <w:rFonts w:cs="Arial"/>
          <w:color w:val="000000" w:themeColor="text1"/>
        </w:rPr>
        <w:t>infrastructurii existente</w:t>
      </w:r>
      <w:r w:rsidRPr="00E0488D">
        <w:t xml:space="preserve">. </w:t>
      </w:r>
      <w:r w:rsidRPr="00E0488D">
        <w:rPr>
          <w:rStyle w:val="hps"/>
          <w:rFonts w:cs="Arial"/>
          <w:color w:val="000000" w:themeColor="text1"/>
        </w:rPr>
        <w:t>În mod clar</w:t>
      </w:r>
      <w:r w:rsidRPr="00E0488D">
        <w:t xml:space="preserve"> </w:t>
      </w:r>
      <w:r w:rsidRPr="00E0488D">
        <w:rPr>
          <w:rStyle w:val="hps"/>
          <w:rFonts w:cs="Arial"/>
          <w:color w:val="000000" w:themeColor="text1"/>
        </w:rPr>
        <w:t>dacă ar exista o</w:t>
      </w:r>
      <w:r w:rsidRPr="00E0488D">
        <w:t xml:space="preserve"> </w:t>
      </w:r>
      <w:r w:rsidRPr="00E0488D">
        <w:rPr>
          <w:rStyle w:val="hps"/>
          <w:rFonts w:cs="Arial"/>
          <w:color w:val="000000" w:themeColor="text1"/>
        </w:rPr>
        <w:t>rețea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eficientă</w:t>
      </w:r>
      <w:r w:rsidRPr="00E0488D">
        <w:t xml:space="preserve"> </w:t>
      </w:r>
      <w:r w:rsidRPr="00E0488D">
        <w:rPr>
          <w:rStyle w:val="hps"/>
          <w:rFonts w:cs="Arial"/>
          <w:color w:val="000000" w:themeColor="text1"/>
        </w:rPr>
        <w:t>în toată România</w:t>
      </w:r>
      <w:r w:rsidRPr="00E0488D">
        <w:t xml:space="preserve">, atunci </w:t>
      </w:r>
      <w:r w:rsidRPr="00E0488D">
        <w:rPr>
          <w:rStyle w:val="hps"/>
          <w:rFonts w:cs="Arial"/>
          <w:color w:val="000000" w:themeColor="text1"/>
        </w:rPr>
        <w:t>acest lucru ar</w:t>
      </w:r>
      <w:r w:rsidRPr="00E0488D">
        <w:t xml:space="preserve"> </w:t>
      </w:r>
      <w:r w:rsidRPr="00E0488D">
        <w:rPr>
          <w:rStyle w:val="hps"/>
          <w:rFonts w:cs="Arial"/>
          <w:color w:val="000000" w:themeColor="text1"/>
        </w:rPr>
        <w:t>ușura</w:t>
      </w:r>
      <w:r w:rsidRPr="00E0488D">
        <w:t xml:space="preserve"> </w:t>
      </w:r>
      <w:r w:rsidRPr="00E0488D">
        <w:rPr>
          <w:rStyle w:val="hps"/>
          <w:rFonts w:cs="Arial"/>
          <w:color w:val="000000" w:themeColor="text1"/>
        </w:rPr>
        <w:t>presiunea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ar</w:t>
      </w:r>
      <w:r w:rsidRPr="00E0488D">
        <w:t xml:space="preserve"> </w:t>
      </w:r>
      <w:r w:rsidRPr="00E0488D">
        <w:rPr>
          <w:rStyle w:val="hps"/>
          <w:rFonts w:cs="Arial"/>
          <w:color w:val="000000" w:themeColor="text1"/>
        </w:rPr>
        <w:t>permite sectorului să</w:t>
      </w:r>
      <w:r w:rsidRPr="00E0488D">
        <w:t xml:space="preserve"> </w:t>
      </w:r>
      <w:r w:rsidRPr="00E0488D">
        <w:rPr>
          <w:rStyle w:val="hps"/>
          <w:rFonts w:cs="Arial"/>
          <w:color w:val="000000" w:themeColor="text1"/>
        </w:rPr>
        <w:t>valorifice</w:t>
      </w:r>
      <w:r w:rsidRPr="00E0488D">
        <w:t xml:space="preserve"> mai bine </w:t>
      </w:r>
      <w:r w:rsidRPr="00E0488D">
        <w:rPr>
          <w:rStyle w:val="hps"/>
          <w:rFonts w:cs="Arial"/>
          <w:color w:val="000000" w:themeColor="text1"/>
        </w:rPr>
        <w:t>orice</w:t>
      </w:r>
      <w:r w:rsidRPr="00E0488D">
        <w:t xml:space="preserve"> </w:t>
      </w:r>
      <w:r w:rsidRPr="00E0488D">
        <w:rPr>
          <w:rStyle w:val="hps"/>
          <w:rFonts w:cs="Arial"/>
          <w:color w:val="000000" w:themeColor="text1"/>
        </w:rPr>
        <w:t>creștere</w:t>
      </w:r>
      <w:r w:rsidRPr="00E0488D">
        <w:t xml:space="preserve">. </w:t>
      </w:r>
      <w:r w:rsidRPr="00E0488D">
        <w:rPr>
          <w:rStyle w:val="hps"/>
          <w:rFonts w:cs="Arial"/>
          <w:color w:val="000000" w:themeColor="text1"/>
        </w:rPr>
        <w:t>Această intervenție</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discutată</w:t>
      </w:r>
      <w:r w:rsidRPr="00E0488D">
        <w:t xml:space="preserve"> </w:t>
      </w:r>
      <w:r w:rsidRPr="00E0488D">
        <w:rPr>
          <w:rStyle w:val="hps"/>
          <w:rFonts w:cs="Arial"/>
          <w:color w:val="000000" w:themeColor="text1"/>
        </w:rPr>
        <w:t>în detaliu,</w:t>
      </w:r>
      <w:r w:rsidRPr="00E0488D">
        <w:t xml:space="preserve"> </w:t>
      </w:r>
      <w:r w:rsidRPr="00E0488D">
        <w:rPr>
          <w:rStyle w:val="hps"/>
          <w:rFonts w:cs="Arial"/>
          <w:color w:val="000000" w:themeColor="text1"/>
        </w:rPr>
        <w:t>ulterior</w:t>
      </w:r>
      <w:r w:rsidRPr="00E0488D">
        <w:t xml:space="preserve"> </w:t>
      </w:r>
      <w:r w:rsidRPr="00E0488D">
        <w:rPr>
          <w:rStyle w:val="hps"/>
          <w:rFonts w:cs="Arial"/>
          <w:color w:val="000000" w:themeColor="text1"/>
        </w:rPr>
        <w:t>în</w:t>
      </w:r>
      <w:r w:rsidRPr="00E0488D">
        <w:t xml:space="preserve"> cadrul acestui raport.</w:t>
      </w:r>
    </w:p>
    <w:p w:rsidR="00BD59B2" w:rsidRPr="00E0488D" w:rsidRDefault="00BD59B2" w:rsidP="00BD59B2">
      <w:pPr>
        <w:spacing w:line="276" w:lineRule="auto"/>
        <w:rPr>
          <w:b/>
          <w:sz w:val="22"/>
          <w:szCs w:val="22"/>
          <w:lang w:val="ro-RO"/>
        </w:rPr>
      </w:pPr>
    </w:p>
    <w:p w:rsidR="00BD59B2" w:rsidRPr="00E0488D" w:rsidRDefault="00BD59B2" w:rsidP="00BD59B2">
      <w:pPr>
        <w:spacing w:line="276" w:lineRule="auto"/>
        <w:ind w:firstLine="851"/>
        <w:rPr>
          <w:sz w:val="22"/>
          <w:szCs w:val="22"/>
          <w:lang w:val="ro-RO"/>
        </w:rPr>
      </w:pPr>
      <w:r w:rsidRPr="00E0488D">
        <w:rPr>
          <w:noProof/>
          <w:sz w:val="22"/>
          <w:szCs w:val="22"/>
          <w:lang w:val="ro-RO" w:eastAsia="ro-RO"/>
        </w:rPr>
        <w:drawing>
          <wp:inline distT="0" distB="0" distL="0" distR="0">
            <wp:extent cx="4572762" cy="2746629"/>
            <wp:effectExtent l="19050" t="0" r="18288" b="0"/>
            <wp:docPr id="8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rsidR="00BD59B2" w:rsidRPr="00E0488D" w:rsidRDefault="00BD59B2" w:rsidP="00BD59B2">
      <w:pPr>
        <w:spacing w:line="276" w:lineRule="auto"/>
        <w:ind w:left="851"/>
        <w:rPr>
          <w:b/>
          <w:sz w:val="22"/>
          <w:szCs w:val="22"/>
          <w:lang w:val="ro-RO"/>
        </w:rPr>
      </w:pPr>
      <w:r w:rsidRPr="00E0488D">
        <w:rPr>
          <w:b/>
          <w:sz w:val="22"/>
          <w:szCs w:val="22"/>
          <w:lang w:val="ro-RO"/>
        </w:rPr>
        <w:t xml:space="preserve">Figura 8.8 – Proporția traficului potențial de containere pe cale ferată, pe distanțe </w:t>
      </w:r>
    </w:p>
    <w:p w:rsidR="00BD59B2" w:rsidRPr="00E0488D" w:rsidRDefault="00BD59B2" w:rsidP="002B7E09">
      <w:pPr>
        <w:pStyle w:val="NumberedParas"/>
        <w:rPr>
          <w:lang w:eastAsia="en-GB"/>
        </w:rPr>
      </w:pPr>
      <w:r w:rsidRPr="00E0488D">
        <w:rPr>
          <w:rStyle w:val="hps"/>
          <w:rFonts w:cs="Arial"/>
          <w:color w:val="000000" w:themeColor="text1"/>
        </w:rPr>
        <w:t>Din punct de vedere</w:t>
      </w:r>
      <w:r w:rsidRPr="00E0488D">
        <w:t xml:space="preserve"> al originii și destinației, în continuare  </w:t>
      </w:r>
      <w:r w:rsidRPr="00E0488D">
        <w:rPr>
          <w:rStyle w:val="hps"/>
          <w:rFonts w:cs="Arial"/>
          <w:color w:val="000000" w:themeColor="text1"/>
        </w:rPr>
        <w:t>este</w:t>
      </w:r>
      <w:r w:rsidRPr="00E0488D">
        <w:t xml:space="preserve"> </w:t>
      </w:r>
      <w:r w:rsidRPr="00E0488D">
        <w:rPr>
          <w:rStyle w:val="hps"/>
          <w:rFonts w:cs="Arial"/>
          <w:color w:val="000000" w:themeColor="text1"/>
        </w:rPr>
        <w:t>prezentată o analiză a pieței</w:t>
      </w:r>
      <w:r w:rsidRPr="00E0488D">
        <w:t xml:space="preserve"> </w:t>
      </w:r>
      <w:r w:rsidRPr="00E0488D">
        <w:rPr>
          <w:rStyle w:val="hps"/>
          <w:rFonts w:cs="Arial"/>
          <w:color w:val="000000" w:themeColor="text1"/>
        </w:rPr>
        <w:t>actuale și potențiale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transportul de marfă</w:t>
      </w:r>
      <w:r w:rsidRPr="00E0488D">
        <w:t xml:space="preserve"> </w:t>
      </w:r>
      <w:r w:rsidRPr="00E0488D">
        <w:rPr>
          <w:rStyle w:val="hps"/>
          <w:rFonts w:cs="Arial"/>
          <w:color w:val="000000" w:themeColor="text1"/>
        </w:rPr>
        <w:t>în containere</w:t>
      </w:r>
      <w:r w:rsidRPr="00E0488D">
        <w:t xml:space="preserve"> </w:t>
      </w:r>
      <w:r w:rsidRPr="00E0488D">
        <w:rPr>
          <w:rStyle w:val="hps"/>
          <w:rFonts w:cs="Arial"/>
          <w:color w:val="000000" w:themeColor="text1"/>
        </w:rPr>
        <w:t>folosind datele din</w:t>
      </w:r>
      <w:r w:rsidRPr="00E0488D">
        <w:t xml:space="preserve"> </w:t>
      </w:r>
      <w:r w:rsidRPr="00E0488D">
        <w:rPr>
          <w:rStyle w:val="hps"/>
          <w:rFonts w:cs="Arial"/>
          <w:color w:val="000000" w:themeColor="text1"/>
        </w:rPr>
        <w:t>modelul</w:t>
      </w:r>
      <w:r w:rsidRPr="00E0488D">
        <w:t xml:space="preserve"> </w:t>
      </w:r>
      <w:r w:rsidRPr="00E0488D">
        <w:rPr>
          <w:rStyle w:val="hps"/>
          <w:rFonts w:cs="Arial"/>
          <w:color w:val="000000" w:themeColor="text1"/>
        </w:rPr>
        <w:t>național</w:t>
      </w:r>
      <w:r w:rsidRPr="00E0488D">
        <w:t xml:space="preserve">. </w:t>
      </w:r>
      <w:r w:rsidRPr="00E0488D">
        <w:rPr>
          <w:rStyle w:val="hps"/>
          <w:rFonts w:cs="Arial"/>
          <w:color w:val="000000" w:themeColor="text1"/>
        </w:rPr>
        <w:t>Toate valorile</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exprimate în tone</w:t>
      </w:r>
      <w:r w:rsidRPr="00E0488D">
        <w:t xml:space="preserve"> </w:t>
      </w:r>
      <w:r w:rsidRPr="00E0488D">
        <w:rPr>
          <w:rStyle w:val="hps"/>
          <w:rFonts w:cs="Arial"/>
          <w:color w:val="000000" w:themeColor="text1"/>
        </w:rPr>
        <w:t>medii zilnice</w:t>
      </w:r>
      <w:r w:rsidRPr="00E0488D">
        <w:t>.</w:t>
      </w:r>
    </w:p>
    <w:p w:rsidR="00BD59B2" w:rsidRPr="00E0488D" w:rsidRDefault="00BD59B2" w:rsidP="00BD59B2">
      <w:pPr>
        <w:spacing w:line="276" w:lineRule="auto"/>
        <w:ind w:firstLine="851"/>
        <w:rPr>
          <w:sz w:val="22"/>
          <w:szCs w:val="22"/>
          <w:lang w:val="ro-RO" w:eastAsia="en-GB"/>
        </w:rPr>
      </w:pPr>
      <w:r w:rsidRPr="00E0488D">
        <w:rPr>
          <w:noProof/>
          <w:sz w:val="22"/>
          <w:szCs w:val="22"/>
          <w:lang w:val="ro-RO" w:eastAsia="ro-RO"/>
        </w:rPr>
        <w:drawing>
          <wp:inline distT="0" distB="0" distL="0" distR="0">
            <wp:extent cx="4783066" cy="3971499"/>
            <wp:effectExtent l="19050" t="0" r="0" b="0"/>
            <wp:docPr id="88" name="Picture 5" descr="C:\Users\clarkegj\AppData\Local\Microsoft\Windows\Temporary Internet Files\Content.Outlook\TQMH87TY\Container_Rail_Freight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rkegj\AppData\Local\Microsoft\Windows\Temporary Internet Files\Content.Outlook\TQMH87TY\Container_Rail_Freight_Flow.png"/>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4787654" cy="3975309"/>
                    </a:xfrm>
                    <a:prstGeom prst="rect">
                      <a:avLst/>
                    </a:prstGeom>
                    <a:noFill/>
                    <a:ln w="9525">
                      <a:noFill/>
                      <a:miter lim="800000"/>
                      <a:headEnd/>
                      <a:tailEnd/>
                    </a:ln>
                  </pic:spPr>
                </pic:pic>
              </a:graphicData>
            </a:graphic>
          </wp:inline>
        </w:drawing>
      </w:r>
    </w:p>
    <w:p w:rsidR="00BD59B2" w:rsidRPr="00E0488D" w:rsidRDefault="00BD59B2" w:rsidP="00BD59B2">
      <w:pPr>
        <w:spacing w:line="276" w:lineRule="auto"/>
        <w:ind w:left="851"/>
        <w:rPr>
          <w:b/>
          <w:sz w:val="22"/>
          <w:szCs w:val="22"/>
          <w:lang w:val="ro-RO"/>
        </w:rPr>
      </w:pPr>
      <w:r w:rsidRPr="00E0488D">
        <w:rPr>
          <w:b/>
          <w:sz w:val="22"/>
          <w:szCs w:val="22"/>
          <w:lang w:val="ro-RO"/>
        </w:rPr>
        <w:t>Figura 8.9:  Fluxul de transport feroviar de containere în 2011, tone</w:t>
      </w:r>
    </w:p>
    <w:p w:rsidR="00BD59B2" w:rsidRPr="00E0488D" w:rsidRDefault="00BD59B2" w:rsidP="002B7E09">
      <w:pPr>
        <w:pStyle w:val="NumberedParas"/>
      </w:pPr>
      <w:r w:rsidRPr="00E0488D">
        <w:rPr>
          <w:rStyle w:val="hps"/>
          <w:rFonts w:cs="Arial"/>
          <w:color w:val="000000" w:themeColor="text1"/>
        </w:rPr>
        <w:t>Figura 8.9</w:t>
      </w:r>
      <w:r w:rsidRPr="00E0488D">
        <w:t xml:space="preserve"> </w:t>
      </w:r>
      <w:r w:rsidRPr="00E0488D">
        <w:rPr>
          <w:rStyle w:val="hps"/>
          <w:rFonts w:cs="Arial"/>
          <w:color w:val="000000" w:themeColor="text1"/>
        </w:rPr>
        <w:t>prezintă</w:t>
      </w:r>
      <w:r w:rsidRPr="00E0488D">
        <w:t xml:space="preserve"> </w:t>
      </w:r>
      <w:r w:rsidRPr="00E0488D">
        <w:rPr>
          <w:rStyle w:val="hps"/>
          <w:rFonts w:cs="Arial"/>
          <w:color w:val="000000" w:themeColor="text1"/>
        </w:rPr>
        <w:t>fluxul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tone</w:t>
      </w:r>
      <w:r w:rsidRPr="00E0488D">
        <w:t xml:space="preserve"> </w:t>
      </w:r>
      <w:r w:rsidRPr="00E0488D">
        <w:rPr>
          <w:rStyle w:val="hps"/>
          <w:rFonts w:cs="Arial"/>
          <w:color w:val="000000" w:themeColor="text1"/>
        </w:rPr>
        <w:t>containerizate</w:t>
      </w:r>
      <w:r w:rsidRPr="00E0488D">
        <w:t xml:space="preserve"> </w:t>
      </w:r>
      <w:r w:rsidRPr="00E0488D">
        <w:rPr>
          <w:rStyle w:val="hps"/>
          <w:rFonts w:cs="Arial"/>
          <w:color w:val="000000" w:themeColor="text1"/>
        </w:rPr>
        <w:t>pe căile ferate</w:t>
      </w:r>
      <w:r w:rsidRPr="00E0488D">
        <w:t xml:space="preserve"> </w:t>
      </w:r>
      <w:r w:rsidRPr="00E0488D">
        <w:rPr>
          <w:rStyle w:val="hps"/>
          <w:rFonts w:cs="Arial"/>
          <w:color w:val="000000" w:themeColor="text1"/>
        </w:rPr>
        <w:t>din România</w:t>
      </w:r>
      <w:r w:rsidRPr="00E0488D">
        <w:t xml:space="preserve">, în </w:t>
      </w:r>
      <w:r w:rsidRPr="00E0488D">
        <w:rPr>
          <w:rStyle w:val="hps"/>
          <w:rFonts w:cs="Arial"/>
          <w:color w:val="000000" w:themeColor="text1"/>
        </w:rPr>
        <w:t>2011,</w:t>
      </w:r>
      <w:r w:rsidRPr="00E0488D">
        <w:t xml:space="preserve"> </w:t>
      </w:r>
      <w:r w:rsidRPr="00E0488D">
        <w:rPr>
          <w:rStyle w:val="hps"/>
          <w:rFonts w:cs="Arial"/>
          <w:color w:val="000000" w:themeColor="text1"/>
        </w:rPr>
        <w:t>cel mai mare flux</w:t>
      </w:r>
      <w:r w:rsidRPr="00E0488D">
        <w:t xml:space="preserve"> </w:t>
      </w:r>
      <w:r w:rsidRPr="00E0488D">
        <w:rPr>
          <w:rStyle w:val="hps"/>
          <w:rFonts w:cs="Arial"/>
          <w:color w:val="000000" w:themeColor="text1"/>
        </w:rPr>
        <w:t>cumulativ</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Constanța</w:t>
      </w:r>
      <w:r w:rsidRPr="00E0488D">
        <w:t xml:space="preserve">. În plus, există fluxuri importante care se intersectează la Fetești, cu destinația Constanța. </w:t>
      </w:r>
      <w:r w:rsidRPr="00E0488D">
        <w:rPr>
          <w:rStyle w:val="hps"/>
          <w:rFonts w:cs="Arial"/>
          <w:color w:val="000000" w:themeColor="text1"/>
        </w:rPr>
        <w:t>Acest lucru este</w:t>
      </w:r>
      <w:r w:rsidRPr="00E0488D">
        <w:t xml:space="preserve"> </w:t>
      </w:r>
      <w:r w:rsidRPr="00E0488D">
        <w:rPr>
          <w:rStyle w:val="hps"/>
          <w:rFonts w:cs="Arial"/>
          <w:color w:val="000000" w:themeColor="text1"/>
        </w:rPr>
        <w:t>firesc</w:t>
      </w:r>
      <w:r w:rsidRPr="00E0488D">
        <w:t xml:space="preserve"> </w:t>
      </w:r>
      <w:r w:rsidRPr="00E0488D">
        <w:rPr>
          <w:rStyle w:val="hps"/>
          <w:rFonts w:cs="Arial"/>
          <w:color w:val="000000" w:themeColor="text1"/>
        </w:rPr>
        <w:t>întrucât</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este</w:t>
      </w:r>
      <w:r w:rsidRPr="00E0488D">
        <w:t xml:space="preserve"> un </w:t>
      </w:r>
      <w:r w:rsidRPr="00E0488D">
        <w:rPr>
          <w:rStyle w:val="hps"/>
          <w:rFonts w:cs="Arial"/>
          <w:color w:val="000000" w:themeColor="text1"/>
        </w:rPr>
        <w:t>important port</w:t>
      </w:r>
      <w:r w:rsidRPr="00E0488D">
        <w:t xml:space="preserve"> </w:t>
      </w:r>
      <w:r w:rsidRPr="00E0488D">
        <w:rPr>
          <w:rStyle w:val="hps"/>
          <w:rFonts w:cs="Arial"/>
          <w:color w:val="000000" w:themeColor="text1"/>
        </w:rPr>
        <w:t>din România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manevrează</w:t>
      </w:r>
      <w:r w:rsidRPr="00E0488D">
        <w:t xml:space="preserve"> </w:t>
      </w:r>
      <w:r w:rsidRPr="00E0488D">
        <w:rPr>
          <w:rStyle w:val="hps"/>
          <w:rFonts w:cs="Arial"/>
          <w:color w:val="000000" w:themeColor="text1"/>
        </w:rPr>
        <w:t>80</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containerele sale</w:t>
      </w:r>
      <w:r w:rsidRPr="00E0488D">
        <w:t xml:space="preserve">. </w:t>
      </w:r>
      <w:r w:rsidRPr="00E0488D">
        <w:rPr>
          <w:rStyle w:val="hps"/>
          <w:rFonts w:cs="Arial"/>
          <w:color w:val="000000" w:themeColor="text1"/>
        </w:rPr>
        <w:t>Un flux</w:t>
      </w:r>
      <w:r w:rsidRPr="00E0488D">
        <w:t xml:space="preserve"> </w:t>
      </w:r>
      <w:r w:rsidRPr="00E0488D">
        <w:rPr>
          <w:rStyle w:val="hps"/>
          <w:rFonts w:cs="Arial"/>
          <w:color w:val="000000" w:themeColor="text1"/>
        </w:rPr>
        <w:t>mai ușor</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rulează</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centrul țării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pe 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Un alt</w:t>
      </w:r>
      <w:r w:rsidRPr="00E0488D">
        <w:t xml:space="preserve"> </w:t>
      </w:r>
      <w:r w:rsidRPr="00E0488D">
        <w:rPr>
          <w:rStyle w:val="hps"/>
          <w:rFonts w:cs="Arial"/>
          <w:color w:val="000000" w:themeColor="text1"/>
        </w:rPr>
        <w:t>flux</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merge</w:t>
      </w:r>
      <w:r w:rsidRPr="00E0488D">
        <w:t xml:space="preserve"> </w:t>
      </w:r>
      <w:r w:rsidRPr="00E0488D">
        <w:rPr>
          <w:rStyle w:val="hps"/>
          <w:rFonts w:cs="Arial"/>
          <w:color w:val="000000" w:themeColor="text1"/>
        </w:rPr>
        <w:t>spre nord</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Constanta</w:t>
      </w:r>
      <w:r w:rsidRPr="00E0488D">
        <w:t xml:space="preserve"> și se </w:t>
      </w:r>
      <w:r w:rsidRPr="00E0488D">
        <w:rPr>
          <w:rStyle w:val="hps"/>
          <w:rFonts w:cs="Arial"/>
          <w:color w:val="000000" w:themeColor="text1"/>
        </w:rPr>
        <w:t>conectează</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w:t>
      </w:r>
    </w:p>
    <w:p w:rsidR="00BD59B2" w:rsidRPr="00E0488D" w:rsidRDefault="00BD59B2" w:rsidP="002B7E09">
      <w:pPr>
        <w:pStyle w:val="NumberedParas"/>
      </w:pPr>
      <w:r w:rsidRPr="00E0488D">
        <w:rPr>
          <w:rStyle w:val="hps"/>
          <w:rFonts w:cs="Arial"/>
          <w:color w:val="000000" w:themeColor="text1"/>
        </w:rPr>
        <w:t>Prin contrast,</w:t>
      </w:r>
      <w:r w:rsidRPr="00E0488D">
        <w:t xml:space="preserve"> </w:t>
      </w:r>
      <w:r w:rsidRPr="00E0488D">
        <w:rPr>
          <w:rStyle w:val="hps"/>
          <w:rFonts w:cs="Arial"/>
          <w:color w:val="000000" w:themeColor="text1"/>
        </w:rPr>
        <w:t>Figura 8.10</w:t>
      </w:r>
      <w:r w:rsidRPr="00E0488D">
        <w:t xml:space="preserve">, </w:t>
      </w:r>
      <w:r w:rsidRPr="00E0488D">
        <w:rPr>
          <w:rStyle w:val="hps"/>
          <w:rFonts w:cs="Arial"/>
          <w:color w:val="000000" w:themeColor="text1"/>
        </w:rPr>
        <w:t>cu toate că aceasta</w:t>
      </w:r>
      <w:r w:rsidRPr="00E0488D">
        <w:t xml:space="preserve"> </w:t>
      </w:r>
      <w:r w:rsidRPr="00E0488D">
        <w:rPr>
          <w:rStyle w:val="hps"/>
          <w:rFonts w:cs="Arial"/>
          <w:color w:val="000000" w:themeColor="text1"/>
        </w:rPr>
        <w:t>prezintă</w:t>
      </w:r>
      <w:r w:rsidRPr="00E0488D">
        <w:t xml:space="preserve"> </w:t>
      </w:r>
      <w:r w:rsidRPr="00E0488D">
        <w:rPr>
          <w:rStyle w:val="hps"/>
          <w:rFonts w:cs="Arial"/>
          <w:color w:val="000000" w:themeColor="text1"/>
        </w:rPr>
        <w:t>potențialul maxim</w:t>
      </w:r>
      <w:r w:rsidRPr="00E0488D">
        <w:t xml:space="preserve"> </w:t>
      </w:r>
      <w:r w:rsidRPr="00E0488D">
        <w:rPr>
          <w:rStyle w:val="hps"/>
          <w:rFonts w:cs="Arial"/>
          <w:color w:val="000000" w:themeColor="text1"/>
        </w:rPr>
        <w:t>al fluxului</w:t>
      </w:r>
      <w:r w:rsidRPr="00E0488D">
        <w:t xml:space="preserve"> </w:t>
      </w:r>
      <w:r w:rsidRPr="00E0488D">
        <w:rPr>
          <w:rStyle w:val="hps"/>
          <w:rFonts w:cs="Arial"/>
          <w:color w:val="000000" w:themeColor="text1"/>
        </w:rPr>
        <w:t>de containere pe</w:t>
      </w:r>
      <w:r w:rsidRPr="00E0488D">
        <w:t xml:space="preserve"> </w:t>
      </w:r>
      <w:r w:rsidRPr="00E0488D">
        <w:rPr>
          <w:rStyle w:val="hps"/>
          <w:rFonts w:cs="Arial"/>
          <w:color w:val="000000" w:themeColor="text1"/>
        </w:rPr>
        <w:t>căile ferate</w:t>
      </w:r>
      <w:r w:rsidRPr="00E0488D">
        <w:t xml:space="preserve"> </w:t>
      </w:r>
      <w:r w:rsidRPr="00E0488D">
        <w:rPr>
          <w:rStyle w:val="hps"/>
          <w:rFonts w:cs="Arial"/>
          <w:color w:val="000000" w:themeColor="text1"/>
        </w:rPr>
        <w:t>din România</w:t>
      </w:r>
      <w:r w:rsidRPr="00E0488D">
        <w:t xml:space="preserve">. </w:t>
      </w:r>
      <w:r w:rsidRPr="00E0488D">
        <w:rPr>
          <w:rStyle w:val="hps"/>
          <w:rFonts w:cs="Arial"/>
          <w:color w:val="000000" w:themeColor="text1"/>
        </w:rPr>
        <w:t>Analiza</w:t>
      </w:r>
      <w:r w:rsidRPr="00E0488D">
        <w:t xml:space="preserve"> </w:t>
      </w:r>
      <w:r w:rsidRPr="00E0488D">
        <w:rPr>
          <w:rStyle w:val="hps"/>
          <w:rFonts w:cs="Arial"/>
          <w:color w:val="000000" w:themeColor="text1"/>
        </w:rPr>
        <w:t>face o</w:t>
      </w:r>
      <w:r w:rsidRPr="00E0488D">
        <w:t xml:space="preserve"> </w:t>
      </w:r>
      <w:r w:rsidRPr="00E0488D">
        <w:rPr>
          <w:rStyle w:val="hps"/>
          <w:rFonts w:cs="Arial"/>
          <w:color w:val="000000" w:themeColor="text1"/>
        </w:rPr>
        <w:t>estimare</w:t>
      </w:r>
      <w:r w:rsidRPr="00E0488D">
        <w:t xml:space="preserve"> </w:t>
      </w:r>
      <w:r w:rsidRPr="00E0488D">
        <w:rPr>
          <w:rStyle w:val="hps"/>
          <w:rFonts w:cs="Arial"/>
          <w:color w:val="000000" w:themeColor="text1"/>
        </w:rPr>
        <w:t>cu privire la tipurile</w:t>
      </w:r>
      <w:r w:rsidRPr="00E0488D">
        <w:t xml:space="preserve"> </w:t>
      </w:r>
      <w:r w:rsidRPr="00E0488D">
        <w:rPr>
          <w:rStyle w:val="hps"/>
          <w:rFonts w:cs="Arial"/>
          <w:color w:val="000000" w:themeColor="text1"/>
        </w:rPr>
        <w:t>de produse</w:t>
      </w:r>
      <w:r w:rsidRPr="00E0488D">
        <w:t xml:space="preserve"> </w:t>
      </w:r>
      <w:r w:rsidRPr="00E0488D">
        <w:rPr>
          <w:rStyle w:val="hps"/>
          <w:rFonts w:cs="Arial"/>
          <w:color w:val="000000" w:themeColor="text1"/>
        </w:rPr>
        <w:t>care sunt</w:t>
      </w:r>
      <w:r w:rsidRPr="00E0488D">
        <w:t xml:space="preserve"> </w:t>
      </w:r>
      <w:r w:rsidRPr="00E0488D">
        <w:rPr>
          <w:rStyle w:val="hps"/>
          <w:rFonts w:cs="Arial"/>
          <w:color w:val="000000" w:themeColor="text1"/>
        </w:rPr>
        <w:t>potrivite pentru</w:t>
      </w:r>
      <w:r w:rsidRPr="00E0488D">
        <w:t xml:space="preserve"> </w:t>
      </w:r>
      <w:r w:rsidRPr="00E0488D">
        <w:rPr>
          <w:rStyle w:val="hps"/>
          <w:rFonts w:cs="Arial"/>
          <w:color w:val="000000" w:themeColor="text1"/>
        </w:rPr>
        <w:t>containerizare</w:t>
      </w:r>
      <w:r w:rsidRPr="00E0488D">
        <w:t xml:space="preserve"> </w:t>
      </w:r>
      <w:r w:rsidRPr="00E0488D">
        <w:rPr>
          <w:rStyle w:val="hps"/>
          <w:rFonts w:cs="Arial"/>
          <w:color w:val="000000" w:themeColor="text1"/>
        </w:rPr>
        <w:t>(</w:t>
      </w:r>
      <w:r w:rsidRPr="00E0488D">
        <w:t>a se vedea Tabelul 8.</w:t>
      </w:r>
      <w:r w:rsidRPr="00E0488D">
        <w:rPr>
          <w:rStyle w:val="hps"/>
          <w:rFonts w:cs="Arial"/>
          <w:color w:val="000000" w:themeColor="text1"/>
        </w:rPr>
        <w:t>10</w:t>
      </w:r>
      <w:r w:rsidRPr="00E0488D">
        <w:t xml:space="preserve">). </w:t>
      </w:r>
      <w:r w:rsidRPr="00E0488D">
        <w:rPr>
          <w:rStyle w:val="hps"/>
          <w:rFonts w:cs="Arial"/>
          <w:color w:val="000000" w:themeColor="text1"/>
        </w:rPr>
        <w:t>Planșa include</w:t>
      </w:r>
      <w:r w:rsidRPr="00E0488D">
        <w:t xml:space="preserve"> </w:t>
      </w:r>
      <w:r w:rsidRPr="00E0488D">
        <w:rPr>
          <w:rStyle w:val="hps"/>
          <w:rFonts w:cs="Arial"/>
          <w:color w:val="000000" w:themeColor="text1"/>
        </w:rPr>
        <w:t>fluxurile</w:t>
      </w:r>
      <w:r w:rsidRPr="00E0488D">
        <w:t xml:space="preserve"> </w:t>
      </w:r>
      <w:r w:rsidRPr="00E0488D">
        <w:rPr>
          <w:rStyle w:val="hps"/>
          <w:rFonts w:cs="Arial"/>
          <w:color w:val="000000" w:themeColor="text1"/>
        </w:rPr>
        <w:t>în ambele sensuri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marcată în coduri de culoare</w:t>
      </w:r>
      <w:r w:rsidRPr="00E0488D">
        <w:t xml:space="preserve"> </w:t>
      </w:r>
      <w:r w:rsidRPr="00E0488D">
        <w:rPr>
          <w:rStyle w:val="hps"/>
          <w:rFonts w:cs="Arial"/>
          <w:color w:val="000000" w:themeColor="text1"/>
        </w:rPr>
        <w:t>care arată</w:t>
      </w:r>
      <w:r w:rsidRPr="00E0488D">
        <w:t xml:space="preserve"> </w:t>
      </w:r>
      <w:r w:rsidRPr="00E0488D">
        <w:rPr>
          <w:rStyle w:val="hps"/>
          <w:rFonts w:cs="Arial"/>
          <w:color w:val="000000" w:themeColor="text1"/>
        </w:rPr>
        <w:t>cota de piață</w:t>
      </w:r>
      <w:r w:rsidRPr="00E0488D">
        <w:t xml:space="preserve"> </w:t>
      </w:r>
      <w:r w:rsidRPr="00E0488D">
        <w:rPr>
          <w:rStyle w:val="hps"/>
          <w:rFonts w:cs="Arial"/>
          <w:color w:val="000000" w:themeColor="text1"/>
        </w:rPr>
        <w:t xml:space="preserve"> existentă a transportului feroviar</w:t>
      </w:r>
      <w:r w:rsidRPr="00E0488D">
        <w:t xml:space="preserve"> </w:t>
      </w:r>
      <w:r w:rsidRPr="00E0488D">
        <w:rPr>
          <w:rStyle w:val="hps"/>
          <w:rFonts w:cs="Arial"/>
          <w:color w:val="000000" w:themeColor="text1"/>
        </w:rPr>
        <w:t>în raport cu cea potențială</w:t>
      </w:r>
      <w:r w:rsidRPr="00E0488D">
        <w:t xml:space="preserve">. </w:t>
      </w:r>
    </w:p>
    <w:p w:rsidR="00BD59B2" w:rsidRPr="00E0488D" w:rsidRDefault="00BD59B2" w:rsidP="00BD59B2">
      <w:pPr>
        <w:spacing w:line="276" w:lineRule="auto"/>
        <w:ind w:left="851"/>
        <w:rPr>
          <w:b/>
          <w:sz w:val="22"/>
          <w:szCs w:val="22"/>
          <w:lang w:val="ro-RO"/>
        </w:rPr>
      </w:pPr>
      <w:r w:rsidRPr="00E0488D">
        <w:rPr>
          <w:b/>
          <w:sz w:val="22"/>
          <w:szCs w:val="22"/>
          <w:lang w:val="ro-RO"/>
        </w:rPr>
        <w:t xml:space="preserve">Tabelul 8.10: Industriile corespunzătoare transportului containerizat și distanțele la care transportul feroviar ar putea deveni competitiv </w:t>
      </w:r>
    </w:p>
    <w:p w:rsidR="00BD59B2" w:rsidRPr="00E0488D" w:rsidRDefault="00BD59B2" w:rsidP="00BD59B2">
      <w:pPr>
        <w:spacing w:line="276" w:lineRule="auto"/>
        <w:rPr>
          <w:i/>
          <w:sz w:val="22"/>
          <w:szCs w:val="22"/>
          <w:lang w:val="ro-RO"/>
        </w:rPr>
      </w:pPr>
    </w:p>
    <w:tbl>
      <w:tblPr>
        <w:tblW w:w="9502" w:type="dxa"/>
        <w:tblInd w:w="851" w:type="dxa"/>
        <w:tblLook w:val="04A0" w:firstRow="1" w:lastRow="0" w:firstColumn="1" w:lastColumn="0" w:noHBand="0" w:noVBand="1"/>
      </w:tblPr>
      <w:tblGrid>
        <w:gridCol w:w="716"/>
        <w:gridCol w:w="2805"/>
        <w:gridCol w:w="1171"/>
        <w:gridCol w:w="737"/>
        <w:gridCol w:w="2902"/>
        <w:gridCol w:w="1171"/>
      </w:tblGrid>
      <w:tr w:rsidR="00BD59B2" w:rsidRPr="00E0488D" w:rsidTr="009972B3">
        <w:tc>
          <w:tcPr>
            <w:tcW w:w="716" w:type="dxa"/>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Cod</w:t>
            </w:r>
          </w:p>
        </w:tc>
        <w:tc>
          <w:tcPr>
            <w:tcW w:w="2805" w:type="dxa"/>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Tip de marfă</w:t>
            </w:r>
          </w:p>
        </w:tc>
        <w:tc>
          <w:tcPr>
            <w:tcW w:w="1171" w:type="dxa"/>
            <w:tcBorders>
              <w:right w:val="single" w:sz="4" w:space="0" w:color="auto"/>
            </w:tcBorders>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Distanță</w:t>
            </w:r>
          </w:p>
        </w:tc>
        <w:tc>
          <w:tcPr>
            <w:tcW w:w="737" w:type="dxa"/>
            <w:tcBorders>
              <w:left w:val="single" w:sz="4" w:space="0" w:color="auto"/>
            </w:tcBorders>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Cod</w:t>
            </w:r>
          </w:p>
        </w:tc>
        <w:tc>
          <w:tcPr>
            <w:tcW w:w="2902" w:type="dxa"/>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Tip de marfă</w:t>
            </w:r>
          </w:p>
        </w:tc>
        <w:tc>
          <w:tcPr>
            <w:tcW w:w="1171" w:type="dxa"/>
            <w:vAlign w:val="center"/>
          </w:tcPr>
          <w:p w:rsidR="00BD59B2" w:rsidRPr="00E0488D" w:rsidRDefault="00BD59B2" w:rsidP="009972B3">
            <w:pPr>
              <w:spacing w:line="276" w:lineRule="auto"/>
              <w:jc w:val="center"/>
              <w:rPr>
                <w:b/>
                <w:sz w:val="22"/>
                <w:szCs w:val="22"/>
                <w:lang w:val="ro-RO"/>
              </w:rPr>
            </w:pPr>
            <w:r w:rsidRPr="00E0488D">
              <w:rPr>
                <w:b/>
                <w:sz w:val="22"/>
                <w:szCs w:val="22"/>
                <w:lang w:val="ro-RO"/>
              </w:rPr>
              <w:t>Distanță</w:t>
            </w:r>
          </w:p>
        </w:tc>
      </w:tr>
      <w:tr w:rsidR="00BD59B2" w:rsidRPr="00E0488D" w:rsidTr="009972B3">
        <w:tc>
          <w:tcPr>
            <w:tcW w:w="7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1</w:t>
            </w:r>
          </w:p>
        </w:tc>
        <w:tc>
          <w:tcPr>
            <w:tcW w:w="280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Produse alimentare</w:t>
            </w:r>
          </w:p>
        </w:tc>
        <w:tc>
          <w:tcPr>
            <w:tcW w:w="1171" w:type="dxa"/>
            <w:tcBorders>
              <w:right w:val="single" w:sz="4" w:space="0" w:color="auto"/>
            </w:tcBorders>
            <w:vAlign w:val="center"/>
          </w:tcPr>
          <w:p w:rsidR="00BD59B2" w:rsidRPr="00E0488D" w:rsidRDefault="00BD59B2" w:rsidP="009972B3">
            <w:pPr>
              <w:tabs>
                <w:tab w:val="left" w:pos="743"/>
              </w:tabs>
              <w:spacing w:line="276" w:lineRule="auto"/>
              <w:ind w:right="71"/>
              <w:jc w:val="center"/>
              <w:rPr>
                <w:sz w:val="22"/>
                <w:szCs w:val="22"/>
                <w:lang w:val="ro-RO"/>
              </w:rPr>
            </w:pPr>
            <w:r w:rsidRPr="00E0488D">
              <w:rPr>
                <w:sz w:val="22"/>
                <w:szCs w:val="22"/>
                <w:lang w:val="ro-RO"/>
              </w:rPr>
              <w:t>60km</w:t>
            </w:r>
          </w:p>
        </w:tc>
        <w:tc>
          <w:tcPr>
            <w:tcW w:w="737" w:type="dxa"/>
            <w:tcBorders>
              <w:left w:val="single" w:sz="4" w:space="0" w:color="auto"/>
            </w:tcBorders>
            <w:vAlign w:val="center"/>
          </w:tcPr>
          <w:p w:rsidR="00BD59B2" w:rsidRPr="00E0488D" w:rsidRDefault="00BD59B2" w:rsidP="009972B3">
            <w:pPr>
              <w:spacing w:line="276" w:lineRule="auto"/>
              <w:jc w:val="center"/>
              <w:rPr>
                <w:sz w:val="22"/>
                <w:szCs w:val="22"/>
                <w:lang w:val="ro-RO"/>
              </w:rPr>
            </w:pPr>
            <w:r w:rsidRPr="00E0488D">
              <w:rPr>
                <w:sz w:val="22"/>
                <w:szCs w:val="22"/>
                <w:lang w:val="ro-RO"/>
              </w:rPr>
              <w:t>9</w:t>
            </w:r>
          </w:p>
        </w:tc>
        <w:tc>
          <w:tcPr>
            <w:tcW w:w="2902"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Mașini și utilaje</w:t>
            </w:r>
          </w:p>
        </w:tc>
        <w:tc>
          <w:tcPr>
            <w:tcW w:w="1171" w:type="dxa"/>
            <w:vAlign w:val="center"/>
          </w:tcPr>
          <w:p w:rsidR="00BD59B2" w:rsidRPr="00E0488D" w:rsidRDefault="00BD59B2" w:rsidP="009972B3">
            <w:pPr>
              <w:spacing w:line="276" w:lineRule="auto"/>
              <w:ind w:right="136"/>
              <w:jc w:val="center"/>
              <w:rPr>
                <w:sz w:val="22"/>
                <w:szCs w:val="22"/>
                <w:lang w:val="ro-RO"/>
              </w:rPr>
            </w:pPr>
            <w:r w:rsidRPr="00E0488D">
              <w:rPr>
                <w:sz w:val="22"/>
                <w:szCs w:val="22"/>
                <w:lang w:val="ro-RO"/>
              </w:rPr>
              <w:t>100km</w:t>
            </w:r>
          </w:p>
        </w:tc>
      </w:tr>
      <w:tr w:rsidR="00BD59B2" w:rsidRPr="00E0488D" w:rsidTr="009972B3">
        <w:tc>
          <w:tcPr>
            <w:tcW w:w="7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5</w:t>
            </w:r>
          </w:p>
        </w:tc>
        <w:tc>
          <w:tcPr>
            <w:tcW w:w="280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Produse din metal</w:t>
            </w:r>
          </w:p>
        </w:tc>
        <w:tc>
          <w:tcPr>
            <w:tcW w:w="1171" w:type="dxa"/>
            <w:tcBorders>
              <w:right w:val="single" w:sz="4" w:space="0" w:color="auto"/>
            </w:tcBorders>
            <w:vAlign w:val="center"/>
          </w:tcPr>
          <w:p w:rsidR="00BD59B2" w:rsidRPr="00E0488D" w:rsidRDefault="00BD59B2" w:rsidP="009972B3">
            <w:pPr>
              <w:tabs>
                <w:tab w:val="left" w:pos="743"/>
              </w:tabs>
              <w:spacing w:line="276" w:lineRule="auto"/>
              <w:ind w:right="71"/>
              <w:jc w:val="center"/>
              <w:rPr>
                <w:sz w:val="22"/>
                <w:szCs w:val="22"/>
                <w:lang w:val="ro-RO"/>
              </w:rPr>
            </w:pPr>
            <w:r w:rsidRPr="00E0488D">
              <w:rPr>
                <w:sz w:val="22"/>
                <w:szCs w:val="22"/>
                <w:lang w:val="ro-RO"/>
              </w:rPr>
              <w:t>100km</w:t>
            </w:r>
          </w:p>
        </w:tc>
        <w:tc>
          <w:tcPr>
            <w:tcW w:w="737" w:type="dxa"/>
            <w:tcBorders>
              <w:left w:val="single" w:sz="4" w:space="0" w:color="auto"/>
            </w:tcBorders>
            <w:vAlign w:val="center"/>
          </w:tcPr>
          <w:p w:rsidR="00BD59B2" w:rsidRPr="00E0488D" w:rsidRDefault="00BD59B2" w:rsidP="009972B3">
            <w:pPr>
              <w:spacing w:line="276" w:lineRule="auto"/>
              <w:jc w:val="center"/>
              <w:rPr>
                <w:sz w:val="22"/>
                <w:szCs w:val="22"/>
                <w:lang w:val="ro-RO"/>
              </w:rPr>
            </w:pPr>
            <w:r w:rsidRPr="00E0488D">
              <w:rPr>
                <w:sz w:val="22"/>
                <w:szCs w:val="22"/>
                <w:lang w:val="ro-RO"/>
              </w:rPr>
              <w:t>12</w:t>
            </w:r>
          </w:p>
        </w:tc>
        <w:tc>
          <w:tcPr>
            <w:tcW w:w="2902"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Produse fabricate</w:t>
            </w:r>
          </w:p>
        </w:tc>
        <w:tc>
          <w:tcPr>
            <w:tcW w:w="1171" w:type="dxa"/>
            <w:vAlign w:val="center"/>
          </w:tcPr>
          <w:p w:rsidR="00BD59B2" w:rsidRPr="00E0488D" w:rsidRDefault="00BD59B2" w:rsidP="009972B3">
            <w:pPr>
              <w:spacing w:line="276" w:lineRule="auto"/>
              <w:ind w:right="136"/>
              <w:jc w:val="center"/>
              <w:rPr>
                <w:sz w:val="22"/>
                <w:szCs w:val="22"/>
                <w:lang w:val="ro-RO"/>
              </w:rPr>
            </w:pPr>
            <w:r w:rsidRPr="00E0488D">
              <w:rPr>
                <w:sz w:val="22"/>
                <w:szCs w:val="22"/>
                <w:lang w:val="ro-RO"/>
              </w:rPr>
              <w:t>130km</w:t>
            </w:r>
          </w:p>
        </w:tc>
      </w:tr>
      <w:tr w:rsidR="00BD59B2" w:rsidRPr="00E0488D" w:rsidTr="009972B3">
        <w:tc>
          <w:tcPr>
            <w:tcW w:w="7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7</w:t>
            </w:r>
          </w:p>
        </w:tc>
        <w:tc>
          <w:tcPr>
            <w:tcW w:w="280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Fertilizatori</w:t>
            </w:r>
          </w:p>
        </w:tc>
        <w:tc>
          <w:tcPr>
            <w:tcW w:w="1171" w:type="dxa"/>
            <w:tcBorders>
              <w:right w:val="single" w:sz="4" w:space="0" w:color="auto"/>
            </w:tcBorders>
            <w:vAlign w:val="center"/>
          </w:tcPr>
          <w:p w:rsidR="00BD59B2" w:rsidRPr="00E0488D" w:rsidRDefault="00BD59B2" w:rsidP="009972B3">
            <w:pPr>
              <w:tabs>
                <w:tab w:val="left" w:pos="743"/>
              </w:tabs>
              <w:spacing w:line="276" w:lineRule="auto"/>
              <w:ind w:right="71"/>
              <w:jc w:val="center"/>
              <w:rPr>
                <w:sz w:val="22"/>
                <w:szCs w:val="22"/>
                <w:lang w:val="ro-RO"/>
              </w:rPr>
            </w:pPr>
            <w:r w:rsidRPr="00E0488D">
              <w:rPr>
                <w:sz w:val="22"/>
                <w:szCs w:val="22"/>
                <w:lang w:val="ro-RO"/>
              </w:rPr>
              <w:t>100km</w:t>
            </w:r>
          </w:p>
        </w:tc>
        <w:tc>
          <w:tcPr>
            <w:tcW w:w="737" w:type="dxa"/>
            <w:tcBorders>
              <w:left w:val="single" w:sz="4" w:space="0" w:color="auto"/>
            </w:tcBorders>
            <w:vAlign w:val="center"/>
          </w:tcPr>
          <w:p w:rsidR="00BD59B2" w:rsidRPr="00E0488D" w:rsidRDefault="00BD59B2" w:rsidP="009972B3">
            <w:pPr>
              <w:spacing w:line="276" w:lineRule="auto"/>
              <w:jc w:val="center"/>
              <w:rPr>
                <w:sz w:val="22"/>
                <w:szCs w:val="22"/>
                <w:lang w:val="ro-RO"/>
              </w:rPr>
            </w:pPr>
            <w:r w:rsidRPr="00E0488D">
              <w:rPr>
                <w:sz w:val="22"/>
                <w:szCs w:val="22"/>
                <w:lang w:val="ro-RO"/>
              </w:rPr>
              <w:t>13</w:t>
            </w:r>
          </w:p>
        </w:tc>
        <w:tc>
          <w:tcPr>
            <w:tcW w:w="2902"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Deșeuri domestice &amp; industriale</w:t>
            </w:r>
          </w:p>
        </w:tc>
        <w:tc>
          <w:tcPr>
            <w:tcW w:w="1171" w:type="dxa"/>
            <w:vAlign w:val="center"/>
          </w:tcPr>
          <w:p w:rsidR="00BD59B2" w:rsidRPr="00E0488D" w:rsidRDefault="00BD59B2" w:rsidP="009972B3">
            <w:pPr>
              <w:spacing w:line="276" w:lineRule="auto"/>
              <w:ind w:right="136"/>
              <w:jc w:val="center"/>
              <w:rPr>
                <w:sz w:val="22"/>
                <w:szCs w:val="22"/>
                <w:lang w:val="ro-RO"/>
              </w:rPr>
            </w:pPr>
            <w:r w:rsidRPr="00E0488D">
              <w:rPr>
                <w:sz w:val="22"/>
                <w:szCs w:val="22"/>
                <w:lang w:val="ro-RO"/>
              </w:rPr>
              <w:t>100km</w:t>
            </w:r>
          </w:p>
        </w:tc>
      </w:tr>
      <w:tr w:rsidR="00BD59B2" w:rsidRPr="00E0488D" w:rsidTr="009972B3">
        <w:tc>
          <w:tcPr>
            <w:tcW w:w="716"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8</w:t>
            </w:r>
          </w:p>
        </w:tc>
        <w:tc>
          <w:tcPr>
            <w:tcW w:w="2805"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Produse chimice</w:t>
            </w:r>
          </w:p>
        </w:tc>
        <w:tc>
          <w:tcPr>
            <w:tcW w:w="1171" w:type="dxa"/>
            <w:tcBorders>
              <w:right w:val="single" w:sz="4" w:space="0" w:color="auto"/>
            </w:tcBorders>
            <w:vAlign w:val="center"/>
          </w:tcPr>
          <w:p w:rsidR="00BD59B2" w:rsidRPr="00E0488D" w:rsidRDefault="00BD59B2" w:rsidP="009972B3">
            <w:pPr>
              <w:tabs>
                <w:tab w:val="left" w:pos="743"/>
              </w:tabs>
              <w:spacing w:line="276" w:lineRule="auto"/>
              <w:ind w:right="71"/>
              <w:jc w:val="center"/>
              <w:rPr>
                <w:sz w:val="22"/>
                <w:szCs w:val="22"/>
                <w:lang w:val="ro-RO"/>
              </w:rPr>
            </w:pPr>
            <w:r w:rsidRPr="00E0488D">
              <w:rPr>
                <w:sz w:val="22"/>
                <w:szCs w:val="22"/>
                <w:lang w:val="ro-RO"/>
              </w:rPr>
              <w:t>100km</w:t>
            </w:r>
          </w:p>
        </w:tc>
        <w:tc>
          <w:tcPr>
            <w:tcW w:w="737" w:type="dxa"/>
            <w:tcBorders>
              <w:left w:val="single" w:sz="4" w:space="0" w:color="auto"/>
            </w:tcBorders>
            <w:vAlign w:val="center"/>
          </w:tcPr>
          <w:p w:rsidR="00BD59B2" w:rsidRPr="00E0488D" w:rsidRDefault="00BD59B2" w:rsidP="009972B3">
            <w:pPr>
              <w:spacing w:line="276" w:lineRule="auto"/>
              <w:jc w:val="center"/>
              <w:rPr>
                <w:sz w:val="22"/>
                <w:szCs w:val="22"/>
                <w:lang w:val="ro-RO"/>
              </w:rPr>
            </w:pPr>
            <w:r w:rsidRPr="00E0488D">
              <w:rPr>
                <w:sz w:val="22"/>
                <w:szCs w:val="22"/>
                <w:lang w:val="ro-RO"/>
              </w:rPr>
              <w:t>14</w:t>
            </w:r>
          </w:p>
        </w:tc>
        <w:tc>
          <w:tcPr>
            <w:tcW w:w="2902" w:type="dxa"/>
            <w:vAlign w:val="center"/>
          </w:tcPr>
          <w:p w:rsidR="00BD59B2" w:rsidRPr="00E0488D" w:rsidRDefault="00BD59B2" w:rsidP="009972B3">
            <w:pPr>
              <w:spacing w:line="276" w:lineRule="auto"/>
              <w:jc w:val="center"/>
              <w:rPr>
                <w:sz w:val="22"/>
                <w:szCs w:val="22"/>
                <w:lang w:val="ro-RO"/>
              </w:rPr>
            </w:pPr>
            <w:r w:rsidRPr="00E0488D">
              <w:rPr>
                <w:sz w:val="22"/>
                <w:szCs w:val="22"/>
                <w:lang w:val="ro-RO"/>
              </w:rPr>
              <w:t>Produse forestiere</w:t>
            </w:r>
          </w:p>
        </w:tc>
        <w:tc>
          <w:tcPr>
            <w:tcW w:w="1171" w:type="dxa"/>
            <w:vAlign w:val="center"/>
          </w:tcPr>
          <w:p w:rsidR="00BD59B2" w:rsidRPr="00E0488D" w:rsidRDefault="00BD59B2" w:rsidP="009972B3">
            <w:pPr>
              <w:spacing w:line="276" w:lineRule="auto"/>
              <w:ind w:right="136"/>
              <w:jc w:val="center"/>
              <w:rPr>
                <w:sz w:val="22"/>
                <w:szCs w:val="22"/>
                <w:lang w:val="ro-RO"/>
              </w:rPr>
            </w:pPr>
            <w:r w:rsidRPr="00E0488D">
              <w:rPr>
                <w:sz w:val="22"/>
                <w:szCs w:val="22"/>
                <w:lang w:val="ro-RO"/>
              </w:rPr>
              <w:t>100km</w:t>
            </w:r>
          </w:p>
        </w:tc>
      </w:tr>
      <w:tr w:rsidR="00BD59B2" w:rsidRPr="00E0488D" w:rsidTr="009972B3">
        <w:tc>
          <w:tcPr>
            <w:tcW w:w="716" w:type="dxa"/>
            <w:vAlign w:val="center"/>
          </w:tcPr>
          <w:p w:rsidR="00BD59B2" w:rsidRPr="00E0488D" w:rsidRDefault="00BD59B2" w:rsidP="009972B3">
            <w:pPr>
              <w:spacing w:line="276" w:lineRule="auto"/>
              <w:jc w:val="center"/>
              <w:rPr>
                <w:sz w:val="22"/>
                <w:szCs w:val="22"/>
                <w:lang w:val="ro-RO"/>
              </w:rPr>
            </w:pPr>
          </w:p>
        </w:tc>
        <w:tc>
          <w:tcPr>
            <w:tcW w:w="2805" w:type="dxa"/>
            <w:vAlign w:val="center"/>
          </w:tcPr>
          <w:p w:rsidR="00BD59B2" w:rsidRPr="00E0488D" w:rsidRDefault="00BD59B2" w:rsidP="009972B3">
            <w:pPr>
              <w:spacing w:line="276" w:lineRule="auto"/>
              <w:jc w:val="center"/>
              <w:rPr>
                <w:sz w:val="22"/>
                <w:szCs w:val="22"/>
                <w:lang w:val="ro-RO"/>
              </w:rPr>
            </w:pPr>
          </w:p>
        </w:tc>
        <w:tc>
          <w:tcPr>
            <w:tcW w:w="1171" w:type="dxa"/>
            <w:tcBorders>
              <w:right w:val="single" w:sz="4" w:space="0" w:color="auto"/>
            </w:tcBorders>
            <w:vAlign w:val="center"/>
          </w:tcPr>
          <w:p w:rsidR="00BD59B2" w:rsidRPr="00E0488D" w:rsidRDefault="00BD59B2" w:rsidP="009972B3">
            <w:pPr>
              <w:tabs>
                <w:tab w:val="left" w:pos="743"/>
              </w:tabs>
              <w:spacing w:line="276" w:lineRule="auto"/>
              <w:ind w:right="71"/>
              <w:jc w:val="center"/>
              <w:rPr>
                <w:sz w:val="22"/>
                <w:szCs w:val="22"/>
                <w:lang w:val="ro-RO"/>
              </w:rPr>
            </w:pPr>
          </w:p>
        </w:tc>
        <w:tc>
          <w:tcPr>
            <w:tcW w:w="737" w:type="dxa"/>
            <w:tcBorders>
              <w:left w:val="single" w:sz="4" w:space="0" w:color="auto"/>
            </w:tcBorders>
            <w:vAlign w:val="center"/>
          </w:tcPr>
          <w:p w:rsidR="00BD59B2" w:rsidRPr="00E0488D" w:rsidRDefault="00BD59B2" w:rsidP="009972B3">
            <w:pPr>
              <w:spacing w:line="276" w:lineRule="auto"/>
              <w:jc w:val="center"/>
              <w:rPr>
                <w:sz w:val="22"/>
                <w:szCs w:val="22"/>
                <w:lang w:val="ro-RO"/>
              </w:rPr>
            </w:pPr>
          </w:p>
        </w:tc>
        <w:tc>
          <w:tcPr>
            <w:tcW w:w="2902" w:type="dxa"/>
            <w:vAlign w:val="center"/>
          </w:tcPr>
          <w:p w:rsidR="00BD59B2" w:rsidRPr="00E0488D" w:rsidRDefault="00BD59B2" w:rsidP="009972B3">
            <w:pPr>
              <w:spacing w:line="276" w:lineRule="auto"/>
              <w:jc w:val="center"/>
              <w:rPr>
                <w:sz w:val="22"/>
                <w:szCs w:val="22"/>
                <w:lang w:val="ro-RO"/>
              </w:rPr>
            </w:pPr>
          </w:p>
        </w:tc>
        <w:tc>
          <w:tcPr>
            <w:tcW w:w="1171" w:type="dxa"/>
            <w:vAlign w:val="center"/>
          </w:tcPr>
          <w:p w:rsidR="00BD59B2" w:rsidRPr="00E0488D" w:rsidRDefault="00BD59B2" w:rsidP="009972B3">
            <w:pPr>
              <w:spacing w:line="276" w:lineRule="auto"/>
              <w:ind w:right="136"/>
              <w:jc w:val="center"/>
              <w:rPr>
                <w:sz w:val="22"/>
                <w:szCs w:val="22"/>
                <w:lang w:val="ro-RO"/>
              </w:rPr>
            </w:pPr>
          </w:p>
        </w:tc>
      </w:tr>
    </w:tbl>
    <w:p w:rsidR="00BD59B2" w:rsidRPr="00E0488D" w:rsidRDefault="00BD59B2" w:rsidP="00BD59B2">
      <w:pPr>
        <w:spacing w:line="276" w:lineRule="auto"/>
        <w:ind w:firstLine="851"/>
        <w:rPr>
          <w:sz w:val="22"/>
          <w:szCs w:val="22"/>
          <w:lang w:val="ro-RO"/>
        </w:rPr>
      </w:pPr>
      <w:r w:rsidRPr="00E0488D">
        <w:rPr>
          <w:noProof/>
          <w:sz w:val="22"/>
          <w:szCs w:val="22"/>
          <w:lang w:val="ro-RO" w:eastAsia="ro-RO"/>
        </w:rPr>
        <w:drawing>
          <wp:inline distT="0" distB="0" distL="0" distR="0">
            <wp:extent cx="5101579" cy="4238625"/>
            <wp:effectExtent l="19050" t="0" r="3821" b="0"/>
            <wp:docPr id="89" name="Picture 9" descr="C:\Users\turpinm\AppData\Local\Microsoft\Windows\Temporary Internet Files\Content.Outlook\RQJO0V1E\Max_Container_Rail_Flow_Plot_Coloured_Filtere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rpinm\AppData\Local\Microsoft\Windows\Temporary Internet Files\Content.Outlook\RQJO0V1E\Max_Container_Rail_Flow_Plot_Coloured_Filtered (2).png"/>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5101579" cy="4238625"/>
                    </a:xfrm>
                    <a:prstGeom prst="rect">
                      <a:avLst/>
                    </a:prstGeom>
                    <a:noFill/>
                    <a:ln w="9525">
                      <a:noFill/>
                      <a:miter lim="800000"/>
                      <a:headEnd/>
                      <a:tailEnd/>
                    </a:ln>
                  </pic:spPr>
                </pic:pic>
              </a:graphicData>
            </a:graphic>
          </wp:inline>
        </w:drawing>
      </w:r>
    </w:p>
    <w:p w:rsidR="00BD59B2" w:rsidRPr="00E0488D" w:rsidRDefault="00BD59B2" w:rsidP="00BD59B2">
      <w:pPr>
        <w:spacing w:line="276" w:lineRule="auto"/>
        <w:ind w:left="851"/>
        <w:rPr>
          <w:b/>
          <w:sz w:val="22"/>
          <w:szCs w:val="22"/>
          <w:lang w:val="ro-RO"/>
        </w:rPr>
      </w:pPr>
      <w:r w:rsidRPr="00E0488D">
        <w:rPr>
          <w:b/>
          <w:sz w:val="22"/>
          <w:szCs w:val="22"/>
          <w:lang w:val="ro-RO"/>
        </w:rPr>
        <w:t xml:space="preserve">Figura 8.10: traficul potențial de containere și cota modală curentă pe fluxul feroviar </w:t>
      </w:r>
    </w:p>
    <w:p w:rsidR="00BD59B2" w:rsidRPr="00E0488D" w:rsidRDefault="00BD59B2" w:rsidP="002B7E09">
      <w:pPr>
        <w:pStyle w:val="NumberedParas"/>
      </w:pPr>
      <w:r w:rsidRPr="00E0488D">
        <w:rPr>
          <w:rStyle w:val="hps"/>
          <w:rFonts w:cs="Arial"/>
          <w:color w:val="000000" w:themeColor="text1"/>
        </w:rPr>
        <w:t>Acest lucru poate</w:t>
      </w:r>
      <w:r w:rsidRPr="00E0488D">
        <w:t xml:space="preserve"> </w:t>
      </w:r>
      <w:r w:rsidRPr="00E0488D">
        <w:rPr>
          <w:rStyle w:val="hps"/>
          <w:rFonts w:cs="Arial"/>
          <w:color w:val="000000" w:themeColor="text1"/>
        </w:rPr>
        <w:t>fi evaluat</w:t>
      </w:r>
      <w:r w:rsidRPr="00E0488D">
        <w:t xml:space="preserve"> </w:t>
      </w:r>
      <w:r w:rsidRPr="00E0488D">
        <w:rPr>
          <w:rStyle w:val="hps"/>
          <w:rFonts w:cs="Arial"/>
          <w:color w:val="000000" w:themeColor="text1"/>
        </w:rPr>
        <w:t>în continuare printr</w:t>
      </w:r>
      <w:r w:rsidRPr="00E0488D">
        <w:t xml:space="preserve">-o </w:t>
      </w:r>
      <w:r w:rsidRPr="00E0488D">
        <w:rPr>
          <w:rStyle w:val="hps"/>
          <w:rFonts w:cs="Arial"/>
          <w:color w:val="000000" w:themeColor="text1"/>
        </w:rPr>
        <w:t>analiză rapidă</w:t>
      </w:r>
      <w:r w:rsidRPr="00E0488D">
        <w:t xml:space="preserve"> </w:t>
      </w:r>
      <w:r w:rsidRPr="00E0488D">
        <w:rPr>
          <w:rStyle w:val="hps"/>
          <w:rFonts w:cs="Arial"/>
          <w:color w:val="000000" w:themeColor="text1"/>
        </w:rPr>
        <w:t>a fiecăruia dintre</w:t>
      </w:r>
      <w:r w:rsidRPr="00E0488D">
        <w:t xml:space="preserve"> </w:t>
      </w:r>
      <w:r w:rsidRPr="00E0488D">
        <w:rPr>
          <w:rStyle w:val="hps"/>
          <w:rFonts w:cs="Arial"/>
          <w:color w:val="000000" w:themeColor="text1"/>
        </w:rPr>
        <w:t>fluxurile</w:t>
      </w:r>
      <w:r w:rsidRPr="00E0488D">
        <w:t xml:space="preserve"> </w:t>
      </w:r>
      <w:r w:rsidRPr="00E0488D">
        <w:rPr>
          <w:rStyle w:val="hps"/>
          <w:rFonts w:cs="Arial"/>
          <w:color w:val="000000" w:themeColor="text1"/>
        </w:rPr>
        <w:t>potențiale de</w:t>
      </w:r>
      <w:r w:rsidRPr="00E0488D">
        <w:t xml:space="preserve"> </w:t>
      </w:r>
      <w:r w:rsidRPr="00E0488D">
        <w:rPr>
          <w:rStyle w:val="hps"/>
          <w:rFonts w:cs="Arial"/>
          <w:color w:val="000000" w:themeColor="text1"/>
        </w:rPr>
        <w:t>mărfuri</w:t>
      </w:r>
      <w:r w:rsidRPr="00E0488D">
        <w:t xml:space="preserve"> </w:t>
      </w:r>
      <w:r w:rsidRPr="00E0488D">
        <w:rPr>
          <w:rStyle w:val="hps"/>
          <w:rFonts w:cs="Arial"/>
          <w:color w:val="000000" w:themeColor="text1"/>
        </w:rPr>
        <w:t>containerizate</w:t>
      </w:r>
      <w:r w:rsidRPr="00E0488D">
        <w:t>.</w:t>
      </w:r>
    </w:p>
    <w:p w:rsidR="00BD59B2" w:rsidRPr="00E0488D" w:rsidRDefault="00BD59B2" w:rsidP="002B7E09">
      <w:pPr>
        <w:pStyle w:val="NumberedParas"/>
      </w:pPr>
      <w:r w:rsidRPr="00E0488D">
        <w:rPr>
          <w:rStyle w:val="hps"/>
          <w:rFonts w:cs="Arial"/>
          <w:i/>
          <w:color w:val="000000" w:themeColor="text1"/>
        </w:rPr>
        <w:t>Produse alimentare</w:t>
      </w:r>
      <w:r w:rsidRPr="00E0488D">
        <w:t xml:space="preserve"> </w:t>
      </w:r>
      <w:r w:rsidRPr="00E0488D">
        <w:rPr>
          <w:rStyle w:val="hps"/>
          <w:rFonts w:cs="Arial"/>
          <w:color w:val="000000" w:themeColor="text1"/>
        </w:rPr>
        <w:t>(</w:t>
      </w:r>
      <w:r w:rsidRPr="00E0488D">
        <w:t xml:space="preserve">1): </w:t>
      </w:r>
      <w:r w:rsidRPr="00E0488D">
        <w:rPr>
          <w:rStyle w:val="hps"/>
          <w:rFonts w:cs="Arial"/>
          <w:color w:val="000000" w:themeColor="text1"/>
        </w:rPr>
        <w:t>fluxurile de</w:t>
      </w:r>
      <w:r w:rsidRPr="00E0488D">
        <w:t xml:space="preserve"> produse </w:t>
      </w:r>
      <w:r w:rsidRPr="00E0488D">
        <w:rPr>
          <w:rStyle w:val="hps"/>
          <w:rFonts w:cs="Arial"/>
          <w:color w:val="000000" w:themeColor="text1"/>
        </w:rPr>
        <w:t>alimentare transportate pe</w:t>
      </w:r>
      <w:r w:rsidRPr="00E0488D">
        <w:t xml:space="preserve"> </w:t>
      </w:r>
      <w:r w:rsidRPr="00E0488D">
        <w:rPr>
          <w:rStyle w:val="hps"/>
          <w:rFonts w:cs="Arial"/>
          <w:color w:val="000000" w:themeColor="text1"/>
        </w:rPr>
        <w:t>cale ferată</w:t>
      </w:r>
      <w:r w:rsidRPr="00E0488D">
        <w:t xml:space="preserve"> </w:t>
      </w:r>
      <w:r w:rsidRPr="00E0488D">
        <w:rPr>
          <w:rStyle w:val="hps"/>
          <w:rFonts w:cs="Arial"/>
          <w:color w:val="000000" w:themeColor="text1"/>
        </w:rPr>
        <w:t>sunt relativ mici</w:t>
      </w:r>
      <w:r w:rsidRPr="00E0488D">
        <w:t xml:space="preserve">, </w:t>
      </w:r>
      <w:r w:rsidRPr="00E0488D">
        <w:rPr>
          <w:rStyle w:val="hps"/>
          <w:rFonts w:cs="Arial"/>
          <w:color w:val="000000" w:themeColor="text1"/>
        </w:rPr>
        <w:t>(</w:t>
      </w:r>
      <w:r w:rsidRPr="00E0488D">
        <w:t xml:space="preserve">aproximativ </w:t>
      </w:r>
      <w:r w:rsidRPr="00E0488D">
        <w:rPr>
          <w:rStyle w:val="hps"/>
          <w:rFonts w:cs="Arial"/>
          <w:color w:val="000000" w:themeColor="text1"/>
        </w:rPr>
        <w:t>1.133</w:t>
      </w:r>
      <w:r w:rsidRPr="00E0488D">
        <w:t xml:space="preserve"> </w:t>
      </w:r>
      <w:r w:rsidRPr="00E0488D">
        <w:rPr>
          <w:rStyle w:val="hps"/>
          <w:rFonts w:cs="Arial"/>
          <w:color w:val="000000" w:themeColor="text1"/>
        </w:rPr>
        <w:t>de tone pe</w:t>
      </w:r>
      <w:r w:rsidRPr="00E0488D">
        <w:t xml:space="preserve"> </w:t>
      </w:r>
      <w:r w:rsidRPr="00E0488D">
        <w:rPr>
          <w:rStyle w:val="hps"/>
          <w:rFonts w:cs="Arial"/>
          <w:color w:val="000000" w:themeColor="text1"/>
        </w:rPr>
        <w:t>zi</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o treime</w:t>
      </w:r>
      <w:r w:rsidRPr="00E0488D">
        <w:t xml:space="preserve"> </w:t>
      </w:r>
      <w:r w:rsidRPr="00E0488D">
        <w:rPr>
          <w:rStyle w:val="hps"/>
          <w:rFonts w:cs="Arial"/>
          <w:color w:val="000000" w:themeColor="text1"/>
        </w:rPr>
        <w:t>oferă un potential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containerizare</w:t>
      </w:r>
      <w:r w:rsidRPr="00E0488D">
        <w:t xml:space="preserve">. </w:t>
      </w:r>
      <w:r w:rsidRPr="00E0488D">
        <w:rPr>
          <w:rStyle w:val="hps"/>
          <w:rFonts w:cs="Arial"/>
          <w:color w:val="000000" w:themeColor="text1"/>
        </w:rPr>
        <w:t>Acest lucru se</w:t>
      </w:r>
      <w:r w:rsidRPr="00E0488D">
        <w:t xml:space="preserve"> </w:t>
      </w:r>
      <w:r w:rsidRPr="00E0488D">
        <w:rPr>
          <w:rStyle w:val="hps"/>
          <w:rFonts w:cs="Arial"/>
          <w:color w:val="000000" w:themeColor="text1"/>
        </w:rPr>
        <w:t>datorează în mare parte</w:t>
      </w:r>
      <w:r w:rsidRPr="00E0488D">
        <w:t xml:space="preserve"> </w:t>
      </w:r>
      <w:r w:rsidRPr="00E0488D">
        <w:rPr>
          <w:rStyle w:val="hps"/>
          <w:rFonts w:cs="Arial"/>
          <w:color w:val="000000" w:themeColor="text1"/>
        </w:rPr>
        <w:t>cerințelor</w:t>
      </w:r>
      <w:r w:rsidRPr="00E0488D">
        <w:t xml:space="preserve"> </w:t>
      </w:r>
      <w:r w:rsidRPr="00E0488D">
        <w:rPr>
          <w:rStyle w:val="hps"/>
          <w:rFonts w:cs="Arial"/>
          <w:color w:val="000000" w:themeColor="text1"/>
        </w:rPr>
        <w:t>de timp pe care le impun</w:t>
      </w:r>
      <w:r w:rsidRPr="00E0488D">
        <w:t xml:space="preserve"> </w:t>
      </w:r>
      <w:r w:rsidRPr="00E0488D">
        <w:rPr>
          <w:rStyle w:val="hps"/>
          <w:rFonts w:cs="Arial"/>
          <w:color w:val="000000" w:themeColor="text1"/>
        </w:rPr>
        <w:t>transporturile de produse alimentare</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din cele care sunt</w:t>
      </w:r>
      <w:r w:rsidRPr="00E0488D">
        <w:t xml:space="preserve"> </w:t>
      </w:r>
      <w:r w:rsidRPr="00E0488D">
        <w:rPr>
          <w:rStyle w:val="hps"/>
          <w:rFonts w:cs="Arial"/>
          <w:color w:val="000000" w:themeColor="text1"/>
        </w:rPr>
        <w:t>adecvate</w:t>
      </w:r>
      <w:r w:rsidRPr="00E0488D">
        <w:t xml:space="preserve">, </w:t>
      </w:r>
      <w:r w:rsidRPr="00E0488D">
        <w:rPr>
          <w:rStyle w:val="hps"/>
          <w:rFonts w:cs="Arial"/>
          <w:color w:val="000000" w:themeColor="text1"/>
        </w:rPr>
        <w:t>există</w:t>
      </w:r>
      <w:r w:rsidRPr="00E0488D">
        <w:t xml:space="preserve"> </w:t>
      </w:r>
      <w:r w:rsidRPr="00E0488D">
        <w:rPr>
          <w:rStyle w:val="hps"/>
          <w:rFonts w:cs="Arial"/>
          <w:color w:val="000000" w:themeColor="text1"/>
        </w:rPr>
        <w:t>potențial</w:t>
      </w:r>
      <w:r w:rsidRPr="00E0488D">
        <w:t xml:space="preserve"> </w:t>
      </w:r>
      <w:r w:rsidRPr="00E0488D">
        <w:rPr>
          <w:rStyle w:val="hps"/>
          <w:rFonts w:cs="Arial"/>
          <w:color w:val="000000" w:themeColor="text1"/>
        </w:rPr>
        <w:t>pentru o mai bună</w:t>
      </w:r>
      <w:r w:rsidRPr="00E0488D">
        <w:t xml:space="preserve"> </w:t>
      </w:r>
      <w:r w:rsidRPr="00E0488D">
        <w:rPr>
          <w:rStyle w:val="hps"/>
          <w:rFonts w:cs="Arial"/>
          <w:color w:val="000000" w:themeColor="text1"/>
        </w:rPr>
        <w:t>cotă de</w:t>
      </w:r>
      <w:r w:rsidRPr="00E0488D">
        <w:t xml:space="preserve"> </w:t>
      </w:r>
      <w:r w:rsidRPr="00E0488D">
        <w:rPr>
          <w:rStyle w:val="hps"/>
          <w:rFonts w:cs="Arial"/>
          <w:color w:val="000000" w:themeColor="text1"/>
        </w:rPr>
        <w:t>transport feroviar</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coridoarele</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cazul primului coridor</w:t>
      </w:r>
      <w:r w:rsidRPr="00E0488D">
        <w:t xml:space="preserve">, </w:t>
      </w:r>
      <w:r w:rsidRPr="00E0488D">
        <w:rPr>
          <w:rStyle w:val="hps"/>
          <w:rFonts w:cs="Arial"/>
          <w:color w:val="000000" w:themeColor="text1"/>
        </w:rPr>
        <w:t>ponderea</w:t>
      </w:r>
      <w:r w:rsidRPr="00E0488D">
        <w:t xml:space="preserve"> </w:t>
      </w:r>
      <w:r w:rsidRPr="00E0488D">
        <w:rPr>
          <w:rStyle w:val="hps"/>
          <w:rFonts w:cs="Arial"/>
          <w:color w:val="000000" w:themeColor="text1"/>
        </w:rPr>
        <w:t>modală</w:t>
      </w:r>
      <w:r w:rsidRPr="00E0488D">
        <w:t xml:space="preserve"> </w:t>
      </w:r>
      <w:r w:rsidRPr="00E0488D">
        <w:rPr>
          <w:rStyle w:val="hps"/>
          <w:rFonts w:cs="Arial"/>
          <w:color w:val="000000" w:themeColor="text1"/>
        </w:rPr>
        <w:t>(</w:t>
      </w:r>
      <w:r w:rsidRPr="00E0488D">
        <w:t xml:space="preserve">din </w:t>
      </w:r>
      <w:r w:rsidRPr="00E0488D">
        <w:rPr>
          <w:rStyle w:val="hps"/>
          <w:rFonts w:cs="Arial"/>
          <w:color w:val="000000" w:themeColor="text1"/>
        </w:rPr>
        <w:t>potențialul</w:t>
      </w:r>
      <w:r w:rsidRPr="00E0488D">
        <w:t xml:space="preserve"> </w:t>
      </w:r>
      <w:r w:rsidRPr="00E0488D">
        <w:rPr>
          <w:rStyle w:val="hps"/>
          <w:rFonts w:cs="Arial"/>
          <w:color w:val="000000" w:themeColor="text1"/>
        </w:rPr>
        <w:t>total de</w:t>
      </w:r>
      <w:r w:rsidRPr="00E0488D">
        <w:t xml:space="preserve"> </w:t>
      </w:r>
      <w:r w:rsidRPr="00E0488D">
        <w:rPr>
          <w:rStyle w:val="hps"/>
          <w:rFonts w:cs="Arial"/>
          <w:color w:val="000000" w:themeColor="text1"/>
        </w:rPr>
        <w:t>produse alimentare</w:t>
      </w:r>
      <w:r w:rsidRPr="00E0488D">
        <w:t xml:space="preserve"> </w:t>
      </w:r>
      <w:r w:rsidRPr="00E0488D">
        <w:rPr>
          <w:rStyle w:val="hps"/>
          <w:rFonts w:cs="Arial"/>
          <w:color w:val="000000" w:themeColor="text1"/>
        </w:rPr>
        <w:t>containerizate</w:t>
      </w:r>
      <w:r w:rsidRPr="00E0488D">
        <w:t xml:space="preserve">) </w:t>
      </w:r>
      <w:r w:rsidRPr="00E0488D">
        <w:rPr>
          <w:rStyle w:val="hps"/>
          <w:rFonts w:cs="Arial"/>
          <w:color w:val="000000" w:themeColor="text1"/>
        </w:rPr>
        <w:t>este de aproximativ</w:t>
      </w:r>
      <w:r w:rsidRPr="00E0488D">
        <w:t xml:space="preserve"> </w:t>
      </w:r>
      <w:r w:rsidRPr="00E0488D">
        <w:rPr>
          <w:rStyle w:val="hps"/>
          <w:rFonts w:cs="Arial"/>
          <w:color w:val="000000" w:themeColor="text1"/>
        </w:rPr>
        <w:t>20-30</w:t>
      </w:r>
      <w:r w:rsidRPr="00E0488D">
        <w:t xml:space="preserve">% </w:t>
      </w:r>
      <w:r w:rsidRPr="00E0488D">
        <w:rPr>
          <w:rStyle w:val="hps"/>
          <w:rFonts w:cs="Arial"/>
          <w:color w:val="000000" w:themeColor="text1"/>
        </w:rPr>
        <w:t>pe sectorul</w:t>
      </w:r>
      <w:r w:rsidRPr="00E0488D">
        <w:t xml:space="preserve"> </w:t>
      </w:r>
      <w:r w:rsidRPr="00E0488D">
        <w:rPr>
          <w:rStyle w:val="hps"/>
          <w:rFonts w:cs="Arial"/>
          <w:color w:val="000000" w:themeColor="text1"/>
        </w:rPr>
        <w:t>Caracal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Caransebes</w:t>
      </w:r>
      <w:r w:rsidRPr="00E0488D">
        <w:t xml:space="preserve">, </w:t>
      </w:r>
      <w:r w:rsidRPr="00E0488D">
        <w:rPr>
          <w:rStyle w:val="hps"/>
          <w:rFonts w:cs="Arial"/>
          <w:color w:val="000000" w:themeColor="text1"/>
        </w:rPr>
        <w:t>unde</w:t>
      </w:r>
      <w:r w:rsidRPr="00E0488D">
        <w:t xml:space="preserve"> </w:t>
      </w:r>
      <w:r w:rsidRPr="00E0488D">
        <w:rPr>
          <w:rStyle w:val="hps"/>
          <w:rFonts w:cs="Arial"/>
          <w:color w:val="000000" w:themeColor="text1"/>
        </w:rPr>
        <w:t>ponderea</w:t>
      </w:r>
      <w:r w:rsidRPr="00E0488D">
        <w:t xml:space="preserve"> </w:t>
      </w:r>
      <w:r w:rsidRPr="00E0488D">
        <w:rPr>
          <w:rStyle w:val="hps"/>
          <w:rFonts w:cs="Arial"/>
          <w:color w:val="000000" w:themeColor="text1"/>
        </w:rPr>
        <w:t>modală</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acest sector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frontieră (</w:t>
      </w:r>
      <w:r w:rsidRPr="00E0488D">
        <w:t>dincolo de</w:t>
      </w:r>
      <w:r w:rsidRPr="00E0488D">
        <w:rPr>
          <w:rStyle w:val="hps"/>
          <w:rFonts w:cs="Arial"/>
          <w:color w:val="000000" w:themeColor="text1"/>
        </w:rPr>
        <w:t>Timisoara</w:t>
      </w:r>
      <w:r w:rsidRPr="00E0488D">
        <w:t xml:space="preserve"> </w:t>
      </w:r>
      <w:r w:rsidRPr="00E0488D">
        <w:rPr>
          <w:rStyle w:val="hps"/>
          <w:rFonts w:cs="Arial"/>
          <w:color w:val="000000" w:themeColor="text1"/>
        </w:rPr>
        <w:t>si</w:t>
      </w:r>
      <w:r w:rsidRPr="00E0488D">
        <w:t xml:space="preserve"> </w:t>
      </w:r>
      <w:r w:rsidRPr="00E0488D">
        <w:rPr>
          <w:rStyle w:val="hps"/>
          <w:rFonts w:cs="Arial"/>
          <w:color w:val="000000" w:themeColor="text1"/>
        </w:rPr>
        <w:t>Arad</w:t>
      </w:r>
      <w:r w:rsidRPr="00E0488D">
        <w:t xml:space="preserve">) este </w:t>
      </w:r>
      <w:r w:rsidRPr="00E0488D">
        <w:rPr>
          <w:rStyle w:val="hps"/>
          <w:rFonts w:cs="Arial"/>
          <w:color w:val="000000" w:themeColor="text1"/>
        </w:rPr>
        <w:t>sub 10%</w:t>
      </w:r>
      <w:r w:rsidRPr="00E0488D">
        <w:t xml:space="preserve"> </w:t>
      </w:r>
      <w:r w:rsidRPr="00E0488D">
        <w:rPr>
          <w:rStyle w:val="hps"/>
          <w:rFonts w:cs="Arial"/>
          <w:color w:val="000000" w:themeColor="text1"/>
        </w:rPr>
        <w:t>spre nord</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20%</w:t>
      </w:r>
      <w:r w:rsidRPr="00E0488D">
        <w:t xml:space="preserve"> </w:t>
      </w:r>
      <w:r w:rsidRPr="00E0488D">
        <w:rPr>
          <w:rStyle w:val="hps"/>
          <w:rFonts w:cs="Arial"/>
          <w:color w:val="000000" w:themeColor="text1"/>
        </w:rPr>
        <w:t>spre sud</w:t>
      </w:r>
      <w:r w:rsidRPr="00E0488D">
        <w:t xml:space="preserve">. </w:t>
      </w:r>
      <w:r w:rsidRPr="00E0488D">
        <w:rPr>
          <w:rStyle w:val="hps"/>
          <w:rFonts w:cs="Arial"/>
          <w:color w:val="000000" w:themeColor="text1"/>
        </w:rPr>
        <w:t>Facilitățile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îmbunătățite de la</w:t>
      </w:r>
      <w:r w:rsidRPr="00E0488D">
        <w:t xml:space="preserve"> </w:t>
      </w:r>
      <w:r w:rsidRPr="00E0488D">
        <w:rPr>
          <w:rStyle w:val="hps"/>
          <w:rFonts w:cs="Arial"/>
          <w:color w:val="000000" w:themeColor="text1"/>
        </w:rPr>
        <w:t>Timișoara</w:t>
      </w:r>
      <w:r w:rsidRPr="00E0488D">
        <w:t xml:space="preserve"> </w:t>
      </w:r>
      <w:r w:rsidRPr="00E0488D">
        <w:rPr>
          <w:rStyle w:val="hps"/>
          <w:rFonts w:cs="Arial"/>
          <w:color w:val="000000" w:themeColor="text1"/>
        </w:rPr>
        <w:t>ar putea</w:t>
      </w:r>
      <w:r w:rsidRPr="00E0488D">
        <w:t xml:space="preserve"> </w:t>
      </w:r>
      <w:r w:rsidRPr="00E0488D">
        <w:rPr>
          <w:rStyle w:val="hps"/>
          <w:rFonts w:cs="Arial"/>
          <w:color w:val="000000" w:themeColor="text1"/>
        </w:rPr>
        <w:t>contribui la creșterea</w:t>
      </w:r>
      <w:r w:rsidRPr="00E0488D">
        <w:t xml:space="preserve"> </w:t>
      </w:r>
      <w:r w:rsidRPr="00E0488D">
        <w:rPr>
          <w:rStyle w:val="hps"/>
          <w:rFonts w:cs="Arial"/>
          <w:color w:val="000000" w:themeColor="text1"/>
        </w:rPr>
        <w:t>aceastei cote</w:t>
      </w:r>
      <w:r w:rsidRPr="00E0488D">
        <w:t xml:space="preserve"> </w:t>
      </w:r>
      <w:r w:rsidRPr="00E0488D">
        <w:rPr>
          <w:rStyle w:val="hps"/>
          <w:rFonts w:cs="Arial"/>
          <w:color w:val="000000" w:themeColor="text1"/>
        </w:rPr>
        <w:t>modale</w:t>
      </w:r>
      <w:r w:rsidRPr="00E0488D">
        <w:t xml:space="preserve"> </w:t>
      </w:r>
      <w:r w:rsidRPr="00E0488D">
        <w:rPr>
          <w:rStyle w:val="hps"/>
          <w:rFonts w:cs="Arial"/>
          <w:color w:val="000000" w:themeColor="text1"/>
        </w:rPr>
        <w:t>prin reducerea</w:t>
      </w:r>
      <w:r w:rsidRPr="00E0488D">
        <w:t xml:space="preserve"> </w:t>
      </w:r>
      <w:r w:rsidRPr="00E0488D">
        <w:rPr>
          <w:rStyle w:val="hps"/>
          <w:rFonts w:cs="Arial"/>
          <w:color w:val="000000" w:themeColor="text1"/>
        </w:rPr>
        <w:t>timpului de parcurs</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 costurilor</w:t>
      </w:r>
      <w:r w:rsidRPr="00E0488D">
        <w:t xml:space="preserve"> </w:t>
      </w:r>
      <w:r w:rsidRPr="00E0488D">
        <w:rPr>
          <w:rStyle w:val="hps"/>
          <w:rFonts w:cs="Arial"/>
          <w:color w:val="000000" w:themeColor="text1"/>
        </w:rPr>
        <w:t>de manevrare</w:t>
      </w:r>
      <w:r w:rsidRPr="00E0488D">
        <w:t xml:space="preserve">, </w:t>
      </w:r>
      <w:r w:rsidRPr="00E0488D">
        <w:rPr>
          <w:rStyle w:val="hps"/>
          <w:rFonts w:cs="Arial"/>
          <w:color w:val="000000" w:themeColor="text1"/>
        </w:rPr>
        <w:t>precum și</w:t>
      </w:r>
      <w:r w:rsidRPr="00E0488D">
        <w:t xml:space="preserve"> </w:t>
      </w:r>
      <w:r w:rsidRPr="00E0488D">
        <w:rPr>
          <w:rStyle w:val="hps"/>
          <w:rFonts w:cs="Arial"/>
          <w:color w:val="000000" w:themeColor="text1"/>
        </w:rPr>
        <w:t>îmbunătățirile aduse</w:t>
      </w:r>
      <w:r w:rsidRPr="00E0488D">
        <w:t xml:space="preserve"> </w:t>
      </w:r>
      <w:r w:rsidRPr="00E0488D">
        <w:rPr>
          <w:rStyle w:val="hps"/>
          <w:rFonts w:cs="Arial"/>
          <w:color w:val="000000" w:themeColor="text1"/>
        </w:rPr>
        <w:t>procedurilor de trecere</w:t>
      </w:r>
      <w:r w:rsidRPr="00E0488D">
        <w:t xml:space="preserve"> </w:t>
      </w:r>
      <w:r w:rsidRPr="00E0488D">
        <w:rPr>
          <w:rStyle w:val="hps"/>
          <w:rFonts w:cs="Arial"/>
          <w:color w:val="000000" w:themeColor="text1"/>
        </w:rPr>
        <w:t>a frontierei</w:t>
      </w:r>
      <w:r w:rsidRPr="00E0488D">
        <w:t xml:space="preserve">, </w:t>
      </w:r>
      <w:r w:rsidRPr="00E0488D">
        <w:rPr>
          <w:rStyle w:val="hps"/>
          <w:rFonts w:cs="Arial"/>
          <w:color w:val="000000" w:themeColor="text1"/>
        </w:rPr>
        <w:t>viteza de</w:t>
      </w:r>
      <w:r w:rsidRPr="00E0488D">
        <w:t xml:space="preserve"> </w:t>
      </w:r>
      <w:r w:rsidRPr="00E0488D">
        <w:rPr>
          <w:rStyle w:val="hps"/>
          <w:rFonts w:cs="Arial"/>
          <w:color w:val="000000" w:themeColor="text1"/>
        </w:rPr>
        <w:t>linie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timpi de parcurs rentabili</w:t>
      </w:r>
      <w:r w:rsidRPr="00E0488D">
        <w:t xml:space="preserve">. </w:t>
      </w:r>
      <w:r w:rsidRPr="00E0488D">
        <w:rPr>
          <w:rStyle w:val="hps"/>
          <w:rFonts w:cs="Arial"/>
          <w:color w:val="000000" w:themeColor="text1"/>
        </w:rPr>
        <w:t>Utilizarea</w:t>
      </w:r>
      <w:r w:rsidRPr="00E0488D">
        <w:t xml:space="preserve"> </w:t>
      </w:r>
      <w:r w:rsidRPr="00E0488D">
        <w:rPr>
          <w:rStyle w:val="hps"/>
          <w:rFonts w:cs="Arial"/>
          <w:color w:val="000000" w:themeColor="text1"/>
        </w:rPr>
        <w:t>containerelor</w:t>
      </w:r>
      <w:r w:rsidRPr="00E0488D">
        <w:t xml:space="preserve"> </w:t>
      </w:r>
      <w:r w:rsidRPr="00E0488D">
        <w:rPr>
          <w:rStyle w:val="hps"/>
          <w:rFonts w:cs="Arial"/>
          <w:color w:val="000000" w:themeColor="text1"/>
        </w:rPr>
        <w:t>cu temperatură controlată</w:t>
      </w:r>
      <w:r w:rsidRPr="00E0488D">
        <w:t xml:space="preserve">, în </w:t>
      </w:r>
      <w:r w:rsidRPr="00E0488D">
        <w:rPr>
          <w:rStyle w:val="hps"/>
          <w:rFonts w:cs="Arial"/>
          <w:color w:val="000000" w:themeColor="text1"/>
        </w:rPr>
        <w:t>unele țări</w:t>
      </w:r>
      <w:r w:rsidRPr="00E0488D">
        <w:t xml:space="preserve"> </w:t>
      </w:r>
      <w:r w:rsidRPr="00E0488D">
        <w:rPr>
          <w:rStyle w:val="hps"/>
          <w:rFonts w:cs="Arial"/>
          <w:color w:val="000000" w:themeColor="text1"/>
        </w:rPr>
        <w:t>duce la</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volumului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produse alimentare</w:t>
      </w:r>
      <w:r w:rsidRPr="00E0488D">
        <w:t xml:space="preserve"> </w:t>
      </w:r>
      <w:r w:rsidRPr="00E0488D">
        <w:rPr>
          <w:rStyle w:val="hps"/>
          <w:rFonts w:cs="Arial"/>
          <w:color w:val="000000" w:themeColor="text1"/>
        </w:rPr>
        <w:t>transportate</w:t>
      </w:r>
      <w:r w:rsidRPr="00E0488D">
        <w:t xml:space="preserve"> </w:t>
      </w:r>
      <w:r w:rsidRPr="00E0488D">
        <w:rPr>
          <w:rStyle w:val="hps"/>
          <w:rFonts w:cs="Arial"/>
          <w:color w:val="000000" w:themeColor="text1"/>
        </w:rPr>
        <w:t>pe cale ferată, aspect care merită luat în considerare și pentru România</w:t>
      </w:r>
      <w:r w:rsidRPr="00E0488D">
        <w:t>, dar acest lucru ar necesita instalarea unor echipamente speciale în cadrul terminalelor.</w:t>
      </w:r>
    </w:p>
    <w:p w:rsidR="00BD59B2" w:rsidRPr="00E0488D" w:rsidRDefault="00BD59B2" w:rsidP="002B7E09">
      <w:pPr>
        <w:pStyle w:val="NumberedParas"/>
      </w:pPr>
      <w:r w:rsidRPr="00E0488D">
        <w:rPr>
          <w:rStyle w:val="hps"/>
          <w:rFonts w:cs="Arial"/>
          <w:i/>
          <w:color w:val="000000" w:themeColor="text1"/>
        </w:rPr>
        <w:t>Produse din metal</w:t>
      </w:r>
      <w:r w:rsidRPr="00E0488D">
        <w:t xml:space="preserve"> </w:t>
      </w:r>
      <w:r w:rsidRPr="00E0488D">
        <w:rPr>
          <w:rStyle w:val="hps"/>
          <w:rFonts w:cs="Arial"/>
          <w:color w:val="000000" w:themeColor="text1"/>
        </w:rPr>
        <w:t>(</w:t>
      </w:r>
      <w:r w:rsidRPr="00E0488D">
        <w:t xml:space="preserve">5): </w:t>
      </w:r>
      <w:r w:rsidRPr="00E0488D">
        <w:rPr>
          <w:rStyle w:val="hps"/>
          <w:rFonts w:cs="Arial"/>
          <w:color w:val="000000" w:themeColor="text1"/>
        </w:rPr>
        <w:t>Între</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Constanța transportul pe calea ferată</w:t>
      </w:r>
      <w:r w:rsidRPr="00E0488D">
        <w:t xml:space="preserve"> </w:t>
      </w:r>
      <w:r w:rsidRPr="00E0488D">
        <w:rPr>
          <w:rStyle w:val="hps"/>
          <w:rFonts w:cs="Arial"/>
          <w:color w:val="000000" w:themeColor="text1"/>
        </w:rPr>
        <w:t>a obținut</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poziție dominantă</w:t>
      </w:r>
      <w:r w:rsidRPr="00E0488D">
        <w:t xml:space="preserve"> </w:t>
      </w:r>
      <w:r w:rsidRPr="00E0488D">
        <w:rPr>
          <w:rStyle w:val="hps"/>
          <w:rFonts w:cs="Arial"/>
          <w:color w:val="000000" w:themeColor="text1"/>
        </w:rPr>
        <w:t>în ceea ce privește cota modală</w:t>
      </w:r>
      <w:r w:rsidRPr="00E0488D">
        <w:t xml:space="preserve">, </w:t>
      </w:r>
      <w:r w:rsidRPr="00E0488D">
        <w:rPr>
          <w:rStyle w:val="hps"/>
          <w:rFonts w:cs="Arial"/>
          <w:color w:val="000000" w:themeColor="text1"/>
        </w:rPr>
        <w:t>care continuă</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afectat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proximitatea</w:t>
      </w:r>
      <w:r w:rsidRPr="00E0488D">
        <w:t xml:space="preserve"> </w:t>
      </w:r>
      <w:r w:rsidRPr="00E0488D">
        <w:rPr>
          <w:rStyle w:val="hps"/>
          <w:rFonts w:cs="Arial"/>
          <w:color w:val="000000" w:themeColor="text1"/>
        </w:rPr>
        <w:t>coridorului</w:t>
      </w:r>
      <w:r w:rsidRPr="00E0488D">
        <w:t xml:space="preserve"> </w:t>
      </w:r>
      <w:r w:rsidRPr="00E0488D">
        <w:rPr>
          <w:rStyle w:val="hps"/>
          <w:rFonts w:cs="Arial"/>
          <w:color w:val="000000" w:themeColor="text1"/>
        </w:rPr>
        <w:t>feroviar de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Dunăre</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îmbunătățirile</w:t>
      </w:r>
      <w:r w:rsidRPr="00E0488D">
        <w:t xml:space="preserve"> </w:t>
      </w:r>
      <w:r w:rsidRPr="00E0488D">
        <w:rPr>
          <w:rStyle w:val="hps"/>
          <w:rFonts w:cs="Arial"/>
          <w:color w:val="000000" w:themeColor="text1"/>
        </w:rPr>
        <w:t>aduse</w:t>
      </w:r>
      <w:r w:rsidRPr="00E0488D">
        <w:t xml:space="preserve"> </w:t>
      </w:r>
      <w:r w:rsidRPr="00E0488D">
        <w:rPr>
          <w:rStyle w:val="hps"/>
          <w:rFonts w:cs="Arial"/>
          <w:color w:val="000000" w:themeColor="text1"/>
        </w:rPr>
        <w:t>terminalelor intermodale</w:t>
      </w:r>
      <w:r w:rsidRPr="00E0488D">
        <w:t xml:space="preserve"> </w:t>
      </w:r>
      <w:r w:rsidRPr="00E0488D">
        <w:rPr>
          <w:rStyle w:val="hps"/>
          <w:rFonts w:cs="Arial"/>
          <w:color w:val="000000" w:themeColor="text1"/>
        </w:rPr>
        <w:t>aici</w:t>
      </w:r>
      <w:r w:rsidRPr="00E0488D">
        <w:t xml:space="preserve"> </w:t>
      </w:r>
      <w:r w:rsidRPr="00E0488D">
        <w:rPr>
          <w:rStyle w:val="hps"/>
          <w:rFonts w:cs="Arial"/>
          <w:color w:val="000000" w:themeColor="text1"/>
        </w:rPr>
        <w:t>vor</w:t>
      </w:r>
      <w:r w:rsidRPr="00E0488D">
        <w:t xml:space="preserve"> </w:t>
      </w:r>
      <w:r w:rsidRPr="00E0488D">
        <w:rPr>
          <w:rStyle w:val="hps"/>
          <w:rFonts w:cs="Arial"/>
          <w:color w:val="000000" w:themeColor="text1"/>
        </w:rPr>
        <w:t>atrage</w:t>
      </w:r>
      <w:r w:rsidRPr="00E0488D">
        <w:t xml:space="preserve"> </w:t>
      </w:r>
      <w:r w:rsidRPr="00E0488D">
        <w:rPr>
          <w:rStyle w:val="hps"/>
          <w:rFonts w:cs="Arial"/>
          <w:color w:val="000000" w:themeColor="text1"/>
        </w:rPr>
        <w:t>mai mult</w:t>
      </w:r>
      <w:r w:rsidRPr="00E0488D">
        <w:t xml:space="preserve"> </w:t>
      </w:r>
      <w:r w:rsidRPr="00E0488D">
        <w:rPr>
          <w:rStyle w:val="hps"/>
          <w:rFonts w:cs="Arial"/>
          <w:color w:val="000000" w:themeColor="text1"/>
        </w:rPr>
        <w:t>trafic</w:t>
      </w:r>
      <w:r w:rsidRPr="00E0488D">
        <w:t xml:space="preserve"> </w:t>
      </w:r>
      <w:r w:rsidRPr="00E0488D">
        <w:rPr>
          <w:rStyle w:val="hps"/>
          <w:rFonts w:cs="Arial"/>
          <w:color w:val="000000" w:themeColor="text1"/>
        </w:rPr>
        <w:t>departe de</w:t>
      </w:r>
      <w:r w:rsidRPr="00E0488D">
        <w:t xml:space="preserve"> </w:t>
      </w:r>
      <w:r w:rsidRPr="00E0488D">
        <w:rPr>
          <w:rStyle w:val="hps"/>
          <w:rFonts w:cs="Arial"/>
          <w:color w:val="000000" w:themeColor="text1"/>
        </w:rPr>
        <w:t>fluviu</w:t>
      </w:r>
      <w:r w:rsidRPr="00E0488D">
        <w:t xml:space="preserve">, datorită </w:t>
      </w:r>
      <w:r w:rsidRPr="00E0488D">
        <w:rPr>
          <w:rStyle w:val="hps"/>
          <w:rFonts w:cs="Arial"/>
          <w:color w:val="000000" w:themeColor="text1"/>
        </w:rPr>
        <w:t>sensibilității</w:t>
      </w:r>
      <w:r w:rsidRPr="00E0488D">
        <w:t xml:space="preserve"> </w:t>
      </w:r>
      <w:r w:rsidRPr="00E0488D">
        <w:rPr>
          <w:rStyle w:val="hps"/>
          <w:rFonts w:cs="Arial"/>
          <w:color w:val="000000" w:themeColor="text1"/>
        </w:rPr>
        <w:t>sale</w:t>
      </w:r>
      <w:r w:rsidRPr="00E0488D">
        <w:t xml:space="preserve"> de </w:t>
      </w:r>
      <w:r w:rsidRPr="00E0488D">
        <w:rPr>
          <w:rStyle w:val="hps"/>
          <w:rFonts w:cs="Arial"/>
          <w:color w:val="000000" w:themeColor="text1"/>
        </w:rPr>
        <w:t>timp</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nu este loc</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o creștere</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Galați</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Pitești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Craiova</w:t>
      </w:r>
      <w:r w:rsidRPr="00E0488D">
        <w:t xml:space="preserve">, </w:t>
      </w:r>
      <w:r w:rsidRPr="00E0488D">
        <w:rPr>
          <w:rStyle w:val="hps"/>
          <w:rFonts w:cs="Arial"/>
          <w:color w:val="000000" w:themeColor="text1"/>
        </w:rPr>
        <w:t>unde</w:t>
      </w:r>
      <w:r w:rsidRPr="00E0488D">
        <w:t xml:space="preserve"> </w:t>
      </w:r>
      <w:r w:rsidRPr="00E0488D">
        <w:rPr>
          <w:rStyle w:val="hps"/>
          <w:rFonts w:cs="Arial"/>
          <w:color w:val="000000" w:themeColor="text1"/>
        </w:rPr>
        <w:t>cota</w:t>
      </w:r>
      <w:r w:rsidRPr="00E0488D">
        <w:t xml:space="preserve"> modală </w:t>
      </w:r>
      <w:r w:rsidRPr="00E0488D">
        <w:rPr>
          <w:rStyle w:val="hps"/>
          <w:rFonts w:cs="Arial"/>
          <w:color w:val="000000" w:themeColor="text1"/>
        </w:rPr>
        <w:t>feroviar</w:t>
      </w:r>
      <w:r w:rsidRPr="00E0488D">
        <w:t xml:space="preserve">ă </w:t>
      </w:r>
      <w:r w:rsidRPr="00E0488D">
        <w:rPr>
          <w:rStyle w:val="hps"/>
          <w:rFonts w:cs="Arial"/>
          <w:color w:val="000000" w:themeColor="text1"/>
        </w:rPr>
        <w:t>potențială</w:t>
      </w:r>
      <w:r w:rsidRPr="00E0488D">
        <w:t xml:space="preserve"> </w:t>
      </w:r>
      <w:r w:rsidRPr="00E0488D">
        <w:rPr>
          <w:rStyle w:val="hps"/>
          <w:rFonts w:cs="Arial"/>
          <w:color w:val="000000" w:themeColor="text1"/>
        </w:rPr>
        <w:t xml:space="preserve">(de </w:t>
      </w:r>
      <w:r w:rsidRPr="00E0488D">
        <w:t xml:space="preserve">potențiale </w:t>
      </w:r>
      <w:r w:rsidRPr="00E0488D">
        <w:rPr>
          <w:rStyle w:val="hps"/>
          <w:rFonts w:cs="Arial"/>
          <w:color w:val="000000" w:themeColor="text1"/>
        </w:rPr>
        <w:t>produse din metal</w:t>
      </w:r>
      <w:r w:rsidRPr="00E0488D">
        <w:t xml:space="preserve"> </w:t>
      </w:r>
      <w:r w:rsidRPr="00E0488D">
        <w:rPr>
          <w:rStyle w:val="hps"/>
          <w:rFonts w:cs="Arial"/>
          <w:color w:val="000000" w:themeColor="text1"/>
        </w:rPr>
        <w:t>containerizate</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scăzută</w:t>
      </w:r>
      <w:r w:rsidRPr="00E0488D">
        <w:t xml:space="preserve">. </w:t>
      </w:r>
      <w:r w:rsidRPr="00E0488D">
        <w:rPr>
          <w:rStyle w:val="hps"/>
          <w:rFonts w:cs="Arial"/>
          <w:color w:val="000000" w:themeColor="text1"/>
        </w:rPr>
        <w:t>Produsele din metal</w:t>
      </w:r>
      <w:r w:rsidRPr="00E0488D">
        <w:t xml:space="preserve"> </w:t>
      </w:r>
      <w:r w:rsidRPr="00E0488D">
        <w:rPr>
          <w:rStyle w:val="hps"/>
          <w:rFonts w:cs="Arial"/>
          <w:color w:val="000000" w:themeColor="text1"/>
        </w:rPr>
        <w:t>sunt o componentă cheie</w:t>
      </w:r>
      <w:r w:rsidRPr="00E0488D">
        <w:t xml:space="preserve"> </w:t>
      </w:r>
      <w:r w:rsidRPr="00E0488D">
        <w:rPr>
          <w:rStyle w:val="hps"/>
          <w:rFonts w:cs="Arial"/>
          <w:color w:val="000000" w:themeColor="text1"/>
        </w:rPr>
        <w:t>a industriei</w:t>
      </w:r>
      <w:r w:rsidRPr="00E0488D">
        <w:t xml:space="preserve"> </w:t>
      </w:r>
      <w:r w:rsidRPr="00E0488D">
        <w:rPr>
          <w:rStyle w:val="hps"/>
          <w:rFonts w:cs="Arial"/>
          <w:color w:val="000000" w:themeColor="text1"/>
        </w:rPr>
        <w:t>de automobile</w:t>
      </w:r>
      <w:r w:rsidRPr="00E0488D">
        <w:t>, iar</w:t>
      </w:r>
      <w:r w:rsidRPr="00E0488D">
        <w:rPr>
          <w:rStyle w:val="hps"/>
          <w:rFonts w:cs="Arial"/>
          <w:color w:val="000000" w:themeColor="text1"/>
        </w:rPr>
        <w:t xml:space="preserve"> fluxurile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producție</w:t>
      </w:r>
      <w:r w:rsidRPr="00E0488D">
        <w:t xml:space="preserve"> </w:t>
      </w:r>
      <w:r w:rsidRPr="00E0488D">
        <w:rPr>
          <w:rStyle w:val="hps"/>
          <w:rFonts w:cs="Arial"/>
          <w:color w:val="000000" w:themeColor="text1"/>
        </w:rPr>
        <w:t>auto</w:t>
      </w:r>
      <w:r w:rsidRPr="00E0488D">
        <w:t xml:space="preserve"> </w:t>
      </w:r>
      <w:r w:rsidRPr="00E0488D">
        <w:rPr>
          <w:rStyle w:val="hps"/>
          <w:rFonts w:cs="Arial"/>
          <w:color w:val="000000" w:themeColor="text1"/>
        </w:rPr>
        <w:t>sunt importante</w:t>
      </w:r>
      <w:r w:rsidRPr="00E0488D">
        <w:t>. Sunt de asemenea posibile î</w:t>
      </w:r>
      <w:r w:rsidRPr="00E0488D">
        <w:rPr>
          <w:rStyle w:val="hps"/>
          <w:rFonts w:cs="Arial"/>
          <w:color w:val="000000" w:themeColor="text1"/>
        </w:rPr>
        <w:t>mbunătățiri</w:t>
      </w:r>
      <w:r w:rsidRPr="00E0488D">
        <w:t xml:space="preserve"> la </w:t>
      </w:r>
      <w:r w:rsidRPr="00E0488D">
        <w:rPr>
          <w:rStyle w:val="hps"/>
          <w:rFonts w:cs="Arial"/>
          <w:color w:val="000000" w:themeColor="text1"/>
        </w:rPr>
        <w:t>capătul vestic al</w:t>
      </w:r>
      <w:r w:rsidRPr="00E0488D">
        <w:t xml:space="preserve"> </w:t>
      </w:r>
      <w:r w:rsidRPr="00E0488D">
        <w:rPr>
          <w:rStyle w:val="hps"/>
          <w:rFonts w:cs="Arial"/>
          <w:color w:val="000000" w:themeColor="text1"/>
        </w:rPr>
        <w:t>Coridorului IV</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Arad</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Caransebeș</w:t>
      </w:r>
      <w:r w:rsidRPr="00E0488D">
        <w:t xml:space="preserve"> </w:t>
      </w:r>
      <w:r w:rsidRPr="00E0488D">
        <w:rPr>
          <w:rStyle w:val="hps"/>
          <w:rFonts w:cs="Arial"/>
          <w:color w:val="000000" w:themeColor="text1"/>
        </w:rPr>
        <w:t>(</w:t>
      </w:r>
      <w:r w:rsidRPr="00E0488D">
        <w:t xml:space="preserve">prin </w:t>
      </w:r>
      <w:r w:rsidRPr="00E0488D">
        <w:rPr>
          <w:rStyle w:val="hps"/>
          <w:rFonts w:cs="Arial"/>
          <w:color w:val="000000" w:themeColor="text1"/>
        </w:rPr>
        <w:t>Timisoara</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propus</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Timișoara</w:t>
      </w:r>
      <w:r w:rsidRPr="00E0488D">
        <w:t xml:space="preserve">, </w:t>
      </w:r>
      <w:r w:rsidRPr="00E0488D">
        <w:rPr>
          <w:rStyle w:val="hps"/>
          <w:rFonts w:cs="Arial"/>
          <w:color w:val="000000" w:themeColor="text1"/>
        </w:rPr>
        <w:t>împreună</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îmbunătățirile</w:t>
      </w:r>
      <w:r w:rsidRPr="00E0488D">
        <w:t xml:space="preserve"> </w:t>
      </w:r>
      <w:r w:rsidRPr="00E0488D">
        <w:rPr>
          <w:rStyle w:val="hps"/>
          <w:rFonts w:cs="Arial"/>
          <w:color w:val="000000" w:themeColor="text1"/>
        </w:rPr>
        <w:t>la viteza pe linie</w:t>
      </w:r>
      <w:r w:rsidRPr="00E0488D">
        <w:t xml:space="preserve">, </w:t>
      </w:r>
      <w:r w:rsidRPr="00E0488D">
        <w:rPr>
          <w:rStyle w:val="hps"/>
          <w:rFonts w:cs="Arial"/>
          <w:color w:val="000000" w:themeColor="text1"/>
        </w:rPr>
        <w:t>fiabilitate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costurile</w:t>
      </w:r>
      <w:r w:rsidRPr="00E0488D">
        <w:t xml:space="preserve"> </w:t>
      </w:r>
      <w:r w:rsidRPr="00E0488D">
        <w:rPr>
          <w:rStyle w:val="hps"/>
          <w:rFonts w:cs="Arial"/>
          <w:color w:val="000000" w:themeColor="text1"/>
        </w:rPr>
        <w:t>de manevrare</w:t>
      </w:r>
      <w:r w:rsidRPr="00E0488D">
        <w:t xml:space="preserve"> </w:t>
      </w:r>
      <w:r w:rsidRPr="00E0488D">
        <w:rPr>
          <w:rStyle w:val="hps"/>
          <w:rFonts w:cs="Arial"/>
          <w:color w:val="000000" w:themeColor="text1"/>
        </w:rPr>
        <w:t>reduse</w:t>
      </w:r>
      <w:r w:rsidRPr="00E0488D">
        <w:t xml:space="preserve"> </w:t>
      </w:r>
      <w:r w:rsidRPr="00E0488D">
        <w:rPr>
          <w:rStyle w:val="hps"/>
          <w:rFonts w:cs="Arial"/>
          <w:color w:val="000000" w:themeColor="text1"/>
        </w:rPr>
        <w:t>vor</w:t>
      </w:r>
      <w:r w:rsidRPr="00E0488D">
        <w:t xml:space="preserve"> </w:t>
      </w:r>
      <w:r w:rsidRPr="00E0488D">
        <w:rPr>
          <w:rStyle w:val="hps"/>
          <w:rFonts w:cs="Arial"/>
          <w:color w:val="000000" w:themeColor="text1"/>
        </w:rPr>
        <w:t>crește</w:t>
      </w:r>
      <w:r w:rsidRPr="00E0488D">
        <w:t xml:space="preserve"> </w:t>
      </w:r>
      <w:r w:rsidRPr="00E0488D">
        <w:rPr>
          <w:rStyle w:val="hps"/>
          <w:rFonts w:cs="Arial"/>
          <w:color w:val="000000" w:themeColor="text1"/>
        </w:rPr>
        <w:t>potențialul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schimbare</w:t>
      </w:r>
      <w:r w:rsidRPr="00E0488D">
        <w:t xml:space="preserve"> </w:t>
      </w:r>
      <w:r w:rsidRPr="00E0488D">
        <w:rPr>
          <w:rStyle w:val="hps"/>
          <w:rFonts w:cs="Arial"/>
          <w:color w:val="000000" w:themeColor="text1"/>
        </w:rPr>
        <w:t>de la</w:t>
      </w:r>
      <w:r w:rsidRPr="00E0488D">
        <w:t xml:space="preserve"> transportul rutier la cel </w:t>
      </w:r>
      <w:r w:rsidRPr="00E0488D">
        <w:rPr>
          <w:rStyle w:val="hps"/>
          <w:rFonts w:cs="Arial"/>
          <w:color w:val="000000" w:themeColor="text1"/>
        </w:rPr>
        <w:t>feroviar</w:t>
      </w:r>
      <w:r w:rsidRPr="00E0488D">
        <w:t>. Fluxurile p</w:t>
      </w:r>
      <w:r w:rsidRPr="00E0488D">
        <w:rPr>
          <w:rStyle w:val="hps"/>
          <w:rFonts w:cs="Arial"/>
          <w:color w:val="000000" w:themeColor="text1"/>
        </w:rPr>
        <w:t>otențiale</w:t>
      </w:r>
      <w:r w:rsidRPr="00E0488D">
        <w:t xml:space="preserve"> </w:t>
      </w:r>
      <w:r w:rsidRPr="00E0488D">
        <w:rPr>
          <w:rStyle w:val="hps"/>
          <w:rFonts w:cs="Arial"/>
          <w:color w:val="000000" w:themeColor="text1"/>
        </w:rPr>
        <w:t>sunt prezentate în Figura 8.</w:t>
      </w:r>
      <w:r w:rsidRPr="00E0488D">
        <w:t xml:space="preserve">11 </w:t>
      </w:r>
      <w:r w:rsidRPr="00E0488D">
        <w:rPr>
          <w:rStyle w:val="hps"/>
          <w:rFonts w:cs="Arial"/>
          <w:color w:val="000000" w:themeColor="text1"/>
        </w:rPr>
        <w:t>de mai jos</w:t>
      </w:r>
      <w:r w:rsidRPr="00E0488D">
        <w:t>:</w:t>
      </w:r>
    </w:p>
    <w:p w:rsidR="00BD59B2" w:rsidRPr="00E0488D" w:rsidRDefault="00BD59B2" w:rsidP="00BD59B2">
      <w:pPr>
        <w:ind w:left="567"/>
        <w:rPr>
          <w:lang w:val="ro-RO"/>
        </w:rPr>
      </w:pPr>
      <w:r w:rsidRPr="00E0488D">
        <w:rPr>
          <w:noProof/>
          <w:lang w:val="ro-RO" w:eastAsia="ro-RO"/>
        </w:rPr>
        <w:drawing>
          <wp:inline distT="0" distB="0" distL="0" distR="0">
            <wp:extent cx="5358670" cy="5745707"/>
            <wp:effectExtent l="19050" t="0" r="0" b="0"/>
            <wp:docPr id="90" name="Picture 5" descr="F:\TMARKET\Freight\Projects\Romania Masterplan\Maps\Metals Flows (Rail 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MARKET\Freight\Projects\Romania Masterplan\Maps\Metals Flows (Rail Potential).png"/>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5358670" cy="5745707"/>
                    </a:xfrm>
                    <a:prstGeom prst="rect">
                      <a:avLst/>
                    </a:prstGeom>
                    <a:noFill/>
                    <a:ln w="9525">
                      <a:noFill/>
                      <a:miter lim="800000"/>
                      <a:headEnd/>
                      <a:tailEnd/>
                    </a:ln>
                  </pic:spPr>
                </pic:pic>
              </a:graphicData>
            </a:graphic>
          </wp:inline>
        </w:drawing>
      </w:r>
    </w:p>
    <w:p w:rsidR="00BD59B2" w:rsidRPr="00E0488D" w:rsidRDefault="00BD59B2" w:rsidP="00BD59B2">
      <w:pPr>
        <w:pStyle w:val="Body"/>
        <w:ind w:left="851"/>
        <w:rPr>
          <w:b/>
          <w:i w:val="0"/>
          <w:lang w:val="ro-RO"/>
        </w:rPr>
      </w:pPr>
      <w:r w:rsidRPr="00E0488D">
        <w:rPr>
          <w:b/>
          <w:i w:val="0"/>
          <w:lang w:val="ro-RO"/>
        </w:rPr>
        <w:t xml:space="preserve">Figura 8.11: Fluxurile potențiale de produse metalice containerizate și cota modală feroviară. </w:t>
      </w:r>
    </w:p>
    <w:p w:rsidR="00BD59B2" w:rsidRPr="00E0488D" w:rsidRDefault="00BD59B2" w:rsidP="002B7E09">
      <w:pPr>
        <w:pStyle w:val="NumberedParas"/>
      </w:pPr>
      <w:r w:rsidRPr="00E0488D">
        <w:rPr>
          <w:rStyle w:val="hps"/>
          <w:rFonts w:cs="Arial"/>
          <w:i/>
          <w:color w:val="000000" w:themeColor="text1"/>
        </w:rPr>
        <w:t>Fertilizatori</w:t>
      </w:r>
      <w:r w:rsidRPr="00E0488D">
        <w:t xml:space="preserve"> </w:t>
      </w:r>
      <w:r w:rsidRPr="00E0488D">
        <w:rPr>
          <w:rStyle w:val="hps"/>
          <w:rFonts w:cs="Arial"/>
          <w:color w:val="000000" w:themeColor="text1"/>
        </w:rPr>
        <w:t>(</w:t>
      </w:r>
      <w:r w:rsidRPr="00E0488D">
        <w:t xml:space="preserve">7): </w:t>
      </w:r>
      <w:r w:rsidRPr="00E0488D">
        <w:rPr>
          <w:rStyle w:val="hps"/>
          <w:rFonts w:cs="Arial"/>
          <w:color w:val="000000" w:themeColor="text1"/>
        </w:rPr>
        <w:t>Există nouă</w:t>
      </w:r>
      <w:r w:rsidRPr="00E0488D">
        <w:t xml:space="preserve"> </w:t>
      </w:r>
      <w:r w:rsidRPr="00E0488D">
        <w:rPr>
          <w:rStyle w:val="hps"/>
          <w:rFonts w:cs="Arial"/>
          <w:color w:val="000000" w:themeColor="text1"/>
        </w:rPr>
        <w:t>fabrici de producție</w:t>
      </w:r>
      <w:r w:rsidRPr="00E0488D">
        <w:t xml:space="preserve"> </w:t>
      </w:r>
      <w:r w:rsidRPr="00E0488D">
        <w:rPr>
          <w:rStyle w:val="hps"/>
          <w:rFonts w:cs="Arial"/>
          <w:color w:val="000000" w:themeColor="text1"/>
        </w:rPr>
        <w:t>de îngrășăminte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iar țara importă dar </w:t>
      </w:r>
      <w:r w:rsidRPr="00E0488D">
        <w:rPr>
          <w:rStyle w:val="hps"/>
          <w:rFonts w:cs="Arial"/>
          <w:color w:val="000000" w:themeColor="text1"/>
        </w:rPr>
        <w:t>și</w:t>
      </w:r>
      <w:r w:rsidRPr="00E0488D">
        <w:t xml:space="preserve"> exportă acest tip de marfă. </w:t>
      </w:r>
      <w:r w:rsidRPr="00E0488D">
        <w:rPr>
          <w:rStyle w:val="hps"/>
          <w:rFonts w:cs="Arial"/>
          <w:color w:val="000000" w:themeColor="text1"/>
        </w:rPr>
        <w:t>Sectorul</w:t>
      </w:r>
      <w:r w:rsidRPr="00E0488D">
        <w:t xml:space="preserve"> </w:t>
      </w:r>
      <w:r w:rsidRPr="00E0488D">
        <w:rPr>
          <w:rStyle w:val="hps"/>
          <w:rFonts w:cs="Arial"/>
          <w:color w:val="000000" w:themeColor="text1"/>
        </w:rPr>
        <w:t>s-a extins</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conformitate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o creștere pozitivă</w:t>
      </w:r>
      <w:r w:rsidRPr="00E0488D">
        <w:t xml:space="preserve"> </w:t>
      </w:r>
      <w:r w:rsidRPr="00E0488D">
        <w:rPr>
          <w:rStyle w:val="hps"/>
          <w:rFonts w:cs="Arial"/>
          <w:color w:val="000000" w:themeColor="text1"/>
        </w:rPr>
        <w:t>a producției</w:t>
      </w:r>
      <w:r w:rsidRPr="00E0488D">
        <w:t xml:space="preserve"> </w:t>
      </w:r>
      <w:r w:rsidRPr="00E0488D">
        <w:rPr>
          <w:rStyle w:val="hps"/>
          <w:rFonts w:cs="Arial"/>
          <w:color w:val="000000" w:themeColor="text1"/>
        </w:rPr>
        <w:t>de cereale</w:t>
      </w:r>
      <w:r w:rsidRPr="00E0488D">
        <w:t xml:space="preserve">. </w:t>
      </w:r>
      <w:r w:rsidRPr="00E0488D">
        <w:rPr>
          <w:rStyle w:val="hps"/>
          <w:rFonts w:cs="Arial"/>
          <w:color w:val="000000" w:themeColor="text1"/>
        </w:rPr>
        <w:t>Un flux</w:t>
      </w:r>
      <w:r w:rsidRPr="00E0488D">
        <w:t xml:space="preserve"> </w:t>
      </w:r>
      <w:r w:rsidRPr="00E0488D">
        <w:rPr>
          <w:rStyle w:val="hps"/>
          <w:rFonts w:cs="Arial"/>
          <w:color w:val="000000" w:themeColor="text1"/>
        </w:rPr>
        <w:t>cheie</w:t>
      </w:r>
      <w:r w:rsidRPr="00E0488D">
        <w:t xml:space="preserve"> </w:t>
      </w:r>
      <w:r w:rsidRPr="00E0488D">
        <w:rPr>
          <w:rStyle w:val="hps"/>
          <w:rFonts w:cs="Arial"/>
          <w:color w:val="000000" w:themeColor="text1"/>
        </w:rPr>
        <w:t>(</w:t>
      </w:r>
      <w:r w:rsidRPr="00E0488D">
        <w:t>posibil</w:t>
      </w:r>
      <w:r w:rsidRPr="00E0488D">
        <w:rPr>
          <w:rStyle w:val="hps"/>
          <w:rFonts w:cs="Arial"/>
          <w:color w:val="000000" w:themeColor="text1"/>
        </w:rPr>
        <w:t xml:space="preserve"> containerizat</w:t>
      </w:r>
      <w:r w:rsidRPr="00E0488D">
        <w:t xml:space="preserve">) </w:t>
      </w:r>
      <w:r w:rsidRPr="00E0488D">
        <w:rPr>
          <w:rStyle w:val="hps"/>
          <w:rFonts w:cs="Arial"/>
          <w:color w:val="000000" w:themeColor="text1"/>
        </w:rPr>
        <w:t>în ceea ce privește</w:t>
      </w:r>
      <w:r w:rsidRPr="00E0488D">
        <w:t xml:space="preserve">  transportul de </w:t>
      </w:r>
      <w:r w:rsidRPr="00E0488D">
        <w:rPr>
          <w:rStyle w:val="hps"/>
          <w:rFonts w:cs="Arial"/>
          <w:color w:val="000000" w:themeColor="text1"/>
        </w:rPr>
        <w:t>îngrășământ</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cel</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uzina mare</w:t>
      </w:r>
      <w:r w:rsidRPr="00E0488D">
        <w:t xml:space="preserve"> de </w:t>
      </w:r>
      <w:r w:rsidRPr="00E0488D">
        <w:rPr>
          <w:rStyle w:val="hps"/>
          <w:rFonts w:cs="Arial"/>
          <w:color w:val="000000" w:themeColor="text1"/>
        </w:rPr>
        <w:t>lângă</w:t>
      </w:r>
      <w:r w:rsidRPr="00E0488D">
        <w:t xml:space="preserve"> </w:t>
      </w:r>
      <w:r w:rsidRPr="00E0488D">
        <w:rPr>
          <w:rStyle w:val="hps"/>
          <w:rFonts w:cs="Arial"/>
          <w:color w:val="000000" w:themeColor="text1"/>
        </w:rPr>
        <w:t>Târgu Mureș</w:t>
      </w:r>
      <w:r w:rsidRPr="00E0488D">
        <w:t xml:space="preserve"> </w:t>
      </w:r>
      <w:r w:rsidRPr="00E0488D">
        <w:rPr>
          <w:rStyle w:val="hps"/>
          <w:rFonts w:cs="Arial"/>
          <w:color w:val="000000" w:themeColor="text1"/>
        </w:rPr>
        <w:t>până la</w:t>
      </w:r>
      <w:r w:rsidRPr="00E0488D">
        <w:t xml:space="preserve"> </w:t>
      </w:r>
      <w:r w:rsidRPr="00E0488D">
        <w:rPr>
          <w:rStyle w:val="hps"/>
          <w:rFonts w:cs="Arial"/>
          <w:color w:val="000000" w:themeColor="text1"/>
        </w:rPr>
        <w:t>portul Constanța,</w:t>
      </w:r>
      <w:r w:rsidRPr="00E0488D">
        <w:t xml:space="preserve"> </w:t>
      </w:r>
      <w:r w:rsidRPr="00E0488D">
        <w:rPr>
          <w:rStyle w:val="hps"/>
          <w:rFonts w:cs="Arial"/>
          <w:color w:val="000000" w:themeColor="text1"/>
        </w:rPr>
        <w:t>de-a lungul</w:t>
      </w:r>
      <w:r w:rsidRPr="00E0488D">
        <w:t xml:space="preserve"> </w:t>
      </w:r>
      <w:r w:rsidRPr="00E0488D">
        <w:rPr>
          <w:rStyle w:val="hps"/>
          <w:rFonts w:cs="Arial"/>
          <w:color w:val="000000" w:themeColor="text1"/>
        </w:rPr>
        <w:t>Coridorului</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Uzina</w:t>
      </w:r>
      <w:r w:rsidRPr="00E0488D">
        <w:t xml:space="preserve"> </w:t>
      </w:r>
      <w:r w:rsidRPr="00E0488D">
        <w:rPr>
          <w:rStyle w:val="hps"/>
          <w:rFonts w:cs="Arial"/>
          <w:color w:val="000000" w:themeColor="text1"/>
        </w:rPr>
        <w:t>produce</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aproximativ 900 de</w:t>
      </w:r>
      <w:r w:rsidRPr="00E0488D">
        <w:t xml:space="preserve"> </w:t>
      </w:r>
      <w:r w:rsidRPr="00E0488D">
        <w:rPr>
          <w:rStyle w:val="hps"/>
          <w:rFonts w:cs="Arial"/>
          <w:color w:val="000000" w:themeColor="text1"/>
        </w:rPr>
        <w:t>tone pe</w:t>
      </w:r>
      <w:r w:rsidRPr="00E0488D">
        <w:t xml:space="preserve"> </w:t>
      </w:r>
      <w:r w:rsidRPr="00E0488D">
        <w:rPr>
          <w:rStyle w:val="hps"/>
          <w:rFonts w:cs="Arial"/>
          <w:color w:val="000000" w:themeColor="text1"/>
        </w:rPr>
        <w:t>zi</w:t>
      </w:r>
      <w:r w:rsidRPr="00E0488D">
        <w:t>, iar</w:t>
      </w:r>
      <w:r w:rsidRPr="00E0488D">
        <w:rPr>
          <w:rStyle w:val="hps"/>
          <w:rFonts w:cs="Arial"/>
          <w:color w:val="000000" w:themeColor="text1"/>
        </w:rPr>
        <w:t xml:space="preserve"> investițiile din viitor</w:t>
      </w:r>
      <w:r w:rsidRPr="00E0488D">
        <w:t xml:space="preserve"> </w:t>
      </w:r>
      <w:r w:rsidRPr="00E0488D">
        <w:rPr>
          <w:rStyle w:val="hps"/>
          <w:rFonts w:cs="Arial"/>
          <w:color w:val="000000" w:themeColor="text1"/>
        </w:rPr>
        <w:t>se estimează că vor duce la</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acestui flux</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peste 1.400 de</w:t>
      </w:r>
      <w:r w:rsidRPr="00E0488D">
        <w:t xml:space="preserve"> </w:t>
      </w:r>
      <w:r w:rsidRPr="00E0488D">
        <w:rPr>
          <w:rStyle w:val="hps"/>
          <w:rFonts w:cs="Arial"/>
          <w:color w:val="000000" w:themeColor="text1"/>
        </w:rPr>
        <w:t>tone pe</w:t>
      </w:r>
      <w:r w:rsidRPr="00E0488D">
        <w:t xml:space="preserve"> </w:t>
      </w:r>
      <w:r w:rsidRPr="00E0488D">
        <w:rPr>
          <w:rStyle w:val="hps"/>
          <w:rFonts w:cs="Arial"/>
          <w:color w:val="000000" w:themeColor="text1"/>
        </w:rPr>
        <w:t>zi</w:t>
      </w:r>
      <w:r w:rsidRPr="00E0488D">
        <w:t xml:space="preserve"> </w:t>
      </w:r>
      <w:r w:rsidRPr="00E0488D">
        <w:rPr>
          <w:rStyle w:val="hps"/>
          <w:rFonts w:cs="Arial"/>
          <w:color w:val="000000" w:themeColor="text1"/>
        </w:rPr>
        <w:t>până în 2015. Transportul</w:t>
      </w:r>
      <w:r w:rsidRPr="00E0488D">
        <w:t xml:space="preserve"> </w:t>
      </w:r>
      <w:r w:rsidRPr="00E0488D">
        <w:rPr>
          <w:rStyle w:val="hps"/>
          <w:rFonts w:cs="Arial"/>
          <w:color w:val="000000" w:themeColor="text1"/>
        </w:rPr>
        <w:t>feroviar</w:t>
      </w:r>
      <w:r w:rsidRPr="00E0488D">
        <w:t xml:space="preserve"> </w:t>
      </w:r>
      <w:r w:rsidRPr="00E0488D">
        <w:rPr>
          <w:rStyle w:val="hps"/>
          <w:rFonts w:cs="Arial"/>
          <w:color w:val="000000" w:themeColor="text1"/>
        </w:rPr>
        <w:t>deține o</w:t>
      </w:r>
      <w:r w:rsidRPr="00E0488D">
        <w:t xml:space="preserve"> </w:t>
      </w:r>
      <w:r w:rsidRPr="00E0488D">
        <w:rPr>
          <w:rStyle w:val="hps"/>
          <w:rFonts w:cs="Arial"/>
          <w:color w:val="000000" w:themeColor="text1"/>
        </w:rPr>
        <w:t>mare parte din</w:t>
      </w:r>
      <w:r w:rsidRPr="00E0488D">
        <w:t xml:space="preserve"> </w:t>
      </w:r>
      <w:r w:rsidRPr="00E0488D">
        <w:rPr>
          <w:rStyle w:val="hps"/>
          <w:rFonts w:cs="Arial"/>
          <w:color w:val="000000" w:themeColor="text1"/>
        </w:rPr>
        <w:t>această piață</w:t>
      </w:r>
      <w:r w:rsidRPr="00E0488D">
        <w:t xml:space="preserve">, </w:t>
      </w:r>
      <w:r w:rsidRPr="00E0488D">
        <w:rPr>
          <w:rStyle w:val="hps"/>
          <w:rFonts w:cs="Arial"/>
          <w:color w:val="000000" w:themeColor="text1"/>
        </w:rPr>
        <w:t>deși are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pondere</w:t>
      </w:r>
      <w:r w:rsidRPr="00E0488D">
        <w:t xml:space="preserve"> </w:t>
      </w:r>
      <w:r w:rsidRPr="00E0488D">
        <w:rPr>
          <w:rStyle w:val="hps"/>
          <w:rFonts w:cs="Arial"/>
          <w:color w:val="000000" w:themeColor="text1"/>
        </w:rPr>
        <w:t>mai mică în ceea ce privește fluxul de retur</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pe lângă</w:t>
      </w:r>
      <w:r w:rsidRPr="00E0488D">
        <w:t xml:space="preserve"> </w:t>
      </w:r>
      <w:r w:rsidRPr="00E0488D">
        <w:rPr>
          <w:rStyle w:val="hps"/>
          <w:rFonts w:cs="Arial"/>
          <w:color w:val="000000" w:themeColor="text1"/>
        </w:rPr>
        <w:t>Târgu</w:t>
      </w:r>
      <w:r w:rsidRPr="00E0488D">
        <w:t xml:space="preserve"> </w:t>
      </w:r>
      <w:r w:rsidRPr="00E0488D">
        <w:rPr>
          <w:rStyle w:val="hps"/>
          <w:rFonts w:cs="Arial"/>
          <w:color w:val="000000" w:themeColor="text1"/>
        </w:rPr>
        <w:t>Mureș spre</w:t>
      </w:r>
      <w:r w:rsidRPr="00E0488D">
        <w:t xml:space="preserve"> </w:t>
      </w:r>
      <w:r w:rsidRPr="00E0488D">
        <w:rPr>
          <w:rStyle w:val="hps"/>
          <w:rFonts w:cs="Arial"/>
          <w:color w:val="000000" w:themeColor="text1"/>
        </w:rPr>
        <w:t>Cluj-</w:t>
      </w:r>
      <w:r w:rsidRPr="00E0488D">
        <w:t xml:space="preserve">Napoca. </w:t>
      </w:r>
      <w:r w:rsidRPr="00E0488D">
        <w:rPr>
          <w:rStyle w:val="hps"/>
          <w:rFonts w:cs="Arial"/>
          <w:color w:val="000000" w:themeColor="text1"/>
        </w:rPr>
        <w:t>Îmbunătățirea</w:t>
      </w:r>
      <w:r w:rsidRPr="00E0488D">
        <w:t xml:space="preserve"> </w:t>
      </w:r>
      <w:r w:rsidRPr="00E0488D">
        <w:rPr>
          <w:rStyle w:val="hps"/>
          <w:rFonts w:cs="Arial"/>
          <w:color w:val="000000" w:themeColor="text1"/>
        </w:rPr>
        <w:t>cotei</w:t>
      </w:r>
      <w:r w:rsidRPr="00E0488D">
        <w:t xml:space="preserve"> </w:t>
      </w:r>
      <w:r w:rsidRPr="00E0488D">
        <w:rPr>
          <w:rStyle w:val="hps"/>
          <w:rFonts w:cs="Arial"/>
          <w:color w:val="000000" w:themeColor="text1"/>
        </w:rPr>
        <w:t>feroviare</w:t>
      </w:r>
      <w:r w:rsidRPr="00E0488D">
        <w:t xml:space="preserve"> </w:t>
      </w:r>
      <w:r w:rsidRPr="00E0488D">
        <w:rPr>
          <w:rStyle w:val="hps"/>
          <w:rFonts w:cs="Arial"/>
          <w:color w:val="000000" w:themeColor="text1"/>
        </w:rPr>
        <w:t>a industriei</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sector</w:t>
      </w:r>
      <w:r w:rsidRPr="00E0488D">
        <w:t xml:space="preserve"> </w:t>
      </w:r>
      <w:r w:rsidRPr="00E0488D">
        <w:rPr>
          <w:rStyle w:val="hps"/>
          <w:rFonts w:cs="Arial"/>
          <w:color w:val="000000" w:themeColor="text1"/>
        </w:rPr>
        <w:t>de retur</w:t>
      </w:r>
      <w:r w:rsidRPr="00E0488D">
        <w:t xml:space="preserve"> </w:t>
      </w:r>
      <w:r w:rsidRPr="00E0488D">
        <w:rPr>
          <w:rStyle w:val="hps"/>
          <w:rFonts w:cs="Arial"/>
          <w:color w:val="000000" w:themeColor="text1"/>
        </w:rPr>
        <w:t>ar permite</w:t>
      </w:r>
      <w:r w:rsidRPr="00E0488D">
        <w:t xml:space="preserve"> </w:t>
      </w:r>
      <w:r w:rsidRPr="00E0488D">
        <w:rPr>
          <w:rStyle w:val="hps"/>
          <w:rFonts w:cs="Arial"/>
          <w:color w:val="000000" w:themeColor="text1"/>
        </w:rPr>
        <w:t>o mai bună utilizare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materialului rulant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această industrie</w:t>
      </w:r>
      <w:r w:rsidRPr="00E0488D">
        <w:t xml:space="preserve">. </w:t>
      </w:r>
      <w:r w:rsidRPr="00E0488D">
        <w:rPr>
          <w:rStyle w:val="hps"/>
          <w:rFonts w:cs="Arial"/>
          <w:color w:val="000000" w:themeColor="text1"/>
        </w:rPr>
        <w:t>Ponderea modală</w:t>
      </w:r>
      <w:r w:rsidRPr="00E0488D">
        <w:t xml:space="preserve"> </w:t>
      </w:r>
      <w:r w:rsidRPr="00E0488D">
        <w:rPr>
          <w:rStyle w:val="hps"/>
          <w:rFonts w:cs="Arial"/>
          <w:color w:val="000000" w:themeColor="text1"/>
        </w:rPr>
        <w:t>este de asemenea mare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fluxurile</w:t>
      </w:r>
      <w:r w:rsidRPr="00E0488D">
        <w:t xml:space="preserve"> </w:t>
      </w:r>
      <w:r w:rsidRPr="00E0488D">
        <w:rPr>
          <w:rStyle w:val="hps"/>
          <w:rFonts w:cs="Arial"/>
          <w:color w:val="000000" w:themeColor="text1"/>
        </w:rPr>
        <w:t>mult mai mici</w:t>
      </w:r>
      <w:r w:rsidRPr="00E0488D">
        <w:t xml:space="preserve"> </w:t>
      </w:r>
      <w:r w:rsidRPr="00E0488D">
        <w:rPr>
          <w:rStyle w:val="hps"/>
          <w:rFonts w:cs="Arial"/>
          <w:color w:val="000000" w:themeColor="text1"/>
        </w:rPr>
        <w:t>care operează</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w:t>
      </w:r>
      <w:r w:rsidRPr="00E0488D">
        <w:t xml:space="preserve">spre sud) </w:t>
      </w:r>
      <w:r w:rsidRPr="00E0488D">
        <w:rPr>
          <w:rStyle w:val="hps"/>
          <w:rFonts w:cs="Arial"/>
          <w:color w:val="000000" w:themeColor="text1"/>
        </w:rPr>
        <w:t>și</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w:t>
      </w:r>
      <w:r w:rsidRPr="00E0488D">
        <w:t xml:space="preserve">în ambele direcții), </w:t>
      </w:r>
      <w:r w:rsidRPr="00E0488D">
        <w:rPr>
          <w:rStyle w:val="hps"/>
          <w:rFonts w:cs="Arial"/>
          <w:color w:val="000000" w:themeColor="text1"/>
        </w:rPr>
        <w:t>deși</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din urmă</w:t>
      </w:r>
      <w:r w:rsidRPr="00E0488D">
        <w:t xml:space="preserve"> </w:t>
      </w:r>
      <w:r w:rsidRPr="00E0488D">
        <w:rPr>
          <w:rStyle w:val="hps"/>
          <w:rFonts w:cs="Arial"/>
          <w:color w:val="000000" w:themeColor="text1"/>
        </w:rPr>
        <w:t>coridor</w:t>
      </w:r>
      <w:r w:rsidRPr="00E0488D">
        <w:t xml:space="preserve"> </w:t>
      </w:r>
      <w:r w:rsidRPr="00E0488D">
        <w:rPr>
          <w:rStyle w:val="hps"/>
          <w:rFonts w:cs="Arial"/>
          <w:color w:val="000000" w:themeColor="text1"/>
        </w:rPr>
        <w:t>are un potential</w:t>
      </w:r>
      <w:r w:rsidRPr="00E0488D">
        <w:t xml:space="preserve"> </w:t>
      </w:r>
      <w:r w:rsidRPr="00E0488D">
        <w:rPr>
          <w:rStyle w:val="hps"/>
          <w:rFonts w:cs="Arial"/>
          <w:color w:val="000000" w:themeColor="text1"/>
        </w:rPr>
        <w:t>mai mic</w:t>
      </w:r>
      <w:r w:rsidRPr="00E0488D">
        <w:t xml:space="preserve"> </w:t>
      </w:r>
      <w:r w:rsidRPr="00E0488D">
        <w:rPr>
          <w:rStyle w:val="hps"/>
          <w:rFonts w:cs="Arial"/>
          <w:color w:val="000000" w:themeColor="text1"/>
        </w:rPr>
        <w:t>decât celelalte</w:t>
      </w:r>
      <w:r w:rsidRPr="00E0488D">
        <w:t xml:space="preserve"> </w:t>
      </w:r>
      <w:r w:rsidRPr="00E0488D">
        <w:rPr>
          <w:rStyle w:val="hps"/>
          <w:rFonts w:cs="Arial"/>
          <w:color w:val="000000" w:themeColor="text1"/>
        </w:rPr>
        <w:t>din cauza concurenței</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transportul naval de marfă</w:t>
      </w:r>
      <w:r w:rsidRPr="00E0488D">
        <w:t xml:space="preserve"> </w:t>
      </w:r>
      <w:r w:rsidRPr="00E0488D">
        <w:rPr>
          <w:rStyle w:val="hps"/>
          <w:rFonts w:cs="Arial"/>
          <w:color w:val="000000" w:themeColor="text1"/>
        </w:rPr>
        <w:t>pe Dunăre</w:t>
      </w:r>
      <w:r w:rsidRPr="00E0488D">
        <w:t xml:space="preserve">. </w:t>
      </w:r>
      <w:r w:rsidRPr="00E0488D">
        <w:rPr>
          <w:rStyle w:val="hps"/>
          <w:rFonts w:cs="Arial"/>
          <w:color w:val="000000" w:themeColor="text1"/>
        </w:rPr>
        <w:t>Acest lucru este demonstrat</w:t>
      </w:r>
      <w:r w:rsidRPr="00E0488D">
        <w:t xml:space="preserve"> </w:t>
      </w:r>
      <w:r w:rsidRPr="00E0488D">
        <w:rPr>
          <w:rStyle w:val="hps"/>
          <w:rFonts w:cs="Arial"/>
          <w:color w:val="000000" w:themeColor="text1"/>
        </w:rPr>
        <w:t>în Figura 8.12</w:t>
      </w:r>
      <w:r w:rsidRPr="00E0488D">
        <w:t xml:space="preserve"> </w:t>
      </w:r>
      <w:r w:rsidRPr="00E0488D">
        <w:rPr>
          <w:rStyle w:val="hps"/>
          <w:rFonts w:cs="Arial"/>
          <w:color w:val="000000" w:themeColor="text1"/>
        </w:rPr>
        <w:t>de mai jos</w:t>
      </w:r>
      <w:r w:rsidRPr="00E0488D">
        <w:t>:</w:t>
      </w:r>
    </w:p>
    <w:p w:rsidR="00BD59B2" w:rsidRPr="00E0488D" w:rsidRDefault="00BD59B2" w:rsidP="00BD59B2">
      <w:pPr>
        <w:keepNext/>
        <w:spacing w:line="276" w:lineRule="auto"/>
        <w:ind w:firstLine="851"/>
        <w:rPr>
          <w:sz w:val="22"/>
          <w:szCs w:val="22"/>
          <w:lang w:val="ro-RO"/>
        </w:rPr>
      </w:pPr>
      <w:r w:rsidRPr="00E0488D">
        <w:rPr>
          <w:noProof/>
          <w:sz w:val="22"/>
          <w:szCs w:val="22"/>
          <w:lang w:val="ro-RO" w:eastAsia="ro-RO"/>
        </w:rPr>
        <w:drawing>
          <wp:inline distT="0" distB="0" distL="0" distR="0">
            <wp:extent cx="5939790" cy="5591175"/>
            <wp:effectExtent l="19050" t="0" r="3810" b="0"/>
            <wp:docPr id="91" name="Picture 4" descr="F:\TMARKET\Freight\Projects\Romania Masterplan\Maps\Fertiliser Flows (Rail 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MARKET\Freight\Projects\Romania Masterplan\Maps\Fertiliser Flows (Rail Potential).png"/>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5939790" cy="5591175"/>
                    </a:xfrm>
                    <a:prstGeom prst="rect">
                      <a:avLst/>
                    </a:prstGeom>
                    <a:noFill/>
                    <a:ln w="9525">
                      <a:noFill/>
                      <a:miter lim="800000"/>
                      <a:headEnd/>
                      <a:tailEnd/>
                    </a:ln>
                  </pic:spPr>
                </pic:pic>
              </a:graphicData>
            </a:graphic>
          </wp:inline>
        </w:drawing>
      </w:r>
    </w:p>
    <w:p w:rsidR="00BD59B2" w:rsidRPr="00E0488D" w:rsidRDefault="00BD59B2" w:rsidP="00BD59B2">
      <w:pPr>
        <w:pStyle w:val="Body"/>
        <w:ind w:left="851"/>
        <w:rPr>
          <w:b/>
          <w:i w:val="0"/>
          <w:lang w:val="ro-RO"/>
        </w:rPr>
      </w:pPr>
      <w:r w:rsidRPr="00E0488D">
        <w:rPr>
          <w:b/>
          <w:i w:val="0"/>
          <w:lang w:val="ro-RO"/>
        </w:rPr>
        <w:t xml:space="preserve">Figura 8.12: Fluxurile potențiale de fertilizatori containerizați și cota modală feroviară  </w:t>
      </w:r>
    </w:p>
    <w:p w:rsidR="00BD59B2" w:rsidRPr="00E0488D" w:rsidRDefault="00BD59B2" w:rsidP="002B7E09">
      <w:pPr>
        <w:pStyle w:val="NumberedParas"/>
      </w:pPr>
      <w:r w:rsidRPr="00E0488D">
        <w:rPr>
          <w:rStyle w:val="hps"/>
          <w:rFonts w:cs="Arial"/>
          <w:i/>
          <w:color w:val="000000" w:themeColor="text1"/>
        </w:rPr>
        <w:t>Produse petrochemice</w:t>
      </w:r>
      <w:r w:rsidRPr="00E0488D">
        <w:t xml:space="preserve"> </w:t>
      </w:r>
      <w:r w:rsidRPr="00E0488D">
        <w:rPr>
          <w:rStyle w:val="hps"/>
          <w:rFonts w:cs="Arial"/>
          <w:color w:val="000000" w:themeColor="text1"/>
        </w:rPr>
        <w:t>(</w:t>
      </w:r>
      <w:r w:rsidRPr="00E0488D">
        <w:t xml:space="preserve">8 </w:t>
      </w:r>
      <w:r w:rsidRPr="00E0488D">
        <w:rPr>
          <w:rStyle w:val="hps"/>
          <w:rFonts w:cs="Arial"/>
          <w:color w:val="000000" w:themeColor="text1"/>
        </w:rPr>
        <w:t>și</w:t>
      </w:r>
      <w:r w:rsidRPr="00E0488D">
        <w:t xml:space="preserve"> </w:t>
      </w:r>
      <w:r w:rsidRPr="00E0488D">
        <w:rPr>
          <w:rStyle w:val="hps"/>
          <w:rFonts w:cs="Arial"/>
          <w:color w:val="000000" w:themeColor="text1"/>
        </w:rPr>
        <w:t>10</w:t>
      </w:r>
      <w:r w:rsidRPr="00E0488D">
        <w:t xml:space="preserve">): </w:t>
      </w:r>
      <w:r w:rsidRPr="00E0488D">
        <w:rPr>
          <w:rStyle w:val="hps"/>
          <w:rFonts w:cs="Arial"/>
          <w:color w:val="000000" w:themeColor="text1"/>
        </w:rPr>
        <w:t>Pe Coridorul</w:t>
      </w:r>
      <w:r w:rsidRPr="00E0488D">
        <w:t xml:space="preserve"> </w:t>
      </w:r>
      <w:r w:rsidRPr="00E0488D">
        <w:rPr>
          <w:rStyle w:val="hps"/>
          <w:rFonts w:cs="Arial"/>
          <w:color w:val="000000" w:themeColor="text1"/>
        </w:rPr>
        <w:t>IV</w:t>
      </w:r>
      <w:r w:rsidRPr="00E0488D">
        <w:t xml:space="preserve"> trasportul </w:t>
      </w:r>
      <w:r w:rsidRPr="00E0488D">
        <w:rPr>
          <w:rStyle w:val="hps"/>
          <w:rFonts w:cs="Arial"/>
          <w:color w:val="000000" w:themeColor="text1"/>
        </w:rPr>
        <w:t>feroviar</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pondere</w:t>
      </w:r>
      <w:r w:rsidRPr="00E0488D">
        <w:t xml:space="preserve"> </w:t>
      </w:r>
      <w:r w:rsidRPr="00E0488D">
        <w:rPr>
          <w:rStyle w:val="hps"/>
          <w:rFonts w:cs="Arial"/>
          <w:color w:val="000000" w:themeColor="text1"/>
        </w:rPr>
        <w:t>modală</w:t>
      </w:r>
      <w:r w:rsidRPr="00E0488D">
        <w:t xml:space="preserve"> </w:t>
      </w:r>
      <w:r w:rsidRPr="00E0488D">
        <w:rPr>
          <w:rStyle w:val="hps"/>
          <w:rFonts w:cs="Arial"/>
          <w:color w:val="000000" w:themeColor="text1"/>
        </w:rPr>
        <w:t>mare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potențialele</w:t>
      </w:r>
      <w:r w:rsidRPr="00E0488D">
        <w:t xml:space="preserve"> </w:t>
      </w:r>
      <w:r w:rsidRPr="00E0488D">
        <w:rPr>
          <w:rStyle w:val="hps"/>
          <w:rFonts w:cs="Arial"/>
          <w:color w:val="000000" w:themeColor="text1"/>
        </w:rPr>
        <w:t>fluxuri spre est</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granița</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Curtici</w:t>
      </w:r>
      <w:r w:rsidRPr="00E0488D">
        <w:t xml:space="preserve"> </w:t>
      </w:r>
      <w:r w:rsidRPr="00E0488D">
        <w:rPr>
          <w:rStyle w:val="hps"/>
          <w:rFonts w:cs="Arial"/>
          <w:color w:val="000000" w:themeColor="text1"/>
        </w:rPr>
        <w:t>tot drumul până la</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Fluxurile</w:t>
      </w:r>
      <w:r w:rsidRPr="00E0488D">
        <w:t xml:space="preserve"> </w:t>
      </w:r>
      <w:r w:rsidRPr="00E0488D">
        <w:rPr>
          <w:rStyle w:val="hps"/>
          <w:rFonts w:cs="Arial"/>
          <w:color w:val="000000" w:themeColor="text1"/>
        </w:rPr>
        <w:t>de pe</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sunt afectate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concurența</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transportul naval de marfă</w:t>
      </w:r>
      <w:r w:rsidRPr="00E0488D">
        <w:t xml:space="preserve"> </w:t>
      </w:r>
      <w:r w:rsidRPr="00E0488D">
        <w:rPr>
          <w:rStyle w:val="hps"/>
          <w:rFonts w:cs="Arial"/>
          <w:color w:val="000000" w:themeColor="text1"/>
        </w:rPr>
        <w:t>pe Dunăre</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legăturile mai bune</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modurile de transport din</w:t>
      </w:r>
      <w:r w:rsidRPr="00E0488D">
        <w:t xml:space="preserve"> </w:t>
      </w:r>
      <w:r w:rsidRPr="00E0488D">
        <w:rPr>
          <w:rStyle w:val="hps"/>
          <w:rFonts w:cs="Arial"/>
          <w:color w:val="000000" w:themeColor="text1"/>
        </w:rPr>
        <w:t>porturile dunărene</w:t>
      </w:r>
      <w:r w:rsidRPr="00E0488D">
        <w:t xml:space="preserve"> </w:t>
      </w:r>
      <w:r w:rsidRPr="00E0488D">
        <w:rPr>
          <w:rStyle w:val="hps"/>
          <w:rFonts w:cs="Arial"/>
          <w:color w:val="000000" w:themeColor="text1"/>
        </w:rPr>
        <w:t>vor oferi</w:t>
      </w:r>
      <w:r w:rsidRPr="00E0488D">
        <w:t xml:space="preserve"> </w:t>
      </w:r>
      <w:r w:rsidRPr="00E0488D">
        <w:rPr>
          <w:rStyle w:val="hps"/>
          <w:rFonts w:cs="Arial"/>
          <w:color w:val="000000" w:themeColor="text1"/>
        </w:rPr>
        <w:t>oportunități de creștere</w:t>
      </w:r>
      <w:r w:rsidRPr="00E0488D">
        <w:t xml:space="preserve"> a </w:t>
      </w:r>
      <w:r w:rsidRPr="00E0488D">
        <w:rPr>
          <w:rStyle w:val="hps"/>
          <w:rFonts w:cs="Arial"/>
          <w:color w:val="000000" w:themeColor="text1"/>
        </w:rPr>
        <w:t>tonaj</w:t>
      </w:r>
      <w:r w:rsidRPr="00E0488D">
        <w:t xml:space="preserve">ului </w:t>
      </w:r>
      <w:r w:rsidRPr="00E0488D">
        <w:rPr>
          <w:rStyle w:val="hps"/>
          <w:rFonts w:cs="Arial"/>
          <w:color w:val="000000" w:themeColor="text1"/>
        </w:rPr>
        <w:t>operat</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cantitățile</w:t>
      </w:r>
      <w:r w:rsidRPr="00E0488D">
        <w:t xml:space="preserve"> </w:t>
      </w:r>
      <w:r w:rsidRPr="00E0488D">
        <w:rPr>
          <w:rStyle w:val="hps"/>
          <w:rFonts w:cs="Arial"/>
          <w:color w:val="000000" w:themeColor="text1"/>
        </w:rPr>
        <w:t>operate sunt mici</w:t>
      </w:r>
      <w:r w:rsidRPr="00E0488D">
        <w:t xml:space="preserve"> </w:t>
      </w:r>
      <w:r w:rsidRPr="00E0488D">
        <w:rPr>
          <w:rStyle w:val="hps"/>
          <w:rFonts w:cs="Arial"/>
          <w:color w:val="000000" w:themeColor="text1"/>
        </w:rPr>
        <w:t>(</w:t>
      </w:r>
      <w:r w:rsidRPr="00E0488D">
        <w:t xml:space="preserve">sub scenariul </w:t>
      </w:r>
      <w:r w:rsidRPr="00E0488D">
        <w:rPr>
          <w:rStyle w:val="hps"/>
          <w:rFonts w:cs="Arial"/>
          <w:color w:val="000000" w:themeColor="text1"/>
        </w:rPr>
        <w:t>potențial</w:t>
      </w:r>
      <w:r w:rsidRPr="00E0488D">
        <w:t xml:space="preserve"> </w:t>
      </w:r>
      <w:r w:rsidRPr="00E0488D">
        <w:rPr>
          <w:rStyle w:val="hps"/>
          <w:rFonts w:cs="Arial"/>
          <w:color w:val="000000" w:themeColor="text1"/>
        </w:rPr>
        <w:t>containerizat</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pondere</w:t>
      </w:r>
      <w:r w:rsidRPr="00E0488D">
        <w:t xml:space="preserve"> modală </w:t>
      </w:r>
      <w:r w:rsidRPr="00E0488D">
        <w:rPr>
          <w:rStyle w:val="hps"/>
          <w:rFonts w:cs="Arial"/>
          <w:color w:val="000000" w:themeColor="text1"/>
        </w:rPr>
        <w:t>relativ</w:t>
      </w:r>
      <w:r w:rsidRPr="00E0488D">
        <w:t xml:space="preserve"> </w:t>
      </w:r>
      <w:r w:rsidRPr="00E0488D">
        <w:rPr>
          <w:rStyle w:val="hps"/>
          <w:rFonts w:cs="Arial"/>
          <w:color w:val="000000" w:themeColor="text1"/>
        </w:rPr>
        <w:t>mare</w:t>
      </w:r>
      <w:r w:rsidRPr="00E0488D">
        <w:t xml:space="preserve"> </w:t>
      </w:r>
      <w:r w:rsidRPr="00E0488D">
        <w:rPr>
          <w:rStyle w:val="hps"/>
          <w:rFonts w:cs="Arial"/>
          <w:color w:val="000000" w:themeColor="text1"/>
        </w:rPr>
        <w:t>pentru transporturile</w:t>
      </w:r>
      <w:r w:rsidRPr="00E0488D">
        <w:t xml:space="preserve"> </w:t>
      </w:r>
      <w:r w:rsidRPr="00E0488D">
        <w:rPr>
          <w:rStyle w:val="hps"/>
          <w:rFonts w:cs="Arial"/>
          <w:color w:val="000000" w:themeColor="text1"/>
        </w:rPr>
        <w:t>spre sud</w:t>
      </w:r>
      <w:r w:rsidRPr="00E0488D">
        <w:t xml:space="preserve">, cu toate că </w:t>
      </w:r>
      <w:r w:rsidRPr="00E0488D">
        <w:rPr>
          <w:rStyle w:val="hps"/>
          <w:rFonts w:cs="Arial"/>
          <w:color w:val="000000" w:themeColor="text1"/>
        </w:rPr>
        <w:t>ponderea</w:t>
      </w:r>
      <w:r w:rsidRPr="00E0488D">
        <w:t xml:space="preserve"> </w:t>
      </w:r>
      <w:r w:rsidRPr="00E0488D">
        <w:rPr>
          <w:rStyle w:val="hps"/>
          <w:rFonts w:cs="Arial"/>
          <w:color w:val="000000" w:themeColor="text1"/>
        </w:rPr>
        <w:t>modală</w:t>
      </w:r>
      <w:r w:rsidRPr="00E0488D">
        <w:t xml:space="preserve"> spre nord </w:t>
      </w:r>
      <w:r w:rsidRPr="00E0488D">
        <w:rPr>
          <w:rStyle w:val="hps"/>
          <w:rFonts w:cs="Arial"/>
          <w:color w:val="000000" w:themeColor="text1"/>
        </w:rPr>
        <w:t>este semnificativ mai mică</w:t>
      </w:r>
      <w:r w:rsidRPr="00E0488D">
        <w:t xml:space="preserve"> </w:t>
      </w:r>
      <w:r w:rsidRPr="00E0488D">
        <w:rPr>
          <w:rStyle w:val="hps"/>
          <w:rFonts w:cs="Arial"/>
          <w:color w:val="000000" w:themeColor="text1"/>
        </w:rPr>
        <w:t>(</w:t>
      </w:r>
      <w:r w:rsidRPr="00E0488D">
        <w:t xml:space="preserve">sub </w:t>
      </w:r>
      <w:r w:rsidRPr="00E0488D">
        <w:rPr>
          <w:rStyle w:val="hps"/>
          <w:rFonts w:cs="Arial"/>
          <w:color w:val="000000" w:themeColor="text1"/>
        </w:rPr>
        <w:t>10</w:t>
      </w:r>
      <w:r w:rsidRPr="00E0488D">
        <w:t>%). Produsele chimise sub formă de granule sau în formă lichidă pot fi transportate în containere închise.</w:t>
      </w:r>
    </w:p>
    <w:p w:rsidR="00BD59B2" w:rsidRPr="00E0488D" w:rsidRDefault="00BD59B2" w:rsidP="002B7E09">
      <w:pPr>
        <w:pStyle w:val="NumberedParas"/>
      </w:pPr>
      <w:r w:rsidRPr="00E0488D">
        <w:rPr>
          <w:rStyle w:val="hps"/>
          <w:rFonts w:cs="Arial"/>
          <w:i/>
          <w:color w:val="000000" w:themeColor="text1"/>
        </w:rPr>
        <w:t>Mașini</w:t>
      </w:r>
      <w:r w:rsidRPr="00E0488D">
        <w:rPr>
          <w:i/>
        </w:rPr>
        <w:t xml:space="preserve">, </w:t>
      </w:r>
      <w:r w:rsidRPr="00E0488D">
        <w:rPr>
          <w:rStyle w:val="hps"/>
          <w:rFonts w:cs="Arial"/>
          <w:i/>
          <w:color w:val="000000" w:themeColor="text1"/>
        </w:rPr>
        <w:t>produse fabricate</w:t>
      </w:r>
      <w:r w:rsidRPr="00E0488D">
        <w:rPr>
          <w:i/>
        </w:rPr>
        <w:t xml:space="preserve"> </w:t>
      </w:r>
      <w:r w:rsidRPr="00E0488D">
        <w:rPr>
          <w:rStyle w:val="hps"/>
          <w:rFonts w:cs="Arial"/>
          <w:i/>
          <w:color w:val="000000" w:themeColor="text1"/>
        </w:rPr>
        <w:t>și</w:t>
      </w:r>
      <w:r w:rsidRPr="00E0488D">
        <w:rPr>
          <w:i/>
        </w:rPr>
        <w:t xml:space="preserve"> </w:t>
      </w:r>
      <w:r w:rsidRPr="00E0488D">
        <w:rPr>
          <w:rStyle w:val="hps"/>
          <w:rFonts w:cs="Arial"/>
          <w:i/>
          <w:color w:val="000000" w:themeColor="text1"/>
        </w:rPr>
        <w:t>articole din industria grea</w:t>
      </w:r>
      <w:r w:rsidRPr="00E0488D">
        <w:rPr>
          <w:i/>
        </w:rPr>
        <w:t xml:space="preserve"> </w:t>
      </w:r>
      <w:r w:rsidRPr="00E0488D">
        <w:rPr>
          <w:rStyle w:val="hps"/>
          <w:rFonts w:cs="Arial"/>
          <w:i/>
          <w:color w:val="000000" w:themeColor="text1"/>
        </w:rPr>
        <w:t>(</w:t>
      </w:r>
      <w:r w:rsidRPr="00E0488D">
        <w:rPr>
          <w:i/>
        </w:rPr>
        <w:t xml:space="preserve">9 </w:t>
      </w:r>
      <w:r w:rsidRPr="00E0488D">
        <w:rPr>
          <w:rStyle w:val="hps"/>
          <w:rFonts w:cs="Arial"/>
          <w:i/>
          <w:color w:val="000000" w:themeColor="text1"/>
        </w:rPr>
        <w:t>și</w:t>
      </w:r>
      <w:r w:rsidRPr="00E0488D">
        <w:rPr>
          <w:i/>
        </w:rPr>
        <w:t xml:space="preserve"> </w:t>
      </w:r>
      <w:r w:rsidRPr="00E0488D">
        <w:rPr>
          <w:rStyle w:val="hps"/>
          <w:rFonts w:cs="Arial"/>
          <w:i/>
          <w:color w:val="000000" w:themeColor="text1"/>
        </w:rPr>
        <w:t>12</w:t>
      </w:r>
      <w:r w:rsidRPr="00E0488D">
        <w:rPr>
          <w:i/>
        </w:rPr>
        <w:t>)</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de Sud este</w:t>
      </w:r>
      <w:r w:rsidRPr="00E0488D">
        <w:t xml:space="preserve"> </w:t>
      </w:r>
      <w:r w:rsidRPr="00E0488D">
        <w:rPr>
          <w:rStyle w:val="hps"/>
          <w:rFonts w:cs="Arial"/>
          <w:color w:val="000000" w:themeColor="text1"/>
        </w:rPr>
        <w:t>vizibil</w:t>
      </w:r>
      <w:r w:rsidRPr="00E0488D">
        <w:t xml:space="preserve"> </w:t>
      </w:r>
      <w:r w:rsidRPr="00E0488D">
        <w:rPr>
          <w:rStyle w:val="hps"/>
          <w:rFonts w:cs="Arial"/>
          <w:color w:val="000000" w:themeColor="text1"/>
        </w:rPr>
        <w:t>atunci când luâm în considerare</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tip</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datorită faptului că</w:t>
      </w:r>
      <w:r w:rsidRPr="00E0488D">
        <w:t xml:space="preserve"> </w:t>
      </w:r>
      <w:r w:rsidRPr="00E0488D">
        <w:rPr>
          <w:rStyle w:val="hps"/>
          <w:rFonts w:cs="Arial"/>
          <w:color w:val="000000" w:themeColor="text1"/>
        </w:rPr>
        <w:t>transportul naval de marfă</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pondere</w:t>
      </w:r>
      <w:r w:rsidRPr="00E0488D">
        <w:t xml:space="preserve"> </w:t>
      </w:r>
      <w:r w:rsidRPr="00E0488D">
        <w:rPr>
          <w:rStyle w:val="hps"/>
          <w:rFonts w:cs="Arial"/>
          <w:color w:val="000000" w:themeColor="text1"/>
        </w:rPr>
        <w:t>modală</w:t>
      </w:r>
      <w:r w:rsidRPr="00E0488D">
        <w:t xml:space="preserve"> </w:t>
      </w:r>
      <w:r w:rsidRPr="00E0488D">
        <w:rPr>
          <w:rStyle w:val="hps"/>
          <w:rFonts w:cs="Arial"/>
          <w:color w:val="000000" w:themeColor="text1"/>
        </w:rPr>
        <w:t>mare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flux</w:t>
      </w:r>
      <w:r w:rsidRPr="00E0488D">
        <w:t xml:space="preserve"> </w:t>
      </w:r>
      <w:r w:rsidRPr="00E0488D">
        <w:rPr>
          <w:rStyle w:val="hps"/>
          <w:rFonts w:cs="Arial"/>
          <w:color w:val="000000" w:themeColor="text1"/>
        </w:rPr>
        <w:t>important</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există</w:t>
      </w:r>
      <w:r w:rsidRPr="00E0488D">
        <w:t xml:space="preserve">, de asemenea, </w:t>
      </w:r>
      <w:r w:rsidRPr="00E0488D">
        <w:rPr>
          <w:rStyle w:val="hps"/>
          <w:rFonts w:cs="Arial"/>
          <w:color w:val="000000" w:themeColor="text1"/>
        </w:rPr>
        <w:t>volume semnificative</w:t>
      </w:r>
      <w:r w:rsidRPr="00E0488D">
        <w:t xml:space="preserve"> </w:t>
      </w:r>
      <w:r w:rsidRPr="00E0488D">
        <w:rPr>
          <w:rStyle w:val="hps"/>
          <w:rFonts w:cs="Arial"/>
          <w:color w:val="000000" w:themeColor="text1"/>
        </w:rPr>
        <w:t>care sunt transportate pe</w:t>
      </w:r>
      <w:r w:rsidRPr="00E0488D">
        <w:t xml:space="preserve"> </w:t>
      </w:r>
      <w:r w:rsidRPr="00E0488D">
        <w:rPr>
          <w:rStyle w:val="hps"/>
          <w:rFonts w:cs="Arial"/>
          <w:color w:val="000000" w:themeColor="text1"/>
        </w:rPr>
        <w:t>coridoarele</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IX</w:t>
      </w:r>
      <w:r w:rsidRPr="00E0488D">
        <w:t>, unde transportul feroviar are</w:t>
      </w:r>
      <w:r w:rsidRPr="00E0488D">
        <w:rPr>
          <w:rStyle w:val="hps"/>
          <w:rFonts w:cs="Arial"/>
          <w:color w:val="000000" w:themeColor="text1"/>
        </w:rPr>
        <w:t xml:space="preserve"> o pondere</w:t>
      </w:r>
      <w:r w:rsidRPr="00E0488D">
        <w:t xml:space="preserve"> </w:t>
      </w:r>
      <w:r w:rsidRPr="00E0488D">
        <w:rPr>
          <w:rStyle w:val="hps"/>
          <w:rFonts w:cs="Arial"/>
          <w:color w:val="000000" w:themeColor="text1"/>
        </w:rPr>
        <w:t>mare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potențiale</w:t>
      </w:r>
      <w:r w:rsidRPr="00E0488D">
        <w:t xml:space="preserve"> </w:t>
      </w:r>
      <w:r w:rsidRPr="00E0488D">
        <w:rPr>
          <w:rStyle w:val="hps"/>
          <w:rFonts w:cs="Arial"/>
          <w:color w:val="000000" w:themeColor="text1"/>
        </w:rPr>
        <w:t>exporturi</w:t>
      </w:r>
      <w:r w:rsidRPr="00E0488D">
        <w:t xml:space="preserve"> </w:t>
      </w:r>
      <w:r w:rsidRPr="00E0488D">
        <w:rPr>
          <w:rStyle w:val="hps"/>
          <w:rFonts w:cs="Arial"/>
          <w:color w:val="000000" w:themeColor="text1"/>
        </w:rPr>
        <w:t>containerizate</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există loc</w:t>
      </w:r>
      <w:r w:rsidRPr="00E0488D">
        <w:t xml:space="preserve"> </w:t>
      </w:r>
      <w:r w:rsidRPr="00E0488D">
        <w:rPr>
          <w:rStyle w:val="hps"/>
          <w:rFonts w:cs="Arial"/>
          <w:color w:val="000000" w:themeColor="text1"/>
        </w:rPr>
        <w:t>de îmbunătățiri semnificative</w:t>
      </w:r>
      <w:r w:rsidRPr="00E0488D">
        <w:t xml:space="preserve"> </w:t>
      </w:r>
      <w:r w:rsidRPr="00E0488D">
        <w:rPr>
          <w:rStyle w:val="hps"/>
          <w:rFonts w:cs="Arial"/>
          <w:color w:val="000000" w:themeColor="text1"/>
        </w:rPr>
        <w:t>pentru transporturile</w:t>
      </w:r>
      <w:r w:rsidRPr="00E0488D">
        <w:t xml:space="preserve"> </w:t>
      </w:r>
      <w:r w:rsidRPr="00E0488D">
        <w:rPr>
          <w:rStyle w:val="hps"/>
          <w:rFonts w:cs="Arial"/>
          <w:color w:val="000000" w:themeColor="text1"/>
        </w:rPr>
        <w:t>interne</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fluxurile</w:t>
      </w:r>
      <w:r w:rsidRPr="00E0488D">
        <w:t xml:space="preserve"> </w:t>
      </w:r>
      <w:r w:rsidRPr="00E0488D">
        <w:rPr>
          <w:rStyle w:val="hps"/>
          <w:rFonts w:cs="Arial"/>
          <w:color w:val="000000" w:themeColor="text1"/>
        </w:rPr>
        <w:t>mari</w:t>
      </w:r>
      <w:r w:rsidRPr="00E0488D">
        <w:t xml:space="preserve"> </w:t>
      </w:r>
      <w:r w:rsidRPr="00E0488D">
        <w:rPr>
          <w:rStyle w:val="hps"/>
          <w:rFonts w:cs="Arial"/>
          <w:color w:val="000000" w:themeColor="text1"/>
        </w:rPr>
        <w:t>care se deplasează</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Suceava</w:t>
      </w:r>
      <w:r w:rsidRPr="00E0488D">
        <w:t xml:space="preserve"> </w:t>
      </w:r>
      <w:r w:rsidRPr="00E0488D">
        <w:rPr>
          <w:rStyle w:val="hps"/>
          <w:rFonts w:cs="Arial"/>
          <w:color w:val="000000" w:themeColor="text1"/>
        </w:rPr>
        <w:t>(</w:t>
      </w:r>
      <w:r w:rsidRPr="00E0488D">
        <w:t xml:space="preserve">pe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Dej</w:t>
      </w:r>
      <w:r w:rsidRPr="00E0488D">
        <w:t xml:space="preserve">, în </w:t>
      </w:r>
      <w:r w:rsidRPr="00E0488D">
        <w:rPr>
          <w:rStyle w:val="hps"/>
          <w:rFonts w:cs="Arial"/>
          <w:color w:val="000000" w:themeColor="text1"/>
        </w:rPr>
        <w:t>partea de nord</w:t>
      </w:r>
      <w:r w:rsidRPr="00E0488D">
        <w:t xml:space="preserve">. </w:t>
      </w:r>
      <w:r w:rsidRPr="00E0488D">
        <w:rPr>
          <w:rStyle w:val="hps"/>
          <w:rFonts w:cs="Arial"/>
          <w:color w:val="000000" w:themeColor="text1"/>
        </w:rPr>
        <w:t>Există, de</w:t>
      </w:r>
      <w:r w:rsidRPr="00E0488D">
        <w:t xml:space="preserve"> </w:t>
      </w:r>
      <w:r w:rsidRPr="00E0488D">
        <w:rPr>
          <w:rStyle w:val="hps"/>
          <w:rFonts w:cs="Arial"/>
          <w:color w:val="000000" w:themeColor="text1"/>
        </w:rPr>
        <w:t>asemenea,</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flux</w:t>
      </w:r>
      <w:r w:rsidRPr="00E0488D">
        <w:t xml:space="preserve"> </w:t>
      </w:r>
      <w:r w:rsidRPr="00E0488D">
        <w:rPr>
          <w:rStyle w:val="hps"/>
          <w:rFonts w:cs="Arial"/>
          <w:color w:val="000000" w:themeColor="text1"/>
        </w:rPr>
        <w:t>semnificativ</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tip</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dincolo de granița</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Ucraina</w:t>
      </w:r>
      <w:r w:rsidRPr="00E0488D">
        <w:t xml:space="preserve">, </w:t>
      </w:r>
      <w:r w:rsidRPr="00E0488D">
        <w:rPr>
          <w:rStyle w:val="hps"/>
          <w:rFonts w:cs="Arial"/>
          <w:color w:val="000000" w:themeColor="text1"/>
        </w:rPr>
        <w:t>cele mai multe</w:t>
      </w:r>
      <w:r w:rsidRPr="00E0488D">
        <w:t xml:space="preserve"> </w:t>
      </w:r>
      <w:r w:rsidRPr="00E0488D">
        <w:rPr>
          <w:rStyle w:val="hps"/>
          <w:rFonts w:cs="Arial"/>
          <w:color w:val="000000" w:themeColor="text1"/>
        </w:rPr>
        <w:t>dintre acestea</w:t>
      </w:r>
      <w:r w:rsidRPr="00E0488D">
        <w:t xml:space="preserve"> </w:t>
      </w:r>
      <w:r w:rsidRPr="00E0488D">
        <w:rPr>
          <w:rStyle w:val="hps"/>
          <w:rFonts w:cs="Arial"/>
          <w:color w:val="000000" w:themeColor="text1"/>
        </w:rPr>
        <w:t>circulă</w:t>
      </w:r>
      <w:r w:rsidRPr="00E0488D">
        <w:t xml:space="preserve"> </w:t>
      </w:r>
      <w:r w:rsidRPr="00E0488D">
        <w:rPr>
          <w:rStyle w:val="hps"/>
          <w:rFonts w:cs="Arial"/>
          <w:color w:val="000000" w:themeColor="text1"/>
        </w:rPr>
        <w:t>în prezent</w:t>
      </w:r>
      <w:r w:rsidRPr="00E0488D">
        <w:t xml:space="preserve"> prin </w:t>
      </w:r>
      <w:r w:rsidRPr="00E0488D">
        <w:rPr>
          <w:rStyle w:val="hps"/>
          <w:rFonts w:cs="Arial"/>
          <w:color w:val="000000" w:themeColor="text1"/>
        </w:rPr>
        <w:t>moduri</w:t>
      </w:r>
      <w:r w:rsidRPr="00E0488D">
        <w:t xml:space="preserve"> </w:t>
      </w:r>
      <w:r w:rsidRPr="00E0488D">
        <w:rPr>
          <w:rStyle w:val="hps"/>
          <w:rFonts w:cs="Arial"/>
          <w:color w:val="000000" w:themeColor="text1"/>
        </w:rPr>
        <w:t>alternative</w:t>
      </w:r>
      <w:r w:rsidRPr="00E0488D">
        <w:t>.</w:t>
      </w:r>
    </w:p>
    <w:p w:rsidR="00BD59B2" w:rsidRPr="00E0488D" w:rsidRDefault="00BD59B2" w:rsidP="002B7E09">
      <w:pPr>
        <w:pStyle w:val="NumberedParas"/>
      </w:pPr>
      <w:r w:rsidRPr="00E0488D">
        <w:rPr>
          <w:rStyle w:val="hps"/>
          <w:rFonts w:cs="Arial"/>
          <w:i/>
          <w:color w:val="000000" w:themeColor="text1"/>
        </w:rPr>
        <w:t>Produse forestiere</w:t>
      </w:r>
      <w:r w:rsidRPr="00E0488D">
        <w:t xml:space="preserve"> </w:t>
      </w:r>
      <w:r w:rsidRPr="00E0488D">
        <w:rPr>
          <w:rStyle w:val="hps"/>
          <w:rFonts w:cs="Arial"/>
          <w:color w:val="000000" w:themeColor="text1"/>
        </w:rPr>
        <w:t>(</w:t>
      </w:r>
      <w:r w:rsidRPr="00E0488D">
        <w:t xml:space="preserve">14): </w:t>
      </w:r>
      <w:r w:rsidRPr="00E0488D">
        <w:rPr>
          <w:rStyle w:val="hps"/>
          <w:rFonts w:cs="Arial"/>
          <w:color w:val="000000" w:themeColor="text1"/>
        </w:rPr>
        <w:t>Se estimează că</w:t>
      </w:r>
      <w:r w:rsidRPr="00E0488D">
        <w:t xml:space="preserve"> </w:t>
      </w:r>
      <w:r w:rsidRPr="00E0488D">
        <w:rPr>
          <w:rStyle w:val="hps"/>
          <w:rFonts w:cs="Arial"/>
          <w:color w:val="000000" w:themeColor="text1"/>
        </w:rPr>
        <w:t>aproximativ 20% din</w:t>
      </w:r>
      <w:r w:rsidRPr="00E0488D">
        <w:t xml:space="preserve"> </w:t>
      </w:r>
      <w:r w:rsidRPr="00E0488D">
        <w:rPr>
          <w:rStyle w:val="hps"/>
          <w:rFonts w:cs="Arial"/>
          <w:color w:val="000000" w:themeColor="text1"/>
        </w:rPr>
        <w:t>toate produsele</w:t>
      </w:r>
      <w:r w:rsidRPr="00E0488D">
        <w:t xml:space="preserve"> </w:t>
      </w:r>
      <w:r w:rsidRPr="00E0488D">
        <w:rPr>
          <w:rStyle w:val="hps"/>
          <w:rFonts w:cs="Arial"/>
          <w:color w:val="000000" w:themeColor="text1"/>
        </w:rPr>
        <w:t>forestiere</w:t>
      </w:r>
      <w:r w:rsidRPr="00E0488D">
        <w:t xml:space="preserve"> </w:t>
      </w:r>
      <w:r w:rsidRPr="00E0488D">
        <w:rPr>
          <w:rStyle w:val="hps"/>
          <w:rFonts w:cs="Arial"/>
          <w:color w:val="000000" w:themeColor="text1"/>
        </w:rPr>
        <w:t>sunt potrivite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containerizare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că transportul feroviar</w:t>
      </w:r>
      <w:r w:rsidRPr="00E0488D">
        <w:t xml:space="preserve"> </w:t>
      </w:r>
      <w:r w:rsidRPr="00E0488D">
        <w:rPr>
          <w:rStyle w:val="hps"/>
          <w:rFonts w:cs="Arial"/>
          <w:color w:val="000000" w:themeColor="text1"/>
        </w:rPr>
        <w:t>are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pondere modală potențială bună</w:t>
      </w:r>
      <w:r w:rsidRPr="00E0488D">
        <w:t xml:space="preserve"> </w:t>
      </w:r>
      <w:r w:rsidRPr="00E0488D">
        <w:rPr>
          <w:rStyle w:val="hps"/>
          <w:rFonts w:cs="Arial"/>
          <w:color w:val="000000" w:themeColor="text1"/>
        </w:rPr>
        <w:t>(</w:t>
      </w:r>
      <w:r w:rsidRPr="00E0488D">
        <w:t xml:space="preserve">peste </w:t>
      </w:r>
      <w:r w:rsidRPr="00E0488D">
        <w:rPr>
          <w:rStyle w:val="hps"/>
          <w:rFonts w:cs="Arial"/>
          <w:color w:val="000000" w:themeColor="text1"/>
        </w:rPr>
        <w:t>80</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acest trafic</w:t>
      </w:r>
      <w:r w:rsidRPr="00E0488D">
        <w:t xml:space="preserve"> </w:t>
      </w:r>
      <w:r w:rsidRPr="00E0488D">
        <w:rPr>
          <w:rStyle w:val="hps"/>
          <w:rFonts w:cs="Arial"/>
          <w:color w:val="000000" w:themeColor="text1"/>
        </w:rPr>
        <w:t>ipotetic</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toate cele trei</w:t>
      </w:r>
      <w:r w:rsidRPr="00E0488D">
        <w:t xml:space="preserve"> </w:t>
      </w:r>
      <w:r w:rsidRPr="00E0488D">
        <w:rPr>
          <w:rStyle w:val="hps"/>
          <w:rFonts w:cs="Arial"/>
          <w:color w:val="000000" w:themeColor="text1"/>
        </w:rPr>
        <w:t>coridoare</w:t>
      </w:r>
      <w:r w:rsidRPr="00E0488D">
        <w:t xml:space="preserve"> </w:t>
      </w:r>
      <w:r w:rsidRPr="00E0488D">
        <w:rPr>
          <w:rStyle w:val="hps"/>
          <w:rFonts w:cs="Arial"/>
          <w:color w:val="000000" w:themeColor="text1"/>
        </w:rPr>
        <w:t>relevante</w:t>
      </w:r>
      <w:r w:rsidRPr="00E0488D">
        <w:t xml:space="preserve"> </w:t>
      </w:r>
      <w:r w:rsidRPr="00E0488D">
        <w:rPr>
          <w:rStyle w:val="hps"/>
          <w:rFonts w:cs="Arial"/>
          <w:color w:val="000000" w:themeColor="text1"/>
        </w:rPr>
        <w:t>(</w:t>
      </w:r>
      <w:r w:rsidRPr="00E0488D">
        <w:t xml:space="preserve">IV, </w:t>
      </w:r>
      <w:r w:rsidRPr="00E0488D">
        <w:rPr>
          <w:rStyle w:val="hps"/>
          <w:rFonts w:cs="Arial"/>
          <w:color w:val="000000" w:themeColor="text1"/>
        </w:rPr>
        <w:t>IV</w:t>
      </w:r>
      <w:r w:rsidRPr="00E0488D">
        <w:t xml:space="preserve"> </w:t>
      </w:r>
      <w:r w:rsidRPr="00E0488D">
        <w:rPr>
          <w:rStyle w:val="hps"/>
          <w:rFonts w:cs="Arial"/>
          <w:color w:val="000000" w:themeColor="text1"/>
        </w:rPr>
        <w:t>Sud</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unul</w:t>
      </w:r>
      <w:r w:rsidRPr="00E0488D">
        <w:t xml:space="preserve"> </w:t>
      </w:r>
      <w:r w:rsidRPr="00E0488D">
        <w:rPr>
          <w:rStyle w:val="hps"/>
          <w:rFonts w:cs="Arial"/>
          <w:color w:val="000000" w:themeColor="text1"/>
        </w:rPr>
        <w:t>dintre cele mai mari</w:t>
      </w:r>
      <w:r w:rsidRPr="00E0488D">
        <w:t xml:space="preserve"> </w:t>
      </w:r>
      <w:r w:rsidRPr="00E0488D">
        <w:rPr>
          <w:rStyle w:val="hps"/>
          <w:rFonts w:cs="Arial"/>
          <w:color w:val="000000" w:themeColor="text1"/>
        </w:rPr>
        <w:t>fluxuri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provine de la</w:t>
      </w:r>
      <w:r w:rsidRPr="00E0488D">
        <w:t xml:space="preserve"> </w:t>
      </w:r>
      <w:r w:rsidRPr="00E0488D">
        <w:rPr>
          <w:rStyle w:val="hps"/>
          <w:rFonts w:cs="Arial"/>
          <w:color w:val="000000" w:themeColor="text1"/>
        </w:rPr>
        <w:t>fabricile de producție</w:t>
      </w:r>
      <w:r w:rsidRPr="00E0488D">
        <w:t xml:space="preserve"> </w:t>
      </w:r>
      <w:r w:rsidRPr="00E0488D">
        <w:rPr>
          <w:rStyle w:val="hps"/>
          <w:rFonts w:cs="Arial"/>
          <w:color w:val="000000" w:themeColor="text1"/>
        </w:rPr>
        <w:t>Kronospan</w:t>
      </w:r>
      <w:r w:rsidRPr="00E0488D">
        <w:t xml:space="preserve"> </w:t>
      </w:r>
      <w:r w:rsidRPr="00E0488D">
        <w:rPr>
          <w:rStyle w:val="hps"/>
          <w:rFonts w:cs="Arial"/>
          <w:color w:val="000000" w:themeColor="text1"/>
        </w:rPr>
        <w:t>către portul</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ambele</w:t>
      </w:r>
      <w:r w:rsidRPr="00E0488D">
        <w:t xml:space="preserve"> </w:t>
      </w:r>
      <w:r w:rsidRPr="00E0488D">
        <w:rPr>
          <w:rStyle w:val="hps"/>
          <w:rFonts w:cs="Arial"/>
          <w:color w:val="000000" w:themeColor="text1"/>
        </w:rPr>
        <w:t>extremități</w:t>
      </w:r>
      <w:r w:rsidRPr="00E0488D">
        <w:t xml:space="preserve"> </w:t>
      </w:r>
      <w:r w:rsidRPr="00E0488D">
        <w:rPr>
          <w:rStyle w:val="hps"/>
          <w:rFonts w:cs="Arial"/>
          <w:color w:val="000000" w:themeColor="text1"/>
        </w:rPr>
        <w:t>de nord</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 sud ale</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România</w:t>
      </w:r>
      <w:r w:rsidRPr="00E0488D">
        <w:t xml:space="preserve">) </w:t>
      </w:r>
      <w:r w:rsidRPr="00E0488D">
        <w:rPr>
          <w:rStyle w:val="hps"/>
          <w:rFonts w:cs="Arial"/>
          <w:color w:val="000000" w:themeColor="text1"/>
        </w:rPr>
        <w:t>ponderea modală</w:t>
      </w:r>
      <w:r w:rsidRPr="00E0488D">
        <w:t xml:space="preserve"> </w:t>
      </w:r>
      <w:r w:rsidRPr="00E0488D">
        <w:rPr>
          <w:rStyle w:val="hps"/>
          <w:rFonts w:cs="Arial"/>
          <w:color w:val="000000" w:themeColor="text1"/>
        </w:rPr>
        <w:t>feroviară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estimată la</w:t>
      </w:r>
      <w:r w:rsidRPr="00E0488D">
        <w:t xml:space="preserve"> </w:t>
      </w:r>
      <w:r w:rsidRPr="00E0488D">
        <w:rPr>
          <w:rStyle w:val="hps"/>
          <w:rFonts w:cs="Arial"/>
          <w:color w:val="000000" w:themeColor="text1"/>
        </w:rPr>
        <w:t>sub 10%</w:t>
      </w:r>
      <w:r w:rsidRPr="00E0488D">
        <w:t>. Îmbunătățirea t</w:t>
      </w:r>
      <w:r w:rsidRPr="00E0488D">
        <w:rPr>
          <w:rStyle w:val="hps"/>
          <w:rFonts w:cs="Arial"/>
          <w:color w:val="000000" w:themeColor="text1"/>
        </w:rPr>
        <w:t>recerii la frontieră</w:t>
      </w:r>
      <w:r w:rsidRPr="00E0488D">
        <w:t xml:space="preserve">, greutății pe osie </w:t>
      </w:r>
      <w:r w:rsidRPr="00E0488D">
        <w:rPr>
          <w:rStyle w:val="hps"/>
          <w:rFonts w:cs="Arial"/>
          <w:color w:val="000000" w:themeColor="text1"/>
        </w:rPr>
        <w:t>și</w:t>
      </w:r>
      <w:r w:rsidRPr="00E0488D">
        <w:t xml:space="preserve"> </w:t>
      </w:r>
      <w:r w:rsidRPr="00E0488D">
        <w:rPr>
          <w:rStyle w:val="hps"/>
          <w:rFonts w:cs="Arial"/>
          <w:color w:val="000000" w:themeColor="text1"/>
        </w:rPr>
        <w:t>fiabilitatea</w:t>
      </w:r>
      <w:r w:rsidRPr="00E0488D">
        <w:t xml:space="preserve"> </w:t>
      </w:r>
      <w:r w:rsidRPr="00E0488D">
        <w:rPr>
          <w:rStyle w:val="hps"/>
          <w:rFonts w:cs="Arial"/>
          <w:color w:val="000000" w:themeColor="text1"/>
        </w:rPr>
        <w:t>timpului de călătorie</w:t>
      </w:r>
      <w:r w:rsidRPr="00E0488D">
        <w:t xml:space="preserve"> </w:t>
      </w:r>
      <w:r w:rsidRPr="00E0488D">
        <w:rPr>
          <w:rStyle w:val="hps"/>
          <w:rFonts w:cs="Arial"/>
          <w:color w:val="000000" w:themeColor="text1"/>
        </w:rPr>
        <w:t>vor</w:t>
      </w:r>
      <w:r w:rsidRPr="00E0488D">
        <w:t xml:space="preserve"> </w:t>
      </w:r>
      <w:r w:rsidRPr="00E0488D">
        <w:rPr>
          <w:rStyle w:val="hps"/>
          <w:rFonts w:cs="Arial"/>
          <w:color w:val="000000" w:themeColor="text1"/>
        </w:rPr>
        <w:t>ajuta</w:t>
      </w:r>
      <w:r w:rsidRPr="00E0488D">
        <w:t xml:space="preserve"> transportul </w:t>
      </w:r>
      <w:r w:rsidRPr="00E0488D">
        <w:rPr>
          <w:rStyle w:val="hps"/>
          <w:rFonts w:cs="Arial"/>
          <w:color w:val="000000" w:themeColor="text1"/>
        </w:rPr>
        <w:t>feroviar</w:t>
      </w:r>
      <w:r w:rsidRPr="00E0488D">
        <w:t xml:space="preserve"> </w:t>
      </w:r>
      <w:r w:rsidRPr="00E0488D">
        <w:rPr>
          <w:rStyle w:val="hps"/>
          <w:rFonts w:cs="Arial"/>
          <w:color w:val="000000" w:themeColor="text1"/>
        </w:rPr>
        <w:t>să</w:t>
      </w:r>
      <w:r w:rsidRPr="00E0488D">
        <w:t xml:space="preserve"> </w:t>
      </w:r>
      <w:r w:rsidRPr="00E0488D">
        <w:rPr>
          <w:rStyle w:val="hps"/>
          <w:rFonts w:cs="Arial"/>
          <w:color w:val="000000" w:themeColor="text1"/>
        </w:rPr>
        <w:t>concureze mai eficient</w:t>
      </w:r>
      <w:r w:rsidRPr="00E0488D">
        <w:t xml:space="preserve"> </w:t>
      </w:r>
      <w:r w:rsidRPr="00E0488D">
        <w:rPr>
          <w:rStyle w:val="hps"/>
          <w:rFonts w:cs="Arial"/>
          <w:color w:val="000000" w:themeColor="text1"/>
        </w:rPr>
        <w:t>cu transportul</w:t>
      </w:r>
      <w:r w:rsidRPr="00E0488D">
        <w:t xml:space="preserve"> </w:t>
      </w:r>
      <w:r w:rsidRPr="00E0488D">
        <w:rPr>
          <w:rStyle w:val="hps"/>
          <w:rFonts w:cs="Arial"/>
          <w:color w:val="000000" w:themeColor="text1"/>
        </w:rPr>
        <w:t>rutier</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aceste locații</w:t>
      </w:r>
      <w:r w:rsidRPr="00E0488D">
        <w:t>.</w:t>
      </w:r>
    </w:p>
    <w:p w:rsidR="00BD59B2" w:rsidRPr="00E0488D" w:rsidRDefault="00BD59B2" w:rsidP="00BD59B2">
      <w:pPr>
        <w:pStyle w:val="Hdg3"/>
      </w:pPr>
      <w:r w:rsidRPr="00E0488D">
        <w:t>Concluzii</w:t>
      </w:r>
    </w:p>
    <w:p w:rsidR="00BD59B2" w:rsidRPr="00E0488D" w:rsidRDefault="00BD59B2" w:rsidP="002B7E09">
      <w:pPr>
        <w:pStyle w:val="NumberedParas"/>
      </w:pPr>
      <w:r w:rsidRPr="00E0488D">
        <w:rPr>
          <w:rStyle w:val="hps"/>
          <w:rFonts w:cs="Arial"/>
          <w:color w:val="000000" w:themeColor="text1"/>
        </w:rPr>
        <w:t>Indiferent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tipul</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întreaga</w:t>
      </w:r>
      <w:r w:rsidRPr="00E0488D">
        <w:t xml:space="preserve"> </w:t>
      </w:r>
      <w:r w:rsidRPr="00E0488D">
        <w:rPr>
          <w:rStyle w:val="hps"/>
          <w:rFonts w:cs="Arial"/>
          <w:color w:val="000000" w:themeColor="text1"/>
        </w:rPr>
        <w:t>rețea feroviară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ar fi mai</w:t>
      </w:r>
      <w:r w:rsidRPr="00E0488D">
        <w:t xml:space="preserve"> </w:t>
      </w:r>
      <w:r w:rsidRPr="00E0488D">
        <w:rPr>
          <w:rStyle w:val="hps"/>
          <w:rFonts w:cs="Arial"/>
          <w:color w:val="000000" w:themeColor="text1"/>
        </w:rPr>
        <w:t>atractivă</w:t>
      </w:r>
      <w:r w:rsidRPr="00E0488D">
        <w:t xml:space="preserve"> </w:t>
      </w:r>
      <w:r w:rsidRPr="00E0488D">
        <w:rPr>
          <w:rStyle w:val="hps"/>
          <w:rFonts w:cs="Arial"/>
          <w:color w:val="000000" w:themeColor="text1"/>
        </w:rPr>
        <w:t>pentru transportul intermodal de marfă</w:t>
      </w:r>
      <w:r w:rsidRPr="00E0488D">
        <w:t xml:space="preserve">, ca urmare a întreținerii </w:t>
      </w:r>
      <w:r w:rsidRPr="00E0488D">
        <w:rPr>
          <w:rStyle w:val="hps"/>
          <w:rFonts w:cs="Arial"/>
          <w:color w:val="000000" w:themeColor="text1"/>
        </w:rPr>
        <w:t>îmbunătățit</w:t>
      </w:r>
      <w:r w:rsidRPr="00E0488D">
        <w:t xml:space="preserve">e, </w:t>
      </w:r>
      <w:r w:rsidRPr="00E0488D">
        <w:rPr>
          <w:rStyle w:val="hps"/>
          <w:rFonts w:cs="Arial"/>
          <w:color w:val="000000" w:themeColor="text1"/>
        </w:rPr>
        <w:t>eficienței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costurilor mai mici</w:t>
      </w:r>
      <w:r w:rsidRPr="00E0488D">
        <w:t xml:space="preserve">. </w:t>
      </w:r>
      <w:r w:rsidRPr="00E0488D">
        <w:rPr>
          <w:rStyle w:val="hps"/>
          <w:rFonts w:cs="Arial"/>
          <w:color w:val="000000" w:themeColor="text1"/>
        </w:rPr>
        <w:t>Ca atare</w:t>
      </w:r>
      <w:r w:rsidRPr="00E0488D">
        <w:t xml:space="preserve">, </w:t>
      </w:r>
      <w:r w:rsidRPr="00E0488D">
        <w:rPr>
          <w:rStyle w:val="hps"/>
          <w:rFonts w:cs="Arial"/>
          <w:color w:val="000000" w:themeColor="text1"/>
        </w:rPr>
        <w:t>orice</w:t>
      </w:r>
      <w:r w:rsidRPr="00E0488D">
        <w:t xml:space="preserve"> </w:t>
      </w:r>
      <w:r w:rsidRPr="00E0488D">
        <w:rPr>
          <w:rStyle w:val="hps"/>
          <w:rFonts w:cs="Arial"/>
          <w:color w:val="000000" w:themeColor="text1"/>
        </w:rPr>
        <w:t>intervenție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îmbunătățește viteza</w:t>
      </w:r>
      <w:r w:rsidRPr="00E0488D">
        <w:t xml:space="preserve"> </w:t>
      </w:r>
      <w:r w:rsidRPr="00E0488D">
        <w:rPr>
          <w:rStyle w:val="hps"/>
          <w:rFonts w:cs="Arial"/>
          <w:color w:val="000000" w:themeColor="text1"/>
        </w:rPr>
        <w:t>trenurilor de marfă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reduce costurile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transfer modal</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timp</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bani</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binevenite</w:t>
      </w:r>
      <w:r w:rsidRPr="00E0488D">
        <w:t xml:space="preserve">, indiferent </w:t>
      </w:r>
      <w:r w:rsidRPr="00E0488D">
        <w:rPr>
          <w:rStyle w:val="hps"/>
          <w:rFonts w:cs="Arial"/>
          <w:color w:val="000000" w:themeColor="text1"/>
        </w:rPr>
        <w:t>dacă</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sunt lucrări</w:t>
      </w:r>
      <w:r w:rsidRPr="00E0488D">
        <w:t xml:space="preserve"> </w:t>
      </w:r>
      <w:r w:rsidRPr="00E0488D">
        <w:rPr>
          <w:rStyle w:val="hps"/>
          <w:rFonts w:cs="Arial"/>
          <w:color w:val="000000" w:themeColor="text1"/>
        </w:rPr>
        <w:t>de întreținere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reabilitare</w:t>
      </w:r>
      <w:r w:rsidRPr="00E0488D">
        <w:t xml:space="preserve">, îmbunătățirea </w:t>
      </w:r>
      <w:r w:rsidRPr="00E0488D">
        <w:rPr>
          <w:rStyle w:val="hps"/>
          <w:rFonts w:cs="Arial"/>
          <w:color w:val="000000" w:themeColor="text1"/>
        </w:rPr>
        <w:t>vitezei pe linie</w:t>
      </w:r>
      <w:r w:rsidRPr="00E0488D">
        <w:t xml:space="preserve">, achiționarea unor </w:t>
      </w:r>
      <w:r w:rsidRPr="00E0488D">
        <w:rPr>
          <w:rStyle w:val="hps"/>
          <w:rFonts w:cs="Arial"/>
          <w:color w:val="000000" w:themeColor="text1"/>
        </w:rPr>
        <w:t>noi</w:t>
      </w:r>
      <w:r w:rsidRPr="00E0488D">
        <w:t xml:space="preserve"> </w:t>
      </w:r>
      <w:r w:rsidRPr="00E0488D">
        <w:rPr>
          <w:rStyle w:val="hps"/>
          <w:rFonts w:cs="Arial"/>
          <w:color w:val="000000" w:themeColor="text1"/>
        </w:rPr>
        <w:t>locomotive</w:t>
      </w:r>
      <w:r w:rsidRPr="00E0488D">
        <w:t xml:space="preserve"> </w:t>
      </w:r>
      <w:r w:rsidRPr="00E0488D">
        <w:rPr>
          <w:rStyle w:val="hps"/>
          <w:rFonts w:cs="Arial"/>
          <w:color w:val="000000" w:themeColor="text1"/>
        </w:rPr>
        <w:t>si</w:t>
      </w:r>
      <w:r w:rsidRPr="00E0488D">
        <w:t xml:space="preserve"> </w:t>
      </w:r>
      <w:r w:rsidRPr="00E0488D">
        <w:rPr>
          <w:rStyle w:val="hps"/>
          <w:rFonts w:cs="Arial"/>
          <w:color w:val="000000" w:themeColor="text1"/>
        </w:rPr>
        <w:t>material rulant</w:t>
      </w:r>
      <w:r w:rsidRPr="00E0488D">
        <w:t xml:space="preserve"> </w:t>
      </w:r>
      <w:r w:rsidRPr="00E0488D">
        <w:rPr>
          <w:rStyle w:val="hps"/>
          <w:rFonts w:cs="Arial"/>
          <w:color w:val="000000" w:themeColor="text1"/>
        </w:rPr>
        <w:t>sau</w:t>
      </w:r>
      <w:r w:rsidRPr="00E0488D">
        <w:t xml:space="preserve"> creșterea sarcinii pe </w:t>
      </w:r>
      <w:r w:rsidRPr="00E0488D">
        <w:rPr>
          <w:rStyle w:val="hps"/>
          <w:rFonts w:cs="Arial"/>
          <w:color w:val="000000" w:themeColor="text1"/>
        </w:rPr>
        <w:t>osie</w:t>
      </w:r>
      <w:r w:rsidRPr="00E0488D">
        <w:t xml:space="preserve">. În particular, există necesitatea de a îmbunătăți rutarea trenurilor bloc, pentru reducerea timpilor de parcurs și creșterea competitivității. </w:t>
      </w:r>
      <w:r w:rsidRPr="00E0488D">
        <w:rPr>
          <w:rStyle w:val="hps"/>
          <w:rFonts w:cs="Arial"/>
          <w:color w:val="000000" w:themeColor="text1"/>
        </w:rPr>
        <w:t>Cu toate acestea</w:t>
      </w:r>
      <w:r w:rsidRPr="00E0488D">
        <w:t xml:space="preserve">, </w:t>
      </w:r>
      <w:r w:rsidRPr="00E0488D">
        <w:rPr>
          <w:rStyle w:val="hps"/>
          <w:rFonts w:cs="Arial"/>
          <w:color w:val="000000" w:themeColor="text1"/>
        </w:rPr>
        <w:t>anumite</w:t>
      </w:r>
      <w:r w:rsidRPr="00E0488D">
        <w:t xml:space="preserve"> </w:t>
      </w:r>
      <w:r w:rsidRPr="00E0488D">
        <w:rPr>
          <w:rStyle w:val="hps"/>
          <w:rFonts w:cs="Arial"/>
          <w:color w:val="000000" w:themeColor="text1"/>
        </w:rPr>
        <w:t>coridoare</w:t>
      </w:r>
      <w:r w:rsidRPr="00E0488D">
        <w:t xml:space="preserve"> </w:t>
      </w:r>
      <w:r w:rsidRPr="00E0488D">
        <w:rPr>
          <w:rStyle w:val="hps"/>
          <w:rFonts w:cs="Arial"/>
          <w:color w:val="000000" w:themeColor="text1"/>
        </w:rPr>
        <w:t>vor beneficia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intervenții</w:t>
      </w:r>
      <w:r w:rsidRPr="00E0488D">
        <w:t xml:space="preserve"> </w:t>
      </w:r>
      <w:r w:rsidRPr="00E0488D">
        <w:rPr>
          <w:rStyle w:val="hps"/>
          <w:rFonts w:cs="Arial"/>
          <w:color w:val="000000" w:themeColor="text1"/>
        </w:rPr>
        <w:t>mai bine orientate</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prezentate mai jos</w:t>
      </w:r>
      <w:r w:rsidRPr="00E0488D">
        <w:t>.</w:t>
      </w:r>
    </w:p>
    <w:p w:rsidR="00BD59B2" w:rsidRPr="00E0488D" w:rsidRDefault="00BD59B2" w:rsidP="002B7E09">
      <w:pPr>
        <w:pStyle w:val="NumberedParas"/>
      </w:pPr>
      <w:r w:rsidRPr="00E0488D">
        <w:rPr>
          <w:rStyle w:val="hps"/>
          <w:rFonts w:cs="Arial"/>
          <w:color w:val="000000" w:themeColor="text1"/>
        </w:rPr>
        <w:t>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Există un potențial</w:t>
      </w:r>
      <w:r w:rsidRPr="00E0488D">
        <w:t xml:space="preserve"> </w:t>
      </w:r>
      <w:r w:rsidRPr="00E0488D">
        <w:rPr>
          <w:rStyle w:val="hps"/>
          <w:rFonts w:cs="Arial"/>
          <w:color w:val="000000" w:themeColor="text1"/>
        </w:rPr>
        <w:t>semnificativ</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îmbunătățire a</w:t>
      </w:r>
      <w:r w:rsidRPr="00E0488D">
        <w:t xml:space="preserve"> </w:t>
      </w:r>
      <w:r w:rsidRPr="00E0488D">
        <w:rPr>
          <w:rStyle w:val="hps"/>
          <w:rFonts w:cs="Arial"/>
          <w:color w:val="000000" w:themeColor="text1"/>
        </w:rPr>
        <w:t>Coridorului IV</w:t>
      </w:r>
      <w:r w:rsidRPr="00E0488D">
        <w:t xml:space="preserve"> </w:t>
      </w:r>
      <w:r w:rsidRPr="00E0488D">
        <w:rPr>
          <w:rStyle w:val="hps"/>
          <w:rFonts w:cs="Arial"/>
          <w:color w:val="000000" w:themeColor="text1"/>
        </w:rPr>
        <w:t>de Sud</w:t>
      </w:r>
      <w:r w:rsidRPr="00E0488D">
        <w:t xml:space="preserve"> </w:t>
      </w:r>
      <w:r w:rsidRPr="00E0488D">
        <w:rPr>
          <w:rStyle w:val="hps"/>
          <w:rFonts w:cs="Arial"/>
          <w:color w:val="000000" w:themeColor="text1"/>
        </w:rPr>
        <w:t>care are ca rezultat</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creștere semnificativă</w:t>
      </w:r>
      <w:r w:rsidRPr="00E0488D">
        <w:t xml:space="preserve"> </w:t>
      </w:r>
      <w:r w:rsidRPr="00E0488D">
        <w:rPr>
          <w:rStyle w:val="hps"/>
          <w:rFonts w:cs="Arial"/>
          <w:color w:val="000000" w:themeColor="text1"/>
        </w:rPr>
        <w:t>a cantității de</w:t>
      </w:r>
      <w:r w:rsidRPr="00E0488D">
        <w:t xml:space="preserve"> </w:t>
      </w:r>
      <w:r w:rsidRPr="00E0488D">
        <w:rPr>
          <w:rStyle w:val="hps"/>
          <w:rFonts w:cs="Arial"/>
          <w:color w:val="000000" w:themeColor="text1"/>
        </w:rPr>
        <w:t>trafic</w:t>
      </w:r>
      <w:r w:rsidRPr="00E0488D">
        <w:t xml:space="preserve"> de </w:t>
      </w:r>
      <w:r w:rsidRPr="00E0488D">
        <w:rPr>
          <w:rStyle w:val="hps"/>
          <w:rFonts w:cs="Arial"/>
          <w:color w:val="000000" w:themeColor="text1"/>
        </w:rPr>
        <w:t>containere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 xml:space="preserve">imbunatatirea </w:t>
      </w:r>
      <w:r w:rsidRPr="00E0488D">
        <w:t xml:space="preserve"> </w:t>
      </w:r>
      <w:r w:rsidRPr="00E0488D">
        <w:rPr>
          <w:rStyle w:val="hps"/>
          <w:rFonts w:cs="Arial"/>
          <w:color w:val="000000" w:themeColor="text1"/>
        </w:rPr>
        <w:t>acestui traseu</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facilita</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traficului de tranzit</w:t>
      </w:r>
      <w:r w:rsidRPr="00E0488D">
        <w:t xml:space="preserve"> </w:t>
      </w:r>
      <w:r w:rsidRPr="00E0488D">
        <w:rPr>
          <w:rStyle w:val="hps"/>
          <w:rFonts w:cs="Arial"/>
          <w:color w:val="000000" w:themeColor="text1"/>
        </w:rPr>
        <w:t>de-a lungul</w:t>
      </w:r>
      <w:r w:rsidRPr="00E0488D">
        <w:t xml:space="preserve"> </w:t>
      </w:r>
      <w:r w:rsidRPr="00E0488D">
        <w:rPr>
          <w:rStyle w:val="hps"/>
          <w:rFonts w:cs="Arial"/>
          <w:color w:val="000000" w:themeColor="text1"/>
        </w:rPr>
        <w:t>acestui</w:t>
      </w:r>
      <w:r w:rsidRPr="00E0488D">
        <w:t xml:space="preserve"> </w:t>
      </w:r>
      <w:r w:rsidRPr="00E0488D">
        <w:rPr>
          <w:rStyle w:val="hps"/>
          <w:rFonts w:cs="Arial"/>
          <w:color w:val="000000" w:themeColor="text1"/>
        </w:rPr>
        <w:t>coridor</w:t>
      </w:r>
      <w:r w:rsidRPr="00E0488D">
        <w:t xml:space="preserve">. </w:t>
      </w:r>
      <w:r w:rsidRPr="00E0488D">
        <w:rPr>
          <w:rStyle w:val="hps"/>
          <w:rFonts w:cs="Arial"/>
          <w:color w:val="000000" w:themeColor="text1"/>
        </w:rPr>
        <w:t>În plus nu sunt luate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considerare beneficiile</w:t>
      </w:r>
      <w:r w:rsidRPr="00E0488D">
        <w:t xml:space="preserve"> </w:t>
      </w:r>
      <w:r w:rsidRPr="00E0488D">
        <w:rPr>
          <w:rStyle w:val="hps"/>
          <w:rFonts w:cs="Arial"/>
          <w:color w:val="000000" w:themeColor="text1"/>
        </w:rPr>
        <w:t>suplimentare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ar veni</w:t>
      </w:r>
      <w:r w:rsidRPr="00E0488D">
        <w:t xml:space="preserve"> </w:t>
      </w:r>
      <w:r w:rsidRPr="00E0488D">
        <w:rPr>
          <w:rStyle w:val="hps"/>
          <w:rFonts w:cs="Arial"/>
          <w:color w:val="000000" w:themeColor="text1"/>
        </w:rPr>
        <w:t>din îmbunătățirea legăturilor</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anumite porturi</w:t>
      </w:r>
      <w:r w:rsidRPr="00E0488D">
        <w:t xml:space="preserve">-cheie </w:t>
      </w:r>
      <w:r w:rsidRPr="00E0488D">
        <w:rPr>
          <w:rStyle w:val="hps"/>
          <w:rFonts w:cs="Arial"/>
          <w:color w:val="000000" w:themeColor="text1"/>
        </w:rPr>
        <w:t>de-a lungul</w:t>
      </w:r>
      <w:r w:rsidRPr="00E0488D">
        <w:t xml:space="preserve"> </w:t>
      </w:r>
      <w:r w:rsidRPr="00E0488D">
        <w:rPr>
          <w:rStyle w:val="hps"/>
          <w:rFonts w:cs="Arial"/>
          <w:color w:val="000000" w:themeColor="text1"/>
        </w:rPr>
        <w:t>Dunării</w:t>
      </w:r>
      <w:r w:rsidRPr="00E0488D">
        <w:t xml:space="preserve"> </w:t>
      </w:r>
      <w:r w:rsidRPr="00E0488D">
        <w:rPr>
          <w:rStyle w:val="hps"/>
          <w:rFonts w:cs="Arial"/>
          <w:color w:val="000000" w:themeColor="text1"/>
        </w:rPr>
        <w:t>în sine</w:t>
      </w:r>
      <w:r w:rsidRPr="00E0488D">
        <w:t xml:space="preserve">, </w:t>
      </w:r>
      <w:r w:rsidRPr="00E0488D">
        <w:rPr>
          <w:rStyle w:val="hps"/>
          <w:rFonts w:cs="Arial"/>
          <w:color w:val="000000" w:themeColor="text1"/>
        </w:rPr>
        <w:t>inclusiv</w:t>
      </w:r>
      <w:r w:rsidRPr="00E0488D">
        <w:t xml:space="preserve"> </w:t>
      </w:r>
      <w:r w:rsidRPr="00E0488D">
        <w:rPr>
          <w:rStyle w:val="hps"/>
          <w:rFonts w:cs="Arial"/>
          <w:color w:val="000000" w:themeColor="text1"/>
        </w:rPr>
        <w:t>Drobeta-Turnu</w:t>
      </w:r>
      <w:r w:rsidRPr="00E0488D">
        <w:t xml:space="preserve">-Severin </w:t>
      </w:r>
      <w:r w:rsidRPr="00E0488D">
        <w:rPr>
          <w:rStyle w:val="hps"/>
          <w:rFonts w:cs="Arial"/>
          <w:color w:val="000000" w:themeColor="text1"/>
        </w:rPr>
        <w:t>(</w:t>
      </w:r>
      <w:r w:rsidRPr="00E0488D">
        <w:t xml:space="preserve">recomandat </w:t>
      </w:r>
      <w:r w:rsidRPr="00E0488D">
        <w:rPr>
          <w:rStyle w:val="hps"/>
          <w:rFonts w:cs="Arial"/>
          <w:color w:val="000000" w:themeColor="text1"/>
        </w:rPr>
        <w:t>pentru</w:t>
      </w:r>
      <w:r w:rsidRPr="00E0488D">
        <w:t xml:space="preserve"> construirea </w:t>
      </w:r>
      <w:r w:rsidRPr="00E0488D">
        <w:rPr>
          <w:rStyle w:val="hps"/>
          <w:rFonts w:cs="Arial"/>
          <w:color w:val="000000" w:themeColor="text1"/>
        </w:rPr>
        <w:t>unui</w:t>
      </w:r>
      <w:r w:rsidRPr="00E0488D">
        <w:t xml:space="preserve"> </w:t>
      </w:r>
      <w:r w:rsidRPr="00E0488D">
        <w:rPr>
          <w:rStyle w:val="hps"/>
          <w:rFonts w:cs="Arial"/>
          <w:color w:val="000000" w:themeColor="text1"/>
        </w:rPr>
        <w:t>nou</w:t>
      </w:r>
      <w:r w:rsidRPr="00E0488D">
        <w:t xml:space="preserve"> </w:t>
      </w:r>
      <w:r w:rsidRPr="00E0488D">
        <w:rPr>
          <w:rStyle w:val="hps"/>
          <w:rFonts w:cs="Arial"/>
          <w:color w:val="000000" w:themeColor="text1"/>
        </w:rPr>
        <w:t>terminal intermodal,</w:t>
      </w:r>
      <w:r w:rsidRPr="00E0488D">
        <w:t xml:space="preserve"> descrisă </w:t>
      </w:r>
      <w:r w:rsidRPr="00E0488D">
        <w:rPr>
          <w:rStyle w:val="hps"/>
          <w:rFonts w:cs="Arial"/>
          <w:color w:val="000000" w:themeColor="text1"/>
        </w:rPr>
        <w:t>într-o altă secțiune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această strategie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noul pod</w:t>
      </w:r>
      <w:r w:rsidRPr="00E0488D">
        <w:t xml:space="preserve"> </w:t>
      </w:r>
      <w:r w:rsidRPr="00E0488D">
        <w:rPr>
          <w:rStyle w:val="hps"/>
          <w:rFonts w:cs="Arial"/>
          <w:color w:val="000000" w:themeColor="text1"/>
        </w:rPr>
        <w:t>de cale ferată de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Calafat</w:t>
      </w:r>
      <w:r w:rsidRPr="00E0488D">
        <w:rPr>
          <w:rStyle w:val="atn"/>
          <w:rFonts w:cs="Arial"/>
          <w:color w:val="000000" w:themeColor="text1"/>
        </w:rPr>
        <w:t>-</w:t>
      </w:r>
      <w:r w:rsidRPr="00E0488D">
        <w:t xml:space="preserve">Vidin </w:t>
      </w:r>
      <w:r w:rsidRPr="00E0488D">
        <w:rPr>
          <w:rStyle w:val="hps"/>
          <w:rFonts w:cs="Arial"/>
          <w:color w:val="000000" w:themeColor="text1"/>
        </w:rPr>
        <w:t>(</w:t>
      </w:r>
      <w:r w:rsidRPr="00E0488D">
        <w:t xml:space="preserve">și </w:t>
      </w:r>
      <w:r w:rsidRPr="00E0488D">
        <w:rPr>
          <w:rStyle w:val="hps"/>
          <w:rFonts w:cs="Arial"/>
          <w:color w:val="000000" w:themeColor="text1"/>
        </w:rPr>
        <w:t>accesul pe care îl</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propusul</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tri</w:t>
      </w:r>
      <w:r w:rsidRPr="00E0488D">
        <w:rPr>
          <w:rStyle w:val="atn"/>
          <w:rFonts w:cs="Arial"/>
          <w:color w:val="000000" w:themeColor="text1"/>
        </w:rPr>
        <w:t>-</w:t>
      </w:r>
      <w:r w:rsidRPr="00E0488D">
        <w:t>modal</w:t>
      </w:r>
      <w:r w:rsidRPr="00E0488D">
        <w:rPr>
          <w:rStyle w:val="hps"/>
          <w:rFonts w:cs="Arial"/>
          <w:color w:val="000000" w:themeColor="text1"/>
        </w:rPr>
        <w:t xml:space="preserve"> de la Vidin</w:t>
      </w:r>
      <w:r w:rsidRPr="00E0488D">
        <w:t xml:space="preserve">). </w:t>
      </w:r>
      <w:r w:rsidRPr="00E0488D">
        <w:rPr>
          <w:rStyle w:val="hps"/>
          <w:rFonts w:cs="Arial"/>
          <w:color w:val="000000" w:themeColor="text1"/>
        </w:rPr>
        <w:t>Încurajarea</w:t>
      </w:r>
      <w:r w:rsidRPr="00E0488D">
        <w:t xml:space="preserve"> </w:t>
      </w:r>
      <w:r w:rsidRPr="00E0488D">
        <w:rPr>
          <w:rStyle w:val="hps"/>
          <w:rFonts w:cs="Arial"/>
          <w:color w:val="000000" w:themeColor="text1"/>
        </w:rPr>
        <w:t>legăturilor</w:t>
      </w:r>
      <w:r w:rsidRPr="00E0488D">
        <w:t xml:space="preserve"> </w:t>
      </w:r>
      <w:r w:rsidRPr="00E0488D">
        <w:rPr>
          <w:rStyle w:val="hps"/>
          <w:rFonts w:cs="Arial"/>
          <w:color w:val="000000" w:themeColor="text1"/>
        </w:rPr>
        <w:t>mai bune între</w:t>
      </w:r>
      <w:r w:rsidRPr="00E0488D">
        <w:t xml:space="preserve"> </w:t>
      </w:r>
      <w:r w:rsidRPr="00E0488D">
        <w:rPr>
          <w:rStyle w:val="hps"/>
          <w:rFonts w:cs="Arial"/>
          <w:color w:val="000000" w:themeColor="text1"/>
        </w:rPr>
        <w:t>Dunăre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rețeaua</w:t>
      </w:r>
      <w:r w:rsidRPr="00E0488D">
        <w:t xml:space="preserve"> </w:t>
      </w:r>
      <w:r w:rsidRPr="00E0488D">
        <w:rPr>
          <w:rStyle w:val="hps"/>
          <w:rFonts w:cs="Arial"/>
          <w:color w:val="000000" w:themeColor="text1"/>
        </w:rPr>
        <w:t>de cale ferată va</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cantității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marfă</w:t>
      </w:r>
      <w:r w:rsidRPr="00E0488D">
        <w:t xml:space="preserve"> </w:t>
      </w:r>
      <w:r w:rsidRPr="00E0488D">
        <w:rPr>
          <w:rStyle w:val="hps"/>
          <w:rFonts w:cs="Arial"/>
          <w:color w:val="000000" w:themeColor="text1"/>
        </w:rPr>
        <w:t>intermodală</w:t>
      </w:r>
      <w:r w:rsidRPr="00E0488D">
        <w:t xml:space="preserve"> </w:t>
      </w:r>
      <w:r w:rsidRPr="00E0488D">
        <w:rPr>
          <w:rStyle w:val="hps"/>
          <w:rFonts w:cs="Arial"/>
          <w:color w:val="000000" w:themeColor="text1"/>
        </w:rPr>
        <w:t>care</w:t>
      </w:r>
      <w:r w:rsidRPr="00E0488D">
        <w:t xml:space="preserve"> ar putea</w:t>
      </w:r>
      <w:r w:rsidRPr="00E0488D">
        <w:rPr>
          <w:rStyle w:val="hps"/>
          <w:rFonts w:cs="Arial"/>
          <w:color w:val="000000" w:themeColor="text1"/>
        </w:rPr>
        <w:t xml:space="preserve"> fi transportată</w:t>
      </w:r>
      <w:r w:rsidRPr="00E0488D">
        <w:t xml:space="preserve"> </w:t>
      </w:r>
      <w:r w:rsidRPr="00E0488D">
        <w:rPr>
          <w:rStyle w:val="hps"/>
          <w:rFonts w:cs="Arial"/>
          <w:color w:val="000000" w:themeColor="text1"/>
        </w:rPr>
        <w:t>și</w:t>
      </w:r>
      <w:r w:rsidRPr="00E0488D">
        <w:t xml:space="preserve"> a </w:t>
      </w:r>
      <w:r w:rsidRPr="00E0488D">
        <w:rPr>
          <w:rStyle w:val="hps"/>
          <w:rFonts w:cs="Arial"/>
          <w:color w:val="000000" w:themeColor="text1"/>
        </w:rPr>
        <w:t>ratei de penetrare</w:t>
      </w:r>
      <w:r w:rsidRPr="00E0488D">
        <w:t xml:space="preserve"> </w:t>
      </w:r>
      <w:r w:rsidRPr="00E0488D">
        <w:rPr>
          <w:rStyle w:val="hps"/>
          <w:rFonts w:cs="Arial"/>
          <w:color w:val="000000" w:themeColor="text1"/>
        </w:rPr>
        <w:t>(</w:t>
      </w:r>
      <w:r w:rsidRPr="00E0488D">
        <w:t xml:space="preserve">pe </w:t>
      </w:r>
      <w:r w:rsidRPr="00E0488D">
        <w:rPr>
          <w:rStyle w:val="hps"/>
          <w:rFonts w:cs="Arial"/>
          <w:color w:val="000000" w:themeColor="text1"/>
        </w:rPr>
        <w:t>modurile de transport durabile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zonele de peste</w:t>
      </w:r>
      <w:r w:rsidRPr="00E0488D">
        <w:t xml:space="preserve"> </w:t>
      </w:r>
      <w:r w:rsidRPr="00E0488D">
        <w:rPr>
          <w:rStyle w:val="hps"/>
          <w:rFonts w:cs="Arial"/>
          <w:color w:val="000000" w:themeColor="text1"/>
        </w:rPr>
        <w:t>Dunăre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Sud</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din urmă</w:t>
      </w:r>
      <w:r w:rsidRPr="00E0488D">
        <w:t xml:space="preserve"> </w:t>
      </w:r>
      <w:r w:rsidRPr="00E0488D">
        <w:rPr>
          <w:rStyle w:val="hps"/>
          <w:rFonts w:cs="Arial"/>
          <w:color w:val="000000" w:themeColor="text1"/>
        </w:rPr>
        <w:t>obiectiv va</w:t>
      </w:r>
      <w:r w:rsidRPr="00E0488D">
        <w:t xml:space="preserve"> </w:t>
      </w:r>
      <w:r w:rsidRPr="00E0488D">
        <w:rPr>
          <w:rStyle w:val="hps"/>
          <w:rFonts w:cs="Arial"/>
          <w:color w:val="000000" w:themeColor="text1"/>
        </w:rPr>
        <w:t xml:space="preserve">fi susținut </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crearea unui</w:t>
      </w:r>
      <w:r w:rsidRPr="00E0488D">
        <w:t xml:space="preserve"> </w:t>
      </w:r>
      <w:r w:rsidRPr="00E0488D">
        <w:rPr>
          <w:rStyle w:val="hps"/>
          <w:rFonts w:cs="Arial"/>
          <w:color w:val="000000" w:themeColor="text1"/>
        </w:rPr>
        <w:t>terminal intermodal</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Craiova, Timișoara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crearea unui</w:t>
      </w:r>
      <w:r w:rsidRPr="00E0488D">
        <w:t xml:space="preserve"> </w:t>
      </w:r>
      <w:r w:rsidRPr="00E0488D">
        <w:rPr>
          <w:rStyle w:val="hps"/>
          <w:rFonts w:cs="Arial"/>
          <w:color w:val="000000" w:themeColor="text1"/>
        </w:rPr>
        <w:t>nou</w:t>
      </w:r>
      <w:r w:rsidRPr="00E0488D">
        <w:t xml:space="preserve"> </w:t>
      </w:r>
      <w:r w:rsidRPr="00E0488D">
        <w:rPr>
          <w:rStyle w:val="hps"/>
          <w:rFonts w:cs="Arial"/>
          <w:color w:val="000000" w:themeColor="text1"/>
        </w:rPr>
        <w:t xml:space="preserve">terminal </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Având în vedere</w:t>
      </w:r>
      <w:r w:rsidRPr="00E0488D">
        <w:t xml:space="preserve"> </w:t>
      </w:r>
      <w:r w:rsidRPr="00E0488D">
        <w:rPr>
          <w:rStyle w:val="hps"/>
          <w:rFonts w:cs="Arial"/>
          <w:color w:val="000000" w:themeColor="text1"/>
        </w:rPr>
        <w:t>această</w:t>
      </w:r>
      <w:r w:rsidRPr="00E0488D">
        <w:t xml:space="preserve"> </w:t>
      </w:r>
      <w:r w:rsidRPr="00E0488D">
        <w:rPr>
          <w:rStyle w:val="hps"/>
          <w:rFonts w:cs="Arial"/>
          <w:color w:val="000000" w:themeColor="text1"/>
        </w:rPr>
        <w:t>conectivitate</w:t>
      </w:r>
      <w:r w:rsidRPr="00E0488D">
        <w:t xml:space="preserve">, cât </w:t>
      </w:r>
      <w:r w:rsidRPr="00E0488D">
        <w:rPr>
          <w:rStyle w:val="hps"/>
          <w:rFonts w:cs="Arial"/>
          <w:color w:val="000000" w:themeColor="text1"/>
        </w:rPr>
        <w:t>și</w:t>
      </w:r>
      <w:r w:rsidRPr="00E0488D">
        <w:t xml:space="preserve"> </w:t>
      </w:r>
      <w:r w:rsidRPr="00E0488D">
        <w:rPr>
          <w:rStyle w:val="hps"/>
          <w:rFonts w:cs="Arial"/>
          <w:color w:val="000000" w:themeColor="text1"/>
        </w:rPr>
        <w:t>capacitatea liniei de</w:t>
      </w:r>
      <w:r w:rsidRPr="00E0488D">
        <w:t xml:space="preserve"> </w:t>
      </w:r>
      <w:r w:rsidRPr="00E0488D">
        <w:rPr>
          <w:rStyle w:val="hps"/>
          <w:rFonts w:cs="Arial"/>
          <w:color w:val="000000" w:themeColor="text1"/>
        </w:rPr>
        <w:t>conexiune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frontiera de vest</w:t>
      </w:r>
      <w:r w:rsidRPr="00E0488D">
        <w:t xml:space="preserve"> </w:t>
      </w:r>
      <w:r w:rsidRPr="00E0488D">
        <w:rPr>
          <w:rStyle w:val="hps"/>
          <w:rFonts w:cs="Arial"/>
          <w:color w:val="000000" w:themeColor="text1"/>
        </w:rPr>
        <w:t>evitând în același timp</w:t>
      </w:r>
      <w:r w:rsidRPr="00E0488D">
        <w:t xml:space="preserve"> </w:t>
      </w:r>
      <w:r w:rsidRPr="00E0488D">
        <w:rPr>
          <w:rStyle w:val="hps"/>
          <w:rFonts w:cs="Arial"/>
          <w:color w:val="000000" w:themeColor="text1"/>
        </w:rPr>
        <w:t>o mare parte din</w:t>
      </w:r>
      <w:r w:rsidRPr="00E0488D">
        <w:t xml:space="preserve"> zona montană </w:t>
      </w:r>
      <w:r w:rsidRPr="00E0488D">
        <w:rPr>
          <w:rStyle w:val="hps"/>
          <w:rFonts w:cs="Arial"/>
          <w:color w:val="000000" w:themeColor="text1"/>
        </w:rPr>
        <w:t>din centrul României</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 xml:space="preserve"> Sud</w:t>
      </w:r>
      <w:r w:rsidRPr="00E0488D">
        <w:t xml:space="preserve"> </w:t>
      </w:r>
      <w:r w:rsidRPr="00E0488D">
        <w:rPr>
          <w:rStyle w:val="hps"/>
          <w:rFonts w:cs="Arial"/>
          <w:color w:val="000000" w:themeColor="text1"/>
        </w:rPr>
        <w:t>este, probabil,</w:t>
      </w:r>
      <w:r w:rsidRPr="00E0488D">
        <w:t xml:space="preserve"> </w:t>
      </w:r>
      <w:r w:rsidRPr="00E0488D">
        <w:rPr>
          <w:rStyle w:val="hps"/>
          <w:rFonts w:cs="Arial"/>
          <w:color w:val="000000" w:themeColor="text1"/>
        </w:rPr>
        <w:t>cel mai potrivit</w:t>
      </w:r>
      <w:r w:rsidRPr="00E0488D">
        <w:t xml:space="preserve"> </w:t>
      </w:r>
      <w:r w:rsidRPr="00E0488D">
        <w:rPr>
          <w:rStyle w:val="hps"/>
          <w:rFonts w:cs="Arial"/>
          <w:color w:val="000000" w:themeColor="text1"/>
        </w:rPr>
        <w:t>pentru a</w:t>
      </w:r>
      <w:r w:rsidRPr="00E0488D">
        <w:t xml:space="preserve"> </w:t>
      </w:r>
      <w:r w:rsidRPr="00E0488D">
        <w:rPr>
          <w:rStyle w:val="hps"/>
          <w:rFonts w:cs="Arial"/>
          <w:color w:val="000000" w:themeColor="text1"/>
        </w:rPr>
        <w:t>beneficia din</w:t>
      </w:r>
      <w:r w:rsidRPr="00E0488D">
        <w:t xml:space="preserve">; îmbunătățirea </w:t>
      </w:r>
      <w:r w:rsidRPr="00E0488D">
        <w:rPr>
          <w:rStyle w:val="hps"/>
          <w:rFonts w:cs="Arial"/>
          <w:color w:val="000000" w:themeColor="text1"/>
        </w:rPr>
        <w:t>vitezei pe linie</w:t>
      </w:r>
      <w:r w:rsidRPr="00E0488D">
        <w:t xml:space="preserve">, creșterea </w:t>
      </w:r>
      <w:r w:rsidRPr="00E0488D">
        <w:rPr>
          <w:rStyle w:val="hps"/>
          <w:rFonts w:cs="Arial"/>
          <w:color w:val="000000" w:themeColor="text1"/>
        </w:rPr>
        <w:t>greutății pe osie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mai multă</w:t>
      </w:r>
      <w:r w:rsidRPr="00E0488D">
        <w:t xml:space="preserve"> </w:t>
      </w:r>
      <w:r w:rsidRPr="00E0488D">
        <w:rPr>
          <w:rStyle w:val="hps"/>
          <w:rFonts w:cs="Arial"/>
          <w:color w:val="000000" w:themeColor="text1"/>
        </w:rPr>
        <w:t>infrastructură modernă</w:t>
      </w:r>
      <w:r w:rsidRPr="00E0488D">
        <w:t xml:space="preserve">, </w:t>
      </w:r>
      <w:r w:rsidRPr="00E0488D">
        <w:rPr>
          <w:rStyle w:val="hps"/>
          <w:rFonts w:cs="Arial"/>
          <w:color w:val="000000" w:themeColor="text1"/>
        </w:rPr>
        <w:t>​​materialul rulant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locomotive</w:t>
      </w:r>
      <w:r w:rsidRPr="00E0488D">
        <w:t xml:space="preserve">, care vor </w:t>
      </w:r>
      <w:r w:rsidRPr="00E0488D">
        <w:rPr>
          <w:rStyle w:val="hps"/>
          <w:rFonts w:cs="Arial"/>
          <w:color w:val="000000" w:themeColor="text1"/>
        </w:rPr>
        <w:t>crește cantitatea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marfă</w:t>
      </w:r>
      <w:r w:rsidRPr="00E0488D">
        <w:t xml:space="preserve"> </w:t>
      </w:r>
      <w:r w:rsidRPr="00E0488D">
        <w:rPr>
          <w:rStyle w:val="hps"/>
          <w:rFonts w:cs="Arial"/>
          <w:color w:val="000000" w:themeColor="text1"/>
        </w:rPr>
        <w:t>internațională de</w:t>
      </w:r>
      <w:r w:rsidRPr="00E0488D">
        <w:t xml:space="preserve"> </w:t>
      </w:r>
      <w:r w:rsidRPr="00E0488D">
        <w:rPr>
          <w:rStyle w:val="hps"/>
          <w:rFonts w:cs="Arial"/>
          <w:color w:val="000000" w:themeColor="text1"/>
        </w:rPr>
        <w:t>operat pe</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precum și</w:t>
      </w:r>
      <w:r w:rsidRPr="00E0488D">
        <w:t xml:space="preserve"> </w:t>
      </w:r>
      <w:r w:rsidRPr="00E0488D">
        <w:rPr>
          <w:rStyle w:val="hps"/>
          <w:rFonts w:cs="Arial"/>
          <w:color w:val="000000" w:themeColor="text1"/>
        </w:rPr>
        <w:t>traficul</w:t>
      </w:r>
      <w:r w:rsidRPr="00E0488D">
        <w:t xml:space="preserve"> </w:t>
      </w:r>
      <w:r w:rsidRPr="00E0488D">
        <w:rPr>
          <w:rStyle w:val="hps"/>
          <w:rFonts w:cs="Arial"/>
          <w:color w:val="000000" w:themeColor="text1"/>
        </w:rPr>
        <w:t>intern</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 xml:space="preserve"> se desfășoară pe cale rutieră</w:t>
      </w:r>
      <w:r w:rsidRPr="00E0488D">
        <w:t xml:space="preserve">. </w:t>
      </w:r>
    </w:p>
    <w:p w:rsidR="00BD59B2" w:rsidRPr="00E0488D" w:rsidRDefault="00BD59B2" w:rsidP="002B7E09">
      <w:pPr>
        <w:pStyle w:val="NumberedParas"/>
      </w:pPr>
      <w:r w:rsidRPr="00E0488D">
        <w:rPr>
          <w:rStyle w:val="hps"/>
          <w:rFonts w:cs="Arial"/>
          <w:color w:val="000000" w:themeColor="text1"/>
        </w:rPr>
        <w:t>Coridorul</w:t>
      </w:r>
      <w:r w:rsidRPr="00E0488D">
        <w:t xml:space="preserve"> </w:t>
      </w:r>
      <w:r w:rsidRPr="00E0488D">
        <w:rPr>
          <w:rStyle w:val="hps"/>
          <w:rFonts w:cs="Arial"/>
          <w:color w:val="000000" w:themeColor="text1"/>
        </w:rPr>
        <w:t>IV</w:t>
      </w:r>
      <w:r w:rsidRPr="00E0488D">
        <w:t xml:space="preserve"> </w:t>
      </w:r>
      <w:r w:rsidRPr="00E0488D">
        <w:rPr>
          <w:rStyle w:val="hps"/>
          <w:rFonts w:cs="Arial"/>
          <w:color w:val="000000" w:themeColor="text1"/>
        </w:rPr>
        <w:t>(</w:t>
      </w:r>
      <w:r w:rsidRPr="00E0488D">
        <w:t xml:space="preserve">Nord): </w:t>
      </w:r>
      <w:r w:rsidRPr="00E0488D">
        <w:rPr>
          <w:rStyle w:val="hps"/>
          <w:rFonts w:cs="Arial"/>
          <w:color w:val="000000" w:themeColor="text1"/>
        </w:rPr>
        <w:t>În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acest coridor</w:t>
      </w:r>
      <w:r w:rsidRPr="00E0488D">
        <w:t xml:space="preserve"> </w:t>
      </w:r>
      <w:r w:rsidRPr="00E0488D">
        <w:rPr>
          <w:rStyle w:val="hps"/>
          <w:rFonts w:cs="Arial"/>
          <w:color w:val="000000" w:themeColor="text1"/>
        </w:rPr>
        <w:t>rulează</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punctul de trecere</w:t>
      </w:r>
      <w:r w:rsidRPr="00E0488D">
        <w:t xml:space="preserve"> </w:t>
      </w:r>
      <w:r w:rsidRPr="00E0488D">
        <w:rPr>
          <w:rStyle w:val="hps"/>
          <w:rFonts w:cs="Arial"/>
          <w:color w:val="000000" w:themeColor="text1"/>
        </w:rPr>
        <w:t>frontieră cu Ungaria în apropiere de Arad</w:t>
      </w:r>
      <w:r w:rsidRPr="00E0488D">
        <w:t xml:space="preserve"> </w:t>
      </w:r>
      <w:r w:rsidRPr="00E0488D">
        <w:rPr>
          <w:rStyle w:val="hps"/>
          <w:rFonts w:cs="Arial"/>
          <w:color w:val="000000" w:themeColor="text1"/>
        </w:rPr>
        <w:t>(</w:t>
      </w:r>
      <w:r w:rsidRPr="00E0488D">
        <w:t xml:space="preserve">Curtici), </w:t>
      </w:r>
      <w:r w:rsidRPr="00E0488D">
        <w:rPr>
          <w:rStyle w:val="hps"/>
          <w:rFonts w:cs="Arial"/>
          <w:color w:val="000000" w:themeColor="text1"/>
        </w:rPr>
        <w:t>în</w:t>
      </w:r>
      <w:r w:rsidRPr="00E0488D">
        <w:t xml:space="preserve"> </w:t>
      </w:r>
      <w:r w:rsidRPr="00E0488D">
        <w:rPr>
          <w:rStyle w:val="hps"/>
          <w:rFonts w:cs="Arial"/>
          <w:color w:val="000000" w:themeColor="text1"/>
        </w:rPr>
        <w:t>partea de vest,</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spre Portul</w:t>
      </w:r>
      <w:r w:rsidRPr="00E0488D">
        <w:t xml:space="preserve"> </w:t>
      </w:r>
      <w:r w:rsidRPr="00E0488D">
        <w:rPr>
          <w:rStyle w:val="hps"/>
          <w:rFonts w:cs="Arial"/>
          <w:color w:val="000000" w:themeColor="text1"/>
        </w:rPr>
        <w:t>Constanța</w:t>
      </w:r>
      <w:r w:rsidRPr="00E0488D">
        <w:t xml:space="preserve"> în </w:t>
      </w:r>
      <w:r w:rsidRPr="00E0488D">
        <w:rPr>
          <w:rStyle w:val="hps"/>
          <w:rFonts w:cs="Arial"/>
          <w:color w:val="000000" w:themeColor="text1"/>
        </w:rPr>
        <w:t>sud-est</w:t>
      </w:r>
      <w:r w:rsidRPr="00E0488D">
        <w:t xml:space="preserve">. </w:t>
      </w:r>
      <w:r w:rsidRPr="00E0488D">
        <w:rPr>
          <w:rStyle w:val="hps"/>
          <w:rFonts w:cs="Arial"/>
          <w:color w:val="000000" w:themeColor="text1"/>
        </w:rPr>
        <w:t>Ca atare, acesta</w:t>
      </w:r>
      <w:r w:rsidRPr="00E0488D">
        <w:t xml:space="preserve"> </w:t>
      </w:r>
      <w:r w:rsidRPr="00E0488D">
        <w:rPr>
          <w:rStyle w:val="hps"/>
          <w:rFonts w:cs="Arial"/>
          <w:color w:val="000000" w:themeColor="text1"/>
        </w:rPr>
        <w:t>trece pe lângă</w:t>
      </w:r>
      <w:r w:rsidRPr="00E0488D">
        <w:t xml:space="preserve"> </w:t>
      </w:r>
      <w:r w:rsidRPr="00E0488D">
        <w:rPr>
          <w:rStyle w:val="hps"/>
          <w:rFonts w:cs="Arial"/>
          <w:color w:val="000000" w:themeColor="text1"/>
        </w:rPr>
        <w:t>câteva</w:t>
      </w:r>
      <w:r w:rsidRPr="00E0488D">
        <w:t xml:space="preserve"> </w:t>
      </w:r>
      <w:r w:rsidRPr="00E0488D">
        <w:rPr>
          <w:rStyle w:val="hps"/>
          <w:rFonts w:cs="Arial"/>
          <w:color w:val="000000" w:themeColor="text1"/>
        </w:rPr>
        <w:t>orase importante</w:t>
      </w:r>
      <w:r w:rsidRPr="00E0488D">
        <w:t xml:space="preserve"> </w:t>
      </w:r>
      <w:r w:rsidRPr="00E0488D">
        <w:rPr>
          <w:rStyle w:val="hps"/>
          <w:rFonts w:cs="Arial"/>
          <w:color w:val="000000" w:themeColor="text1"/>
        </w:rPr>
        <w:t>si orășele</w:t>
      </w:r>
      <w:r w:rsidRPr="00E0488D">
        <w:t xml:space="preserve">, cum ar fi </w:t>
      </w:r>
      <w:r w:rsidRPr="00E0488D">
        <w:rPr>
          <w:rStyle w:val="hps"/>
          <w:rFonts w:cs="Arial"/>
          <w:color w:val="000000" w:themeColor="text1"/>
        </w:rPr>
        <w:t>Ploiesti</w:t>
      </w:r>
      <w:r w:rsidRPr="00E0488D">
        <w:t xml:space="preserve"> </w:t>
      </w:r>
      <w:r w:rsidRPr="00E0488D">
        <w:rPr>
          <w:rStyle w:val="hps"/>
          <w:rFonts w:cs="Arial"/>
          <w:color w:val="000000" w:themeColor="text1"/>
        </w:rPr>
        <w:t>si</w:t>
      </w:r>
      <w:r w:rsidRPr="00E0488D">
        <w:t xml:space="preserve"> </w:t>
      </w:r>
      <w:r w:rsidRPr="00E0488D">
        <w:rPr>
          <w:rStyle w:val="hps"/>
          <w:rFonts w:cs="Arial"/>
          <w:color w:val="000000" w:themeColor="text1"/>
        </w:rPr>
        <w:t>Brasov</w:t>
      </w:r>
      <w:r w:rsidRPr="00E0488D">
        <w:t xml:space="preserve">, </w:t>
      </w:r>
      <w:r w:rsidRPr="00E0488D">
        <w:rPr>
          <w:rStyle w:val="hps"/>
          <w:rFonts w:cs="Arial"/>
          <w:color w:val="000000" w:themeColor="text1"/>
        </w:rPr>
        <w:t>pe lângă faptul că</w:t>
      </w:r>
      <w:r w:rsidRPr="00E0488D">
        <w:t xml:space="preserve"> </w:t>
      </w:r>
      <w:r w:rsidRPr="00E0488D">
        <w:rPr>
          <w:rStyle w:val="hps"/>
          <w:rFonts w:cs="Arial"/>
          <w:color w:val="000000" w:themeColor="text1"/>
        </w:rPr>
        <w:t xml:space="preserve">furnizează o legătură </w:t>
      </w:r>
      <w:r w:rsidRPr="00E0488D">
        <w:t xml:space="preserve">cheie </w:t>
      </w:r>
      <w:r w:rsidRPr="00E0488D">
        <w:rPr>
          <w:rStyle w:val="hps"/>
          <w:rFonts w:cs="Arial"/>
          <w:color w:val="000000" w:themeColor="text1"/>
        </w:rPr>
        <w:t>între</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Marea Neagră</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acest</w:t>
      </w:r>
      <w:r w:rsidRPr="00E0488D">
        <w:t xml:space="preserve"> </w:t>
      </w:r>
      <w:r w:rsidRPr="00E0488D">
        <w:rPr>
          <w:rStyle w:val="hps"/>
          <w:rFonts w:cs="Arial"/>
          <w:color w:val="000000" w:themeColor="text1"/>
        </w:rPr>
        <w:t>comerț</w:t>
      </w:r>
      <w:r w:rsidRPr="00E0488D">
        <w:t xml:space="preserve"> </w:t>
      </w:r>
      <w:r w:rsidRPr="00E0488D">
        <w:rPr>
          <w:rStyle w:val="hps"/>
          <w:rFonts w:cs="Arial"/>
          <w:color w:val="000000" w:themeColor="text1"/>
        </w:rPr>
        <w:t>din urmă</w:t>
      </w:r>
      <w:r w:rsidRPr="00E0488D">
        <w:t xml:space="preserve"> </w:t>
      </w:r>
      <w:r w:rsidRPr="00E0488D">
        <w:rPr>
          <w:rStyle w:val="hps"/>
          <w:rFonts w:cs="Arial"/>
          <w:color w:val="000000" w:themeColor="text1"/>
        </w:rPr>
        <w:t>este bine dezvoltat</w:t>
      </w:r>
      <w:r w:rsidRPr="00E0488D">
        <w:t xml:space="preserve"> </w:t>
      </w:r>
      <w:r w:rsidRPr="00E0488D">
        <w:rPr>
          <w:rStyle w:val="hps"/>
          <w:rFonts w:cs="Arial"/>
          <w:color w:val="000000" w:themeColor="text1"/>
        </w:rPr>
        <w:t>(unde transportul feroviar are o</w:t>
      </w:r>
      <w:r w:rsidRPr="00E0488D">
        <w:t xml:space="preserve"> </w:t>
      </w:r>
      <w:r w:rsidRPr="00E0488D">
        <w:rPr>
          <w:rStyle w:val="hps"/>
          <w:rFonts w:cs="Arial"/>
          <w:color w:val="000000" w:themeColor="text1"/>
        </w:rPr>
        <w:t>pondere</w:t>
      </w:r>
      <w:r w:rsidRPr="00E0488D">
        <w:t xml:space="preserve"> modală </w:t>
      </w:r>
      <w:r w:rsidRPr="00E0488D">
        <w:rPr>
          <w:rStyle w:val="hps"/>
          <w:rFonts w:cs="Arial"/>
          <w:color w:val="000000" w:themeColor="text1"/>
        </w:rPr>
        <w:t>relativ</w:t>
      </w:r>
      <w:r w:rsidRPr="00E0488D">
        <w:t xml:space="preserve"> </w:t>
      </w:r>
      <w:r w:rsidRPr="00E0488D">
        <w:rPr>
          <w:rStyle w:val="hps"/>
          <w:rFonts w:cs="Arial"/>
          <w:color w:val="000000" w:themeColor="text1"/>
        </w:rPr>
        <w:t>ridicată</w:t>
      </w:r>
      <w:r w:rsidRPr="00E0488D">
        <w:t xml:space="preserve">) </w:t>
      </w:r>
      <w:r w:rsidRPr="00E0488D">
        <w:rPr>
          <w:rStyle w:val="hps"/>
          <w:rFonts w:cs="Arial"/>
          <w:color w:val="000000" w:themeColor="text1"/>
        </w:rPr>
        <w:t>legăturile de</w:t>
      </w:r>
      <w:r w:rsidRPr="00E0488D">
        <w:t xml:space="preserve"> </w:t>
      </w:r>
      <w:r w:rsidRPr="00E0488D">
        <w:rPr>
          <w:rStyle w:val="hps"/>
          <w:rFonts w:cs="Arial"/>
          <w:color w:val="000000" w:themeColor="text1"/>
        </w:rPr>
        <w:t>mai departe</w:t>
      </w:r>
      <w:r w:rsidRPr="00E0488D">
        <w:t xml:space="preserve"> spre </w:t>
      </w:r>
      <w:r w:rsidRPr="00E0488D">
        <w:rPr>
          <w:rStyle w:val="hps"/>
          <w:rFonts w:cs="Arial"/>
          <w:color w:val="000000" w:themeColor="text1"/>
        </w:rPr>
        <w:t>interiorul țării</w:t>
      </w:r>
      <w:r w:rsidRPr="00E0488D">
        <w:t xml:space="preserve"> </w:t>
      </w:r>
      <w:r w:rsidRPr="00E0488D">
        <w:rPr>
          <w:rStyle w:val="hps"/>
          <w:rFonts w:cs="Arial"/>
          <w:color w:val="000000" w:themeColor="text1"/>
        </w:rPr>
        <w:t>sunt mai puține.</w:t>
      </w:r>
      <w:r w:rsidRPr="00E0488D">
        <w:t xml:space="preserve"> </w:t>
      </w:r>
      <w:r w:rsidRPr="00E0488D">
        <w:rPr>
          <w:rStyle w:val="hps"/>
          <w:rFonts w:cs="Arial"/>
          <w:color w:val="000000" w:themeColor="text1"/>
        </w:rPr>
        <w:t>Intervențiile</w:t>
      </w:r>
      <w:r w:rsidRPr="00E0488D">
        <w:t xml:space="preserve"> </w:t>
      </w:r>
      <w:r w:rsidRPr="00E0488D">
        <w:rPr>
          <w:rStyle w:val="hps"/>
          <w:rFonts w:cs="Arial"/>
          <w:color w:val="000000" w:themeColor="text1"/>
        </w:rPr>
        <w:t>care îmbunătățesc</w:t>
      </w:r>
      <w:r w:rsidRPr="00E0488D">
        <w:t xml:space="preserve"> </w:t>
      </w:r>
      <w:r w:rsidRPr="00E0488D">
        <w:rPr>
          <w:rStyle w:val="hps"/>
          <w:rFonts w:cs="Arial"/>
          <w:color w:val="000000" w:themeColor="text1"/>
        </w:rPr>
        <w:t>timpii de parcurs</w:t>
      </w:r>
      <w:r w:rsidRPr="00E0488D">
        <w:t xml:space="preserve">, </w:t>
      </w:r>
      <w:r w:rsidRPr="00E0488D">
        <w:rPr>
          <w:rStyle w:val="hps"/>
          <w:rFonts w:cs="Arial"/>
          <w:color w:val="000000" w:themeColor="text1"/>
        </w:rPr>
        <w:t>costurile mai mici</w:t>
      </w:r>
      <w:r w:rsidRPr="00E0488D">
        <w:t xml:space="preserve"> </w:t>
      </w:r>
      <w:r w:rsidRPr="00E0488D">
        <w:rPr>
          <w:rStyle w:val="hps"/>
          <w:rFonts w:cs="Arial"/>
          <w:color w:val="000000" w:themeColor="text1"/>
        </w:rPr>
        <w:t>și creșterea</w:t>
      </w:r>
      <w:r w:rsidRPr="00E0488D">
        <w:t xml:space="preserve"> </w:t>
      </w:r>
      <w:r w:rsidRPr="00E0488D">
        <w:rPr>
          <w:rStyle w:val="hps"/>
          <w:rFonts w:cs="Arial"/>
          <w:color w:val="000000" w:themeColor="text1"/>
        </w:rPr>
        <w:t>eficienței</w:t>
      </w:r>
      <w:r w:rsidRPr="00E0488D">
        <w:t xml:space="preserve"> </w:t>
      </w:r>
      <w:r w:rsidRPr="00E0488D">
        <w:rPr>
          <w:rStyle w:val="hps"/>
          <w:rFonts w:cs="Arial"/>
          <w:color w:val="000000" w:themeColor="text1"/>
        </w:rPr>
        <w:t>(</w:t>
      </w:r>
      <w:r w:rsidRPr="00E0488D">
        <w:t xml:space="preserve">în special </w:t>
      </w:r>
      <w:r w:rsidRPr="00E0488D">
        <w:rPr>
          <w:rStyle w:val="hps"/>
          <w:rFonts w:cs="Arial"/>
          <w:color w:val="000000" w:themeColor="text1"/>
        </w:rPr>
        <w:t>la punctele de trecere</w:t>
      </w:r>
      <w:r w:rsidRPr="00E0488D">
        <w:t xml:space="preserve"> </w:t>
      </w:r>
      <w:r w:rsidRPr="00E0488D">
        <w:rPr>
          <w:rStyle w:val="hps"/>
          <w:rFonts w:cs="Arial"/>
          <w:color w:val="000000" w:themeColor="text1"/>
        </w:rPr>
        <w:t>a frontierei</w:t>
      </w:r>
      <w:r w:rsidRPr="00E0488D">
        <w:t xml:space="preserve">) </w:t>
      </w:r>
      <w:r w:rsidRPr="00E0488D">
        <w:rPr>
          <w:rStyle w:val="hps"/>
          <w:rFonts w:cs="Arial"/>
          <w:color w:val="000000" w:themeColor="text1"/>
        </w:rPr>
        <w:t>sunt binevenite</w:t>
      </w:r>
      <w:r w:rsidRPr="00E0488D">
        <w:t xml:space="preserve">, </w:t>
      </w:r>
      <w:r w:rsidRPr="00E0488D">
        <w:rPr>
          <w:rStyle w:val="hps"/>
          <w:rFonts w:cs="Arial"/>
          <w:color w:val="000000" w:themeColor="text1"/>
        </w:rPr>
        <w:t>alături de</w:t>
      </w:r>
      <w:r w:rsidRPr="00E0488D">
        <w:t xml:space="preserve"> </w:t>
      </w:r>
      <w:r w:rsidRPr="00E0488D">
        <w:rPr>
          <w:rStyle w:val="hps"/>
          <w:rFonts w:cs="Arial"/>
          <w:color w:val="000000" w:themeColor="text1"/>
        </w:rPr>
        <w:t>intervențiile specifice</w:t>
      </w:r>
      <w:r w:rsidRPr="00E0488D">
        <w:t xml:space="preserve">, cum ar fi </w:t>
      </w:r>
      <w:r w:rsidRPr="00E0488D">
        <w:rPr>
          <w:rStyle w:val="hps"/>
          <w:rFonts w:cs="Arial"/>
          <w:color w:val="000000" w:themeColor="text1"/>
        </w:rPr>
        <w:t>noul terminal</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și</w:t>
      </w:r>
      <w:r w:rsidRPr="00E0488D">
        <w:t xml:space="preserve"> posibila </w:t>
      </w:r>
      <w:r w:rsidRPr="00E0488D">
        <w:rPr>
          <w:rStyle w:val="hps"/>
          <w:rFonts w:cs="Arial"/>
          <w:color w:val="000000" w:themeColor="text1"/>
        </w:rPr>
        <w:t>reabilitare</w:t>
      </w:r>
      <w:r w:rsidRPr="00E0488D">
        <w:t xml:space="preserve"> </w:t>
      </w:r>
      <w:r w:rsidRPr="00E0488D">
        <w:rPr>
          <w:rStyle w:val="hps"/>
          <w:rFonts w:cs="Arial"/>
          <w:color w:val="000000" w:themeColor="text1"/>
        </w:rPr>
        <w:t>a terminalor</w:t>
      </w:r>
      <w:r w:rsidRPr="00E0488D">
        <w:t xml:space="preserve"> </w:t>
      </w:r>
      <w:r w:rsidRPr="00E0488D">
        <w:rPr>
          <w:rStyle w:val="hps"/>
          <w:rFonts w:cs="Arial"/>
          <w:color w:val="000000" w:themeColor="text1"/>
        </w:rPr>
        <w:t>din centrul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vestul</w:t>
      </w:r>
      <w:r w:rsidRPr="00E0488D">
        <w:t xml:space="preserve"> </w:t>
      </w:r>
      <w:r w:rsidRPr="00E0488D">
        <w:rPr>
          <w:rStyle w:val="hps"/>
          <w:rFonts w:cs="Arial"/>
          <w:color w:val="000000" w:themeColor="text1"/>
        </w:rPr>
        <w:t>României</w:t>
      </w:r>
      <w:r w:rsidRPr="00E0488D">
        <w:t>. T</w:t>
      </w:r>
      <w:r w:rsidRPr="00E0488D">
        <w:rPr>
          <w:rStyle w:val="hps"/>
          <w:rFonts w:cs="Arial"/>
          <w:color w:val="000000" w:themeColor="text1"/>
        </w:rPr>
        <w:t>raseele</w:t>
      </w:r>
      <w:r w:rsidRPr="00E0488D">
        <w:t xml:space="preserve"> </w:t>
      </w:r>
      <w:r w:rsidRPr="00E0488D">
        <w:rPr>
          <w:rStyle w:val="hps"/>
          <w:rFonts w:cs="Arial"/>
          <w:color w:val="000000" w:themeColor="text1"/>
        </w:rPr>
        <w:t>reabilitate</w:t>
      </w:r>
      <w:r w:rsidRPr="00E0488D">
        <w:t xml:space="preserve">, cum ar fi </w:t>
      </w:r>
      <w:r w:rsidRPr="00E0488D">
        <w:rPr>
          <w:rStyle w:val="hps"/>
          <w:rFonts w:cs="Arial"/>
          <w:color w:val="000000" w:themeColor="text1"/>
        </w:rPr>
        <w:t>Coridorul IV</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București</w:t>
      </w:r>
      <w:r w:rsidRPr="00E0488D">
        <w:t xml:space="preserve"> vor</w:t>
      </w:r>
      <w:r w:rsidRPr="00E0488D">
        <w:rPr>
          <w:rStyle w:val="hps"/>
          <w:rFonts w:cs="Arial"/>
          <w:color w:val="000000" w:themeColor="text1"/>
        </w:rPr>
        <w:t xml:space="preserve"> beneficia</w:t>
      </w:r>
      <w:r w:rsidRPr="00E0488D">
        <w:t xml:space="preserve"> </w:t>
      </w:r>
      <w:r w:rsidRPr="00E0488D">
        <w:rPr>
          <w:rStyle w:val="hps"/>
          <w:rFonts w:cs="Arial"/>
          <w:color w:val="000000" w:themeColor="text1"/>
        </w:rPr>
        <w:t>cel mai mult de</w:t>
      </w:r>
      <w:r w:rsidRPr="00E0488D">
        <w:t xml:space="preserve"> </w:t>
      </w:r>
      <w:r w:rsidRPr="00E0488D">
        <w:rPr>
          <w:rStyle w:val="hps"/>
          <w:rFonts w:cs="Arial"/>
          <w:color w:val="000000" w:themeColor="text1"/>
        </w:rPr>
        <w:t>încurajarea</w:t>
      </w:r>
      <w:r w:rsidRPr="00E0488D">
        <w:t xml:space="preserve"> </w:t>
      </w:r>
      <w:r w:rsidRPr="00E0488D">
        <w:rPr>
          <w:rStyle w:val="hps"/>
          <w:rFonts w:cs="Arial"/>
          <w:color w:val="000000" w:themeColor="text1"/>
        </w:rPr>
        <w:t>unei limite de viteză</w:t>
      </w:r>
      <w:r w:rsidRPr="00E0488D">
        <w:t xml:space="preserve"> </w:t>
      </w:r>
      <w:r w:rsidRPr="00E0488D">
        <w:rPr>
          <w:rStyle w:val="hps"/>
          <w:rFonts w:cs="Arial"/>
          <w:color w:val="000000" w:themeColor="text1"/>
        </w:rPr>
        <w:t>pe două niveluri</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trenurile de marfă</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w:t>
      </w:r>
      <w:r w:rsidRPr="00E0488D">
        <w:t xml:space="preserve">și </w:t>
      </w:r>
      <w:r w:rsidRPr="00E0488D">
        <w:rPr>
          <w:rStyle w:val="hps"/>
          <w:rFonts w:cs="Arial"/>
          <w:color w:val="000000" w:themeColor="text1"/>
        </w:rPr>
        <w:t>o</w:t>
      </w:r>
      <w:r w:rsidRPr="00E0488D">
        <w:t xml:space="preserve"> </w:t>
      </w:r>
      <w:r w:rsidRPr="00E0488D">
        <w:rPr>
          <w:rStyle w:val="hps"/>
          <w:rFonts w:cs="Arial"/>
          <w:color w:val="000000" w:themeColor="text1"/>
        </w:rPr>
        <w:t>îmbunătățire</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prioritatea lor</w:t>
      </w:r>
      <w:r w:rsidRPr="00E0488D">
        <w:t xml:space="preserve"> </w:t>
      </w:r>
      <w:r w:rsidRPr="00E0488D">
        <w:rPr>
          <w:rStyle w:val="hps"/>
          <w:rFonts w:cs="Arial"/>
          <w:color w:val="000000" w:themeColor="text1"/>
        </w:rPr>
        <w:t>relativă</w:t>
      </w:r>
      <w:r w:rsidRPr="00E0488D">
        <w:t xml:space="preserve"> </w:t>
      </w:r>
      <w:r w:rsidRPr="00E0488D">
        <w:rPr>
          <w:rStyle w:val="hps"/>
          <w:rFonts w:cs="Arial"/>
          <w:color w:val="000000" w:themeColor="text1"/>
        </w:rPr>
        <w:t>față de</w:t>
      </w:r>
      <w:r w:rsidRPr="00E0488D">
        <w:t xml:space="preserve"> </w:t>
      </w:r>
      <w:r w:rsidRPr="00E0488D">
        <w:rPr>
          <w:rStyle w:val="hps"/>
          <w:rFonts w:cs="Arial"/>
          <w:color w:val="000000" w:themeColor="text1"/>
        </w:rPr>
        <w:t>unele</w:t>
      </w:r>
      <w:r w:rsidRPr="00E0488D">
        <w:t xml:space="preserve"> </w:t>
      </w:r>
      <w:r w:rsidRPr="00E0488D">
        <w:rPr>
          <w:rStyle w:val="hps"/>
          <w:rFonts w:cs="Arial"/>
          <w:color w:val="000000" w:themeColor="text1"/>
        </w:rPr>
        <w:t>trenuri de călători</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va aduce beneficii tuturor</w:t>
      </w:r>
      <w:r w:rsidRPr="00E0488D">
        <w:t xml:space="preserve"> </w:t>
      </w:r>
      <w:r w:rsidRPr="00E0488D">
        <w:rPr>
          <w:rStyle w:val="hps"/>
          <w:rFonts w:cs="Arial"/>
          <w:color w:val="000000" w:themeColor="text1"/>
        </w:rPr>
        <w:t>coridoarelor</w:t>
      </w:r>
      <w:r w:rsidRPr="00E0488D">
        <w:t xml:space="preserve"> </w:t>
      </w:r>
      <w:r w:rsidRPr="00E0488D">
        <w:rPr>
          <w:rStyle w:val="hps"/>
          <w:rFonts w:cs="Arial"/>
          <w:color w:val="000000" w:themeColor="text1"/>
        </w:rPr>
        <w:t>într-o anumită</w:t>
      </w:r>
      <w:r w:rsidRPr="00E0488D">
        <w:t xml:space="preserve"> </w:t>
      </w:r>
      <w:r w:rsidRPr="00E0488D">
        <w:rPr>
          <w:rStyle w:val="hps"/>
          <w:rFonts w:cs="Arial"/>
          <w:color w:val="000000" w:themeColor="text1"/>
        </w:rPr>
        <w:t>măsură</w:t>
      </w:r>
      <w:r w:rsidRPr="00E0488D">
        <w:t xml:space="preserve">. </w:t>
      </w:r>
      <w:r w:rsidRPr="00E0488D">
        <w:rPr>
          <w:rStyle w:val="hps"/>
          <w:rFonts w:cs="Arial"/>
          <w:color w:val="000000" w:themeColor="text1"/>
        </w:rPr>
        <w:t>În mod similar</w:t>
      </w:r>
      <w:r w:rsidRPr="00E0488D">
        <w:t xml:space="preserve">, </w:t>
      </w:r>
      <w:r w:rsidRPr="00E0488D">
        <w:rPr>
          <w:rStyle w:val="hps"/>
          <w:rFonts w:cs="Arial"/>
          <w:color w:val="000000" w:themeColor="text1"/>
        </w:rPr>
        <w:t>acest lucru este valabil</w:t>
      </w:r>
      <w:r w:rsidRPr="00E0488D">
        <w:t xml:space="preserve"> și </w:t>
      </w:r>
      <w:r w:rsidRPr="00E0488D">
        <w:rPr>
          <w:rStyle w:val="hps"/>
          <w:rFonts w:cs="Arial"/>
          <w:color w:val="000000" w:themeColor="text1"/>
        </w:rPr>
        <w:t>pentru</w:t>
      </w:r>
      <w:r w:rsidRPr="00E0488D">
        <w:t xml:space="preserve"> </w:t>
      </w:r>
      <w:r w:rsidRPr="00E0488D">
        <w:rPr>
          <w:rStyle w:val="hps"/>
          <w:rFonts w:cs="Arial"/>
          <w:color w:val="000000" w:themeColor="text1"/>
        </w:rPr>
        <w:t>alte interventii</w:t>
      </w:r>
      <w:r w:rsidRPr="00E0488D">
        <w:t xml:space="preserve">, cum ar fi </w:t>
      </w:r>
      <w:r w:rsidRPr="00E0488D">
        <w:rPr>
          <w:rStyle w:val="hps"/>
          <w:rFonts w:cs="Arial"/>
          <w:color w:val="000000" w:themeColor="text1"/>
        </w:rPr>
        <w:t>permiterea</w:t>
      </w:r>
      <w:r w:rsidRPr="00E0488D">
        <w:t xml:space="preserve"> </w:t>
      </w:r>
      <w:r w:rsidRPr="00E0488D">
        <w:rPr>
          <w:rStyle w:val="hps"/>
          <w:rFonts w:cs="Arial"/>
          <w:color w:val="000000" w:themeColor="text1"/>
        </w:rPr>
        <w:t>trenurilor</w:t>
      </w:r>
      <w:r w:rsidRPr="00E0488D">
        <w:t xml:space="preserve"> </w:t>
      </w:r>
      <w:r w:rsidRPr="00E0488D">
        <w:rPr>
          <w:rStyle w:val="hps"/>
          <w:rFonts w:cs="Arial"/>
          <w:color w:val="000000" w:themeColor="text1"/>
        </w:rPr>
        <w:t>moderne de a</w:t>
      </w:r>
      <w:r w:rsidRPr="00E0488D">
        <w:t xml:space="preserve"> </w:t>
      </w:r>
      <w:r w:rsidRPr="00E0488D">
        <w:rPr>
          <w:rStyle w:val="hps"/>
          <w:rFonts w:cs="Arial"/>
          <w:color w:val="000000" w:themeColor="text1"/>
        </w:rPr>
        <w:t>fi</w:t>
      </w:r>
      <w:r w:rsidRPr="00E0488D">
        <w:t xml:space="preserve"> </w:t>
      </w:r>
      <w:r w:rsidRPr="00E0488D">
        <w:rPr>
          <w:rStyle w:val="hps"/>
          <w:rFonts w:cs="Arial"/>
          <w:color w:val="000000" w:themeColor="text1"/>
        </w:rPr>
        <w:t>mai</w:t>
      </w:r>
      <w:r w:rsidRPr="00E0488D">
        <w:t xml:space="preserve"> </w:t>
      </w:r>
      <w:r w:rsidRPr="00E0488D">
        <w:rPr>
          <w:rStyle w:val="hps"/>
          <w:rFonts w:cs="Arial"/>
          <w:color w:val="000000" w:themeColor="text1"/>
        </w:rPr>
        <w:t>eficiente din punct de vedere</w:t>
      </w:r>
      <w:r w:rsidRPr="00E0488D">
        <w:t xml:space="preserve"> </w:t>
      </w:r>
      <w:r w:rsidRPr="00E0488D">
        <w:rPr>
          <w:rStyle w:val="hps"/>
          <w:rFonts w:cs="Arial"/>
          <w:color w:val="000000" w:themeColor="text1"/>
        </w:rPr>
        <w:t>energetic,</w:t>
      </w:r>
      <w:r w:rsidRPr="00E0488D">
        <w:t xml:space="preserve"> </w:t>
      </w:r>
      <w:r w:rsidRPr="00E0488D">
        <w:rPr>
          <w:rStyle w:val="hps"/>
          <w:rFonts w:cs="Arial"/>
          <w:color w:val="000000" w:themeColor="text1"/>
        </w:rPr>
        <w:t>prin utilizarea</w:t>
      </w:r>
      <w:r w:rsidRPr="00E0488D">
        <w:t xml:space="preserve"> sistemului </w:t>
      </w:r>
      <w:r w:rsidRPr="00E0488D">
        <w:rPr>
          <w:rStyle w:val="hps"/>
          <w:rFonts w:cs="Arial"/>
          <w:color w:val="000000" w:themeColor="text1"/>
        </w:rPr>
        <w:t>de</w:t>
      </w:r>
      <w:r w:rsidRPr="00E0488D">
        <w:t xml:space="preserve"> </w:t>
      </w:r>
      <w:r w:rsidRPr="00E0488D">
        <w:rPr>
          <w:rStyle w:val="hps"/>
          <w:rFonts w:cs="Arial"/>
          <w:color w:val="000000" w:themeColor="text1"/>
        </w:rPr>
        <w:t>frânare</w:t>
      </w:r>
      <w:r w:rsidRPr="00E0488D">
        <w:t xml:space="preserve"> </w:t>
      </w:r>
      <w:r w:rsidRPr="00E0488D">
        <w:rPr>
          <w:rStyle w:val="hps"/>
          <w:rFonts w:cs="Arial"/>
          <w:color w:val="000000" w:themeColor="text1"/>
        </w:rPr>
        <w:t>regenerativă</w:t>
      </w:r>
      <w:r w:rsidRPr="00E0488D">
        <w:t xml:space="preserve">, de exemplu. </w:t>
      </w:r>
    </w:p>
    <w:p w:rsidR="00BD59B2" w:rsidRPr="00E0488D" w:rsidRDefault="00BD59B2" w:rsidP="002B7E09">
      <w:pPr>
        <w:pStyle w:val="NumberedParas"/>
      </w:pP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Principalul</w:t>
      </w:r>
      <w:r w:rsidRPr="00E0488D">
        <w:t xml:space="preserve"> </w:t>
      </w:r>
      <w:r w:rsidRPr="00E0488D">
        <w:rPr>
          <w:rStyle w:val="hps"/>
          <w:rFonts w:cs="Arial"/>
          <w:color w:val="000000" w:themeColor="text1"/>
        </w:rPr>
        <w:t>coridor</w:t>
      </w:r>
      <w:r w:rsidRPr="00E0488D">
        <w:t xml:space="preserve"> </w:t>
      </w:r>
      <w:r w:rsidRPr="00E0488D">
        <w:rPr>
          <w:rStyle w:val="hps"/>
          <w:rFonts w:cs="Arial"/>
          <w:color w:val="000000" w:themeColor="text1"/>
        </w:rPr>
        <w:t>nord</w:t>
      </w:r>
      <w:r w:rsidRPr="00E0488D">
        <w:rPr>
          <w:rStyle w:val="atn"/>
          <w:rFonts w:cs="Arial"/>
          <w:color w:val="000000" w:themeColor="text1"/>
        </w:rPr>
        <w:t>-</w:t>
      </w:r>
      <w:r w:rsidRPr="00E0488D">
        <w:t xml:space="preserve">sud </w:t>
      </w:r>
      <w:r w:rsidRPr="00E0488D">
        <w:rPr>
          <w:rStyle w:val="hps"/>
          <w:rFonts w:cs="Arial"/>
          <w:color w:val="000000" w:themeColor="text1"/>
        </w:rPr>
        <w:t>în</w:t>
      </w:r>
      <w:r w:rsidRPr="00E0488D">
        <w:t xml:space="preserve"> </w:t>
      </w:r>
      <w:r w:rsidRPr="00E0488D">
        <w:rPr>
          <w:rStyle w:val="hps"/>
          <w:rFonts w:cs="Arial"/>
          <w:color w:val="000000" w:themeColor="text1"/>
        </w:rPr>
        <w:t>partea de est a</w:t>
      </w:r>
      <w:r w:rsidRPr="00E0488D">
        <w:t xml:space="preserve"> </w:t>
      </w:r>
      <w:r w:rsidRPr="00E0488D">
        <w:rPr>
          <w:rStyle w:val="hps"/>
          <w:rFonts w:cs="Arial"/>
          <w:color w:val="000000" w:themeColor="text1"/>
        </w:rPr>
        <w:t>țării</w:t>
      </w:r>
      <w:r w:rsidRPr="00E0488D">
        <w:t xml:space="preserve">, acest coridor se unește cu </w:t>
      </w:r>
      <w:r w:rsidRPr="00E0488D">
        <w:rPr>
          <w:rStyle w:val="hps"/>
          <w:rFonts w:cs="Arial"/>
          <w:color w:val="000000" w:themeColor="text1"/>
        </w:rPr>
        <w:t>coridorul IV</w:t>
      </w:r>
      <w:r w:rsidRPr="00E0488D">
        <w:t xml:space="preserve"> </w:t>
      </w:r>
      <w:r w:rsidRPr="00E0488D">
        <w:rPr>
          <w:rStyle w:val="hps"/>
          <w:rFonts w:cs="Arial"/>
          <w:color w:val="000000" w:themeColor="text1"/>
        </w:rPr>
        <w:t>in apropiere de Ploiesti</w:t>
      </w:r>
      <w:r w:rsidRPr="00E0488D">
        <w:t xml:space="preserve"> </w:t>
      </w:r>
      <w:r w:rsidRPr="00E0488D">
        <w:rPr>
          <w:rStyle w:val="hps"/>
          <w:rFonts w:cs="Arial"/>
          <w:color w:val="000000" w:themeColor="text1"/>
        </w:rPr>
        <w:t>spre nordul</w:t>
      </w:r>
      <w:r w:rsidRPr="00E0488D">
        <w:t xml:space="preserve"> </w:t>
      </w:r>
      <w:r w:rsidRPr="00E0488D">
        <w:rPr>
          <w:rStyle w:val="hps"/>
          <w:rFonts w:cs="Arial"/>
          <w:color w:val="000000" w:themeColor="text1"/>
        </w:rPr>
        <w:t>Bucureștiului</w:t>
      </w:r>
      <w:r w:rsidRPr="00E0488D">
        <w:t>. Se conectează, d</w:t>
      </w:r>
      <w:r w:rsidRPr="00E0488D">
        <w:rPr>
          <w:rStyle w:val="hps"/>
          <w:rFonts w:cs="Arial"/>
          <w:color w:val="000000" w:themeColor="text1"/>
        </w:rPr>
        <w:t>e asemenea,</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importante porturi</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Galați</w:t>
      </w:r>
      <w:r w:rsidRPr="00E0488D">
        <w:t xml:space="preserve">, </w:t>
      </w:r>
      <w:r w:rsidRPr="00E0488D">
        <w:rPr>
          <w:rStyle w:val="hps"/>
          <w:rFonts w:cs="Arial"/>
          <w:color w:val="000000" w:themeColor="text1"/>
        </w:rPr>
        <w:t>Brăila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Giurgiu</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are legături</w:t>
      </w:r>
      <w:r w:rsidRPr="00E0488D">
        <w:t xml:space="preserve"> </w:t>
      </w:r>
      <w:r w:rsidRPr="00E0488D">
        <w:rPr>
          <w:rStyle w:val="hps"/>
          <w:rFonts w:cs="Arial"/>
          <w:color w:val="000000" w:themeColor="text1"/>
        </w:rPr>
        <w:t>de frontieră</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Republica Moldova</w:t>
      </w:r>
      <w:r w:rsidRPr="00E0488D">
        <w:t xml:space="preserve">, </w:t>
      </w:r>
      <w:r w:rsidRPr="00E0488D">
        <w:rPr>
          <w:rStyle w:val="hps"/>
          <w:rFonts w:cs="Arial"/>
          <w:color w:val="000000" w:themeColor="text1"/>
        </w:rPr>
        <w:t>Ucraina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cea mai mare parte</w:t>
      </w:r>
      <w:r w:rsidRPr="00E0488D">
        <w:t xml:space="preserve"> este </w:t>
      </w:r>
      <w:r w:rsidRPr="00E0488D">
        <w:rPr>
          <w:rStyle w:val="hps"/>
          <w:rFonts w:cs="Arial"/>
          <w:color w:val="000000" w:themeColor="text1"/>
        </w:rPr>
        <w:t>o</w:t>
      </w:r>
      <w:r w:rsidRPr="00E0488D">
        <w:t xml:space="preserve"> </w:t>
      </w:r>
      <w:r w:rsidRPr="00E0488D">
        <w:rPr>
          <w:rStyle w:val="hps"/>
          <w:rFonts w:cs="Arial"/>
          <w:color w:val="000000" w:themeColor="text1"/>
        </w:rPr>
        <w:t>linie</w:t>
      </w:r>
      <w:r w:rsidRPr="00E0488D">
        <w:t xml:space="preserve"> </w:t>
      </w:r>
      <w:r w:rsidRPr="00E0488D">
        <w:rPr>
          <w:rStyle w:val="hps"/>
          <w:rFonts w:cs="Arial"/>
          <w:color w:val="000000" w:themeColor="text1"/>
        </w:rPr>
        <w:t>de transport de marfă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există un potențial</w:t>
      </w:r>
      <w:r w:rsidRPr="00E0488D">
        <w:t xml:space="preserve"> </w:t>
      </w:r>
      <w:r w:rsidRPr="00E0488D">
        <w:rPr>
          <w:rStyle w:val="hps"/>
          <w:rFonts w:cs="Arial"/>
          <w:color w:val="000000" w:themeColor="text1"/>
        </w:rPr>
        <w:t>pe fluxul</w:t>
      </w:r>
      <w:r w:rsidRPr="00E0488D">
        <w:t xml:space="preserve"> </w:t>
      </w:r>
      <w:r w:rsidRPr="00E0488D">
        <w:rPr>
          <w:rStyle w:val="hps"/>
          <w:rFonts w:cs="Arial"/>
          <w:color w:val="000000" w:themeColor="text1"/>
        </w:rPr>
        <w:t>curent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Suceava</w:t>
      </w:r>
      <w:r w:rsidRPr="00E0488D">
        <w:t xml:space="preserve"> </w:t>
      </w:r>
      <w:r w:rsidRPr="00E0488D">
        <w:rPr>
          <w:rStyle w:val="hps"/>
          <w:rFonts w:cs="Arial"/>
          <w:color w:val="000000" w:themeColor="text1"/>
        </w:rPr>
        <w:t>(</w:t>
      </w:r>
      <w:r w:rsidRPr="00E0488D">
        <w:t xml:space="preserve">în general </w:t>
      </w:r>
      <w:r w:rsidRPr="00E0488D">
        <w:rPr>
          <w:rStyle w:val="hps"/>
          <w:rFonts w:cs="Arial"/>
          <w:color w:val="000000" w:themeColor="text1"/>
        </w:rPr>
        <w:t>spre</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Constanța</w:t>
      </w:r>
      <w:r w:rsidRPr="00E0488D">
        <w:t>), dar și</w:t>
      </w:r>
      <w:r w:rsidRPr="00E0488D">
        <w:rPr>
          <w:rStyle w:val="hps"/>
          <w:rFonts w:cs="Arial"/>
          <w:color w:val="000000" w:themeColor="text1"/>
        </w:rPr>
        <w:t xml:space="preserve"> de a dezvolta</w:t>
      </w:r>
      <w:r w:rsidRPr="00E0488D">
        <w:t xml:space="preserve"> </w:t>
      </w:r>
      <w:r w:rsidRPr="00E0488D">
        <w:rPr>
          <w:rStyle w:val="hps"/>
          <w:rFonts w:cs="Arial"/>
          <w:color w:val="000000" w:themeColor="text1"/>
        </w:rPr>
        <w:t>fluxuri</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internaționale</w:t>
      </w:r>
      <w:r w:rsidRPr="00E0488D">
        <w:t xml:space="preserve"> </w:t>
      </w:r>
      <w:r w:rsidRPr="00E0488D">
        <w:rPr>
          <w:rStyle w:val="hps"/>
          <w:rFonts w:cs="Arial"/>
          <w:color w:val="000000" w:themeColor="text1"/>
        </w:rPr>
        <w:t>cu celelalte țări</w:t>
      </w:r>
      <w:r w:rsidRPr="00E0488D">
        <w:t xml:space="preserve"> </w:t>
      </w:r>
      <w:r w:rsidRPr="00E0488D">
        <w:rPr>
          <w:rStyle w:val="hps"/>
          <w:rFonts w:cs="Arial"/>
          <w:color w:val="000000" w:themeColor="text1"/>
        </w:rPr>
        <w:t>de pe</w:t>
      </w:r>
      <w:r w:rsidRPr="00E0488D">
        <w:t xml:space="preserve"> </w:t>
      </w:r>
      <w:r w:rsidRPr="00E0488D">
        <w:rPr>
          <w:rStyle w:val="hps"/>
          <w:rFonts w:cs="Arial"/>
          <w:color w:val="000000" w:themeColor="text1"/>
        </w:rPr>
        <w:t>coridor</w:t>
      </w:r>
      <w:r w:rsidRPr="00E0488D">
        <w:t xml:space="preserve">. </w:t>
      </w:r>
      <w:r w:rsidRPr="00E0488D">
        <w:rPr>
          <w:rStyle w:val="hps"/>
          <w:rFonts w:cs="Arial"/>
          <w:color w:val="000000" w:themeColor="text1"/>
        </w:rPr>
        <w:t>Așa cum s-a stabilit</w:t>
      </w:r>
      <w:r w:rsidRPr="00E0488D">
        <w:t xml:space="preserve"> </w:t>
      </w:r>
      <w:r w:rsidRPr="00E0488D">
        <w:rPr>
          <w:rStyle w:val="hps"/>
          <w:rFonts w:cs="Arial"/>
          <w:color w:val="000000" w:themeColor="text1"/>
        </w:rPr>
        <w:t>deja</w:t>
      </w:r>
      <w:r w:rsidRPr="00E0488D">
        <w:t xml:space="preserve">, punctul </w:t>
      </w:r>
      <w:r w:rsidRPr="00E0488D">
        <w:rPr>
          <w:rStyle w:val="hps"/>
          <w:rFonts w:cs="Arial"/>
          <w:color w:val="000000" w:themeColor="text1"/>
        </w:rPr>
        <w:t>de trecere frontieră</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Ucraina, la</w:t>
      </w:r>
      <w:r w:rsidRPr="00E0488D">
        <w:t xml:space="preserve"> </w:t>
      </w:r>
      <w:r w:rsidRPr="00E0488D">
        <w:rPr>
          <w:rStyle w:val="hps"/>
          <w:rFonts w:cs="Arial"/>
          <w:color w:val="000000" w:themeColor="text1"/>
        </w:rPr>
        <w:t>Dornesti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al doilea</w:t>
      </w:r>
      <w:r w:rsidRPr="00E0488D">
        <w:t xml:space="preserve"> </w:t>
      </w:r>
      <w:r w:rsidRPr="00E0488D">
        <w:rPr>
          <w:rStyle w:val="hps"/>
          <w:rFonts w:cs="Arial"/>
          <w:color w:val="000000" w:themeColor="text1"/>
        </w:rPr>
        <w:t>cel mai aglomerat punct de trecere frontieră CFR Marfă</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w:t>
      </w:r>
      <w:r w:rsidRPr="00E0488D">
        <w:rPr>
          <w:rStyle w:val="hps"/>
          <w:rFonts w:cs="Arial"/>
          <w:color w:val="000000" w:themeColor="text1"/>
        </w:rPr>
        <w:t>are un mare</w:t>
      </w:r>
      <w:r w:rsidRPr="00E0488D">
        <w:t xml:space="preserve"> </w:t>
      </w:r>
      <w:r w:rsidRPr="00E0488D">
        <w:rPr>
          <w:rStyle w:val="hps"/>
          <w:rFonts w:cs="Arial"/>
          <w:color w:val="000000" w:themeColor="text1"/>
        </w:rPr>
        <w:t>potențial</w:t>
      </w:r>
      <w:r w:rsidRPr="00E0488D">
        <w:t xml:space="preserve"> </w:t>
      </w:r>
      <w:r w:rsidRPr="00E0488D">
        <w:rPr>
          <w:rStyle w:val="hps"/>
          <w:rFonts w:cs="Arial"/>
          <w:color w:val="000000" w:themeColor="text1"/>
        </w:rPr>
        <w:t>de creștere în viitor</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traficului de tranzit</w:t>
      </w:r>
      <w:r w:rsidRPr="00E0488D">
        <w:t xml:space="preserve">, ca urmare a </w:t>
      </w:r>
      <w:r w:rsidRPr="00E0488D">
        <w:rPr>
          <w:rStyle w:val="hps"/>
          <w:rFonts w:cs="Arial"/>
          <w:color w:val="000000" w:themeColor="text1"/>
        </w:rPr>
        <w:t>proiectului</w:t>
      </w:r>
      <w:r w:rsidRPr="00E0488D">
        <w:t xml:space="preserve"> </w:t>
      </w:r>
      <w:r w:rsidRPr="00E0488D">
        <w:rPr>
          <w:rStyle w:val="hps"/>
          <w:rFonts w:cs="Arial"/>
          <w:color w:val="000000" w:themeColor="text1"/>
        </w:rPr>
        <w:t>Viking</w:t>
      </w:r>
      <w:r w:rsidRPr="00E0488D">
        <w:t xml:space="preserve">. </w:t>
      </w:r>
      <w:r w:rsidRPr="00E0488D">
        <w:rPr>
          <w:rStyle w:val="hps"/>
          <w:rFonts w:cs="Arial"/>
          <w:color w:val="000000" w:themeColor="text1"/>
        </w:rPr>
        <w:t>Acest proiect</w:t>
      </w:r>
      <w:r w:rsidRPr="00E0488D">
        <w:t xml:space="preserve"> </w:t>
      </w:r>
      <w:r w:rsidRPr="00E0488D">
        <w:rPr>
          <w:rStyle w:val="hps"/>
          <w:rFonts w:cs="Arial"/>
          <w:color w:val="000000" w:themeColor="text1"/>
        </w:rPr>
        <w:t>ambițios</w:t>
      </w:r>
      <w:r w:rsidRPr="00E0488D">
        <w:t xml:space="preserve"> </w:t>
      </w:r>
      <w:r w:rsidRPr="00E0488D">
        <w:rPr>
          <w:rStyle w:val="hps"/>
          <w:rFonts w:cs="Arial"/>
          <w:color w:val="000000" w:themeColor="text1"/>
        </w:rPr>
        <w:t>intenționează</w:t>
      </w:r>
      <w:r w:rsidRPr="00E0488D">
        <w:t xml:space="preserve"> </w:t>
      </w:r>
      <w:r w:rsidRPr="00E0488D">
        <w:rPr>
          <w:rStyle w:val="hps"/>
          <w:rFonts w:cs="Arial"/>
          <w:color w:val="000000" w:themeColor="text1"/>
        </w:rPr>
        <w:t>deplasarea până</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1.000 de</w:t>
      </w:r>
      <w:r w:rsidRPr="00E0488D">
        <w:t xml:space="preserve"> </w:t>
      </w:r>
      <w:r w:rsidRPr="00E0488D">
        <w:rPr>
          <w:rStyle w:val="hps"/>
          <w:rFonts w:cs="Arial"/>
          <w:color w:val="000000" w:themeColor="text1"/>
        </w:rPr>
        <w:t>trenuri</w:t>
      </w:r>
      <w:r w:rsidRPr="00E0488D">
        <w:t xml:space="preserve"> </w:t>
      </w:r>
      <w:r w:rsidRPr="00E0488D">
        <w:rPr>
          <w:rStyle w:val="hps"/>
          <w:rFonts w:cs="Arial"/>
          <w:color w:val="000000" w:themeColor="text1"/>
        </w:rPr>
        <w:t>pe an</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w:t>
      </w:r>
      <w:r w:rsidRPr="00E0488D">
        <w:t xml:space="preserve"> </w:t>
      </w:r>
      <w:r w:rsidRPr="00E0488D">
        <w:rPr>
          <w:rStyle w:val="hps"/>
          <w:rFonts w:cs="Arial"/>
          <w:color w:val="000000" w:themeColor="text1"/>
        </w:rPr>
        <w:t>din Țările Baltice</w:t>
      </w:r>
      <w:r w:rsidRPr="00E0488D">
        <w:t xml:space="preserve"> </w:t>
      </w:r>
      <w:r w:rsidRPr="00E0488D">
        <w:rPr>
          <w:rStyle w:val="hps"/>
          <w:rFonts w:cs="Arial"/>
          <w:color w:val="000000" w:themeColor="text1"/>
        </w:rPr>
        <w:t>spre</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Turcia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Grecia,</w:t>
      </w:r>
      <w:r w:rsidRPr="00E0488D">
        <w:t xml:space="preserve"> </w:t>
      </w:r>
      <w:r w:rsidRPr="00E0488D">
        <w:rPr>
          <w:rStyle w:val="hps"/>
          <w:rFonts w:cs="Arial"/>
          <w:color w:val="000000" w:themeColor="text1"/>
        </w:rPr>
        <w:t>eventual</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Ucraina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ca acest lucru să</w:t>
      </w:r>
      <w:r w:rsidRPr="00E0488D">
        <w:t xml:space="preserve"> </w:t>
      </w:r>
      <w:r w:rsidRPr="00E0488D">
        <w:rPr>
          <w:rStyle w:val="hps"/>
          <w:rFonts w:cs="Arial"/>
          <w:color w:val="000000" w:themeColor="text1"/>
        </w:rPr>
        <w:t>se întâmple</w:t>
      </w:r>
      <w:r w:rsidRPr="00E0488D">
        <w:t xml:space="preserve"> </w:t>
      </w:r>
      <w:r w:rsidRPr="00E0488D">
        <w:rPr>
          <w:rStyle w:val="hps"/>
          <w:rFonts w:cs="Arial"/>
          <w:color w:val="000000" w:themeColor="text1"/>
        </w:rPr>
        <w:t>și pentru a asigura</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succes</w:t>
      </w:r>
      <w:r w:rsidRPr="00E0488D">
        <w:t xml:space="preserve"> </w:t>
      </w:r>
      <w:r w:rsidRPr="00E0488D">
        <w:rPr>
          <w:rStyle w:val="hps"/>
          <w:rFonts w:cs="Arial"/>
          <w:color w:val="000000" w:themeColor="text1"/>
        </w:rPr>
        <w:t>continuu</w:t>
      </w:r>
      <w:r w:rsidRPr="00E0488D">
        <w:t xml:space="preserve">, sunt necesare </w:t>
      </w:r>
      <w:r w:rsidRPr="00E0488D">
        <w:rPr>
          <w:rStyle w:val="hps"/>
          <w:rFonts w:cs="Arial"/>
          <w:color w:val="000000" w:themeColor="text1"/>
        </w:rPr>
        <w:t>intervenții</w:t>
      </w:r>
      <w:r w:rsidRPr="00E0488D">
        <w:t xml:space="preserve"> </w:t>
      </w:r>
      <w:r w:rsidRPr="00E0488D">
        <w:rPr>
          <w:rStyle w:val="hps"/>
          <w:rFonts w:cs="Arial"/>
          <w:color w:val="000000" w:themeColor="text1"/>
        </w:rPr>
        <w:t>semnificative</w:t>
      </w:r>
      <w:r w:rsidRPr="00E0488D">
        <w:t xml:space="preserve"> </w:t>
      </w:r>
      <w:r w:rsidRPr="00E0488D">
        <w:rPr>
          <w:rStyle w:val="hps"/>
          <w:rFonts w:cs="Arial"/>
          <w:color w:val="000000" w:themeColor="text1"/>
        </w:rPr>
        <w:t>pentru îmbunătățirea</w:t>
      </w:r>
      <w:r w:rsidRPr="00E0488D">
        <w:t xml:space="preserve"> </w:t>
      </w:r>
      <w:r w:rsidRPr="00E0488D">
        <w:rPr>
          <w:rStyle w:val="hps"/>
          <w:rFonts w:cs="Arial"/>
          <w:color w:val="000000" w:themeColor="text1"/>
        </w:rPr>
        <w:t>sarcini</w:t>
      </w:r>
      <w:r w:rsidRPr="00E0488D">
        <w:t xml:space="preserve"> </w:t>
      </w:r>
      <w:r w:rsidRPr="00E0488D">
        <w:rPr>
          <w:rStyle w:val="hps"/>
          <w:rFonts w:cs="Arial"/>
          <w:color w:val="000000" w:themeColor="text1"/>
        </w:rPr>
        <w:t>pe osie</w:t>
      </w:r>
      <w:r w:rsidRPr="00E0488D">
        <w:t xml:space="preserve">, </w:t>
      </w:r>
      <w:r w:rsidRPr="00E0488D">
        <w:rPr>
          <w:rStyle w:val="hps"/>
          <w:rFonts w:cs="Arial"/>
          <w:color w:val="000000" w:themeColor="text1"/>
        </w:rPr>
        <w:t>vitezei pe</w:t>
      </w:r>
      <w:r w:rsidRPr="00E0488D">
        <w:t xml:space="preserve"> </w:t>
      </w:r>
      <w:r w:rsidRPr="00E0488D">
        <w:rPr>
          <w:rStyle w:val="hps"/>
          <w:rFonts w:cs="Arial"/>
          <w:color w:val="000000" w:themeColor="text1"/>
        </w:rPr>
        <w:t>linie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fiabilității</w:t>
      </w:r>
      <w:r w:rsidRPr="00E0488D">
        <w:t xml:space="preserve"> </w:t>
      </w:r>
      <w:r w:rsidRPr="00E0488D">
        <w:rPr>
          <w:rStyle w:val="hps"/>
          <w:rFonts w:cs="Arial"/>
          <w:color w:val="000000" w:themeColor="text1"/>
        </w:rPr>
        <w:t>timpul de călătorie</w:t>
      </w:r>
      <w:r w:rsidRPr="00E0488D">
        <w:t xml:space="preserve">. </w:t>
      </w:r>
      <w:r w:rsidRPr="00E0488D">
        <w:rPr>
          <w:rStyle w:val="hps"/>
          <w:rFonts w:cs="Arial"/>
          <w:color w:val="000000" w:themeColor="text1"/>
        </w:rPr>
        <w:t>Mai mult decât atât</w:t>
      </w:r>
      <w:r w:rsidRPr="00E0488D">
        <w:t xml:space="preserve">, </w:t>
      </w:r>
      <w:r w:rsidRPr="00E0488D">
        <w:rPr>
          <w:rStyle w:val="hps"/>
          <w:rFonts w:cs="Arial"/>
          <w:color w:val="000000" w:themeColor="text1"/>
        </w:rPr>
        <w:t>Coridorul</w:t>
      </w:r>
      <w:r w:rsidRPr="00E0488D">
        <w:t xml:space="preserve"> </w:t>
      </w:r>
      <w:r w:rsidRPr="00E0488D">
        <w:rPr>
          <w:rStyle w:val="hps"/>
          <w:rFonts w:cs="Arial"/>
          <w:color w:val="000000" w:themeColor="text1"/>
        </w:rPr>
        <w:t>IX</w:t>
      </w:r>
      <w:r w:rsidRPr="00E0488D">
        <w:t xml:space="preserve"> se conectează, de asemenea, </w:t>
      </w:r>
      <w:r w:rsidRPr="00E0488D">
        <w:rPr>
          <w:rStyle w:val="hps"/>
          <w:rFonts w:cs="Arial"/>
          <w:color w:val="000000" w:themeColor="text1"/>
        </w:rPr>
        <w:t>cu Portul</w:t>
      </w:r>
      <w:r w:rsidRPr="00E0488D">
        <w:t xml:space="preserve"> </w:t>
      </w:r>
      <w:r w:rsidRPr="00E0488D">
        <w:rPr>
          <w:rStyle w:val="hps"/>
          <w:rFonts w:cs="Arial"/>
          <w:color w:val="000000" w:themeColor="text1"/>
        </w:rPr>
        <w:t>Galați</w:t>
      </w:r>
      <w:r w:rsidRPr="00E0488D">
        <w:t xml:space="preserve">, care </w:t>
      </w:r>
      <w:r w:rsidRPr="00E0488D">
        <w:rPr>
          <w:rStyle w:val="hps"/>
          <w:rFonts w:cs="Arial"/>
          <w:color w:val="000000" w:themeColor="text1"/>
        </w:rPr>
        <w:t>este</w:t>
      </w:r>
      <w:r w:rsidRPr="00E0488D">
        <w:t xml:space="preserve"> </w:t>
      </w:r>
      <w:r w:rsidRPr="00E0488D">
        <w:rPr>
          <w:rStyle w:val="hps"/>
          <w:rFonts w:cs="Arial"/>
          <w:color w:val="000000" w:themeColor="text1"/>
        </w:rPr>
        <w:t>bine situat</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punct de</w:t>
      </w:r>
      <w:r w:rsidRPr="00E0488D">
        <w:t xml:space="preserve"> </w:t>
      </w:r>
      <w:r w:rsidRPr="00E0488D">
        <w:rPr>
          <w:rStyle w:val="hps"/>
          <w:rFonts w:cs="Arial"/>
          <w:color w:val="000000" w:themeColor="text1"/>
        </w:rPr>
        <w:t>transbordare</w:t>
      </w:r>
      <w:r w:rsidRPr="00E0488D">
        <w:t xml:space="preserve"> </w:t>
      </w:r>
      <w:r w:rsidRPr="00E0488D">
        <w:rPr>
          <w:rStyle w:val="hps"/>
          <w:rFonts w:cs="Arial"/>
          <w:color w:val="000000" w:themeColor="text1"/>
        </w:rPr>
        <w:t>pe modul naval</w:t>
      </w:r>
      <w:r w:rsidRPr="00E0488D">
        <w:t xml:space="preserve"> </w:t>
      </w:r>
      <w:r w:rsidRPr="00E0488D">
        <w:rPr>
          <w:rStyle w:val="hps"/>
          <w:rFonts w:cs="Arial"/>
          <w:color w:val="000000" w:themeColor="text1"/>
        </w:rPr>
        <w:t>sau</w:t>
      </w:r>
      <w:r w:rsidRPr="00E0488D">
        <w:t xml:space="preserve"> pe </w:t>
      </w:r>
      <w:r w:rsidRPr="00E0488D">
        <w:rPr>
          <w:rStyle w:val="hps"/>
          <w:rFonts w:cs="Arial"/>
          <w:color w:val="000000" w:themeColor="text1"/>
        </w:rPr>
        <w:t>căile ferate</w:t>
      </w:r>
      <w:r w:rsidRPr="00E0488D">
        <w:t xml:space="preserve"> cu </w:t>
      </w:r>
      <w:r w:rsidRPr="00E0488D">
        <w:rPr>
          <w:rStyle w:val="hps"/>
          <w:rFonts w:cs="Arial"/>
          <w:color w:val="000000" w:themeColor="text1"/>
        </w:rPr>
        <w:t>ecartament rusesc</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conexiunile ulterioare</w:t>
      </w:r>
      <w:r w:rsidRPr="00E0488D">
        <w:t xml:space="preserve">. </w:t>
      </w:r>
      <w:r w:rsidRPr="00E0488D">
        <w:rPr>
          <w:rStyle w:val="hps"/>
          <w:rFonts w:cs="Arial"/>
          <w:color w:val="000000" w:themeColor="text1"/>
        </w:rPr>
        <w:t>Ca și pe</w:t>
      </w:r>
      <w:r w:rsidRPr="00E0488D">
        <w:t xml:space="preserve"> </w:t>
      </w:r>
      <w:r w:rsidRPr="00E0488D">
        <w:rPr>
          <w:rStyle w:val="hps"/>
          <w:rFonts w:cs="Arial"/>
          <w:color w:val="000000" w:themeColor="text1"/>
        </w:rPr>
        <w:t>Coridorul IV</w:t>
      </w:r>
      <w:r w:rsidRPr="00E0488D">
        <w:t xml:space="preserve"> </w:t>
      </w:r>
      <w:r w:rsidRPr="00E0488D">
        <w:rPr>
          <w:rStyle w:val="hps"/>
          <w:rFonts w:cs="Arial"/>
          <w:color w:val="000000" w:themeColor="text1"/>
        </w:rPr>
        <w:t>există</w:t>
      </w:r>
      <w:r w:rsidRPr="00E0488D">
        <w:t xml:space="preserve"> </w:t>
      </w:r>
      <w:r w:rsidRPr="00E0488D">
        <w:rPr>
          <w:rStyle w:val="hps"/>
          <w:rFonts w:cs="Arial"/>
          <w:color w:val="000000" w:themeColor="text1"/>
        </w:rPr>
        <w:t>în general</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cotă</w:t>
      </w:r>
      <w:r w:rsidRPr="00E0488D">
        <w:t xml:space="preserve"> </w:t>
      </w:r>
      <w:r w:rsidRPr="00E0488D">
        <w:rPr>
          <w:rStyle w:val="hps"/>
          <w:rFonts w:cs="Arial"/>
          <w:color w:val="000000" w:themeColor="text1"/>
        </w:rPr>
        <w:t>modală</w:t>
      </w:r>
      <w:r w:rsidRPr="00E0488D">
        <w:t xml:space="preserve"> </w:t>
      </w:r>
      <w:r w:rsidRPr="00E0488D">
        <w:rPr>
          <w:rStyle w:val="hps"/>
          <w:rFonts w:cs="Arial"/>
          <w:color w:val="000000" w:themeColor="text1"/>
        </w:rPr>
        <w:t>slabă pentru</w:t>
      </w:r>
      <w:r w:rsidRPr="00E0488D">
        <w:t xml:space="preserve"> </w:t>
      </w:r>
      <w:r w:rsidRPr="00E0488D">
        <w:rPr>
          <w:rStyle w:val="hps"/>
          <w:rFonts w:cs="Arial"/>
          <w:color w:val="000000" w:themeColor="text1"/>
        </w:rPr>
        <w:t>containerele</w:t>
      </w:r>
      <w:r w:rsidRPr="00E0488D">
        <w:t xml:space="preserve"> </w:t>
      </w:r>
      <w:r w:rsidRPr="00E0488D">
        <w:rPr>
          <w:rStyle w:val="hps"/>
          <w:rFonts w:cs="Arial"/>
          <w:color w:val="000000" w:themeColor="text1"/>
        </w:rPr>
        <w:t>care întră în țară</w:t>
      </w:r>
      <w:r w:rsidRPr="00E0488D">
        <w:t xml:space="preserve">, cotă </w:t>
      </w:r>
      <w:r w:rsidRPr="00E0488D">
        <w:rPr>
          <w:rStyle w:val="hps"/>
          <w:rFonts w:cs="Arial"/>
          <w:color w:val="000000" w:themeColor="text1"/>
        </w:rPr>
        <w:t>care ar putea fi</w:t>
      </w:r>
      <w:r w:rsidRPr="00E0488D">
        <w:t xml:space="preserve"> </w:t>
      </w:r>
      <w:r w:rsidRPr="00E0488D">
        <w:rPr>
          <w:rStyle w:val="hps"/>
          <w:rFonts w:cs="Arial"/>
          <w:color w:val="000000" w:themeColor="text1"/>
        </w:rPr>
        <w:t>ajustată</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reabilitarea</w:t>
      </w:r>
      <w:r w:rsidRPr="00E0488D">
        <w:t xml:space="preserve"> </w:t>
      </w:r>
      <w:r w:rsidRPr="00E0488D">
        <w:rPr>
          <w:rStyle w:val="hps"/>
          <w:rFonts w:cs="Arial"/>
          <w:color w:val="000000" w:themeColor="text1"/>
        </w:rPr>
        <w:t>terminalelor intermodale</w:t>
      </w:r>
      <w:r w:rsidRPr="00E0488D">
        <w:t xml:space="preserve"> </w:t>
      </w:r>
      <w:r w:rsidRPr="00E0488D">
        <w:rPr>
          <w:rStyle w:val="hps"/>
          <w:rFonts w:cs="Arial"/>
          <w:color w:val="000000" w:themeColor="text1"/>
        </w:rPr>
        <w:t>din nord-est</w:t>
      </w:r>
      <w:r w:rsidRPr="00E0488D">
        <w:t xml:space="preserve">, </w:t>
      </w:r>
      <w:r w:rsidRPr="00E0488D">
        <w:rPr>
          <w:rStyle w:val="hps"/>
          <w:rFonts w:cs="Arial"/>
          <w:color w:val="000000" w:themeColor="text1"/>
        </w:rPr>
        <w:t>cum ar fi</w:t>
      </w:r>
      <w:r w:rsidRPr="00E0488D">
        <w:t xml:space="preserve"> </w:t>
      </w:r>
      <w:r w:rsidRPr="00E0488D">
        <w:rPr>
          <w:rStyle w:val="hps"/>
          <w:rFonts w:cs="Arial"/>
          <w:color w:val="000000" w:themeColor="text1"/>
        </w:rPr>
        <w:t>la</w:t>
      </w:r>
      <w:r w:rsidRPr="00E0488D">
        <w:t xml:space="preserve"> cele de la </w:t>
      </w:r>
      <w:r w:rsidRPr="00E0488D">
        <w:rPr>
          <w:rStyle w:val="hps"/>
          <w:rFonts w:cs="Arial"/>
          <w:color w:val="000000" w:themeColor="text1"/>
        </w:rPr>
        <w:t>Suceava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Iași</w:t>
      </w:r>
      <w:r w:rsidRPr="00E0488D">
        <w:t xml:space="preserve">. </w:t>
      </w:r>
      <w:r w:rsidRPr="00E0488D">
        <w:rPr>
          <w:rStyle w:val="hps"/>
          <w:rFonts w:cs="Arial"/>
          <w:color w:val="000000" w:themeColor="text1"/>
        </w:rPr>
        <w:t>Din nou</w:t>
      </w:r>
      <w:r w:rsidRPr="00E0488D">
        <w:t xml:space="preserve">, </w:t>
      </w:r>
      <w:r w:rsidRPr="00E0488D">
        <w:rPr>
          <w:rStyle w:val="hps"/>
          <w:rFonts w:cs="Arial"/>
          <w:color w:val="000000" w:themeColor="text1"/>
        </w:rPr>
        <w:t>linia</w:t>
      </w:r>
      <w:r w:rsidRPr="00E0488D">
        <w:t xml:space="preserve"> </w:t>
      </w:r>
      <w:r w:rsidRPr="00E0488D">
        <w:rPr>
          <w:rStyle w:val="hps"/>
          <w:rFonts w:cs="Arial"/>
          <w:color w:val="000000" w:themeColor="text1"/>
        </w:rPr>
        <w:t>ar putea beneficia</w:t>
      </w:r>
      <w:r w:rsidRPr="00E0488D">
        <w:t xml:space="preserve"> </w:t>
      </w:r>
      <w:r w:rsidRPr="00E0488D">
        <w:rPr>
          <w:rStyle w:val="hps"/>
          <w:rFonts w:cs="Arial"/>
          <w:color w:val="000000" w:themeColor="text1"/>
        </w:rPr>
        <w:t>printr-o întreținere</w:t>
      </w:r>
      <w:r w:rsidRPr="00E0488D">
        <w:t xml:space="preserve"> mai bună </w:t>
      </w:r>
      <w:r w:rsidRPr="00E0488D">
        <w:rPr>
          <w:rStyle w:val="hps"/>
          <w:rFonts w:cs="Arial"/>
          <w:color w:val="000000" w:themeColor="text1"/>
        </w:rPr>
        <w:t>și</w:t>
      </w:r>
      <w:r w:rsidRPr="00E0488D">
        <w:t xml:space="preserve"> </w:t>
      </w:r>
      <w:r w:rsidRPr="00E0488D">
        <w:rPr>
          <w:rStyle w:val="hps"/>
          <w:rFonts w:cs="Arial"/>
          <w:color w:val="000000" w:themeColor="text1"/>
        </w:rPr>
        <w:t>alte</w:t>
      </w:r>
      <w:r w:rsidRPr="00E0488D">
        <w:t xml:space="preserve"> </w:t>
      </w:r>
      <w:r w:rsidRPr="00E0488D">
        <w:rPr>
          <w:rStyle w:val="hps"/>
          <w:rFonts w:cs="Arial"/>
          <w:color w:val="000000" w:themeColor="text1"/>
        </w:rPr>
        <w:t>intervenții</w:t>
      </w:r>
      <w:r w:rsidRPr="00E0488D">
        <w:t xml:space="preserve"> </w:t>
      </w:r>
      <w:r w:rsidRPr="00E0488D">
        <w:rPr>
          <w:rStyle w:val="hps"/>
          <w:rFonts w:cs="Arial"/>
          <w:color w:val="000000" w:themeColor="text1"/>
        </w:rPr>
        <w:t>identificate, care</w:t>
      </w:r>
      <w:r w:rsidRPr="00E0488D">
        <w:t xml:space="preserve"> </w:t>
      </w:r>
      <w:r w:rsidRPr="00E0488D">
        <w:rPr>
          <w:rStyle w:val="hps"/>
          <w:rFonts w:cs="Arial"/>
          <w:color w:val="000000" w:themeColor="text1"/>
        </w:rPr>
        <w:t>se aplică</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toate coridoarele</w:t>
      </w:r>
      <w:r w:rsidRPr="00E0488D">
        <w:t xml:space="preserve">.  </w:t>
      </w:r>
    </w:p>
    <w:p w:rsidR="00BD59B2" w:rsidRPr="00E0488D" w:rsidRDefault="00BD59B2" w:rsidP="002B7E09">
      <w:pPr>
        <w:pStyle w:val="NumberedParas"/>
      </w:pPr>
      <w:r w:rsidRPr="00E0488D">
        <w:rPr>
          <w:rStyle w:val="hps"/>
          <w:rFonts w:cs="Arial"/>
          <w:color w:val="000000" w:themeColor="text1"/>
        </w:rPr>
        <w:t>Pornind apoi de la</w:t>
      </w:r>
      <w:r w:rsidRPr="00E0488D">
        <w:t xml:space="preserve"> </w:t>
      </w:r>
      <w:r w:rsidRPr="00E0488D">
        <w:rPr>
          <w:rStyle w:val="hps"/>
          <w:rFonts w:cs="Arial"/>
          <w:color w:val="000000" w:themeColor="text1"/>
        </w:rPr>
        <w:t>aceste</w:t>
      </w:r>
      <w:r w:rsidRPr="00E0488D">
        <w:t xml:space="preserve"> </w:t>
      </w:r>
      <w:r w:rsidRPr="00E0488D">
        <w:rPr>
          <w:rStyle w:val="hps"/>
          <w:rFonts w:cs="Arial"/>
          <w:color w:val="000000" w:themeColor="text1"/>
        </w:rPr>
        <w:t>fundamente</w:t>
      </w:r>
      <w:r w:rsidRPr="00E0488D">
        <w:t xml:space="preserve">, este evidentă necesitatea </w:t>
      </w:r>
      <w:r w:rsidRPr="00E0488D">
        <w:rPr>
          <w:rStyle w:val="hps"/>
          <w:rFonts w:cs="Arial"/>
          <w:color w:val="000000" w:themeColor="text1"/>
        </w:rPr>
        <w:t>unui</w:t>
      </w:r>
      <w:r w:rsidRPr="00E0488D">
        <w:t xml:space="preserve"> </w:t>
      </w:r>
      <w:r w:rsidRPr="00E0488D">
        <w:rPr>
          <w:rStyle w:val="hps"/>
          <w:rFonts w:cs="Arial"/>
          <w:color w:val="000000" w:themeColor="text1"/>
        </w:rPr>
        <w:t>program clar</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intervenții</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reabilitarea</w:t>
      </w:r>
      <w:r w:rsidRPr="00E0488D">
        <w:t xml:space="preserve"> </w:t>
      </w:r>
      <w:r w:rsidRPr="00E0488D">
        <w:rPr>
          <w:rStyle w:val="hps"/>
          <w:rFonts w:cs="Arial"/>
          <w:color w:val="000000" w:themeColor="text1"/>
        </w:rPr>
        <w:t>liniei</w:t>
      </w:r>
      <w:r w:rsidRPr="00E0488D">
        <w:t xml:space="preserve"> </w:t>
      </w:r>
      <w:r w:rsidRPr="00E0488D">
        <w:rPr>
          <w:rStyle w:val="hps"/>
          <w:rFonts w:cs="Arial"/>
          <w:color w:val="000000" w:themeColor="text1"/>
        </w:rPr>
        <w:t>pentru creșterea</w:t>
      </w:r>
      <w:r w:rsidRPr="00E0488D">
        <w:t xml:space="preserve"> </w:t>
      </w:r>
      <w:r w:rsidRPr="00E0488D">
        <w:rPr>
          <w:rStyle w:val="hps"/>
          <w:rFonts w:cs="Arial"/>
          <w:color w:val="000000" w:themeColor="text1"/>
        </w:rPr>
        <w:t>greutății pe osie</w:t>
      </w:r>
      <w:r w:rsidRPr="00E0488D">
        <w:t xml:space="preserve"> </w:t>
      </w:r>
      <w:r w:rsidRPr="00E0488D">
        <w:rPr>
          <w:rStyle w:val="hps"/>
          <w:rFonts w:cs="Arial"/>
          <w:color w:val="000000" w:themeColor="text1"/>
        </w:rPr>
        <w:t>și</w:t>
      </w:r>
      <w:r w:rsidRPr="00E0488D">
        <w:t xml:space="preserve"> pentru permiterea unor  </w:t>
      </w:r>
      <w:r w:rsidRPr="00E0488D">
        <w:rPr>
          <w:rStyle w:val="hps"/>
          <w:rFonts w:cs="Arial"/>
          <w:color w:val="000000" w:themeColor="text1"/>
        </w:rPr>
        <w:t>trenuri</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mai rapide</w:t>
      </w:r>
      <w:r w:rsidRPr="00E0488D">
        <w:t>. Î</w:t>
      </w:r>
      <w:r w:rsidRPr="00E0488D">
        <w:rPr>
          <w:rStyle w:val="hps"/>
          <w:rFonts w:cs="Arial"/>
          <w:color w:val="000000" w:themeColor="text1"/>
        </w:rPr>
        <w:t>mbunătățirile propuse pentru</w:t>
      </w:r>
      <w:r w:rsidRPr="00E0488D">
        <w:t xml:space="preserve"> </w:t>
      </w:r>
      <w:r w:rsidRPr="00E0488D">
        <w:rPr>
          <w:rStyle w:val="hps"/>
          <w:rFonts w:cs="Arial"/>
          <w:color w:val="000000" w:themeColor="text1"/>
        </w:rPr>
        <w:t>rețeaua de cale ferată</w:t>
      </w:r>
      <w:r w:rsidRPr="00E0488D">
        <w:t xml:space="preserve"> </w:t>
      </w:r>
      <w:r w:rsidRPr="00E0488D">
        <w:rPr>
          <w:rStyle w:val="hps"/>
          <w:rFonts w:cs="Arial"/>
          <w:color w:val="000000" w:themeColor="text1"/>
        </w:rPr>
        <w:t>sunt prezentate în secțiunea</w:t>
      </w:r>
      <w:r w:rsidRPr="00E0488D">
        <w:t xml:space="preserve"> </w:t>
      </w:r>
      <w:r w:rsidRPr="00E0488D">
        <w:rPr>
          <w:rStyle w:val="hps"/>
          <w:rFonts w:cs="Arial"/>
          <w:color w:val="000000" w:themeColor="text1"/>
        </w:rPr>
        <w:t>5</w:t>
      </w:r>
      <w:r w:rsidRPr="00E0488D">
        <w:t>.</w:t>
      </w:r>
    </w:p>
    <w:p w:rsidR="00BD59B2" w:rsidRPr="00E0488D" w:rsidRDefault="00BD59B2" w:rsidP="00BD59B2">
      <w:pPr>
        <w:rPr>
          <w:lang w:val="ro-RO"/>
        </w:rPr>
      </w:pPr>
    </w:p>
    <w:p w:rsidR="00BD59B2" w:rsidRPr="00E0488D" w:rsidRDefault="00BD59B2" w:rsidP="00BD59B2">
      <w:pPr>
        <w:pStyle w:val="Hdg3"/>
      </w:pPr>
      <w:r w:rsidRPr="00E0488D">
        <w:t>Terminale intermodale – Factori pentru succes</w:t>
      </w:r>
    </w:p>
    <w:p w:rsidR="00BD59B2" w:rsidRPr="00E0488D" w:rsidRDefault="00BD59B2" w:rsidP="002B7E09">
      <w:pPr>
        <w:pStyle w:val="NumberedParas"/>
        <w:rPr>
          <w:lang w:eastAsia="en-GB"/>
        </w:rPr>
      </w:pPr>
      <w:r w:rsidRPr="00E0488D">
        <w:rPr>
          <w:lang w:eastAsia="en-GB"/>
        </w:rPr>
        <w:t>Din experiența AECOM factorii cheie de succes pentru serviciile de transport intermodal sunt următorii:</w:t>
      </w:r>
    </w:p>
    <w:p w:rsidR="00BD59B2" w:rsidRPr="00E0488D" w:rsidRDefault="00BD59B2" w:rsidP="00BC2B57">
      <w:pPr>
        <w:pStyle w:val="BulletLevel1"/>
      </w:pPr>
      <w:r w:rsidRPr="00E0488D">
        <w:t>Disponibilitatea pentru servicii frecvente, regulate, fiabile și punctuale;</w:t>
      </w:r>
    </w:p>
    <w:p w:rsidR="00BD59B2" w:rsidRPr="00E0488D" w:rsidRDefault="00BD59B2" w:rsidP="00BC2B57">
      <w:pPr>
        <w:pStyle w:val="BulletLevel1"/>
      </w:pPr>
      <w:r w:rsidRPr="00E0488D">
        <w:t>Orare adaptate la călătoriile de afaceri și transport de bunuri de larg consum;</w:t>
      </w:r>
    </w:p>
    <w:p w:rsidR="00BD59B2" w:rsidRPr="00E0488D" w:rsidRDefault="00BD59B2" w:rsidP="00BC2B57">
      <w:pPr>
        <w:pStyle w:val="BulletLevel1"/>
      </w:pPr>
      <w:r w:rsidRPr="00E0488D">
        <w:t>Soluții door-to-door flexibile, inclusiv alternative pentru camioane;</w:t>
      </w:r>
    </w:p>
    <w:p w:rsidR="00BD59B2" w:rsidRPr="00E0488D" w:rsidRDefault="00BD59B2" w:rsidP="00BC2B57">
      <w:pPr>
        <w:pStyle w:val="BulletLevel1"/>
      </w:pPr>
      <w:r w:rsidRPr="00E0488D">
        <w:t>Controlului și managementul unui lanț de aprovizionare sigur door-to-door;</w:t>
      </w:r>
    </w:p>
    <w:p w:rsidR="00BD59B2" w:rsidRPr="00E0488D" w:rsidRDefault="00BD59B2" w:rsidP="00BC2B57">
      <w:pPr>
        <w:pStyle w:val="BulletLevel1"/>
      </w:pPr>
      <w:r w:rsidRPr="00E0488D">
        <w:t>Manevrare rapidă în terminale pentru a asigura curse eficiente dus-întors pentru companiile de transport (colectare și livrare taxe rutiere) inclusiv accesul eficient la infrastructura rutieră;</w:t>
      </w:r>
    </w:p>
    <w:p w:rsidR="00BD59B2" w:rsidRPr="00E0488D" w:rsidRDefault="00BD59B2" w:rsidP="00BC2B57">
      <w:pPr>
        <w:pStyle w:val="BulletLevel1"/>
      </w:pPr>
      <w:r w:rsidRPr="00E0488D">
        <w:t>Livrare constantă;</w:t>
      </w:r>
    </w:p>
    <w:p w:rsidR="00BD59B2" w:rsidRPr="00E0488D" w:rsidRDefault="00BD59B2" w:rsidP="00BC2B57">
      <w:pPr>
        <w:pStyle w:val="BulletLevel1"/>
      </w:pPr>
      <w:r w:rsidRPr="00E0488D">
        <w:t>Servicii intermodale internaționale omogene (interoperabilitate, sincronizare procese între căile ferate și operatori, schimb de date);</w:t>
      </w:r>
    </w:p>
    <w:p w:rsidR="00BD59B2" w:rsidRPr="00E0488D" w:rsidRDefault="00BD59B2" w:rsidP="00BC2B57">
      <w:pPr>
        <w:pStyle w:val="BulletLevel1"/>
      </w:pPr>
      <w:r w:rsidRPr="00E0488D">
        <w:rPr>
          <w:rStyle w:val="hps"/>
        </w:rPr>
        <w:t>Taxe de acces la</w:t>
      </w:r>
      <w:r w:rsidRPr="00E0488D">
        <w:t xml:space="preserve"> </w:t>
      </w:r>
      <w:r w:rsidRPr="00E0488D">
        <w:rPr>
          <w:rStyle w:val="hps"/>
        </w:rPr>
        <w:t>infrastructură</w:t>
      </w:r>
      <w:r w:rsidRPr="00E0488D">
        <w:t xml:space="preserve"> </w:t>
      </w:r>
      <w:r w:rsidRPr="00E0488D">
        <w:rPr>
          <w:rStyle w:val="hps"/>
        </w:rPr>
        <w:t>care să asigure</w:t>
      </w:r>
      <w:r w:rsidRPr="00E0488D">
        <w:t xml:space="preserve"> </w:t>
      </w:r>
      <w:r w:rsidRPr="00E0488D">
        <w:rPr>
          <w:rStyle w:val="hps"/>
        </w:rPr>
        <w:t>condiții de concurență echitabile</w:t>
      </w:r>
      <w:r w:rsidRPr="00E0488D">
        <w:t xml:space="preserve"> </w:t>
      </w:r>
      <w:r w:rsidRPr="00E0488D">
        <w:rPr>
          <w:rStyle w:val="hps"/>
        </w:rPr>
        <w:t>între</w:t>
      </w:r>
      <w:r w:rsidRPr="00E0488D">
        <w:t xml:space="preserve"> </w:t>
      </w:r>
      <w:r w:rsidRPr="00E0488D">
        <w:rPr>
          <w:rStyle w:val="hps"/>
        </w:rPr>
        <w:t>soluțiile intermodale</w:t>
      </w:r>
      <w:r w:rsidRPr="00E0488D">
        <w:t xml:space="preserve"> </w:t>
      </w:r>
      <w:r w:rsidRPr="00E0488D">
        <w:rPr>
          <w:rStyle w:val="hps"/>
        </w:rPr>
        <w:t>și</w:t>
      </w:r>
      <w:r w:rsidRPr="00E0488D">
        <w:t xml:space="preserve"> </w:t>
      </w:r>
      <w:r w:rsidRPr="00E0488D">
        <w:rPr>
          <w:rStyle w:val="hps"/>
        </w:rPr>
        <w:t xml:space="preserve"> transportul rutier</w:t>
      </w:r>
      <w:r w:rsidRPr="00E0488D">
        <w:t>;</w:t>
      </w:r>
    </w:p>
    <w:p w:rsidR="00BD59B2" w:rsidRPr="00E0488D" w:rsidRDefault="00BD59B2" w:rsidP="00BC2B57">
      <w:pPr>
        <w:pStyle w:val="BulletLevel1"/>
      </w:pPr>
      <w:r w:rsidRPr="00E0488D">
        <w:rPr>
          <w:rStyle w:val="hps"/>
        </w:rPr>
        <w:t>Prezența</w:t>
      </w:r>
      <w:r w:rsidRPr="00E0488D">
        <w:t xml:space="preserve"> </w:t>
      </w:r>
      <w:r w:rsidRPr="00E0488D">
        <w:rPr>
          <w:rStyle w:val="hps"/>
        </w:rPr>
        <w:t>unui</w:t>
      </w:r>
      <w:r w:rsidRPr="00E0488D">
        <w:t xml:space="preserve"> </w:t>
      </w:r>
      <w:r w:rsidRPr="00E0488D">
        <w:rPr>
          <w:rStyle w:val="hps"/>
        </w:rPr>
        <w:t>număr</w:t>
      </w:r>
      <w:r w:rsidRPr="00E0488D">
        <w:t xml:space="preserve"> </w:t>
      </w:r>
      <w:r w:rsidRPr="00E0488D">
        <w:rPr>
          <w:rStyle w:val="hps"/>
        </w:rPr>
        <w:t>semnificativ</w:t>
      </w:r>
      <w:r w:rsidRPr="00E0488D">
        <w:t xml:space="preserve"> </w:t>
      </w:r>
      <w:r w:rsidRPr="00E0488D">
        <w:rPr>
          <w:rStyle w:val="hps"/>
        </w:rPr>
        <w:t>de</w:t>
      </w:r>
      <w:r w:rsidRPr="00E0488D">
        <w:t xml:space="preserve"> </w:t>
      </w:r>
      <w:r w:rsidRPr="00E0488D">
        <w:rPr>
          <w:rStyle w:val="hps"/>
        </w:rPr>
        <w:t>clienți</w:t>
      </w:r>
      <w:r w:rsidRPr="00E0488D">
        <w:t xml:space="preserve"> cât </w:t>
      </w:r>
      <w:r w:rsidRPr="00E0488D">
        <w:rPr>
          <w:rStyle w:val="hps"/>
        </w:rPr>
        <w:t>mai aproape posibil</w:t>
      </w:r>
      <w:r w:rsidRPr="00E0488D">
        <w:t xml:space="preserve"> </w:t>
      </w:r>
      <w:r w:rsidRPr="00E0488D">
        <w:rPr>
          <w:rStyle w:val="hps"/>
        </w:rPr>
        <w:t>de</w:t>
      </w:r>
      <w:r w:rsidRPr="00E0488D">
        <w:t xml:space="preserve"> </w:t>
      </w:r>
      <w:r w:rsidRPr="00E0488D">
        <w:rPr>
          <w:rStyle w:val="hps"/>
        </w:rPr>
        <w:t>terminalele</w:t>
      </w:r>
      <w:r w:rsidRPr="00E0488D">
        <w:t xml:space="preserve"> </w:t>
      </w:r>
      <w:r w:rsidRPr="00E0488D">
        <w:rPr>
          <w:rStyle w:val="hps"/>
        </w:rPr>
        <w:t>intermodale</w:t>
      </w:r>
      <w:r w:rsidRPr="00E0488D">
        <w:t>;</w:t>
      </w:r>
    </w:p>
    <w:p w:rsidR="00BD59B2" w:rsidRPr="00E0488D" w:rsidRDefault="00BD59B2" w:rsidP="00BC2B57">
      <w:pPr>
        <w:pStyle w:val="BulletLevel1"/>
      </w:pPr>
      <w:r w:rsidRPr="00E0488D">
        <w:t>Disponibilitatea unor terminale eficiente;</w:t>
      </w:r>
    </w:p>
    <w:p w:rsidR="00BD59B2" w:rsidRPr="00E0488D" w:rsidRDefault="00BD59B2" w:rsidP="00BC2B57">
      <w:pPr>
        <w:pStyle w:val="BulletLevel1"/>
      </w:pPr>
      <w:r w:rsidRPr="00E0488D">
        <w:t>Disponibilitatea unor depouri de containere goale în centre strategice;</w:t>
      </w:r>
    </w:p>
    <w:p w:rsidR="00BD59B2" w:rsidRPr="00E0488D" w:rsidRDefault="00BD59B2" w:rsidP="00BC2B57">
      <w:pPr>
        <w:pStyle w:val="BulletLevel1"/>
      </w:pPr>
      <w:r w:rsidRPr="00E0488D">
        <w:t>Activități de susținere din partea autorităților;</w:t>
      </w:r>
    </w:p>
    <w:p w:rsidR="00BD59B2" w:rsidRPr="00E0488D" w:rsidRDefault="00BD59B2" w:rsidP="00BC2B57">
      <w:pPr>
        <w:pStyle w:val="BulletLevel1"/>
      </w:pPr>
      <w:r w:rsidRPr="00E0488D">
        <w:t>Transparență și responsabilitate;</w:t>
      </w:r>
    </w:p>
    <w:p w:rsidR="00BD59B2" w:rsidRPr="00E0488D" w:rsidRDefault="00BD59B2" w:rsidP="00BC2B57">
      <w:pPr>
        <w:pStyle w:val="BulletLevel1"/>
      </w:pPr>
      <w:r w:rsidRPr="00E0488D">
        <w:t>Conștientizarea pieții cu privire la posibilitățile transportului intermodal;</w:t>
      </w:r>
    </w:p>
    <w:p w:rsidR="00BD59B2" w:rsidRPr="00E0488D" w:rsidRDefault="00BD59B2" w:rsidP="00BC2B57">
      <w:pPr>
        <w:pStyle w:val="BulletLevel1"/>
      </w:pPr>
      <w:r w:rsidRPr="00E0488D">
        <w:t>Experiență în piața transportului intermodal; și</w:t>
      </w:r>
    </w:p>
    <w:p w:rsidR="00BD59B2" w:rsidRPr="00E0488D" w:rsidRDefault="00BD59B2" w:rsidP="00BC2B57">
      <w:pPr>
        <w:pStyle w:val="BulletLevel1"/>
      </w:pPr>
      <w:r w:rsidRPr="00E0488D">
        <w:t>Prețuri competitive pentru transport complet.</w:t>
      </w:r>
    </w:p>
    <w:p w:rsidR="00BD59B2" w:rsidRPr="00E0488D" w:rsidRDefault="00BD59B2" w:rsidP="002B7E09">
      <w:pPr>
        <w:pStyle w:val="NumberedParas"/>
      </w:pPr>
      <w:r w:rsidRPr="00E0488D">
        <w:t>Pentru realizarea acestui lucru fiecare terminal va avea nevoie de câte ceva (dacă nu de toate) din următoarele:</w:t>
      </w:r>
    </w:p>
    <w:p w:rsidR="00BD59B2" w:rsidRPr="00E0488D" w:rsidRDefault="00BD59B2" w:rsidP="00BD59B2">
      <w:pPr>
        <w:spacing w:line="276" w:lineRule="auto"/>
        <w:rPr>
          <w:b/>
          <w:sz w:val="22"/>
          <w:szCs w:val="22"/>
          <w:u w:val="single"/>
          <w:lang w:val="ro-RO"/>
        </w:rPr>
      </w:pPr>
    </w:p>
    <w:tbl>
      <w:tblPr>
        <w:tblW w:w="5000" w:type="pct"/>
        <w:shd w:val="clear" w:color="auto" w:fill="C6D9F1" w:themeFill="text2" w:themeFillTint="33"/>
        <w:tblLook w:val="04A0" w:firstRow="1" w:lastRow="0" w:firstColumn="1" w:lastColumn="0" w:noHBand="0" w:noVBand="1"/>
      </w:tblPr>
      <w:tblGrid>
        <w:gridCol w:w="10507"/>
      </w:tblGrid>
      <w:tr w:rsidR="00BD59B2" w:rsidRPr="00E0488D" w:rsidTr="009972B3">
        <w:tc>
          <w:tcPr>
            <w:tcW w:w="5000" w:type="pct"/>
            <w:shd w:val="clear" w:color="auto" w:fill="C6D9F1" w:themeFill="text2" w:themeFillTint="33"/>
          </w:tcPr>
          <w:p w:rsidR="00BD59B2" w:rsidRPr="00E0488D" w:rsidRDefault="00BD59B2" w:rsidP="009972B3">
            <w:pPr>
              <w:spacing w:line="276" w:lineRule="auto"/>
              <w:rPr>
                <w:b/>
                <w:sz w:val="22"/>
                <w:szCs w:val="22"/>
                <w:lang w:val="ro-RO"/>
              </w:rPr>
            </w:pPr>
            <w:r w:rsidRPr="00E0488D">
              <w:rPr>
                <w:b/>
                <w:sz w:val="22"/>
                <w:szCs w:val="22"/>
                <w:lang w:val="ro-RO"/>
              </w:rPr>
              <w:t xml:space="preserve">Cerințe tipice pentru un terminal intermodal de marfă </w:t>
            </w:r>
          </w:p>
          <w:p w:rsidR="00BD59B2" w:rsidRPr="00E0488D" w:rsidRDefault="00BD59B2" w:rsidP="009972B3">
            <w:pPr>
              <w:spacing w:line="276" w:lineRule="auto"/>
              <w:rPr>
                <w:sz w:val="22"/>
                <w:szCs w:val="22"/>
                <w:lang w:val="ro-RO"/>
              </w:rPr>
            </w:pPr>
            <w:r w:rsidRPr="00E0488D">
              <w:rPr>
                <w:sz w:val="22"/>
                <w:szCs w:val="22"/>
                <w:lang w:val="ro-RO"/>
              </w:rPr>
              <w:t>În continuare sunt prezentate cerințele tipice care trebuie considerate la construirea unui nou terminal.</w:t>
            </w:r>
          </w:p>
          <w:p w:rsidR="00BD59B2" w:rsidRPr="00E0488D" w:rsidRDefault="00BD59B2" w:rsidP="009972B3">
            <w:pPr>
              <w:spacing w:line="276" w:lineRule="auto"/>
              <w:rPr>
                <w:b/>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Securitate</w:t>
            </w:r>
          </w:p>
          <w:p w:rsidR="00BD59B2" w:rsidRPr="00E0488D" w:rsidRDefault="00BD59B2" w:rsidP="00BD59B2">
            <w:pPr>
              <w:pStyle w:val="ListParagraph"/>
              <w:numPr>
                <w:ilvl w:val="0"/>
                <w:numId w:val="40"/>
              </w:numPr>
              <w:spacing w:line="276" w:lineRule="auto"/>
              <w:jc w:val="left"/>
              <w:rPr>
                <w:sz w:val="22"/>
                <w:szCs w:val="22"/>
                <w:lang w:val="ro-RO"/>
              </w:rPr>
            </w:pPr>
            <w:r w:rsidRPr="00E0488D">
              <w:rPr>
                <w:sz w:val="22"/>
                <w:szCs w:val="22"/>
                <w:lang w:val="ro-RO"/>
              </w:rPr>
              <w:t>Birou pază</w:t>
            </w:r>
          </w:p>
          <w:p w:rsidR="00BD59B2" w:rsidRPr="00E0488D" w:rsidRDefault="00BD59B2" w:rsidP="00BD59B2">
            <w:pPr>
              <w:pStyle w:val="ListParagraph"/>
              <w:numPr>
                <w:ilvl w:val="0"/>
                <w:numId w:val="40"/>
              </w:numPr>
              <w:spacing w:line="276" w:lineRule="auto"/>
              <w:jc w:val="left"/>
              <w:rPr>
                <w:sz w:val="22"/>
                <w:szCs w:val="22"/>
                <w:lang w:val="ro-RO"/>
              </w:rPr>
            </w:pPr>
            <w:r w:rsidRPr="00E0488D">
              <w:rPr>
                <w:sz w:val="22"/>
                <w:szCs w:val="22"/>
                <w:lang w:val="ro-RO"/>
              </w:rPr>
              <w:t>Împrejmuire de siguranță</w:t>
            </w:r>
          </w:p>
          <w:p w:rsidR="00BD59B2" w:rsidRPr="00E0488D" w:rsidRDefault="00BD59B2" w:rsidP="00BD59B2">
            <w:pPr>
              <w:pStyle w:val="ListParagraph"/>
              <w:numPr>
                <w:ilvl w:val="0"/>
                <w:numId w:val="40"/>
              </w:numPr>
              <w:spacing w:line="276" w:lineRule="auto"/>
              <w:jc w:val="left"/>
              <w:rPr>
                <w:sz w:val="22"/>
                <w:szCs w:val="22"/>
                <w:lang w:val="ro-RO"/>
              </w:rPr>
            </w:pPr>
            <w:r w:rsidRPr="00E0488D">
              <w:rPr>
                <w:sz w:val="22"/>
                <w:szCs w:val="22"/>
                <w:lang w:val="ro-RO"/>
              </w:rPr>
              <w:t>Iluminat bun</w:t>
            </w:r>
          </w:p>
          <w:p w:rsidR="00BD59B2" w:rsidRPr="00E0488D" w:rsidRDefault="00BD59B2" w:rsidP="00BD59B2">
            <w:pPr>
              <w:pStyle w:val="ListParagraph"/>
              <w:numPr>
                <w:ilvl w:val="0"/>
                <w:numId w:val="40"/>
              </w:numPr>
              <w:spacing w:line="276" w:lineRule="auto"/>
              <w:jc w:val="left"/>
              <w:rPr>
                <w:sz w:val="22"/>
                <w:szCs w:val="22"/>
                <w:lang w:val="ro-RO"/>
              </w:rPr>
            </w:pPr>
            <w:r w:rsidRPr="00E0488D">
              <w:rPr>
                <w:sz w:val="22"/>
                <w:szCs w:val="22"/>
                <w:lang w:val="ro-RO"/>
              </w:rPr>
              <w:t>Porți electronice</w:t>
            </w:r>
          </w:p>
          <w:p w:rsidR="00BD59B2" w:rsidRPr="00E0488D" w:rsidRDefault="00BD59B2" w:rsidP="00BD59B2">
            <w:pPr>
              <w:pStyle w:val="ListParagraph"/>
              <w:numPr>
                <w:ilvl w:val="0"/>
                <w:numId w:val="40"/>
              </w:numPr>
              <w:spacing w:line="276" w:lineRule="auto"/>
              <w:jc w:val="left"/>
              <w:rPr>
                <w:sz w:val="22"/>
                <w:szCs w:val="22"/>
                <w:lang w:val="ro-RO"/>
              </w:rPr>
            </w:pPr>
            <w:r w:rsidRPr="00E0488D">
              <w:rPr>
                <w:sz w:val="22"/>
                <w:szCs w:val="22"/>
                <w:lang w:val="ro-RO"/>
              </w:rPr>
              <w:t>Sistem CCTV</w:t>
            </w:r>
          </w:p>
          <w:p w:rsidR="00BD59B2" w:rsidRPr="00E0488D" w:rsidRDefault="00BD59B2" w:rsidP="009972B3">
            <w:pPr>
              <w:spacing w:line="276" w:lineRule="auto"/>
              <w:rPr>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Sisteme</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 xml:space="preserve">Cameră centrală de comandă cu comunicare pentru agenți și echipamentul de manevrare  </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 xml:space="preserve">Sistem modern IT cu managementul trenurilor pe internet </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Controlul automat al documentelor electronice</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Sistem modern de control al trenurilor</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 xml:space="preserve">Sisteme moderne de comunicații </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Semnalizare integrată în tren</w:t>
            </w:r>
          </w:p>
          <w:p w:rsidR="00BD59B2" w:rsidRPr="00E0488D" w:rsidRDefault="00BD59B2" w:rsidP="00BD59B2">
            <w:pPr>
              <w:pStyle w:val="ListParagraph"/>
              <w:numPr>
                <w:ilvl w:val="0"/>
                <w:numId w:val="41"/>
              </w:numPr>
              <w:spacing w:line="276" w:lineRule="auto"/>
              <w:jc w:val="left"/>
              <w:rPr>
                <w:sz w:val="22"/>
                <w:szCs w:val="22"/>
                <w:lang w:val="ro-RO"/>
              </w:rPr>
            </w:pPr>
            <w:r w:rsidRPr="00E0488D">
              <w:rPr>
                <w:sz w:val="22"/>
                <w:szCs w:val="22"/>
                <w:lang w:val="ro-RO"/>
              </w:rPr>
              <w:t xml:space="preserve">Sisteme moderne de control vamal care pot verifica mărfurile în mișcare </w:t>
            </w:r>
          </w:p>
          <w:p w:rsidR="00BD59B2" w:rsidRPr="00E0488D" w:rsidRDefault="00BD59B2" w:rsidP="009972B3">
            <w:pPr>
              <w:spacing w:line="276" w:lineRule="auto"/>
              <w:rPr>
                <w:b/>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Echipament de manevrare</w:t>
            </w:r>
          </w:p>
          <w:p w:rsidR="00BD59B2" w:rsidRPr="00E0488D" w:rsidRDefault="00BD59B2" w:rsidP="00BD59B2">
            <w:pPr>
              <w:pStyle w:val="ListParagraph"/>
              <w:numPr>
                <w:ilvl w:val="0"/>
                <w:numId w:val="42"/>
              </w:numPr>
              <w:spacing w:line="276" w:lineRule="auto"/>
              <w:jc w:val="left"/>
              <w:rPr>
                <w:sz w:val="22"/>
                <w:szCs w:val="22"/>
                <w:lang w:val="ro-RO"/>
              </w:rPr>
            </w:pPr>
            <w:r w:rsidRPr="00E0488D">
              <w:rPr>
                <w:sz w:val="22"/>
                <w:szCs w:val="22"/>
                <w:lang w:val="ro-RO"/>
              </w:rPr>
              <w:t xml:space="preserve">Poduri rulante electrice pentru menevrarea containerelor cu minim 4 stivuitoare pe șenile și capacitate de încărcare camion </w:t>
            </w:r>
          </w:p>
          <w:p w:rsidR="00BD59B2" w:rsidRPr="00E0488D" w:rsidRDefault="00BD59B2" w:rsidP="00BD59B2">
            <w:pPr>
              <w:pStyle w:val="ListParagraph"/>
              <w:numPr>
                <w:ilvl w:val="0"/>
                <w:numId w:val="42"/>
              </w:numPr>
              <w:spacing w:line="276" w:lineRule="auto"/>
              <w:jc w:val="left"/>
              <w:rPr>
                <w:sz w:val="22"/>
                <w:szCs w:val="22"/>
                <w:lang w:val="ro-RO"/>
              </w:rPr>
            </w:pPr>
            <w:r w:rsidRPr="00E0488D">
              <w:rPr>
                <w:sz w:val="22"/>
                <w:szCs w:val="22"/>
                <w:lang w:val="ro-RO"/>
              </w:rPr>
              <w:t xml:space="preserve">Stivuitoare  </w:t>
            </w:r>
          </w:p>
          <w:p w:rsidR="00BD59B2" w:rsidRPr="00E0488D" w:rsidRDefault="00BD59B2" w:rsidP="00BD59B2">
            <w:pPr>
              <w:pStyle w:val="ListParagraph"/>
              <w:numPr>
                <w:ilvl w:val="0"/>
                <w:numId w:val="42"/>
              </w:numPr>
              <w:spacing w:line="276" w:lineRule="auto"/>
              <w:jc w:val="left"/>
              <w:rPr>
                <w:sz w:val="22"/>
                <w:szCs w:val="22"/>
                <w:lang w:val="ro-RO"/>
              </w:rPr>
            </w:pPr>
            <w:r w:rsidRPr="00E0488D">
              <w:rPr>
                <w:sz w:val="22"/>
                <w:szCs w:val="22"/>
                <w:lang w:val="ro-RO"/>
              </w:rPr>
              <w:t xml:space="preserve">Eventual stație de andocare pentru încărcarea/descărcarea vagoanele de marfă (box car) cu spațiu suficient pentru întoarcerea stivuitoarelor </w:t>
            </w:r>
          </w:p>
          <w:p w:rsidR="00BD59B2" w:rsidRPr="00E0488D" w:rsidRDefault="00BD59B2" w:rsidP="00BD59B2">
            <w:pPr>
              <w:pStyle w:val="ListParagraph"/>
              <w:numPr>
                <w:ilvl w:val="0"/>
                <w:numId w:val="42"/>
              </w:numPr>
              <w:spacing w:line="276" w:lineRule="auto"/>
              <w:jc w:val="left"/>
              <w:rPr>
                <w:sz w:val="22"/>
                <w:szCs w:val="22"/>
                <w:lang w:val="ro-RO"/>
              </w:rPr>
            </w:pPr>
            <w:r w:rsidRPr="00E0488D">
              <w:rPr>
                <w:sz w:val="22"/>
                <w:szCs w:val="22"/>
                <w:lang w:val="ro-RO"/>
              </w:rPr>
              <w:t xml:space="preserve">Facilități de încărcare/alimentare echipamente de manevrare </w:t>
            </w:r>
          </w:p>
          <w:p w:rsidR="00BD59B2" w:rsidRPr="00E0488D" w:rsidRDefault="00BD59B2" w:rsidP="009972B3">
            <w:pPr>
              <w:spacing w:line="276" w:lineRule="auto"/>
              <w:rPr>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Facilități rutiere</w:t>
            </w:r>
          </w:p>
          <w:p w:rsidR="00BD59B2" w:rsidRPr="00E0488D" w:rsidRDefault="00BD59B2" w:rsidP="00BD59B2">
            <w:pPr>
              <w:pStyle w:val="ListParagraph"/>
              <w:numPr>
                <w:ilvl w:val="0"/>
                <w:numId w:val="43"/>
              </w:numPr>
              <w:spacing w:line="276" w:lineRule="auto"/>
              <w:jc w:val="left"/>
              <w:rPr>
                <w:sz w:val="22"/>
                <w:szCs w:val="22"/>
                <w:lang w:val="ro-RO"/>
              </w:rPr>
            </w:pPr>
            <w:r w:rsidRPr="00E0488D">
              <w:rPr>
                <w:sz w:val="22"/>
                <w:szCs w:val="22"/>
                <w:lang w:val="ro-RO"/>
              </w:rPr>
              <w:t>Zonă de parcare camioane cu mecanism electronic de chemare pentru instruirea șoferilor în momentul în care trebuie să se apropie de zona de încărcare</w:t>
            </w:r>
          </w:p>
          <w:p w:rsidR="00BD59B2" w:rsidRPr="00E0488D" w:rsidRDefault="00BD59B2" w:rsidP="00BD59B2">
            <w:pPr>
              <w:pStyle w:val="ListParagraph"/>
              <w:numPr>
                <w:ilvl w:val="0"/>
                <w:numId w:val="43"/>
              </w:numPr>
              <w:spacing w:line="276" w:lineRule="auto"/>
              <w:jc w:val="left"/>
              <w:rPr>
                <w:sz w:val="22"/>
                <w:szCs w:val="22"/>
                <w:lang w:val="ro-RO"/>
              </w:rPr>
            </w:pPr>
            <w:r w:rsidRPr="00E0488D">
              <w:rPr>
                <w:sz w:val="22"/>
                <w:szCs w:val="22"/>
                <w:lang w:val="ro-RO"/>
              </w:rPr>
              <w:t>Deplasarea camioanelor se face într-un singur sens din motive de siguranță și operare constantă</w:t>
            </w:r>
          </w:p>
          <w:p w:rsidR="00BD59B2" w:rsidRPr="00E0488D" w:rsidRDefault="00BD59B2" w:rsidP="00BD59B2">
            <w:pPr>
              <w:pStyle w:val="ListParagraph"/>
              <w:numPr>
                <w:ilvl w:val="0"/>
                <w:numId w:val="43"/>
              </w:numPr>
              <w:spacing w:line="276" w:lineRule="auto"/>
              <w:jc w:val="left"/>
              <w:rPr>
                <w:sz w:val="22"/>
                <w:szCs w:val="22"/>
                <w:lang w:val="ro-RO"/>
              </w:rPr>
            </w:pPr>
            <w:r w:rsidRPr="00E0488D">
              <w:rPr>
                <w:sz w:val="22"/>
                <w:szCs w:val="22"/>
                <w:lang w:val="ro-RO"/>
              </w:rPr>
              <w:t>Zonă de odihnă, cafea etc. pentru șoferi camioane.</w:t>
            </w:r>
          </w:p>
          <w:p w:rsidR="00BD59B2" w:rsidRPr="00E0488D" w:rsidRDefault="00BD59B2" w:rsidP="00BD59B2">
            <w:pPr>
              <w:pStyle w:val="ListParagraph"/>
              <w:numPr>
                <w:ilvl w:val="0"/>
                <w:numId w:val="43"/>
              </w:numPr>
              <w:spacing w:line="276" w:lineRule="auto"/>
              <w:jc w:val="left"/>
              <w:rPr>
                <w:sz w:val="22"/>
                <w:szCs w:val="22"/>
                <w:lang w:val="ro-RO"/>
              </w:rPr>
            </w:pPr>
            <w:r w:rsidRPr="00E0488D">
              <w:rPr>
                <w:sz w:val="22"/>
                <w:szCs w:val="22"/>
                <w:lang w:val="ro-RO"/>
              </w:rPr>
              <w:t>Facilități de parcare/întreținere camioane</w:t>
            </w:r>
          </w:p>
          <w:p w:rsidR="00BD59B2" w:rsidRPr="00E0488D" w:rsidRDefault="00BD59B2" w:rsidP="00BD59B2">
            <w:pPr>
              <w:pStyle w:val="ListParagraph"/>
              <w:numPr>
                <w:ilvl w:val="0"/>
                <w:numId w:val="43"/>
              </w:numPr>
              <w:spacing w:line="276" w:lineRule="auto"/>
              <w:jc w:val="left"/>
              <w:rPr>
                <w:sz w:val="22"/>
                <w:szCs w:val="22"/>
                <w:lang w:val="ro-RO"/>
              </w:rPr>
            </w:pPr>
            <w:r w:rsidRPr="00E0488D">
              <w:rPr>
                <w:sz w:val="22"/>
                <w:szCs w:val="22"/>
                <w:lang w:val="ro-RO"/>
              </w:rPr>
              <w:t>Stații de combustibil</w:t>
            </w:r>
          </w:p>
          <w:p w:rsidR="00BD59B2" w:rsidRPr="00E0488D" w:rsidRDefault="00BD59B2" w:rsidP="009972B3">
            <w:pPr>
              <w:pStyle w:val="ListParagraph"/>
              <w:spacing w:line="276" w:lineRule="auto"/>
              <w:jc w:val="left"/>
              <w:rPr>
                <w:sz w:val="22"/>
                <w:szCs w:val="22"/>
                <w:lang w:val="ro-RO"/>
              </w:rPr>
            </w:pPr>
          </w:p>
          <w:p w:rsidR="00BD59B2" w:rsidRPr="00E0488D" w:rsidRDefault="00BD59B2" w:rsidP="009972B3">
            <w:pPr>
              <w:spacing w:line="276" w:lineRule="auto"/>
              <w:rPr>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Facilități pentru personal</w:t>
            </w:r>
          </w:p>
          <w:p w:rsidR="00BD59B2" w:rsidRPr="00E0488D" w:rsidRDefault="00BD59B2" w:rsidP="00BD59B2">
            <w:pPr>
              <w:pStyle w:val="ListParagraph"/>
              <w:numPr>
                <w:ilvl w:val="0"/>
                <w:numId w:val="44"/>
              </w:numPr>
              <w:spacing w:line="276" w:lineRule="auto"/>
              <w:jc w:val="left"/>
              <w:rPr>
                <w:sz w:val="22"/>
                <w:szCs w:val="22"/>
                <w:lang w:val="ro-RO"/>
              </w:rPr>
            </w:pPr>
            <w:r w:rsidRPr="00E0488D">
              <w:rPr>
                <w:sz w:val="22"/>
                <w:szCs w:val="22"/>
                <w:lang w:val="ro-RO"/>
              </w:rPr>
              <w:t>Zonă de odihnă, cafea, etc. pentru conductor tren.</w:t>
            </w:r>
          </w:p>
          <w:p w:rsidR="00BD59B2" w:rsidRPr="00E0488D" w:rsidRDefault="00BD59B2" w:rsidP="00BD59B2">
            <w:pPr>
              <w:pStyle w:val="ListParagraph"/>
              <w:numPr>
                <w:ilvl w:val="0"/>
                <w:numId w:val="44"/>
              </w:numPr>
              <w:spacing w:line="276" w:lineRule="auto"/>
              <w:jc w:val="left"/>
              <w:rPr>
                <w:sz w:val="22"/>
                <w:szCs w:val="22"/>
                <w:lang w:val="ro-RO"/>
              </w:rPr>
            </w:pPr>
            <w:r w:rsidRPr="00E0488D">
              <w:rPr>
                <w:sz w:val="22"/>
                <w:szCs w:val="22"/>
                <w:lang w:val="ro-RO"/>
              </w:rPr>
              <w:t xml:space="preserve">Zonă de odihnă, cafea, etc., pentru personal. </w:t>
            </w:r>
          </w:p>
          <w:p w:rsidR="00BD59B2" w:rsidRPr="00E0488D" w:rsidRDefault="00BD59B2" w:rsidP="009972B3">
            <w:pPr>
              <w:spacing w:line="276" w:lineRule="auto"/>
              <w:rPr>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Operațiuni feroviare</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Facilități de realimentare locomotive, admițând faptul că multe dintre trenuri este posibil să fie  alimentate electric</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Linii inoperabile pentru trenurile defecte</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 xml:space="preserve">Zonă de întreținere trenuri </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 xml:space="preserve">Linii secundare de recepție pentru trenurile sosite </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Linii secundare pentru trenurile libere aflate în așteptare</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 xml:space="preserve">Liniile secundare de încărcare/descărcare trebuie să poate găzdui trenuri de lungime maximă (minim 80 de vagoane lungime), considerând că pe viitor va exista această lungime </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Ideal toate șinele trebuie să fie capabile să susțină trenuri de containere</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Unele linii secundare pot fi echipate pentru vagoane de mărfuri vrac, saci și paleți.</w:t>
            </w:r>
          </w:p>
          <w:p w:rsidR="00BD59B2" w:rsidRPr="00E0488D" w:rsidRDefault="00BD59B2" w:rsidP="00BD59B2">
            <w:pPr>
              <w:pStyle w:val="ListParagraph"/>
              <w:numPr>
                <w:ilvl w:val="0"/>
                <w:numId w:val="45"/>
              </w:numPr>
              <w:spacing w:line="276" w:lineRule="auto"/>
              <w:jc w:val="left"/>
              <w:rPr>
                <w:sz w:val="22"/>
                <w:szCs w:val="22"/>
                <w:lang w:val="ro-RO"/>
              </w:rPr>
            </w:pPr>
            <w:r w:rsidRPr="00E0488D">
              <w:rPr>
                <w:sz w:val="22"/>
                <w:szCs w:val="22"/>
                <w:lang w:val="ro-RO"/>
              </w:rPr>
              <w:t>Unele linii secundare pot fi echipate pentru mărfuri vrac precum cereale</w:t>
            </w:r>
          </w:p>
          <w:p w:rsidR="00BD59B2" w:rsidRPr="00E0488D" w:rsidRDefault="00BD59B2" w:rsidP="009972B3">
            <w:pPr>
              <w:pStyle w:val="ListParagraph"/>
              <w:spacing w:line="276" w:lineRule="auto"/>
              <w:jc w:val="left"/>
              <w:rPr>
                <w:sz w:val="22"/>
                <w:szCs w:val="22"/>
                <w:lang w:val="ro-RO"/>
              </w:rPr>
            </w:pPr>
          </w:p>
          <w:p w:rsidR="00BD59B2" w:rsidRPr="00E0488D" w:rsidRDefault="00BD59B2" w:rsidP="009972B3">
            <w:pPr>
              <w:spacing w:line="276" w:lineRule="auto"/>
              <w:rPr>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Vamă (corespunzător pentru anumite terminale pe căile interne)</w:t>
            </w:r>
          </w:p>
          <w:p w:rsidR="00BD59B2" w:rsidRPr="00E0488D" w:rsidRDefault="00BD59B2" w:rsidP="00BD59B2">
            <w:pPr>
              <w:pStyle w:val="ListParagraph"/>
              <w:numPr>
                <w:ilvl w:val="0"/>
                <w:numId w:val="46"/>
              </w:numPr>
              <w:spacing w:line="276" w:lineRule="auto"/>
              <w:jc w:val="left"/>
              <w:rPr>
                <w:sz w:val="22"/>
                <w:szCs w:val="22"/>
                <w:lang w:val="ro-RO"/>
              </w:rPr>
            </w:pPr>
            <w:r w:rsidRPr="00E0488D">
              <w:rPr>
                <w:sz w:val="22"/>
                <w:szCs w:val="22"/>
                <w:lang w:val="ro-RO"/>
              </w:rPr>
              <w:t>Birouri vamale</w:t>
            </w:r>
          </w:p>
          <w:p w:rsidR="00BD59B2" w:rsidRPr="00E0488D" w:rsidRDefault="00BD59B2" w:rsidP="00BD59B2">
            <w:pPr>
              <w:pStyle w:val="ListParagraph"/>
              <w:numPr>
                <w:ilvl w:val="0"/>
                <w:numId w:val="46"/>
              </w:numPr>
              <w:spacing w:line="276" w:lineRule="auto"/>
              <w:jc w:val="left"/>
              <w:rPr>
                <w:sz w:val="22"/>
                <w:szCs w:val="22"/>
                <w:lang w:val="ro-RO"/>
              </w:rPr>
            </w:pPr>
            <w:r w:rsidRPr="00E0488D">
              <w:rPr>
                <w:sz w:val="22"/>
                <w:szCs w:val="22"/>
                <w:lang w:val="ro-RO"/>
              </w:rPr>
              <w:t>Depozit pentru verificare vamală</w:t>
            </w:r>
          </w:p>
          <w:p w:rsidR="00BD59B2" w:rsidRPr="00E0488D" w:rsidRDefault="00BD59B2" w:rsidP="00BD59B2">
            <w:pPr>
              <w:pStyle w:val="ListParagraph"/>
              <w:numPr>
                <w:ilvl w:val="0"/>
                <w:numId w:val="46"/>
              </w:numPr>
              <w:spacing w:line="276" w:lineRule="auto"/>
              <w:jc w:val="left"/>
              <w:rPr>
                <w:sz w:val="22"/>
                <w:szCs w:val="22"/>
                <w:lang w:val="ro-RO"/>
              </w:rPr>
            </w:pPr>
            <w:r w:rsidRPr="00E0488D">
              <w:rPr>
                <w:sz w:val="22"/>
                <w:szCs w:val="22"/>
                <w:lang w:val="ro-RO"/>
              </w:rPr>
              <w:t>Linii secundare pentru recepție vamală</w:t>
            </w:r>
          </w:p>
          <w:p w:rsidR="00BD59B2" w:rsidRPr="00E0488D" w:rsidRDefault="00BD59B2" w:rsidP="00BD59B2">
            <w:pPr>
              <w:pStyle w:val="ListParagraph"/>
              <w:numPr>
                <w:ilvl w:val="0"/>
                <w:numId w:val="46"/>
              </w:numPr>
              <w:spacing w:line="276" w:lineRule="auto"/>
              <w:jc w:val="left"/>
              <w:rPr>
                <w:sz w:val="22"/>
                <w:szCs w:val="22"/>
                <w:lang w:val="ro-RO"/>
              </w:rPr>
            </w:pPr>
            <w:r w:rsidRPr="00E0488D">
              <w:rPr>
                <w:sz w:val="22"/>
                <w:szCs w:val="22"/>
                <w:lang w:val="ro-RO"/>
              </w:rPr>
              <w:t xml:space="preserve">Zonă pentru bunuri confiscate vamal </w:t>
            </w:r>
          </w:p>
          <w:p w:rsidR="00BD59B2" w:rsidRPr="00E0488D" w:rsidRDefault="00BD59B2" w:rsidP="009972B3">
            <w:pPr>
              <w:pStyle w:val="ListParagraph"/>
              <w:spacing w:line="276" w:lineRule="auto"/>
              <w:rPr>
                <w:sz w:val="22"/>
                <w:szCs w:val="22"/>
                <w:lang w:val="ro-RO"/>
              </w:rPr>
            </w:pPr>
          </w:p>
          <w:p w:rsidR="00BD59B2" w:rsidRPr="00E0488D" w:rsidRDefault="00BD59B2" w:rsidP="009972B3">
            <w:pPr>
              <w:spacing w:line="276" w:lineRule="auto"/>
              <w:rPr>
                <w:b/>
                <w:sz w:val="22"/>
                <w:szCs w:val="22"/>
                <w:lang w:val="ro-RO"/>
              </w:rPr>
            </w:pPr>
            <w:r w:rsidRPr="00E0488D">
              <w:rPr>
                <w:b/>
                <w:sz w:val="22"/>
                <w:szCs w:val="22"/>
                <w:lang w:val="ro-RO"/>
              </w:rPr>
              <w:t>Spații de depozitare</w:t>
            </w:r>
          </w:p>
          <w:p w:rsidR="00BD59B2" w:rsidRPr="00E0488D" w:rsidRDefault="00BD59B2" w:rsidP="00BD59B2">
            <w:pPr>
              <w:pStyle w:val="ListParagraph"/>
              <w:numPr>
                <w:ilvl w:val="0"/>
                <w:numId w:val="47"/>
              </w:numPr>
              <w:spacing w:line="276" w:lineRule="auto"/>
              <w:jc w:val="left"/>
              <w:rPr>
                <w:sz w:val="22"/>
                <w:szCs w:val="22"/>
                <w:lang w:val="ro-RO"/>
              </w:rPr>
            </w:pPr>
            <w:r w:rsidRPr="00E0488D">
              <w:rPr>
                <w:sz w:val="22"/>
                <w:szCs w:val="22"/>
                <w:lang w:val="ro-RO"/>
              </w:rPr>
              <w:t xml:space="preserve">Spațiu mic de depozitare în siguranță </w:t>
            </w:r>
          </w:p>
          <w:p w:rsidR="00BD59B2" w:rsidRPr="00E0488D" w:rsidRDefault="00BD59B2" w:rsidP="00BD59B2">
            <w:pPr>
              <w:pStyle w:val="ListParagraph"/>
              <w:numPr>
                <w:ilvl w:val="0"/>
                <w:numId w:val="47"/>
              </w:numPr>
              <w:spacing w:line="276" w:lineRule="auto"/>
              <w:jc w:val="left"/>
              <w:rPr>
                <w:sz w:val="22"/>
                <w:szCs w:val="22"/>
                <w:lang w:val="ro-RO"/>
              </w:rPr>
            </w:pPr>
            <w:r w:rsidRPr="00E0488D">
              <w:rPr>
                <w:sz w:val="22"/>
                <w:szCs w:val="22"/>
                <w:lang w:val="ro-RO"/>
              </w:rPr>
              <w:t>Puncte de alimentare pentru containere cu temperatură controlată</w:t>
            </w:r>
          </w:p>
          <w:p w:rsidR="00BD59B2" w:rsidRPr="00E0488D" w:rsidRDefault="00BD59B2" w:rsidP="00BD59B2">
            <w:pPr>
              <w:pStyle w:val="ListParagraph"/>
              <w:numPr>
                <w:ilvl w:val="0"/>
                <w:numId w:val="47"/>
              </w:numPr>
              <w:spacing w:line="276" w:lineRule="auto"/>
              <w:jc w:val="left"/>
              <w:rPr>
                <w:sz w:val="22"/>
                <w:szCs w:val="22"/>
                <w:lang w:val="ro-RO"/>
              </w:rPr>
            </w:pPr>
            <w:r w:rsidRPr="00E0488D">
              <w:rPr>
                <w:sz w:val="22"/>
                <w:szCs w:val="22"/>
                <w:lang w:val="ro-RO"/>
              </w:rPr>
              <w:t xml:space="preserve">Stive de depozitare mărfuri confiscate din tren </w:t>
            </w:r>
          </w:p>
          <w:p w:rsidR="00BD59B2" w:rsidRPr="00E0488D" w:rsidRDefault="00BD59B2" w:rsidP="00BD59B2">
            <w:pPr>
              <w:pStyle w:val="ListParagraph"/>
              <w:numPr>
                <w:ilvl w:val="0"/>
                <w:numId w:val="47"/>
              </w:numPr>
              <w:spacing w:line="276" w:lineRule="auto"/>
              <w:jc w:val="left"/>
              <w:rPr>
                <w:sz w:val="22"/>
                <w:szCs w:val="22"/>
                <w:lang w:val="ro-RO"/>
              </w:rPr>
            </w:pPr>
            <w:r w:rsidRPr="00E0488D">
              <w:rPr>
                <w:sz w:val="22"/>
                <w:szCs w:val="22"/>
                <w:lang w:val="ro-RO"/>
              </w:rPr>
              <w:t xml:space="preserve">Zonă de pregătire ieșire tren pentru stocarea containerelor </w:t>
            </w:r>
          </w:p>
          <w:p w:rsidR="00BD59B2" w:rsidRPr="00E0488D" w:rsidRDefault="00BD59B2" w:rsidP="00BD59B2">
            <w:pPr>
              <w:pStyle w:val="ListParagraph"/>
              <w:numPr>
                <w:ilvl w:val="0"/>
                <w:numId w:val="47"/>
              </w:numPr>
              <w:spacing w:line="276" w:lineRule="auto"/>
              <w:jc w:val="left"/>
              <w:rPr>
                <w:sz w:val="22"/>
                <w:szCs w:val="22"/>
                <w:lang w:val="ro-RO"/>
              </w:rPr>
            </w:pPr>
            <w:r w:rsidRPr="00E0488D">
              <w:rPr>
                <w:sz w:val="22"/>
                <w:szCs w:val="22"/>
                <w:lang w:val="ro-RO"/>
              </w:rPr>
              <w:t>Se estimează că cele mai multe containere vor fi transbordate pe cale rutieră.</w:t>
            </w:r>
          </w:p>
          <w:p w:rsidR="00BD59B2" w:rsidRPr="00E0488D" w:rsidRDefault="00BD59B2" w:rsidP="009972B3">
            <w:pPr>
              <w:spacing w:line="276" w:lineRule="auto"/>
              <w:rPr>
                <w:b/>
                <w:sz w:val="22"/>
                <w:szCs w:val="22"/>
                <w:u w:val="single"/>
                <w:lang w:val="ro-RO"/>
              </w:rPr>
            </w:pPr>
          </w:p>
        </w:tc>
      </w:tr>
    </w:tbl>
    <w:p w:rsidR="00BD59B2" w:rsidRPr="00E0488D" w:rsidRDefault="00BD59B2" w:rsidP="00BD59B2">
      <w:pPr>
        <w:spacing w:line="276" w:lineRule="auto"/>
        <w:rPr>
          <w:b/>
          <w:sz w:val="22"/>
          <w:szCs w:val="22"/>
          <w:u w:val="single"/>
          <w:lang w:val="ro-RO"/>
        </w:rPr>
      </w:pPr>
    </w:p>
    <w:p w:rsidR="00BD59B2" w:rsidRPr="00E0488D" w:rsidRDefault="00BD59B2" w:rsidP="00BD59B2">
      <w:pPr>
        <w:pStyle w:val="Hdg2"/>
      </w:pPr>
      <w:bookmarkStart w:id="573" w:name="_Toc398292104"/>
      <w:bookmarkStart w:id="574" w:name="_Toc412114954"/>
      <w:bookmarkStart w:id="575" w:name="_Toc413060345"/>
      <w:r w:rsidRPr="00E0488D">
        <w:t>Obiective operaționale</w:t>
      </w:r>
      <w:bookmarkEnd w:id="573"/>
      <w:bookmarkEnd w:id="574"/>
      <w:bookmarkEnd w:id="575"/>
    </w:p>
    <w:p w:rsidR="00BD59B2" w:rsidRPr="00E0488D" w:rsidRDefault="00BD59B2" w:rsidP="002B7E09">
      <w:pPr>
        <w:pStyle w:val="NumberedParas"/>
      </w:pPr>
      <w:r w:rsidRPr="00E0488D">
        <w:t>Investițiile propuse vor susține următoarele obiective operaționale indicate în Figura 8.13.</w:t>
      </w:r>
    </w:p>
    <w:p w:rsidR="00BD59B2" w:rsidRPr="00E0488D" w:rsidRDefault="00BD59B2" w:rsidP="00BD59B2">
      <w:pPr>
        <w:spacing w:line="276" w:lineRule="auto"/>
        <w:ind w:firstLine="851"/>
        <w:jc w:val="center"/>
        <w:rPr>
          <w:sz w:val="22"/>
          <w:szCs w:val="22"/>
          <w:lang w:val="ro-RO"/>
        </w:rPr>
      </w:pPr>
      <w:r w:rsidRPr="00E0488D">
        <w:rPr>
          <w:noProof/>
          <w:sz w:val="22"/>
          <w:szCs w:val="22"/>
          <w:lang w:val="ro-RO" w:eastAsia="ro-RO"/>
        </w:rPr>
        <w:drawing>
          <wp:anchor distT="0" distB="0" distL="114300" distR="114300" simplePos="0" relativeHeight="251669504" behindDoc="1" locked="0" layoutInCell="1" allowOverlap="1">
            <wp:simplePos x="0" y="0"/>
            <wp:positionH relativeFrom="column">
              <wp:posOffset>-157480</wp:posOffset>
            </wp:positionH>
            <wp:positionV relativeFrom="paragraph">
              <wp:posOffset>6985</wp:posOffset>
            </wp:positionV>
            <wp:extent cx="6321425" cy="4600575"/>
            <wp:effectExtent l="19050" t="0" r="3175" b="0"/>
            <wp:wrapTight wrapText="bothSides">
              <wp:wrapPolygon edited="0">
                <wp:start x="-65" y="0"/>
                <wp:lineTo x="-65" y="21555"/>
                <wp:lineTo x="21611" y="21555"/>
                <wp:lineTo x="21611" y="0"/>
                <wp:lineTo x="-65" y="0"/>
              </wp:wrapPolygon>
            </wp:wrapTight>
            <wp:docPr id="313" name="Picture 1" descr="Summa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tif"/>
                    <pic:cNvPicPr/>
                  </pic:nvPicPr>
                  <pic:blipFill>
                    <a:blip r:embed="rId320" cstate="email">
                      <a:extLst>
                        <a:ext uri="{28A0092B-C50C-407E-A947-70E740481C1C}">
                          <a14:useLocalDpi xmlns:a14="http://schemas.microsoft.com/office/drawing/2010/main"/>
                        </a:ext>
                      </a:extLst>
                    </a:blip>
                    <a:stretch>
                      <a:fillRect/>
                    </a:stretch>
                  </pic:blipFill>
                  <pic:spPr>
                    <a:xfrm>
                      <a:off x="0" y="0"/>
                      <a:ext cx="6321425" cy="4600575"/>
                    </a:xfrm>
                    <a:prstGeom prst="rect">
                      <a:avLst/>
                    </a:prstGeom>
                  </pic:spPr>
                </pic:pic>
              </a:graphicData>
            </a:graphic>
          </wp:anchor>
        </w:drawing>
      </w:r>
    </w:p>
    <w:p w:rsidR="00BD59B2" w:rsidRPr="00E0488D" w:rsidRDefault="00BD59B2" w:rsidP="00BD59B2">
      <w:pPr>
        <w:spacing w:line="276" w:lineRule="auto"/>
        <w:ind w:left="851"/>
        <w:rPr>
          <w:b/>
          <w:sz w:val="22"/>
          <w:szCs w:val="22"/>
          <w:lang w:val="ro-RO"/>
        </w:rPr>
      </w:pPr>
      <w:r w:rsidRPr="00E0488D">
        <w:rPr>
          <w:b/>
          <w:sz w:val="22"/>
          <w:szCs w:val="22"/>
          <w:lang w:val="ro-RO"/>
        </w:rPr>
        <w:t xml:space="preserve">Figura 8.13: conexiuni între Probleme, Intervenții și Obiective operaționale </w:t>
      </w:r>
    </w:p>
    <w:p w:rsidR="00BD59B2" w:rsidRPr="00E0488D" w:rsidRDefault="00BD59B2" w:rsidP="00BD59B2">
      <w:pPr>
        <w:rPr>
          <w:lang w:val="ro-RO"/>
        </w:rPr>
      </w:pPr>
    </w:p>
    <w:p w:rsidR="00BD59B2" w:rsidRPr="00E0488D" w:rsidRDefault="00BD59B2" w:rsidP="00BD59B2">
      <w:pPr>
        <w:pStyle w:val="Hdg2"/>
      </w:pPr>
      <w:bookmarkStart w:id="576" w:name="_Toc397049525"/>
      <w:bookmarkStart w:id="577" w:name="_Toc398292105"/>
      <w:bookmarkStart w:id="578" w:name="_Toc412114955"/>
      <w:bookmarkStart w:id="579" w:name="_Toc413060346"/>
      <w:r w:rsidRPr="00E0488D">
        <w:t>Interven</w:t>
      </w:r>
      <w:bookmarkEnd w:id="576"/>
      <w:r w:rsidRPr="00E0488D">
        <w:t>ții</w:t>
      </w:r>
      <w:bookmarkEnd w:id="577"/>
      <w:bookmarkEnd w:id="578"/>
      <w:bookmarkEnd w:id="579"/>
    </w:p>
    <w:p w:rsidR="00BD59B2" w:rsidRPr="00E0488D" w:rsidRDefault="00BD59B2" w:rsidP="002B7E09">
      <w:pPr>
        <w:pStyle w:val="NumberedParas"/>
      </w:pPr>
      <w:r w:rsidRPr="00E0488D">
        <w:t>O rețea națională și extinsă de terminale intermodale este esențială pentru transportul feroviar și industria logistică din România să se modernizeze și să fie competitive.</w:t>
      </w:r>
    </w:p>
    <w:p w:rsidR="00BD59B2" w:rsidRPr="00E0488D" w:rsidRDefault="00BD59B2" w:rsidP="002B7E09">
      <w:pPr>
        <w:pStyle w:val="NumberedParas"/>
      </w:pPr>
      <w:r w:rsidRPr="00E0488D">
        <w:t xml:space="preserve">Locația rețelei de terminale propuse este o funcție a următorilor cinci factori:  </w:t>
      </w:r>
    </w:p>
    <w:p w:rsidR="00BD59B2" w:rsidRPr="00E0488D" w:rsidRDefault="00BD59B2" w:rsidP="00BC2B57">
      <w:pPr>
        <w:pStyle w:val="BulletLevel1"/>
      </w:pPr>
      <w:r w:rsidRPr="00E0488D">
        <w:t>Conectivitatea cu alte moduri de transport</w:t>
      </w:r>
    </w:p>
    <w:p w:rsidR="00BD59B2" w:rsidRPr="00E0488D" w:rsidRDefault="00BD59B2" w:rsidP="00BC2B57">
      <w:pPr>
        <w:pStyle w:val="BulletLevel1"/>
      </w:pPr>
      <w:r w:rsidRPr="00E0488D">
        <w:t xml:space="preserve">Distribuția geografică a porturilor și centrelor de populație din România </w:t>
      </w:r>
    </w:p>
    <w:p w:rsidR="00BD59B2" w:rsidRPr="00E0488D" w:rsidRDefault="00BD59B2" w:rsidP="00BC2B57">
      <w:pPr>
        <w:pStyle w:val="BulletLevel1"/>
      </w:pPr>
      <w:r w:rsidRPr="00E0488D">
        <w:t xml:space="preserve">Infrastructura rutieră/feroviară curentă </w:t>
      </w:r>
    </w:p>
    <w:p w:rsidR="00BD59B2" w:rsidRPr="00E0488D" w:rsidRDefault="00BD59B2" w:rsidP="00BC2B57">
      <w:pPr>
        <w:pStyle w:val="BulletLevel1"/>
      </w:pPr>
      <w:r w:rsidRPr="00E0488D">
        <w:t xml:space="preserve">Fluxurile curente și potențiale de mărfuri containerizate </w:t>
      </w:r>
    </w:p>
    <w:p w:rsidR="00BD59B2" w:rsidRPr="00E0488D" w:rsidRDefault="00BD59B2" w:rsidP="00BC2B57">
      <w:pPr>
        <w:pStyle w:val="BulletLevel1"/>
      </w:pPr>
      <w:r w:rsidRPr="00E0488D">
        <w:t>Populația pe un sector scurt de călătorie cu vehiculele de transport mărfuri (o oră pentru terminalele feroviare de pe căile interne, două ore pentru porturi)</w:t>
      </w:r>
    </w:p>
    <w:p w:rsidR="00BD59B2" w:rsidRPr="00E0488D" w:rsidRDefault="00BD59B2" w:rsidP="002B7E09">
      <w:pPr>
        <w:pStyle w:val="NumberedParas"/>
      </w:pPr>
      <w:r w:rsidRPr="00E0488D">
        <w:rPr>
          <w:rStyle w:val="hps"/>
          <w:rFonts w:cs="Arial"/>
          <w:color w:val="000000" w:themeColor="text1"/>
        </w:rPr>
        <w:t>Cel mai important</w:t>
      </w:r>
      <w:r w:rsidRPr="00E0488D">
        <w:t xml:space="preserve"> criteriu </w:t>
      </w:r>
      <w:r w:rsidRPr="00E0488D">
        <w:rPr>
          <w:rStyle w:val="hps"/>
          <w:rFonts w:cs="Arial"/>
          <w:color w:val="000000" w:themeColor="text1"/>
        </w:rPr>
        <w:t>dintre</w:t>
      </w:r>
      <w:r w:rsidRPr="00E0488D">
        <w:t xml:space="preserve"> </w:t>
      </w:r>
      <w:r w:rsidRPr="00E0488D">
        <w:rPr>
          <w:rStyle w:val="hps"/>
          <w:rFonts w:cs="Arial"/>
          <w:color w:val="000000" w:themeColor="text1"/>
        </w:rPr>
        <w:t>toate cele</w:t>
      </w:r>
      <w:r w:rsidRPr="00E0488D">
        <w:t xml:space="preserve"> </w:t>
      </w:r>
      <w:r w:rsidRPr="00E0488D">
        <w:rPr>
          <w:rStyle w:val="hps"/>
          <w:rFonts w:cs="Arial"/>
          <w:color w:val="000000" w:themeColor="text1"/>
        </w:rPr>
        <w:t>considerate</w:t>
      </w:r>
      <w:r w:rsidRPr="00E0488D">
        <w:t xml:space="preserve"> </w:t>
      </w:r>
      <w:r w:rsidRPr="00E0488D">
        <w:rPr>
          <w:rStyle w:val="hps"/>
          <w:rFonts w:cs="Arial"/>
          <w:color w:val="000000" w:themeColor="text1"/>
        </w:rPr>
        <w:t>a fost</w:t>
      </w:r>
      <w:r w:rsidRPr="00E0488D">
        <w:t xml:space="preserve"> </w:t>
      </w:r>
      <w:r w:rsidRPr="00E0488D">
        <w:rPr>
          <w:rStyle w:val="hps"/>
          <w:rFonts w:cs="Arial"/>
          <w:color w:val="000000" w:themeColor="text1"/>
        </w:rPr>
        <w:t>ușurința cu care</w:t>
      </w:r>
      <w:r w:rsidRPr="00E0488D">
        <w:t xml:space="preserve"> </w:t>
      </w:r>
      <w:r w:rsidRPr="00E0488D">
        <w:rPr>
          <w:rStyle w:val="hps"/>
          <w:rFonts w:cs="Arial"/>
          <w:color w:val="000000" w:themeColor="text1"/>
        </w:rPr>
        <w:t>locația unui</w:t>
      </w:r>
      <w:r w:rsidRPr="00E0488D">
        <w:t xml:space="preserve"> </w:t>
      </w:r>
      <w:r w:rsidRPr="00E0488D">
        <w:rPr>
          <w:rStyle w:val="hps"/>
          <w:rFonts w:cs="Arial"/>
          <w:color w:val="000000" w:themeColor="text1"/>
        </w:rPr>
        <w:t>terminal permite transferul</w:t>
      </w:r>
      <w:r w:rsidRPr="00E0488D">
        <w:t xml:space="preserve"> </w:t>
      </w:r>
      <w:r w:rsidRPr="00E0488D">
        <w:rPr>
          <w:rStyle w:val="hps"/>
          <w:rFonts w:cs="Arial"/>
          <w:color w:val="000000" w:themeColor="text1"/>
        </w:rPr>
        <w:t>între</w:t>
      </w:r>
      <w:r w:rsidRPr="00E0488D">
        <w:t xml:space="preserve"> modul </w:t>
      </w:r>
      <w:r w:rsidRPr="00E0488D">
        <w:rPr>
          <w:rStyle w:val="hps"/>
          <w:rFonts w:cs="Arial"/>
          <w:color w:val="000000" w:themeColor="text1"/>
        </w:rPr>
        <w:t>rutier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feroviar</w:t>
      </w:r>
      <w:r w:rsidRPr="00E0488D">
        <w:t xml:space="preserve"> </w:t>
      </w:r>
      <w:r w:rsidRPr="00E0488D">
        <w:rPr>
          <w:rStyle w:val="hps"/>
          <w:rFonts w:cs="Arial"/>
          <w:color w:val="000000" w:themeColor="text1"/>
        </w:rPr>
        <w:t>și</w:t>
      </w:r>
      <w:r w:rsidRPr="00E0488D">
        <w:t xml:space="preserve">, de asemenea, </w:t>
      </w:r>
      <w:r w:rsidRPr="00E0488D">
        <w:rPr>
          <w:rStyle w:val="hps"/>
          <w:rFonts w:cs="Arial"/>
          <w:color w:val="000000" w:themeColor="text1"/>
        </w:rPr>
        <w:t>între</w:t>
      </w:r>
      <w:r w:rsidRPr="00E0488D">
        <w:t xml:space="preserve"> modul </w:t>
      </w:r>
      <w:r w:rsidRPr="00E0488D">
        <w:rPr>
          <w:rStyle w:val="hps"/>
          <w:rFonts w:cs="Arial"/>
          <w:color w:val="000000" w:themeColor="text1"/>
        </w:rPr>
        <w:t>rutier, feroviar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transportul pe apă</w:t>
      </w:r>
      <w:r w:rsidRPr="00E0488D">
        <w:t xml:space="preserve">. </w:t>
      </w:r>
      <w:r w:rsidRPr="00E0488D">
        <w:rPr>
          <w:rStyle w:val="hps"/>
          <w:rFonts w:cs="Arial"/>
          <w:color w:val="000000" w:themeColor="text1"/>
        </w:rPr>
        <w:t>Aceste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tri</w:t>
      </w:r>
      <w:r w:rsidRPr="00E0488D">
        <w:rPr>
          <w:rStyle w:val="atn"/>
          <w:rFonts w:cs="Arial"/>
          <w:color w:val="000000" w:themeColor="text1"/>
        </w:rPr>
        <w:t>-</w:t>
      </w:r>
      <w:r w:rsidRPr="00E0488D">
        <w:t xml:space="preserve">modale </w:t>
      </w:r>
      <w:r w:rsidRPr="00E0488D">
        <w:rPr>
          <w:rStyle w:val="hps"/>
          <w:rFonts w:cs="Arial"/>
          <w:color w:val="000000" w:themeColor="text1"/>
        </w:rPr>
        <w:t>din urmă</w:t>
      </w:r>
      <w:r w:rsidRPr="00E0488D">
        <w:t xml:space="preserve"> </w:t>
      </w:r>
      <w:r w:rsidRPr="00E0488D">
        <w:rPr>
          <w:rStyle w:val="hps"/>
          <w:rFonts w:cs="Arial"/>
          <w:color w:val="000000" w:themeColor="text1"/>
        </w:rPr>
        <w:t>sunt considerate</w:t>
      </w:r>
      <w:r w:rsidRPr="00E0488D">
        <w:t xml:space="preserve"> </w:t>
      </w:r>
      <w:r w:rsidRPr="00E0488D">
        <w:rPr>
          <w:rStyle w:val="hps"/>
          <w:rFonts w:cs="Arial"/>
          <w:color w:val="000000" w:themeColor="text1"/>
        </w:rPr>
        <w:t>întâi</w:t>
      </w:r>
      <w:r w:rsidRPr="00E0488D">
        <w:t>.</w:t>
      </w:r>
    </w:p>
    <w:p w:rsidR="00BD59B2" w:rsidRPr="00E0488D" w:rsidRDefault="00BD59B2" w:rsidP="002B7E09">
      <w:pPr>
        <w:pStyle w:val="NumberedParas"/>
      </w:pPr>
      <w:r w:rsidRPr="00E0488D">
        <w:rPr>
          <w:rStyle w:val="hps"/>
          <w:rFonts w:cs="Arial"/>
          <w:color w:val="000000" w:themeColor="text1"/>
        </w:rPr>
        <w:t>Pentru a satisface</w:t>
      </w:r>
      <w:r w:rsidRPr="00E0488D">
        <w:t xml:space="preserve"> </w:t>
      </w:r>
      <w:r w:rsidRPr="00E0488D">
        <w:rPr>
          <w:rStyle w:val="hps"/>
          <w:rFonts w:cs="Arial"/>
          <w:color w:val="000000" w:themeColor="text1"/>
        </w:rPr>
        <w:t>nevoile industriei</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terminal intermodal</w:t>
      </w:r>
      <w:r w:rsidRPr="00E0488D">
        <w:t xml:space="preserve"> </w:t>
      </w:r>
      <w:r w:rsidRPr="00E0488D">
        <w:rPr>
          <w:rStyle w:val="hps"/>
          <w:rFonts w:cs="Arial"/>
          <w:color w:val="000000" w:themeColor="text1"/>
        </w:rPr>
        <w:t>de succes</w:t>
      </w:r>
      <w:r w:rsidRPr="00E0488D">
        <w:t xml:space="preserve"> </w:t>
      </w:r>
      <w:r w:rsidRPr="00E0488D">
        <w:rPr>
          <w:rStyle w:val="hps"/>
          <w:rFonts w:cs="Arial"/>
          <w:color w:val="000000" w:themeColor="text1"/>
        </w:rPr>
        <w:t>este de natură să</w:t>
      </w:r>
      <w:r w:rsidRPr="00E0488D">
        <w:t xml:space="preserve"> </w:t>
      </w:r>
      <w:r w:rsidRPr="00E0488D">
        <w:rPr>
          <w:rStyle w:val="hps"/>
          <w:rFonts w:cs="Arial"/>
          <w:color w:val="000000" w:themeColor="text1"/>
        </w:rPr>
        <w:t>realizeze</w:t>
      </w:r>
      <w:r w:rsidRPr="00E0488D">
        <w:t xml:space="preserve"> </w:t>
      </w:r>
      <w:r w:rsidRPr="00E0488D">
        <w:rPr>
          <w:rStyle w:val="hps"/>
          <w:rFonts w:cs="Arial"/>
          <w:color w:val="000000" w:themeColor="text1"/>
        </w:rPr>
        <w:t>următoarele cerințe</w:t>
      </w:r>
      <w:r w:rsidRPr="00E0488D">
        <w:t xml:space="preserve"> </w:t>
      </w:r>
      <w:r w:rsidRPr="00E0488D">
        <w:rPr>
          <w:rStyle w:val="hps"/>
          <w:rFonts w:cs="Arial"/>
          <w:color w:val="000000" w:themeColor="text1"/>
        </w:rPr>
        <w:t>de capital</w:t>
      </w:r>
      <w:r w:rsidRPr="00E0488D">
        <w:t xml:space="preserve">. </w:t>
      </w:r>
    </w:p>
    <w:p w:rsidR="00BD59B2" w:rsidRPr="00E0488D" w:rsidRDefault="00BD59B2" w:rsidP="00BC2B57">
      <w:pPr>
        <w:pStyle w:val="BulletLevel1"/>
      </w:pPr>
      <w:r w:rsidRPr="00E0488D">
        <w:t>Perimetru de securitate, bine iluminat (adică împrejmuire, semnalizare, acoperire CCTV, etc.)</w:t>
      </w:r>
    </w:p>
    <w:p w:rsidR="00BD59B2" w:rsidRPr="00E0488D" w:rsidRDefault="00BD59B2" w:rsidP="00BC2B57">
      <w:pPr>
        <w:pStyle w:val="BulletLevel1"/>
      </w:pPr>
      <w:r w:rsidRPr="00E0488D">
        <w:t xml:space="preserve">Acces bun la rețeaua de drumuri și la sistemul intern de drumuri </w:t>
      </w:r>
    </w:p>
    <w:p w:rsidR="00BD59B2" w:rsidRPr="00E0488D" w:rsidRDefault="00BD59B2" w:rsidP="00BC2B57">
      <w:pPr>
        <w:pStyle w:val="BulletLevel1"/>
      </w:pPr>
      <w:r w:rsidRPr="00E0488D">
        <w:t>Două linii de garare cu platformă cu o lungime (ideală) de 750m (stardard UE) cu buclă de întoarcere</w:t>
      </w:r>
    </w:p>
    <w:p w:rsidR="00BD59B2" w:rsidRPr="00E0488D" w:rsidRDefault="00BD59B2" w:rsidP="00BC2B57">
      <w:pPr>
        <w:pStyle w:val="BulletLevel1"/>
      </w:pPr>
      <w:r w:rsidRPr="00E0488D">
        <w:t>Stivuitoare (macarele electrice pentru locurile mai ocupate)</w:t>
      </w:r>
    </w:p>
    <w:p w:rsidR="00BD59B2" w:rsidRPr="00E0488D" w:rsidRDefault="00BD59B2" w:rsidP="00BC2B57">
      <w:pPr>
        <w:pStyle w:val="BulletLevel1"/>
      </w:pPr>
      <w:r w:rsidRPr="00E0488D">
        <w:t>Platforme rigide de minim 750x20m care să permită stivuitoarelor să opereze, cu un gabarit de 22.5 tone sarcină pe osie</w:t>
      </w:r>
    </w:p>
    <w:p w:rsidR="00BD59B2" w:rsidRPr="00E0488D" w:rsidRDefault="00BD59B2" w:rsidP="00BC2B57">
      <w:pPr>
        <w:pStyle w:val="BulletLevel1"/>
      </w:pPr>
      <w:r w:rsidRPr="00E0488D">
        <w:t xml:space="preserve">Spațiu suplimentar pentru depozitare containere </w:t>
      </w:r>
    </w:p>
    <w:p w:rsidR="00BD59B2" w:rsidRPr="00E0488D" w:rsidRDefault="00BD59B2" w:rsidP="00BC2B57">
      <w:pPr>
        <w:pStyle w:val="BulletLevel1"/>
      </w:pPr>
      <w:r w:rsidRPr="00E0488D">
        <w:t xml:space="preserve">Birou administrativ/Control </w:t>
      </w:r>
    </w:p>
    <w:p w:rsidR="00BD59B2" w:rsidRPr="00E0488D" w:rsidRDefault="00BD59B2" w:rsidP="00BC2B57">
      <w:pPr>
        <w:pStyle w:val="BulletLevel1"/>
      </w:pPr>
      <w:r w:rsidRPr="00E0488D">
        <w:t xml:space="preserve">Servicii sociale pentru personal și șoferi </w:t>
      </w:r>
    </w:p>
    <w:p w:rsidR="00BD59B2" w:rsidRPr="00E0488D" w:rsidRDefault="00BD59B2" w:rsidP="002B7E09">
      <w:pPr>
        <w:pStyle w:val="NumberedParas"/>
      </w:pPr>
      <w:r w:rsidRPr="00E0488D">
        <w:t>Cerințele operaționale, cum ar fi forța de muncă, nu au fost factorizate. Totuși, acestea pot include următoarele:</w:t>
      </w:r>
    </w:p>
    <w:p w:rsidR="00BD59B2" w:rsidRPr="00E0488D" w:rsidRDefault="00BD59B2" w:rsidP="00BC2B57">
      <w:pPr>
        <w:pStyle w:val="BulletLevel1"/>
      </w:pPr>
      <w:r w:rsidRPr="00E0488D">
        <w:t xml:space="preserve">Întreținerea terminalului </w:t>
      </w:r>
    </w:p>
    <w:p w:rsidR="00BD59B2" w:rsidRPr="00E0488D" w:rsidRDefault="00BD59B2" w:rsidP="00BC2B57">
      <w:pPr>
        <w:pStyle w:val="BulletLevel1"/>
      </w:pPr>
      <w:r w:rsidRPr="00E0488D">
        <w:t>IT</w:t>
      </w:r>
    </w:p>
    <w:p w:rsidR="00BD59B2" w:rsidRPr="00E0488D" w:rsidRDefault="00BD59B2" w:rsidP="00BC2B57">
      <w:pPr>
        <w:pStyle w:val="BulletLevel1"/>
      </w:pPr>
      <w:r w:rsidRPr="00E0488D">
        <w:t>Personal de securitate</w:t>
      </w:r>
    </w:p>
    <w:p w:rsidR="00BD59B2" w:rsidRPr="00E0488D" w:rsidRDefault="00BD59B2" w:rsidP="00BC2B57">
      <w:pPr>
        <w:pStyle w:val="BulletLevel1"/>
      </w:pPr>
      <w:r w:rsidRPr="00E0488D">
        <w:t>Șoferi</w:t>
      </w:r>
    </w:p>
    <w:p w:rsidR="00BD59B2" w:rsidRPr="00E0488D" w:rsidRDefault="00BD59B2" w:rsidP="00BC2B57">
      <w:pPr>
        <w:pStyle w:val="BulletLevel1"/>
      </w:pPr>
      <w:r w:rsidRPr="00E0488D">
        <w:t>Manager terminal</w:t>
      </w:r>
    </w:p>
    <w:p w:rsidR="00BD59B2" w:rsidRPr="00E0488D" w:rsidRDefault="00BD59B2" w:rsidP="00BC2B57">
      <w:pPr>
        <w:pStyle w:val="BulletLevel1"/>
      </w:pPr>
      <w:r w:rsidRPr="00E0488D">
        <w:t>Administrație</w:t>
      </w:r>
    </w:p>
    <w:p w:rsidR="00BD59B2" w:rsidRPr="00E0488D" w:rsidRDefault="00BD59B2" w:rsidP="00BC2B57">
      <w:pPr>
        <w:pStyle w:val="BulletLevel1"/>
      </w:pPr>
      <w:r w:rsidRPr="00E0488D">
        <w:t>Mecanici</w:t>
      </w:r>
    </w:p>
    <w:p w:rsidR="00BD59B2" w:rsidRPr="00E0488D" w:rsidRDefault="00BD59B2" w:rsidP="00BC2B57">
      <w:pPr>
        <w:pStyle w:val="BulletLevel1"/>
      </w:pPr>
      <w:r w:rsidRPr="00E0488D">
        <w:t xml:space="preserve">Combustibil  </w:t>
      </w:r>
    </w:p>
    <w:p w:rsidR="00BD59B2" w:rsidRPr="00E0488D" w:rsidRDefault="00BD59B2" w:rsidP="00BC2B57">
      <w:pPr>
        <w:pStyle w:val="BulletLevel1"/>
      </w:pPr>
      <w:r w:rsidRPr="00E0488D">
        <w:t>Asistență vehicule</w:t>
      </w:r>
    </w:p>
    <w:p w:rsidR="00BD59B2" w:rsidRPr="00E0488D" w:rsidRDefault="00BD59B2" w:rsidP="002B7E09">
      <w:pPr>
        <w:pStyle w:val="NumberedParas"/>
      </w:pPr>
      <w:r w:rsidRPr="00E0488D">
        <w:rPr>
          <w:rStyle w:val="hps"/>
          <w:rFonts w:cs="Arial"/>
          <w:color w:val="000000" w:themeColor="text1"/>
        </w:rPr>
        <w:t>În baza următoarelor</w:t>
      </w:r>
      <w:r w:rsidRPr="00E0488D">
        <w:t xml:space="preserve"> </w:t>
      </w:r>
      <w:r w:rsidRPr="00E0488D">
        <w:rPr>
          <w:rStyle w:val="hps"/>
          <w:rFonts w:cs="Arial"/>
          <w:color w:val="000000" w:themeColor="text1"/>
        </w:rPr>
        <w:t>ipoteze</w:t>
      </w:r>
      <w:r w:rsidRPr="00E0488D">
        <w:t xml:space="preserve">, </w:t>
      </w:r>
      <w:r w:rsidRPr="00E0488D">
        <w:rPr>
          <w:rStyle w:val="hps"/>
          <w:rFonts w:cs="Arial"/>
          <w:color w:val="000000" w:themeColor="text1"/>
        </w:rPr>
        <w:t>construirea</w:t>
      </w:r>
      <w:r w:rsidRPr="00E0488D">
        <w:t xml:space="preserve"> </w:t>
      </w:r>
      <w:r w:rsidRPr="00E0488D">
        <w:rPr>
          <w:rStyle w:val="hps"/>
          <w:rFonts w:cs="Arial"/>
          <w:color w:val="000000" w:themeColor="text1"/>
        </w:rPr>
        <w:t>unei astfel de facilități</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furniza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capacitate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129.000</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linie secundară</w:t>
      </w:r>
      <w:r w:rsidRPr="00E0488D">
        <w:t xml:space="preserve">, </w:t>
      </w:r>
      <w:r w:rsidRPr="00E0488D">
        <w:rPr>
          <w:rStyle w:val="hps"/>
          <w:rFonts w:cs="Arial"/>
          <w:color w:val="000000" w:themeColor="text1"/>
        </w:rPr>
        <w:t>pe an</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un total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358.000</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în general</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stivuitor</w:t>
      </w:r>
      <w:r w:rsidRPr="00E0488D">
        <w:t xml:space="preserve"> </w:t>
      </w:r>
      <w:r w:rsidRPr="00E0488D">
        <w:rPr>
          <w:rStyle w:val="hps"/>
          <w:rFonts w:cs="Arial"/>
          <w:color w:val="000000" w:themeColor="text1"/>
        </w:rPr>
        <w:t>suplimentar</w:t>
      </w:r>
      <w:r w:rsidRPr="00E0488D">
        <w:t>.</w:t>
      </w:r>
    </w:p>
    <w:p w:rsidR="00BD59B2" w:rsidRPr="00E0488D" w:rsidRDefault="00BD59B2" w:rsidP="00BD59B2">
      <w:pPr>
        <w:keepNext/>
        <w:spacing w:before="120" w:line="276" w:lineRule="auto"/>
        <w:ind w:left="851"/>
        <w:rPr>
          <w:b/>
          <w:iCs/>
          <w:sz w:val="22"/>
          <w:szCs w:val="22"/>
          <w:lang w:val="ro-RO"/>
        </w:rPr>
      </w:pPr>
      <w:r w:rsidRPr="00E0488D">
        <w:rPr>
          <w:b/>
          <w:iCs/>
          <w:sz w:val="22"/>
          <w:szCs w:val="22"/>
          <w:lang w:val="ro-RO"/>
        </w:rPr>
        <w:t xml:space="preserve">Tabelul 8.11: Ipoteze pentru estimările privind capacitatea terminalului </w:t>
      </w:r>
    </w:p>
    <w:tbl>
      <w:tblPr>
        <w:tblW w:w="822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960"/>
        <w:gridCol w:w="5420"/>
      </w:tblGrid>
      <w:tr w:rsidR="00BD59B2" w:rsidRPr="00E0488D" w:rsidTr="009972B3">
        <w:trPr>
          <w:trHeight w:val="300"/>
        </w:trPr>
        <w:tc>
          <w:tcPr>
            <w:tcW w:w="1840" w:type="dxa"/>
            <w:shd w:val="clear" w:color="auto" w:fill="8DB3E2" w:themeFill="text2" w:themeFillTint="66"/>
            <w:noWrap/>
            <w:vAlign w:val="center"/>
            <w:hideMark/>
          </w:tcPr>
          <w:p w:rsidR="00BD59B2" w:rsidRPr="00E0488D" w:rsidRDefault="00BD59B2" w:rsidP="009972B3">
            <w:pPr>
              <w:keepNext/>
              <w:spacing w:line="276" w:lineRule="auto"/>
              <w:jc w:val="center"/>
              <w:rPr>
                <w:b/>
                <w:bCs/>
                <w:sz w:val="22"/>
                <w:szCs w:val="22"/>
                <w:lang w:val="ro-RO"/>
              </w:rPr>
            </w:pPr>
            <w:r w:rsidRPr="00E0488D">
              <w:rPr>
                <w:b/>
                <w:bCs/>
                <w:sz w:val="22"/>
                <w:szCs w:val="22"/>
                <w:lang w:val="ro-RO"/>
              </w:rPr>
              <w:t>Atribut</w:t>
            </w:r>
          </w:p>
        </w:tc>
        <w:tc>
          <w:tcPr>
            <w:tcW w:w="960" w:type="dxa"/>
            <w:shd w:val="clear" w:color="auto" w:fill="8DB3E2" w:themeFill="text2" w:themeFillTint="66"/>
            <w:noWrap/>
            <w:vAlign w:val="center"/>
            <w:hideMark/>
          </w:tcPr>
          <w:p w:rsidR="00BD59B2" w:rsidRPr="00E0488D" w:rsidRDefault="00BD59B2" w:rsidP="009972B3">
            <w:pPr>
              <w:keepNext/>
              <w:spacing w:line="276" w:lineRule="auto"/>
              <w:jc w:val="center"/>
              <w:rPr>
                <w:b/>
                <w:bCs/>
                <w:sz w:val="22"/>
                <w:szCs w:val="22"/>
                <w:lang w:val="ro-RO"/>
              </w:rPr>
            </w:pPr>
            <w:r w:rsidRPr="00E0488D">
              <w:rPr>
                <w:b/>
                <w:bCs/>
                <w:sz w:val="22"/>
                <w:szCs w:val="22"/>
                <w:lang w:val="ro-RO"/>
              </w:rPr>
              <w:t>Metri</w:t>
            </w:r>
          </w:p>
        </w:tc>
        <w:tc>
          <w:tcPr>
            <w:tcW w:w="5420" w:type="dxa"/>
            <w:shd w:val="clear" w:color="auto" w:fill="8DB3E2" w:themeFill="text2" w:themeFillTint="66"/>
            <w:noWrap/>
            <w:vAlign w:val="center"/>
            <w:hideMark/>
          </w:tcPr>
          <w:p w:rsidR="00BD59B2" w:rsidRPr="00E0488D" w:rsidRDefault="00BD59B2" w:rsidP="009972B3">
            <w:pPr>
              <w:keepNext/>
              <w:spacing w:line="276" w:lineRule="auto"/>
              <w:jc w:val="center"/>
              <w:rPr>
                <w:b/>
                <w:bCs/>
                <w:sz w:val="22"/>
                <w:szCs w:val="22"/>
                <w:lang w:val="ro-RO"/>
              </w:rPr>
            </w:pPr>
            <w:r w:rsidRPr="00E0488D">
              <w:rPr>
                <w:b/>
                <w:bCs/>
                <w:sz w:val="22"/>
                <w:szCs w:val="22"/>
                <w:lang w:val="ro-RO"/>
              </w:rPr>
              <w:t>Comentarii</w:t>
            </w: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Lungime vagon</w:t>
            </w:r>
          </w:p>
        </w:tc>
        <w:tc>
          <w:tcPr>
            <w:tcW w:w="96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19.7</w:t>
            </w:r>
          </w:p>
        </w:tc>
        <w:tc>
          <w:tcPr>
            <w:tcW w:w="542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 xml:space="preserve">Vagoane cu boghiu Astra Rail SGnss 60' </w:t>
            </w: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Lungime locomotivă</w:t>
            </w:r>
          </w:p>
        </w:tc>
        <w:tc>
          <w:tcPr>
            <w:tcW w:w="96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21.4</w:t>
            </w:r>
          </w:p>
        </w:tc>
        <w:tc>
          <w:tcPr>
            <w:tcW w:w="542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 xml:space="preserve">Locomotive obișnuite electrice/diesel </w:t>
            </w: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TEU per vagon</w:t>
            </w:r>
          </w:p>
        </w:tc>
        <w:tc>
          <w:tcPr>
            <w:tcW w:w="96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3</w:t>
            </w:r>
          </w:p>
        </w:tc>
        <w:tc>
          <w:tcPr>
            <w:tcW w:w="5420" w:type="dxa"/>
            <w:shd w:val="clear" w:color="auto" w:fill="auto"/>
            <w:noWrap/>
            <w:vAlign w:val="center"/>
            <w:hideMark/>
          </w:tcPr>
          <w:p w:rsidR="00BD59B2" w:rsidRPr="00E0488D" w:rsidRDefault="00BD59B2" w:rsidP="009972B3">
            <w:pPr>
              <w:keepNext/>
              <w:spacing w:line="276" w:lineRule="auto"/>
              <w:jc w:val="center"/>
              <w:rPr>
                <w:sz w:val="22"/>
                <w:szCs w:val="22"/>
                <w:lang w:val="ro-RO"/>
              </w:rPr>
            </w:pP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Lungime linie de garare</w:t>
            </w:r>
          </w:p>
        </w:tc>
        <w:tc>
          <w:tcPr>
            <w:tcW w:w="96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750</w:t>
            </w:r>
          </w:p>
        </w:tc>
        <w:tc>
          <w:tcPr>
            <w:tcW w:w="5420" w:type="dxa"/>
            <w:shd w:val="clear" w:color="auto" w:fill="auto"/>
            <w:noWrap/>
            <w:vAlign w:val="center"/>
            <w:hideMark/>
          </w:tcPr>
          <w:p w:rsidR="00BD59B2" w:rsidRPr="00E0488D" w:rsidRDefault="00BD59B2" w:rsidP="009972B3">
            <w:pPr>
              <w:keepNext/>
              <w:spacing w:line="276" w:lineRule="auto"/>
              <w:jc w:val="center"/>
              <w:rPr>
                <w:sz w:val="22"/>
                <w:szCs w:val="22"/>
                <w:lang w:val="ro-RO"/>
              </w:rPr>
            </w:pP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Zile lucrătoare</w:t>
            </w:r>
          </w:p>
        </w:tc>
        <w:tc>
          <w:tcPr>
            <w:tcW w:w="96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300</w:t>
            </w:r>
          </w:p>
        </w:tc>
        <w:tc>
          <w:tcPr>
            <w:tcW w:w="5420" w:type="dxa"/>
            <w:shd w:val="clear" w:color="auto" w:fill="auto"/>
            <w:noWrap/>
            <w:vAlign w:val="center"/>
            <w:hideMark/>
          </w:tcPr>
          <w:p w:rsidR="00BD59B2" w:rsidRPr="00E0488D" w:rsidRDefault="00BD59B2" w:rsidP="009972B3">
            <w:pPr>
              <w:keepNext/>
              <w:spacing w:line="276" w:lineRule="auto"/>
              <w:jc w:val="center"/>
              <w:rPr>
                <w:sz w:val="22"/>
                <w:szCs w:val="22"/>
                <w:lang w:val="ro-RO"/>
              </w:rPr>
            </w:pP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Trenuri pe zi</w:t>
            </w:r>
          </w:p>
        </w:tc>
        <w:tc>
          <w:tcPr>
            <w:tcW w:w="96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4</w:t>
            </w:r>
          </w:p>
        </w:tc>
        <w:tc>
          <w:tcPr>
            <w:tcW w:w="5420" w:type="dxa"/>
            <w:shd w:val="clear" w:color="auto" w:fill="auto"/>
            <w:noWrap/>
            <w:vAlign w:val="center"/>
            <w:hideMark/>
          </w:tcPr>
          <w:p w:rsidR="00BD59B2" w:rsidRPr="00E0488D" w:rsidRDefault="00BD59B2" w:rsidP="009972B3">
            <w:pPr>
              <w:keepNext/>
              <w:spacing w:line="276" w:lineRule="auto"/>
              <w:jc w:val="center"/>
              <w:rPr>
                <w:sz w:val="22"/>
                <w:szCs w:val="22"/>
                <w:lang w:val="ro-RO"/>
              </w:rPr>
            </w:pPr>
            <w:r w:rsidRPr="00E0488D">
              <w:rPr>
                <w:sz w:val="22"/>
                <w:szCs w:val="22"/>
                <w:lang w:val="ro-RO"/>
              </w:rPr>
              <w:t xml:space="preserve">Bazat pe un intervat de 6 ore încărcare/descărcare per tren </w:t>
            </w:r>
          </w:p>
        </w:tc>
      </w:tr>
      <w:tr w:rsidR="00BD59B2" w:rsidRPr="00E0488D" w:rsidTr="009972B3">
        <w:trPr>
          <w:trHeight w:val="300"/>
        </w:trPr>
        <w:tc>
          <w:tcPr>
            <w:tcW w:w="1840"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Vagoane pe tren</w:t>
            </w:r>
          </w:p>
        </w:tc>
        <w:tc>
          <w:tcPr>
            <w:tcW w:w="960" w:type="dxa"/>
            <w:shd w:val="clear" w:color="auto" w:fill="auto"/>
            <w:noWrap/>
            <w:vAlign w:val="center"/>
            <w:hideMark/>
          </w:tcPr>
          <w:p w:rsidR="00BD59B2" w:rsidRPr="00E0488D" w:rsidRDefault="00BD59B2" w:rsidP="009972B3">
            <w:pPr>
              <w:spacing w:line="276" w:lineRule="auto"/>
              <w:jc w:val="center"/>
              <w:rPr>
                <w:sz w:val="22"/>
                <w:szCs w:val="22"/>
                <w:lang w:val="ro-RO"/>
              </w:rPr>
            </w:pPr>
            <w:r w:rsidRPr="00E0488D">
              <w:rPr>
                <w:sz w:val="22"/>
                <w:szCs w:val="22"/>
                <w:lang w:val="ro-RO"/>
              </w:rPr>
              <w:t>36</w:t>
            </w:r>
          </w:p>
        </w:tc>
        <w:tc>
          <w:tcPr>
            <w:tcW w:w="5420" w:type="dxa"/>
            <w:shd w:val="clear" w:color="auto" w:fill="auto"/>
            <w:noWrap/>
            <w:vAlign w:val="center"/>
            <w:hideMark/>
          </w:tcPr>
          <w:p w:rsidR="00BD59B2" w:rsidRPr="00E0488D" w:rsidRDefault="00BD59B2" w:rsidP="009972B3">
            <w:pPr>
              <w:spacing w:line="276" w:lineRule="auto"/>
              <w:jc w:val="center"/>
              <w:rPr>
                <w:sz w:val="22"/>
                <w:szCs w:val="22"/>
                <w:lang w:val="ro-RO"/>
              </w:rPr>
            </w:pPr>
          </w:p>
        </w:tc>
      </w:tr>
    </w:tbl>
    <w:p w:rsidR="00BD59B2" w:rsidRPr="00E0488D" w:rsidRDefault="00BD59B2" w:rsidP="002B7E09">
      <w:pPr>
        <w:pStyle w:val="NumberedParas"/>
      </w:pPr>
      <w:r w:rsidRPr="00E0488D">
        <w:rPr>
          <w:rStyle w:val="hps"/>
          <w:rFonts w:cs="Arial"/>
          <w:color w:val="000000" w:themeColor="text1"/>
        </w:rPr>
        <w:t>Terminalele</w:t>
      </w:r>
      <w:r w:rsidRPr="00E0488D">
        <w:t xml:space="preserve"> </w:t>
      </w:r>
      <w:r w:rsidRPr="00E0488D">
        <w:rPr>
          <w:rStyle w:val="hps"/>
          <w:rFonts w:cs="Arial"/>
          <w:color w:val="000000" w:themeColor="text1"/>
        </w:rPr>
        <w:t>mai mari</w:t>
      </w:r>
      <w:r w:rsidRPr="00E0488D">
        <w:t xml:space="preserve"> </w:t>
      </w:r>
      <w:r w:rsidRPr="00E0488D">
        <w:rPr>
          <w:rStyle w:val="hps"/>
          <w:rFonts w:cs="Arial"/>
          <w:color w:val="000000" w:themeColor="text1"/>
        </w:rPr>
        <w:t>pot avea</w:t>
      </w:r>
      <w:r w:rsidRPr="00E0488D">
        <w:t xml:space="preserve"> </w:t>
      </w:r>
      <w:r w:rsidRPr="00E0488D">
        <w:rPr>
          <w:rStyle w:val="hps"/>
          <w:rFonts w:cs="Arial"/>
          <w:color w:val="000000" w:themeColor="text1"/>
        </w:rPr>
        <w:t>o un pod rulant</w:t>
      </w:r>
      <w:r w:rsidRPr="00E0488D">
        <w:t xml:space="preserve"> </w:t>
      </w:r>
      <w:r w:rsidRPr="00E0488D">
        <w:rPr>
          <w:rStyle w:val="hps"/>
          <w:rFonts w:cs="Arial"/>
          <w:color w:val="000000" w:themeColor="text1"/>
        </w:rPr>
        <w:t>electric</w:t>
      </w:r>
      <w:r w:rsidRPr="00E0488D">
        <w:t xml:space="preserve"> </w:t>
      </w:r>
      <w:r w:rsidRPr="00E0488D">
        <w:rPr>
          <w:rStyle w:val="hps"/>
          <w:rFonts w:cs="Arial"/>
          <w:color w:val="000000" w:themeColor="text1"/>
        </w:rPr>
        <w:t>în plus față de</w:t>
      </w:r>
      <w:r w:rsidRPr="00E0488D">
        <w:t xml:space="preserve"> </w:t>
      </w:r>
      <w:r w:rsidRPr="00E0488D">
        <w:rPr>
          <w:rStyle w:val="hps"/>
          <w:rFonts w:cs="Arial"/>
          <w:color w:val="000000" w:themeColor="text1"/>
        </w:rPr>
        <w:t>un stivuitor</w:t>
      </w:r>
      <w:r w:rsidRPr="00E0488D">
        <w:t xml:space="preserve">, </w:t>
      </w:r>
      <w:r w:rsidRPr="00E0488D">
        <w:rPr>
          <w:rStyle w:val="hps"/>
          <w:rFonts w:cs="Arial"/>
          <w:color w:val="000000" w:themeColor="text1"/>
        </w:rPr>
        <w:t>de exemplu</w:t>
      </w:r>
      <w:r w:rsidRPr="00E0488D">
        <w:t xml:space="preserve"> la </w:t>
      </w:r>
      <w:r w:rsidRPr="00E0488D">
        <w:rPr>
          <w:rStyle w:val="hps"/>
          <w:rFonts w:cs="Arial"/>
          <w:color w:val="000000" w:themeColor="text1"/>
        </w:rPr>
        <w:t>București</w:t>
      </w:r>
      <w:r w:rsidRPr="00E0488D">
        <w:t xml:space="preserve">. </w:t>
      </w:r>
      <w:r w:rsidRPr="00E0488D">
        <w:rPr>
          <w:rStyle w:val="hps"/>
          <w:rFonts w:cs="Arial"/>
          <w:color w:val="000000" w:themeColor="text1"/>
        </w:rPr>
        <w:t>Spațiul</w:t>
      </w:r>
      <w:r w:rsidRPr="00E0488D">
        <w:t xml:space="preserve"> </w:t>
      </w:r>
      <w:r w:rsidRPr="00E0488D">
        <w:rPr>
          <w:rStyle w:val="hps"/>
          <w:rFonts w:cs="Arial"/>
          <w:color w:val="000000" w:themeColor="text1"/>
        </w:rPr>
        <w:t>ar trebui să fie</w:t>
      </w:r>
      <w:r w:rsidRPr="00E0488D">
        <w:t xml:space="preserve"> </w:t>
      </w:r>
      <w:r w:rsidRPr="00E0488D">
        <w:rPr>
          <w:rStyle w:val="hps"/>
          <w:rFonts w:cs="Arial"/>
          <w:color w:val="000000" w:themeColor="text1"/>
        </w:rPr>
        <w:t>protejat</w:t>
      </w:r>
      <w:r w:rsidRPr="00E0488D">
        <w:t xml:space="preserve"> </w:t>
      </w:r>
      <w:r w:rsidRPr="00E0488D">
        <w:rPr>
          <w:rStyle w:val="hps"/>
          <w:rFonts w:cs="Arial"/>
          <w:color w:val="000000" w:themeColor="text1"/>
        </w:rPr>
        <w:t>pentru a permite atât extinderea</w:t>
      </w:r>
      <w:r w:rsidRPr="00E0488D">
        <w:t xml:space="preserve"> </w:t>
      </w:r>
      <w:r w:rsidRPr="00E0488D">
        <w:rPr>
          <w:rStyle w:val="hps"/>
          <w:rFonts w:cs="Arial"/>
          <w:color w:val="000000" w:themeColor="text1"/>
        </w:rPr>
        <w:t>instalațiilor</w:t>
      </w:r>
      <w:r w:rsidRPr="00E0488D">
        <w:t xml:space="preserve"> </w:t>
      </w:r>
      <w:r w:rsidRPr="00E0488D">
        <w:rPr>
          <w:rStyle w:val="hps"/>
          <w:rFonts w:cs="Arial"/>
          <w:color w:val="000000" w:themeColor="text1"/>
        </w:rPr>
        <w:t>feroviare și rutiere</w:t>
      </w:r>
      <w:r w:rsidRPr="00E0488D">
        <w:t xml:space="preserve"> în cazul în care </w:t>
      </w:r>
      <w:r w:rsidRPr="00E0488D">
        <w:rPr>
          <w:rStyle w:val="hps"/>
          <w:rFonts w:cs="Arial"/>
          <w:color w:val="000000" w:themeColor="text1"/>
        </w:rPr>
        <w:t>terminalul</w:t>
      </w:r>
      <w:r w:rsidRPr="00E0488D">
        <w:t xml:space="preserve"> va </w:t>
      </w:r>
      <w:r w:rsidRPr="00E0488D">
        <w:rPr>
          <w:rStyle w:val="hps"/>
          <w:rFonts w:cs="Arial"/>
          <w:color w:val="000000" w:themeColor="text1"/>
        </w:rPr>
        <w:t>crește în</w:t>
      </w:r>
      <w:r w:rsidRPr="00E0488D">
        <w:t xml:space="preserve"> </w:t>
      </w:r>
      <w:r w:rsidRPr="00E0488D">
        <w:rPr>
          <w:rStyle w:val="hps"/>
          <w:rFonts w:cs="Arial"/>
          <w:color w:val="000000" w:themeColor="text1"/>
        </w:rPr>
        <w:t>viitor</w:t>
      </w:r>
      <w:r w:rsidRPr="00E0488D">
        <w:t xml:space="preserve">. La </w:t>
      </w:r>
      <w:r w:rsidRPr="00E0488D">
        <w:rPr>
          <w:rStyle w:val="hps"/>
          <w:rFonts w:cs="Arial"/>
          <w:color w:val="000000" w:themeColor="text1"/>
        </w:rPr>
        <w:t>București</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exemplu</w:t>
      </w:r>
      <w:r w:rsidRPr="00E0488D">
        <w:t xml:space="preserve">, </w:t>
      </w:r>
      <w:r w:rsidRPr="00E0488D">
        <w:rPr>
          <w:rStyle w:val="hps"/>
          <w:rFonts w:cs="Arial"/>
          <w:color w:val="000000" w:themeColor="text1"/>
        </w:rPr>
        <w:t>vor fi</w:t>
      </w:r>
      <w:r w:rsidRPr="00E0488D">
        <w:t xml:space="preserve">, probabil, necesare </w:t>
      </w:r>
      <w:r w:rsidRPr="00E0488D">
        <w:rPr>
          <w:rStyle w:val="hps"/>
          <w:rFonts w:cs="Arial"/>
          <w:color w:val="000000" w:themeColor="text1"/>
        </w:rPr>
        <w:t>trei</w:t>
      </w:r>
      <w:r w:rsidRPr="00E0488D">
        <w:t xml:space="preserve"> </w:t>
      </w:r>
      <w:r w:rsidRPr="00E0488D">
        <w:rPr>
          <w:rStyle w:val="hps"/>
          <w:rFonts w:cs="Arial"/>
          <w:color w:val="000000" w:themeColor="text1"/>
        </w:rPr>
        <w:t>linii</w:t>
      </w:r>
      <w:r w:rsidRPr="00E0488D">
        <w:t xml:space="preserve"> </w:t>
      </w:r>
      <w:r w:rsidRPr="00E0488D">
        <w:rPr>
          <w:rStyle w:val="hps"/>
          <w:rFonts w:cs="Arial"/>
          <w:color w:val="000000" w:themeColor="text1"/>
        </w:rPr>
        <w:t>pentru a permite</w:t>
      </w:r>
      <w:r w:rsidRPr="00E0488D">
        <w:t xml:space="preserve"> manevrarea simultană a </w:t>
      </w:r>
      <w:r w:rsidRPr="00E0488D">
        <w:rPr>
          <w:rStyle w:val="hps"/>
          <w:rFonts w:cs="Arial"/>
          <w:color w:val="000000" w:themeColor="text1"/>
        </w:rPr>
        <w:t>două trenuri</w:t>
      </w:r>
      <w:r w:rsidRPr="00E0488D">
        <w:t xml:space="preserve">, mărind  </w:t>
      </w:r>
      <w:r w:rsidRPr="00E0488D">
        <w:rPr>
          <w:rStyle w:val="hps"/>
          <w:rFonts w:cs="Arial"/>
          <w:color w:val="000000" w:themeColor="text1"/>
        </w:rPr>
        <w:t>capacitatea pentru a atinge volumul</w:t>
      </w:r>
      <w:r w:rsidRPr="00E0488D">
        <w:t xml:space="preserve"> </w:t>
      </w:r>
      <w:r w:rsidRPr="00E0488D">
        <w:rPr>
          <w:rStyle w:val="hps"/>
          <w:rFonts w:cs="Arial"/>
          <w:color w:val="000000" w:themeColor="text1"/>
        </w:rPr>
        <w:t>menționat mai sus</w:t>
      </w:r>
      <w:r w:rsidRPr="00E0488D">
        <w:t xml:space="preserve"> de </w:t>
      </w:r>
      <w:r w:rsidRPr="00E0488D">
        <w:rPr>
          <w:rStyle w:val="hps"/>
          <w:rFonts w:cs="Arial"/>
          <w:color w:val="000000" w:themeColor="text1"/>
        </w:rPr>
        <w:t>358.000</w:t>
      </w:r>
      <w:r w:rsidRPr="00E0488D">
        <w:t xml:space="preserve"> </w:t>
      </w:r>
      <w:r w:rsidRPr="00E0488D">
        <w:rPr>
          <w:rStyle w:val="hps"/>
          <w:rFonts w:cs="Arial"/>
          <w:color w:val="000000" w:themeColor="text1"/>
        </w:rPr>
        <w:t>TUE</w:t>
      </w:r>
      <w:r w:rsidRPr="00E0488D">
        <w:t xml:space="preserve"> </w:t>
      </w:r>
      <w:r w:rsidRPr="00E0488D">
        <w:rPr>
          <w:rStyle w:val="hps"/>
          <w:rFonts w:cs="Arial"/>
          <w:color w:val="000000" w:themeColor="text1"/>
        </w:rPr>
        <w:t>anual</w:t>
      </w:r>
      <w:r w:rsidRPr="00E0488D">
        <w:t xml:space="preserve">. </w:t>
      </w:r>
      <w:r w:rsidRPr="00E0488D">
        <w:rPr>
          <w:rStyle w:val="hps"/>
          <w:rFonts w:cs="Arial"/>
          <w:color w:val="000000" w:themeColor="text1"/>
        </w:rPr>
        <w:t>Acest lucru ar oferi</w:t>
      </w:r>
      <w:r w:rsidRPr="00E0488D">
        <w:t xml:space="preserve">, de asemenea, </w:t>
      </w:r>
      <w:r w:rsidRPr="00E0488D">
        <w:rPr>
          <w:rStyle w:val="hps"/>
          <w:rFonts w:cs="Arial"/>
          <w:color w:val="000000" w:themeColor="text1"/>
        </w:rPr>
        <w:t>capacitatea</w:t>
      </w:r>
      <w:r w:rsidRPr="00E0488D">
        <w:t xml:space="preserve"> </w:t>
      </w:r>
      <w:r w:rsidRPr="00E0488D">
        <w:rPr>
          <w:rStyle w:val="hps"/>
          <w:rFonts w:cs="Arial"/>
          <w:color w:val="000000" w:themeColor="text1"/>
        </w:rPr>
        <w:t>pentru o</w:t>
      </w:r>
      <w:r w:rsidRPr="00E0488D">
        <w:t xml:space="preserve"> </w:t>
      </w:r>
      <w:r w:rsidRPr="00E0488D">
        <w:rPr>
          <w:rStyle w:val="hps"/>
          <w:rFonts w:cs="Arial"/>
          <w:color w:val="000000" w:themeColor="text1"/>
        </w:rPr>
        <w:t>transbordare</w:t>
      </w:r>
      <w:r w:rsidRPr="00E0488D">
        <w:t xml:space="preserve"> imediată </w:t>
      </w:r>
      <w:r w:rsidRPr="00E0488D">
        <w:rPr>
          <w:rStyle w:val="hps"/>
          <w:rFonts w:cs="Arial"/>
          <w:color w:val="000000" w:themeColor="text1"/>
        </w:rPr>
        <w:t>a mărfurilor de pe</w:t>
      </w:r>
      <w:r w:rsidRPr="00E0488D">
        <w:t xml:space="preserve"> </w:t>
      </w:r>
      <w:r w:rsidRPr="00E0488D">
        <w:rPr>
          <w:rStyle w:val="hps"/>
          <w:rFonts w:cs="Arial"/>
          <w:color w:val="000000" w:themeColor="text1"/>
        </w:rPr>
        <w:t>trenurile internaționale</w:t>
      </w:r>
      <w:r w:rsidRPr="00E0488D">
        <w:t xml:space="preserve"> </w:t>
      </w:r>
      <w:r w:rsidRPr="00E0488D">
        <w:rPr>
          <w:rStyle w:val="hps"/>
          <w:rFonts w:cs="Arial"/>
          <w:color w:val="000000" w:themeColor="text1"/>
        </w:rPr>
        <w:t>pe trenurile interne cu</w:t>
      </w:r>
      <w:r w:rsidRPr="00E0488D">
        <w:t xml:space="preserve"> </w:t>
      </w:r>
      <w:r w:rsidRPr="00E0488D">
        <w:rPr>
          <w:rStyle w:val="hps"/>
          <w:rFonts w:cs="Arial"/>
          <w:color w:val="000000" w:themeColor="text1"/>
        </w:rPr>
        <w:t>destinația</w:t>
      </w:r>
      <w:r w:rsidRPr="00E0488D">
        <w:t xml:space="preserve"> </w:t>
      </w:r>
      <w:r w:rsidRPr="00E0488D">
        <w:rPr>
          <w:rStyle w:val="hps"/>
          <w:rFonts w:cs="Arial"/>
          <w:color w:val="000000" w:themeColor="text1"/>
        </w:rPr>
        <w:t>Constanta</w:t>
      </w:r>
      <w:r w:rsidRPr="00E0488D">
        <w:t>.</w:t>
      </w:r>
    </w:p>
    <w:p w:rsidR="00BD59B2" w:rsidRPr="00E0488D" w:rsidRDefault="00BD59B2" w:rsidP="002B7E09">
      <w:pPr>
        <w:pStyle w:val="NumberedParas"/>
      </w:pPr>
      <w:r w:rsidRPr="00E0488D">
        <w:rPr>
          <w:rStyle w:val="hps"/>
          <w:rFonts w:cs="Arial"/>
          <w:color w:val="000000" w:themeColor="text1"/>
        </w:rPr>
        <w:t>Deși transportul de</w:t>
      </w:r>
      <w:r w:rsidRPr="00E0488D">
        <w:t xml:space="preserve"> </w:t>
      </w:r>
      <w:r w:rsidRPr="00E0488D">
        <w:rPr>
          <w:rStyle w:val="hps"/>
          <w:rFonts w:cs="Arial"/>
          <w:color w:val="000000" w:themeColor="text1"/>
        </w:rPr>
        <w:t>containere pe calea navigabilă</w:t>
      </w:r>
      <w:r w:rsidRPr="00E0488D">
        <w:t xml:space="preserve"> </w:t>
      </w:r>
      <w:r w:rsidRPr="00E0488D">
        <w:rPr>
          <w:rStyle w:val="hps"/>
          <w:rFonts w:cs="Arial"/>
          <w:color w:val="000000" w:themeColor="text1"/>
        </w:rPr>
        <w:t>este probabil să rămână</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procent</w:t>
      </w:r>
      <w:r w:rsidRPr="00E0488D">
        <w:t xml:space="preserve"> </w:t>
      </w:r>
      <w:r w:rsidRPr="00E0488D">
        <w:rPr>
          <w:rStyle w:val="hps"/>
          <w:rFonts w:cs="Arial"/>
          <w:color w:val="000000" w:themeColor="text1"/>
        </w:rPr>
        <w:t>relativ</w:t>
      </w:r>
      <w:r w:rsidRPr="00E0488D">
        <w:t xml:space="preserve"> </w:t>
      </w:r>
      <w:r w:rsidRPr="00E0488D">
        <w:rPr>
          <w:rStyle w:val="hps"/>
          <w:rFonts w:cs="Arial"/>
          <w:color w:val="000000" w:themeColor="text1"/>
        </w:rPr>
        <w:t>mic</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transport naval total de marfă,</w:t>
      </w:r>
      <w:r w:rsidRPr="00E0488D">
        <w:t xml:space="preserve"> </w:t>
      </w:r>
      <w:r w:rsidRPr="00E0488D">
        <w:rPr>
          <w:rStyle w:val="hps"/>
          <w:rFonts w:cs="Arial"/>
          <w:color w:val="000000" w:themeColor="text1"/>
        </w:rPr>
        <w:t>în prezent se estimează</w:t>
      </w:r>
      <w:r w:rsidRPr="00E0488D">
        <w:t xml:space="preserve"> o creștere a </w:t>
      </w:r>
      <w:r w:rsidRPr="00E0488D">
        <w:rPr>
          <w:rStyle w:val="hps"/>
          <w:rFonts w:cs="Arial"/>
          <w:color w:val="000000" w:themeColor="text1"/>
        </w:rPr>
        <w:t>volumului</w:t>
      </w:r>
      <w:r w:rsidRPr="00E0488D">
        <w:t xml:space="preserve">  </w:t>
      </w:r>
      <w:r w:rsidRPr="00E0488D">
        <w:rPr>
          <w:rStyle w:val="hps"/>
          <w:rFonts w:cs="Arial"/>
          <w:color w:val="000000" w:themeColor="text1"/>
        </w:rPr>
        <w:t>în jur de 1</w:t>
      </w:r>
      <w:r w:rsidRPr="00E0488D">
        <w:t xml:space="preserve">%, în </w:t>
      </w:r>
      <w:r w:rsidRPr="00E0488D">
        <w:rPr>
          <w:rStyle w:val="hps"/>
          <w:rFonts w:cs="Arial"/>
          <w:color w:val="000000" w:themeColor="text1"/>
        </w:rPr>
        <w:t>proporție</w:t>
      </w:r>
      <w:r w:rsidRPr="00E0488D">
        <w:t xml:space="preserve"> </w:t>
      </w:r>
      <w:r w:rsidRPr="00E0488D">
        <w:rPr>
          <w:rStyle w:val="hps"/>
          <w:rFonts w:cs="Arial"/>
          <w:color w:val="000000" w:themeColor="text1"/>
        </w:rPr>
        <w:t>cu piața</w:t>
      </w:r>
      <w:r w:rsidRPr="00E0488D">
        <w:t xml:space="preserve">. </w:t>
      </w:r>
      <w:r w:rsidRPr="00E0488D">
        <w:rPr>
          <w:rStyle w:val="hps"/>
          <w:rFonts w:cs="Arial"/>
          <w:color w:val="000000" w:themeColor="text1"/>
        </w:rPr>
        <w:t>Doar în jur de</w:t>
      </w:r>
      <w:r w:rsidRPr="00E0488D">
        <w:t xml:space="preserve"> </w:t>
      </w:r>
      <w:r w:rsidRPr="00E0488D">
        <w:rPr>
          <w:rStyle w:val="hps"/>
          <w:rFonts w:cs="Arial"/>
          <w:color w:val="000000" w:themeColor="text1"/>
        </w:rPr>
        <w:t>2</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containerele</w:t>
      </w:r>
      <w:r w:rsidRPr="00E0488D">
        <w:t xml:space="preserve"> </w:t>
      </w:r>
      <w:r w:rsidRPr="00E0488D">
        <w:rPr>
          <w:rStyle w:val="hps"/>
          <w:rFonts w:cs="Arial"/>
          <w:color w:val="000000" w:themeColor="text1"/>
        </w:rPr>
        <w:t>care sunt operate în Portul</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sunt transportate cu</w:t>
      </w:r>
      <w:r w:rsidRPr="00E0488D">
        <w:t xml:space="preserve"> </w:t>
      </w:r>
      <w:r w:rsidRPr="00E0488D">
        <w:rPr>
          <w:rStyle w:val="hps"/>
          <w:rFonts w:cs="Arial"/>
          <w:color w:val="000000" w:themeColor="text1"/>
        </w:rPr>
        <w:t>barja</w:t>
      </w:r>
      <w:r w:rsidRPr="00E0488D">
        <w:t xml:space="preserve"> pe căile navigabile interne </w:t>
      </w:r>
      <w:r w:rsidRPr="00E0488D">
        <w:rPr>
          <w:rStyle w:val="hps"/>
          <w:rFonts w:cs="Arial"/>
          <w:color w:val="000000" w:themeColor="text1"/>
        </w:rPr>
        <w:t>și</w:t>
      </w:r>
      <w:r w:rsidRPr="00E0488D">
        <w:t xml:space="preserve"> acest lucru se </w:t>
      </w:r>
      <w:r w:rsidRPr="00E0488D">
        <w:rPr>
          <w:rStyle w:val="hps"/>
          <w:rFonts w:cs="Arial"/>
          <w:color w:val="000000" w:themeColor="text1"/>
        </w:rPr>
        <w:t>compară cu</w:t>
      </w:r>
      <w:r w:rsidRPr="00E0488D">
        <w:t xml:space="preserve"> </w:t>
      </w:r>
      <w:r w:rsidRPr="00E0488D">
        <w:rPr>
          <w:rStyle w:val="hps"/>
          <w:rFonts w:cs="Arial"/>
          <w:color w:val="000000" w:themeColor="text1"/>
        </w:rPr>
        <w:t>porturi</w:t>
      </w:r>
      <w:r w:rsidRPr="00E0488D">
        <w:t xml:space="preserve"> precum </w:t>
      </w:r>
      <w:r w:rsidRPr="00E0488D">
        <w:rPr>
          <w:rStyle w:val="hps"/>
          <w:rFonts w:cs="Arial"/>
          <w:color w:val="000000" w:themeColor="text1"/>
        </w:rPr>
        <w:t>Rotterdam</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Antwerp</w:t>
      </w:r>
      <w:r w:rsidRPr="00E0488D">
        <w:t xml:space="preserve">, unde </w:t>
      </w:r>
      <w:r w:rsidRPr="00E0488D">
        <w:rPr>
          <w:rStyle w:val="hps"/>
          <w:rFonts w:cs="Arial"/>
          <w:color w:val="000000" w:themeColor="text1"/>
        </w:rPr>
        <w:t>volumele semnificative</w:t>
      </w:r>
      <w:r w:rsidRPr="00E0488D">
        <w:t xml:space="preserve">, </w:t>
      </w:r>
      <w:r w:rsidRPr="00E0488D">
        <w:rPr>
          <w:rStyle w:val="hps"/>
          <w:rFonts w:cs="Arial"/>
          <w:color w:val="000000" w:themeColor="text1"/>
        </w:rPr>
        <w:t>de aproximativ 35</w:t>
      </w:r>
      <w:r w:rsidRPr="00E0488D">
        <w:t xml:space="preserve">% sunt transportate pe </w:t>
      </w:r>
      <w:r w:rsidRPr="00E0488D">
        <w:rPr>
          <w:rStyle w:val="hps"/>
          <w:rFonts w:cs="Arial"/>
          <w:color w:val="000000" w:themeColor="text1"/>
        </w:rPr>
        <w:t>barjă</w:t>
      </w:r>
      <w:r w:rsidRPr="00E0488D">
        <w:t xml:space="preserve">. </w:t>
      </w:r>
      <w:r w:rsidRPr="00E0488D">
        <w:rPr>
          <w:rStyle w:val="hps"/>
          <w:rFonts w:cs="Arial"/>
          <w:color w:val="000000" w:themeColor="text1"/>
        </w:rPr>
        <w:t>Într-adevăr,</w:t>
      </w:r>
      <w:r w:rsidRPr="00E0488D">
        <w:t xml:space="preserve"> </w:t>
      </w:r>
      <w:r w:rsidRPr="00E0488D">
        <w:rPr>
          <w:rStyle w:val="hps"/>
          <w:rFonts w:cs="Arial"/>
          <w:color w:val="000000" w:themeColor="text1"/>
        </w:rPr>
        <w:t>modelul</w:t>
      </w:r>
      <w:r w:rsidRPr="00E0488D">
        <w:t xml:space="preserve"> </w:t>
      </w:r>
      <w:r w:rsidRPr="00E0488D">
        <w:rPr>
          <w:rStyle w:val="hps"/>
          <w:rFonts w:cs="Arial"/>
          <w:color w:val="000000" w:themeColor="text1"/>
        </w:rPr>
        <w:t>MPGT</w:t>
      </w:r>
      <w:r w:rsidRPr="00E0488D">
        <w:t xml:space="preserve"> </w:t>
      </w:r>
      <w:r w:rsidRPr="00E0488D">
        <w:rPr>
          <w:rStyle w:val="hps"/>
          <w:rFonts w:cs="Arial"/>
          <w:color w:val="000000" w:themeColor="text1"/>
        </w:rPr>
        <w:t>prezintă o creștere a tonaj</w:t>
      </w:r>
      <w:r w:rsidRPr="00E0488D">
        <w:t>ului</w:t>
      </w:r>
      <w:r w:rsidRPr="00E0488D">
        <w:rPr>
          <w:rStyle w:val="hps"/>
          <w:rFonts w:cs="Arial"/>
          <w:color w:val="000000" w:themeColor="text1"/>
        </w:rPr>
        <w:t xml:space="preserve"> cu 70</w:t>
      </w:r>
      <w:r w:rsidRPr="00E0488D">
        <w:t xml:space="preserve">% până în 2020, atunci când </w:t>
      </w:r>
      <w:r w:rsidRPr="00E0488D">
        <w:rPr>
          <w:rStyle w:val="hps"/>
          <w:rFonts w:cs="Arial"/>
          <w:color w:val="000000" w:themeColor="text1"/>
        </w:rPr>
        <w:t>vor fi posibile,în întregime</w:t>
      </w:r>
      <w:r w:rsidRPr="00E0488D">
        <w:t xml:space="preserve">,plecări </w:t>
      </w:r>
      <w:r w:rsidRPr="00E0488D">
        <w:rPr>
          <w:rStyle w:val="hps"/>
          <w:rFonts w:cs="Arial"/>
          <w:color w:val="000000" w:themeColor="text1"/>
        </w:rPr>
        <w:t>zilnice cu barje încărcărcate cu containere, din</w:t>
      </w:r>
      <w:r w:rsidRPr="00E0488D">
        <w:t xml:space="preserve"> </w:t>
      </w:r>
      <w:r w:rsidRPr="00E0488D">
        <w:rPr>
          <w:rStyle w:val="hps"/>
          <w:rFonts w:cs="Arial"/>
          <w:color w:val="000000" w:themeColor="text1"/>
        </w:rPr>
        <w:t>Constanta</w:t>
      </w:r>
      <w:r w:rsidRPr="00E0488D">
        <w:t xml:space="preserve"> cu destinația fie </w:t>
      </w:r>
      <w:r w:rsidRPr="00E0488D">
        <w:rPr>
          <w:rStyle w:val="hps"/>
          <w:rFonts w:cs="Arial"/>
          <w:color w:val="000000" w:themeColor="text1"/>
        </w:rPr>
        <w:t>Galati</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serviciu</w:t>
      </w:r>
      <w:r w:rsidRPr="00E0488D">
        <w:t xml:space="preserve"> de alimentare din centrul și vestul țării, care să se conecteze cu două sau trei porturi din România și alte porturi din Ungaria și Serbia.</w:t>
      </w:r>
    </w:p>
    <w:p w:rsidR="00BD59B2" w:rsidRPr="00E0488D" w:rsidRDefault="00BD59B2" w:rsidP="002B7E09">
      <w:pPr>
        <w:pStyle w:val="NumberedParas"/>
      </w:pPr>
      <w:r w:rsidRPr="00E0488D">
        <w:rPr>
          <w:rStyle w:val="hps"/>
          <w:rFonts w:cs="Arial"/>
          <w:color w:val="000000" w:themeColor="text1"/>
        </w:rPr>
        <w:t>Un</w:t>
      </w:r>
      <w:r w:rsidRPr="00E0488D">
        <w:t xml:space="preserve"> </w:t>
      </w:r>
      <w:r w:rsidRPr="00E0488D">
        <w:rPr>
          <w:rStyle w:val="hps"/>
          <w:rFonts w:cs="Arial"/>
          <w:color w:val="000000" w:themeColor="text1"/>
        </w:rPr>
        <w:t>stimulent</w:t>
      </w:r>
      <w:r w:rsidRPr="00E0488D">
        <w:t xml:space="preserve"> </w:t>
      </w:r>
      <w:r w:rsidRPr="00E0488D">
        <w:rPr>
          <w:rStyle w:val="hps"/>
          <w:rFonts w:cs="Arial"/>
          <w:color w:val="000000" w:themeColor="text1"/>
        </w:rPr>
        <w:t>suplimentar pentru</w:t>
      </w:r>
      <w:r w:rsidRPr="00E0488D">
        <w:t xml:space="preserve"> </w:t>
      </w:r>
      <w:r w:rsidRPr="00E0488D">
        <w:rPr>
          <w:rStyle w:val="hps"/>
          <w:rFonts w:cs="Arial"/>
          <w:color w:val="000000" w:themeColor="text1"/>
        </w:rPr>
        <w:t>dezvoltarea</w:t>
      </w:r>
      <w:r w:rsidRPr="00E0488D">
        <w:t xml:space="preserve"> transportului naval </w:t>
      </w:r>
      <w:r w:rsidRPr="00E0488D">
        <w:rPr>
          <w:rStyle w:val="hps"/>
          <w:rFonts w:cs="Arial"/>
          <w:color w:val="000000" w:themeColor="text1"/>
        </w:rPr>
        <w:t>de</w:t>
      </w:r>
      <w:r w:rsidRPr="00E0488D">
        <w:t xml:space="preserve"> </w:t>
      </w:r>
      <w:r w:rsidRPr="00E0488D">
        <w:rPr>
          <w:rStyle w:val="hps"/>
          <w:rFonts w:cs="Arial"/>
          <w:color w:val="000000" w:themeColor="text1"/>
        </w:rPr>
        <w:t>marfă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că mărfurile</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considerate 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importate</w:t>
      </w:r>
      <w:r w:rsidRPr="00E0488D">
        <w:t xml:space="preserve"> </w:t>
      </w:r>
      <w:r w:rsidRPr="00E0488D">
        <w:rPr>
          <w:rStyle w:val="hps"/>
          <w:rFonts w:cs="Arial"/>
          <w:color w:val="000000" w:themeColor="text1"/>
        </w:rPr>
        <w:t>până când nu</w:t>
      </w:r>
      <w:r w:rsidRPr="00E0488D">
        <w:t xml:space="preserve"> </w:t>
      </w:r>
      <w:r w:rsidRPr="00E0488D">
        <w:rPr>
          <w:rStyle w:val="hps"/>
          <w:rFonts w:cs="Arial"/>
          <w:color w:val="000000" w:themeColor="text1"/>
        </w:rPr>
        <w:t>sunt debarcate</w:t>
      </w:r>
      <w:r w:rsidRPr="00E0488D">
        <w:t xml:space="preserve">; </w:t>
      </w:r>
      <w:r w:rsidRPr="00E0488D">
        <w:rPr>
          <w:rStyle w:val="hps"/>
          <w:rFonts w:cs="Arial"/>
          <w:color w:val="000000" w:themeColor="text1"/>
        </w:rPr>
        <w:t>Astfel,</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transbordare</w:t>
      </w:r>
      <w:r w:rsidRPr="00E0488D">
        <w:t xml:space="preserve"> </w:t>
      </w:r>
      <w:r w:rsidRPr="00E0488D">
        <w:rPr>
          <w:rStyle w:val="hps"/>
          <w:rFonts w:cs="Arial"/>
          <w:color w:val="000000" w:themeColor="text1"/>
        </w:rPr>
        <w:t>pe barje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Constanța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apoi</w:t>
      </w:r>
      <w:r w:rsidRPr="00E0488D">
        <w:t xml:space="preserve"> </w:t>
      </w:r>
      <w:r w:rsidRPr="00E0488D">
        <w:rPr>
          <w:rStyle w:val="hps"/>
          <w:rFonts w:cs="Arial"/>
          <w:color w:val="000000" w:themeColor="text1"/>
        </w:rPr>
        <w:t>o descărcare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Drobeta</w:t>
      </w:r>
      <w:r w:rsidRPr="00E0488D">
        <w:t xml:space="preserve"> </w:t>
      </w:r>
      <w:r w:rsidRPr="00E0488D">
        <w:rPr>
          <w:rStyle w:val="hps"/>
          <w:rFonts w:cs="Arial"/>
          <w:color w:val="000000" w:themeColor="text1"/>
        </w:rPr>
        <w:t>ar putea reprezenta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zi</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două</w:t>
      </w:r>
      <w:r w:rsidRPr="00E0488D">
        <w:t xml:space="preserve"> </w:t>
      </w:r>
      <w:r w:rsidRPr="00E0488D">
        <w:rPr>
          <w:rStyle w:val="hps"/>
          <w:rFonts w:cs="Arial"/>
          <w:color w:val="000000" w:themeColor="text1"/>
        </w:rPr>
        <w:t>de navigare</w:t>
      </w:r>
      <w:r w:rsidRPr="00E0488D">
        <w:t xml:space="preserve">, unde nu se va aplica </w:t>
      </w:r>
      <w:r w:rsidRPr="00E0488D">
        <w:rPr>
          <w:rStyle w:val="hps"/>
          <w:rFonts w:cs="Arial"/>
          <w:color w:val="000000" w:themeColor="text1"/>
        </w:rPr>
        <w:t>TVA-ul</w:t>
      </w:r>
      <w:r w:rsidRPr="00E0488D">
        <w:t xml:space="preserve"> </w:t>
      </w:r>
      <w:r w:rsidRPr="00E0488D">
        <w:rPr>
          <w:rStyle w:val="hps"/>
          <w:rFonts w:cs="Arial"/>
          <w:color w:val="000000" w:themeColor="text1"/>
        </w:rPr>
        <w:t>pe</w:t>
      </w:r>
      <w:r w:rsidRPr="00E0488D">
        <w:t xml:space="preserve">ntru </w:t>
      </w:r>
      <w:r w:rsidRPr="00E0488D">
        <w:rPr>
          <w:rStyle w:val="hps"/>
          <w:rFonts w:cs="Arial"/>
          <w:color w:val="000000" w:themeColor="text1"/>
        </w:rPr>
        <w:t>costurile de transport</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ar putea reduce costurile</w:t>
      </w:r>
      <w:r w:rsidRPr="00E0488D">
        <w:t xml:space="preserve"> </w:t>
      </w:r>
      <w:r w:rsidRPr="00E0488D">
        <w:rPr>
          <w:rStyle w:val="hps"/>
          <w:rFonts w:cs="Arial"/>
          <w:color w:val="000000" w:themeColor="text1"/>
        </w:rPr>
        <w:t>și încuraja</w:t>
      </w:r>
      <w:r w:rsidRPr="00E0488D">
        <w:t xml:space="preserve"> </w:t>
      </w:r>
      <w:r w:rsidRPr="00E0488D">
        <w:rPr>
          <w:rStyle w:val="hps"/>
          <w:rFonts w:cs="Arial"/>
          <w:color w:val="000000" w:themeColor="text1"/>
        </w:rPr>
        <w:t>utilizarea</w:t>
      </w:r>
      <w:r w:rsidRPr="00E0488D">
        <w:t xml:space="preserve"> </w:t>
      </w:r>
      <w:r w:rsidRPr="00E0488D">
        <w:rPr>
          <w:rStyle w:val="hps"/>
          <w:rFonts w:cs="Arial"/>
          <w:color w:val="000000" w:themeColor="text1"/>
        </w:rPr>
        <w:t>sporită a</w:t>
      </w:r>
      <w:r w:rsidRPr="00E0488D">
        <w:t xml:space="preserve"> transportului naval de </w:t>
      </w:r>
      <w:r w:rsidRPr="00E0488D">
        <w:rPr>
          <w:rStyle w:val="hps"/>
          <w:rFonts w:cs="Arial"/>
          <w:color w:val="000000" w:themeColor="text1"/>
        </w:rPr>
        <w:t>marfă destul de</w:t>
      </w:r>
      <w:r w:rsidRPr="00E0488D">
        <w:t xml:space="preserve"> </w:t>
      </w:r>
      <w:r w:rsidRPr="00E0488D">
        <w:rPr>
          <w:rStyle w:val="hps"/>
          <w:rFonts w:cs="Arial"/>
          <w:color w:val="000000" w:themeColor="text1"/>
        </w:rPr>
        <w:t>substanțial</w:t>
      </w:r>
      <w:r w:rsidRPr="00E0488D">
        <w:t xml:space="preserve">, </w:t>
      </w:r>
      <w:r w:rsidRPr="00E0488D">
        <w:rPr>
          <w:rStyle w:val="hps"/>
          <w:rFonts w:cs="Arial"/>
          <w:color w:val="000000" w:themeColor="text1"/>
        </w:rPr>
        <w:t>întrucât</w:t>
      </w:r>
      <w:r w:rsidRPr="00E0488D">
        <w:t xml:space="preserve"> </w:t>
      </w:r>
      <w:r w:rsidRPr="00E0488D">
        <w:rPr>
          <w:rStyle w:val="hps"/>
          <w:rFonts w:cs="Arial"/>
          <w:color w:val="000000" w:themeColor="text1"/>
        </w:rPr>
        <w:t>o astfel de reducere a costurilor</w:t>
      </w:r>
      <w:r w:rsidRPr="00E0488D">
        <w:t xml:space="preserve"> </w:t>
      </w:r>
      <w:r w:rsidRPr="00E0488D">
        <w:rPr>
          <w:rStyle w:val="hps"/>
          <w:rFonts w:cs="Arial"/>
          <w:color w:val="000000" w:themeColor="text1"/>
        </w:rPr>
        <w:t>(</w:t>
      </w:r>
      <w:r w:rsidRPr="00E0488D">
        <w:t xml:space="preserve">aproximativ </w:t>
      </w:r>
      <w:r w:rsidRPr="00E0488D">
        <w:rPr>
          <w:rStyle w:val="hps"/>
          <w:rFonts w:cs="Arial"/>
          <w:color w:val="000000" w:themeColor="text1"/>
        </w:rPr>
        <w:t>20</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determina</w:t>
      </w:r>
      <w:r w:rsidRPr="00E0488D">
        <w:t xml:space="preserve"> </w:t>
      </w:r>
      <w:r w:rsidRPr="00E0488D">
        <w:rPr>
          <w:rStyle w:val="hps"/>
          <w:rFonts w:cs="Arial"/>
          <w:color w:val="000000" w:themeColor="text1"/>
        </w:rPr>
        <w:t>creșterea traficului</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modurile</w:t>
      </w:r>
      <w:r w:rsidRPr="00E0488D">
        <w:t xml:space="preserve"> </w:t>
      </w:r>
      <w:r w:rsidRPr="00E0488D">
        <w:rPr>
          <w:rStyle w:val="hps"/>
          <w:rFonts w:cs="Arial"/>
          <w:color w:val="000000" w:themeColor="text1"/>
        </w:rPr>
        <w:t>mai puțin</w:t>
      </w:r>
      <w:r w:rsidRPr="00E0488D">
        <w:t xml:space="preserve"> </w:t>
      </w:r>
      <w:r w:rsidRPr="00E0488D">
        <w:rPr>
          <w:rStyle w:val="hps"/>
          <w:rFonts w:cs="Arial"/>
          <w:color w:val="000000" w:themeColor="text1"/>
        </w:rPr>
        <w:t>sustenabile</w:t>
      </w:r>
      <w:r w:rsidRPr="00E0488D">
        <w:t xml:space="preserve">.  </w:t>
      </w:r>
    </w:p>
    <w:p w:rsidR="00BD59B2" w:rsidRPr="00E0488D" w:rsidRDefault="00BD59B2" w:rsidP="00BD59B2">
      <w:pPr>
        <w:pStyle w:val="Hdg3"/>
      </w:pPr>
      <w:r w:rsidRPr="00E0488D">
        <w:t>Terminalele propuse</w:t>
      </w:r>
    </w:p>
    <w:p w:rsidR="00BD59B2" w:rsidRPr="00E0488D" w:rsidRDefault="00BD59B2" w:rsidP="002B7E09">
      <w:pPr>
        <w:pStyle w:val="NumberedParas"/>
      </w:pPr>
      <w:r w:rsidRPr="00E0488D">
        <w:rPr>
          <w:rStyle w:val="hps"/>
          <w:rFonts w:cs="Arial"/>
          <w:color w:val="000000" w:themeColor="text1"/>
        </w:rPr>
        <w:t>Întrucât</w:t>
      </w:r>
      <w:r w:rsidRPr="00E0488D">
        <w:t xml:space="preserve"> </w:t>
      </w:r>
      <w:r w:rsidRPr="00E0488D">
        <w:rPr>
          <w:rStyle w:val="hps"/>
          <w:rFonts w:cs="Arial"/>
          <w:color w:val="000000" w:themeColor="text1"/>
        </w:rPr>
        <w:t>Dunărea</w:t>
      </w:r>
      <w:r w:rsidRPr="00E0488D">
        <w:t xml:space="preserve"> de</w:t>
      </w:r>
      <w:r w:rsidRPr="00E0488D">
        <w:rPr>
          <w:rStyle w:val="hps"/>
          <w:rFonts w:cs="Arial"/>
          <w:color w:val="000000" w:themeColor="text1"/>
        </w:rPr>
        <w:t>servește doar</w:t>
      </w:r>
      <w:r w:rsidRPr="00E0488D">
        <w:t xml:space="preserve"> partea extremă </w:t>
      </w:r>
      <w:r w:rsidRPr="00E0488D">
        <w:rPr>
          <w:rStyle w:val="hps"/>
          <w:rFonts w:cs="Arial"/>
          <w:color w:val="000000" w:themeColor="text1"/>
        </w:rPr>
        <w:t>sudică a țării</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rețea</w:t>
      </w:r>
      <w:r w:rsidRPr="00E0488D">
        <w:t xml:space="preserve"> </w:t>
      </w:r>
      <w:r w:rsidRPr="00E0488D">
        <w:rPr>
          <w:rStyle w:val="hps"/>
          <w:rFonts w:cs="Arial"/>
          <w:color w:val="000000" w:themeColor="text1"/>
        </w:rPr>
        <w:t>cu adevărat cuprinzătoare</w:t>
      </w:r>
      <w:r w:rsidRPr="00E0488D">
        <w:t xml:space="preserve"> va fi, de asemenea, </w:t>
      </w:r>
      <w:r w:rsidRPr="00E0488D">
        <w:rPr>
          <w:rStyle w:val="hps"/>
          <w:rFonts w:cs="Arial"/>
          <w:color w:val="000000" w:themeColor="text1"/>
        </w:rPr>
        <w:t>necesară realizarea mai</w:t>
      </w:r>
      <w:r w:rsidRPr="00E0488D">
        <w:t xml:space="preserve"> </w:t>
      </w:r>
      <w:r w:rsidRPr="00E0488D">
        <w:rPr>
          <w:rStyle w:val="hps"/>
          <w:rFonts w:cs="Arial"/>
          <w:color w:val="000000" w:themeColor="text1"/>
        </w:rPr>
        <w:t>multor 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feroviare/</w:t>
      </w:r>
      <w:r w:rsidRPr="00E0488D">
        <w:t xml:space="preserve"> </w:t>
      </w:r>
      <w:r w:rsidRPr="00E0488D">
        <w:rPr>
          <w:rStyle w:val="hps"/>
          <w:rFonts w:cs="Arial"/>
          <w:color w:val="000000" w:themeColor="text1"/>
        </w:rPr>
        <w:t>rutiere interne</w:t>
      </w:r>
      <w:r w:rsidRPr="00E0488D">
        <w:t>. La stabilirea l</w:t>
      </w:r>
      <w:r w:rsidRPr="00E0488D">
        <w:rPr>
          <w:rStyle w:val="hps"/>
          <w:rFonts w:cs="Arial"/>
          <w:color w:val="000000" w:themeColor="text1"/>
        </w:rPr>
        <w:t>ocului de amplasare a</w:t>
      </w:r>
      <w:r w:rsidRPr="00E0488D">
        <w:t xml:space="preserve"> </w:t>
      </w:r>
      <w:r w:rsidRPr="00E0488D">
        <w:rPr>
          <w:rStyle w:val="hps"/>
          <w:rFonts w:cs="Arial"/>
          <w:color w:val="000000" w:themeColor="text1"/>
        </w:rPr>
        <w:t>terminalelor</w:t>
      </w:r>
      <w:r w:rsidRPr="00E0488D">
        <w:t xml:space="preserve"> s-</w:t>
      </w:r>
      <w:r w:rsidRPr="00E0488D">
        <w:rPr>
          <w:rStyle w:val="hps"/>
          <w:rFonts w:cs="Arial"/>
          <w:color w:val="000000" w:themeColor="text1"/>
        </w:rPr>
        <w:t>a ținut</w:t>
      </w:r>
      <w:r w:rsidRPr="00E0488D">
        <w:t xml:space="preserve"> </w:t>
      </w:r>
      <w:r w:rsidRPr="00E0488D">
        <w:rPr>
          <w:rStyle w:val="hps"/>
          <w:rFonts w:cs="Arial"/>
          <w:color w:val="000000" w:themeColor="text1"/>
        </w:rPr>
        <w:t>cont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populația din apropiere</w:t>
      </w:r>
      <w:r w:rsidRPr="00E0488D">
        <w:t xml:space="preserve"> </w:t>
      </w:r>
      <w:r w:rsidRPr="00E0488D">
        <w:rPr>
          <w:rStyle w:val="hps"/>
          <w:rFonts w:cs="Arial"/>
          <w:color w:val="000000" w:themeColor="text1"/>
        </w:rPr>
        <w:t>și</w:t>
      </w:r>
      <w:r w:rsidRPr="00E0488D">
        <w:t xml:space="preserve"> de </w:t>
      </w:r>
      <w:r w:rsidRPr="00E0488D">
        <w:rPr>
          <w:rStyle w:val="hps"/>
          <w:rFonts w:cs="Arial"/>
          <w:color w:val="000000" w:themeColor="text1"/>
        </w:rPr>
        <w:t>industria existentă</w:t>
      </w:r>
      <w:r w:rsidRPr="00E0488D">
        <w:t xml:space="preserve"> </w:t>
      </w:r>
      <w:r w:rsidRPr="00E0488D">
        <w:rPr>
          <w:rStyle w:val="hps"/>
          <w:rFonts w:cs="Arial"/>
          <w:color w:val="000000" w:themeColor="text1"/>
        </w:rPr>
        <w:t>(de aici</w:t>
      </w:r>
      <w:r w:rsidRPr="00E0488D">
        <w:t xml:space="preserve"> </w:t>
      </w:r>
      <w:r w:rsidRPr="00E0488D">
        <w:rPr>
          <w:rStyle w:val="hps"/>
          <w:rFonts w:cs="Arial"/>
          <w:color w:val="000000" w:themeColor="text1"/>
        </w:rPr>
        <w:t>fluxurile</w:t>
      </w:r>
      <w:r w:rsidRPr="00E0488D">
        <w:t xml:space="preserve"> de mărfuri </w:t>
      </w:r>
      <w:r w:rsidRPr="00E0488D">
        <w:rPr>
          <w:rStyle w:val="hps"/>
          <w:rFonts w:cs="Arial"/>
          <w:color w:val="000000" w:themeColor="text1"/>
        </w:rPr>
        <w:t>containerizate</w:t>
      </w:r>
      <w:r w:rsidRPr="00E0488D">
        <w:t xml:space="preserve"> </w:t>
      </w:r>
      <w:r w:rsidRPr="00E0488D">
        <w:rPr>
          <w:rStyle w:val="hps"/>
          <w:rFonts w:cs="Arial"/>
          <w:color w:val="000000" w:themeColor="text1"/>
        </w:rPr>
        <w:t>actuale și potențiale</w:t>
      </w:r>
      <w:r w:rsidRPr="00E0488D">
        <w:t xml:space="preserve">), </w:t>
      </w:r>
      <w:r w:rsidRPr="00E0488D">
        <w:rPr>
          <w:rStyle w:val="hps"/>
          <w:rFonts w:cs="Arial"/>
          <w:color w:val="000000" w:themeColor="text1"/>
        </w:rPr>
        <w:t>dar și</w:t>
      </w:r>
      <w:r w:rsidRPr="00E0488D">
        <w:t xml:space="preserve"> pe baza</w:t>
      </w:r>
      <w:r w:rsidRPr="00E0488D">
        <w:rPr>
          <w:rStyle w:val="hps"/>
          <w:rFonts w:cs="Arial"/>
          <w:color w:val="000000" w:themeColor="text1"/>
        </w:rPr>
        <w:t xml:space="preserve"> infrastructurii existente</w:t>
      </w:r>
      <w:r w:rsidRPr="00E0488D">
        <w:t xml:space="preserve"> </w:t>
      </w:r>
      <w:r w:rsidRPr="00E0488D">
        <w:rPr>
          <w:rStyle w:val="hps"/>
          <w:rFonts w:cs="Arial"/>
          <w:color w:val="000000" w:themeColor="text1"/>
        </w:rPr>
        <w:t>potrivită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 xml:space="preserve">reabilitarea </w:t>
      </w:r>
      <w:r w:rsidRPr="00E0488D">
        <w:t>unui</w:t>
      </w:r>
      <w:r w:rsidRPr="00E0488D">
        <w:rPr>
          <w:rStyle w:val="hps"/>
          <w:rFonts w:cs="Arial"/>
          <w:color w:val="000000" w:themeColor="text1"/>
        </w:rPr>
        <w:t xml:space="preserve"> terminal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A fost</w:t>
      </w:r>
      <w:r w:rsidRPr="00E0488D">
        <w:t xml:space="preserve">, de asemenea, </w:t>
      </w:r>
      <w:r w:rsidRPr="00E0488D">
        <w:rPr>
          <w:rStyle w:val="hps"/>
          <w:rFonts w:cs="Arial"/>
          <w:color w:val="000000" w:themeColor="text1"/>
        </w:rPr>
        <w:t>important ca</w:t>
      </w:r>
      <w:r w:rsidRPr="00E0488D">
        <w:t xml:space="preserve"> </w:t>
      </w:r>
      <w:r w:rsidRPr="00E0488D">
        <w:rPr>
          <w:rStyle w:val="hps"/>
          <w:rFonts w:cs="Arial"/>
          <w:color w:val="000000" w:themeColor="text1"/>
        </w:rPr>
        <w:t>aceste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să ofere o acoperire</w:t>
      </w:r>
      <w:r w:rsidRPr="00E0488D">
        <w:t xml:space="preserve"> </w:t>
      </w:r>
      <w:r w:rsidRPr="00E0488D">
        <w:rPr>
          <w:rStyle w:val="hps"/>
          <w:rFonts w:cs="Arial"/>
          <w:color w:val="000000" w:themeColor="text1"/>
        </w:rPr>
        <w:t>geografică</w:t>
      </w:r>
      <w:r w:rsidRPr="00E0488D">
        <w:t xml:space="preserve"> </w:t>
      </w:r>
      <w:r w:rsidRPr="00E0488D">
        <w:rPr>
          <w:rStyle w:val="hps"/>
          <w:rFonts w:cs="Arial"/>
          <w:color w:val="000000" w:themeColor="text1"/>
        </w:rPr>
        <w:t>corespunzătoare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pentru a încuraja utilizarea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cursele de distanțe lungi din țară</w:t>
      </w:r>
      <w:r w:rsidRPr="00E0488D">
        <w:t>. Au fost evaluate p</w:t>
      </w:r>
      <w:r w:rsidRPr="00E0488D">
        <w:rPr>
          <w:rStyle w:val="hps"/>
          <w:rFonts w:cs="Arial"/>
          <w:color w:val="000000" w:themeColor="text1"/>
        </w:rPr>
        <w:t>rincipalele centre</w:t>
      </w:r>
      <w:r w:rsidRPr="00E0488D">
        <w:t xml:space="preserve"> </w:t>
      </w:r>
      <w:r w:rsidRPr="00E0488D">
        <w:rPr>
          <w:rStyle w:val="hps"/>
          <w:rFonts w:cs="Arial"/>
          <w:color w:val="000000" w:themeColor="text1"/>
        </w:rPr>
        <w:t>de populație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populația</w:t>
      </w:r>
      <w:r w:rsidRPr="00E0488D">
        <w:t xml:space="preserve">, </w:t>
      </w:r>
      <w:r w:rsidRPr="00E0488D">
        <w:rPr>
          <w:rStyle w:val="hps"/>
          <w:rFonts w:cs="Arial"/>
          <w:color w:val="000000" w:themeColor="text1"/>
        </w:rPr>
        <w:t>economia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facilitățile existente</w:t>
      </w:r>
      <w:r w:rsidRPr="00E0488D">
        <w:t xml:space="preserve">. </w:t>
      </w:r>
    </w:p>
    <w:p w:rsidR="00BD59B2" w:rsidRPr="00E0488D" w:rsidRDefault="00BD59B2" w:rsidP="002B7E09">
      <w:pPr>
        <w:pStyle w:val="NumberedParas"/>
      </w:pPr>
      <w:r w:rsidRPr="00E0488D">
        <w:rPr>
          <w:rStyle w:val="hps"/>
          <w:rFonts w:cs="Arial"/>
          <w:color w:val="000000" w:themeColor="text1"/>
        </w:rPr>
        <w:t>Cererea potențială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aceste terminale s-a bazat</w:t>
      </w:r>
      <w:r w:rsidRPr="00E0488D">
        <w:t xml:space="preserve"> </w:t>
      </w:r>
      <w:r w:rsidRPr="00E0488D">
        <w:rPr>
          <w:rStyle w:val="hps"/>
          <w:rFonts w:cs="Arial"/>
          <w:color w:val="000000" w:themeColor="text1"/>
        </w:rPr>
        <w:t>pe</w:t>
      </w:r>
      <w:r w:rsidRPr="00E0488D">
        <w:t xml:space="preserve"> fluxul maxim </w:t>
      </w:r>
      <w:r w:rsidRPr="00E0488D">
        <w:rPr>
          <w:rStyle w:val="hps"/>
          <w:rFonts w:cs="Arial"/>
          <w:color w:val="000000" w:themeColor="text1"/>
        </w:rPr>
        <w:t>potențial de</w:t>
      </w:r>
      <w:r w:rsidRPr="00E0488D">
        <w:t xml:space="preserve"> </w:t>
      </w:r>
      <w:r w:rsidRPr="00E0488D">
        <w:rPr>
          <w:rStyle w:val="hps"/>
          <w:rFonts w:cs="Arial"/>
          <w:color w:val="000000" w:themeColor="text1"/>
        </w:rPr>
        <w:t>mărfuri</w:t>
      </w:r>
      <w:r w:rsidRPr="00E0488D">
        <w:t xml:space="preserve"> </w:t>
      </w:r>
      <w:r w:rsidRPr="00E0488D">
        <w:rPr>
          <w:rStyle w:val="hps"/>
          <w:rFonts w:cs="Arial"/>
          <w:color w:val="000000" w:themeColor="text1"/>
        </w:rPr>
        <w:t>containerizate</w:t>
      </w:r>
      <w:r w:rsidRPr="00E0488D">
        <w:t xml:space="preserve"> </w:t>
      </w:r>
      <w:r w:rsidRPr="00E0488D">
        <w:rPr>
          <w:rStyle w:val="hps"/>
          <w:rFonts w:cs="Arial"/>
          <w:color w:val="000000" w:themeColor="text1"/>
        </w:rPr>
        <w:t>(</w:t>
      </w:r>
      <w:r w:rsidRPr="00E0488D">
        <w:t xml:space="preserve">2011) </w:t>
      </w:r>
      <w:r w:rsidRPr="00E0488D">
        <w:rPr>
          <w:rStyle w:val="hps"/>
          <w:rFonts w:cs="Arial"/>
          <w:color w:val="000000" w:themeColor="text1"/>
        </w:rPr>
        <w:t>din cadrul</w:t>
      </w:r>
      <w:r w:rsidRPr="00E0488D">
        <w:t xml:space="preserve"> </w:t>
      </w:r>
      <w:r w:rsidRPr="00E0488D">
        <w:rPr>
          <w:rStyle w:val="hps"/>
          <w:rFonts w:cs="Arial"/>
          <w:color w:val="000000" w:themeColor="text1"/>
        </w:rPr>
        <w:t>Modelului Național de Transport</w:t>
      </w:r>
      <w:r w:rsidRPr="00E0488D">
        <w:t xml:space="preserve">, </w:t>
      </w:r>
      <w:r w:rsidRPr="00E0488D">
        <w:rPr>
          <w:rStyle w:val="hps"/>
          <w:rFonts w:cs="Arial"/>
          <w:color w:val="000000" w:themeColor="text1"/>
        </w:rPr>
        <w:t>care a luat în</w:t>
      </w:r>
      <w:r w:rsidRPr="00E0488D">
        <w:t xml:space="preserve"> </w:t>
      </w:r>
      <w:r w:rsidRPr="00E0488D">
        <w:rPr>
          <w:rStyle w:val="hps"/>
          <w:rFonts w:cs="Arial"/>
          <w:color w:val="000000" w:themeColor="text1"/>
        </w:rPr>
        <w:t>considerare</w:t>
      </w:r>
      <w:r w:rsidRPr="00E0488D">
        <w:t xml:space="preserve"> fluxurile </w:t>
      </w:r>
      <w:r w:rsidRPr="00E0488D">
        <w:rPr>
          <w:rStyle w:val="hps"/>
          <w:rFonts w:cs="Arial"/>
          <w:color w:val="000000" w:themeColor="text1"/>
        </w:rPr>
        <w:t>potențiale ținând cont de ponderea mai mare a transportului feroviar</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fiecare</w:t>
      </w:r>
      <w:r w:rsidRPr="00E0488D">
        <w:t xml:space="preserve"> </w:t>
      </w:r>
      <w:r w:rsidRPr="00E0488D">
        <w:rPr>
          <w:rStyle w:val="hps"/>
          <w:rFonts w:cs="Arial"/>
          <w:color w:val="000000" w:themeColor="text1"/>
        </w:rPr>
        <w:t>grup</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corespunzătoare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containerizare</w:t>
      </w:r>
      <w:r w:rsidRPr="00E0488D">
        <w:t xml:space="preserve">. </w:t>
      </w:r>
      <w:r w:rsidRPr="00E0488D">
        <w:rPr>
          <w:rStyle w:val="hps"/>
          <w:rFonts w:cs="Arial"/>
          <w:color w:val="000000" w:themeColor="text1"/>
        </w:rPr>
        <w:t>Aceste fluxuri</w:t>
      </w:r>
      <w:r w:rsidRPr="00E0488D">
        <w:t xml:space="preserve"> </w:t>
      </w:r>
      <w:r w:rsidRPr="00E0488D">
        <w:rPr>
          <w:rStyle w:val="hps"/>
          <w:rFonts w:cs="Arial"/>
          <w:color w:val="000000" w:themeColor="text1"/>
        </w:rPr>
        <w:t>au fost calculate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rețeaua feroviară</w:t>
      </w:r>
      <w:r w:rsidRPr="00E0488D">
        <w:t xml:space="preserve"> </w:t>
      </w:r>
      <w:r w:rsidRPr="00E0488D">
        <w:rPr>
          <w:rStyle w:val="hps"/>
          <w:rFonts w:cs="Arial"/>
          <w:color w:val="000000" w:themeColor="text1"/>
        </w:rPr>
        <w:t>existentă</w:t>
      </w:r>
      <w:r w:rsidRPr="00E0488D">
        <w:t xml:space="preserve"> </w:t>
      </w:r>
      <w:r w:rsidRPr="00E0488D">
        <w:rPr>
          <w:rStyle w:val="hps"/>
          <w:rFonts w:cs="Arial"/>
          <w:color w:val="000000" w:themeColor="text1"/>
        </w:rPr>
        <w:t>în ceea ce privește</w:t>
      </w:r>
      <w:r w:rsidRPr="00E0488D">
        <w:t xml:space="preserve"> </w:t>
      </w:r>
      <w:r w:rsidRPr="00E0488D">
        <w:rPr>
          <w:rStyle w:val="hps"/>
          <w:rFonts w:cs="Arial"/>
          <w:color w:val="000000" w:themeColor="text1"/>
        </w:rPr>
        <w:t>viteza</w:t>
      </w:r>
      <w:r w:rsidRPr="00E0488D">
        <w:t xml:space="preserve"> </w:t>
      </w:r>
      <w:r w:rsidRPr="00E0488D">
        <w:rPr>
          <w:rStyle w:val="hps"/>
          <w:rFonts w:cs="Arial"/>
          <w:color w:val="000000" w:themeColor="text1"/>
        </w:rPr>
        <w:t>și terminalele</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fluxurile</w:t>
      </w:r>
      <w:r w:rsidRPr="00E0488D">
        <w:t xml:space="preserve"> produse astfel reprezintă</w:t>
      </w:r>
      <w:r w:rsidRPr="00E0488D">
        <w:rPr>
          <w:rStyle w:val="hps"/>
          <w:rFonts w:cs="Arial"/>
          <w:color w:val="000000" w:themeColor="text1"/>
        </w:rPr>
        <w:t xml:space="preserve"> un</w:t>
      </w:r>
      <w:r w:rsidRPr="00E0488D">
        <w:t xml:space="preserve"> </w:t>
      </w:r>
      <w:r w:rsidRPr="00E0488D">
        <w:rPr>
          <w:rStyle w:val="hps"/>
          <w:rFonts w:cs="Arial"/>
          <w:color w:val="000000" w:themeColor="text1"/>
        </w:rPr>
        <w:t>scenariu</w:t>
      </w:r>
      <w:r w:rsidRPr="00E0488D">
        <w:t xml:space="preserve"> </w:t>
      </w:r>
      <w:r w:rsidRPr="00E0488D">
        <w:rPr>
          <w:rStyle w:val="hps"/>
          <w:rFonts w:cs="Arial"/>
          <w:color w:val="000000" w:themeColor="text1"/>
        </w:rPr>
        <w:t>curent</w:t>
      </w:r>
      <w:r w:rsidRPr="00E0488D">
        <w:t xml:space="preserve"> </w:t>
      </w:r>
      <w:r w:rsidRPr="00E0488D">
        <w:rPr>
          <w:rStyle w:val="hps"/>
          <w:rFonts w:cs="Arial"/>
          <w:color w:val="000000" w:themeColor="text1"/>
        </w:rPr>
        <w:t>"</w:t>
      </w:r>
      <w:r w:rsidRPr="00E0488D">
        <w:t xml:space="preserve">cel mai bun </w:t>
      </w:r>
      <w:r w:rsidRPr="00E0488D">
        <w:rPr>
          <w:rStyle w:val="hps"/>
          <w:rFonts w:cs="Arial"/>
          <w:color w:val="000000" w:themeColor="text1"/>
        </w:rPr>
        <w:t>caz</w:t>
      </w:r>
      <w:r w:rsidRPr="00E0488D">
        <w:t xml:space="preserve">", </w:t>
      </w:r>
      <w:r w:rsidRPr="00E0488D">
        <w:rPr>
          <w:rStyle w:val="hps"/>
          <w:rFonts w:cs="Arial"/>
          <w:color w:val="000000" w:themeColor="text1"/>
        </w:rPr>
        <w:t>având în vedere starea</w:t>
      </w:r>
      <w:r w:rsidRPr="00E0488D">
        <w:t xml:space="preserve"> </w:t>
      </w:r>
      <w:r w:rsidRPr="00E0488D">
        <w:rPr>
          <w:rStyle w:val="hps"/>
          <w:rFonts w:cs="Arial"/>
          <w:color w:val="000000" w:themeColor="text1"/>
        </w:rPr>
        <w:t>rețelei feroviare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2011</w:t>
      </w:r>
      <w:r w:rsidRPr="00E0488D">
        <w:t xml:space="preserve"> </w:t>
      </w:r>
      <w:r w:rsidRPr="00E0488D">
        <w:rPr>
          <w:rStyle w:val="hps"/>
          <w:rFonts w:cs="Arial"/>
          <w:color w:val="000000" w:themeColor="text1"/>
        </w:rPr>
        <w:t>(</w:t>
      </w:r>
      <w:r w:rsidRPr="00E0488D">
        <w:t xml:space="preserve">anul de bază), </w:t>
      </w:r>
      <w:r w:rsidRPr="00E0488D">
        <w:rPr>
          <w:rStyle w:val="hps"/>
          <w:rFonts w:cs="Arial"/>
          <w:color w:val="000000" w:themeColor="text1"/>
        </w:rPr>
        <w:t>ele</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reprezentare corectă a</w:t>
      </w:r>
      <w:r w:rsidRPr="00E0488D">
        <w:t xml:space="preserve"> </w:t>
      </w:r>
      <w:r w:rsidRPr="00E0488D">
        <w:rPr>
          <w:rStyle w:val="hps"/>
          <w:rFonts w:cs="Arial"/>
          <w:color w:val="000000" w:themeColor="text1"/>
        </w:rPr>
        <w:t>ceea ce</w:t>
      </w:r>
      <w:r w:rsidRPr="00E0488D">
        <w:t xml:space="preserve"> </w:t>
      </w:r>
      <w:r w:rsidRPr="00E0488D">
        <w:rPr>
          <w:rStyle w:val="hps"/>
          <w:rFonts w:cs="Arial"/>
          <w:color w:val="000000" w:themeColor="text1"/>
        </w:rPr>
        <w:t>se poate aștepta</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fluxurile acestor</w:t>
      </w:r>
      <w:r w:rsidRPr="00E0488D">
        <w:t xml:space="preserve"> </w:t>
      </w:r>
      <w:r w:rsidRPr="00E0488D">
        <w:rPr>
          <w:rStyle w:val="hps"/>
          <w:rFonts w:cs="Arial"/>
          <w:color w:val="000000" w:themeColor="text1"/>
        </w:rPr>
        <w:t>mărfuri</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alte țări cu</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infrastructură</w:t>
      </w:r>
      <w:r w:rsidRPr="00E0488D">
        <w:t xml:space="preserve"> </w:t>
      </w:r>
      <w:r w:rsidRPr="00E0488D">
        <w:rPr>
          <w:rStyle w:val="hps"/>
          <w:rFonts w:cs="Arial"/>
          <w:color w:val="000000" w:themeColor="text1"/>
        </w:rPr>
        <w:t>–modală mai bine dezvoltată</w:t>
      </w:r>
      <w:r w:rsidRPr="00E0488D">
        <w:t xml:space="preserve">. </w:t>
      </w:r>
    </w:p>
    <w:p w:rsidR="00BD59B2" w:rsidRPr="00E0488D" w:rsidRDefault="00BD59B2" w:rsidP="002B7E09">
      <w:pPr>
        <w:pStyle w:val="NumberedParas"/>
      </w:pPr>
      <w:r w:rsidRPr="00E0488D">
        <w:rPr>
          <w:rStyle w:val="hps"/>
          <w:rFonts w:cs="Arial"/>
          <w:color w:val="000000" w:themeColor="text1"/>
        </w:rPr>
        <w:t>Există destul de mult spațiu  pentru</w:t>
      </w:r>
      <w:r w:rsidRPr="00E0488D">
        <w:t xml:space="preserve"> </w:t>
      </w:r>
      <w:r w:rsidRPr="00E0488D">
        <w:rPr>
          <w:rStyle w:val="hps"/>
          <w:rFonts w:cs="Arial"/>
          <w:color w:val="000000" w:themeColor="text1"/>
        </w:rPr>
        <w:t>creșterea volumului de mărfuri</w:t>
      </w:r>
      <w:r w:rsidRPr="00E0488D">
        <w:t xml:space="preserve"> </w:t>
      </w:r>
      <w:r w:rsidRPr="00E0488D">
        <w:rPr>
          <w:rStyle w:val="hps"/>
          <w:rFonts w:cs="Arial"/>
          <w:color w:val="000000" w:themeColor="text1"/>
        </w:rPr>
        <w:t>containerizate</w:t>
      </w:r>
      <w:r w:rsidRPr="00E0488D">
        <w:t xml:space="preserve">, </w:t>
      </w:r>
      <w:r w:rsidRPr="00E0488D">
        <w:rPr>
          <w:rStyle w:val="hps"/>
          <w:rFonts w:cs="Arial"/>
          <w:color w:val="000000" w:themeColor="text1"/>
        </w:rPr>
        <w:t>mai ales datorită faptului că acest tip de mărfuri</w:t>
      </w:r>
      <w:r w:rsidRPr="00E0488D">
        <w:t xml:space="preserve"> </w:t>
      </w:r>
      <w:r w:rsidRPr="00E0488D">
        <w:rPr>
          <w:rStyle w:val="hps"/>
          <w:rFonts w:cs="Arial"/>
          <w:color w:val="000000" w:themeColor="text1"/>
        </w:rPr>
        <w:t>joacă</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rol</w:t>
      </w:r>
      <w:r w:rsidRPr="00E0488D">
        <w:t xml:space="preserve"> </w:t>
      </w:r>
      <w:r w:rsidRPr="00E0488D">
        <w:rPr>
          <w:rStyle w:val="hps"/>
          <w:rFonts w:cs="Arial"/>
          <w:color w:val="000000" w:themeColor="text1"/>
        </w:rPr>
        <w:t>important în creșterea eficienței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reducerea costurilor</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transport.</w:t>
      </w:r>
      <w:r w:rsidRPr="00E0488D">
        <w:t xml:space="preserve"> </w:t>
      </w:r>
      <w:r w:rsidRPr="00E0488D">
        <w:rPr>
          <w:rStyle w:val="hps"/>
          <w:rFonts w:cs="Arial"/>
          <w:color w:val="000000" w:themeColor="text1"/>
        </w:rPr>
        <w:t>Populația</w:t>
      </w:r>
      <w:r w:rsidRPr="00E0488D">
        <w:t xml:space="preserve"> </w:t>
      </w:r>
      <w:r w:rsidRPr="00E0488D">
        <w:rPr>
          <w:rStyle w:val="hps"/>
          <w:rFonts w:cs="Arial"/>
          <w:color w:val="000000" w:themeColor="text1"/>
        </w:rPr>
        <w:t>din România</w:t>
      </w:r>
      <w:r w:rsidRPr="00E0488D">
        <w:t xml:space="preserve"> </w:t>
      </w:r>
      <w:r w:rsidRPr="00E0488D">
        <w:rPr>
          <w:rStyle w:val="hps"/>
          <w:rFonts w:cs="Arial"/>
          <w:color w:val="000000" w:themeColor="text1"/>
        </w:rPr>
        <w:t>este estimată</w:t>
      </w:r>
      <w:r w:rsidRPr="00E0488D">
        <w:t xml:space="preserve"> </w:t>
      </w:r>
      <w:r w:rsidRPr="00E0488D">
        <w:rPr>
          <w:rStyle w:val="hps"/>
          <w:rFonts w:cs="Arial"/>
          <w:color w:val="000000" w:themeColor="text1"/>
        </w:rPr>
        <w:t>să scadă cu</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1,5 milioane de</w:t>
      </w:r>
      <w:r w:rsidRPr="00E0488D">
        <w:t xml:space="preserve"> </w:t>
      </w:r>
      <w:r w:rsidRPr="00E0488D">
        <w:rPr>
          <w:rStyle w:val="hps"/>
          <w:rFonts w:cs="Arial"/>
          <w:color w:val="000000" w:themeColor="text1"/>
        </w:rPr>
        <w:t>persoane</w:t>
      </w:r>
      <w:r w:rsidRPr="00E0488D">
        <w:t xml:space="preserve"> </w:t>
      </w:r>
      <w:r w:rsidRPr="00E0488D">
        <w:rPr>
          <w:rStyle w:val="hps"/>
          <w:rFonts w:cs="Arial"/>
          <w:color w:val="000000" w:themeColor="text1"/>
        </w:rPr>
        <w:t>până în 2035</w:t>
      </w:r>
      <w:r w:rsidRPr="00E0488D">
        <w:t xml:space="preserve">, </w:t>
      </w:r>
      <w:r w:rsidRPr="00E0488D">
        <w:rPr>
          <w:rStyle w:val="hps"/>
          <w:rFonts w:cs="Arial"/>
          <w:color w:val="000000" w:themeColor="text1"/>
        </w:rPr>
        <w:t>în timp ce</w:t>
      </w:r>
      <w:r w:rsidRPr="00E0488D">
        <w:t xml:space="preserve"> </w:t>
      </w:r>
      <w:r w:rsidRPr="00E0488D">
        <w:rPr>
          <w:rStyle w:val="hps"/>
          <w:rFonts w:cs="Arial"/>
          <w:color w:val="000000" w:themeColor="text1"/>
        </w:rPr>
        <w:t>tendințele actuale</w:t>
      </w:r>
      <w:r w:rsidRPr="00E0488D">
        <w:t xml:space="preserve"> </w:t>
      </w:r>
      <w:r w:rsidRPr="00E0488D">
        <w:rPr>
          <w:rStyle w:val="hps"/>
          <w:rFonts w:cs="Arial"/>
          <w:color w:val="000000" w:themeColor="text1"/>
        </w:rPr>
        <w:t>indică o</w:t>
      </w:r>
      <w:r w:rsidRPr="00E0488D">
        <w:t xml:space="preserve"> </w:t>
      </w:r>
      <w:r w:rsidRPr="00E0488D">
        <w:rPr>
          <w:rStyle w:val="hps"/>
          <w:rFonts w:cs="Arial"/>
          <w:color w:val="000000" w:themeColor="text1"/>
        </w:rPr>
        <w:t>de-</w:t>
      </w:r>
      <w:r w:rsidRPr="00E0488D">
        <w:t xml:space="preserve">urbanizare </w:t>
      </w:r>
      <w:r w:rsidRPr="00E0488D">
        <w:rPr>
          <w:rStyle w:val="hps"/>
          <w:rFonts w:cs="Arial"/>
          <w:color w:val="000000" w:themeColor="text1"/>
        </w:rPr>
        <w:t>de-a lungul țării</w:t>
      </w:r>
      <w:r w:rsidRPr="00E0488D">
        <w:t xml:space="preserve">. </w:t>
      </w:r>
      <w:r w:rsidRPr="00E0488D">
        <w:rPr>
          <w:rStyle w:val="hps"/>
          <w:rFonts w:cs="Arial"/>
          <w:color w:val="000000" w:themeColor="text1"/>
        </w:rPr>
        <w:t>Containerizarea</w:t>
      </w:r>
      <w:r w:rsidRPr="00E0488D">
        <w:t xml:space="preserve"> </w:t>
      </w:r>
      <w:r w:rsidRPr="00E0488D">
        <w:rPr>
          <w:rStyle w:val="hps"/>
          <w:rFonts w:cs="Arial"/>
          <w:color w:val="000000" w:themeColor="text1"/>
        </w:rPr>
        <w:t>va oferi</w:t>
      </w:r>
      <w:r w:rsidRPr="00E0488D">
        <w:t xml:space="preserve"> </w:t>
      </w:r>
      <w:r w:rsidRPr="00E0488D">
        <w:rPr>
          <w:rStyle w:val="hps"/>
          <w:rFonts w:cs="Arial"/>
          <w:color w:val="000000" w:themeColor="text1"/>
        </w:rPr>
        <w:t>o modalitate importantă</w:t>
      </w:r>
      <w:r w:rsidRPr="00E0488D">
        <w:t xml:space="preserve"> </w:t>
      </w:r>
      <w:r w:rsidRPr="00E0488D">
        <w:rPr>
          <w:rStyle w:val="hps"/>
          <w:rFonts w:cs="Arial"/>
          <w:color w:val="000000" w:themeColor="text1"/>
        </w:rPr>
        <w:t>de menținere</w:t>
      </w:r>
      <w:r w:rsidRPr="00E0488D">
        <w:t xml:space="preserve"> </w:t>
      </w:r>
      <w:r w:rsidRPr="00E0488D">
        <w:rPr>
          <w:rStyle w:val="hps"/>
          <w:rFonts w:cs="Arial"/>
          <w:color w:val="000000" w:themeColor="text1"/>
        </w:rPr>
        <w:t>și îmbunătățire a</w:t>
      </w:r>
      <w:r w:rsidRPr="00E0488D">
        <w:t xml:space="preserve"> </w:t>
      </w:r>
      <w:r w:rsidRPr="00E0488D">
        <w:rPr>
          <w:rStyle w:val="hps"/>
          <w:rFonts w:cs="Arial"/>
          <w:color w:val="000000" w:themeColor="text1"/>
        </w:rPr>
        <w:t>standardelor de viață</w:t>
      </w:r>
      <w:r w:rsidRPr="00E0488D">
        <w:t xml:space="preserve">, prin </w:t>
      </w:r>
      <w:r w:rsidRPr="00E0488D">
        <w:rPr>
          <w:rStyle w:val="hps"/>
          <w:rFonts w:cs="Arial"/>
          <w:color w:val="000000" w:themeColor="text1"/>
        </w:rPr>
        <w:t>costuri</w:t>
      </w:r>
      <w:r w:rsidRPr="00E0488D">
        <w:t xml:space="preserve"> </w:t>
      </w:r>
      <w:r w:rsidRPr="00E0488D">
        <w:rPr>
          <w:rStyle w:val="hps"/>
          <w:rFonts w:cs="Arial"/>
          <w:color w:val="000000" w:themeColor="text1"/>
        </w:rPr>
        <w:t>mai mici pentru</w:t>
      </w:r>
      <w:r w:rsidRPr="00E0488D">
        <w:t xml:space="preserve"> </w:t>
      </w:r>
      <w:r w:rsidRPr="00E0488D">
        <w:rPr>
          <w:rStyle w:val="hps"/>
          <w:rFonts w:cs="Arial"/>
          <w:color w:val="000000" w:themeColor="text1"/>
        </w:rPr>
        <w:t>această rețea</w:t>
      </w:r>
      <w:r w:rsidRPr="00E0488D">
        <w:t xml:space="preserve"> </w:t>
      </w:r>
      <w:r w:rsidRPr="00E0488D">
        <w:rPr>
          <w:rStyle w:val="hps"/>
          <w:rFonts w:cs="Arial"/>
          <w:color w:val="000000" w:themeColor="text1"/>
        </w:rPr>
        <w:t>de distribuție</w:t>
      </w:r>
      <w:r w:rsidRPr="00E0488D">
        <w:t xml:space="preserve">, care </w:t>
      </w:r>
      <w:r w:rsidRPr="00E0488D">
        <w:rPr>
          <w:rStyle w:val="hps"/>
          <w:rFonts w:cs="Arial"/>
          <w:color w:val="000000" w:themeColor="text1"/>
        </w:rPr>
        <w:t>va</w:t>
      </w:r>
      <w:r w:rsidRPr="00E0488D">
        <w:t xml:space="preserve"> </w:t>
      </w:r>
      <w:r w:rsidRPr="00E0488D">
        <w:rPr>
          <w:rStyle w:val="hps"/>
          <w:rFonts w:cs="Arial"/>
          <w:color w:val="000000" w:themeColor="text1"/>
        </w:rPr>
        <w:t>trebui</w:t>
      </w:r>
      <w:r w:rsidRPr="00E0488D">
        <w:t xml:space="preserve"> </w:t>
      </w:r>
      <w:r w:rsidRPr="00E0488D">
        <w:rPr>
          <w:rStyle w:val="hps"/>
          <w:rFonts w:cs="Arial"/>
          <w:color w:val="000000" w:themeColor="text1"/>
        </w:rPr>
        <w:t>să deservească</w:t>
      </w:r>
      <w:r w:rsidRPr="00E0488D">
        <w:t xml:space="preserve"> </w:t>
      </w:r>
      <w:r w:rsidRPr="00E0488D">
        <w:rPr>
          <w:rStyle w:val="hps"/>
          <w:rFonts w:cs="Arial"/>
          <w:color w:val="000000" w:themeColor="text1"/>
        </w:rPr>
        <w:t>mai multe locuri,</w:t>
      </w:r>
      <w:r w:rsidRPr="00E0488D">
        <w:t xml:space="preserve"> </w:t>
      </w:r>
      <w:r w:rsidRPr="00E0488D">
        <w:rPr>
          <w:rStyle w:val="hps"/>
          <w:rFonts w:cs="Arial"/>
          <w:color w:val="000000" w:themeColor="text1"/>
        </w:rPr>
        <w:t>mai</w:t>
      </w:r>
      <w:r w:rsidRPr="00E0488D">
        <w:t xml:space="preserve"> </w:t>
      </w:r>
      <w:r w:rsidRPr="00E0488D">
        <w:rPr>
          <w:rStyle w:val="hps"/>
          <w:rFonts w:cs="Arial"/>
          <w:color w:val="000000" w:themeColor="text1"/>
        </w:rPr>
        <w:t>ieftin</w:t>
      </w:r>
      <w:r w:rsidRPr="00E0488D">
        <w:t xml:space="preserve">. </w:t>
      </w:r>
      <w:r w:rsidRPr="00E0488D">
        <w:rPr>
          <w:rStyle w:val="hps"/>
          <w:rFonts w:cs="Arial"/>
          <w:color w:val="000000" w:themeColor="text1"/>
        </w:rPr>
        <w:t>Cu toate acestea</w:t>
      </w:r>
      <w:r w:rsidRPr="00E0488D">
        <w:t xml:space="preserve">, </w:t>
      </w:r>
      <w:r w:rsidRPr="00E0488D">
        <w:rPr>
          <w:rStyle w:val="hps"/>
          <w:rFonts w:cs="Arial"/>
          <w:color w:val="000000" w:themeColor="text1"/>
        </w:rPr>
        <w:t>facilitățile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nu oferă</w:t>
      </w:r>
      <w:r w:rsidRPr="00E0488D">
        <w:t xml:space="preserve"> </w:t>
      </w:r>
      <w:r w:rsidRPr="00E0488D">
        <w:rPr>
          <w:rStyle w:val="hps"/>
          <w:rFonts w:cs="Arial"/>
          <w:color w:val="000000" w:themeColor="text1"/>
        </w:rPr>
        <w:t>posibilități de</w:t>
      </w:r>
      <w:r w:rsidRPr="00E0488D">
        <w:t xml:space="preserve"> </w:t>
      </w:r>
      <w:r w:rsidRPr="00E0488D">
        <w:rPr>
          <w:rStyle w:val="hps"/>
          <w:rFonts w:cs="Arial"/>
          <w:color w:val="000000" w:themeColor="text1"/>
        </w:rPr>
        <w:t>creșteri eficiente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ordonate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traficul de containere</w:t>
      </w:r>
      <w:r w:rsidRPr="00E0488D">
        <w:t>, iar cererea a</w:t>
      </w:r>
      <w:r w:rsidRPr="00E0488D">
        <w:rPr>
          <w:rStyle w:val="hps"/>
          <w:rFonts w:cs="Arial"/>
          <w:color w:val="000000" w:themeColor="text1"/>
        </w:rPr>
        <w:t>r</w:t>
      </w:r>
      <w:r w:rsidRPr="00E0488D">
        <w:t xml:space="preserve"> </w:t>
      </w:r>
      <w:r w:rsidRPr="00E0488D">
        <w:rPr>
          <w:rStyle w:val="hps"/>
          <w:rFonts w:cs="Arial"/>
          <w:color w:val="000000" w:themeColor="text1"/>
        </w:rPr>
        <w:t>putea fi satisfăcută în cazul în care</w:t>
      </w:r>
      <w:r w:rsidRPr="00E0488D">
        <w:t xml:space="preserve"> </w:t>
      </w:r>
      <w:r w:rsidRPr="00E0488D">
        <w:rPr>
          <w:rStyle w:val="hps"/>
          <w:rFonts w:cs="Arial"/>
          <w:color w:val="000000" w:themeColor="text1"/>
        </w:rPr>
        <w:t>mai multe</w:t>
      </w:r>
      <w:r w:rsidRPr="00E0488D">
        <w:t xml:space="preserve"> </w:t>
      </w:r>
      <w:r w:rsidRPr="00E0488D">
        <w:rPr>
          <w:rStyle w:val="hps"/>
          <w:rFonts w:cs="Arial"/>
          <w:color w:val="000000" w:themeColor="text1"/>
        </w:rPr>
        <w:t>industrii</w:t>
      </w:r>
      <w:r w:rsidRPr="00E0488D">
        <w:t xml:space="preserve"> ar </w:t>
      </w:r>
      <w:r w:rsidRPr="00E0488D">
        <w:rPr>
          <w:rStyle w:val="hps"/>
          <w:rFonts w:cs="Arial"/>
          <w:color w:val="000000" w:themeColor="text1"/>
        </w:rPr>
        <w:t>utiliza</w:t>
      </w:r>
      <w:r w:rsidRPr="00E0488D">
        <w:t xml:space="preserve"> transportul </w:t>
      </w:r>
      <w:r w:rsidRPr="00E0488D">
        <w:rPr>
          <w:rStyle w:val="hps"/>
          <w:rFonts w:cs="Arial"/>
          <w:color w:val="000000" w:themeColor="text1"/>
        </w:rPr>
        <w:t>feroviar</w:t>
      </w:r>
      <w:r w:rsidRPr="00E0488D">
        <w:t xml:space="preserve">, </w:t>
      </w:r>
      <w:r w:rsidRPr="00E0488D">
        <w:rPr>
          <w:rStyle w:val="hps"/>
          <w:rFonts w:cs="Arial"/>
          <w:color w:val="000000" w:themeColor="text1"/>
        </w:rPr>
        <w:t>date fiind condițiile</w:t>
      </w:r>
      <w:r w:rsidRPr="00E0488D">
        <w:t xml:space="preserve"> </w:t>
      </w:r>
      <w:r w:rsidRPr="00E0488D">
        <w:rPr>
          <w:rStyle w:val="hps"/>
          <w:rFonts w:cs="Arial"/>
          <w:color w:val="000000" w:themeColor="text1"/>
        </w:rPr>
        <w:t>lor de funcționare</w:t>
      </w:r>
      <w:r w:rsidRPr="00E0488D">
        <w:t xml:space="preserve"> </w:t>
      </w:r>
      <w:r w:rsidRPr="00E0488D">
        <w:rPr>
          <w:rStyle w:val="hps"/>
          <w:rFonts w:cs="Arial"/>
          <w:color w:val="000000" w:themeColor="text1"/>
        </w:rPr>
        <w:t>curente și</w:t>
      </w:r>
      <w:r w:rsidRPr="00E0488D">
        <w:t xml:space="preserve"> </w:t>
      </w:r>
      <w:r w:rsidRPr="00E0488D">
        <w:rPr>
          <w:rStyle w:val="hps"/>
          <w:rFonts w:cs="Arial"/>
          <w:color w:val="000000" w:themeColor="text1"/>
        </w:rPr>
        <w:t>locațiile acestora</w:t>
      </w:r>
      <w:r w:rsidRPr="00E0488D">
        <w:t xml:space="preserve">. </w:t>
      </w:r>
    </w:p>
    <w:p w:rsidR="00BD59B2" w:rsidRPr="00E0488D" w:rsidRDefault="00BD59B2" w:rsidP="002B7E09">
      <w:pPr>
        <w:pStyle w:val="NumberedParas"/>
      </w:pPr>
      <w:r w:rsidRPr="00E0488D">
        <w:rPr>
          <w:rStyle w:val="hps"/>
          <w:rFonts w:cs="Arial"/>
          <w:color w:val="000000" w:themeColor="text1"/>
        </w:rPr>
        <w:t>Acest lucru este demonstrat</w:t>
      </w:r>
      <w:r w:rsidRPr="00E0488D">
        <w:t xml:space="preserve"> </w:t>
      </w:r>
      <w:r w:rsidRPr="00E0488D">
        <w:rPr>
          <w:rStyle w:val="hps"/>
          <w:rFonts w:cs="Arial"/>
          <w:color w:val="000000" w:themeColor="text1"/>
        </w:rPr>
        <w:t>prin includerea</w:t>
      </w:r>
      <w:r w:rsidRPr="00E0488D">
        <w:t xml:space="preserve"> </w:t>
      </w:r>
      <w:r w:rsidRPr="00E0488D">
        <w:rPr>
          <w:rStyle w:val="hps"/>
          <w:rFonts w:cs="Arial"/>
          <w:color w:val="000000" w:themeColor="text1"/>
        </w:rPr>
        <w:t>cifrelor</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w:t>
      </w:r>
      <w:r w:rsidRPr="00E0488D">
        <w:t xml:space="preserve"> </w:t>
      </w:r>
      <w:r w:rsidRPr="00E0488D">
        <w:rPr>
          <w:rStyle w:val="hps"/>
          <w:rFonts w:cs="Arial"/>
          <w:color w:val="000000" w:themeColor="text1"/>
        </w:rPr>
        <w:t>transportul feroviar potențial de marfă</w:t>
      </w:r>
      <w:r w:rsidRPr="00E0488D">
        <w:t xml:space="preserve">", </w:t>
      </w:r>
      <w:r w:rsidRPr="00E0488D">
        <w:rPr>
          <w:rStyle w:val="hps"/>
          <w:rFonts w:cs="Arial"/>
          <w:color w:val="000000" w:themeColor="text1"/>
        </w:rPr>
        <w:t>care estimează</w:t>
      </w:r>
      <w:r w:rsidRPr="00E0488D">
        <w:t xml:space="preserve"> </w:t>
      </w:r>
      <w:r w:rsidRPr="00E0488D">
        <w:rPr>
          <w:rStyle w:val="hps"/>
          <w:rFonts w:cs="Arial"/>
          <w:color w:val="000000" w:themeColor="text1"/>
        </w:rPr>
        <w:t>volumul de</w:t>
      </w:r>
      <w:r w:rsidRPr="00E0488D">
        <w:t xml:space="preserve"> </w:t>
      </w:r>
      <w:r w:rsidRPr="00E0488D">
        <w:rPr>
          <w:rStyle w:val="hps"/>
          <w:rFonts w:cs="Arial"/>
          <w:color w:val="000000" w:themeColor="text1"/>
        </w:rPr>
        <w:t>trafic</w:t>
      </w:r>
      <w:r w:rsidRPr="00E0488D">
        <w:t xml:space="preserve"> </w:t>
      </w:r>
      <w:r w:rsidRPr="00E0488D">
        <w:rPr>
          <w:rStyle w:val="hps"/>
          <w:rFonts w:cs="Arial"/>
          <w:color w:val="000000" w:themeColor="text1"/>
        </w:rPr>
        <w:t>utilizat în</w:t>
      </w:r>
      <w:r w:rsidRPr="00E0488D">
        <w:t xml:space="preserve"> </w:t>
      </w:r>
      <w:r w:rsidRPr="00E0488D">
        <w:rPr>
          <w:rStyle w:val="hps"/>
          <w:rFonts w:cs="Arial"/>
          <w:color w:val="000000" w:themeColor="text1"/>
        </w:rPr>
        <w:t>fiecare terminal</w:t>
      </w:r>
      <w:r w:rsidRPr="00E0488D">
        <w:t xml:space="preserve"> </w:t>
      </w:r>
      <w:r w:rsidRPr="00E0488D">
        <w:rPr>
          <w:rStyle w:val="hps"/>
          <w:rFonts w:cs="Arial"/>
          <w:color w:val="000000" w:themeColor="text1"/>
        </w:rPr>
        <w:t>presupunând</w:t>
      </w:r>
      <w:r w:rsidRPr="00E0488D">
        <w:t xml:space="preserve"> </w:t>
      </w:r>
      <w:r w:rsidRPr="00E0488D">
        <w:rPr>
          <w:rStyle w:val="hps"/>
          <w:rFonts w:cs="Arial"/>
          <w:color w:val="000000" w:themeColor="text1"/>
        </w:rPr>
        <w:t>că există un volum semnificat de trafic de containere de-a lungul țării</w:t>
      </w:r>
      <w:r w:rsidRPr="00E0488D">
        <w:t xml:space="preserve">, </w:t>
      </w:r>
      <w:r w:rsidRPr="00E0488D">
        <w:rPr>
          <w:rStyle w:val="hps"/>
          <w:rFonts w:cs="Arial"/>
          <w:color w:val="000000" w:themeColor="text1"/>
        </w:rPr>
        <w:t>ca urmare a îmbunătățirii rețelei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infrastructurii</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distribuție</w:t>
      </w:r>
      <w:r w:rsidRPr="00E0488D">
        <w:t xml:space="preserve">. </w:t>
      </w:r>
      <w:r w:rsidRPr="00E0488D">
        <w:rPr>
          <w:rStyle w:val="hps"/>
          <w:rFonts w:cs="Arial"/>
          <w:color w:val="000000" w:themeColor="text1"/>
        </w:rPr>
        <w:t>Trebuie remarcat</w:t>
      </w:r>
      <w:r w:rsidRPr="00E0488D">
        <w:t xml:space="preserve"> </w:t>
      </w:r>
      <w:r w:rsidRPr="00E0488D">
        <w:rPr>
          <w:rStyle w:val="hps"/>
          <w:rFonts w:cs="Arial"/>
          <w:color w:val="000000" w:themeColor="text1"/>
        </w:rPr>
        <w:t>faptul că</w:t>
      </w:r>
      <w:r w:rsidRPr="00E0488D">
        <w:t xml:space="preserve"> </w:t>
      </w:r>
      <w:r w:rsidRPr="00E0488D">
        <w:rPr>
          <w:rStyle w:val="hps"/>
          <w:rFonts w:cs="Arial"/>
          <w:color w:val="000000" w:themeColor="text1"/>
        </w:rPr>
        <w:t>transportul feroviar potențial de marfă</w:t>
      </w:r>
      <w:r w:rsidRPr="00E0488D">
        <w:t xml:space="preserve"> </w:t>
      </w:r>
      <w:r w:rsidRPr="00E0488D">
        <w:rPr>
          <w:rStyle w:val="hps"/>
          <w:rFonts w:cs="Arial"/>
          <w:color w:val="000000" w:themeColor="text1"/>
        </w:rPr>
        <w:t>în containere</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reprezintă</w:t>
      </w:r>
      <w:r w:rsidRPr="00E0488D">
        <w:t xml:space="preserve"> </w:t>
      </w:r>
      <w:r w:rsidRPr="00E0488D">
        <w:rPr>
          <w:rStyle w:val="hps"/>
          <w:rFonts w:cs="Arial"/>
          <w:color w:val="000000" w:themeColor="text1"/>
        </w:rPr>
        <w:t>în mod explicit</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prognoză</w:t>
      </w:r>
      <w:r w:rsidRPr="00E0488D">
        <w:t xml:space="preserve">, </w:t>
      </w:r>
      <w:r w:rsidRPr="00E0488D">
        <w:rPr>
          <w:rStyle w:val="hps"/>
          <w:rFonts w:cs="Arial"/>
          <w:color w:val="000000" w:themeColor="text1"/>
        </w:rPr>
        <w:t>ci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indicație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rolul important pe care</w:t>
      </w:r>
      <w:r w:rsidRPr="00E0488D">
        <w:t xml:space="preserve"> l-</w:t>
      </w:r>
      <w:r w:rsidRPr="00E0488D">
        <w:rPr>
          <w:rStyle w:val="hps"/>
          <w:rFonts w:cs="Arial"/>
          <w:color w:val="000000" w:themeColor="text1"/>
        </w:rPr>
        <w:t>ar putea</w:t>
      </w:r>
      <w:r w:rsidRPr="00E0488D">
        <w:t xml:space="preserve"> </w:t>
      </w:r>
      <w:r w:rsidRPr="00E0488D">
        <w:rPr>
          <w:rStyle w:val="hps"/>
          <w:rFonts w:cs="Arial"/>
          <w:color w:val="000000" w:themeColor="text1"/>
        </w:rPr>
        <w:t>juca</w:t>
      </w:r>
      <w:r w:rsidRPr="00E0488D">
        <w:t xml:space="preserve"> transportul</w:t>
      </w:r>
      <w:r w:rsidRPr="00E0488D">
        <w:rPr>
          <w:rStyle w:val="hps"/>
          <w:rFonts w:cs="Arial"/>
          <w:color w:val="000000" w:themeColor="text1"/>
        </w:rPr>
        <w:t xml:space="preserve"> feroviar containerizat pentru</w:t>
      </w:r>
      <w:r w:rsidRPr="00E0488D">
        <w:t xml:space="preserve"> </w:t>
      </w:r>
      <w:r w:rsidRPr="00E0488D">
        <w:rPr>
          <w:rStyle w:val="hps"/>
          <w:rFonts w:cs="Arial"/>
          <w:color w:val="000000" w:themeColor="text1"/>
        </w:rPr>
        <w:t>distribuirea bunurilor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produselor fabricate</w:t>
      </w:r>
      <w:r w:rsidRPr="00E0488D">
        <w:t xml:space="preserve"> </w:t>
      </w:r>
      <w:r w:rsidRPr="00E0488D">
        <w:rPr>
          <w:rStyle w:val="hps"/>
          <w:rFonts w:cs="Arial"/>
          <w:color w:val="000000" w:themeColor="text1"/>
        </w:rPr>
        <w:t xml:space="preserve">în </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având în vedere</w:t>
      </w:r>
      <w:r w:rsidRPr="00E0488D">
        <w:t xml:space="preserve"> </w:t>
      </w:r>
      <w:r w:rsidRPr="00E0488D">
        <w:rPr>
          <w:rStyle w:val="hps"/>
          <w:rFonts w:cs="Arial"/>
          <w:color w:val="000000" w:themeColor="text1"/>
        </w:rPr>
        <w:t>condiții mai bune decât</w:t>
      </w:r>
      <w:r w:rsidRPr="00E0488D">
        <w:t xml:space="preserve"> cele </w:t>
      </w:r>
      <w:r w:rsidRPr="00E0488D">
        <w:rPr>
          <w:rStyle w:val="hps"/>
          <w:rFonts w:cs="Arial"/>
          <w:color w:val="000000" w:themeColor="text1"/>
        </w:rPr>
        <w:t>curente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ofertă</w:t>
      </w:r>
      <w:r w:rsidRPr="00E0488D">
        <w:t xml:space="preserve"> </w:t>
      </w:r>
      <w:r w:rsidRPr="00E0488D">
        <w:rPr>
          <w:rStyle w:val="hps"/>
          <w:rFonts w:cs="Arial"/>
          <w:color w:val="000000" w:themeColor="text1"/>
        </w:rPr>
        <w:t>mai competitivă</w:t>
      </w:r>
      <w:r w:rsidRPr="00E0488D">
        <w:t xml:space="preserve"> </w:t>
      </w:r>
      <w:r w:rsidRPr="00E0488D">
        <w:rPr>
          <w:rStyle w:val="hps"/>
          <w:rFonts w:cs="Arial"/>
          <w:color w:val="000000" w:themeColor="text1"/>
        </w:rPr>
        <w:t>în comparație</w:t>
      </w:r>
      <w:r w:rsidRPr="00E0488D">
        <w:t xml:space="preserve"> </w:t>
      </w:r>
      <w:r w:rsidRPr="00E0488D">
        <w:rPr>
          <w:rStyle w:val="hps"/>
          <w:rFonts w:cs="Arial"/>
          <w:color w:val="000000" w:themeColor="text1"/>
        </w:rPr>
        <w:t>cu transportul rutier</w:t>
      </w:r>
      <w:r w:rsidRPr="00E0488D">
        <w:t xml:space="preserve">. </w:t>
      </w:r>
    </w:p>
    <w:p w:rsidR="00BD59B2" w:rsidRPr="00E0488D" w:rsidRDefault="00BD59B2" w:rsidP="002B7E09">
      <w:pPr>
        <w:pStyle w:val="NumberedParas"/>
      </w:pPr>
      <w:r w:rsidRPr="00E0488D">
        <w:rPr>
          <w:rStyle w:val="hps"/>
          <w:rFonts w:cs="Arial"/>
          <w:color w:val="000000" w:themeColor="text1"/>
        </w:rPr>
        <w:t>Capacitatea</w:t>
      </w:r>
      <w:r w:rsidRPr="00E0488D">
        <w:t xml:space="preserve"> </w:t>
      </w:r>
      <w:r w:rsidRPr="00E0488D">
        <w:rPr>
          <w:rStyle w:val="hps"/>
          <w:rFonts w:cs="Arial"/>
          <w:color w:val="000000" w:themeColor="text1"/>
        </w:rPr>
        <w:t>actuală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existente s-a elaborat pe baza</w:t>
      </w:r>
      <w:r w:rsidRPr="00E0488D">
        <w:t xml:space="preserve"> </w:t>
      </w:r>
      <w:r w:rsidRPr="00E0488D">
        <w:rPr>
          <w:rStyle w:val="hps"/>
          <w:rFonts w:cs="Arial"/>
          <w:color w:val="000000" w:themeColor="text1"/>
        </w:rPr>
        <w:t>estimării</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funcționa</w:t>
      </w:r>
      <w:r w:rsidRPr="00E0488D">
        <w:t xml:space="preserve"> </w:t>
      </w:r>
      <w:r w:rsidRPr="00E0488D">
        <w:rPr>
          <w:rStyle w:val="hps"/>
          <w:rFonts w:cs="Arial"/>
          <w:color w:val="000000" w:themeColor="text1"/>
        </w:rPr>
        <w:t>timp de 300 de</w:t>
      </w:r>
      <w:r w:rsidRPr="00E0488D">
        <w:t xml:space="preserve"> </w:t>
      </w:r>
      <w:r w:rsidRPr="00E0488D">
        <w:rPr>
          <w:rStyle w:val="hps"/>
          <w:rFonts w:cs="Arial"/>
          <w:color w:val="000000" w:themeColor="text1"/>
        </w:rPr>
        <w:t>zile pe</w:t>
      </w:r>
      <w:r w:rsidRPr="00E0488D">
        <w:t xml:space="preserve"> </w:t>
      </w:r>
      <w:r w:rsidRPr="00E0488D">
        <w:rPr>
          <w:rStyle w:val="hps"/>
          <w:rFonts w:cs="Arial"/>
          <w:color w:val="000000" w:themeColor="text1"/>
        </w:rPr>
        <w:t>an</w:t>
      </w:r>
      <w:r w:rsidRPr="00E0488D">
        <w:t xml:space="preserve">, prin utilizarea vagoanelor de </w:t>
      </w:r>
      <w:r w:rsidRPr="00E0488D">
        <w:rPr>
          <w:rStyle w:val="hps"/>
          <w:rFonts w:cs="Arial"/>
          <w:color w:val="000000" w:themeColor="text1"/>
        </w:rPr>
        <w:t>douăzeci de</w:t>
      </w:r>
      <w:r w:rsidRPr="00E0488D">
        <w:t xml:space="preserve"> </w:t>
      </w:r>
      <w:r w:rsidRPr="00E0488D">
        <w:rPr>
          <w:rStyle w:val="hps"/>
          <w:rFonts w:cs="Arial"/>
          <w:color w:val="000000" w:themeColor="text1"/>
        </w:rPr>
        <w:t>metri care vor</w:t>
      </w:r>
      <w:r w:rsidRPr="00E0488D">
        <w:t xml:space="preserve"> </w:t>
      </w:r>
      <w:r w:rsidRPr="00E0488D">
        <w:rPr>
          <w:rStyle w:val="hps"/>
          <w:rFonts w:cs="Arial"/>
          <w:color w:val="000000" w:themeColor="text1"/>
        </w:rPr>
        <w:t>transporta pana la</w:t>
      </w:r>
      <w:r w:rsidRPr="00E0488D">
        <w:t xml:space="preserve"> </w:t>
      </w:r>
      <w:r w:rsidRPr="00E0488D">
        <w:rPr>
          <w:rStyle w:val="hps"/>
          <w:rFonts w:cs="Arial"/>
          <w:color w:val="000000" w:themeColor="text1"/>
        </w:rPr>
        <w:t>3</w:t>
      </w:r>
      <w:r w:rsidRPr="00E0488D">
        <w:t xml:space="preserve"> </w:t>
      </w:r>
      <w:r w:rsidRPr="00E0488D">
        <w:rPr>
          <w:rStyle w:val="hps"/>
          <w:rFonts w:cs="Arial"/>
          <w:color w:val="000000" w:themeColor="text1"/>
        </w:rPr>
        <w:t>TEU</w:t>
      </w:r>
      <w:r w:rsidRPr="00E0488D">
        <w:t xml:space="preserve"> </w:t>
      </w:r>
      <w:r w:rsidRPr="00E0488D">
        <w:rPr>
          <w:rStyle w:val="hps"/>
          <w:rFonts w:cs="Arial"/>
          <w:color w:val="000000" w:themeColor="text1"/>
        </w:rPr>
        <w:t>fiecare.</w:t>
      </w:r>
      <w:r w:rsidRPr="00E0488D">
        <w:t xml:space="preserve"> Nu s-au luat în considerare alte constrângeri </w:t>
      </w:r>
      <w:r w:rsidRPr="00E0488D">
        <w:rPr>
          <w:rStyle w:val="hps"/>
          <w:rFonts w:cs="Arial"/>
          <w:color w:val="000000" w:themeColor="text1"/>
        </w:rPr>
        <w:t xml:space="preserve">în afară de </w:t>
      </w:r>
      <w:r w:rsidRPr="00E0488D">
        <w:t>cele legate de</w:t>
      </w:r>
      <w:r w:rsidRPr="00E0488D">
        <w:rPr>
          <w:rStyle w:val="hps"/>
          <w:rFonts w:cs="Arial"/>
          <w:color w:val="000000" w:themeColor="text1"/>
        </w:rPr>
        <w:t xml:space="preserve"> liniile de garare</w:t>
      </w:r>
      <w:r w:rsidRPr="00E0488D">
        <w:t xml:space="preserve"> </w:t>
      </w:r>
      <w:r w:rsidRPr="00E0488D">
        <w:rPr>
          <w:rStyle w:val="hps"/>
          <w:rFonts w:cs="Arial"/>
          <w:color w:val="000000" w:themeColor="text1"/>
        </w:rPr>
        <w:t>și echipamentul de manevrare</w:t>
      </w:r>
      <w:r w:rsidRPr="00E0488D">
        <w:t xml:space="preserve">, cum ar fi </w:t>
      </w:r>
      <w:r w:rsidRPr="00E0488D">
        <w:rPr>
          <w:rStyle w:val="hps"/>
          <w:rFonts w:cs="Arial"/>
          <w:color w:val="000000" w:themeColor="text1"/>
        </w:rPr>
        <w:t>de</w:t>
      </w:r>
      <w:r w:rsidRPr="00E0488D">
        <w:t xml:space="preserve"> </w:t>
      </w:r>
      <w:r w:rsidRPr="00E0488D">
        <w:rPr>
          <w:rStyle w:val="hps"/>
          <w:rFonts w:cs="Arial"/>
          <w:color w:val="000000" w:themeColor="text1"/>
        </w:rPr>
        <w:t>exemplu</w:t>
      </w:r>
      <w:r w:rsidRPr="00E0488D">
        <w:t xml:space="preserve">, </w:t>
      </w:r>
      <w:r w:rsidRPr="00E0488D">
        <w:rPr>
          <w:rStyle w:val="hps"/>
          <w:rFonts w:cs="Arial"/>
          <w:color w:val="000000" w:themeColor="text1"/>
        </w:rPr>
        <w:t>starea</w:t>
      </w:r>
      <w:r w:rsidRPr="00E0488D">
        <w:t xml:space="preserve"> </w:t>
      </w:r>
      <w:r w:rsidRPr="00E0488D">
        <w:rPr>
          <w:rStyle w:val="hps"/>
          <w:rFonts w:cs="Arial"/>
          <w:color w:val="000000" w:themeColor="text1"/>
        </w:rPr>
        <w:t>platformelor de susținere</w:t>
      </w:r>
      <w:r w:rsidRPr="00E0488D">
        <w:t xml:space="preserve">.Întreaga lungime a </w:t>
      </w:r>
      <w:r w:rsidRPr="00E0488D">
        <w:rPr>
          <w:rStyle w:val="hps"/>
          <w:rFonts w:cs="Arial"/>
          <w:color w:val="000000" w:themeColor="text1"/>
        </w:rPr>
        <w:t>fiecărei linii de garare</w:t>
      </w:r>
      <w:r w:rsidRPr="00E0488D">
        <w:t xml:space="preserve"> </w:t>
      </w:r>
      <w:r w:rsidRPr="00E0488D">
        <w:rPr>
          <w:rStyle w:val="hps"/>
          <w:rFonts w:cs="Arial"/>
          <w:color w:val="000000" w:themeColor="text1"/>
        </w:rPr>
        <w:t>poate fi</w:t>
      </w:r>
      <w:r w:rsidRPr="00E0488D">
        <w:t xml:space="preserve"> </w:t>
      </w:r>
      <w:r w:rsidRPr="00E0488D">
        <w:rPr>
          <w:rStyle w:val="hps"/>
          <w:rFonts w:cs="Arial"/>
          <w:color w:val="000000" w:themeColor="text1"/>
        </w:rPr>
        <w:t>folosită de două ori</w:t>
      </w:r>
      <w:r w:rsidRPr="00E0488D">
        <w:t xml:space="preserve"> </w:t>
      </w:r>
      <w:r w:rsidRPr="00E0488D">
        <w:rPr>
          <w:rStyle w:val="hps"/>
          <w:rFonts w:cs="Arial"/>
          <w:color w:val="000000" w:themeColor="text1"/>
        </w:rPr>
        <w:t>pe zi,</w:t>
      </w:r>
      <w:r w:rsidRPr="00E0488D">
        <w:t xml:space="preserve"> </w:t>
      </w:r>
      <w:r w:rsidRPr="00E0488D">
        <w:rPr>
          <w:rStyle w:val="hps"/>
          <w:rFonts w:cs="Arial"/>
          <w:color w:val="000000" w:themeColor="text1"/>
        </w:rPr>
        <w:t>fie pentru</w:t>
      </w:r>
      <w:r w:rsidRPr="00E0488D">
        <w:t xml:space="preserve"> </w:t>
      </w:r>
      <w:r w:rsidRPr="00E0488D">
        <w:rPr>
          <w:rStyle w:val="hps"/>
          <w:rFonts w:cs="Arial"/>
          <w:color w:val="000000" w:themeColor="text1"/>
        </w:rPr>
        <w:t>încărcare</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descărcare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orice</w:t>
      </w:r>
      <w:r w:rsidRPr="00E0488D">
        <w:t xml:space="preserve"> </w:t>
      </w:r>
      <w:r w:rsidRPr="00E0488D">
        <w:rPr>
          <w:rStyle w:val="hps"/>
          <w:rFonts w:cs="Arial"/>
          <w:color w:val="000000" w:themeColor="text1"/>
        </w:rPr>
        <w:t>macarale</w:t>
      </w:r>
      <w:r w:rsidRPr="00E0488D">
        <w:t xml:space="preserve"> </w:t>
      </w:r>
      <w:r w:rsidRPr="00E0488D">
        <w:rPr>
          <w:rStyle w:val="hps"/>
          <w:rFonts w:cs="Arial"/>
          <w:color w:val="000000" w:themeColor="text1"/>
        </w:rPr>
        <w:t>operaționale</w:t>
      </w:r>
      <w:r w:rsidRPr="00E0488D">
        <w:t xml:space="preserve"> </w:t>
      </w:r>
      <w:r w:rsidRPr="00E0488D">
        <w:rPr>
          <w:rStyle w:val="hps"/>
          <w:rFonts w:cs="Arial"/>
          <w:color w:val="000000" w:themeColor="text1"/>
        </w:rPr>
        <w:t>în orice</w:t>
      </w:r>
      <w:r w:rsidRPr="00E0488D">
        <w:t xml:space="preserve"> </w:t>
      </w:r>
      <w:r w:rsidRPr="00E0488D">
        <w:rPr>
          <w:rStyle w:val="hps"/>
          <w:rFonts w:cs="Arial"/>
          <w:color w:val="000000" w:themeColor="text1"/>
        </w:rPr>
        <w:t>terminal</w:t>
      </w:r>
      <w:r w:rsidRPr="00E0488D">
        <w:t xml:space="preserve"> </w:t>
      </w:r>
      <w:r w:rsidRPr="00E0488D">
        <w:rPr>
          <w:rStyle w:val="hps"/>
          <w:rFonts w:cs="Arial"/>
          <w:color w:val="000000" w:themeColor="text1"/>
        </w:rPr>
        <w:t>dat</w:t>
      </w:r>
      <w:r w:rsidRPr="00E0488D">
        <w:t xml:space="preserve">. </w:t>
      </w:r>
      <w:r w:rsidRPr="00E0488D">
        <w:rPr>
          <w:rStyle w:val="hps"/>
          <w:rFonts w:cs="Arial"/>
          <w:color w:val="000000" w:themeColor="text1"/>
        </w:rPr>
        <w:t>Macaraua</w:t>
      </w:r>
      <w:r w:rsidRPr="00E0488D">
        <w:t xml:space="preserve"> </w:t>
      </w:r>
      <w:r w:rsidRPr="00E0488D">
        <w:rPr>
          <w:rStyle w:val="hps"/>
          <w:rFonts w:cs="Arial"/>
          <w:color w:val="000000" w:themeColor="text1"/>
        </w:rPr>
        <w:t>funcționează pe</w:t>
      </w:r>
      <w:r w:rsidRPr="00E0488D">
        <w:t xml:space="preserve"> media </w:t>
      </w:r>
      <w:r w:rsidRPr="00E0488D">
        <w:rPr>
          <w:rStyle w:val="hps"/>
          <w:rFonts w:cs="Arial"/>
          <w:color w:val="000000" w:themeColor="text1"/>
        </w:rPr>
        <w:t>curentă</w:t>
      </w:r>
      <w:r w:rsidRPr="00E0488D">
        <w:t xml:space="preserve"> </w:t>
      </w:r>
      <w:r w:rsidRPr="00E0488D">
        <w:rPr>
          <w:rStyle w:val="hps"/>
          <w:rFonts w:cs="Arial"/>
          <w:color w:val="000000" w:themeColor="text1"/>
        </w:rPr>
        <w:t>CFR Marfă, respectiv șapte</w:t>
      </w:r>
      <w:r w:rsidRPr="00E0488D">
        <w:t xml:space="preserve"> </w:t>
      </w:r>
      <w:r w:rsidRPr="00E0488D">
        <w:rPr>
          <w:rStyle w:val="hps"/>
          <w:rFonts w:cs="Arial"/>
          <w:color w:val="000000" w:themeColor="text1"/>
        </w:rPr>
        <w:t>minute pentru fiecare</w:t>
      </w:r>
      <w:r w:rsidRPr="00E0488D">
        <w:t xml:space="preserve"> </w:t>
      </w:r>
      <w:r w:rsidRPr="00E0488D">
        <w:rPr>
          <w:rStyle w:val="hps"/>
          <w:rFonts w:cs="Arial"/>
          <w:color w:val="000000" w:themeColor="text1"/>
        </w:rPr>
        <w:t>mutare TEU</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cele 12</w:t>
      </w:r>
      <w:r w:rsidRPr="00E0488D">
        <w:t xml:space="preserve"> </w:t>
      </w:r>
      <w:r w:rsidRPr="00E0488D">
        <w:rPr>
          <w:rStyle w:val="hps"/>
          <w:rFonts w:cs="Arial"/>
          <w:color w:val="000000" w:themeColor="text1"/>
        </w:rPr>
        <w:t>de ore de</w:t>
      </w:r>
      <w:r w:rsidRPr="00E0488D">
        <w:t xml:space="preserve"> </w:t>
      </w:r>
      <w:r w:rsidRPr="00E0488D">
        <w:rPr>
          <w:rStyle w:val="hps"/>
          <w:rFonts w:cs="Arial"/>
          <w:color w:val="000000" w:themeColor="text1"/>
        </w:rPr>
        <w:t>funcționare</w:t>
      </w:r>
      <w:r w:rsidRPr="00E0488D">
        <w:t xml:space="preserve"> </w:t>
      </w:r>
      <w:r w:rsidRPr="00E0488D">
        <w:rPr>
          <w:rStyle w:val="hps"/>
          <w:rFonts w:cs="Arial"/>
          <w:color w:val="000000" w:themeColor="text1"/>
        </w:rPr>
        <w:t>pe zi</w:t>
      </w:r>
      <w:r w:rsidRPr="00E0488D">
        <w:t xml:space="preserve"> </w:t>
      </w:r>
      <w:r w:rsidRPr="00E0488D">
        <w:rPr>
          <w:rStyle w:val="hps"/>
          <w:rFonts w:cs="Arial"/>
          <w:color w:val="000000" w:themeColor="text1"/>
        </w:rPr>
        <w:t>existente</w:t>
      </w:r>
      <w:r w:rsidRPr="00E0488D">
        <w:t xml:space="preserve">. </w:t>
      </w:r>
    </w:p>
    <w:p w:rsidR="00BD59B2" w:rsidRPr="00E0488D" w:rsidRDefault="00BD59B2" w:rsidP="002B7E09">
      <w:pPr>
        <w:pStyle w:val="NumberedParas"/>
      </w:pPr>
      <w:r w:rsidRPr="00E0488D">
        <w:rPr>
          <w:rStyle w:val="hps"/>
          <w:rFonts w:cs="Arial"/>
          <w:color w:val="000000" w:themeColor="text1"/>
        </w:rPr>
        <w:t>Prin</w:t>
      </w:r>
      <w:r w:rsidRPr="00E0488D">
        <w:t xml:space="preserve"> </w:t>
      </w:r>
      <w:r w:rsidRPr="00E0488D">
        <w:rPr>
          <w:rStyle w:val="hps"/>
          <w:rFonts w:cs="Arial"/>
          <w:color w:val="000000" w:themeColor="text1"/>
        </w:rPr>
        <w:t>contrast</w:t>
      </w:r>
      <w:r w:rsidRPr="00E0488D">
        <w:t xml:space="preserve"> </w:t>
      </w:r>
      <w:r w:rsidRPr="00E0488D">
        <w:rPr>
          <w:rStyle w:val="hps"/>
          <w:rFonts w:cs="Arial"/>
          <w:color w:val="000000" w:themeColor="text1"/>
        </w:rPr>
        <w:t>capacitatea din</w:t>
      </w:r>
      <w:r w:rsidRPr="00E0488D">
        <w:t xml:space="preserve"> </w:t>
      </w:r>
      <w:r w:rsidRPr="00E0488D">
        <w:rPr>
          <w:rStyle w:val="hps"/>
          <w:rFonts w:cs="Arial"/>
          <w:color w:val="000000" w:themeColor="text1"/>
        </w:rPr>
        <w:t>"</w:t>
      </w:r>
      <w:r w:rsidRPr="00E0488D">
        <w:t xml:space="preserve">cele mai bune practici", </w:t>
      </w:r>
      <w:r w:rsidRPr="00E0488D">
        <w:rPr>
          <w:rStyle w:val="hps"/>
          <w:rFonts w:cs="Arial"/>
          <w:color w:val="000000" w:themeColor="text1"/>
        </w:rPr>
        <w:t>dezvoltată</w:t>
      </w:r>
      <w:r w:rsidRPr="00E0488D">
        <w:t xml:space="preserve"> </w:t>
      </w:r>
      <w:r w:rsidRPr="00E0488D">
        <w:rPr>
          <w:rStyle w:val="hps"/>
          <w:rFonts w:cs="Arial"/>
          <w:color w:val="000000" w:themeColor="text1"/>
        </w:rPr>
        <w:t>în cadrul scenariului privind</w:t>
      </w:r>
      <w:r w:rsidRPr="00E0488D">
        <w:t xml:space="preserve"> cererea </w:t>
      </w:r>
      <w:r w:rsidRPr="00E0488D">
        <w:rPr>
          <w:rStyle w:val="hps"/>
          <w:rFonts w:cs="Arial"/>
          <w:color w:val="000000" w:themeColor="text1"/>
        </w:rPr>
        <w:t>potențială de transport feroviar</w:t>
      </w:r>
      <w:r w:rsidRPr="00E0488D">
        <w:t xml:space="preserve">, </w:t>
      </w:r>
      <w:r w:rsidRPr="00E0488D">
        <w:rPr>
          <w:rStyle w:val="hps"/>
          <w:rFonts w:cs="Arial"/>
          <w:color w:val="000000" w:themeColor="text1"/>
        </w:rPr>
        <w:t>a propus ca</w:t>
      </w:r>
      <w:r w:rsidRPr="00E0488D">
        <w:t xml:space="preserve"> </w:t>
      </w:r>
      <w:r w:rsidRPr="00E0488D">
        <w:rPr>
          <w:rStyle w:val="hps"/>
          <w:rFonts w:cs="Arial"/>
          <w:color w:val="000000" w:themeColor="text1"/>
        </w:rPr>
        <w:t>fiecare</w:t>
      </w:r>
      <w:r w:rsidRPr="00E0488D">
        <w:t xml:space="preserve"> </w:t>
      </w:r>
      <w:r w:rsidRPr="00E0488D">
        <w:rPr>
          <w:rStyle w:val="hps"/>
          <w:rFonts w:cs="Arial"/>
          <w:color w:val="000000" w:themeColor="text1"/>
        </w:rPr>
        <w:t>linie de garare să poată fi folosită</w:t>
      </w:r>
      <w:r w:rsidRPr="00E0488D">
        <w:t xml:space="preserve"> </w:t>
      </w:r>
      <w:r w:rsidRPr="00E0488D">
        <w:rPr>
          <w:rStyle w:val="hps"/>
          <w:rFonts w:cs="Arial"/>
          <w:color w:val="000000" w:themeColor="text1"/>
        </w:rPr>
        <w:t>până la șase</w:t>
      </w:r>
      <w:r w:rsidRPr="00E0488D">
        <w:t xml:space="preserve"> </w:t>
      </w:r>
      <w:r w:rsidRPr="00E0488D">
        <w:rPr>
          <w:rStyle w:val="hps"/>
          <w:rFonts w:cs="Arial"/>
          <w:color w:val="000000" w:themeColor="text1"/>
        </w:rPr>
        <w:t>ori pe</w:t>
      </w:r>
      <w:r w:rsidRPr="00E0488D">
        <w:t xml:space="preserve"> </w:t>
      </w:r>
      <w:r w:rsidRPr="00E0488D">
        <w:rPr>
          <w:rStyle w:val="hps"/>
          <w:rFonts w:cs="Arial"/>
          <w:color w:val="000000" w:themeColor="text1"/>
        </w:rPr>
        <w:t>zi</w:t>
      </w:r>
      <w:r w:rsidRPr="00E0488D">
        <w:t xml:space="preserve">, </w:t>
      </w:r>
      <w:r w:rsidRPr="00E0488D">
        <w:rPr>
          <w:rStyle w:val="hps"/>
          <w:rFonts w:cs="Arial"/>
          <w:color w:val="000000" w:themeColor="text1"/>
        </w:rPr>
        <w:t>unde</w:t>
      </w:r>
      <w:r w:rsidRPr="00E0488D">
        <w:t xml:space="preserve"> </w:t>
      </w:r>
      <w:r w:rsidRPr="00E0488D">
        <w:rPr>
          <w:rStyle w:val="hps"/>
          <w:rFonts w:cs="Arial"/>
          <w:color w:val="000000" w:themeColor="text1"/>
        </w:rPr>
        <w:t>toate macaralele</w:t>
      </w:r>
      <w:r w:rsidRPr="00E0488D">
        <w:t xml:space="preserve"> </w:t>
      </w:r>
      <w:r w:rsidRPr="00E0488D">
        <w:rPr>
          <w:rStyle w:val="hps"/>
          <w:rFonts w:cs="Arial"/>
          <w:color w:val="000000" w:themeColor="text1"/>
        </w:rPr>
        <w:t>existente</w:t>
      </w:r>
      <w:r w:rsidRPr="00E0488D">
        <w:t xml:space="preserve"> </w:t>
      </w:r>
      <w:r w:rsidRPr="00E0488D">
        <w:rPr>
          <w:rStyle w:val="hps"/>
          <w:rFonts w:cs="Arial"/>
          <w:color w:val="000000" w:themeColor="text1"/>
        </w:rPr>
        <w:t>readuse la</w:t>
      </w:r>
      <w:r w:rsidRPr="00E0488D">
        <w:t xml:space="preserve"> </w:t>
      </w:r>
      <w:r w:rsidRPr="00E0488D">
        <w:rPr>
          <w:rStyle w:val="hps"/>
          <w:rFonts w:cs="Arial"/>
          <w:color w:val="000000" w:themeColor="text1"/>
        </w:rPr>
        <w:t>stare de funcționare</w:t>
      </w:r>
      <w:r w:rsidRPr="00E0488D">
        <w:t xml:space="preserve"> </w:t>
      </w:r>
      <w:r w:rsidRPr="00E0488D">
        <w:rPr>
          <w:rStyle w:val="hps"/>
          <w:rFonts w:cs="Arial"/>
          <w:color w:val="000000" w:themeColor="text1"/>
        </w:rPr>
        <w:t>să manevreze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cutie</w:t>
      </w:r>
      <w:r w:rsidRPr="00E0488D">
        <w:t xml:space="preserve"> </w:t>
      </w:r>
      <w:r w:rsidRPr="00E0488D">
        <w:rPr>
          <w:rStyle w:val="hps"/>
          <w:rFonts w:cs="Arial"/>
          <w:color w:val="000000" w:themeColor="text1"/>
        </w:rPr>
        <w:t>în trei minute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conformitate cu</w:t>
      </w:r>
      <w:r w:rsidRPr="00E0488D">
        <w:t xml:space="preserve"> </w:t>
      </w:r>
      <w:r w:rsidRPr="00E0488D">
        <w:rPr>
          <w:rStyle w:val="hps"/>
          <w:rFonts w:cs="Arial"/>
          <w:color w:val="000000" w:themeColor="text1"/>
        </w:rPr>
        <w:t>cele mai bune practici</w:t>
      </w:r>
      <w:r w:rsidRPr="00E0488D">
        <w:t xml:space="preserve"> </w:t>
      </w:r>
      <w:r w:rsidRPr="00E0488D">
        <w:rPr>
          <w:rStyle w:val="hps"/>
          <w:rFonts w:cs="Arial"/>
          <w:color w:val="000000" w:themeColor="text1"/>
        </w:rPr>
        <w:t>internaționale</w:t>
      </w:r>
      <w:r w:rsidRPr="00E0488D">
        <w:t xml:space="preserve">. </w:t>
      </w:r>
      <w:r w:rsidRPr="00E0488D">
        <w:rPr>
          <w:rStyle w:val="hps"/>
          <w:rFonts w:cs="Arial"/>
          <w:color w:val="000000" w:themeColor="text1"/>
        </w:rPr>
        <w:t>Scopul a fost</w:t>
      </w:r>
      <w:r w:rsidRPr="00E0488D">
        <w:t xml:space="preserve"> </w:t>
      </w:r>
      <w:r w:rsidRPr="00E0488D">
        <w:rPr>
          <w:rStyle w:val="hps"/>
          <w:rFonts w:cs="Arial"/>
          <w:color w:val="000000" w:themeColor="text1"/>
        </w:rPr>
        <w:t>evaluarea faptului</w:t>
      </w:r>
      <w:r w:rsidRPr="00E0488D">
        <w:t xml:space="preserve"> </w:t>
      </w:r>
      <w:r w:rsidRPr="00E0488D">
        <w:rPr>
          <w:rStyle w:val="hps"/>
          <w:rFonts w:cs="Arial"/>
          <w:color w:val="000000" w:themeColor="text1"/>
        </w:rPr>
        <w:t>dacă</w:t>
      </w:r>
      <w:r w:rsidRPr="00E0488D">
        <w:t xml:space="preserve"> </w:t>
      </w:r>
      <w:r w:rsidRPr="00E0488D">
        <w:rPr>
          <w:rStyle w:val="hps"/>
          <w:rFonts w:cs="Arial"/>
          <w:color w:val="000000" w:themeColor="text1"/>
        </w:rPr>
        <w:t>instalațiile sunt sau nu în măsură</w:t>
      </w:r>
      <w:r w:rsidRPr="00E0488D">
        <w:t xml:space="preserve"> </w:t>
      </w:r>
      <w:r w:rsidRPr="00E0488D">
        <w:rPr>
          <w:rStyle w:val="hps"/>
          <w:rFonts w:cs="Arial"/>
          <w:color w:val="000000" w:themeColor="text1"/>
        </w:rPr>
        <w:t>să facă față</w:t>
      </w:r>
      <w:r w:rsidRPr="00E0488D">
        <w:t xml:space="preserve"> </w:t>
      </w:r>
      <w:r w:rsidRPr="00E0488D">
        <w:rPr>
          <w:rStyle w:val="hps"/>
          <w:rFonts w:cs="Arial"/>
          <w:color w:val="000000" w:themeColor="text1"/>
        </w:rPr>
        <w:t>unei</w:t>
      </w:r>
      <w:r w:rsidRPr="00E0488D">
        <w:t xml:space="preserve"> </w:t>
      </w:r>
      <w:r w:rsidRPr="00E0488D">
        <w:rPr>
          <w:rStyle w:val="hps"/>
          <w:rFonts w:cs="Arial"/>
          <w:color w:val="000000" w:themeColor="text1"/>
        </w:rPr>
        <w:t>creșteri semnificative în</w:t>
      </w:r>
      <w:r w:rsidRPr="00E0488D">
        <w:t xml:space="preserve"> </w:t>
      </w:r>
      <w:r w:rsidRPr="00E0488D">
        <w:rPr>
          <w:rStyle w:val="hps"/>
          <w:rFonts w:cs="Arial"/>
          <w:color w:val="000000" w:themeColor="text1"/>
        </w:rPr>
        <w:t>utilizarea</w:t>
      </w:r>
      <w:r w:rsidRPr="00E0488D">
        <w:t xml:space="preserve"> </w:t>
      </w:r>
      <w:r w:rsidRPr="00E0488D">
        <w:rPr>
          <w:rStyle w:val="hps"/>
          <w:rFonts w:cs="Arial"/>
          <w:color w:val="000000" w:themeColor="text1"/>
        </w:rPr>
        <w:t>chiar și în condiții</w:t>
      </w:r>
      <w:r w:rsidRPr="00E0488D">
        <w:t xml:space="preserve"> </w:t>
      </w:r>
      <w:r w:rsidRPr="00E0488D">
        <w:rPr>
          <w:rStyle w:val="hps"/>
          <w:rFonts w:cs="Arial"/>
          <w:color w:val="000000" w:themeColor="text1"/>
        </w:rPr>
        <w:t>de exploatare</w:t>
      </w:r>
      <w:r w:rsidRPr="00E0488D">
        <w:t xml:space="preserve"> </w:t>
      </w:r>
      <w:r w:rsidRPr="00E0488D">
        <w:rPr>
          <w:rStyle w:val="hps"/>
          <w:rFonts w:cs="Arial"/>
          <w:color w:val="000000" w:themeColor="text1"/>
        </w:rPr>
        <w:t>îmbunătățită</w:t>
      </w:r>
      <w:r w:rsidRPr="00E0488D">
        <w:t xml:space="preserve">. </w:t>
      </w:r>
    </w:p>
    <w:p w:rsidR="00BD59B2" w:rsidRPr="00E0488D" w:rsidRDefault="00BD59B2" w:rsidP="002B7E09">
      <w:pPr>
        <w:pStyle w:val="NumberedParas"/>
        <w:rPr>
          <w:rStyle w:val="hps"/>
        </w:rPr>
      </w:pPr>
      <w:r w:rsidRPr="00E0488D">
        <w:rPr>
          <w:rStyle w:val="hps"/>
          <w:rFonts w:cs="Arial"/>
          <w:color w:val="000000" w:themeColor="text1"/>
        </w:rPr>
        <w:t>În</w:t>
      </w:r>
      <w:r w:rsidRPr="00E0488D">
        <w:t xml:space="preserve"> </w:t>
      </w:r>
      <w:r w:rsidRPr="00E0488D">
        <w:rPr>
          <w:rStyle w:val="hps"/>
          <w:rFonts w:cs="Arial"/>
          <w:color w:val="000000" w:themeColor="text1"/>
        </w:rPr>
        <w:t>situațiile în care</w:t>
      </w:r>
      <w:r w:rsidRPr="00E0488D">
        <w:t xml:space="preserve"> </w:t>
      </w:r>
      <w:r w:rsidRPr="00E0488D">
        <w:rPr>
          <w:rStyle w:val="hps"/>
          <w:rFonts w:cs="Arial"/>
          <w:color w:val="000000" w:themeColor="text1"/>
        </w:rPr>
        <w:t>a existat</w:t>
      </w:r>
      <w:r w:rsidRPr="00E0488D">
        <w:t xml:space="preserve"> </w:t>
      </w:r>
      <w:r w:rsidRPr="00E0488D">
        <w:rPr>
          <w:rStyle w:val="hps"/>
          <w:rFonts w:cs="Arial"/>
          <w:color w:val="000000" w:themeColor="text1"/>
        </w:rPr>
        <w:t>un deficit</w:t>
      </w:r>
      <w:r w:rsidRPr="00E0488D">
        <w:t xml:space="preserve"> </w:t>
      </w:r>
      <w:r w:rsidRPr="00E0488D">
        <w:rPr>
          <w:rStyle w:val="hps"/>
          <w:rFonts w:cs="Arial"/>
          <w:color w:val="000000" w:themeColor="text1"/>
        </w:rPr>
        <w:t>semnificativ</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capacitate</w:t>
      </w:r>
      <w:r w:rsidRPr="00E0488D">
        <w:t xml:space="preserve"> </w:t>
      </w:r>
      <w:r w:rsidRPr="00E0488D">
        <w:rPr>
          <w:rStyle w:val="hps"/>
          <w:rFonts w:cs="Arial"/>
          <w:color w:val="000000" w:themeColor="text1"/>
        </w:rPr>
        <w:t>în raport cu cererea</w:t>
      </w:r>
      <w:r w:rsidRPr="00E0488D">
        <w:t xml:space="preserve"> </w:t>
      </w:r>
      <w:r w:rsidRPr="00E0488D">
        <w:rPr>
          <w:rStyle w:val="hps"/>
          <w:rFonts w:cs="Arial"/>
          <w:color w:val="000000" w:themeColor="text1"/>
        </w:rPr>
        <w:t>potențială</w:t>
      </w:r>
      <w:r w:rsidRPr="00E0488D">
        <w:t xml:space="preserve"> </w:t>
      </w:r>
      <w:r w:rsidRPr="00E0488D">
        <w:rPr>
          <w:rStyle w:val="hps"/>
          <w:rFonts w:cs="Arial"/>
          <w:color w:val="000000" w:themeColor="text1"/>
        </w:rPr>
        <w:t>în aceste condiții</w:t>
      </w:r>
      <w:r w:rsidRPr="00E0488D">
        <w:t xml:space="preserve"> </w:t>
      </w:r>
      <w:r w:rsidRPr="00E0488D">
        <w:rPr>
          <w:rStyle w:val="hps"/>
          <w:rFonts w:cs="Arial"/>
          <w:color w:val="000000" w:themeColor="text1"/>
        </w:rPr>
        <w:t>variate,</w:t>
      </w:r>
      <w:r w:rsidRPr="00E0488D">
        <w:t xml:space="preserve"> </w:t>
      </w:r>
      <w:r w:rsidRPr="00E0488D">
        <w:rPr>
          <w:rStyle w:val="hps"/>
          <w:rFonts w:cs="Arial"/>
          <w:color w:val="000000" w:themeColor="text1"/>
        </w:rPr>
        <w:t>s-a luat în cobsiderare un</w:t>
      </w:r>
      <w:r w:rsidRPr="00E0488D">
        <w:t xml:space="preserve"> </w:t>
      </w:r>
      <w:r w:rsidRPr="00E0488D">
        <w:rPr>
          <w:rStyle w:val="hps"/>
          <w:rFonts w:cs="Arial"/>
          <w:color w:val="000000" w:themeColor="text1"/>
        </w:rPr>
        <w:t>sistem</w:t>
      </w:r>
      <w:r w:rsidRPr="00E0488D">
        <w:t xml:space="preserve"> </w:t>
      </w:r>
      <w:r w:rsidRPr="00E0488D">
        <w:rPr>
          <w:rStyle w:val="hps"/>
          <w:rFonts w:cs="Arial"/>
          <w:color w:val="000000" w:themeColor="text1"/>
        </w:rPr>
        <w:t>de reabilitare.</w:t>
      </w:r>
      <w:r w:rsidRPr="00E0488D">
        <w:t xml:space="preserve"> </w:t>
      </w:r>
      <w:r w:rsidRPr="00E0488D">
        <w:rPr>
          <w:rStyle w:val="hps"/>
          <w:rFonts w:cs="Arial"/>
          <w:color w:val="000000" w:themeColor="text1"/>
        </w:rPr>
        <w:t>Mai mult decât atât</w:t>
      </w:r>
      <w:r w:rsidRPr="00E0488D">
        <w:t xml:space="preserve">, </w:t>
      </w:r>
      <w:r w:rsidRPr="00E0488D">
        <w:rPr>
          <w:rStyle w:val="hps"/>
          <w:rFonts w:cs="Arial"/>
          <w:color w:val="000000" w:themeColor="text1"/>
        </w:rPr>
        <w:t>centrele majore</w:t>
      </w:r>
      <w:r w:rsidRPr="00E0488D">
        <w:t xml:space="preserve"> </w:t>
      </w:r>
      <w:r w:rsidRPr="00E0488D">
        <w:rPr>
          <w:rStyle w:val="hps"/>
          <w:rFonts w:cs="Arial"/>
          <w:color w:val="000000" w:themeColor="text1"/>
        </w:rPr>
        <w:t>care au avut</w:t>
      </w:r>
      <w:r w:rsidRPr="00E0488D">
        <w:t xml:space="preserve"> </w:t>
      </w:r>
      <w:r w:rsidRPr="00E0488D">
        <w:rPr>
          <w:rStyle w:val="hps"/>
          <w:rFonts w:cs="Arial"/>
          <w:color w:val="000000" w:themeColor="text1"/>
        </w:rPr>
        <w:t>un terminal</w:t>
      </w:r>
      <w:r w:rsidRPr="00E0488D">
        <w:t xml:space="preserve"> </w:t>
      </w:r>
      <w:r w:rsidRPr="00E0488D">
        <w:rPr>
          <w:rStyle w:val="hps"/>
          <w:rFonts w:cs="Arial"/>
          <w:color w:val="000000" w:themeColor="text1"/>
        </w:rPr>
        <w:t>în conservare</w:t>
      </w:r>
      <w:r w:rsidRPr="00E0488D">
        <w:t xml:space="preserve"> </w:t>
      </w:r>
      <w:r w:rsidRPr="00E0488D">
        <w:rPr>
          <w:rStyle w:val="hps"/>
          <w:rFonts w:cs="Arial"/>
          <w:color w:val="000000" w:themeColor="text1"/>
        </w:rPr>
        <w:t>au fost modelate</w:t>
      </w:r>
      <w:r w:rsidRPr="00E0488D">
        <w:t xml:space="preserve"> </w:t>
      </w:r>
      <w:r w:rsidRPr="00E0488D">
        <w:rPr>
          <w:rStyle w:val="hps"/>
          <w:rFonts w:cs="Arial"/>
          <w:color w:val="000000" w:themeColor="text1"/>
        </w:rPr>
        <w:t>pentru a vedea</w:t>
      </w:r>
      <w:r w:rsidRPr="00E0488D">
        <w:t xml:space="preserve"> </w:t>
      </w:r>
      <w:r w:rsidRPr="00E0488D">
        <w:rPr>
          <w:rStyle w:val="hps"/>
          <w:rFonts w:cs="Arial"/>
          <w:color w:val="000000" w:themeColor="text1"/>
        </w:rPr>
        <w:t>în ce condiții</w:t>
      </w:r>
      <w:r w:rsidRPr="00E0488D">
        <w:t xml:space="preserve"> </w:t>
      </w:r>
      <w:r w:rsidRPr="00E0488D">
        <w:rPr>
          <w:rStyle w:val="hps"/>
          <w:rFonts w:cs="Arial"/>
          <w:color w:val="000000" w:themeColor="text1"/>
        </w:rPr>
        <w:t>capacitatea acestor</w:t>
      </w:r>
      <w:r w:rsidRPr="00E0488D">
        <w:t xml:space="preserve"> </w:t>
      </w:r>
      <w:r w:rsidRPr="00E0488D">
        <w:rPr>
          <w:rStyle w:val="hps"/>
          <w:rFonts w:cs="Arial"/>
          <w:color w:val="000000" w:themeColor="text1"/>
        </w:rPr>
        <w:t>facilități</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adecvată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dacă da,</w:t>
      </w:r>
      <w:r w:rsidRPr="00E0488D">
        <w:t xml:space="preserve"> </w:t>
      </w:r>
      <w:r w:rsidRPr="00E0488D">
        <w:rPr>
          <w:rStyle w:val="hps"/>
          <w:rFonts w:cs="Arial"/>
          <w:color w:val="000000" w:themeColor="text1"/>
        </w:rPr>
        <w:t>acestea sunt</w:t>
      </w:r>
      <w:r w:rsidRPr="00E0488D">
        <w:t xml:space="preserve"> </w:t>
      </w:r>
      <w:r w:rsidRPr="00E0488D">
        <w:rPr>
          <w:rStyle w:val="hps"/>
          <w:rFonts w:cs="Arial"/>
          <w:color w:val="000000" w:themeColor="text1"/>
        </w:rPr>
        <w:t>recomandate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reabilitare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w:t>
      </w:r>
      <w:r w:rsidRPr="00E0488D">
        <w:t xml:space="preserve">deschidere pe măsură ce </w:t>
      </w:r>
      <w:r w:rsidRPr="00E0488D">
        <w:rPr>
          <w:rStyle w:val="hps"/>
          <w:rFonts w:cs="Arial"/>
          <w:color w:val="000000" w:themeColor="text1"/>
        </w:rPr>
        <w:t>piața</w:t>
      </w:r>
      <w:r w:rsidRPr="00E0488D">
        <w:t xml:space="preserve"> </w:t>
      </w:r>
      <w:r w:rsidRPr="00E0488D">
        <w:rPr>
          <w:rStyle w:val="hps"/>
          <w:rFonts w:cs="Arial"/>
          <w:color w:val="000000" w:themeColor="text1"/>
        </w:rPr>
        <w:t>intermodală</w:t>
      </w:r>
      <w:r w:rsidRPr="00E0488D">
        <w:t xml:space="preserve"> </w:t>
      </w:r>
      <w:r w:rsidRPr="00E0488D">
        <w:rPr>
          <w:rStyle w:val="hps"/>
          <w:rFonts w:cs="Arial"/>
          <w:color w:val="000000" w:themeColor="text1"/>
        </w:rPr>
        <w:t>se extinde</w:t>
      </w:r>
      <w:r w:rsidRPr="00E0488D">
        <w:t xml:space="preserve">. </w:t>
      </w:r>
      <w:r w:rsidRPr="00E0488D">
        <w:rPr>
          <w:rStyle w:val="hps"/>
          <w:rFonts w:cs="Arial"/>
          <w:color w:val="000000" w:themeColor="text1"/>
        </w:rPr>
        <w:t>În aceste cazuri</w:t>
      </w:r>
      <w:r w:rsidRPr="00E0488D">
        <w:t xml:space="preserve">, se sugerează </w:t>
      </w:r>
      <w:r w:rsidRPr="00E0488D">
        <w:rPr>
          <w:rStyle w:val="hps"/>
          <w:rFonts w:cs="Arial"/>
          <w:color w:val="000000" w:themeColor="text1"/>
        </w:rPr>
        <w:t>ca</w:t>
      </w:r>
      <w:r w:rsidRPr="00E0488D">
        <w:t xml:space="preserve">, </w:t>
      </w:r>
      <w:r w:rsidRPr="00E0488D">
        <w:rPr>
          <w:rStyle w:val="hps"/>
          <w:rFonts w:cs="Arial"/>
          <w:color w:val="000000" w:themeColor="text1"/>
        </w:rPr>
        <w:t>după</w:t>
      </w:r>
      <w:r w:rsidRPr="00E0488D">
        <w:t xml:space="preserve"> </w:t>
      </w:r>
      <w:r w:rsidRPr="00E0488D">
        <w:rPr>
          <w:rStyle w:val="hps"/>
          <w:rFonts w:cs="Arial"/>
          <w:color w:val="000000" w:themeColor="text1"/>
        </w:rPr>
        <w:t>reabilitare</w:t>
      </w:r>
      <w:r w:rsidRPr="00E0488D">
        <w:t xml:space="preserve">, </w:t>
      </w:r>
      <w:r w:rsidRPr="00E0488D">
        <w:rPr>
          <w:rStyle w:val="hps"/>
          <w:rFonts w:cs="Arial"/>
          <w:color w:val="000000" w:themeColor="text1"/>
        </w:rPr>
        <w:t>aceste</w:t>
      </w:r>
      <w:r w:rsidRPr="00E0488D">
        <w:t xml:space="preserve"> </w:t>
      </w:r>
      <w:r w:rsidRPr="00E0488D">
        <w:rPr>
          <w:rStyle w:val="hps"/>
          <w:rFonts w:cs="Arial"/>
          <w:color w:val="000000" w:themeColor="text1"/>
        </w:rPr>
        <w:t>terminale să fie operate de</w:t>
      </w:r>
      <w:r w:rsidRPr="00E0488D">
        <w:t xml:space="preserve"> </w:t>
      </w:r>
      <w:r w:rsidRPr="00E0488D">
        <w:rPr>
          <w:rStyle w:val="hps"/>
          <w:rFonts w:cs="Arial"/>
          <w:color w:val="000000" w:themeColor="text1"/>
        </w:rPr>
        <w:t>operatorii</w:t>
      </w:r>
      <w:r w:rsidRPr="00E0488D">
        <w:t xml:space="preserve"> </w:t>
      </w:r>
      <w:r w:rsidRPr="00E0488D">
        <w:rPr>
          <w:rStyle w:val="hps"/>
          <w:rFonts w:cs="Arial"/>
          <w:color w:val="000000" w:themeColor="text1"/>
        </w:rPr>
        <w:t>privați</w:t>
      </w:r>
      <w:r w:rsidRPr="00E0488D">
        <w:t xml:space="preserve"> </w:t>
      </w:r>
      <w:r w:rsidRPr="00E0488D">
        <w:rPr>
          <w:rStyle w:val="hps"/>
          <w:rFonts w:cs="Arial"/>
          <w:color w:val="000000" w:themeColor="text1"/>
        </w:rPr>
        <w:t>de logistică</w:t>
      </w:r>
      <w:r w:rsidRPr="00E0488D">
        <w:t xml:space="preserve"> </w:t>
      </w:r>
      <w:r w:rsidRPr="00E0488D">
        <w:rPr>
          <w:rStyle w:val="hps"/>
          <w:rFonts w:cs="Arial"/>
          <w:color w:val="000000" w:themeColor="text1"/>
        </w:rPr>
        <w:t>pentru a asigura accesul</w:t>
      </w:r>
      <w:r w:rsidRPr="00E0488D">
        <w:t xml:space="preserve"> </w:t>
      </w:r>
      <w:r w:rsidRPr="00E0488D">
        <w:rPr>
          <w:rStyle w:val="hps"/>
          <w:rFonts w:cs="Arial"/>
          <w:color w:val="000000" w:themeColor="text1"/>
        </w:rPr>
        <w:t>liber</w:t>
      </w:r>
      <w:r w:rsidRPr="00E0488D">
        <w:t xml:space="preserve">, în condiții egale </w:t>
      </w:r>
      <w:r w:rsidRPr="00E0488D">
        <w:rPr>
          <w:rStyle w:val="hps"/>
          <w:rFonts w:cs="Arial"/>
          <w:color w:val="000000" w:themeColor="text1"/>
        </w:rPr>
        <w:t>pentru</w:t>
      </w:r>
      <w:r w:rsidRPr="00E0488D">
        <w:t xml:space="preserve"> </w:t>
      </w:r>
      <w:r w:rsidRPr="00E0488D">
        <w:rPr>
          <w:rStyle w:val="hps"/>
          <w:rFonts w:cs="Arial"/>
          <w:color w:val="000000" w:themeColor="text1"/>
        </w:rPr>
        <w:t>toți utilizatorii</w:t>
      </w:r>
      <w:r w:rsidRPr="00E0488D">
        <w:t xml:space="preserve">. </w:t>
      </w:r>
      <w:r w:rsidRPr="00E0488D">
        <w:rPr>
          <w:rStyle w:val="hps"/>
          <w:rFonts w:cs="Arial"/>
          <w:color w:val="000000" w:themeColor="text1"/>
        </w:rPr>
        <w:t>Diferite</w:t>
      </w:r>
      <w:r w:rsidRPr="00E0488D">
        <w:t xml:space="preserve"> </w:t>
      </w:r>
      <w:r w:rsidRPr="00E0488D">
        <w:rPr>
          <w:rStyle w:val="hps"/>
          <w:rFonts w:cs="Arial"/>
          <w:color w:val="000000" w:themeColor="text1"/>
        </w:rPr>
        <w:t>abordări</w:t>
      </w:r>
      <w:r w:rsidRPr="00E0488D">
        <w:t xml:space="preserve"> </w:t>
      </w:r>
      <w:r w:rsidRPr="00E0488D">
        <w:rPr>
          <w:rStyle w:val="hps"/>
          <w:rFonts w:cs="Arial"/>
          <w:color w:val="000000" w:themeColor="text1"/>
        </w:rPr>
        <w:t>de operare</w:t>
      </w:r>
      <w:r w:rsidRPr="00E0488D">
        <w:t xml:space="preserve"> </w:t>
      </w:r>
      <w:r w:rsidRPr="00E0488D">
        <w:rPr>
          <w:rStyle w:val="hps"/>
          <w:rFonts w:cs="Arial"/>
          <w:color w:val="000000" w:themeColor="text1"/>
        </w:rPr>
        <w:t>au</w:t>
      </w:r>
      <w:r w:rsidRPr="00E0488D">
        <w:t xml:space="preserve"> </w:t>
      </w:r>
      <w:r w:rsidRPr="00E0488D">
        <w:rPr>
          <w:rStyle w:val="hps"/>
          <w:rFonts w:cs="Arial"/>
          <w:color w:val="000000" w:themeColor="text1"/>
        </w:rPr>
        <w:t>fost utilizate</w:t>
      </w:r>
      <w:r w:rsidRPr="00E0488D">
        <w:t xml:space="preserve"> </w:t>
      </w:r>
      <w:r w:rsidRPr="00E0488D">
        <w:rPr>
          <w:rStyle w:val="hps"/>
          <w:rFonts w:cs="Arial"/>
          <w:color w:val="000000" w:themeColor="text1"/>
        </w:rPr>
        <w:t>în întreaga Europă</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succes</w:t>
      </w:r>
      <w:r w:rsidRPr="00E0488D">
        <w:t xml:space="preserve"> </w:t>
      </w:r>
      <w:r w:rsidRPr="00E0488D">
        <w:rPr>
          <w:rStyle w:val="hps"/>
          <w:rFonts w:cs="Arial"/>
          <w:color w:val="000000" w:themeColor="text1"/>
        </w:rPr>
        <w:t>și</w:t>
      </w:r>
      <w:r w:rsidRPr="00E0488D">
        <w:t xml:space="preserve"> este necesar </w:t>
      </w:r>
      <w:r w:rsidRPr="00E0488D">
        <w:rPr>
          <w:rStyle w:val="hps"/>
          <w:rFonts w:cs="Arial"/>
          <w:color w:val="000000" w:themeColor="text1"/>
        </w:rPr>
        <w:t>un</w:t>
      </w:r>
      <w:r w:rsidRPr="00E0488D">
        <w:t xml:space="preserve"> </w:t>
      </w:r>
      <w:r w:rsidRPr="00E0488D">
        <w:rPr>
          <w:rStyle w:val="hps"/>
          <w:rFonts w:cs="Arial"/>
          <w:color w:val="000000" w:themeColor="text1"/>
        </w:rPr>
        <w:t>studiu</w:t>
      </w:r>
      <w:r w:rsidRPr="00E0488D">
        <w:t xml:space="preserve"> pentru a stabili  </w:t>
      </w:r>
      <w:r w:rsidRPr="00E0488D">
        <w:rPr>
          <w:rStyle w:val="hps"/>
          <w:rFonts w:cs="Arial"/>
          <w:color w:val="000000" w:themeColor="text1"/>
        </w:rPr>
        <w:t>care</w:t>
      </w:r>
      <w:r w:rsidRPr="00E0488D">
        <w:t xml:space="preserve"> </w:t>
      </w:r>
      <w:r w:rsidRPr="00E0488D">
        <w:rPr>
          <w:rStyle w:val="hps"/>
          <w:rFonts w:cs="Arial"/>
          <w:color w:val="000000" w:themeColor="text1"/>
        </w:rPr>
        <w:t>este cea mai potrivită</w:t>
      </w:r>
      <w:r w:rsidRPr="00E0488D">
        <w:t xml:space="preserve"> abordare </w:t>
      </w:r>
      <w:r w:rsidRPr="00E0488D">
        <w:rPr>
          <w:rStyle w:val="hps"/>
          <w:rFonts w:cs="Arial"/>
          <w:color w:val="000000" w:themeColor="text1"/>
        </w:rPr>
        <w:t>pentru</w:t>
      </w:r>
      <w:r w:rsidRPr="00E0488D">
        <w:t xml:space="preserve"> </w:t>
      </w:r>
      <w:r w:rsidRPr="00E0488D">
        <w:rPr>
          <w:rStyle w:val="hps"/>
          <w:rFonts w:cs="Arial"/>
          <w:color w:val="000000" w:themeColor="text1"/>
        </w:rPr>
        <w:t>România, în cadrul programului de reabilitare.</w:t>
      </w:r>
    </w:p>
    <w:p w:rsidR="00BD59B2" w:rsidRPr="00E0488D" w:rsidRDefault="00BD59B2" w:rsidP="002B7E09">
      <w:pPr>
        <w:pStyle w:val="NumberedParas"/>
      </w:pPr>
      <w:r w:rsidRPr="00E0488D">
        <w:t>Urmare a implementării acestor intervenții rezultă următoarea reațea de terminale reabilitate și/sau moderne:</w:t>
      </w:r>
    </w:p>
    <w:p w:rsidR="00BD59B2" w:rsidRPr="00E0488D" w:rsidRDefault="00BD59B2" w:rsidP="00BD59B2">
      <w:pPr>
        <w:spacing w:line="276" w:lineRule="auto"/>
        <w:ind w:firstLine="851"/>
        <w:rPr>
          <w:b/>
          <w:sz w:val="22"/>
          <w:szCs w:val="22"/>
          <w:u w:val="single"/>
          <w:lang w:val="ro-RO"/>
        </w:rPr>
      </w:pPr>
      <w:r w:rsidRPr="00E0488D">
        <w:rPr>
          <w:b/>
          <w:noProof/>
          <w:sz w:val="22"/>
          <w:szCs w:val="22"/>
          <w:lang w:val="ro-RO" w:eastAsia="ro-RO"/>
        </w:rPr>
        <w:drawing>
          <wp:inline distT="0" distB="0" distL="0" distR="0">
            <wp:extent cx="5111090" cy="3616441"/>
            <wp:effectExtent l="19050" t="0" r="0" b="0"/>
            <wp:docPr id="102" name="Picture 1" descr="F:\TMARKET\Freight\Projects\Romania Masterplan\Maps\New Intermodal\INT2 - Intermodal_teminals_tri-modal_v2-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MARKET\Freight\Projects\Romania Masterplan\Maps\New Intermodal\INT2 - Intermodal_teminals_tri-modal_v2-p1.jpg"/>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5110821" cy="3616251"/>
                    </a:xfrm>
                    <a:prstGeom prst="rect">
                      <a:avLst/>
                    </a:prstGeom>
                    <a:noFill/>
                    <a:ln w="9525">
                      <a:noFill/>
                      <a:miter lim="800000"/>
                      <a:headEnd/>
                      <a:tailEnd/>
                    </a:ln>
                  </pic:spPr>
                </pic:pic>
              </a:graphicData>
            </a:graphic>
          </wp:inline>
        </w:drawing>
      </w:r>
    </w:p>
    <w:p w:rsidR="00BD59B2" w:rsidRPr="00E0488D" w:rsidRDefault="00BD59B2" w:rsidP="00BD59B2">
      <w:pPr>
        <w:spacing w:line="276" w:lineRule="auto"/>
        <w:ind w:left="851"/>
        <w:rPr>
          <w:b/>
          <w:bCs/>
          <w:sz w:val="22"/>
          <w:szCs w:val="22"/>
          <w:lang w:val="ro-RO"/>
        </w:rPr>
      </w:pPr>
      <w:r w:rsidRPr="00E0488D">
        <w:rPr>
          <w:b/>
          <w:bCs/>
          <w:sz w:val="22"/>
          <w:szCs w:val="22"/>
          <w:lang w:val="ro-RO"/>
        </w:rPr>
        <w:t>Figura 8.15: Harta intervențiilor propuse</w:t>
      </w:r>
    </w:p>
    <w:p w:rsidR="00BD59B2" w:rsidRPr="00E0488D" w:rsidRDefault="00BD59B2" w:rsidP="002B7E09">
      <w:pPr>
        <w:pStyle w:val="NumberedParas"/>
      </w:pPr>
      <w:r w:rsidRPr="00E0488D">
        <w:rPr>
          <w:rStyle w:val="hps"/>
          <w:rFonts w:cs="Arial"/>
          <w:color w:val="000000" w:themeColor="text1"/>
        </w:rPr>
        <w:t>Dacă vom combina</w:t>
      </w:r>
      <w:r w:rsidRPr="00E0488D">
        <w:t xml:space="preserve"> </w:t>
      </w:r>
      <w:r w:rsidRPr="00E0488D">
        <w:rPr>
          <w:rStyle w:val="hps"/>
          <w:rFonts w:cs="Arial"/>
          <w:color w:val="000000" w:themeColor="text1"/>
        </w:rPr>
        <w:t>rețeaua de terminalele</w:t>
      </w:r>
      <w:r w:rsidRPr="00E0488D">
        <w:t xml:space="preserve"> </w:t>
      </w:r>
      <w:r w:rsidRPr="00E0488D">
        <w:rPr>
          <w:rStyle w:val="hps"/>
          <w:rFonts w:cs="Arial"/>
          <w:color w:val="000000" w:themeColor="text1"/>
        </w:rPr>
        <w:t>existente care au fost evaluate și</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necesită o</w:t>
      </w:r>
      <w:r w:rsidRPr="00E0488D">
        <w:t xml:space="preserve"> </w:t>
      </w:r>
      <w:r w:rsidRPr="00E0488D">
        <w:rPr>
          <w:rStyle w:val="hps"/>
          <w:rFonts w:cs="Arial"/>
          <w:color w:val="000000" w:themeColor="text1"/>
        </w:rPr>
        <w:t>reabilitare</w:t>
      </w:r>
      <w:r w:rsidRPr="00E0488D">
        <w:t xml:space="preserve"> </w:t>
      </w:r>
      <w:r w:rsidRPr="00E0488D">
        <w:rPr>
          <w:rStyle w:val="hps"/>
          <w:rFonts w:cs="Arial"/>
          <w:color w:val="000000" w:themeColor="text1"/>
        </w:rPr>
        <w:t>semnificativă</w:t>
      </w:r>
      <w:r w:rsidRPr="00E0488D">
        <w:t xml:space="preserve"> </w:t>
      </w:r>
      <w:r w:rsidRPr="00E0488D">
        <w:rPr>
          <w:rStyle w:val="hps"/>
          <w:rFonts w:cs="Arial"/>
          <w:color w:val="000000" w:themeColor="text1"/>
        </w:rPr>
        <w:t>sub</w:t>
      </w:r>
      <w:r w:rsidRPr="00E0488D">
        <w:t xml:space="preserve"> </w:t>
      </w:r>
      <w:r w:rsidRPr="00E0488D">
        <w:rPr>
          <w:rStyle w:val="hps"/>
          <w:rFonts w:cs="Arial"/>
          <w:color w:val="000000" w:themeColor="text1"/>
        </w:rPr>
        <w:t>egida</w:t>
      </w:r>
      <w:r w:rsidRPr="00E0488D">
        <w:t xml:space="preserve"> </w:t>
      </w:r>
      <w:r w:rsidRPr="00E0488D">
        <w:rPr>
          <w:rStyle w:val="hps"/>
          <w:rFonts w:cs="Arial"/>
          <w:color w:val="000000" w:themeColor="text1"/>
        </w:rPr>
        <w:t>Master Planului</w:t>
      </w:r>
      <w:r w:rsidRPr="00E0488D">
        <w:t xml:space="preserve">, rezultă următoarea </w:t>
      </w:r>
      <w:r w:rsidRPr="00E0488D">
        <w:rPr>
          <w:rStyle w:val="hps"/>
          <w:rFonts w:cs="Arial"/>
          <w:color w:val="000000" w:themeColor="text1"/>
        </w:rPr>
        <w:t>rețea</w:t>
      </w:r>
      <w:r w:rsidRPr="00E0488D">
        <w:t>:</w:t>
      </w:r>
    </w:p>
    <w:p w:rsidR="00BD59B2" w:rsidRPr="00E0488D" w:rsidRDefault="00BD59B2" w:rsidP="00BD59B2">
      <w:pPr>
        <w:ind w:left="567"/>
        <w:rPr>
          <w:lang w:val="ro-RO"/>
        </w:rPr>
      </w:pPr>
      <w:r w:rsidRPr="00E0488D">
        <w:rPr>
          <w:noProof/>
          <w:lang w:val="ro-RO" w:eastAsia="ro-RO"/>
        </w:rPr>
        <w:drawing>
          <wp:inline distT="0" distB="0" distL="0" distR="0">
            <wp:extent cx="5169260" cy="3657600"/>
            <wp:effectExtent l="19050" t="0" r="0" b="0"/>
            <wp:docPr id="103" name="Picture 2" descr="F:\TMARKET\Freight\Projects\Romania Masterplan\Maps\New Intermodal\INL3 - Intermodal_teminals_tri-modal_v2-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MARKET\Freight\Projects\Romania Masterplan\Maps\New Intermodal\INL3 - Intermodal_teminals_tri-modal_v2-p3.jpg"/>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5168988" cy="3657408"/>
                    </a:xfrm>
                    <a:prstGeom prst="rect">
                      <a:avLst/>
                    </a:prstGeom>
                    <a:noFill/>
                    <a:ln w="9525">
                      <a:noFill/>
                      <a:miter lim="800000"/>
                      <a:headEnd/>
                      <a:tailEnd/>
                    </a:ln>
                  </pic:spPr>
                </pic:pic>
              </a:graphicData>
            </a:graphic>
          </wp:inline>
        </w:drawing>
      </w:r>
    </w:p>
    <w:p w:rsidR="00BD59B2" w:rsidRPr="00E0488D" w:rsidRDefault="00BD59B2" w:rsidP="00BD59B2">
      <w:pPr>
        <w:spacing w:line="276" w:lineRule="auto"/>
        <w:ind w:left="851"/>
        <w:rPr>
          <w:b/>
          <w:bCs/>
          <w:sz w:val="22"/>
          <w:szCs w:val="22"/>
          <w:lang w:val="ro-RO"/>
        </w:rPr>
      </w:pPr>
      <w:r w:rsidRPr="00E0488D">
        <w:rPr>
          <w:b/>
          <w:bCs/>
          <w:sz w:val="22"/>
          <w:szCs w:val="22"/>
          <w:lang w:val="ro-RO"/>
        </w:rPr>
        <w:t>Figura 8.16: Harta rețelei de terminale interioare</w:t>
      </w:r>
    </w:p>
    <w:p w:rsidR="00BD59B2" w:rsidRPr="00E0488D" w:rsidRDefault="00BD59B2" w:rsidP="002B7E09">
      <w:pPr>
        <w:pStyle w:val="NumberedParas"/>
      </w:pPr>
      <w:r w:rsidRPr="00E0488D">
        <w:rPr>
          <w:rStyle w:val="hps"/>
          <w:rFonts w:cs="Arial"/>
          <w:color w:val="000000" w:themeColor="text1"/>
        </w:rPr>
        <w:t>După ce s-a</w:t>
      </w:r>
      <w:r w:rsidRPr="00E0488D">
        <w:t xml:space="preserve"> </w:t>
      </w:r>
      <w:r w:rsidRPr="00E0488D">
        <w:rPr>
          <w:rStyle w:val="hps"/>
          <w:rFonts w:cs="Arial"/>
          <w:color w:val="000000" w:themeColor="text1"/>
        </w:rPr>
        <w:t>ajuns la</w:t>
      </w:r>
      <w:r w:rsidRPr="00E0488D">
        <w:t xml:space="preserve"> </w:t>
      </w:r>
      <w:r w:rsidRPr="00E0488D">
        <w:rPr>
          <w:rStyle w:val="hps"/>
          <w:rFonts w:cs="Arial"/>
          <w:color w:val="000000" w:themeColor="text1"/>
        </w:rPr>
        <w:t>aceste terminale</w:t>
      </w:r>
      <w:r w:rsidRPr="00E0488D">
        <w:t xml:space="preserve">, ca urmare a </w:t>
      </w:r>
      <w:r w:rsidRPr="00E0488D">
        <w:rPr>
          <w:rStyle w:val="hps"/>
          <w:rFonts w:cs="Arial"/>
          <w:color w:val="000000" w:themeColor="text1"/>
        </w:rPr>
        <w:t>analizei</w:t>
      </w:r>
      <w:r w:rsidRPr="00E0488D">
        <w:t xml:space="preserve"> </w:t>
      </w:r>
      <w:r w:rsidRPr="00E0488D">
        <w:rPr>
          <w:rStyle w:val="hps"/>
          <w:rFonts w:cs="Arial"/>
          <w:color w:val="000000" w:themeColor="text1"/>
        </w:rPr>
        <w:t>și evaluării cererii potențiale</w:t>
      </w:r>
      <w:r w:rsidRPr="00E0488D">
        <w:t xml:space="preserve">, </w:t>
      </w:r>
      <w:r w:rsidRPr="00E0488D">
        <w:rPr>
          <w:rStyle w:val="hps"/>
          <w:rFonts w:cs="Arial"/>
          <w:color w:val="000000" w:themeColor="text1"/>
        </w:rPr>
        <w:t>este demn</w:t>
      </w:r>
      <w:r w:rsidRPr="00E0488D">
        <w:t xml:space="preserve"> </w:t>
      </w:r>
      <w:r w:rsidRPr="00E0488D">
        <w:rPr>
          <w:rStyle w:val="hps"/>
          <w:rFonts w:cs="Arial"/>
          <w:color w:val="000000" w:themeColor="text1"/>
        </w:rPr>
        <w:t>de a</w:t>
      </w:r>
      <w:r w:rsidRPr="00E0488D">
        <w:t xml:space="preserve"> </w:t>
      </w:r>
      <w:r w:rsidRPr="00E0488D">
        <w:rPr>
          <w:rStyle w:val="hps"/>
          <w:rFonts w:cs="Arial"/>
          <w:color w:val="000000" w:themeColor="text1"/>
        </w:rPr>
        <w:t>compara</w:t>
      </w:r>
      <w:r w:rsidRPr="00E0488D">
        <w:t xml:space="preserve"> </w:t>
      </w:r>
      <w:r w:rsidRPr="00E0488D">
        <w:rPr>
          <w:rStyle w:val="hps"/>
          <w:rFonts w:cs="Arial"/>
          <w:color w:val="000000" w:themeColor="text1"/>
        </w:rPr>
        <w:t>propunerea</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cele ale altor</w:t>
      </w:r>
      <w:r w:rsidRPr="00E0488D">
        <w:t xml:space="preserve"> </w:t>
      </w:r>
      <w:r w:rsidRPr="00E0488D">
        <w:rPr>
          <w:rStyle w:val="hps"/>
          <w:rFonts w:cs="Arial"/>
          <w:color w:val="000000" w:themeColor="text1"/>
        </w:rPr>
        <w:t>părți interesate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au</w:t>
      </w:r>
      <w:r w:rsidRPr="00E0488D">
        <w:t xml:space="preserve"> </w:t>
      </w:r>
      <w:r w:rsidRPr="00E0488D">
        <w:rPr>
          <w:rStyle w:val="hps"/>
          <w:rFonts w:cs="Arial"/>
          <w:color w:val="000000" w:themeColor="text1"/>
        </w:rPr>
        <w:t>evaluat</w:t>
      </w:r>
      <w:r w:rsidRPr="00E0488D">
        <w:t xml:space="preserve"> această </w:t>
      </w:r>
      <w:r w:rsidRPr="00E0488D">
        <w:rPr>
          <w:rStyle w:val="hps"/>
          <w:rFonts w:cs="Arial"/>
          <w:color w:val="000000" w:themeColor="text1"/>
        </w:rPr>
        <w:t>problemă</w:t>
      </w:r>
      <w:r w:rsidRPr="00E0488D">
        <w:t xml:space="preserve">. </w:t>
      </w:r>
      <w:r w:rsidRPr="00E0488D">
        <w:rPr>
          <w:rStyle w:val="hps"/>
          <w:rFonts w:cs="Arial"/>
          <w:color w:val="000000" w:themeColor="text1"/>
        </w:rPr>
        <w:t>Rețeaua</w:t>
      </w:r>
      <w:r w:rsidRPr="00E0488D">
        <w:t xml:space="preserve"> </w:t>
      </w:r>
      <w:r w:rsidRPr="00E0488D">
        <w:rPr>
          <w:rStyle w:val="hps"/>
          <w:rFonts w:cs="Arial"/>
          <w:color w:val="000000" w:themeColor="text1"/>
        </w:rPr>
        <w:t>propusă</w:t>
      </w:r>
      <w:r w:rsidRPr="00E0488D">
        <w:t xml:space="preserve"> </w:t>
      </w:r>
      <w:r w:rsidRPr="00E0488D">
        <w:rPr>
          <w:rStyle w:val="hps"/>
          <w:rFonts w:cs="Arial"/>
          <w:color w:val="000000" w:themeColor="text1"/>
        </w:rPr>
        <w:t>este prezentată în Tabelul 8.14</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s-</w:t>
      </w:r>
      <w:r w:rsidRPr="00E0488D">
        <w:t xml:space="preserve">au luat în considerare </w:t>
      </w:r>
      <w:r w:rsidRPr="00E0488D">
        <w:rPr>
          <w:rStyle w:val="hps"/>
          <w:rFonts w:cs="Arial"/>
          <w:color w:val="000000" w:themeColor="text1"/>
        </w:rPr>
        <w:t>sugestiile</w:t>
      </w:r>
      <w:r w:rsidRPr="00E0488D">
        <w:t xml:space="preserve"> </w:t>
      </w:r>
      <w:r w:rsidRPr="00E0488D">
        <w:rPr>
          <w:rStyle w:val="hps"/>
          <w:rFonts w:cs="Arial"/>
          <w:color w:val="000000" w:themeColor="text1"/>
        </w:rPr>
        <w:t>altor parți care</w:t>
      </w:r>
      <w:r w:rsidRPr="00E0488D">
        <w:t xml:space="preserve"> </w:t>
      </w:r>
      <w:r w:rsidRPr="00E0488D">
        <w:rPr>
          <w:rStyle w:val="hps"/>
          <w:rFonts w:cs="Arial"/>
          <w:color w:val="000000" w:themeColor="text1"/>
        </w:rPr>
        <w:t>sunt prezentate în Tabelul 8.15</w:t>
      </w:r>
      <w:r w:rsidRPr="00E0488D">
        <w:t xml:space="preserve">. </w:t>
      </w:r>
      <w:r w:rsidRPr="00E0488D">
        <w:rPr>
          <w:rStyle w:val="hps"/>
          <w:rFonts w:cs="Arial"/>
          <w:color w:val="000000" w:themeColor="text1"/>
        </w:rPr>
        <w:t>După cum</w:t>
      </w:r>
      <w:r w:rsidRPr="00E0488D">
        <w:t xml:space="preserve"> </w:t>
      </w:r>
      <w:r w:rsidRPr="00E0488D">
        <w:rPr>
          <w:rStyle w:val="hps"/>
          <w:rFonts w:cs="Arial"/>
          <w:color w:val="000000" w:themeColor="text1"/>
        </w:rPr>
        <w:t>se poate observa</w:t>
      </w:r>
      <w:r w:rsidRPr="00E0488D">
        <w:t xml:space="preserve">, </w:t>
      </w:r>
      <w:r w:rsidRPr="00E0488D">
        <w:rPr>
          <w:rStyle w:val="hps"/>
          <w:rFonts w:cs="Arial"/>
          <w:color w:val="000000" w:themeColor="text1"/>
        </w:rPr>
        <w:t>rețeaua propusă de terminale interioare</w:t>
      </w:r>
      <w:r w:rsidRPr="00E0488D">
        <w:t xml:space="preserve"> se </w:t>
      </w:r>
      <w:r w:rsidRPr="00E0488D">
        <w:rPr>
          <w:rStyle w:val="hps"/>
          <w:rFonts w:cs="Arial"/>
          <w:color w:val="000000" w:themeColor="text1"/>
        </w:rPr>
        <w:t>potrivește</w:t>
      </w:r>
      <w:r w:rsidRPr="00E0488D">
        <w:t xml:space="preserve"> </w:t>
      </w:r>
      <w:r w:rsidRPr="00E0488D">
        <w:rPr>
          <w:rStyle w:val="hps"/>
          <w:rFonts w:cs="Arial"/>
          <w:color w:val="000000" w:themeColor="text1"/>
        </w:rPr>
        <w:t>bine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cele sugerate</w:t>
      </w:r>
      <w:r w:rsidRPr="00E0488D">
        <w:t xml:space="preserve"> </w:t>
      </w:r>
      <w:r w:rsidRPr="00E0488D">
        <w:rPr>
          <w:rStyle w:val="hps"/>
          <w:rFonts w:cs="Arial"/>
          <w:color w:val="000000" w:themeColor="text1"/>
        </w:rPr>
        <w:t>în alte părți</w:t>
      </w:r>
      <w:r w:rsidRPr="00E0488D">
        <w:t xml:space="preserve">, fie de </w:t>
      </w:r>
      <w:r w:rsidRPr="00E0488D">
        <w:rPr>
          <w:rStyle w:val="hps"/>
          <w:rFonts w:cs="Arial"/>
          <w:color w:val="000000" w:themeColor="text1"/>
        </w:rPr>
        <w:t>alți consultanți</w:t>
      </w:r>
      <w:r w:rsidRPr="00E0488D">
        <w:t xml:space="preserve"> </w:t>
      </w:r>
      <w:r w:rsidRPr="00E0488D">
        <w:rPr>
          <w:rStyle w:val="hps"/>
          <w:rFonts w:cs="Arial"/>
          <w:color w:val="000000" w:themeColor="text1"/>
        </w:rPr>
        <w:t>sau</w:t>
      </w:r>
      <w:r w:rsidRPr="00E0488D">
        <w:t xml:space="preserve"> </w:t>
      </w:r>
      <w:r w:rsidRPr="00E0488D">
        <w:rPr>
          <w:rStyle w:val="hps"/>
          <w:rFonts w:cs="Arial"/>
          <w:color w:val="000000" w:themeColor="text1"/>
        </w:rPr>
        <w:t>operatorii feroviari</w:t>
      </w:r>
      <w:r w:rsidRPr="00E0488D">
        <w:t xml:space="preserve"> </w:t>
      </w:r>
      <w:r w:rsidRPr="00E0488D">
        <w:rPr>
          <w:rStyle w:val="hps"/>
          <w:rFonts w:cs="Arial"/>
          <w:color w:val="000000" w:themeColor="text1"/>
        </w:rPr>
        <w:t>înșiși</w:t>
      </w:r>
      <w:r w:rsidRPr="00E0488D">
        <w:t>.</w:t>
      </w:r>
    </w:p>
    <w:p w:rsidR="00BD59B2" w:rsidRPr="00E0488D" w:rsidRDefault="00BD59B2" w:rsidP="002B7E09">
      <w:pPr>
        <w:pStyle w:val="NumberedParas"/>
        <w:numPr>
          <w:ilvl w:val="0"/>
          <w:numId w:val="0"/>
        </w:numPr>
      </w:pPr>
      <w:r w:rsidRPr="00E0488D">
        <w:t>Tabelul 8.12: Rețeaua propusă de terminale intermodale</w:t>
      </w:r>
    </w:p>
    <w:tbl>
      <w:tblPr>
        <w:tblStyle w:val="TableGrid"/>
        <w:tblW w:w="5130" w:type="dxa"/>
        <w:tblInd w:w="851" w:type="dxa"/>
        <w:tblLook w:val="04A0" w:firstRow="1" w:lastRow="0" w:firstColumn="1" w:lastColumn="0" w:noHBand="0" w:noVBand="1"/>
      </w:tblPr>
      <w:tblGrid>
        <w:gridCol w:w="1725"/>
        <w:gridCol w:w="2069"/>
        <w:gridCol w:w="1336"/>
      </w:tblGrid>
      <w:tr w:rsidR="00BD59B2" w:rsidRPr="00E0488D" w:rsidTr="009972B3">
        <w:tc>
          <w:tcPr>
            <w:tcW w:w="5130" w:type="dxa"/>
            <w:gridSpan w:val="3"/>
            <w:shd w:val="clear" w:color="auto" w:fill="8DB3E2" w:themeFill="text2" w:themeFillTint="66"/>
            <w:vAlign w:val="center"/>
          </w:tcPr>
          <w:p w:rsidR="00BD59B2" w:rsidRPr="00E0488D" w:rsidRDefault="00BD59B2" w:rsidP="009972B3">
            <w:pPr>
              <w:jc w:val="center"/>
              <w:rPr>
                <w:sz w:val="22"/>
                <w:szCs w:val="22"/>
                <w:lang w:val="ro-RO"/>
              </w:rPr>
            </w:pPr>
            <w:r w:rsidRPr="00E0488D">
              <w:rPr>
                <w:sz w:val="22"/>
                <w:szCs w:val="22"/>
                <w:lang w:val="ro-RO"/>
              </w:rPr>
              <w:t>Terminale interioare</w:t>
            </w:r>
          </w:p>
        </w:tc>
      </w:tr>
      <w:tr w:rsidR="00BD59B2" w:rsidRPr="00E0488D" w:rsidTr="009972B3">
        <w:tc>
          <w:tcPr>
            <w:tcW w:w="1725" w:type="dxa"/>
            <w:shd w:val="clear" w:color="auto" w:fill="C6D9F1" w:themeFill="text2" w:themeFillTint="33"/>
            <w:vAlign w:val="center"/>
          </w:tcPr>
          <w:p w:rsidR="00BD59B2" w:rsidRPr="00E0488D" w:rsidRDefault="00BD59B2" w:rsidP="009972B3">
            <w:pPr>
              <w:jc w:val="center"/>
              <w:rPr>
                <w:i/>
                <w:sz w:val="22"/>
                <w:szCs w:val="22"/>
                <w:lang w:val="ro-RO"/>
              </w:rPr>
            </w:pPr>
            <w:r w:rsidRPr="00E0488D">
              <w:rPr>
                <w:i/>
                <w:sz w:val="22"/>
                <w:szCs w:val="22"/>
                <w:lang w:val="ro-RO"/>
              </w:rPr>
              <w:t>Existent</w:t>
            </w:r>
          </w:p>
        </w:tc>
        <w:tc>
          <w:tcPr>
            <w:tcW w:w="2069" w:type="dxa"/>
            <w:shd w:val="clear" w:color="auto" w:fill="C6D9F1" w:themeFill="text2" w:themeFillTint="33"/>
            <w:vAlign w:val="center"/>
          </w:tcPr>
          <w:p w:rsidR="00BD59B2" w:rsidRPr="00E0488D" w:rsidRDefault="00BD59B2" w:rsidP="009972B3">
            <w:pPr>
              <w:jc w:val="center"/>
              <w:rPr>
                <w:i/>
                <w:sz w:val="22"/>
                <w:szCs w:val="22"/>
                <w:lang w:val="ro-RO"/>
              </w:rPr>
            </w:pPr>
            <w:r w:rsidRPr="00E0488D">
              <w:rPr>
                <w:i/>
                <w:sz w:val="22"/>
                <w:szCs w:val="22"/>
                <w:lang w:val="ro-RO"/>
              </w:rPr>
              <w:t>Modernizat sau nou construit</w:t>
            </w:r>
          </w:p>
        </w:tc>
        <w:tc>
          <w:tcPr>
            <w:tcW w:w="1336" w:type="dxa"/>
            <w:shd w:val="clear" w:color="auto" w:fill="C6D9F1" w:themeFill="text2" w:themeFillTint="33"/>
            <w:vAlign w:val="center"/>
          </w:tcPr>
          <w:p w:rsidR="00BD59B2" w:rsidRPr="00E0488D" w:rsidRDefault="00BD59B2" w:rsidP="009972B3">
            <w:pPr>
              <w:jc w:val="center"/>
              <w:rPr>
                <w:i/>
                <w:sz w:val="22"/>
                <w:szCs w:val="22"/>
                <w:lang w:val="ro-RO"/>
              </w:rPr>
            </w:pPr>
            <w:r w:rsidRPr="00E0488D">
              <w:rPr>
                <w:i/>
                <w:sz w:val="22"/>
                <w:szCs w:val="22"/>
                <w:lang w:val="ro-RO"/>
              </w:rPr>
              <w:t>Nou construit</w:t>
            </w:r>
          </w:p>
        </w:tc>
      </w:tr>
      <w:tr w:rsidR="00BD59B2" w:rsidRPr="00E0488D" w:rsidTr="009972B3">
        <w:tc>
          <w:tcPr>
            <w:tcW w:w="1725" w:type="dxa"/>
            <w:vAlign w:val="center"/>
          </w:tcPr>
          <w:p w:rsidR="00BD59B2" w:rsidRPr="00E0488D" w:rsidRDefault="00BD59B2" w:rsidP="009972B3">
            <w:pPr>
              <w:jc w:val="center"/>
              <w:rPr>
                <w:sz w:val="22"/>
                <w:szCs w:val="22"/>
                <w:lang w:val="ro-RO"/>
              </w:rPr>
            </w:pPr>
            <w:r w:rsidRPr="00E0488D">
              <w:rPr>
                <w:sz w:val="22"/>
                <w:szCs w:val="22"/>
                <w:lang w:val="ro-RO"/>
              </w:rPr>
              <w:t>Arad</w:t>
            </w:r>
          </w:p>
          <w:p w:rsidR="00BD59B2" w:rsidRPr="00E0488D" w:rsidRDefault="00BD59B2" w:rsidP="009972B3">
            <w:pPr>
              <w:jc w:val="center"/>
              <w:rPr>
                <w:sz w:val="22"/>
                <w:szCs w:val="22"/>
                <w:lang w:val="ro-RO"/>
              </w:rPr>
            </w:pPr>
            <w:r w:rsidRPr="00E0488D">
              <w:rPr>
                <w:sz w:val="22"/>
                <w:szCs w:val="22"/>
                <w:lang w:val="ro-RO"/>
              </w:rPr>
              <w:t>Zalau</w:t>
            </w:r>
          </w:p>
          <w:p w:rsidR="00BD59B2" w:rsidRPr="00E0488D" w:rsidRDefault="00BD59B2" w:rsidP="009972B3">
            <w:pPr>
              <w:jc w:val="center"/>
              <w:rPr>
                <w:sz w:val="22"/>
                <w:szCs w:val="22"/>
                <w:lang w:val="ro-RO"/>
              </w:rPr>
            </w:pPr>
            <w:r w:rsidRPr="00E0488D">
              <w:rPr>
                <w:sz w:val="22"/>
                <w:szCs w:val="22"/>
                <w:lang w:val="ro-RO"/>
              </w:rPr>
              <w:t>Bistrita</w:t>
            </w:r>
          </w:p>
          <w:p w:rsidR="00BD59B2" w:rsidRPr="00E0488D" w:rsidRDefault="00BD59B2" w:rsidP="009972B3">
            <w:pPr>
              <w:jc w:val="center"/>
              <w:rPr>
                <w:sz w:val="22"/>
                <w:szCs w:val="22"/>
                <w:lang w:val="ro-RO"/>
              </w:rPr>
            </w:pPr>
            <w:r w:rsidRPr="00E0488D">
              <w:rPr>
                <w:sz w:val="22"/>
                <w:szCs w:val="22"/>
                <w:lang w:val="ro-RO"/>
              </w:rPr>
              <w:t>Brasov</w:t>
            </w:r>
          </w:p>
          <w:p w:rsidR="00BD59B2" w:rsidRPr="00E0488D" w:rsidRDefault="00BD59B2" w:rsidP="009972B3">
            <w:pPr>
              <w:jc w:val="center"/>
              <w:rPr>
                <w:sz w:val="22"/>
                <w:szCs w:val="22"/>
                <w:lang w:val="ro-RO"/>
              </w:rPr>
            </w:pPr>
            <w:r w:rsidRPr="00E0488D">
              <w:rPr>
                <w:sz w:val="22"/>
                <w:szCs w:val="22"/>
                <w:lang w:val="ro-RO"/>
              </w:rPr>
              <w:t>Ploiesti</w:t>
            </w:r>
          </w:p>
          <w:p w:rsidR="00BD59B2" w:rsidRPr="00E0488D" w:rsidRDefault="00BD59B2" w:rsidP="009972B3">
            <w:pPr>
              <w:jc w:val="center"/>
              <w:rPr>
                <w:sz w:val="22"/>
                <w:szCs w:val="22"/>
                <w:lang w:val="ro-RO"/>
              </w:rPr>
            </w:pPr>
            <w:r w:rsidRPr="00E0488D">
              <w:rPr>
                <w:sz w:val="22"/>
                <w:szCs w:val="22"/>
                <w:lang w:val="ro-RO"/>
              </w:rPr>
              <w:t>Pitesti</w:t>
            </w:r>
          </w:p>
        </w:tc>
        <w:tc>
          <w:tcPr>
            <w:tcW w:w="2069" w:type="dxa"/>
            <w:vAlign w:val="center"/>
          </w:tcPr>
          <w:p w:rsidR="00BD59B2" w:rsidRPr="00E0488D" w:rsidRDefault="00BD59B2" w:rsidP="009972B3">
            <w:pPr>
              <w:jc w:val="center"/>
              <w:rPr>
                <w:sz w:val="22"/>
                <w:szCs w:val="22"/>
                <w:lang w:val="ro-RO"/>
              </w:rPr>
            </w:pPr>
            <w:r w:rsidRPr="00E0488D">
              <w:rPr>
                <w:sz w:val="22"/>
                <w:szCs w:val="22"/>
                <w:lang w:val="ro-RO"/>
              </w:rPr>
              <w:t xml:space="preserve">Timisoara </w:t>
            </w:r>
          </w:p>
          <w:p w:rsidR="00BD59B2" w:rsidRPr="00E0488D" w:rsidRDefault="00BD59B2" w:rsidP="009972B3">
            <w:pPr>
              <w:jc w:val="center"/>
              <w:rPr>
                <w:sz w:val="22"/>
                <w:szCs w:val="22"/>
                <w:lang w:val="ro-RO"/>
              </w:rPr>
            </w:pPr>
            <w:r w:rsidRPr="00E0488D">
              <w:rPr>
                <w:sz w:val="22"/>
                <w:szCs w:val="22"/>
                <w:lang w:val="ro-RO"/>
              </w:rPr>
              <w:t>Cluj-Napoca</w:t>
            </w:r>
          </w:p>
          <w:p w:rsidR="00BD59B2" w:rsidRPr="00E0488D" w:rsidRDefault="00BD59B2" w:rsidP="009972B3">
            <w:pPr>
              <w:jc w:val="center"/>
              <w:rPr>
                <w:sz w:val="22"/>
                <w:szCs w:val="22"/>
                <w:lang w:val="ro-RO"/>
              </w:rPr>
            </w:pPr>
            <w:r w:rsidRPr="00E0488D">
              <w:rPr>
                <w:sz w:val="22"/>
                <w:szCs w:val="22"/>
                <w:lang w:val="ro-RO"/>
              </w:rPr>
              <w:t>Turda</w:t>
            </w:r>
          </w:p>
          <w:p w:rsidR="00BD59B2" w:rsidRPr="00E0488D" w:rsidRDefault="00BD59B2" w:rsidP="009972B3">
            <w:pPr>
              <w:jc w:val="center"/>
              <w:rPr>
                <w:sz w:val="22"/>
                <w:szCs w:val="22"/>
                <w:lang w:val="ro-RO"/>
              </w:rPr>
            </w:pPr>
            <w:r w:rsidRPr="00E0488D">
              <w:rPr>
                <w:sz w:val="22"/>
                <w:szCs w:val="22"/>
                <w:lang w:val="ro-RO"/>
              </w:rPr>
              <w:t>Suceava</w:t>
            </w:r>
          </w:p>
          <w:p w:rsidR="00BD59B2" w:rsidRPr="00E0488D" w:rsidRDefault="00BD59B2" w:rsidP="009972B3">
            <w:pPr>
              <w:jc w:val="center"/>
              <w:rPr>
                <w:sz w:val="22"/>
                <w:szCs w:val="22"/>
                <w:lang w:val="ro-RO"/>
              </w:rPr>
            </w:pPr>
            <w:r w:rsidRPr="00E0488D">
              <w:rPr>
                <w:sz w:val="22"/>
                <w:szCs w:val="22"/>
                <w:lang w:val="ro-RO"/>
              </w:rPr>
              <w:t xml:space="preserve">Iasi </w:t>
            </w:r>
          </w:p>
          <w:p w:rsidR="00BD59B2" w:rsidRPr="00E0488D" w:rsidRDefault="00BD59B2" w:rsidP="009972B3">
            <w:pPr>
              <w:jc w:val="center"/>
              <w:rPr>
                <w:sz w:val="22"/>
                <w:szCs w:val="22"/>
                <w:lang w:val="ro-RO"/>
              </w:rPr>
            </w:pPr>
            <w:r w:rsidRPr="00E0488D">
              <w:rPr>
                <w:sz w:val="22"/>
                <w:szCs w:val="22"/>
                <w:lang w:val="ro-RO"/>
              </w:rPr>
              <w:t>Bacau</w:t>
            </w:r>
          </w:p>
          <w:p w:rsidR="00BD59B2" w:rsidRPr="00E0488D" w:rsidRDefault="00BD59B2" w:rsidP="009972B3">
            <w:pPr>
              <w:jc w:val="center"/>
              <w:rPr>
                <w:sz w:val="22"/>
                <w:szCs w:val="22"/>
                <w:lang w:val="ro-RO"/>
              </w:rPr>
            </w:pPr>
            <w:r w:rsidRPr="00E0488D">
              <w:rPr>
                <w:sz w:val="22"/>
                <w:szCs w:val="22"/>
                <w:lang w:val="ro-RO"/>
              </w:rPr>
              <w:t>Oradea</w:t>
            </w:r>
          </w:p>
        </w:tc>
        <w:tc>
          <w:tcPr>
            <w:tcW w:w="1336" w:type="dxa"/>
            <w:vAlign w:val="center"/>
          </w:tcPr>
          <w:p w:rsidR="00BD59B2" w:rsidRPr="00E0488D" w:rsidRDefault="00BD59B2" w:rsidP="009972B3">
            <w:pPr>
              <w:jc w:val="center"/>
              <w:rPr>
                <w:sz w:val="22"/>
                <w:szCs w:val="22"/>
                <w:lang w:val="ro-RO"/>
              </w:rPr>
            </w:pPr>
            <w:r w:rsidRPr="00E0488D">
              <w:rPr>
                <w:sz w:val="22"/>
                <w:szCs w:val="22"/>
                <w:lang w:val="ro-RO"/>
              </w:rPr>
              <w:t>Craiova</w:t>
            </w:r>
          </w:p>
          <w:p w:rsidR="00BD59B2" w:rsidRPr="00E0488D" w:rsidRDefault="00BD59B2" w:rsidP="009972B3">
            <w:pPr>
              <w:jc w:val="center"/>
              <w:rPr>
                <w:sz w:val="22"/>
                <w:szCs w:val="22"/>
                <w:lang w:val="ro-RO"/>
              </w:rPr>
            </w:pPr>
            <w:r w:rsidRPr="00E0488D">
              <w:rPr>
                <w:sz w:val="22"/>
                <w:szCs w:val="22"/>
                <w:lang w:val="ro-RO"/>
              </w:rPr>
              <w:t>Bucharest</w:t>
            </w:r>
          </w:p>
        </w:tc>
      </w:tr>
    </w:tbl>
    <w:p w:rsidR="00BD59B2" w:rsidRPr="00E0488D" w:rsidRDefault="00BD59B2" w:rsidP="002B7E09">
      <w:pPr>
        <w:pStyle w:val="NumberedParas"/>
      </w:pPr>
      <w:r w:rsidRPr="00E0488D">
        <w:rPr>
          <w:rStyle w:val="hps"/>
          <w:rFonts w:cs="Arial"/>
          <w:color w:val="000000" w:themeColor="text1"/>
        </w:rPr>
        <w:t xml:space="preserve">O comparație a tabelelor 8.12 și 8.13 arată că rețeaua propusă are susținerea diferiților factori de interes, </w:t>
      </w:r>
    </w:p>
    <w:p w:rsidR="00BD59B2" w:rsidRPr="00E0488D" w:rsidRDefault="00BD59B2" w:rsidP="002B7E09">
      <w:pPr>
        <w:pStyle w:val="NumberedParas"/>
      </w:pPr>
      <w:r w:rsidRPr="00E0488D">
        <w:rPr>
          <w:rStyle w:val="hps"/>
          <w:rFonts w:cs="Arial"/>
          <w:color w:val="000000" w:themeColor="text1"/>
        </w:rPr>
        <w:t>Această combinație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tri-</w:t>
      </w:r>
      <w:r w:rsidRPr="00E0488D">
        <w:t xml:space="preserve">modale </w:t>
      </w:r>
      <w:r w:rsidRPr="00E0488D">
        <w:rPr>
          <w:rStyle w:val="hps"/>
          <w:rFonts w:cs="Arial"/>
          <w:color w:val="000000" w:themeColor="text1"/>
        </w:rPr>
        <w:t>oferă</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numai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mare</w:t>
      </w:r>
      <w:r w:rsidRPr="00E0488D">
        <w:t xml:space="preserve"> </w:t>
      </w:r>
      <w:r w:rsidRPr="00E0488D">
        <w:rPr>
          <w:rStyle w:val="hps"/>
          <w:rFonts w:cs="Arial"/>
          <w:color w:val="000000" w:themeColor="text1"/>
        </w:rPr>
        <w:t>de vânzare cu amănuntul</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centrele</w:t>
      </w:r>
      <w:r w:rsidRPr="00E0488D">
        <w:t xml:space="preserve"> </w:t>
      </w:r>
      <w:r w:rsidRPr="00E0488D">
        <w:rPr>
          <w:rStyle w:val="hps"/>
          <w:rFonts w:cs="Arial"/>
          <w:color w:val="000000" w:themeColor="text1"/>
        </w:rPr>
        <w:t>de populație</w:t>
      </w:r>
      <w:r w:rsidRPr="00E0488D">
        <w:t xml:space="preserve">, </w:t>
      </w:r>
      <w:r w:rsidRPr="00E0488D">
        <w:rPr>
          <w:rStyle w:val="hps"/>
          <w:rFonts w:cs="Arial"/>
          <w:color w:val="000000" w:themeColor="text1"/>
        </w:rPr>
        <w:t>dar și</w:t>
      </w:r>
      <w:r w:rsidRPr="00E0488D">
        <w:t xml:space="preserve"> </w:t>
      </w:r>
      <w:r w:rsidRPr="00E0488D">
        <w:rPr>
          <w:rStyle w:val="hps"/>
          <w:rFonts w:cs="Arial"/>
          <w:color w:val="000000" w:themeColor="text1"/>
        </w:rPr>
        <w:t>potențiale</w:t>
      </w:r>
      <w:r w:rsidRPr="00E0488D">
        <w:t xml:space="preserve"> </w:t>
      </w:r>
      <w:r w:rsidRPr="00E0488D">
        <w:rPr>
          <w:rStyle w:val="hps"/>
          <w:rFonts w:cs="Arial"/>
          <w:color w:val="000000" w:themeColor="text1"/>
        </w:rPr>
        <w:t>fluxuri</w:t>
      </w:r>
      <w:r w:rsidRPr="00E0488D">
        <w:t xml:space="preserve"> de mărfuri industriale </w:t>
      </w:r>
      <w:r w:rsidRPr="00E0488D">
        <w:rPr>
          <w:rStyle w:val="hps"/>
          <w:rFonts w:cs="Arial"/>
          <w:color w:val="000000" w:themeColor="text1"/>
        </w:rPr>
        <w:t>containerizate</w:t>
      </w:r>
      <w:r w:rsidRPr="00E0488D">
        <w:t xml:space="preserve"> </w:t>
      </w:r>
      <w:r w:rsidRPr="00E0488D">
        <w:rPr>
          <w:rStyle w:val="hps"/>
          <w:rFonts w:cs="Arial"/>
          <w:color w:val="000000" w:themeColor="text1"/>
        </w:rPr>
        <w:t>din sectoarele industriale</w:t>
      </w:r>
      <w:r w:rsidRPr="00E0488D">
        <w:t xml:space="preserve"> </w:t>
      </w:r>
      <w:r w:rsidRPr="00E0488D">
        <w:rPr>
          <w:rStyle w:val="hps"/>
          <w:rFonts w:cs="Arial"/>
          <w:color w:val="000000" w:themeColor="text1"/>
        </w:rPr>
        <w:t>importante</w:t>
      </w:r>
      <w:r w:rsidRPr="00E0488D">
        <w:t xml:space="preserve">. </w:t>
      </w:r>
      <w:r w:rsidRPr="00E0488D">
        <w:rPr>
          <w:rStyle w:val="hps"/>
          <w:rFonts w:cs="Arial"/>
          <w:color w:val="000000" w:themeColor="text1"/>
        </w:rPr>
        <w:t>Mai mult decât atât</w:t>
      </w:r>
      <w:r w:rsidRPr="00E0488D">
        <w:t xml:space="preserve">, </w:t>
      </w:r>
      <w:r w:rsidRPr="00E0488D">
        <w:rPr>
          <w:rStyle w:val="hps"/>
          <w:rFonts w:cs="Arial"/>
          <w:color w:val="000000" w:themeColor="text1"/>
        </w:rPr>
        <w:t>aceasta</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oportunitate</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realizarea unei rețele coerente</w:t>
      </w:r>
      <w:r w:rsidRPr="00E0488D">
        <w:t xml:space="preserve">, </w:t>
      </w:r>
      <w:r w:rsidRPr="00E0488D">
        <w:rPr>
          <w:rStyle w:val="hps"/>
          <w:rFonts w:cs="Arial"/>
          <w:color w:val="000000" w:themeColor="text1"/>
        </w:rPr>
        <w:t>cuprinzătoare</w:t>
      </w:r>
      <w:r w:rsidRPr="00E0488D">
        <w:t xml:space="preserve"> </w:t>
      </w:r>
      <w:r w:rsidRPr="00E0488D">
        <w:rPr>
          <w:rStyle w:val="hps"/>
          <w:rFonts w:cs="Arial"/>
          <w:color w:val="000000" w:themeColor="text1"/>
        </w:rPr>
        <w:t>în domeniul transportului durabil</w:t>
      </w:r>
      <w:r w:rsidRPr="00E0488D">
        <w:t xml:space="preserve"> </w:t>
      </w:r>
      <w:r w:rsidRPr="00E0488D">
        <w:rPr>
          <w:rStyle w:val="hps"/>
          <w:rFonts w:cs="Arial"/>
          <w:color w:val="000000" w:themeColor="text1"/>
        </w:rPr>
        <w:t>pentru containere</w:t>
      </w:r>
      <w:r w:rsidRPr="00E0488D">
        <w:t xml:space="preserve"> </w:t>
      </w:r>
      <w:r w:rsidRPr="00E0488D">
        <w:rPr>
          <w:rStyle w:val="hps"/>
          <w:rFonts w:cs="Arial"/>
          <w:color w:val="000000" w:themeColor="text1"/>
        </w:rPr>
        <w:t>din intreaga natiune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ar trebui să</w:t>
      </w:r>
      <w:r w:rsidRPr="00E0488D">
        <w:t xml:space="preserve"> </w:t>
      </w:r>
      <w:r w:rsidRPr="00E0488D">
        <w:rPr>
          <w:rStyle w:val="hps"/>
          <w:rFonts w:cs="Arial"/>
          <w:color w:val="000000" w:themeColor="text1"/>
        </w:rPr>
        <w:t>promoveze o schimbare</w:t>
      </w:r>
      <w:r w:rsidRPr="00E0488D">
        <w:t xml:space="preserve"> </w:t>
      </w:r>
      <w:r w:rsidRPr="00E0488D">
        <w:rPr>
          <w:rStyle w:val="hps"/>
          <w:rFonts w:cs="Arial"/>
          <w:color w:val="000000" w:themeColor="text1"/>
        </w:rPr>
        <w:t>semnificativă</w:t>
      </w:r>
      <w:r w:rsidRPr="00E0488D">
        <w:t xml:space="preserve"> </w:t>
      </w:r>
      <w:r w:rsidRPr="00E0488D">
        <w:rPr>
          <w:rStyle w:val="hps"/>
          <w:rFonts w:cs="Arial"/>
          <w:color w:val="000000" w:themeColor="text1"/>
        </w:rPr>
        <w:t>de la transportul rutier</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modurile</w:t>
      </w:r>
      <w:r w:rsidRPr="00E0488D">
        <w:t xml:space="preserve"> </w:t>
      </w:r>
      <w:r w:rsidRPr="00E0488D">
        <w:rPr>
          <w:rStyle w:val="hps"/>
          <w:rFonts w:cs="Arial"/>
          <w:color w:val="000000" w:themeColor="text1"/>
        </w:rPr>
        <w:t>de transport mai sustenabile, respectiv feroviar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naval</w:t>
      </w:r>
      <w:r w:rsidRPr="00E0488D">
        <w:t xml:space="preserve">. </w:t>
      </w:r>
    </w:p>
    <w:p w:rsidR="00BD59B2" w:rsidRPr="00E0488D" w:rsidRDefault="00BD59B2" w:rsidP="002B7E09">
      <w:pPr>
        <w:pStyle w:val="NumberedParas"/>
      </w:pPr>
      <w:r w:rsidRPr="00E0488D">
        <w:rPr>
          <w:rStyle w:val="hps"/>
          <w:rFonts w:cs="Arial"/>
          <w:color w:val="000000" w:themeColor="text1"/>
        </w:rPr>
        <w:t>Conform modelului</w:t>
      </w:r>
      <w:r w:rsidRPr="00E0488D">
        <w:t xml:space="preserve"> </w:t>
      </w:r>
      <w:r w:rsidRPr="00E0488D">
        <w:rPr>
          <w:rStyle w:val="hps"/>
          <w:rFonts w:cs="Arial"/>
          <w:color w:val="000000" w:themeColor="text1"/>
        </w:rPr>
        <w:t>național de transport</w:t>
      </w:r>
      <w:r w:rsidRPr="00E0488D">
        <w:t xml:space="preserve">, </w:t>
      </w:r>
      <w:r w:rsidRPr="00E0488D">
        <w:rPr>
          <w:rStyle w:val="hps"/>
          <w:rFonts w:cs="Arial"/>
          <w:color w:val="000000" w:themeColor="text1"/>
        </w:rPr>
        <w:t>setul</w:t>
      </w:r>
      <w:r w:rsidRPr="00E0488D">
        <w:t xml:space="preserve"> </w:t>
      </w:r>
      <w:r w:rsidRPr="00E0488D">
        <w:rPr>
          <w:rStyle w:val="hps"/>
          <w:rFonts w:cs="Arial"/>
          <w:color w:val="000000" w:themeColor="text1"/>
        </w:rPr>
        <w:t>recomandat</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promovează</w:t>
      </w:r>
      <w:r w:rsidRPr="00E0488D">
        <w:t xml:space="preserve"> </w:t>
      </w:r>
      <w:r w:rsidRPr="00E0488D">
        <w:rPr>
          <w:rStyle w:val="hps"/>
          <w:rFonts w:cs="Arial"/>
          <w:color w:val="000000" w:themeColor="text1"/>
        </w:rPr>
        <w:t>într-adevăr</w:t>
      </w:r>
      <w:r w:rsidRPr="00E0488D">
        <w:t xml:space="preserve"> </w:t>
      </w:r>
      <w:r w:rsidRPr="00E0488D">
        <w:rPr>
          <w:rStyle w:val="hps"/>
          <w:rFonts w:cs="Arial"/>
          <w:color w:val="000000" w:themeColor="text1"/>
        </w:rPr>
        <w:t>transferul modal</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aproximativ</w:t>
      </w:r>
      <w:r w:rsidRPr="00E0488D">
        <w:t xml:space="preserve"> </w:t>
      </w:r>
      <w:r w:rsidRPr="00E0488D">
        <w:rPr>
          <w:rStyle w:val="hps"/>
          <w:rFonts w:cs="Arial"/>
          <w:color w:val="000000" w:themeColor="text1"/>
        </w:rPr>
        <w:t>900.000</w:t>
      </w:r>
      <w:r w:rsidRPr="00E0488D">
        <w:t xml:space="preserve"> kilometri tone </w:t>
      </w:r>
      <w:r w:rsidRPr="00E0488D">
        <w:rPr>
          <w:rStyle w:val="hps"/>
          <w:rFonts w:cs="Arial"/>
          <w:color w:val="000000" w:themeColor="text1"/>
        </w:rPr>
        <w:t>mai putine</w:t>
      </w:r>
      <w:r w:rsidRPr="00E0488D">
        <w:t xml:space="preserve">, </w:t>
      </w:r>
      <w:r w:rsidRPr="00E0488D">
        <w:rPr>
          <w:rStyle w:val="hps"/>
          <w:rFonts w:cs="Arial"/>
          <w:color w:val="000000" w:themeColor="text1"/>
        </w:rPr>
        <w:t>peste</w:t>
      </w:r>
      <w:r w:rsidRPr="00E0488D">
        <w:t xml:space="preserve"> </w:t>
      </w:r>
      <w:r w:rsidRPr="00E0488D">
        <w:rPr>
          <w:rStyle w:val="hps"/>
          <w:rFonts w:cs="Arial"/>
          <w:color w:val="000000" w:themeColor="text1"/>
        </w:rPr>
        <w:t>100.000 de</w:t>
      </w:r>
      <w:r w:rsidRPr="00E0488D">
        <w:t xml:space="preserve"> kilometri </w:t>
      </w:r>
      <w:r w:rsidRPr="00E0488D">
        <w:rPr>
          <w:rStyle w:val="hps"/>
          <w:rFonts w:cs="Arial"/>
          <w:color w:val="000000" w:themeColor="text1"/>
        </w:rPr>
        <w:t>tone</w:t>
      </w:r>
      <w:r w:rsidRPr="00E0488D">
        <w:t xml:space="preserve"> </w:t>
      </w:r>
      <w:r w:rsidRPr="00E0488D">
        <w:rPr>
          <w:rStyle w:val="hps"/>
          <w:rFonts w:cs="Arial"/>
          <w:color w:val="000000" w:themeColor="text1"/>
        </w:rPr>
        <w:t>cale ferată</w:t>
      </w:r>
      <w:r w:rsidRPr="00E0488D">
        <w:t xml:space="preserve">, </w:t>
      </w:r>
      <w:r w:rsidRPr="00E0488D">
        <w:rPr>
          <w:rStyle w:val="hps"/>
          <w:rFonts w:cs="Arial"/>
          <w:color w:val="000000" w:themeColor="text1"/>
        </w:rPr>
        <w:t>peste</w:t>
      </w:r>
      <w:r w:rsidRPr="00E0488D">
        <w:t xml:space="preserve"> </w:t>
      </w:r>
      <w:r w:rsidRPr="00E0488D">
        <w:rPr>
          <w:rStyle w:val="hps"/>
          <w:rFonts w:cs="Arial"/>
          <w:color w:val="000000" w:themeColor="text1"/>
        </w:rPr>
        <w:t xml:space="preserve">1,1 milioane kilometri </w:t>
      </w:r>
      <w:r w:rsidRPr="00E0488D">
        <w:t xml:space="preserve"> </w:t>
      </w:r>
      <w:r w:rsidRPr="00E0488D">
        <w:rPr>
          <w:rStyle w:val="hps"/>
          <w:rFonts w:cs="Arial"/>
          <w:color w:val="000000" w:themeColor="text1"/>
        </w:rPr>
        <w:t>tone</w:t>
      </w:r>
      <w:r w:rsidRPr="00E0488D">
        <w:t xml:space="preserve"> </w:t>
      </w:r>
      <w:r w:rsidRPr="00E0488D">
        <w:rPr>
          <w:rStyle w:val="hps"/>
          <w:rFonts w:cs="Arial"/>
          <w:color w:val="000000" w:themeColor="text1"/>
        </w:rPr>
        <w:t>marfă</w:t>
      </w:r>
      <w:r w:rsidRPr="00E0488D">
        <w:t xml:space="preserve"> </w:t>
      </w:r>
      <w:r w:rsidRPr="00E0488D">
        <w:rPr>
          <w:rStyle w:val="hps"/>
          <w:rFonts w:cs="Arial"/>
          <w:color w:val="000000" w:themeColor="text1"/>
        </w:rPr>
        <w:t>suplimentari pe modul naval</w:t>
      </w:r>
      <w:r w:rsidRPr="00E0488D">
        <w:t xml:space="preserve"> </w:t>
      </w:r>
      <w:r w:rsidRPr="00E0488D">
        <w:rPr>
          <w:rStyle w:val="hps"/>
          <w:rFonts w:cs="Arial"/>
          <w:color w:val="000000" w:themeColor="text1"/>
        </w:rPr>
        <w:t>și aproximativ</w:t>
      </w:r>
      <w:r w:rsidRPr="00E0488D">
        <w:t xml:space="preserve"> </w:t>
      </w:r>
      <w:r w:rsidRPr="00E0488D">
        <w:rPr>
          <w:rStyle w:val="hps"/>
          <w:rFonts w:cs="Arial"/>
          <w:color w:val="000000" w:themeColor="text1"/>
        </w:rPr>
        <w:t>400.000 de</w:t>
      </w:r>
      <w:r w:rsidRPr="00E0488D">
        <w:t xml:space="preserve"> kilometri </w:t>
      </w:r>
      <w:r w:rsidRPr="00E0488D">
        <w:rPr>
          <w:rStyle w:val="hps"/>
          <w:rFonts w:cs="Arial"/>
          <w:color w:val="000000" w:themeColor="text1"/>
        </w:rPr>
        <w:t>tone</w:t>
      </w:r>
      <w:r w:rsidRPr="00E0488D">
        <w:t xml:space="preserve"> </w:t>
      </w:r>
      <w:r w:rsidRPr="00E0488D">
        <w:rPr>
          <w:rStyle w:val="hps"/>
          <w:rFonts w:cs="Arial"/>
          <w:color w:val="000000" w:themeColor="text1"/>
        </w:rPr>
        <w:t>de marfă</w:t>
      </w:r>
      <w:r w:rsidRPr="00E0488D">
        <w:t xml:space="preserve"> </w:t>
      </w:r>
      <w:r w:rsidRPr="00E0488D">
        <w:rPr>
          <w:rStyle w:val="hps"/>
          <w:rFonts w:cs="Arial"/>
          <w:color w:val="000000" w:themeColor="text1"/>
        </w:rPr>
        <w:t>mai mulți decât</w:t>
      </w:r>
      <w:r w:rsidRPr="00E0488D">
        <w:t xml:space="preserve"> </w:t>
      </w:r>
      <w:r w:rsidRPr="00E0488D">
        <w:rPr>
          <w:rStyle w:val="hps"/>
          <w:rFonts w:cs="Arial"/>
          <w:color w:val="000000" w:themeColor="text1"/>
        </w:rPr>
        <w:t>cazul</w:t>
      </w:r>
      <w:r w:rsidRPr="00E0488D">
        <w:t xml:space="preserve"> </w:t>
      </w:r>
      <w:r w:rsidRPr="00E0488D">
        <w:rPr>
          <w:rStyle w:val="hps"/>
          <w:rFonts w:cs="Arial"/>
          <w:color w:val="000000" w:themeColor="text1"/>
        </w:rPr>
        <w:t>de referință</w:t>
      </w:r>
      <w:r w:rsidRPr="00E0488D">
        <w:t xml:space="preserve"> </w:t>
      </w:r>
      <w:r w:rsidRPr="00E0488D">
        <w:rPr>
          <w:rStyle w:val="hps"/>
          <w:rFonts w:cs="Arial"/>
          <w:color w:val="000000" w:themeColor="text1"/>
        </w:rPr>
        <w:t>până în 2030</w:t>
      </w:r>
      <w:r w:rsidRPr="00E0488D">
        <w:t xml:space="preserve">. </w:t>
      </w:r>
    </w:p>
    <w:p w:rsidR="00BD59B2" w:rsidRPr="00E0488D" w:rsidRDefault="00BD59B2" w:rsidP="002B7E09">
      <w:pPr>
        <w:pStyle w:val="NumberedParas"/>
      </w:pPr>
      <w:r w:rsidRPr="00E0488D">
        <w:rPr>
          <w:rStyle w:val="hps"/>
          <w:rFonts w:cs="Arial"/>
          <w:color w:val="000000" w:themeColor="text1"/>
        </w:rPr>
        <w:t>Cu toate acestea</w:t>
      </w:r>
      <w:r w:rsidRPr="00E0488D">
        <w:t xml:space="preserve">, </w:t>
      </w:r>
      <w:r w:rsidRPr="00E0488D">
        <w:rPr>
          <w:rStyle w:val="hps"/>
          <w:rFonts w:cs="Arial"/>
          <w:color w:val="000000" w:themeColor="text1"/>
        </w:rPr>
        <w:t>aceste terminale</w:t>
      </w:r>
      <w:r w:rsidRPr="00E0488D">
        <w:t xml:space="preserve"> </w:t>
      </w:r>
      <w:r w:rsidRPr="00E0488D">
        <w:rPr>
          <w:rStyle w:val="hps"/>
          <w:rFonts w:cs="Arial"/>
          <w:color w:val="000000" w:themeColor="text1"/>
        </w:rPr>
        <w:t>vor</w:t>
      </w:r>
      <w:r w:rsidRPr="00E0488D">
        <w:t xml:space="preserve"> </w:t>
      </w:r>
      <w:r w:rsidRPr="00E0488D">
        <w:rPr>
          <w:rStyle w:val="hps"/>
          <w:rFonts w:cs="Arial"/>
          <w:color w:val="000000" w:themeColor="text1"/>
        </w:rPr>
        <w:t>trebui</w:t>
      </w:r>
      <w:r w:rsidRPr="00E0488D">
        <w:t xml:space="preserve"> </w:t>
      </w:r>
      <w:r w:rsidRPr="00E0488D">
        <w:rPr>
          <w:rStyle w:val="hps"/>
          <w:rFonts w:cs="Arial"/>
          <w:color w:val="000000" w:themeColor="text1"/>
        </w:rPr>
        <w:t>să</w:t>
      </w:r>
      <w:r w:rsidRPr="00E0488D">
        <w:t xml:space="preserve"> </w:t>
      </w:r>
      <w:r w:rsidRPr="00E0488D">
        <w:rPr>
          <w:rStyle w:val="hps"/>
          <w:rFonts w:cs="Arial"/>
          <w:color w:val="000000" w:themeColor="text1"/>
        </w:rPr>
        <w:t>fie însoțite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coridoare feroviare</w:t>
      </w:r>
      <w:r w:rsidRPr="00E0488D">
        <w:t xml:space="preserve"> </w:t>
      </w:r>
      <w:r w:rsidRPr="00E0488D">
        <w:rPr>
          <w:rStyle w:val="hps"/>
          <w:rFonts w:cs="Arial"/>
          <w:color w:val="000000" w:themeColor="text1"/>
        </w:rPr>
        <w:t>reabilitate</w:t>
      </w:r>
      <w:r w:rsidRPr="00E0488D">
        <w:t xml:space="preserve"> </w:t>
      </w:r>
      <w:r w:rsidRPr="00E0488D">
        <w:rPr>
          <w:rStyle w:val="hps"/>
          <w:rFonts w:cs="Arial"/>
          <w:color w:val="000000" w:themeColor="text1"/>
        </w:rPr>
        <w:t>pentru a permite</w:t>
      </w:r>
      <w:r w:rsidRPr="00E0488D">
        <w:t xml:space="preserve"> accesul </w:t>
      </w:r>
      <w:r w:rsidRPr="00E0488D">
        <w:rPr>
          <w:rStyle w:val="hps"/>
          <w:rFonts w:cs="Arial"/>
          <w:color w:val="000000" w:themeColor="text1"/>
        </w:rPr>
        <w:t>trenurilor</w:t>
      </w:r>
      <w:r w:rsidRPr="00E0488D">
        <w:t xml:space="preserve"> </w:t>
      </w:r>
      <w:r w:rsidRPr="00E0488D">
        <w:rPr>
          <w:rStyle w:val="hps"/>
          <w:rFonts w:cs="Arial"/>
          <w:color w:val="000000" w:themeColor="text1"/>
        </w:rPr>
        <w:t>grele</w:t>
      </w:r>
      <w:r w:rsidRPr="00E0488D">
        <w:t xml:space="preserve"> </w:t>
      </w:r>
      <w:r w:rsidRPr="00E0488D">
        <w:rPr>
          <w:rStyle w:val="hps"/>
          <w:rFonts w:cs="Arial"/>
          <w:color w:val="000000" w:themeColor="text1"/>
        </w:rPr>
        <w:t>(cu sarcină de</w:t>
      </w:r>
      <w:r w:rsidRPr="00E0488D">
        <w:t xml:space="preserve"> </w:t>
      </w:r>
      <w:r w:rsidRPr="00E0488D">
        <w:rPr>
          <w:rStyle w:val="hps"/>
          <w:rFonts w:cs="Arial"/>
          <w:color w:val="000000" w:themeColor="text1"/>
        </w:rPr>
        <w:t>22.5 tone pe</w:t>
      </w:r>
      <w:r w:rsidRPr="00E0488D">
        <w:t xml:space="preserve"> </w:t>
      </w:r>
      <w:r w:rsidRPr="00E0488D">
        <w:rPr>
          <w:rStyle w:val="hps"/>
          <w:rFonts w:cs="Arial"/>
          <w:color w:val="000000" w:themeColor="text1"/>
        </w:rPr>
        <w:t>osie</w:t>
      </w:r>
      <w:r w:rsidRPr="00E0488D">
        <w:t xml:space="preserve">) </w:t>
      </w:r>
      <w:r w:rsidRPr="00E0488D">
        <w:rPr>
          <w:rStyle w:val="hps"/>
          <w:rFonts w:cs="Arial"/>
          <w:color w:val="000000" w:themeColor="text1"/>
        </w:rPr>
        <w:t>și</w:t>
      </w:r>
      <w:r w:rsidRPr="00E0488D">
        <w:t xml:space="preserve">, de asemenea, </w:t>
      </w:r>
      <w:r w:rsidRPr="00E0488D">
        <w:rPr>
          <w:rStyle w:val="hps"/>
          <w:rFonts w:cs="Arial"/>
          <w:color w:val="000000" w:themeColor="text1"/>
        </w:rPr>
        <w:t>trecerea</w:t>
      </w:r>
      <w:r w:rsidRPr="00E0488D">
        <w:t xml:space="preserve"> </w:t>
      </w:r>
      <w:r w:rsidRPr="00E0488D">
        <w:rPr>
          <w:rStyle w:val="hps"/>
          <w:rFonts w:cs="Arial"/>
          <w:color w:val="000000" w:themeColor="text1"/>
        </w:rPr>
        <w:t>eficientă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trenurilor</w:t>
      </w:r>
      <w:r w:rsidRPr="00E0488D">
        <w:t xml:space="preserve"> </w:t>
      </w:r>
      <w:r w:rsidRPr="00E0488D">
        <w:rPr>
          <w:rStyle w:val="hps"/>
          <w:rFonts w:cs="Arial"/>
          <w:color w:val="000000" w:themeColor="text1"/>
        </w:rPr>
        <w:t>de containere</w:t>
      </w:r>
      <w:r w:rsidRPr="00E0488D">
        <w:t xml:space="preserve"> pentru a asigura rularea cu </w:t>
      </w:r>
      <w:r w:rsidRPr="00E0488D">
        <w:rPr>
          <w:rStyle w:val="hps"/>
          <w:rFonts w:cs="Arial"/>
          <w:color w:val="000000" w:themeColor="text1"/>
        </w:rPr>
        <w:t>viteze mai mari, rentabilitatea timpilor de călătorie și</w:t>
      </w:r>
      <w:r w:rsidRPr="00E0488D">
        <w:t xml:space="preserve"> </w:t>
      </w:r>
      <w:r w:rsidRPr="00E0488D">
        <w:rPr>
          <w:rStyle w:val="hps"/>
          <w:rFonts w:cs="Arial"/>
          <w:color w:val="000000" w:themeColor="text1"/>
        </w:rPr>
        <w:t>punctualitatea</w:t>
      </w:r>
      <w:r w:rsidRPr="00E0488D">
        <w:t xml:space="preserve">. </w:t>
      </w:r>
      <w:r w:rsidRPr="00E0488D">
        <w:rPr>
          <w:rStyle w:val="hps"/>
          <w:rFonts w:cs="Arial"/>
          <w:color w:val="000000" w:themeColor="text1"/>
        </w:rPr>
        <w:t>Aceste îmbunătățiri</w:t>
      </w:r>
      <w:r w:rsidRPr="00E0488D">
        <w:t xml:space="preserve"> </w:t>
      </w:r>
      <w:r w:rsidRPr="00E0488D">
        <w:rPr>
          <w:rStyle w:val="hps"/>
          <w:rFonts w:cs="Arial"/>
          <w:color w:val="000000" w:themeColor="text1"/>
        </w:rPr>
        <w:t>vor fi, de asemenea, benefice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vor permite creșterea</w:t>
      </w:r>
      <w:r w:rsidRPr="00E0488D">
        <w:t xml:space="preserve"> </w:t>
      </w:r>
      <w:r w:rsidRPr="00E0488D">
        <w:rPr>
          <w:rStyle w:val="hps"/>
          <w:rFonts w:cs="Arial"/>
          <w:color w:val="000000" w:themeColor="text1"/>
        </w:rPr>
        <w:t>prognozată a</w:t>
      </w:r>
      <w:r w:rsidRPr="00E0488D">
        <w:t xml:space="preserve"> </w:t>
      </w:r>
      <w:r w:rsidRPr="00E0488D">
        <w:rPr>
          <w:rStyle w:val="hps"/>
          <w:rFonts w:cs="Arial"/>
          <w:color w:val="000000" w:themeColor="text1"/>
        </w:rPr>
        <w:t>transportului de marfă</w:t>
      </w:r>
      <w:r w:rsidRPr="00E0488D">
        <w:t xml:space="preserve"> </w:t>
      </w:r>
      <w:r w:rsidRPr="00E0488D">
        <w:rPr>
          <w:rStyle w:val="hps"/>
          <w:rFonts w:cs="Arial"/>
          <w:color w:val="000000" w:themeColor="text1"/>
        </w:rPr>
        <w:t xml:space="preserve">fără </w:t>
      </w:r>
      <w:r w:rsidRPr="00E0488D">
        <w:t xml:space="preserve">containere, </w:t>
      </w:r>
      <w:r w:rsidRPr="00E0488D">
        <w:rPr>
          <w:rStyle w:val="hps"/>
          <w:rFonts w:cs="Arial"/>
          <w:color w:val="000000" w:themeColor="text1"/>
        </w:rPr>
        <w:t>în cazul în care</w:t>
      </w:r>
      <w:r w:rsidRPr="00E0488D">
        <w:t xml:space="preserve"> </w:t>
      </w:r>
      <w:r w:rsidRPr="00E0488D">
        <w:rPr>
          <w:rStyle w:val="hps"/>
          <w:rFonts w:cs="Arial"/>
          <w:color w:val="000000" w:themeColor="text1"/>
        </w:rPr>
        <w:t>calea ferată își va păstra competitivitatea față de transportul rutier</w:t>
      </w:r>
      <w:r w:rsidRPr="00E0488D">
        <w:t>.</w:t>
      </w:r>
    </w:p>
    <w:p w:rsidR="00BD59B2" w:rsidRPr="00E0488D" w:rsidRDefault="00BD59B2" w:rsidP="00BD59B2">
      <w:pPr>
        <w:rPr>
          <w:lang w:val="ro-RO"/>
        </w:rPr>
        <w:sectPr w:rsidR="00BD59B2" w:rsidRPr="00E0488D" w:rsidSect="00933C17">
          <w:pgSz w:w="11907" w:h="16840" w:code="9"/>
          <w:pgMar w:top="1418" w:right="709" w:bottom="1418" w:left="907" w:header="357" w:footer="567" w:gutter="0"/>
          <w:cols w:space="187"/>
          <w:docGrid w:linePitch="360"/>
        </w:sectPr>
      </w:pPr>
      <w:r w:rsidRPr="00E0488D">
        <w:rPr>
          <w:lang w:val="ro-RO"/>
        </w:rPr>
        <w:t xml:space="preserve">  </w:t>
      </w:r>
    </w:p>
    <w:p w:rsidR="00BD59B2" w:rsidRPr="00E0488D" w:rsidRDefault="00BD59B2" w:rsidP="00BD59B2">
      <w:pPr>
        <w:pStyle w:val="Body"/>
        <w:rPr>
          <w:rFonts w:cs="Arial"/>
          <w:b/>
          <w:i w:val="0"/>
          <w:lang w:val="ro-RO"/>
        </w:rPr>
      </w:pPr>
      <w:r w:rsidRPr="00E0488D">
        <w:rPr>
          <w:rFonts w:cs="Arial"/>
          <w:b/>
          <w:i w:val="0"/>
          <w:lang w:val="ro-RO"/>
        </w:rPr>
        <w:t>Tabelul 8.15: Rețelele propuse de terminale din studiile anterioare și discuții</w:t>
      </w:r>
    </w:p>
    <w:tbl>
      <w:tblPr>
        <w:tblW w:w="0" w:type="auto"/>
        <w:jc w:val="center"/>
        <w:tblLook w:val="04A0" w:firstRow="1" w:lastRow="0" w:firstColumn="1" w:lastColumn="0" w:noHBand="0" w:noVBand="1"/>
      </w:tblPr>
      <w:tblGrid>
        <w:gridCol w:w="1801"/>
        <w:gridCol w:w="562"/>
        <w:gridCol w:w="469"/>
        <w:gridCol w:w="469"/>
        <w:gridCol w:w="405"/>
        <w:gridCol w:w="405"/>
        <w:gridCol w:w="405"/>
        <w:gridCol w:w="405"/>
        <w:gridCol w:w="405"/>
        <w:gridCol w:w="405"/>
        <w:gridCol w:w="405"/>
        <w:gridCol w:w="405"/>
        <w:gridCol w:w="405"/>
        <w:gridCol w:w="405"/>
        <w:gridCol w:w="404"/>
        <w:gridCol w:w="404"/>
        <w:gridCol w:w="404"/>
        <w:gridCol w:w="404"/>
        <w:gridCol w:w="404"/>
        <w:gridCol w:w="404"/>
        <w:gridCol w:w="404"/>
        <w:gridCol w:w="404"/>
        <w:gridCol w:w="404"/>
        <w:gridCol w:w="404"/>
        <w:gridCol w:w="404"/>
        <w:gridCol w:w="404"/>
        <w:gridCol w:w="404"/>
        <w:gridCol w:w="404"/>
        <w:gridCol w:w="404"/>
        <w:gridCol w:w="404"/>
        <w:gridCol w:w="404"/>
      </w:tblGrid>
      <w:tr w:rsidR="00BD59B2" w:rsidRPr="00E0488D" w:rsidTr="009972B3">
        <w:trPr>
          <w:trHeight w:val="233"/>
          <w:jc w:val="center"/>
        </w:trPr>
        <w:tc>
          <w:tcPr>
            <w:tcW w:w="0" w:type="auto"/>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t>Referință /Consultant</w:t>
            </w:r>
          </w:p>
        </w:tc>
        <w:tc>
          <w:tcPr>
            <w:tcW w:w="0" w:type="auto"/>
            <w:tcBorders>
              <w:top w:val="single" w:sz="4" w:space="0" w:color="auto"/>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t>An</w:t>
            </w:r>
          </w:p>
        </w:tc>
        <w:tc>
          <w:tcPr>
            <w:tcW w:w="0" w:type="auto"/>
            <w:gridSpan w:val="2"/>
            <w:tcBorders>
              <w:top w:val="single" w:sz="4" w:space="0" w:color="auto"/>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t>Nr.</w:t>
            </w:r>
          </w:p>
          <w:p w:rsidR="00BD59B2" w:rsidRPr="00E0488D" w:rsidRDefault="00BD59B2" w:rsidP="009972B3">
            <w:pPr>
              <w:jc w:val="center"/>
              <w:rPr>
                <w:lang w:val="ro-RO"/>
              </w:rPr>
            </w:pPr>
            <w:r w:rsidRPr="00E0488D">
              <w:rPr>
                <w:lang w:val="ro-RO"/>
              </w:rPr>
              <w:t>Terminale</w:t>
            </w:r>
          </w:p>
        </w:tc>
        <w:tc>
          <w:tcPr>
            <w:tcW w:w="0" w:type="auto"/>
            <w:gridSpan w:val="27"/>
            <w:tcBorders>
              <w:top w:val="single" w:sz="4" w:space="0" w:color="auto"/>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t xml:space="preserve">Cele mai potrivite locații </w:t>
            </w:r>
          </w:p>
        </w:tc>
      </w:tr>
      <w:tr w:rsidR="002B762C" w:rsidRPr="00E0488D" w:rsidTr="009972B3">
        <w:trPr>
          <w:cantSplit/>
          <w:trHeight w:val="1809"/>
          <w:jc w:val="center"/>
        </w:trPr>
        <w:tc>
          <w:tcPr>
            <w:tcW w:w="0" w:type="auto"/>
            <w:tcBorders>
              <w:top w:val="nil"/>
              <w:left w:val="single" w:sz="4" w:space="0" w:color="auto"/>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noWrap/>
            <w:textDirection w:val="tbRl"/>
            <w:vAlign w:val="center"/>
            <w:hideMark/>
          </w:tcPr>
          <w:p w:rsidR="00BD59B2" w:rsidRPr="00E0488D" w:rsidRDefault="00BD59B2" w:rsidP="009972B3">
            <w:pPr>
              <w:jc w:val="center"/>
              <w:rPr>
                <w:lang w:val="ro-RO"/>
              </w:rPr>
            </w:pPr>
            <w:r w:rsidRPr="00E0488D">
              <w:rPr>
                <w:lang w:val="ro-RO"/>
              </w:rPr>
              <w:t>Strategic</w:t>
            </w:r>
          </w:p>
        </w:tc>
        <w:tc>
          <w:tcPr>
            <w:tcW w:w="0" w:type="auto"/>
            <w:tcBorders>
              <w:top w:val="nil"/>
              <w:left w:val="nil"/>
              <w:bottom w:val="single" w:sz="4" w:space="0" w:color="auto"/>
              <w:right w:val="single" w:sz="4" w:space="0" w:color="auto"/>
            </w:tcBorders>
            <w:shd w:val="clear" w:color="000000" w:fill="C5D9F1"/>
            <w:noWrap/>
            <w:textDirection w:val="tbRl"/>
            <w:vAlign w:val="center"/>
            <w:hideMark/>
          </w:tcPr>
          <w:p w:rsidR="00BD59B2" w:rsidRPr="00E0488D" w:rsidRDefault="00BD59B2" w:rsidP="009972B3">
            <w:pPr>
              <w:jc w:val="center"/>
              <w:rPr>
                <w:lang w:val="ro-RO"/>
              </w:rPr>
            </w:pPr>
            <w:r w:rsidRPr="00E0488D">
              <w:rPr>
                <w:lang w:val="ro-RO"/>
              </w:rPr>
              <w:t>Mic l</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București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Arad /Timisoara/Seminic</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Ploiesti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Brasov;</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Sibiu;</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Iasi;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Cluj;</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Vidin</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Constanta;</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Galati;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Giurgiu</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Oradea Est</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Zalau</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Baia Mare</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Turda</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Medias</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Craiova</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Buzau</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Suceava</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Botasani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Bacau</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Bujoreni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Bradu de sus</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Ciumesti</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Vinto de Jos</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Slatina</w:t>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r w:rsidRPr="00E0488D">
              <w:rPr>
                <w:lang w:val="ro-RO"/>
              </w:rPr>
              <w:t>Pitesti</w:t>
            </w:r>
          </w:p>
        </w:tc>
      </w:tr>
      <w:tr w:rsidR="002B762C"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t>Tri-Modal:</w:t>
            </w: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sym w:font="Wingdings" w:char="F0FC"/>
            </w: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sym w:font="Wingdings" w:char="F0FC"/>
            </w: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sym w:font="Wingdings" w:char="F0FC"/>
            </w:r>
          </w:p>
        </w:tc>
        <w:tc>
          <w:tcPr>
            <w:tcW w:w="0" w:type="auto"/>
            <w:tcBorders>
              <w:top w:val="nil"/>
              <w:left w:val="nil"/>
              <w:bottom w:val="single" w:sz="4" w:space="0" w:color="auto"/>
              <w:right w:val="single" w:sz="4" w:space="0" w:color="auto"/>
            </w:tcBorders>
            <w:shd w:val="clear" w:color="000000" w:fill="C5D9F1"/>
            <w:noWrap/>
            <w:vAlign w:val="center"/>
            <w:hideMark/>
          </w:tcPr>
          <w:p w:rsidR="00BD59B2" w:rsidRPr="00E0488D" w:rsidRDefault="00BD59B2" w:rsidP="009972B3">
            <w:pPr>
              <w:jc w:val="center"/>
              <w:rPr>
                <w:lang w:val="ro-RO"/>
              </w:rPr>
            </w:pPr>
            <w:r w:rsidRPr="00E0488D">
              <w:rPr>
                <w:lang w:val="ro-RO"/>
              </w:rPr>
              <w:sym w:font="Wingdings" w:char="F0FC"/>
            </w: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000000" w:fill="C5D9F1"/>
            <w:textDirection w:val="tbRl"/>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Syancu</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2004</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7</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Halcrow</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2006</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4</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6</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Diomis</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2010</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4</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Kombi</w:t>
            </w:r>
          </w:p>
          <w:p w:rsidR="00BD59B2" w:rsidRPr="00E0488D" w:rsidRDefault="00BD59B2" w:rsidP="009972B3">
            <w:pPr>
              <w:jc w:val="center"/>
              <w:rPr>
                <w:lang w:val="ro-RO"/>
              </w:rPr>
            </w:pPr>
            <w:r w:rsidRPr="00E0488D">
              <w:rPr>
                <w:lang w:val="ro-RO"/>
              </w:rPr>
              <w:t>Consult</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7</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IM Strategy – Romania</w:t>
            </w:r>
          </w:p>
          <w:p w:rsidR="00BD59B2" w:rsidRPr="00E0488D" w:rsidRDefault="00BD59B2" w:rsidP="009972B3">
            <w:pPr>
              <w:jc w:val="center"/>
              <w:rPr>
                <w:lang w:val="ro-RO"/>
              </w:rPr>
            </w:pPr>
            <w:r w:rsidRPr="00E0488D">
              <w:rPr>
                <w:lang w:val="ro-RO"/>
              </w:rPr>
              <w:t>2020</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2010</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8</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Operator feroviar 1</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4</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17</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Operator feroviar 2</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5</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Operator feroviar 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w:t>
            </w:r>
          </w:p>
        </w:tc>
        <w:tc>
          <w:tcPr>
            <w:tcW w:w="0" w:type="auto"/>
            <w:gridSpan w:val="27"/>
            <w:tcBorders>
              <w:top w:val="single" w:sz="4" w:space="0" w:color="auto"/>
              <w:left w:val="nil"/>
              <w:bottom w:val="single" w:sz="4" w:space="0" w:color="auto"/>
              <w:right w:val="single" w:sz="4" w:space="0" w:color="000000"/>
            </w:tcBorders>
            <w:shd w:val="clear" w:color="auto" w:fill="auto"/>
            <w:noWrap/>
            <w:vAlign w:val="center"/>
            <w:hideMark/>
          </w:tcPr>
          <w:p w:rsidR="00BD59B2" w:rsidRPr="00E0488D" w:rsidRDefault="00BD59B2" w:rsidP="009972B3">
            <w:pPr>
              <w:jc w:val="center"/>
              <w:rPr>
                <w:lang w:val="ro-RO"/>
              </w:rPr>
            </w:pPr>
            <w:r w:rsidRPr="00E0488D">
              <w:rPr>
                <w:lang w:val="ro-RO"/>
              </w:rPr>
              <w:t>Nespecificat</w:t>
            </w: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Operator feroviar 4</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2013</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5</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Operator feroviar 5</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2014</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9</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r w:rsidR="00BD59B2" w:rsidRPr="00E0488D" w:rsidTr="009972B3">
        <w:trPr>
          <w:trHeight w:val="27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Companie privată</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2012</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12</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r w:rsidRPr="00E0488D">
              <w:rPr>
                <w:lang w:val="ro-RO"/>
              </w:rPr>
              <w:t>x</w:t>
            </w: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c>
          <w:tcPr>
            <w:tcW w:w="0" w:type="auto"/>
            <w:tcBorders>
              <w:top w:val="nil"/>
              <w:left w:val="nil"/>
              <w:bottom w:val="single" w:sz="4" w:space="0" w:color="auto"/>
              <w:right w:val="single" w:sz="4" w:space="0" w:color="auto"/>
            </w:tcBorders>
            <w:shd w:val="clear" w:color="auto" w:fill="auto"/>
            <w:noWrap/>
            <w:vAlign w:val="center"/>
            <w:hideMark/>
          </w:tcPr>
          <w:p w:rsidR="00BD59B2" w:rsidRPr="00E0488D" w:rsidRDefault="00BD59B2" w:rsidP="009972B3">
            <w:pPr>
              <w:jc w:val="center"/>
              <w:rPr>
                <w:lang w:val="ro-RO"/>
              </w:rPr>
            </w:pPr>
          </w:p>
        </w:tc>
      </w:tr>
    </w:tbl>
    <w:p w:rsidR="00BD59B2" w:rsidRPr="00E0488D" w:rsidRDefault="00BD59B2" w:rsidP="00BD59B2">
      <w:pPr>
        <w:pStyle w:val="Frspaiere1"/>
        <w:rPr>
          <w:lang w:val="ro-RO"/>
        </w:rPr>
      </w:pPr>
      <w:r w:rsidRPr="00E0488D">
        <w:rPr>
          <w:lang w:val="ro-RO"/>
        </w:rPr>
        <w:t xml:space="preserve">* </w:t>
      </w:r>
      <w:r w:rsidRPr="00E0488D">
        <w:rPr>
          <w:rStyle w:val="hps"/>
          <w:rFonts w:ascii="Arial" w:hAnsi="Arial" w:cs="Arial"/>
          <w:color w:val="000000" w:themeColor="text1"/>
          <w:sz w:val="20"/>
          <w:szCs w:val="20"/>
          <w:lang w:val="ro-RO"/>
        </w:rPr>
        <w:t>Acest operator</w:t>
      </w:r>
      <w:r w:rsidRPr="00E0488D">
        <w:rPr>
          <w:rFonts w:ascii="Arial" w:hAnsi="Arial" w:cs="Arial"/>
          <w:color w:val="000000" w:themeColor="text1"/>
          <w:sz w:val="20"/>
          <w:szCs w:val="20"/>
          <w:lang w:val="ro-RO"/>
        </w:rPr>
        <w:t xml:space="preserve"> de </w:t>
      </w:r>
      <w:r w:rsidRPr="00E0488D">
        <w:rPr>
          <w:rStyle w:val="hps"/>
          <w:rFonts w:ascii="Arial" w:hAnsi="Arial" w:cs="Arial"/>
          <w:color w:val="000000" w:themeColor="text1"/>
          <w:sz w:val="20"/>
          <w:szCs w:val="20"/>
          <w:lang w:val="ro-RO"/>
        </w:rPr>
        <w:t>tren</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a considerat</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că, deși</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ar trebui să existe</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terminale</w:t>
      </w:r>
      <w:r w:rsidRPr="00E0488D">
        <w:rPr>
          <w:rFonts w:ascii="Arial" w:hAnsi="Arial" w:cs="Arial"/>
          <w:color w:val="000000" w:themeColor="text1"/>
          <w:sz w:val="20"/>
          <w:szCs w:val="20"/>
          <w:lang w:val="ro-RO"/>
        </w:rPr>
        <w:t xml:space="preserve"> suplimentare </w:t>
      </w:r>
      <w:r w:rsidRPr="00E0488D">
        <w:rPr>
          <w:rStyle w:val="hps"/>
          <w:rFonts w:ascii="Arial" w:hAnsi="Arial" w:cs="Arial"/>
          <w:color w:val="000000" w:themeColor="text1"/>
          <w:sz w:val="20"/>
          <w:szCs w:val="20"/>
          <w:lang w:val="ro-RO"/>
        </w:rPr>
        <w:t>mai mici pentru</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traficul</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intern</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din întreaga țară</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locațiile specifice</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nu au fost</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neapărat</w:t>
      </w:r>
      <w:r w:rsidRPr="00E0488D">
        <w:rPr>
          <w:rFonts w:ascii="Arial" w:hAnsi="Arial" w:cs="Arial"/>
          <w:color w:val="000000" w:themeColor="text1"/>
          <w:sz w:val="20"/>
          <w:szCs w:val="20"/>
          <w:lang w:val="ro-RO"/>
        </w:rPr>
        <w:t xml:space="preserve"> </w:t>
      </w:r>
      <w:r w:rsidRPr="00E0488D">
        <w:rPr>
          <w:rStyle w:val="hps"/>
          <w:rFonts w:ascii="Arial" w:hAnsi="Arial" w:cs="Arial"/>
          <w:color w:val="000000" w:themeColor="text1"/>
          <w:sz w:val="20"/>
          <w:szCs w:val="20"/>
          <w:lang w:val="ro-RO"/>
        </w:rPr>
        <w:t>pre</w:t>
      </w:r>
      <w:r w:rsidRPr="00E0488D">
        <w:rPr>
          <w:rFonts w:ascii="Arial" w:hAnsi="Arial" w:cs="Arial"/>
          <w:color w:val="000000" w:themeColor="text1"/>
          <w:sz w:val="20"/>
          <w:szCs w:val="20"/>
          <w:lang w:val="ro-RO"/>
        </w:rPr>
        <w:t xml:space="preserve">-determinate, dar </w:t>
      </w:r>
      <w:r w:rsidRPr="00E0488D">
        <w:rPr>
          <w:rStyle w:val="hps"/>
          <w:rFonts w:ascii="Arial" w:hAnsi="Arial" w:cs="Arial"/>
          <w:color w:val="000000" w:themeColor="text1"/>
          <w:sz w:val="20"/>
          <w:szCs w:val="20"/>
          <w:lang w:val="ro-RO"/>
        </w:rPr>
        <w:t>ar trebui să se bazeze pe cerere</w:t>
      </w:r>
      <w:r w:rsidRPr="00E0488D">
        <w:rPr>
          <w:lang w:val="ro-RO"/>
        </w:rPr>
        <w:t>.</w:t>
      </w:r>
    </w:p>
    <w:p w:rsidR="00BD59B2" w:rsidRPr="00E0488D" w:rsidRDefault="00BD59B2" w:rsidP="00BD59B2">
      <w:pPr>
        <w:pStyle w:val="Body"/>
        <w:rPr>
          <w:lang w:val="ro-RO"/>
        </w:rPr>
        <w:sectPr w:rsidR="00BD59B2" w:rsidRPr="00E0488D" w:rsidSect="00D0172C">
          <w:pgSz w:w="16839" w:h="11907" w:orient="landscape" w:code="9"/>
          <w:pgMar w:top="907" w:right="1418" w:bottom="709" w:left="1418" w:header="357" w:footer="567" w:gutter="0"/>
          <w:cols w:space="187"/>
          <w:docGrid w:linePitch="360"/>
        </w:sectPr>
      </w:pPr>
    </w:p>
    <w:p w:rsidR="00BD59B2" w:rsidRPr="00E0488D" w:rsidRDefault="00BD59B2" w:rsidP="002B7E09">
      <w:pPr>
        <w:pStyle w:val="NumberedParas"/>
      </w:pPr>
      <w:r w:rsidRPr="00E0488D">
        <w:rPr>
          <w:rStyle w:val="hps"/>
          <w:rFonts w:cs="Arial"/>
          <w:color w:val="000000" w:themeColor="text1"/>
        </w:rPr>
        <w:t>Rețeaua</w:t>
      </w:r>
      <w:r w:rsidRPr="00E0488D">
        <w:t xml:space="preserve"> propusă rezultată </w:t>
      </w:r>
      <w:r w:rsidRPr="00E0488D">
        <w:rPr>
          <w:rStyle w:val="hps"/>
          <w:rFonts w:cs="Arial"/>
          <w:color w:val="000000" w:themeColor="text1"/>
        </w:rPr>
        <w:t>de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noi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reabilitate</w:t>
      </w:r>
      <w:r w:rsidRPr="00E0488D">
        <w:t xml:space="preserve"> </w:t>
      </w:r>
      <w:r w:rsidRPr="00E0488D">
        <w:rPr>
          <w:rStyle w:val="hps"/>
          <w:rFonts w:cs="Arial"/>
          <w:color w:val="000000" w:themeColor="text1"/>
        </w:rPr>
        <w:t>oferă atât</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internaționale</w:t>
      </w:r>
      <w:r w:rsidRPr="00E0488D">
        <w:t xml:space="preserve"> </w:t>
      </w:r>
      <w:r w:rsidRPr="00E0488D">
        <w:rPr>
          <w:rStyle w:val="hps"/>
          <w:rFonts w:cs="Arial"/>
          <w:color w:val="000000" w:themeColor="text1"/>
        </w:rPr>
        <w:t>strategice cât și</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interne</w:t>
      </w:r>
      <w:r w:rsidRPr="00E0488D">
        <w:t xml:space="preserve"> </w:t>
      </w:r>
      <w:r w:rsidRPr="00E0488D">
        <w:rPr>
          <w:rStyle w:val="hps"/>
          <w:rFonts w:cs="Arial"/>
          <w:color w:val="000000" w:themeColor="text1"/>
        </w:rPr>
        <w:t>mai mici,</w:t>
      </w:r>
      <w:r w:rsidRPr="00E0488D">
        <w:t xml:space="preserve"> </w:t>
      </w:r>
      <w:r w:rsidRPr="00E0488D">
        <w:rPr>
          <w:rStyle w:val="hps"/>
          <w:rFonts w:cs="Arial"/>
          <w:color w:val="000000" w:themeColor="text1"/>
        </w:rPr>
        <w:t>în cazul în care</w:t>
      </w:r>
      <w:r w:rsidRPr="00E0488D">
        <w:t xml:space="preserve"> </w:t>
      </w:r>
      <w:r w:rsidRPr="00E0488D">
        <w:rPr>
          <w:rStyle w:val="hps"/>
          <w:rFonts w:cs="Arial"/>
          <w:color w:val="000000" w:themeColor="text1"/>
        </w:rPr>
        <w:t>cererea</w:t>
      </w:r>
      <w:r w:rsidRPr="00E0488D">
        <w:t xml:space="preserve"> </w:t>
      </w:r>
      <w:r w:rsidRPr="00E0488D">
        <w:rPr>
          <w:rStyle w:val="hps"/>
          <w:rFonts w:cs="Arial"/>
          <w:color w:val="000000" w:themeColor="text1"/>
        </w:rPr>
        <w:t>potențială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prognozată permite o dezvoltare</w:t>
      </w:r>
      <w:r w:rsidRPr="00E0488D">
        <w:t xml:space="preserve">. </w:t>
      </w:r>
      <w:r w:rsidRPr="00E0488D">
        <w:rPr>
          <w:rStyle w:val="hps"/>
          <w:rFonts w:cs="Arial"/>
          <w:color w:val="000000" w:themeColor="text1"/>
        </w:rPr>
        <w:t>În plus</w:t>
      </w:r>
      <w:r w:rsidRPr="00E0488D">
        <w:t xml:space="preserve">, </w:t>
      </w:r>
      <w:r w:rsidRPr="00E0488D">
        <w:rPr>
          <w:rStyle w:val="hps"/>
          <w:rFonts w:cs="Arial"/>
          <w:color w:val="000000" w:themeColor="text1"/>
        </w:rPr>
        <w:t>setul de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propuse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transbordarea</w:t>
      </w:r>
      <w:r w:rsidRPr="00E0488D">
        <w:t xml:space="preserve"> </w:t>
      </w:r>
      <w:r w:rsidRPr="00E0488D">
        <w:rPr>
          <w:rStyle w:val="hps"/>
          <w:rFonts w:cs="Arial"/>
          <w:color w:val="000000" w:themeColor="text1"/>
        </w:rPr>
        <w:t>directă</w:t>
      </w:r>
      <w:r w:rsidRPr="00E0488D">
        <w:t xml:space="preserve"> </w:t>
      </w:r>
      <w:r w:rsidRPr="00E0488D">
        <w:rPr>
          <w:rStyle w:val="hps"/>
          <w:rFonts w:cs="Arial"/>
          <w:color w:val="000000" w:themeColor="text1"/>
        </w:rPr>
        <w:t>de pe</w:t>
      </w:r>
      <w:r w:rsidRPr="00E0488D">
        <w:t xml:space="preserve"> </w:t>
      </w:r>
      <w:r w:rsidRPr="00E0488D">
        <w:rPr>
          <w:rStyle w:val="hps"/>
          <w:rFonts w:cs="Arial"/>
          <w:color w:val="000000" w:themeColor="text1"/>
        </w:rPr>
        <w:t>ecartamentul rusesc pe cel</w:t>
      </w:r>
      <w:r w:rsidRPr="00E0488D">
        <w:t xml:space="preserve"> </w:t>
      </w:r>
      <w:r w:rsidRPr="00E0488D">
        <w:rPr>
          <w:rStyle w:val="hps"/>
          <w:rFonts w:cs="Arial"/>
          <w:color w:val="000000" w:themeColor="text1"/>
        </w:rPr>
        <w:t>european</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Iași</w:t>
      </w:r>
      <w:r w:rsidRPr="00E0488D">
        <w:t xml:space="preserve"> </w:t>
      </w:r>
      <w:r w:rsidRPr="00E0488D">
        <w:rPr>
          <w:rStyle w:val="hps"/>
          <w:rFonts w:cs="Arial"/>
          <w:color w:val="000000" w:themeColor="text1"/>
        </w:rPr>
        <w:t>și</w:t>
      </w:r>
      <w:r w:rsidRPr="00E0488D">
        <w:t xml:space="preserve">, de asemenea, </w:t>
      </w:r>
      <w:r w:rsidRPr="00E0488D">
        <w:rPr>
          <w:rStyle w:val="hps"/>
          <w:rFonts w:cs="Arial"/>
          <w:color w:val="000000" w:themeColor="text1"/>
        </w:rPr>
        <w:t>vor încuraja</w:t>
      </w:r>
      <w:r w:rsidRPr="00E0488D">
        <w:t xml:space="preserve"> </w:t>
      </w:r>
      <w:r w:rsidRPr="00E0488D">
        <w:rPr>
          <w:rStyle w:val="hps"/>
          <w:rFonts w:cs="Arial"/>
          <w:color w:val="000000" w:themeColor="text1"/>
        </w:rPr>
        <w:t>utilizarea</w:t>
      </w:r>
      <w:r w:rsidRPr="00E0488D">
        <w:t xml:space="preserve">  </w:t>
      </w:r>
      <w:r w:rsidRPr="00E0488D">
        <w:rPr>
          <w:rStyle w:val="hps"/>
          <w:rFonts w:cs="Arial"/>
          <w:color w:val="000000" w:themeColor="text1"/>
        </w:rPr>
        <w:t>Dunării</w:t>
      </w:r>
      <w:r w:rsidRPr="00E0488D">
        <w:t xml:space="preserve"> </w:t>
      </w:r>
      <w:r w:rsidRPr="00E0488D">
        <w:rPr>
          <w:rStyle w:val="hps"/>
          <w:rFonts w:cs="Arial"/>
          <w:color w:val="000000" w:themeColor="text1"/>
        </w:rPr>
        <w:t>pentru transportul de marfă</w:t>
      </w:r>
      <w:r w:rsidRPr="00E0488D">
        <w:t xml:space="preserve"> </w:t>
      </w:r>
      <w:r w:rsidRPr="00E0488D">
        <w:rPr>
          <w:rStyle w:val="hps"/>
          <w:rFonts w:cs="Arial"/>
          <w:color w:val="000000" w:themeColor="text1"/>
        </w:rPr>
        <w:t>în containere</w:t>
      </w:r>
      <w:r w:rsidRPr="00E0488D">
        <w:t xml:space="preserve"> </w:t>
      </w:r>
      <w:r w:rsidRPr="00E0488D">
        <w:rPr>
          <w:rStyle w:val="hps"/>
          <w:rFonts w:cs="Arial"/>
          <w:color w:val="000000" w:themeColor="text1"/>
        </w:rPr>
        <w:t>prin intermediul</w:t>
      </w:r>
      <w:r w:rsidRPr="00E0488D">
        <w:t xml:space="preserve"> </w:t>
      </w:r>
      <w:r w:rsidRPr="00E0488D">
        <w:rPr>
          <w:rStyle w:val="hps"/>
          <w:rFonts w:cs="Arial"/>
          <w:color w:val="000000" w:themeColor="text1"/>
        </w:rPr>
        <w:t>rețelei</w:t>
      </w:r>
      <w:r w:rsidRPr="00E0488D">
        <w:t xml:space="preserve"> propuse </w:t>
      </w:r>
      <w:r w:rsidRPr="00E0488D">
        <w:rPr>
          <w:rStyle w:val="hps"/>
          <w:rFonts w:cs="Arial"/>
          <w:color w:val="000000" w:themeColor="text1"/>
        </w:rPr>
        <w:t>de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tri-</w:t>
      </w:r>
      <w:r w:rsidRPr="00E0488D">
        <w:t xml:space="preserve">modale. </w:t>
      </w:r>
      <w:r w:rsidRPr="00E0488D">
        <w:rPr>
          <w:rStyle w:val="hps"/>
          <w:rFonts w:cs="Arial"/>
          <w:color w:val="000000" w:themeColor="text1"/>
        </w:rPr>
        <w:t>Acest lucru</w:t>
      </w:r>
      <w:r w:rsidRPr="00E0488D">
        <w:t xml:space="preserve"> </w:t>
      </w:r>
      <w:r w:rsidRPr="00E0488D">
        <w:rPr>
          <w:rStyle w:val="hps"/>
          <w:rFonts w:cs="Arial"/>
          <w:color w:val="000000" w:themeColor="text1"/>
        </w:rPr>
        <w:t>va duce la o</w:t>
      </w:r>
      <w:r w:rsidRPr="00E0488D">
        <w:t xml:space="preserve"> </w:t>
      </w:r>
      <w:r w:rsidRPr="00E0488D">
        <w:rPr>
          <w:rStyle w:val="hps"/>
          <w:rFonts w:cs="Arial"/>
          <w:color w:val="000000" w:themeColor="text1"/>
        </w:rPr>
        <w:t>rețea de distribuție</w:t>
      </w:r>
      <w:r w:rsidRPr="00E0488D">
        <w:t xml:space="preserve"> </w:t>
      </w:r>
      <w:r w:rsidRPr="00E0488D">
        <w:rPr>
          <w:rStyle w:val="hps"/>
          <w:rFonts w:cs="Arial"/>
          <w:color w:val="000000" w:themeColor="text1"/>
        </w:rPr>
        <w:t>mai</w:t>
      </w:r>
      <w:r w:rsidRPr="00E0488D">
        <w:t xml:space="preserve"> </w:t>
      </w:r>
      <w:r w:rsidRPr="00E0488D">
        <w:rPr>
          <w:rStyle w:val="hps"/>
          <w:rFonts w:cs="Arial"/>
          <w:color w:val="000000" w:themeColor="text1"/>
        </w:rPr>
        <w:t>durabilă</w:t>
      </w:r>
      <w:r w:rsidRPr="00E0488D">
        <w:t xml:space="preserve"> </w:t>
      </w:r>
      <w:r w:rsidRPr="00E0488D">
        <w:rPr>
          <w:rStyle w:val="hps"/>
          <w:rFonts w:cs="Arial"/>
          <w:color w:val="000000" w:themeColor="text1"/>
        </w:rPr>
        <w:t>și</w:t>
      </w:r>
      <w:r w:rsidRPr="00E0488D">
        <w:t xml:space="preserve"> eficientă din punct de vedere al costurilor </w:t>
      </w:r>
      <w:r w:rsidRPr="00E0488D">
        <w:rPr>
          <w:rStyle w:val="hps"/>
          <w:rFonts w:cs="Arial"/>
          <w:color w:val="000000" w:themeColor="text1"/>
        </w:rPr>
        <w:t>pentru țară,</w:t>
      </w:r>
      <w:r w:rsidRPr="00E0488D">
        <w:t xml:space="preserve"> </w:t>
      </w:r>
      <w:r w:rsidRPr="00E0488D">
        <w:rPr>
          <w:rStyle w:val="hps"/>
          <w:rFonts w:cs="Arial"/>
          <w:color w:val="000000" w:themeColor="text1"/>
        </w:rPr>
        <w:t>ca un întreg.</w:t>
      </w:r>
    </w:p>
    <w:p w:rsidR="00BD59B2" w:rsidRPr="00E0488D" w:rsidRDefault="00BD59B2" w:rsidP="00BD59B2">
      <w:pPr>
        <w:rPr>
          <w:lang w:val="ro-RO"/>
        </w:rPr>
      </w:pPr>
    </w:p>
    <w:p w:rsidR="00BD59B2" w:rsidRPr="00E0488D" w:rsidRDefault="00BD59B2" w:rsidP="00BD59B2">
      <w:pPr>
        <w:pStyle w:val="Hdg2"/>
      </w:pPr>
      <w:bookmarkStart w:id="580" w:name="_Toc397049526"/>
      <w:bookmarkStart w:id="581" w:name="_Toc398292106"/>
      <w:bookmarkStart w:id="582" w:name="_Toc412114956"/>
      <w:bookmarkStart w:id="583" w:name="_Toc413060347"/>
      <w:r w:rsidRPr="00E0488D">
        <w:t>Testarea interven</w:t>
      </w:r>
      <w:bookmarkEnd w:id="580"/>
      <w:r w:rsidRPr="00E0488D">
        <w:t>țiilor</w:t>
      </w:r>
      <w:bookmarkEnd w:id="581"/>
      <w:bookmarkEnd w:id="582"/>
      <w:bookmarkEnd w:id="583"/>
    </w:p>
    <w:p w:rsidR="00BD59B2" w:rsidRPr="00E0488D" w:rsidRDefault="00BD59B2" w:rsidP="002B7E09">
      <w:pPr>
        <w:pStyle w:val="NumberedParas"/>
      </w:pPr>
      <w:r w:rsidRPr="00E0488D">
        <w:rPr>
          <w:rStyle w:val="hps"/>
          <w:rFonts w:cs="Arial"/>
          <w:color w:val="000000" w:themeColor="text1"/>
        </w:rPr>
        <w:t>Pentru</w:t>
      </w:r>
      <w:r w:rsidRPr="00E0488D">
        <w:t xml:space="preserve"> </w:t>
      </w:r>
      <w:r w:rsidRPr="00E0488D">
        <w:rPr>
          <w:rStyle w:val="hps"/>
          <w:rFonts w:cs="Arial"/>
          <w:color w:val="000000" w:themeColor="text1"/>
        </w:rPr>
        <w:t>o înțelegere mai ușoară</w:t>
      </w:r>
      <w:r w:rsidRPr="00E0488D">
        <w:t xml:space="preserve">, </w:t>
      </w:r>
      <w:r w:rsidRPr="00E0488D">
        <w:rPr>
          <w:rStyle w:val="hps"/>
          <w:rFonts w:cs="Arial"/>
          <w:color w:val="000000" w:themeColor="text1"/>
        </w:rPr>
        <w:t>această</w:t>
      </w:r>
      <w:r w:rsidRPr="00E0488D">
        <w:t xml:space="preserve"> </w:t>
      </w:r>
      <w:r w:rsidRPr="00E0488D">
        <w:rPr>
          <w:rStyle w:val="hps"/>
          <w:rFonts w:cs="Arial"/>
          <w:color w:val="000000" w:themeColor="text1"/>
        </w:rPr>
        <w:t>secțiune</w:t>
      </w:r>
      <w:r w:rsidRPr="00E0488D">
        <w:t xml:space="preserve"> </w:t>
      </w:r>
      <w:r w:rsidRPr="00E0488D">
        <w:rPr>
          <w:rStyle w:val="hps"/>
          <w:rFonts w:cs="Arial"/>
          <w:color w:val="000000" w:themeColor="text1"/>
        </w:rPr>
        <w:t>este împărțită</w:t>
      </w:r>
      <w:r w:rsidRPr="00E0488D">
        <w:t xml:space="preserve"> </w:t>
      </w:r>
      <w:r w:rsidRPr="00E0488D">
        <w:rPr>
          <w:rStyle w:val="hps"/>
          <w:rFonts w:cs="Arial"/>
          <w:color w:val="000000" w:themeColor="text1"/>
        </w:rPr>
        <w:t>în două secțiuni</w:t>
      </w:r>
      <w:r w:rsidRPr="00E0488D">
        <w:t xml:space="preserve">. </w:t>
      </w:r>
      <w:r w:rsidRPr="00E0488D">
        <w:rPr>
          <w:rStyle w:val="hps"/>
          <w:rFonts w:cs="Arial"/>
          <w:color w:val="000000" w:themeColor="text1"/>
        </w:rPr>
        <w:t>Prima secțiune</w:t>
      </w:r>
      <w:r w:rsidRPr="00E0488D">
        <w:t xml:space="preserve"> </w:t>
      </w:r>
      <w:r w:rsidRPr="00E0488D">
        <w:rPr>
          <w:rStyle w:val="hps"/>
          <w:rFonts w:cs="Arial"/>
          <w:color w:val="000000" w:themeColor="text1"/>
        </w:rPr>
        <w:t>va evalua</w:t>
      </w:r>
      <w:r w:rsidRPr="00E0488D">
        <w:t xml:space="preserve"> terminalele intermodale </w:t>
      </w:r>
      <w:r w:rsidRPr="00E0488D">
        <w:rPr>
          <w:rStyle w:val="hps"/>
          <w:rFonts w:cs="Arial"/>
          <w:color w:val="000000" w:themeColor="text1"/>
        </w:rPr>
        <w:t>noi și modernizate</w:t>
      </w:r>
      <w:r w:rsidRPr="00E0488D">
        <w:t xml:space="preserve">, </w:t>
      </w:r>
      <w:r w:rsidRPr="00E0488D">
        <w:rPr>
          <w:rStyle w:val="hps"/>
          <w:rFonts w:cs="Arial"/>
          <w:color w:val="000000" w:themeColor="text1"/>
        </w:rPr>
        <w:t>în timp ce</w:t>
      </w:r>
      <w:r w:rsidRPr="00E0488D">
        <w:t xml:space="preserve"> </w:t>
      </w:r>
      <w:r w:rsidRPr="00E0488D">
        <w:rPr>
          <w:rStyle w:val="hps"/>
          <w:rFonts w:cs="Arial"/>
          <w:color w:val="000000" w:themeColor="text1"/>
        </w:rPr>
        <w:t>a doua secțiune</w:t>
      </w:r>
      <w:r w:rsidRPr="00E0488D">
        <w:t xml:space="preserve"> </w:t>
      </w:r>
      <w:r w:rsidRPr="00E0488D">
        <w:rPr>
          <w:rStyle w:val="hps"/>
          <w:rFonts w:cs="Arial"/>
          <w:color w:val="000000" w:themeColor="text1"/>
        </w:rPr>
        <w:t>va include</w:t>
      </w:r>
      <w:r w:rsidRPr="00E0488D">
        <w:t xml:space="preserve"> </w:t>
      </w:r>
      <w:r w:rsidRPr="00E0488D">
        <w:rPr>
          <w:rStyle w:val="hps"/>
          <w:rFonts w:cs="Arial"/>
          <w:color w:val="000000" w:themeColor="text1"/>
        </w:rPr>
        <w:t>alte intervenții</w:t>
      </w:r>
      <w:r w:rsidRPr="00E0488D">
        <w:t>.</w:t>
      </w:r>
    </w:p>
    <w:p w:rsidR="00BD59B2" w:rsidRPr="00E0488D" w:rsidRDefault="00BD59B2" w:rsidP="00BD59B2">
      <w:pPr>
        <w:pStyle w:val="Hdg3"/>
      </w:pPr>
      <w:r w:rsidRPr="00E0488D">
        <w:t xml:space="preserve">Terminalele intermodale noi și modernizate </w:t>
      </w:r>
    </w:p>
    <w:p w:rsidR="00BD59B2" w:rsidRPr="00E0488D" w:rsidRDefault="00BD59B2" w:rsidP="002B7E09">
      <w:pPr>
        <w:pStyle w:val="NumberedParas"/>
      </w:pPr>
      <w:r w:rsidRPr="00E0488D">
        <w:rPr>
          <w:rStyle w:val="hps"/>
          <w:rFonts w:cs="Arial"/>
          <w:color w:val="000000" w:themeColor="text1"/>
        </w:rPr>
        <w:t>Aceste propuneri</w:t>
      </w:r>
      <w:r w:rsidRPr="00E0488D">
        <w:t xml:space="preserve"> </w:t>
      </w:r>
      <w:r w:rsidRPr="00E0488D">
        <w:rPr>
          <w:rStyle w:val="hps"/>
          <w:rFonts w:cs="Arial"/>
          <w:color w:val="000000" w:themeColor="text1"/>
        </w:rPr>
        <w:t>se înscriu în categoria Obiective</w:t>
      </w:r>
      <w:r w:rsidRPr="00E0488D">
        <w:t xml:space="preserve"> </w:t>
      </w:r>
      <w:r w:rsidRPr="00E0488D">
        <w:rPr>
          <w:rStyle w:val="hps"/>
          <w:rFonts w:cs="Arial"/>
          <w:color w:val="000000" w:themeColor="text1"/>
        </w:rPr>
        <w:t>la nivel înalt</w:t>
      </w:r>
      <w:r w:rsidRPr="00E0488D">
        <w:t xml:space="preserve"> </w:t>
      </w:r>
      <w:r w:rsidRPr="00E0488D">
        <w:rPr>
          <w:rStyle w:val="hps"/>
          <w:rFonts w:cs="Arial"/>
          <w:color w:val="000000" w:themeColor="text1"/>
        </w:rPr>
        <w:t>pentru îmbunătățirea eficienței</w:t>
      </w:r>
      <w:r w:rsidRPr="00E0488D">
        <w:t xml:space="preserve"> </w:t>
      </w:r>
      <w:r w:rsidRPr="00E0488D">
        <w:rPr>
          <w:rStyle w:val="hps"/>
          <w:rFonts w:cs="Arial"/>
          <w:color w:val="000000" w:themeColor="text1"/>
        </w:rPr>
        <w:t>economice</w:t>
      </w:r>
      <w:r w:rsidRPr="00E0488D">
        <w:t xml:space="preserve">. </w:t>
      </w:r>
      <w:r w:rsidRPr="00E0488D">
        <w:rPr>
          <w:rStyle w:val="hps"/>
          <w:rFonts w:cs="Arial"/>
          <w:color w:val="000000" w:themeColor="text1"/>
        </w:rPr>
        <w:t>Mai întâi</w:t>
      </w:r>
      <w:r w:rsidRPr="00E0488D">
        <w:t xml:space="preserve"> </w:t>
      </w:r>
      <w:r w:rsidRPr="00E0488D">
        <w:rPr>
          <w:rStyle w:val="hps"/>
          <w:rFonts w:cs="Arial"/>
          <w:color w:val="000000" w:themeColor="text1"/>
        </w:rPr>
        <w:t>cele două terminale</w:t>
      </w:r>
      <w:r w:rsidRPr="00E0488D">
        <w:t xml:space="preserve"> </w:t>
      </w:r>
      <w:r w:rsidRPr="00E0488D">
        <w:rPr>
          <w:rStyle w:val="hps"/>
          <w:rFonts w:cs="Arial"/>
          <w:color w:val="000000" w:themeColor="text1"/>
        </w:rPr>
        <w:t>noi sunt</w:t>
      </w:r>
      <w:r w:rsidRPr="00E0488D">
        <w:t xml:space="preserve"> </w:t>
      </w:r>
      <w:r w:rsidRPr="00E0488D">
        <w:rPr>
          <w:rStyle w:val="hps"/>
          <w:rFonts w:cs="Arial"/>
          <w:color w:val="000000" w:themeColor="text1"/>
        </w:rPr>
        <w:t>urmate de</w:t>
      </w:r>
      <w:r w:rsidRPr="00E0488D">
        <w:t xml:space="preserve"> </w:t>
      </w:r>
      <w:r w:rsidRPr="00E0488D">
        <w:rPr>
          <w:rStyle w:val="hps"/>
          <w:rFonts w:cs="Arial"/>
          <w:color w:val="000000" w:themeColor="text1"/>
        </w:rPr>
        <w:t>terminalele</w:t>
      </w:r>
      <w:r w:rsidRPr="00E0488D">
        <w:t xml:space="preserve"> </w:t>
      </w:r>
      <w:r w:rsidRPr="00E0488D">
        <w:rPr>
          <w:rStyle w:val="hps"/>
          <w:rFonts w:cs="Arial"/>
          <w:color w:val="000000" w:themeColor="text1"/>
        </w:rPr>
        <w:t>modernizate</w:t>
      </w:r>
      <w:r w:rsidRPr="00E0488D">
        <w:t xml:space="preserve"> </w:t>
      </w:r>
      <w:r w:rsidRPr="00E0488D">
        <w:rPr>
          <w:rStyle w:val="hps"/>
          <w:rFonts w:cs="Arial"/>
          <w:color w:val="000000" w:themeColor="text1"/>
        </w:rPr>
        <w:t>existente</w:t>
      </w:r>
      <w:r w:rsidRPr="00E0488D">
        <w:t>.</w:t>
      </w:r>
    </w:p>
    <w:p w:rsidR="00BD59B2" w:rsidRPr="00E0488D" w:rsidRDefault="00BD59B2" w:rsidP="002B7E09">
      <w:pPr>
        <w:pStyle w:val="NumberedParas"/>
      </w:pPr>
      <w:r w:rsidRPr="00E0488D">
        <w:rPr>
          <w:rStyle w:val="hps"/>
          <w:rFonts w:cs="Arial"/>
          <w:color w:val="000000" w:themeColor="text1"/>
        </w:rPr>
        <w:t>Terminalele noi sunt acelea pentru care locațiile nu există în acest moment</w:t>
      </w:r>
      <w:r w:rsidRPr="00E0488D">
        <w:t>.</w:t>
      </w:r>
    </w:p>
    <w:p w:rsidR="00BD59B2" w:rsidRPr="00E0488D" w:rsidRDefault="00BD59B2" w:rsidP="002B7E09">
      <w:pPr>
        <w:pStyle w:val="NumberedParas"/>
      </w:pPr>
      <w:r w:rsidRPr="00E0488D">
        <w:rPr>
          <w:rStyle w:val="hps"/>
          <w:rFonts w:cs="Arial"/>
          <w:color w:val="000000" w:themeColor="text1"/>
        </w:rPr>
        <w:t>Terminalele modernizate sunt acelea care există în prezent dar care au nevoie de lucrări de modernizare, pentru a putea facilita operațiunile moderne solicitate de industria logistică modernă</w:t>
      </w:r>
      <w:r w:rsidRPr="00E0488D">
        <w:t xml:space="preserve">. </w:t>
      </w:r>
    </w:p>
    <w:p w:rsidR="00BD59B2" w:rsidRPr="00E0488D" w:rsidRDefault="00BD59B2" w:rsidP="002B7E09">
      <w:pPr>
        <w:pStyle w:val="NumberedParas"/>
      </w:pPr>
      <w:r w:rsidRPr="00E0488D">
        <w:rPr>
          <w:rStyle w:val="hps"/>
          <w:rFonts w:cs="Arial"/>
          <w:color w:val="000000" w:themeColor="text1"/>
        </w:rPr>
        <w:t>De asemenea, AECOM a efectuat o analiză comparativă a alternativei de construcție nouă pentru terminalele existente, iar rezultatele modelului au fost analizate în ambele scenarii</w:t>
      </w:r>
      <w:r w:rsidRPr="00E0488D">
        <w:t>.</w:t>
      </w:r>
    </w:p>
    <w:p w:rsidR="00BD59B2" w:rsidRPr="00E0488D" w:rsidRDefault="00BD59B2" w:rsidP="002B7E09">
      <w:pPr>
        <w:pStyle w:val="NumberedParas"/>
      </w:pPr>
      <w:r w:rsidRPr="00E0488D">
        <w:t>În toate cazurile, este evidențiat faptul că Autoritățile locale vor asigura accesul rutier și autorizațiile de construire necesare pentru accesul operatorilor privați. CFR SA va asigura accesul feroviar la terminale, iar operatorii privați vor proiecta, construi și opera aceste terminale.</w:t>
      </w:r>
    </w:p>
    <w:p w:rsidR="00BD59B2" w:rsidRPr="00E0488D" w:rsidRDefault="00BD59B2" w:rsidP="00BD59B2">
      <w:pPr>
        <w:pStyle w:val="Hdg3"/>
      </w:pPr>
      <w:r w:rsidRPr="00E0488D">
        <w:t xml:space="preserve">Aspecte instituționale – Funcționarea terminalelor intermodale </w:t>
      </w:r>
    </w:p>
    <w:p w:rsidR="00BD59B2" w:rsidRPr="00E0488D" w:rsidRDefault="00BD59B2" w:rsidP="002B7E09">
      <w:pPr>
        <w:pStyle w:val="NumberedParas"/>
      </w:pPr>
      <w:r w:rsidRPr="00E0488D">
        <w:t xml:space="preserve">În general, terminale intermodale lucrează mai eficient atunci când sunt operate de către sectorul privat, întruct companiile din acest sector sunt întreprinzătoare în operațiuni, personal, costuri și reinvestirea în tehnologia modernă și de echipamente de manevrare. Unele terminale oferă servicii cu valoare </w:t>
      </w:r>
      <w:r w:rsidRPr="00E0488D">
        <w:rPr>
          <w:rStyle w:val="hps"/>
        </w:rPr>
        <w:t>adăugată</w:t>
      </w:r>
      <w:r w:rsidRPr="00E0488D">
        <w:t>, cum ar fi incărcarea și descărcarea containerelor, reparații cutii de navetă si livrari locale, ca modalități de maximizare a veniturilor. Se recomandă ca terminalele din România să fie orientate comercial în activitățile sale de operare, care să ofere operatorilor și clienților flexibilitatea de care au nevoie pentru a avea succes. Operarea terminalelor de către entitățile private nu exclude finanțarea parțială a terminalelor din fonduri UE, cu condiția ca această finanțare să fie acordată în condițiile calcului funding-gap și nu constituie o subvenție acordată operatorilor.</w:t>
      </w:r>
    </w:p>
    <w:p w:rsidR="00BD59B2" w:rsidRPr="00E0488D" w:rsidRDefault="00BD59B2" w:rsidP="002B7E09">
      <w:pPr>
        <w:pStyle w:val="NumberedParas"/>
      </w:pPr>
      <w:r w:rsidRPr="00E0488D">
        <w:t>Cu privire la recomandările ce sunt incluse mai departe în acest capitol, este important să precizîm că am considerat că nu vor exista niciun fel de bariere administrative în operarea acestora terminale intermodale private. Cu toate acestea, este important de avut în vedere faptul că pot exista dificultăți legislative legate de transferul terminalelor de la CFR Marfă sau autoritățile locale către operatorii privați. Deoarece aceste dificultăți sunt diferite pentru fiecare locație în parte, este important ca aceste întârzieri să fie luate în considerare la proiectare fiecărui terminal în parte. În unele cazuri, datorită acestor dificultăți, soluția fezabilă poate fi construcția unui terminal nou.</w:t>
      </w:r>
    </w:p>
    <w:p w:rsidR="00BD59B2" w:rsidRPr="00E0488D" w:rsidRDefault="00BD59B2" w:rsidP="002B7E09">
      <w:pPr>
        <w:pStyle w:val="NumberedParas"/>
      </w:pPr>
      <w:r w:rsidRPr="00E0488D">
        <w:t>O metodă din ce în ce mai des întâlnită pentru construcția acestor terminale intermodale este ca autoritățile publice să ofere terenul necesar precum și aprobările necesare, iar construcția și operarea să fie licitate către sectorul privat, pentru a minimiza riscurile Statului și de a încuraja inovația și a crește valoarea banilor aduse de expertiza sectorului privat. Acest model de afacere va reduce și costurile de operare ale containerelor, ceea ce va crește competitivitatea față de sectorul rutier.</w:t>
      </w:r>
    </w:p>
    <w:p w:rsidR="00BD59B2" w:rsidRPr="00E0488D" w:rsidRDefault="00BD59B2" w:rsidP="00BD59B2">
      <w:pPr>
        <w:rPr>
          <w:lang w:val="ro-RO"/>
        </w:rPr>
      </w:pPr>
    </w:p>
    <w:p w:rsidR="00BD59B2" w:rsidRPr="00E0488D" w:rsidRDefault="00BD59B2" w:rsidP="00BD59B2">
      <w:pPr>
        <w:pStyle w:val="Hdg3"/>
      </w:pPr>
      <w:r w:rsidRPr="00E0488D">
        <w:t>București (Terminal nou)</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recomandă</w:t>
      </w:r>
      <w:r w:rsidRPr="00E0488D">
        <w:t xml:space="preserve"> </w:t>
      </w:r>
      <w:r w:rsidRPr="00E0488D">
        <w:rPr>
          <w:rStyle w:val="hps"/>
          <w:rFonts w:cs="Arial"/>
          <w:color w:val="000000" w:themeColor="text1"/>
        </w:rPr>
        <w:t>închiderea terminalului existent de la</w:t>
      </w:r>
      <w:r w:rsidRPr="00E0488D">
        <w:t xml:space="preserve"> </w:t>
      </w:r>
      <w:r w:rsidRPr="00E0488D">
        <w:rPr>
          <w:rStyle w:val="hps"/>
          <w:rFonts w:cs="Arial"/>
          <w:color w:val="000000" w:themeColor="text1"/>
        </w:rPr>
        <w:t>Bucureștii Noi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construirea</w:t>
      </w:r>
      <w:r w:rsidRPr="00E0488D">
        <w:t xml:space="preserve"> </w:t>
      </w:r>
      <w:r w:rsidRPr="00E0488D">
        <w:rPr>
          <w:rStyle w:val="hps"/>
          <w:rFonts w:cs="Arial"/>
          <w:color w:val="000000" w:themeColor="text1"/>
        </w:rPr>
        <w:t>unui nou</w:t>
      </w:r>
      <w:r w:rsidRPr="00E0488D">
        <w:t xml:space="preserve"> </w:t>
      </w:r>
      <w:r w:rsidRPr="00E0488D">
        <w:rPr>
          <w:rStyle w:val="hps"/>
          <w:rFonts w:cs="Arial"/>
          <w:color w:val="000000" w:themeColor="text1"/>
        </w:rPr>
        <w:t>terminal</w:t>
      </w:r>
      <w:r w:rsidRPr="00E0488D">
        <w:t xml:space="preserve">, mai extins, </w:t>
      </w:r>
      <w:r w:rsidRPr="00E0488D">
        <w:rPr>
          <w:rStyle w:val="hps"/>
          <w:rFonts w:cs="Arial"/>
          <w:color w:val="000000" w:themeColor="text1"/>
        </w:rPr>
        <w:t>de mare capacitate</w:t>
      </w:r>
      <w:r w:rsidRPr="00E0488D">
        <w:t xml:space="preserve"> </w:t>
      </w:r>
      <w:r w:rsidRPr="00E0488D">
        <w:rPr>
          <w:rStyle w:val="hps"/>
          <w:rFonts w:cs="Arial"/>
          <w:color w:val="000000" w:themeColor="text1"/>
        </w:rPr>
        <w:t>situat</w:t>
      </w:r>
      <w:r w:rsidRPr="00E0488D">
        <w:t xml:space="preserve"> </w:t>
      </w:r>
      <w:r w:rsidRPr="00E0488D">
        <w:rPr>
          <w:rStyle w:val="hps"/>
          <w:rFonts w:cs="Arial"/>
          <w:color w:val="000000" w:themeColor="text1"/>
        </w:rPr>
        <w:t>in apropierea drumului de centură</w:t>
      </w:r>
      <w:r w:rsidRPr="00E0488D">
        <w:t xml:space="preserve"> </w:t>
      </w:r>
      <w:r w:rsidRPr="00E0488D">
        <w:rPr>
          <w:rStyle w:val="hps"/>
          <w:rFonts w:cs="Arial"/>
          <w:color w:val="000000" w:themeColor="text1"/>
        </w:rPr>
        <w:t>și</w:t>
      </w:r>
      <w:r w:rsidRPr="00E0488D">
        <w:t xml:space="preserve"> rețelei de </w:t>
      </w:r>
      <w:r w:rsidRPr="00E0488D">
        <w:rPr>
          <w:rStyle w:val="hps"/>
          <w:rFonts w:cs="Arial"/>
          <w:color w:val="000000" w:themeColor="text1"/>
        </w:rPr>
        <w:t>autostrăzi</w:t>
      </w:r>
      <w:r w:rsidRPr="00E0488D">
        <w:t xml:space="preserve"> </w:t>
      </w:r>
      <w:r w:rsidRPr="00E0488D">
        <w:rPr>
          <w:rStyle w:val="hps"/>
          <w:rFonts w:cs="Arial"/>
          <w:color w:val="000000" w:themeColor="text1"/>
        </w:rPr>
        <w:t>care, pe viitor,</w:t>
      </w:r>
      <w:r w:rsidRPr="00E0488D">
        <w:t xml:space="preserve"> </w:t>
      </w:r>
      <w:r w:rsidRPr="00E0488D">
        <w:rPr>
          <w:rStyle w:val="hps"/>
          <w:rFonts w:cs="Arial"/>
          <w:color w:val="000000" w:themeColor="text1"/>
        </w:rPr>
        <w:t>are un potential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conversie</w:t>
      </w:r>
      <w:r w:rsidRPr="00E0488D">
        <w:t xml:space="preserve"> </w:t>
      </w:r>
      <w:r w:rsidRPr="00E0488D">
        <w:rPr>
          <w:rStyle w:val="hps"/>
          <w:rFonts w:cs="Arial"/>
          <w:color w:val="000000" w:themeColor="text1"/>
        </w:rPr>
        <w:t>într-un terminal</w:t>
      </w:r>
      <w:r w:rsidRPr="00E0488D">
        <w:t xml:space="preserve"> </w:t>
      </w:r>
      <w:r w:rsidRPr="00E0488D">
        <w:rPr>
          <w:rStyle w:val="hps"/>
          <w:rFonts w:cs="Arial"/>
          <w:color w:val="000000" w:themeColor="text1"/>
        </w:rPr>
        <w:t>tri</w:t>
      </w:r>
      <w:r w:rsidRPr="00E0488D">
        <w:rPr>
          <w:rStyle w:val="atn"/>
          <w:rFonts w:cs="Arial"/>
          <w:color w:val="000000" w:themeColor="text1"/>
        </w:rPr>
        <w:t>-</w:t>
      </w:r>
      <w:r w:rsidRPr="00E0488D">
        <w:t xml:space="preserve">modal pe Canalul </w:t>
      </w:r>
      <w:r w:rsidRPr="00E0488D">
        <w:rPr>
          <w:rStyle w:val="hps"/>
          <w:rFonts w:cs="Arial"/>
          <w:color w:val="000000" w:themeColor="text1"/>
        </w:rPr>
        <w:t>Dunăre-</w:t>
      </w:r>
      <w:r w:rsidRPr="00E0488D">
        <w:t xml:space="preserve">București, </w:t>
      </w:r>
      <w:r w:rsidRPr="00E0488D">
        <w:rPr>
          <w:rStyle w:val="hps"/>
          <w:rFonts w:cs="Arial"/>
          <w:color w:val="000000" w:themeColor="text1"/>
        </w:rPr>
        <w:t>dacă această conexiune navală va fi construită la un moment ulterior</w:t>
      </w:r>
      <w:r w:rsidRPr="00E0488D">
        <w:t>.</w:t>
      </w:r>
    </w:p>
    <w:p w:rsidR="00BD59B2" w:rsidRPr="00E0488D" w:rsidRDefault="00BD59B2" w:rsidP="00BD59B2">
      <w:pPr>
        <w:spacing w:before="120" w:after="120" w:line="276" w:lineRule="auto"/>
        <w:rPr>
          <w:b/>
          <w:i/>
          <w:sz w:val="22"/>
          <w:szCs w:val="22"/>
          <w:lang w:val="ro-RO" w:eastAsia="en-GB"/>
        </w:rPr>
      </w:pPr>
      <w:r w:rsidRPr="00E0488D">
        <w:rPr>
          <w:b/>
          <w:i/>
          <w:sz w:val="22"/>
          <w:szCs w:val="22"/>
          <w:lang w:val="ro-RO" w:eastAsia="en-GB"/>
        </w:rPr>
        <w:t xml:space="preserve">Obiective operaționale </w:t>
      </w:r>
    </w:p>
    <w:p w:rsidR="00BD59B2" w:rsidRPr="00E0488D" w:rsidRDefault="00BD59B2" w:rsidP="002B7E09">
      <w:pPr>
        <w:pStyle w:val="NumberedParas"/>
        <w:rPr>
          <w:lang w:eastAsia="en-GB"/>
        </w:rPr>
      </w:pPr>
      <w:r w:rsidRPr="00E0488D">
        <w:rPr>
          <w:b/>
        </w:rPr>
        <w:t>OR16</w:t>
      </w:r>
      <w:r w:rsidRPr="00E0488D">
        <w:t xml:space="preserve">, </w:t>
      </w:r>
      <w:r w:rsidRPr="00E0488D">
        <w:rPr>
          <w:rStyle w:val="hps"/>
          <w:rFonts w:cs="Arial"/>
          <w:color w:val="000000" w:themeColor="text1"/>
        </w:rPr>
        <w:t>Dezvoltarea unei rețele "</w:t>
      </w:r>
      <w:r w:rsidRPr="00E0488D">
        <w:t xml:space="preserve">open user" de </w:t>
      </w:r>
      <w:r w:rsidRPr="00E0488D">
        <w:rPr>
          <w:rStyle w:val="hps"/>
          <w:rFonts w:cs="Arial"/>
          <w:color w:val="000000" w:themeColor="text1"/>
        </w:rPr>
        <w:t>terminalele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spacing w:before="120" w:after="120" w:line="276" w:lineRule="auto"/>
        <w:rPr>
          <w:b/>
          <w:i/>
          <w:sz w:val="22"/>
          <w:szCs w:val="22"/>
          <w:lang w:val="ro-RO"/>
        </w:rPr>
      </w:pPr>
      <w:r w:rsidRPr="00E0488D">
        <w:rPr>
          <w:b/>
          <w:i/>
          <w:sz w:val="22"/>
          <w:szCs w:val="22"/>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În combinație cu creșterea</w:t>
      </w:r>
      <w:r w:rsidRPr="00E0488D">
        <w:t xml:space="preserve"> </w:t>
      </w:r>
      <w:r w:rsidRPr="00E0488D">
        <w:rPr>
          <w:rStyle w:val="hps"/>
          <w:rFonts w:cs="Arial"/>
          <w:color w:val="000000" w:themeColor="text1"/>
        </w:rPr>
        <w:t>prognozată 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facilitățile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sunt prea mici</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cererea estimată, unde aprovizionarea depășește rapid capacitatea (</w:t>
      </w:r>
      <w:r w:rsidRPr="00E0488D">
        <w:t xml:space="preserve">a se vedea </w:t>
      </w:r>
      <w:r w:rsidRPr="00E0488D">
        <w:rPr>
          <w:rStyle w:val="hps"/>
          <w:rFonts w:cs="Arial"/>
          <w:color w:val="000000" w:themeColor="text1"/>
        </w:rPr>
        <w:t>tabelul  mai jos</w:t>
      </w:r>
      <w:r w:rsidRPr="00E0488D">
        <w:t xml:space="preserve"> </w:t>
      </w:r>
      <w:r w:rsidRPr="00E0488D">
        <w:rPr>
          <w:rStyle w:val="hps"/>
          <w:rFonts w:cs="Arial"/>
          <w:color w:val="000000" w:themeColor="text1"/>
        </w:rPr>
        <w:t>de</w:t>
      </w:r>
      <w:r w:rsidRPr="00E0488D">
        <w:t xml:space="preserve"> R</w:t>
      </w:r>
      <w:r w:rsidRPr="00E0488D">
        <w:rPr>
          <w:rStyle w:val="hps"/>
          <w:rFonts w:cs="Arial"/>
          <w:color w:val="000000" w:themeColor="text1"/>
        </w:rPr>
        <w:t>ezultate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astfel</w:t>
      </w:r>
      <w:r w:rsidRPr="00E0488D">
        <w:t xml:space="preserve"> </w:t>
      </w:r>
      <w:r w:rsidRPr="00E0488D">
        <w:rPr>
          <w:rStyle w:val="hps"/>
          <w:rFonts w:cs="Arial"/>
          <w:color w:val="000000" w:themeColor="text1"/>
        </w:rPr>
        <w:t>se recomandă</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nou terminal</w:t>
      </w:r>
      <w:r w:rsidRPr="00E0488D">
        <w:t xml:space="preserve">. </w:t>
      </w:r>
    </w:p>
    <w:p w:rsidR="00BD59B2" w:rsidRPr="00E0488D" w:rsidRDefault="00BD59B2" w:rsidP="00BD59B2">
      <w:pPr>
        <w:spacing w:before="120" w:after="120" w:line="276" w:lineRule="auto"/>
        <w:rPr>
          <w:b/>
          <w:i/>
          <w:sz w:val="22"/>
          <w:szCs w:val="22"/>
          <w:lang w:val="ro-RO"/>
        </w:rPr>
      </w:pPr>
      <w:r w:rsidRPr="00E0488D">
        <w:rPr>
          <w:b/>
          <w:i/>
          <w:sz w:val="22"/>
          <w:szCs w:val="22"/>
          <w:lang w:val="ro-RO"/>
        </w:rPr>
        <w:t xml:space="preserve">Rezultate </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 a volumului de mărfuri intermodale transportate pe cale ferată.</w:t>
      </w:r>
    </w:p>
    <w:p w:rsidR="00BD59B2" w:rsidRPr="00E0488D" w:rsidRDefault="00BD59B2" w:rsidP="00BD59B2">
      <w:pPr>
        <w:pStyle w:val="ListParagraph"/>
        <w:ind w:left="680"/>
        <w:rPr>
          <w:b/>
          <w:sz w:val="22"/>
          <w:szCs w:val="22"/>
          <w:lang w:val="ro-RO"/>
        </w:rPr>
      </w:pPr>
      <w:r w:rsidRPr="00E0488D">
        <w:rPr>
          <w:b/>
          <w:sz w:val="22"/>
          <w:szCs w:val="22"/>
          <w:lang w:val="ro-RO"/>
        </w:rPr>
        <w:t>Tabelul 8.14 Cererea (număr TEU) actuală și estimată la diverse orizonturi de prognoză</w:t>
      </w:r>
    </w:p>
    <w:tbl>
      <w:tblPr>
        <w:tblW w:w="9639" w:type="dxa"/>
        <w:tblInd w:w="851" w:type="dxa"/>
        <w:shd w:val="clear" w:color="auto" w:fill="FFFFFF"/>
        <w:tblCellMar>
          <w:left w:w="0" w:type="dxa"/>
          <w:right w:w="0" w:type="dxa"/>
        </w:tblCellMar>
        <w:tblLook w:val="0600" w:firstRow="0" w:lastRow="0" w:firstColumn="0" w:lastColumn="0" w:noHBand="1" w:noVBand="1"/>
      </w:tblPr>
      <w:tblGrid>
        <w:gridCol w:w="2018"/>
        <w:gridCol w:w="2305"/>
        <w:gridCol w:w="1385"/>
        <w:gridCol w:w="1286"/>
        <w:gridCol w:w="1285"/>
        <w:gridCol w:w="1360"/>
      </w:tblGrid>
      <w:tr w:rsidR="00BD59B2" w:rsidRPr="00E0488D" w:rsidTr="009972B3">
        <w:trPr>
          <w:trHeight w:val="99"/>
        </w:trPr>
        <w:tc>
          <w:tcPr>
            <w:tcW w:w="4323"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3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35</w:t>
            </w:r>
          </w:p>
        </w:tc>
        <w:tc>
          <w:tcPr>
            <w:tcW w:w="12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82</w:t>
            </w:r>
          </w:p>
        </w:tc>
        <w:tc>
          <w:tcPr>
            <w:tcW w:w="12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131</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196</w:t>
            </w:r>
          </w:p>
        </w:tc>
      </w:tr>
      <w:tr w:rsidR="00BD59B2" w:rsidRPr="00E0488D" w:rsidTr="009972B3">
        <w:trPr>
          <w:trHeight w:val="99"/>
        </w:trPr>
        <w:tc>
          <w:tcPr>
            <w:tcW w:w="2018"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34%</w:t>
            </w:r>
          </w:p>
        </w:tc>
        <w:tc>
          <w:tcPr>
            <w:tcW w:w="12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80%</w:t>
            </w:r>
          </w:p>
        </w:tc>
        <w:tc>
          <w:tcPr>
            <w:tcW w:w="12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128%</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192%</w:t>
            </w:r>
          </w:p>
        </w:tc>
      </w:tr>
      <w:tr w:rsidR="00BD59B2" w:rsidRPr="00E0488D" w:rsidTr="009972B3">
        <w:trPr>
          <w:trHeight w:val="99"/>
        </w:trPr>
        <w:tc>
          <w:tcPr>
            <w:tcW w:w="20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3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35</w:t>
            </w:r>
          </w:p>
        </w:tc>
        <w:tc>
          <w:tcPr>
            <w:tcW w:w="12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179</w:t>
            </w:r>
          </w:p>
        </w:tc>
        <w:tc>
          <w:tcPr>
            <w:tcW w:w="12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270</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380</w:t>
            </w:r>
          </w:p>
        </w:tc>
      </w:tr>
      <w:tr w:rsidR="00BD59B2" w:rsidRPr="00E0488D" w:rsidTr="009972B3">
        <w:trPr>
          <w:trHeight w:val="99"/>
        </w:trPr>
        <w:tc>
          <w:tcPr>
            <w:tcW w:w="2018"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34%</w:t>
            </w:r>
          </w:p>
        </w:tc>
        <w:tc>
          <w:tcPr>
            <w:tcW w:w="12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175%</w:t>
            </w:r>
          </w:p>
        </w:tc>
        <w:tc>
          <w:tcPr>
            <w:tcW w:w="12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265%</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373%</w:t>
            </w:r>
          </w:p>
        </w:tc>
      </w:tr>
      <w:tr w:rsidR="00BD59B2" w:rsidRPr="00E0488D" w:rsidTr="009972B3">
        <w:trPr>
          <w:trHeight w:val="99"/>
        </w:trPr>
        <w:tc>
          <w:tcPr>
            <w:tcW w:w="2018"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8%</w:t>
            </w:r>
          </w:p>
        </w:tc>
        <w:tc>
          <w:tcPr>
            <w:tcW w:w="12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39%</w:t>
            </w:r>
          </w:p>
        </w:tc>
        <w:tc>
          <w:tcPr>
            <w:tcW w:w="12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59%</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83%</w:t>
            </w:r>
          </w:p>
        </w:tc>
      </w:tr>
    </w:tbl>
    <w:p w:rsidR="00BD59B2" w:rsidRPr="00E0488D" w:rsidRDefault="00BD59B2" w:rsidP="00BD59B2">
      <w:pPr>
        <w:pStyle w:val="ListParagraph"/>
        <w:spacing w:before="120" w:after="120" w:line="276" w:lineRule="auto"/>
        <w:ind w:left="680"/>
        <w:rPr>
          <w:sz w:val="22"/>
          <w:szCs w:val="22"/>
          <w:lang w:val="ro-RO"/>
        </w:rPr>
      </w:pPr>
    </w:p>
    <w:p w:rsidR="00BD59B2" w:rsidRPr="00E0488D" w:rsidRDefault="00BD59B2" w:rsidP="00BD59B2">
      <w:pPr>
        <w:pStyle w:val="ListParagraph"/>
        <w:spacing w:before="120" w:after="120" w:line="276" w:lineRule="auto"/>
        <w:ind w:left="680"/>
        <w:rPr>
          <w:sz w:val="22"/>
          <w:szCs w:val="22"/>
          <w:lang w:val="ro-RO"/>
        </w:rPr>
      </w:pPr>
      <w:r w:rsidRPr="00E0488D">
        <w:rPr>
          <w:noProof/>
          <w:lang w:val="ro-RO" w:eastAsia="ro-RO"/>
        </w:rPr>
        <w:drawing>
          <wp:inline distT="0" distB="0" distL="0" distR="0">
            <wp:extent cx="4610100" cy="2781300"/>
            <wp:effectExtent l="19050" t="0" r="19050" b="0"/>
            <wp:docPr id="316"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8.16 Variația cererii între scenariul de implementare a tuturor terminalelor și scenariul de referință </w:t>
      </w:r>
    </w:p>
    <w:p w:rsidR="00BD59B2" w:rsidRPr="00E0488D" w:rsidRDefault="00BD59B2" w:rsidP="00BD59B2">
      <w:pPr>
        <w:spacing w:before="120" w:after="120" w:line="276" w:lineRule="auto"/>
        <w:rPr>
          <w:sz w:val="22"/>
          <w:szCs w:val="22"/>
          <w:lang w:val="ro-RO"/>
        </w:rPr>
      </w:pPr>
    </w:p>
    <w:p w:rsidR="00BD59B2" w:rsidRPr="00E0488D" w:rsidRDefault="00BD59B2" w:rsidP="002B7E09">
      <w:pPr>
        <w:pStyle w:val="NumberedParas"/>
      </w:pPr>
      <w:r w:rsidRPr="00E0488D">
        <w:t xml:space="preserve">Noul terminal aduce beneficii economice semnificative: </w:t>
      </w:r>
    </w:p>
    <w:p w:rsidR="00BD59B2" w:rsidRPr="00E0488D" w:rsidRDefault="00BD59B2" w:rsidP="00BD59B2">
      <w:pPr>
        <w:ind w:left="567"/>
        <w:rPr>
          <w:b/>
          <w:sz w:val="22"/>
          <w:szCs w:val="22"/>
          <w:lang w:val="ro-RO"/>
        </w:rPr>
      </w:pPr>
      <w:r w:rsidRPr="00E0488D">
        <w:rPr>
          <w:b/>
          <w:sz w:val="22"/>
          <w:szCs w:val="22"/>
          <w:lang w:val="ro-RO"/>
        </w:rPr>
        <w:t>Tabelul 8.15 Impactul economic al construcție terminalului</w:t>
      </w:r>
    </w:p>
    <w:tbl>
      <w:tblPr>
        <w:tblW w:w="3278" w:type="pct"/>
        <w:tblInd w:w="567" w:type="dxa"/>
        <w:tblCellMar>
          <w:left w:w="0" w:type="dxa"/>
          <w:right w:w="0" w:type="dxa"/>
        </w:tblCellMar>
        <w:tblLook w:val="04A0" w:firstRow="1" w:lastRow="0" w:firstColumn="1" w:lastColumn="0" w:noHBand="0" w:noVBand="1"/>
      </w:tblPr>
      <w:tblGrid>
        <w:gridCol w:w="4991"/>
        <w:gridCol w:w="1897"/>
      </w:tblGrid>
      <w:tr w:rsidR="00BD59B2" w:rsidRPr="00E0488D" w:rsidTr="009972B3">
        <w:trPr>
          <w:trHeight w:hRule="exact" w:val="397"/>
        </w:trPr>
        <w:tc>
          <w:tcPr>
            <w:tcW w:w="3623"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377"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18,0</w:t>
            </w:r>
          </w:p>
        </w:tc>
      </w:tr>
      <w:tr w:rsidR="00BD59B2" w:rsidRPr="00E0488D" w:rsidTr="009972B3">
        <w:trPr>
          <w:trHeight w:hRule="exact" w:val="397"/>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13,8%</w:t>
            </w:r>
          </w:p>
        </w:tc>
      </w:tr>
      <w:tr w:rsidR="00BD59B2" w:rsidRPr="00E0488D" w:rsidTr="009972B3">
        <w:trPr>
          <w:trHeight w:hRule="exact" w:val="397"/>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3,91</w:t>
            </w:r>
          </w:p>
        </w:tc>
      </w:tr>
    </w:tbl>
    <w:p w:rsidR="00BD59B2" w:rsidRPr="00E0488D" w:rsidRDefault="00BD59B2" w:rsidP="00BD59B2">
      <w:pPr>
        <w:spacing w:before="120" w:after="120" w:line="276" w:lineRule="auto"/>
        <w:rPr>
          <w:i/>
          <w:sz w:val="22"/>
          <w:szCs w:val="22"/>
          <w:lang w:val="ro-RO"/>
        </w:rPr>
      </w:pPr>
      <w:r w:rsidRPr="00E0488D">
        <w:rPr>
          <w:b/>
          <w:i/>
          <w:sz w:val="22"/>
          <w:szCs w:val="22"/>
          <w:lang w:val="ro-RO"/>
        </w:rPr>
        <w:t>Implementare</w:t>
      </w:r>
      <w:r w:rsidRPr="00E0488D">
        <w:rPr>
          <w:i/>
          <w:sz w:val="22"/>
          <w:szCs w:val="22"/>
          <w:lang w:val="ro-RO"/>
        </w:rPr>
        <w:t>:</w:t>
      </w:r>
    </w:p>
    <w:p w:rsidR="00BD59B2" w:rsidRPr="00E0488D" w:rsidRDefault="00BD59B2" w:rsidP="002B7E09">
      <w:pPr>
        <w:pStyle w:val="NumberedParas"/>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creștere</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București</w:t>
      </w:r>
      <w:r w:rsidRPr="00E0488D">
        <w:t xml:space="preserve">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w:t>
      </w:r>
      <w:r w:rsidRPr="00E0488D">
        <w:t>.</w:t>
      </w:r>
    </w:p>
    <w:p w:rsidR="00BD59B2" w:rsidRPr="00E0488D" w:rsidRDefault="00BD59B2" w:rsidP="00BD59B2">
      <w:pPr>
        <w:rPr>
          <w:b/>
          <w:sz w:val="22"/>
          <w:szCs w:val="22"/>
          <w:lang w:val="ro-RO"/>
        </w:rPr>
      </w:pPr>
      <w:r w:rsidRPr="00E0488D">
        <w:rPr>
          <w:b/>
          <w:sz w:val="22"/>
          <w:szCs w:val="22"/>
          <w:lang w:val="ro-RO"/>
        </w:rPr>
        <w:br w:type="page"/>
      </w:r>
    </w:p>
    <w:p w:rsidR="00BD59B2" w:rsidRPr="00E0488D" w:rsidRDefault="00BD59B2" w:rsidP="00BD59B2">
      <w:pPr>
        <w:spacing w:before="120" w:after="120" w:line="276" w:lineRule="auto"/>
        <w:rPr>
          <w:b/>
          <w:sz w:val="22"/>
          <w:szCs w:val="22"/>
          <w:lang w:val="ro-RO"/>
        </w:rPr>
      </w:pPr>
    </w:p>
    <w:p w:rsidR="00BD59B2" w:rsidRPr="00E0488D" w:rsidRDefault="00BD59B2" w:rsidP="00BD59B2">
      <w:pPr>
        <w:pStyle w:val="Hdg3"/>
      </w:pPr>
      <w:r w:rsidRPr="00E0488D">
        <w:t>Craiova (Terminal nou)</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recomandă</w:t>
      </w:r>
      <w:r w:rsidRPr="00E0488D">
        <w:t xml:space="preserve"> </w:t>
      </w:r>
      <w:r w:rsidRPr="00E0488D">
        <w:rPr>
          <w:rStyle w:val="hps"/>
          <w:rFonts w:cs="Arial"/>
          <w:color w:val="000000" w:themeColor="text1"/>
        </w:rPr>
        <w:t>desființarea</w:t>
      </w:r>
      <w:r w:rsidRPr="00E0488D">
        <w:t xml:space="preserve"> </w:t>
      </w:r>
      <w:r w:rsidRPr="00E0488D">
        <w:rPr>
          <w:rStyle w:val="hps"/>
          <w:rFonts w:cs="Arial"/>
          <w:color w:val="000000" w:themeColor="text1"/>
        </w:rPr>
        <w:t>terminalului existent, aflat în conservare de la</w:t>
      </w:r>
      <w:r w:rsidRPr="00E0488D">
        <w:t xml:space="preserve"> </w:t>
      </w:r>
      <w:r w:rsidRPr="00E0488D">
        <w:rPr>
          <w:rStyle w:val="hps"/>
          <w:rFonts w:cs="Arial"/>
          <w:color w:val="000000" w:themeColor="text1"/>
        </w:rPr>
        <w:t>Craiova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construirea unui</w:t>
      </w:r>
      <w:r w:rsidRPr="00E0488D">
        <w:t xml:space="preserve"> </w:t>
      </w:r>
      <w:r w:rsidRPr="00E0488D">
        <w:rPr>
          <w:rStyle w:val="hps"/>
          <w:rFonts w:cs="Arial"/>
          <w:color w:val="000000" w:themeColor="text1"/>
        </w:rPr>
        <w:t>nou terminal</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legături mai bune</w:t>
      </w:r>
      <w:r w:rsidRPr="00E0488D">
        <w:t xml:space="preserve"> </w:t>
      </w:r>
      <w:r w:rsidRPr="00E0488D">
        <w:rPr>
          <w:rStyle w:val="hps"/>
          <w:rFonts w:cs="Arial"/>
          <w:color w:val="000000" w:themeColor="text1"/>
        </w:rPr>
        <w:t>la reteaua</w:t>
      </w:r>
      <w:r w:rsidRPr="00E0488D">
        <w:t xml:space="preserve"> </w:t>
      </w:r>
      <w:r w:rsidRPr="00E0488D">
        <w:rPr>
          <w:rStyle w:val="hps"/>
          <w:rFonts w:cs="Arial"/>
          <w:color w:val="000000" w:themeColor="text1"/>
        </w:rPr>
        <w:t>de drumuri</w:t>
      </w:r>
      <w:r w:rsidRPr="00E0488D">
        <w:t xml:space="preserve">, în scopul de </w:t>
      </w:r>
      <w:r w:rsidRPr="00E0488D">
        <w:rPr>
          <w:rStyle w:val="hps"/>
          <w:rFonts w:cs="Arial"/>
          <w:color w:val="000000" w:themeColor="text1"/>
        </w:rPr>
        <w:t>a</w:t>
      </w:r>
      <w:r w:rsidRPr="00E0488D">
        <w:t xml:space="preserve"> </w:t>
      </w:r>
      <w:r w:rsidRPr="00E0488D">
        <w:rPr>
          <w:rStyle w:val="hps"/>
          <w:rFonts w:cs="Arial"/>
          <w:color w:val="000000" w:themeColor="text1"/>
        </w:rPr>
        <w:t>satisface</w:t>
      </w:r>
      <w:r w:rsidRPr="00E0488D">
        <w:t xml:space="preserve"> </w:t>
      </w:r>
      <w:r w:rsidRPr="00E0488D">
        <w:rPr>
          <w:rStyle w:val="hps"/>
          <w:rFonts w:cs="Arial"/>
          <w:color w:val="000000" w:themeColor="text1"/>
        </w:rPr>
        <w:t>creșterea prognozată 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w:t>
      </w:r>
    </w:p>
    <w:p w:rsidR="00BD59B2" w:rsidRPr="00E0488D" w:rsidRDefault="00BD59B2" w:rsidP="00BD59B2">
      <w:pPr>
        <w:spacing w:before="120" w:after="120" w:line="276" w:lineRule="auto"/>
        <w:rPr>
          <w:b/>
          <w:i/>
          <w:sz w:val="22"/>
          <w:szCs w:val="22"/>
          <w:lang w:val="ro-RO" w:eastAsia="en-GB"/>
        </w:rPr>
      </w:pPr>
      <w:r w:rsidRPr="00E0488D">
        <w:rPr>
          <w:b/>
          <w:i/>
          <w:sz w:val="22"/>
          <w:szCs w:val="22"/>
          <w:lang w:val="ro-RO" w:eastAsia="en-GB"/>
        </w:rPr>
        <w:t xml:space="preserve">Obiective operaționale </w:t>
      </w:r>
    </w:p>
    <w:p w:rsidR="00BD59B2" w:rsidRPr="00E0488D" w:rsidRDefault="00BD59B2" w:rsidP="002B7E09">
      <w:pPr>
        <w:pStyle w:val="NumberedParas"/>
        <w:rPr>
          <w:lang w:eastAsia="en-GB"/>
        </w:rPr>
      </w:pPr>
      <w:r w:rsidRPr="00E0488D">
        <w:rPr>
          <w:b/>
          <w:lang w:eastAsia="en-GB"/>
        </w:rPr>
        <w:t>OR16,</w:t>
      </w:r>
      <w:r w:rsidRPr="00E0488D">
        <w:rPr>
          <w:lang w:eastAsia="en-GB"/>
        </w:rPr>
        <w:t xml:space="preserve">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w:t>
      </w:r>
    </w:p>
    <w:p w:rsidR="00BD59B2" w:rsidRPr="00E0488D" w:rsidRDefault="00BD59B2" w:rsidP="00BD59B2">
      <w:pPr>
        <w:spacing w:before="120" w:after="120" w:line="276" w:lineRule="auto"/>
        <w:rPr>
          <w:b/>
          <w:i/>
          <w:sz w:val="22"/>
          <w:szCs w:val="22"/>
          <w:lang w:val="ro-RO"/>
        </w:rPr>
      </w:pPr>
      <w:r w:rsidRPr="00E0488D">
        <w:rPr>
          <w:b/>
          <w:i/>
          <w:sz w:val="22"/>
          <w:szCs w:val="22"/>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În combinație cu creșterea</w:t>
      </w:r>
      <w:r w:rsidRPr="00E0488D">
        <w:t xml:space="preserve"> </w:t>
      </w:r>
      <w:r w:rsidRPr="00E0488D">
        <w:rPr>
          <w:rStyle w:val="hps"/>
          <w:rFonts w:cs="Arial"/>
          <w:color w:val="000000" w:themeColor="text1"/>
        </w:rPr>
        <w:t>prognozată 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structura</w:t>
      </w:r>
      <w:r w:rsidRPr="00E0488D">
        <w:t xml:space="preserve"> </w:t>
      </w:r>
      <w:r w:rsidRPr="00E0488D">
        <w:rPr>
          <w:rStyle w:val="hps"/>
          <w:rFonts w:cs="Arial"/>
          <w:color w:val="000000" w:themeColor="text1"/>
        </w:rPr>
        <w:t>industrială</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zonei din jurul</w:t>
      </w:r>
      <w:r w:rsidRPr="00E0488D">
        <w:t xml:space="preserve"> </w:t>
      </w:r>
      <w:r w:rsidRPr="00E0488D">
        <w:rPr>
          <w:rStyle w:val="hps"/>
          <w:rFonts w:cs="Arial"/>
          <w:color w:val="000000" w:themeColor="text1"/>
        </w:rPr>
        <w:t>Craiovei</w:t>
      </w:r>
      <w:r w:rsidRPr="00E0488D">
        <w:t xml:space="preserve">, </w:t>
      </w:r>
      <w:r w:rsidRPr="00E0488D">
        <w:rPr>
          <w:rStyle w:val="hps"/>
          <w:rFonts w:cs="Arial"/>
          <w:color w:val="000000" w:themeColor="text1"/>
        </w:rPr>
        <w:t>există un potențial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care va</w:t>
      </w:r>
      <w:r w:rsidRPr="00E0488D">
        <w:t xml:space="preserve"> </w:t>
      </w:r>
      <w:r w:rsidRPr="00E0488D">
        <w:rPr>
          <w:rStyle w:val="hps"/>
          <w:rFonts w:cs="Arial"/>
          <w:color w:val="000000" w:themeColor="text1"/>
        </w:rPr>
        <w:t>depăși</w:t>
      </w:r>
      <w:r w:rsidRPr="00E0488D">
        <w:t xml:space="preserve"> </w:t>
      </w:r>
      <w:r w:rsidRPr="00E0488D">
        <w:rPr>
          <w:rStyle w:val="hps"/>
          <w:rFonts w:cs="Arial"/>
          <w:color w:val="000000" w:themeColor="text1"/>
        </w:rPr>
        <w:t>capacitatea existentă din locația afectată</w:t>
      </w:r>
      <w:r w:rsidRPr="00E0488D">
        <w:t>. Terminalul va deservi și industia locală de construcții de mașini dar și cererea de consum generată de al șaselea oraș ca mărime din România. Craiova este de asemenea bine poziționată pe rețeaua TEN-T și va beneficia de viitoarele lucrări de modernizare a coridoarelor TEN-T.</w:t>
      </w:r>
    </w:p>
    <w:p w:rsidR="00BD59B2" w:rsidRPr="00E0488D" w:rsidRDefault="00BD59B2" w:rsidP="00BD59B2">
      <w:pPr>
        <w:spacing w:before="120" w:after="120" w:line="276" w:lineRule="auto"/>
        <w:rPr>
          <w:b/>
          <w:i/>
          <w:sz w:val="22"/>
          <w:szCs w:val="22"/>
          <w:lang w:val="ro-RO"/>
        </w:rPr>
      </w:pPr>
      <w:r w:rsidRPr="00E0488D">
        <w:rPr>
          <w:b/>
          <w:i/>
          <w:sz w:val="22"/>
          <w:szCs w:val="22"/>
          <w:lang w:val="ro-RO"/>
        </w:rPr>
        <w:t>Rezultate</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w:t>
      </w:r>
    </w:p>
    <w:p w:rsidR="00BD59B2" w:rsidRPr="00E0488D" w:rsidRDefault="00BD59B2" w:rsidP="00BD59B2">
      <w:pPr>
        <w:pStyle w:val="ListParagraph"/>
        <w:ind w:left="680"/>
        <w:rPr>
          <w:b/>
          <w:sz w:val="22"/>
          <w:szCs w:val="22"/>
          <w:lang w:val="ro-RO"/>
        </w:rPr>
      </w:pPr>
      <w:r w:rsidRPr="00E0488D">
        <w:rPr>
          <w:b/>
          <w:sz w:val="22"/>
          <w:szCs w:val="22"/>
          <w:lang w:val="ro-RO"/>
        </w:rPr>
        <w:t>Tabelul 8.17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20"/>
        <w:gridCol w:w="2309"/>
        <w:gridCol w:w="1387"/>
        <w:gridCol w:w="1274"/>
        <w:gridCol w:w="1273"/>
        <w:gridCol w:w="1348"/>
      </w:tblGrid>
      <w:tr w:rsidR="00BD59B2" w:rsidRPr="00E0488D" w:rsidTr="009972B3">
        <w:trPr>
          <w:trHeight w:val="99"/>
        </w:trPr>
        <w:tc>
          <w:tcPr>
            <w:tcW w:w="4329"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r>
      <w:tr w:rsidR="00BD59B2" w:rsidRPr="00E0488D" w:rsidTr="009972B3">
        <w:trPr>
          <w:trHeight w:val="99"/>
        </w:trPr>
        <w:tc>
          <w:tcPr>
            <w:tcW w:w="2020"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r>
      <w:tr w:rsidR="00BD59B2" w:rsidRPr="00E0488D" w:rsidTr="009972B3">
        <w:trPr>
          <w:trHeight w:val="99"/>
        </w:trPr>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41</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60</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83</w:t>
            </w:r>
          </w:p>
        </w:tc>
      </w:tr>
      <w:tr w:rsidR="00BD59B2" w:rsidRPr="00E0488D" w:rsidTr="009972B3">
        <w:trPr>
          <w:trHeight w:val="99"/>
        </w:trPr>
        <w:tc>
          <w:tcPr>
            <w:tcW w:w="2020"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0%</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40%</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59%</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81%</w:t>
            </w:r>
          </w:p>
        </w:tc>
      </w:tr>
      <w:tr w:rsidR="00BD59B2" w:rsidRPr="00E0488D" w:rsidTr="009972B3">
        <w:trPr>
          <w:trHeight w:val="99"/>
        </w:trPr>
        <w:tc>
          <w:tcPr>
            <w:tcW w:w="2020"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0%</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9%</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13%</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18%</w:t>
            </w:r>
          </w:p>
        </w:tc>
      </w:tr>
    </w:tbl>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981575" cy="3086100"/>
            <wp:effectExtent l="19050" t="0" r="9525" b="0"/>
            <wp:docPr id="31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8.19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Noul terminal aduce beneficii economice semnificative:</w:t>
      </w:r>
    </w:p>
    <w:p w:rsidR="00BD59B2" w:rsidRPr="00E0488D" w:rsidRDefault="00BD59B2" w:rsidP="00BD59B2">
      <w:pPr>
        <w:pStyle w:val="ListParagraph"/>
        <w:ind w:left="680"/>
        <w:rPr>
          <w:b/>
          <w:sz w:val="22"/>
          <w:szCs w:val="22"/>
          <w:lang w:val="ro-RO"/>
        </w:rPr>
      </w:pPr>
      <w:r w:rsidRPr="00E0488D">
        <w:rPr>
          <w:b/>
          <w:sz w:val="22"/>
          <w:szCs w:val="22"/>
          <w:lang w:val="ro-RO"/>
        </w:rPr>
        <w:t>Tabelul 8.18 Impactul economic al construcție terminalului</w:t>
      </w:r>
    </w:p>
    <w:tbl>
      <w:tblPr>
        <w:tblW w:w="3278" w:type="pct"/>
        <w:tblInd w:w="567" w:type="dxa"/>
        <w:tblCellMar>
          <w:left w:w="0" w:type="dxa"/>
          <w:right w:w="0" w:type="dxa"/>
        </w:tblCellMar>
        <w:tblLook w:val="04A0" w:firstRow="1" w:lastRow="0" w:firstColumn="1" w:lastColumn="0" w:noHBand="0" w:noVBand="1"/>
      </w:tblPr>
      <w:tblGrid>
        <w:gridCol w:w="4991"/>
        <w:gridCol w:w="1897"/>
      </w:tblGrid>
      <w:tr w:rsidR="00BD59B2" w:rsidRPr="00E0488D" w:rsidTr="009972B3">
        <w:trPr>
          <w:trHeight w:hRule="exact" w:val="397"/>
        </w:trPr>
        <w:tc>
          <w:tcPr>
            <w:tcW w:w="3623"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377"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18,0</w:t>
            </w:r>
          </w:p>
        </w:tc>
      </w:tr>
      <w:tr w:rsidR="00BD59B2" w:rsidRPr="00E0488D" w:rsidTr="009972B3">
        <w:trPr>
          <w:trHeight w:hRule="exact" w:val="397"/>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6,6%</w:t>
            </w:r>
          </w:p>
        </w:tc>
      </w:tr>
      <w:tr w:rsidR="00BD59B2" w:rsidRPr="00E0488D" w:rsidTr="009972B3">
        <w:trPr>
          <w:trHeight w:hRule="exact" w:val="397"/>
        </w:trPr>
        <w:tc>
          <w:tcPr>
            <w:tcW w:w="3623"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37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1,39</w:t>
            </w:r>
          </w:p>
        </w:tc>
      </w:tr>
    </w:tbl>
    <w:p w:rsidR="00BD59B2" w:rsidRPr="00E0488D" w:rsidRDefault="00BD59B2" w:rsidP="00BD59B2">
      <w:pPr>
        <w:spacing w:before="120" w:after="120" w:line="276" w:lineRule="auto"/>
        <w:rPr>
          <w:b/>
          <w:i/>
          <w:sz w:val="22"/>
          <w:szCs w:val="22"/>
          <w:lang w:val="ro-RO"/>
        </w:rPr>
      </w:pPr>
      <w:r w:rsidRPr="00E0488D">
        <w:rPr>
          <w:b/>
          <w:i/>
          <w:sz w:val="22"/>
          <w:szCs w:val="22"/>
          <w:lang w:val="ro-RO"/>
        </w:rPr>
        <w:t>Implementare:</w:t>
      </w:r>
    </w:p>
    <w:p w:rsidR="00BD59B2" w:rsidRPr="00E0488D" w:rsidRDefault="00BD59B2" w:rsidP="002B7E09">
      <w:pPr>
        <w:pStyle w:val="NumberedParas"/>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de la</w:t>
      </w:r>
      <w:r w:rsidRPr="00E0488D">
        <w:t xml:space="preserve"> </w:t>
      </w:r>
      <w:r w:rsidRPr="00E0488D">
        <w:rPr>
          <w:rStyle w:val="hps"/>
          <w:rFonts w:cs="Arial"/>
          <w:color w:val="000000" w:themeColor="text1"/>
        </w:rPr>
        <w:t>Craiova</w:t>
      </w:r>
      <w:r w:rsidRPr="00E0488D">
        <w:t xml:space="preserve">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w:t>
      </w:r>
    </w:p>
    <w:p w:rsidR="00BD59B2" w:rsidRPr="00E0488D" w:rsidRDefault="00BD59B2" w:rsidP="00BD59B2">
      <w:pPr>
        <w:rPr>
          <w:lang w:val="ro-RO"/>
        </w:rPr>
      </w:pPr>
      <w:r w:rsidRPr="00E0488D">
        <w:rPr>
          <w:lang w:val="ro-RO"/>
        </w:rPr>
        <w:br w:type="page"/>
      </w:r>
    </w:p>
    <w:p w:rsidR="00BD59B2" w:rsidRPr="00E0488D" w:rsidRDefault="00BD59B2" w:rsidP="00BD59B2">
      <w:pPr>
        <w:pStyle w:val="Hdg3"/>
      </w:pPr>
      <w:r w:rsidRPr="00E0488D">
        <w:t>Iași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propune</w:t>
      </w:r>
      <w:r w:rsidRPr="00E0488D">
        <w:t xml:space="preserve"> </w:t>
      </w:r>
      <w:r w:rsidRPr="00E0488D">
        <w:rPr>
          <w:rStyle w:val="hps"/>
          <w:rFonts w:cs="Arial"/>
          <w:color w:val="000000" w:themeColor="text1"/>
        </w:rPr>
        <w:t>redeschiderea Terminalului de Mărfuri</w:t>
      </w:r>
      <w:r w:rsidRPr="00E0488D">
        <w:t xml:space="preserve"> </w:t>
      </w:r>
      <w:r w:rsidRPr="00E0488D">
        <w:rPr>
          <w:rStyle w:val="hps"/>
          <w:rFonts w:cs="Arial"/>
          <w:color w:val="000000" w:themeColor="text1"/>
        </w:rPr>
        <w:t>de la Socola</w:t>
      </w:r>
      <w:r w:rsidRPr="00E0488D">
        <w:t xml:space="preserve"> </w:t>
      </w:r>
      <w:r w:rsidRPr="00E0488D">
        <w:rPr>
          <w:rStyle w:val="hps"/>
          <w:rFonts w:cs="Arial"/>
          <w:color w:val="000000" w:themeColor="text1"/>
        </w:rPr>
        <w:t>pentru a profita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potențialul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transbordare</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de pe ecartamentul rusesc pe cel european</w:t>
      </w:r>
      <w:r w:rsidRPr="00E0488D">
        <w:t xml:space="preserve"> </w:t>
      </w:r>
      <w:r w:rsidRPr="00E0488D">
        <w:rPr>
          <w:rStyle w:val="hps"/>
          <w:rFonts w:cs="Arial"/>
          <w:color w:val="000000" w:themeColor="text1"/>
        </w:rPr>
        <w:t>și</w:t>
      </w:r>
      <w:r w:rsidRPr="00E0488D">
        <w:t xml:space="preserve">, de asemenea, datorită </w:t>
      </w:r>
      <w:r w:rsidRPr="00E0488D">
        <w:rPr>
          <w:rStyle w:val="hps"/>
          <w:rFonts w:cs="Arial"/>
          <w:color w:val="000000" w:themeColor="text1"/>
        </w:rPr>
        <w:t>capacității de gestionare a</w:t>
      </w:r>
      <w:r w:rsidRPr="00E0488D">
        <w:t xml:space="preserve"> </w:t>
      </w:r>
      <w:r w:rsidRPr="00E0488D">
        <w:rPr>
          <w:rStyle w:val="hps"/>
          <w:rFonts w:cs="Arial"/>
          <w:color w:val="000000" w:themeColor="text1"/>
        </w:rPr>
        <w:t>traficului intern</w:t>
      </w:r>
      <w:r w:rsidRPr="00E0488D">
        <w:t>. Dacă redeschiderea terminalului existent nu este posibil, atunci recomandarea AECOM este aceea de construire a unui terminal nou.</w:t>
      </w:r>
    </w:p>
    <w:p w:rsidR="00BD59B2" w:rsidRPr="00E0488D" w:rsidRDefault="00BD59B2" w:rsidP="00BD59B2">
      <w:pPr>
        <w:spacing w:before="120" w:after="120" w:line="276" w:lineRule="auto"/>
        <w:rPr>
          <w:b/>
          <w:i/>
          <w:sz w:val="22"/>
          <w:szCs w:val="22"/>
          <w:lang w:val="ro-RO" w:eastAsia="en-GB"/>
        </w:rPr>
      </w:pPr>
      <w:r w:rsidRPr="00E0488D">
        <w:rPr>
          <w:b/>
          <w:i/>
          <w:sz w:val="22"/>
          <w:szCs w:val="22"/>
          <w:lang w:val="ro-RO" w:eastAsia="en-GB"/>
        </w:rPr>
        <w:t>Obiective operaționale</w:t>
      </w:r>
    </w:p>
    <w:p w:rsidR="00BD59B2" w:rsidRPr="00E0488D" w:rsidRDefault="00BD59B2" w:rsidP="002B7E09">
      <w:pPr>
        <w:pStyle w:val="NumberedParas"/>
        <w:rPr>
          <w:lang w:eastAsia="en-GB"/>
        </w:rPr>
      </w:pPr>
      <w:r w:rsidRPr="00E0488D">
        <w:rPr>
          <w:b/>
          <w:lang w:eastAsia="en-GB"/>
        </w:rPr>
        <w:t>OR16,</w:t>
      </w:r>
      <w:r w:rsidRPr="00E0488D">
        <w:rPr>
          <w:lang w:eastAsia="en-GB"/>
        </w:rPr>
        <w:t xml:space="preserve">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spacing w:before="120" w:after="120" w:line="276" w:lineRule="auto"/>
        <w:rPr>
          <w:b/>
          <w:i/>
          <w:sz w:val="22"/>
          <w:szCs w:val="22"/>
          <w:lang w:val="ro-RO"/>
        </w:rPr>
      </w:pPr>
      <w:r w:rsidRPr="00E0488D">
        <w:rPr>
          <w:b/>
          <w:i/>
          <w:sz w:val="22"/>
          <w:szCs w:val="22"/>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În combinație cu creșterea</w:t>
      </w:r>
      <w:r w:rsidRPr="00E0488D">
        <w:t xml:space="preserve"> </w:t>
      </w:r>
      <w:r w:rsidRPr="00E0488D">
        <w:rPr>
          <w:rStyle w:val="hps"/>
          <w:rFonts w:cs="Arial"/>
          <w:color w:val="000000" w:themeColor="text1"/>
        </w:rPr>
        <w:t>prognozată 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și oportunitatea de transbordare de pe ecartamentul rusesc pe cel european, se consideră necesară reabilitarea și redeschiderea terminalului închis în prezent</w:t>
      </w:r>
      <w:r w:rsidRPr="00E0488D">
        <w:t xml:space="preserve">. </w:t>
      </w:r>
    </w:p>
    <w:p w:rsidR="00BD59B2" w:rsidRPr="00E0488D" w:rsidRDefault="00BD59B2" w:rsidP="00BD59B2">
      <w:pPr>
        <w:spacing w:before="120" w:after="120" w:line="276" w:lineRule="auto"/>
        <w:rPr>
          <w:b/>
          <w:i/>
          <w:sz w:val="22"/>
          <w:szCs w:val="22"/>
          <w:lang w:val="ro-RO"/>
        </w:rPr>
      </w:pPr>
      <w:r w:rsidRPr="00E0488D">
        <w:rPr>
          <w:b/>
          <w:i/>
          <w:sz w:val="22"/>
          <w:szCs w:val="22"/>
          <w:lang w:val="ro-RO"/>
        </w:rPr>
        <w:t xml:space="preserve">Rezultate </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 xml:space="preserve">. </w:t>
      </w:r>
    </w:p>
    <w:p w:rsidR="00BD59B2" w:rsidRPr="00E0488D" w:rsidRDefault="00BD59B2" w:rsidP="00BD59B2">
      <w:pPr>
        <w:pStyle w:val="ListParagraph"/>
        <w:ind w:left="680"/>
        <w:rPr>
          <w:b/>
          <w:sz w:val="22"/>
          <w:szCs w:val="22"/>
          <w:lang w:val="ro-RO"/>
        </w:rPr>
      </w:pPr>
      <w:r w:rsidRPr="00E0488D">
        <w:rPr>
          <w:b/>
          <w:sz w:val="22"/>
          <w:szCs w:val="22"/>
          <w:lang w:val="ro-RO"/>
        </w:rPr>
        <w:t>Tabelul 8.19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20"/>
        <w:gridCol w:w="2309"/>
        <w:gridCol w:w="1387"/>
        <w:gridCol w:w="1274"/>
        <w:gridCol w:w="1273"/>
        <w:gridCol w:w="1348"/>
      </w:tblGrid>
      <w:tr w:rsidR="00BD59B2" w:rsidRPr="00E0488D" w:rsidTr="009972B3">
        <w:trPr>
          <w:trHeight w:val="99"/>
        </w:trPr>
        <w:tc>
          <w:tcPr>
            <w:tcW w:w="4329"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w:t>
            </w:r>
          </w:p>
        </w:tc>
      </w:tr>
      <w:tr w:rsidR="00BD59B2" w:rsidRPr="00E0488D" w:rsidTr="009972B3">
        <w:trPr>
          <w:trHeight w:val="99"/>
        </w:trPr>
        <w:tc>
          <w:tcPr>
            <w:tcW w:w="2020"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9%</w:t>
            </w:r>
          </w:p>
        </w:tc>
      </w:tr>
      <w:tr w:rsidR="00BD59B2" w:rsidRPr="00E0488D" w:rsidTr="009972B3">
        <w:trPr>
          <w:trHeight w:val="99"/>
        </w:trPr>
        <w:tc>
          <w:tcPr>
            <w:tcW w:w="2020"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25</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34</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47</w:t>
            </w:r>
          </w:p>
        </w:tc>
      </w:tr>
      <w:tr w:rsidR="00BD59B2" w:rsidRPr="00E0488D" w:rsidTr="009972B3">
        <w:trPr>
          <w:trHeight w:val="99"/>
        </w:trPr>
        <w:tc>
          <w:tcPr>
            <w:tcW w:w="2020"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46%</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63%</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87%</w:t>
            </w:r>
          </w:p>
        </w:tc>
      </w:tr>
      <w:tr w:rsidR="00BD59B2" w:rsidRPr="00E0488D" w:rsidTr="009972B3">
        <w:trPr>
          <w:trHeight w:val="99"/>
        </w:trPr>
        <w:tc>
          <w:tcPr>
            <w:tcW w:w="2020"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3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7"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0%</w:t>
            </w:r>
          </w:p>
        </w:tc>
        <w:tc>
          <w:tcPr>
            <w:tcW w:w="12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12%</w:t>
            </w:r>
          </w:p>
        </w:tc>
        <w:tc>
          <w:tcPr>
            <w:tcW w:w="1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16%</w:t>
            </w:r>
          </w:p>
        </w:tc>
        <w:tc>
          <w:tcPr>
            <w:tcW w:w="1348"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22%</w:t>
            </w:r>
          </w:p>
        </w:tc>
      </w:tr>
    </w:tbl>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669993" cy="2282342"/>
            <wp:effectExtent l="19050" t="0" r="16307" b="3658"/>
            <wp:docPr id="3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8.20 Variația cererii între scenariul de implementare a tuturor terminalelor și scenariul de referință </w:t>
      </w:r>
    </w:p>
    <w:p w:rsidR="00BD59B2" w:rsidRPr="00E0488D" w:rsidRDefault="00BD59B2" w:rsidP="00BD59B2">
      <w:pPr>
        <w:spacing w:before="120" w:after="120" w:line="276" w:lineRule="auto"/>
        <w:rPr>
          <w:sz w:val="22"/>
          <w:szCs w:val="22"/>
          <w:lang w:val="ro-RO"/>
        </w:rPr>
      </w:pPr>
    </w:p>
    <w:p w:rsidR="00BD59B2" w:rsidRPr="00E0488D" w:rsidRDefault="00BD59B2" w:rsidP="002B7E09">
      <w:pPr>
        <w:pStyle w:val="NumberedParas"/>
      </w:pPr>
      <w:r w:rsidRPr="00E0488D">
        <w:t>Noul terminal aduce beneficii economice reduse, ceea ce arată faptul că modernizarea este soluția cea mai eficientă pentru terminalul Iași. Raportul beneficii/costuri este estimat va fi subunitar.</w:t>
      </w:r>
    </w:p>
    <w:p w:rsidR="00BD59B2" w:rsidRPr="00E0488D" w:rsidRDefault="00BD59B2" w:rsidP="00BD59B2">
      <w:pPr>
        <w:rPr>
          <w:lang w:val="ro-RO"/>
        </w:rPr>
      </w:pPr>
    </w:p>
    <w:p w:rsidR="00BD59B2" w:rsidRPr="00E0488D" w:rsidRDefault="00BD59B2" w:rsidP="00BD59B2">
      <w:pPr>
        <w:pStyle w:val="ListParagraph"/>
        <w:ind w:left="680"/>
        <w:rPr>
          <w:b/>
          <w:sz w:val="22"/>
          <w:szCs w:val="22"/>
          <w:lang w:val="ro-RO"/>
        </w:rPr>
      </w:pPr>
      <w:r w:rsidRPr="00E0488D">
        <w:rPr>
          <w:b/>
          <w:sz w:val="22"/>
          <w:szCs w:val="22"/>
          <w:lang w:val="ro-RO"/>
        </w:rPr>
        <w:t>Tabelul 8.20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80"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4,0</w:t>
            </w:r>
          </w:p>
        </w:tc>
        <w:tc>
          <w:tcPr>
            <w:tcW w:w="1080"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rPr>
            </w:pPr>
            <w:r w:rsidRPr="00E0488D">
              <w:rPr>
                <w:sz w:val="22"/>
                <w:szCs w:val="22"/>
                <w:lang w:val="ro-RO"/>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12,0%</w:t>
            </w:r>
          </w:p>
        </w:tc>
        <w:tc>
          <w:tcPr>
            <w:tcW w:w="1080" w:type="pct"/>
            <w:tcBorders>
              <w:top w:val="nil"/>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rPr>
            </w:pPr>
            <w:r w:rsidRPr="00E0488D">
              <w:rPr>
                <w:sz w:val="22"/>
                <w:szCs w:val="22"/>
                <w:lang w:val="ro-RO"/>
              </w:rPr>
              <w:t>3,9%</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rPr>
            </w:pPr>
            <w:r w:rsidRPr="00E0488D">
              <w:rPr>
                <w:sz w:val="22"/>
                <w:szCs w:val="22"/>
                <w:lang w:val="ro-RO"/>
              </w:rPr>
              <w:t>3,01</w:t>
            </w:r>
          </w:p>
        </w:tc>
        <w:tc>
          <w:tcPr>
            <w:tcW w:w="1080" w:type="pct"/>
            <w:tcBorders>
              <w:top w:val="nil"/>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rPr>
            </w:pPr>
            <w:r w:rsidRPr="00E0488D">
              <w:rPr>
                <w:sz w:val="22"/>
                <w:szCs w:val="22"/>
                <w:lang w:val="ro-RO"/>
              </w:rPr>
              <w:t>0,81</w:t>
            </w:r>
          </w:p>
        </w:tc>
      </w:tr>
    </w:tbl>
    <w:p w:rsidR="00BD59B2" w:rsidRPr="00E0488D" w:rsidRDefault="00BD59B2" w:rsidP="00BD59B2">
      <w:pPr>
        <w:rPr>
          <w:lang w:val="ro-RO"/>
        </w:rPr>
      </w:pPr>
    </w:p>
    <w:p w:rsidR="00BD59B2" w:rsidRPr="00E0488D" w:rsidRDefault="00BD59B2" w:rsidP="00BD59B2">
      <w:pPr>
        <w:spacing w:before="120" w:after="120" w:line="276" w:lineRule="auto"/>
        <w:rPr>
          <w:b/>
          <w:sz w:val="22"/>
          <w:szCs w:val="22"/>
          <w:lang w:val="ro-RO"/>
        </w:rPr>
      </w:pPr>
      <w:r w:rsidRPr="00E0488D">
        <w:rPr>
          <w:b/>
          <w:sz w:val="22"/>
          <w:szCs w:val="22"/>
          <w:lang w:val="ro-RO"/>
        </w:rPr>
        <w:t>Implementare:</w:t>
      </w:r>
    </w:p>
    <w:p w:rsidR="00BD59B2" w:rsidRPr="00E0488D" w:rsidRDefault="00BD59B2" w:rsidP="002B7E09">
      <w:pPr>
        <w:pStyle w:val="NumberedParas"/>
        <w:rPr>
          <w:b/>
        </w:rPr>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de la</w:t>
      </w:r>
      <w:r w:rsidRPr="00E0488D">
        <w:t xml:space="preserve"> Iasi (Socola)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w:t>
      </w:r>
    </w:p>
    <w:p w:rsidR="00BD59B2" w:rsidRPr="00E0488D" w:rsidRDefault="00BD59B2" w:rsidP="00BD59B2">
      <w:pPr>
        <w:rPr>
          <w:lang w:val="ro-RO"/>
        </w:rPr>
      </w:pPr>
    </w:p>
    <w:p w:rsidR="00BD59B2" w:rsidRPr="00E0488D" w:rsidRDefault="00BD59B2" w:rsidP="00BD59B2">
      <w:pPr>
        <w:pStyle w:val="Hdg3"/>
      </w:pPr>
      <w:r w:rsidRPr="00E0488D">
        <w:t>Timișoara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consideră că există două alternative pentru ca al doilea oraș ca mărime din România să dispună de un terminal intermodal modern. Alternativa 1 este redeschiderea terminalului Semenic iar cea de-a doua este construcția unui terminal nou. Alternativa construcției unui terminal nou în vecinătatea aeroportului merită luată în considerare deoarece (deși mărfurile transportate cu avionul și trenul nu sunt compatibile iar multimodalitatea este limitată între aceste două moduri de transport) ideea unui parc nou de afaceri incluzând facilități rutiere, feroviar și de transport aerian este una potențial atractivă.</w:t>
      </w:r>
    </w:p>
    <w:p w:rsidR="00BD59B2" w:rsidRPr="00E0488D" w:rsidRDefault="00BD59B2" w:rsidP="00BD59B2">
      <w:pPr>
        <w:spacing w:before="120" w:after="120" w:line="276" w:lineRule="auto"/>
        <w:rPr>
          <w:b/>
          <w:i/>
          <w:sz w:val="22"/>
          <w:szCs w:val="22"/>
          <w:lang w:val="ro-RO" w:eastAsia="en-GB"/>
        </w:rPr>
      </w:pPr>
      <w:r w:rsidRPr="00E0488D">
        <w:rPr>
          <w:b/>
          <w:i/>
          <w:sz w:val="22"/>
          <w:szCs w:val="22"/>
          <w:lang w:val="ro-RO" w:eastAsia="en-GB"/>
        </w:rPr>
        <w:t>Obiective operaționale</w:t>
      </w:r>
    </w:p>
    <w:p w:rsidR="00BD59B2" w:rsidRPr="00E0488D" w:rsidRDefault="00BD59B2" w:rsidP="002B7E09">
      <w:pPr>
        <w:pStyle w:val="NumberedParas"/>
        <w:rPr>
          <w:lang w:eastAsia="en-GB"/>
        </w:rPr>
      </w:pPr>
      <w:r w:rsidRPr="00E0488D">
        <w:rPr>
          <w:b/>
          <w:lang w:eastAsia="en-GB"/>
        </w:rPr>
        <w:t>OR16,</w:t>
      </w:r>
      <w:r w:rsidRPr="00E0488D">
        <w:rPr>
          <w:lang w:eastAsia="en-GB"/>
        </w:rPr>
        <w:t xml:space="preserve">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spacing w:before="120" w:after="120" w:line="276" w:lineRule="auto"/>
        <w:rPr>
          <w:b/>
          <w:i/>
          <w:sz w:val="22"/>
          <w:szCs w:val="22"/>
          <w:lang w:val="ro-RO"/>
        </w:rPr>
      </w:pPr>
      <w:r w:rsidRPr="00E0488D">
        <w:rPr>
          <w:b/>
          <w:i/>
          <w:sz w:val="22"/>
          <w:szCs w:val="22"/>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Posibilitatea de satisfacere a</w:t>
      </w:r>
      <w:r w:rsidRPr="00E0488D">
        <w:t xml:space="preserve"> </w:t>
      </w:r>
      <w:r w:rsidRPr="00E0488D">
        <w:rPr>
          <w:rStyle w:val="hps"/>
          <w:rFonts w:cs="Arial"/>
          <w:color w:val="000000" w:themeColor="text1"/>
        </w:rPr>
        <w:t>creșterii prognozată</w:t>
      </w:r>
      <w:r w:rsidRPr="00E0488D">
        <w:t xml:space="preserve"> </w:t>
      </w:r>
      <w:r w:rsidRPr="00E0488D">
        <w:rPr>
          <w:rStyle w:val="hps"/>
          <w:rFonts w:cs="Arial"/>
          <w:color w:val="000000" w:themeColor="text1"/>
        </w:rPr>
        <w:t>în 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extinderea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în apropiere de granița</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această</w:t>
      </w:r>
      <w:r w:rsidRPr="00E0488D">
        <w:t xml:space="preserve"> </w:t>
      </w:r>
      <w:r w:rsidRPr="00E0488D">
        <w:rPr>
          <w:rStyle w:val="hps"/>
          <w:rFonts w:cs="Arial"/>
          <w:color w:val="000000" w:themeColor="text1"/>
        </w:rPr>
        <w:t>regiune</w:t>
      </w:r>
      <w:r w:rsidRPr="00E0488D">
        <w:t xml:space="preserve"> </w:t>
      </w:r>
      <w:r w:rsidRPr="00E0488D">
        <w:rPr>
          <w:rStyle w:val="hps"/>
          <w:rFonts w:cs="Arial"/>
          <w:color w:val="000000" w:themeColor="text1"/>
        </w:rPr>
        <w:t>economică</w:t>
      </w:r>
      <w:r w:rsidRPr="00E0488D">
        <w:t xml:space="preserve"> </w:t>
      </w:r>
      <w:r w:rsidRPr="00E0488D">
        <w:rPr>
          <w:rStyle w:val="hps"/>
          <w:rFonts w:cs="Arial"/>
          <w:color w:val="000000" w:themeColor="text1"/>
        </w:rPr>
        <w:t>importantă a</w:t>
      </w:r>
      <w:r w:rsidRPr="00E0488D">
        <w:t xml:space="preserve"> </w:t>
      </w:r>
      <w:r w:rsidRPr="00E0488D">
        <w:rPr>
          <w:rStyle w:val="hps"/>
          <w:rFonts w:cs="Arial"/>
          <w:color w:val="000000" w:themeColor="text1"/>
        </w:rPr>
        <w:t>țării, toate acestea presupun</w:t>
      </w:r>
      <w:r w:rsidRPr="00E0488D">
        <w:t xml:space="preserve"> </w:t>
      </w:r>
      <w:r w:rsidRPr="00E0488D">
        <w:rPr>
          <w:rStyle w:val="hps"/>
          <w:rFonts w:cs="Arial"/>
          <w:color w:val="000000" w:themeColor="text1"/>
        </w:rPr>
        <w:t>reabilitarea</w:t>
      </w:r>
      <w:r w:rsidRPr="00E0488D">
        <w:t xml:space="preserve"> </w:t>
      </w:r>
      <w:r w:rsidRPr="00E0488D">
        <w:rPr>
          <w:rStyle w:val="hps"/>
          <w:rFonts w:cs="Arial"/>
          <w:color w:val="000000" w:themeColor="text1"/>
        </w:rPr>
        <w:t>acestui terminal</w:t>
      </w:r>
      <w:r w:rsidRPr="00E0488D">
        <w:t>.</w:t>
      </w:r>
    </w:p>
    <w:p w:rsidR="00BD59B2" w:rsidRPr="00E0488D" w:rsidRDefault="00BD59B2" w:rsidP="00BD59B2">
      <w:pPr>
        <w:spacing w:before="120" w:after="120" w:line="276" w:lineRule="auto"/>
        <w:rPr>
          <w:b/>
          <w:i/>
          <w:sz w:val="22"/>
          <w:szCs w:val="22"/>
          <w:lang w:val="ro-RO"/>
        </w:rPr>
      </w:pPr>
      <w:r w:rsidRPr="00E0488D">
        <w:rPr>
          <w:b/>
          <w:i/>
          <w:sz w:val="22"/>
          <w:szCs w:val="22"/>
          <w:lang w:val="ro-RO"/>
        </w:rPr>
        <w:t>Rezultate</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 xml:space="preserve">. </w:t>
      </w:r>
    </w:p>
    <w:p w:rsidR="00BD59B2" w:rsidRPr="00E0488D" w:rsidRDefault="00BD59B2" w:rsidP="00BD59B2">
      <w:pPr>
        <w:rPr>
          <w:rFonts w:cs="Arial"/>
          <w:b/>
          <w:sz w:val="22"/>
          <w:szCs w:val="22"/>
          <w:lang w:val="ro-RO"/>
        </w:rPr>
      </w:pPr>
      <w:r w:rsidRPr="00E0488D">
        <w:rPr>
          <w:b/>
          <w:sz w:val="22"/>
          <w:szCs w:val="22"/>
          <w:lang w:val="ro-RO"/>
        </w:rPr>
        <w:br w:type="page"/>
      </w:r>
    </w:p>
    <w:p w:rsidR="00BD59B2" w:rsidRPr="00E0488D" w:rsidRDefault="00BD59B2" w:rsidP="00BD59B2">
      <w:pPr>
        <w:pStyle w:val="ListParagraph"/>
        <w:ind w:left="680"/>
        <w:rPr>
          <w:b/>
          <w:sz w:val="22"/>
          <w:szCs w:val="22"/>
          <w:lang w:val="ro-RO"/>
        </w:rPr>
      </w:pPr>
      <w:r w:rsidRPr="00E0488D">
        <w:rPr>
          <w:b/>
          <w:sz w:val="22"/>
          <w:szCs w:val="22"/>
          <w:lang w:val="ro-RO"/>
        </w:rPr>
        <w:t>Tabelul 8.21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02"/>
        <w:gridCol w:w="2296"/>
        <w:gridCol w:w="1403"/>
        <w:gridCol w:w="1276"/>
        <w:gridCol w:w="1275"/>
        <w:gridCol w:w="1359"/>
      </w:tblGrid>
      <w:tr w:rsidR="00BD59B2" w:rsidRPr="00E0488D" w:rsidTr="009972B3">
        <w:trPr>
          <w:trHeight w:val="58"/>
        </w:trPr>
        <w:tc>
          <w:tcPr>
            <w:tcW w:w="4298"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58"/>
        </w:trPr>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17</w:t>
            </w:r>
          </w:p>
        </w:tc>
      </w:tr>
      <w:tr w:rsidR="00BD59B2" w:rsidRPr="00E0488D" w:rsidTr="009972B3">
        <w:trPr>
          <w:trHeight w:val="58"/>
        </w:trPr>
        <w:tc>
          <w:tcPr>
            <w:tcW w:w="2002"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10%</w:t>
            </w:r>
          </w:p>
        </w:tc>
      </w:tr>
      <w:tr w:rsidR="00BD59B2" w:rsidRPr="00E0488D" w:rsidTr="009972B3">
        <w:trPr>
          <w:trHeight w:val="58"/>
        </w:trPr>
        <w:tc>
          <w:tcPr>
            <w:tcW w:w="2002"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40</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57</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84</w:t>
            </w:r>
          </w:p>
        </w:tc>
      </w:tr>
      <w:tr w:rsidR="00BD59B2" w:rsidRPr="00E0488D" w:rsidTr="009972B3">
        <w:trPr>
          <w:trHeight w:val="58"/>
        </w:trPr>
        <w:tc>
          <w:tcPr>
            <w:tcW w:w="2002"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56%</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79%</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117%</w:t>
            </w:r>
          </w:p>
        </w:tc>
      </w:tr>
      <w:tr w:rsidR="00BD59B2" w:rsidRPr="00E0488D" w:rsidTr="009972B3">
        <w:trPr>
          <w:trHeight w:val="58"/>
        </w:trPr>
        <w:tc>
          <w:tcPr>
            <w:tcW w:w="2002"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4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14%</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20%</w:t>
            </w:r>
          </w:p>
        </w:tc>
        <w:tc>
          <w:tcPr>
            <w:tcW w:w="13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29%</w:t>
            </w:r>
          </w:p>
        </w:tc>
      </w:tr>
    </w:tbl>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286250" cy="2657475"/>
            <wp:effectExtent l="19050" t="0" r="19050" b="0"/>
            <wp:docPr id="31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8.21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Noul terminal aduce beneficii economice semnificative. Deși indicatorii de rezultat sunt superiori pentru alternativa de reabiltiare, se recomandă construcția terminalului nou care ar induce dezvoltarea economică a zonei.</w:t>
      </w:r>
    </w:p>
    <w:p w:rsidR="00BD59B2" w:rsidRPr="00E0488D" w:rsidRDefault="00BD59B2" w:rsidP="00BD59B2">
      <w:pPr>
        <w:pStyle w:val="ListParagraph"/>
        <w:ind w:left="680"/>
        <w:rPr>
          <w:b/>
          <w:sz w:val="22"/>
          <w:szCs w:val="22"/>
          <w:lang w:val="ro-RO"/>
        </w:rPr>
      </w:pPr>
      <w:r w:rsidRPr="00E0488D">
        <w:rPr>
          <w:b/>
          <w:sz w:val="22"/>
          <w:szCs w:val="22"/>
          <w:lang w:val="ro-RO"/>
        </w:rPr>
        <w:t>Tabelul 8.20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keepNext/>
              <w:jc w:val="center"/>
              <w:rPr>
                <w:rFonts w:eastAsiaTheme="minorHAnsi"/>
                <w:sz w:val="22"/>
                <w:szCs w:val="22"/>
                <w:lang w:val="ro-RO"/>
              </w:rPr>
            </w:pPr>
            <w:r w:rsidRPr="00E0488D">
              <w:rPr>
                <w:sz w:val="22"/>
                <w:szCs w:val="22"/>
                <w:lang w:val="ro-RO"/>
              </w:rPr>
              <w:t>1.5</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keepNext/>
              <w:jc w:val="center"/>
              <w:rPr>
                <w:sz w:val="22"/>
                <w:szCs w:val="22"/>
                <w:lang w:val="ro-RO"/>
              </w:rPr>
            </w:pPr>
            <w:r w:rsidRPr="00E0488D">
              <w:rPr>
                <w:sz w:val="22"/>
                <w:szCs w:val="22"/>
                <w:lang w:val="ro-RO"/>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keepNext/>
              <w:jc w:val="center"/>
              <w:rPr>
                <w:rFonts w:eastAsiaTheme="minorHAnsi"/>
                <w:sz w:val="22"/>
                <w:szCs w:val="22"/>
                <w:lang w:val="ro-RO"/>
              </w:rPr>
            </w:pPr>
            <w:r w:rsidRPr="00E0488D">
              <w:rPr>
                <w:sz w:val="22"/>
                <w:szCs w:val="22"/>
                <w:lang w:val="ro-RO"/>
              </w:rPr>
              <w:t>24.4%</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keepNext/>
              <w:jc w:val="center"/>
              <w:rPr>
                <w:sz w:val="22"/>
                <w:szCs w:val="22"/>
                <w:lang w:val="ro-RO"/>
              </w:rPr>
            </w:pPr>
            <w:r w:rsidRPr="00E0488D">
              <w:rPr>
                <w:sz w:val="22"/>
                <w:szCs w:val="22"/>
                <w:lang w:val="ro-RO"/>
              </w:rPr>
              <w:t>6.6%</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Theme="minorHAnsi"/>
                <w:sz w:val="22"/>
                <w:szCs w:val="22"/>
                <w:lang w:val="ro-RO"/>
              </w:rPr>
            </w:pPr>
            <w:r w:rsidRPr="00E0488D">
              <w:rPr>
                <w:sz w:val="22"/>
                <w:szCs w:val="22"/>
                <w:lang w:val="ro-RO"/>
              </w:rPr>
              <w:t>8.45</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keepNext/>
              <w:jc w:val="center"/>
              <w:rPr>
                <w:sz w:val="22"/>
                <w:szCs w:val="22"/>
                <w:lang w:val="ro-RO"/>
              </w:rPr>
            </w:pPr>
            <w:r w:rsidRPr="00E0488D">
              <w:rPr>
                <w:sz w:val="22"/>
                <w:szCs w:val="22"/>
                <w:lang w:val="ro-RO"/>
              </w:rPr>
              <w:t>1.33</w:t>
            </w:r>
          </w:p>
        </w:tc>
      </w:tr>
    </w:tbl>
    <w:p w:rsidR="00BD59B2" w:rsidRPr="00E0488D" w:rsidRDefault="00BD59B2" w:rsidP="00BD59B2">
      <w:pPr>
        <w:spacing w:before="120" w:after="120" w:line="276" w:lineRule="auto"/>
        <w:rPr>
          <w:b/>
          <w:i/>
          <w:sz w:val="22"/>
          <w:szCs w:val="22"/>
          <w:lang w:val="ro-RO"/>
        </w:rPr>
      </w:pPr>
      <w:r w:rsidRPr="00E0488D">
        <w:rPr>
          <w:b/>
          <w:i/>
          <w:sz w:val="22"/>
          <w:szCs w:val="22"/>
          <w:lang w:val="ro-RO"/>
        </w:rPr>
        <w:t>Implementare:</w:t>
      </w:r>
    </w:p>
    <w:p w:rsidR="00BD59B2" w:rsidRPr="00E0488D" w:rsidRDefault="00BD59B2" w:rsidP="002B7E09">
      <w:pPr>
        <w:pStyle w:val="NumberedParas"/>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 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w:t>
      </w:r>
      <w:r w:rsidRPr="00E0488D">
        <w:rPr>
          <w:rStyle w:val="hps"/>
          <w:rFonts w:cs="Arial"/>
          <w:color w:val="000000" w:themeColor="text1"/>
        </w:rPr>
        <w:t>de la</w:t>
      </w:r>
      <w:r w:rsidRPr="00E0488D">
        <w:t xml:space="preserve"> Timișoara Semenic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w:t>
      </w:r>
      <w:r w:rsidRPr="00E0488D">
        <w:t>.</w:t>
      </w:r>
    </w:p>
    <w:p w:rsidR="00BD59B2" w:rsidRPr="00E0488D" w:rsidRDefault="00BD59B2" w:rsidP="00BD59B2">
      <w:pPr>
        <w:rPr>
          <w:b/>
          <w:sz w:val="22"/>
          <w:szCs w:val="22"/>
          <w:u w:val="single"/>
          <w:lang w:val="ro-RO"/>
        </w:rPr>
      </w:pPr>
      <w:r w:rsidRPr="00E0488D">
        <w:rPr>
          <w:b/>
          <w:sz w:val="22"/>
          <w:szCs w:val="22"/>
          <w:u w:val="single"/>
          <w:lang w:val="ro-RO"/>
        </w:rPr>
        <w:br w:type="page"/>
      </w:r>
    </w:p>
    <w:p w:rsidR="00BD59B2" w:rsidRPr="00E0488D" w:rsidRDefault="00BD59B2" w:rsidP="00BD59B2">
      <w:pPr>
        <w:pStyle w:val="Hdg3"/>
      </w:pPr>
      <w:r w:rsidRPr="00E0488D">
        <w:t>Cluj Napoca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propune</w:t>
      </w:r>
      <w:r w:rsidRPr="00E0488D">
        <w:t xml:space="preserve"> </w:t>
      </w:r>
      <w:r w:rsidRPr="00E0488D">
        <w:rPr>
          <w:rStyle w:val="hps"/>
          <w:rFonts w:cs="Arial"/>
          <w:color w:val="000000" w:themeColor="text1"/>
        </w:rPr>
        <w:t>renovarea terminalului</w:t>
      </w:r>
      <w:r w:rsidRPr="00E0488D">
        <w:t xml:space="preserve"> </w:t>
      </w:r>
      <w:r w:rsidRPr="00E0488D">
        <w:rPr>
          <w:rStyle w:val="hps"/>
          <w:rFonts w:cs="Arial"/>
          <w:color w:val="000000" w:themeColor="text1"/>
        </w:rPr>
        <w:t>existent</w:t>
      </w:r>
      <w:r w:rsidRPr="00E0488D">
        <w:t xml:space="preserve"> </w:t>
      </w:r>
      <w:r w:rsidRPr="00E0488D">
        <w:rPr>
          <w:rStyle w:val="hps"/>
          <w:rFonts w:cs="Arial"/>
          <w:color w:val="000000" w:themeColor="text1"/>
        </w:rPr>
        <w:t>Cluj Napoca</w:t>
      </w:r>
      <w:r w:rsidRPr="00E0488D">
        <w:t xml:space="preserve"> </w:t>
      </w:r>
      <w:r w:rsidRPr="00E0488D">
        <w:rPr>
          <w:rStyle w:val="hps"/>
          <w:rFonts w:cs="Arial"/>
          <w:color w:val="000000" w:themeColor="text1"/>
        </w:rPr>
        <w:t>Est</w:t>
      </w:r>
      <w:r w:rsidRPr="00E0488D">
        <w:t xml:space="preserve"> </w:t>
      </w:r>
      <w:r w:rsidRPr="00E0488D">
        <w:rPr>
          <w:rStyle w:val="hps"/>
          <w:rFonts w:cs="Arial"/>
          <w:color w:val="000000" w:themeColor="text1"/>
        </w:rPr>
        <w:t>pentru creșterea eficientei</w:t>
      </w:r>
      <w:r w:rsidRPr="00E0488D">
        <w:t xml:space="preserve">, reducerea </w:t>
      </w:r>
      <w:r w:rsidRPr="00E0488D">
        <w:rPr>
          <w:rStyle w:val="hps"/>
          <w:rFonts w:cs="Arial"/>
          <w:color w:val="000000" w:themeColor="text1"/>
        </w:rPr>
        <w:t>costurilor și timpului de tranzit, dar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pentru a promova</w:t>
      </w:r>
      <w:r w:rsidRPr="00E0488D">
        <w:t xml:space="preserve"> </w:t>
      </w:r>
      <w:r w:rsidRPr="00E0488D">
        <w:rPr>
          <w:rStyle w:val="hps"/>
          <w:rFonts w:cs="Arial"/>
          <w:color w:val="000000" w:themeColor="text1"/>
        </w:rPr>
        <w:t>creșterea economică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Dacă redeschiderea terminalui existent nu este posibilă, atunci recomandarea noastră este construcția unui terminal nou.</w:t>
      </w:r>
    </w:p>
    <w:p w:rsidR="00BD59B2" w:rsidRPr="00E0488D" w:rsidRDefault="00BD59B2" w:rsidP="00BD59B2">
      <w:pPr>
        <w:pStyle w:val="Body"/>
        <w:rPr>
          <w:b/>
          <w:lang w:val="ro-RO" w:eastAsia="en-GB"/>
        </w:rPr>
      </w:pPr>
      <w:r w:rsidRPr="00E0488D">
        <w:rPr>
          <w:b/>
          <w:lang w:val="ro-RO" w:eastAsia="en-GB"/>
        </w:rPr>
        <w:t xml:space="preserve">Obiective operaționale </w:t>
      </w:r>
    </w:p>
    <w:p w:rsidR="00BD59B2" w:rsidRPr="00E0488D" w:rsidRDefault="00BD59B2" w:rsidP="002B7E09">
      <w:pPr>
        <w:pStyle w:val="NumberedParas"/>
        <w:rPr>
          <w:lang w:eastAsia="en-GB"/>
        </w:rPr>
      </w:pPr>
      <w:r w:rsidRPr="00E0488D">
        <w:rPr>
          <w:b/>
          <w:lang w:eastAsia="en-GB"/>
        </w:rPr>
        <w:t>OR16,</w:t>
      </w:r>
      <w:r w:rsidRPr="00E0488D">
        <w:rPr>
          <w:lang w:eastAsia="en-GB"/>
        </w:rPr>
        <w:t xml:space="preserve">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pStyle w:val="Body"/>
        <w:rPr>
          <w:b/>
          <w:lang w:val="ro-RO"/>
        </w:rPr>
      </w:pPr>
      <w:r w:rsidRPr="00E0488D">
        <w:rPr>
          <w:b/>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Creșterea prognozată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presupune</w:t>
      </w:r>
      <w:r w:rsidRPr="00E0488D">
        <w:t xml:space="preserve"> </w:t>
      </w:r>
      <w:r w:rsidRPr="00E0488D">
        <w:rPr>
          <w:rStyle w:val="hps"/>
          <w:rFonts w:cs="Arial"/>
          <w:color w:val="000000" w:themeColor="text1"/>
        </w:rPr>
        <w:t>depășirea capacității acestui</w:t>
      </w:r>
      <w:r w:rsidRPr="00E0488D">
        <w:t xml:space="preserve"> </w:t>
      </w:r>
      <w:r w:rsidRPr="00E0488D">
        <w:rPr>
          <w:rStyle w:val="hps"/>
          <w:rFonts w:cs="Arial"/>
          <w:color w:val="000000" w:themeColor="text1"/>
        </w:rPr>
        <w:t>terminal într-un interval</w:t>
      </w:r>
      <w:r w:rsidRPr="00E0488D">
        <w:t xml:space="preserve"> </w:t>
      </w:r>
      <w:r w:rsidRPr="00E0488D">
        <w:rPr>
          <w:rStyle w:val="hps"/>
          <w:rFonts w:cs="Arial"/>
          <w:color w:val="000000" w:themeColor="text1"/>
        </w:rPr>
        <w:t>de timp</w:t>
      </w:r>
      <w:r w:rsidRPr="00E0488D">
        <w:t xml:space="preserve"> </w:t>
      </w:r>
      <w:r w:rsidRPr="00E0488D">
        <w:rPr>
          <w:rStyle w:val="hps"/>
          <w:rFonts w:cs="Arial"/>
          <w:color w:val="000000" w:themeColor="text1"/>
        </w:rPr>
        <w:t>scurt, în jurul anului 2020</w:t>
      </w:r>
      <w:r w:rsidRPr="00E0488D">
        <w:t xml:space="preserve"> </w:t>
      </w:r>
      <w:r w:rsidRPr="00E0488D">
        <w:rPr>
          <w:rStyle w:val="hps"/>
          <w:rFonts w:cs="Arial"/>
          <w:color w:val="000000" w:themeColor="text1"/>
        </w:rPr>
        <w:t>(</w:t>
      </w:r>
      <w:r w:rsidRPr="00E0488D">
        <w:t xml:space="preserve">a se vedea </w:t>
      </w:r>
      <w:r w:rsidRPr="00E0488D">
        <w:rPr>
          <w:rStyle w:val="hps"/>
          <w:rFonts w:cs="Arial"/>
          <w:color w:val="000000" w:themeColor="text1"/>
        </w:rPr>
        <w:t>rezultatele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astfel</w:t>
      </w:r>
      <w:r w:rsidRPr="00E0488D">
        <w:t xml:space="preserve"> </w:t>
      </w:r>
      <w:r w:rsidRPr="00E0488D">
        <w:rPr>
          <w:rStyle w:val="hps"/>
          <w:rFonts w:cs="Arial"/>
          <w:color w:val="000000" w:themeColor="text1"/>
        </w:rPr>
        <w:t>este nevoie de</w:t>
      </w:r>
      <w:r w:rsidRPr="00E0488D">
        <w:t xml:space="preserve"> </w:t>
      </w:r>
      <w:r w:rsidRPr="00E0488D">
        <w:rPr>
          <w:rStyle w:val="hps"/>
          <w:rFonts w:cs="Arial"/>
          <w:color w:val="000000" w:themeColor="text1"/>
        </w:rPr>
        <w:t>modernizare</w:t>
      </w:r>
      <w:r w:rsidRPr="00E0488D">
        <w:t>.</w:t>
      </w:r>
    </w:p>
    <w:p w:rsidR="00BD59B2" w:rsidRPr="00E0488D" w:rsidRDefault="00BD59B2" w:rsidP="00BD59B2">
      <w:pPr>
        <w:pStyle w:val="Body"/>
        <w:rPr>
          <w:b/>
          <w:lang w:val="ro-RO"/>
        </w:rPr>
      </w:pPr>
      <w:r w:rsidRPr="00E0488D">
        <w:rPr>
          <w:b/>
          <w:lang w:val="ro-RO"/>
        </w:rPr>
        <w:t>Rezultate</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 xml:space="preserve">. </w:t>
      </w:r>
    </w:p>
    <w:p w:rsidR="00BD59B2" w:rsidRPr="00E0488D" w:rsidRDefault="00BD59B2" w:rsidP="00BD59B2">
      <w:pPr>
        <w:pStyle w:val="ListParagraph"/>
        <w:ind w:left="680"/>
        <w:rPr>
          <w:b/>
          <w:sz w:val="22"/>
          <w:szCs w:val="22"/>
          <w:lang w:val="ro-RO"/>
        </w:rPr>
      </w:pPr>
      <w:r w:rsidRPr="00E0488D">
        <w:rPr>
          <w:b/>
          <w:sz w:val="22"/>
          <w:szCs w:val="22"/>
          <w:lang w:val="ro-RO"/>
        </w:rPr>
        <w:t>Tabelul 8.23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11"/>
        <w:gridCol w:w="2299"/>
        <w:gridCol w:w="1380"/>
        <w:gridCol w:w="1283"/>
        <w:gridCol w:w="1282"/>
        <w:gridCol w:w="1356"/>
      </w:tblGrid>
      <w:tr w:rsidR="00BD59B2" w:rsidRPr="00E0488D" w:rsidTr="009972B3">
        <w:trPr>
          <w:trHeight w:val="99"/>
        </w:trPr>
        <w:tc>
          <w:tcPr>
            <w:tcW w:w="4310"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9</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23</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39</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62</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17%</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43%</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72%</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115%</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9</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55</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77</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103</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17%</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102%</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143%</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kern w:val="24"/>
                <w:sz w:val="22"/>
                <w:szCs w:val="22"/>
                <w:lang w:val="ro-RO" w:eastAsia="en-GB"/>
              </w:rPr>
              <w:t>191%</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i/>
                <w:iCs/>
                <w:kern w:val="24"/>
                <w:sz w:val="22"/>
                <w:szCs w:val="22"/>
                <w:lang w:val="ro-RO" w:eastAsia="en-GB"/>
              </w:rPr>
              <w:t>4%</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i/>
                <w:iCs/>
                <w:kern w:val="24"/>
                <w:sz w:val="22"/>
                <w:szCs w:val="22"/>
                <w:lang w:val="ro-RO" w:eastAsia="en-GB"/>
              </w:rPr>
              <w:t>25%</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i/>
                <w:iCs/>
                <w:kern w:val="24"/>
                <w:sz w:val="22"/>
                <w:szCs w:val="22"/>
                <w:lang w:val="ro-RO" w:eastAsia="en-GB"/>
              </w:rPr>
              <w:t>36%</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rFonts w:eastAsia="Calibri"/>
                <w:i/>
                <w:iCs/>
                <w:kern w:val="24"/>
                <w:sz w:val="22"/>
                <w:szCs w:val="22"/>
                <w:lang w:val="ro-RO" w:eastAsia="en-GB"/>
              </w:rPr>
              <w:t>48%</w:t>
            </w:r>
          </w:p>
        </w:tc>
      </w:tr>
    </w:tbl>
    <w:p w:rsidR="00BD59B2" w:rsidRPr="00E0488D" w:rsidRDefault="00BD59B2" w:rsidP="00BD59B2">
      <w:pPr>
        <w:spacing w:before="120" w:after="120" w:line="276" w:lineRule="auto"/>
        <w:rPr>
          <w:sz w:val="22"/>
          <w:szCs w:val="22"/>
          <w:lang w:val="ro-RO"/>
        </w:rPr>
      </w:pPr>
    </w:p>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829175" cy="3086100"/>
            <wp:effectExtent l="19050" t="0" r="9525" b="0"/>
            <wp:docPr id="6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8.22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Noul terminal aduce beneficii economice semnificative. Deși indicatorii de rezultat sunt superiori pentru alternativa de reabiltiare, se recomandă construcția terminalului nou care ar induce dezvoltarea economică a zonei.</w:t>
      </w:r>
    </w:p>
    <w:p w:rsidR="00BD59B2" w:rsidRPr="00E0488D" w:rsidRDefault="00BD59B2" w:rsidP="00BD59B2">
      <w:pPr>
        <w:pStyle w:val="ListParagraph"/>
        <w:ind w:left="680"/>
        <w:rPr>
          <w:b/>
          <w:sz w:val="22"/>
          <w:szCs w:val="22"/>
          <w:lang w:val="ro-RO"/>
        </w:rPr>
      </w:pPr>
      <w:r w:rsidRPr="00E0488D">
        <w:rPr>
          <w:b/>
          <w:sz w:val="22"/>
          <w:szCs w:val="22"/>
          <w:lang w:val="ro-RO"/>
        </w:rPr>
        <w:t>Tabelul 8.20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Theme="minorHAnsi"/>
                <w:sz w:val="22"/>
                <w:szCs w:val="22"/>
                <w:lang w:val="ro-RO"/>
              </w:rPr>
            </w:pPr>
            <w:r w:rsidRPr="00E0488D">
              <w:rPr>
                <w:sz w:val="22"/>
                <w:szCs w:val="22"/>
                <w:lang w:val="ro-RO"/>
              </w:rPr>
              <w:t>5.3</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sz w:val="22"/>
                <w:szCs w:val="22"/>
                <w:lang w:val="ro-RO"/>
              </w:rPr>
            </w:pPr>
            <w:r w:rsidRPr="00E0488D">
              <w:rPr>
                <w:rFonts w:cs="Arial"/>
                <w:bCs/>
                <w:color w:val="000000"/>
                <w:sz w:val="22"/>
                <w:szCs w:val="22"/>
                <w:lang w:val="ro-RO"/>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Theme="minorHAnsi"/>
                <w:sz w:val="22"/>
                <w:szCs w:val="22"/>
                <w:lang w:val="ro-RO"/>
              </w:rPr>
            </w:pPr>
            <w:r w:rsidRPr="00E0488D">
              <w:rPr>
                <w:sz w:val="22"/>
                <w:szCs w:val="22"/>
                <w:lang w:val="ro-RO"/>
              </w:rPr>
              <w:t>14.5%</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sz w:val="22"/>
                <w:szCs w:val="22"/>
                <w:lang w:val="ro-RO"/>
              </w:rPr>
            </w:pPr>
            <w:r w:rsidRPr="00E0488D">
              <w:rPr>
                <w:rFonts w:cs="Arial"/>
                <w:bCs/>
                <w:color w:val="000000"/>
                <w:sz w:val="22"/>
                <w:szCs w:val="22"/>
                <w:lang w:val="ro-RO"/>
              </w:rPr>
              <w:t>6.3%</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Theme="minorHAnsi"/>
                <w:sz w:val="22"/>
                <w:szCs w:val="22"/>
                <w:lang w:val="ro-RO"/>
              </w:rPr>
            </w:pPr>
            <w:r w:rsidRPr="00E0488D">
              <w:rPr>
                <w:sz w:val="22"/>
                <w:szCs w:val="22"/>
                <w:lang w:val="ro-RO"/>
              </w:rPr>
              <w:t>3.86</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sz w:val="22"/>
                <w:szCs w:val="22"/>
                <w:lang w:val="ro-RO"/>
              </w:rPr>
            </w:pPr>
            <w:r w:rsidRPr="00E0488D">
              <w:rPr>
                <w:rFonts w:cs="Arial"/>
                <w:bCs/>
                <w:color w:val="000000"/>
                <w:sz w:val="22"/>
                <w:szCs w:val="22"/>
                <w:lang w:val="ro-RO"/>
              </w:rPr>
              <w:t>1.25</w:t>
            </w:r>
          </w:p>
        </w:tc>
      </w:tr>
    </w:tbl>
    <w:p w:rsidR="00BD59B2" w:rsidRPr="00E0488D" w:rsidRDefault="00BD59B2" w:rsidP="00BD59B2">
      <w:pPr>
        <w:pStyle w:val="Body"/>
        <w:ind w:left="851"/>
        <w:rPr>
          <w:b/>
          <w:lang w:val="ro-RO"/>
        </w:rPr>
      </w:pPr>
      <w:r w:rsidRPr="00E0488D">
        <w:rPr>
          <w:b/>
          <w:lang w:val="ro-RO"/>
        </w:rPr>
        <w:t>Implementare:</w:t>
      </w:r>
    </w:p>
    <w:p w:rsidR="00BD59B2" w:rsidRPr="00E0488D" w:rsidRDefault="00BD59B2" w:rsidP="002B7E09">
      <w:pPr>
        <w:pStyle w:val="NumberedParas"/>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Cluj Napoca Est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 astfel încât poate asigura capacitatea până la depășirea acesteia</w:t>
      </w:r>
      <w:r w:rsidRPr="00E0488D">
        <w:t>.</w:t>
      </w:r>
    </w:p>
    <w:p w:rsidR="00BD59B2" w:rsidRPr="00E0488D" w:rsidRDefault="00BD59B2" w:rsidP="00BD59B2">
      <w:pPr>
        <w:rPr>
          <w:lang w:val="ro-RO"/>
        </w:rPr>
      </w:pPr>
    </w:p>
    <w:p w:rsidR="00BD59B2" w:rsidRPr="00E0488D" w:rsidRDefault="00BD59B2" w:rsidP="00BD59B2">
      <w:pPr>
        <w:rPr>
          <w:lang w:val="ro-RO"/>
        </w:rPr>
      </w:pPr>
      <w:r w:rsidRPr="00E0488D">
        <w:rPr>
          <w:lang w:val="ro-RO"/>
        </w:rPr>
        <w:br w:type="page"/>
      </w:r>
    </w:p>
    <w:p w:rsidR="00BD59B2" w:rsidRPr="00E0488D" w:rsidRDefault="00BD59B2" w:rsidP="00BD59B2">
      <w:pPr>
        <w:rPr>
          <w:lang w:val="ro-RO"/>
        </w:rPr>
      </w:pPr>
    </w:p>
    <w:p w:rsidR="00BD59B2" w:rsidRPr="00E0488D" w:rsidRDefault="00BD59B2" w:rsidP="00BD59B2">
      <w:pPr>
        <w:pStyle w:val="Hdg3"/>
      </w:pPr>
      <w:r w:rsidRPr="00E0488D">
        <w:t>Oradea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propune</w:t>
      </w:r>
      <w:r w:rsidRPr="00E0488D">
        <w:t xml:space="preserve"> </w:t>
      </w:r>
      <w:r w:rsidRPr="00E0488D">
        <w:rPr>
          <w:rStyle w:val="hps"/>
          <w:rFonts w:cs="Arial"/>
          <w:color w:val="000000" w:themeColor="text1"/>
        </w:rPr>
        <w:t>renovarea terminalului</w:t>
      </w:r>
      <w:r w:rsidRPr="00E0488D">
        <w:t xml:space="preserve"> </w:t>
      </w:r>
      <w:r w:rsidRPr="00E0488D">
        <w:rPr>
          <w:rStyle w:val="hps"/>
          <w:rFonts w:cs="Arial"/>
          <w:color w:val="000000" w:themeColor="text1"/>
        </w:rPr>
        <w:t>existent în Oradea care ar furniza un nod important intermodal feroviar-rutier</w:t>
      </w:r>
      <w:r w:rsidRPr="00E0488D">
        <w:t>. Potențialul de dezvoltare este semnificativ, având în vedere mai ales localizarea în vecinătatea coridorului feroviar care tranzitează Ungaria și a drumului național european DN1 (E60). Dacă redeschiderea terminalui existent nu este posibilă, atunci recomandarea noastră este construcția unui terminal nou.</w:t>
      </w:r>
    </w:p>
    <w:p w:rsidR="00BD59B2" w:rsidRPr="00E0488D" w:rsidRDefault="00BD59B2" w:rsidP="00BD59B2">
      <w:pPr>
        <w:pStyle w:val="Body"/>
        <w:rPr>
          <w:b/>
          <w:lang w:val="ro-RO" w:eastAsia="en-GB"/>
        </w:rPr>
      </w:pPr>
      <w:r w:rsidRPr="00E0488D">
        <w:rPr>
          <w:b/>
          <w:lang w:val="ro-RO" w:eastAsia="en-GB"/>
        </w:rPr>
        <w:t xml:space="preserve">Obiective operaționale </w:t>
      </w:r>
    </w:p>
    <w:p w:rsidR="00BD59B2" w:rsidRPr="00E0488D" w:rsidRDefault="00BD59B2" w:rsidP="002B7E09">
      <w:pPr>
        <w:pStyle w:val="NumberedParas"/>
        <w:rPr>
          <w:lang w:eastAsia="en-GB"/>
        </w:rPr>
      </w:pPr>
      <w:r w:rsidRPr="00E0488D">
        <w:rPr>
          <w:b/>
          <w:lang w:eastAsia="en-GB"/>
        </w:rPr>
        <w:t>OR16,</w:t>
      </w:r>
      <w:r w:rsidRPr="00E0488D">
        <w:rPr>
          <w:lang w:eastAsia="en-GB"/>
        </w:rPr>
        <w:t xml:space="preserve">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pStyle w:val="Body"/>
        <w:rPr>
          <w:b/>
          <w:lang w:val="ro-RO"/>
        </w:rPr>
      </w:pPr>
      <w:r w:rsidRPr="00E0488D">
        <w:rPr>
          <w:b/>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De asemenea, există oportunități privind preluarea fluxurilor de mărfuri transfrontaliere, ceea ce ar avea un impact economic semnificativ.</w:t>
      </w:r>
    </w:p>
    <w:p w:rsidR="00BD59B2" w:rsidRPr="00E0488D" w:rsidRDefault="00BD59B2" w:rsidP="00BD59B2">
      <w:pPr>
        <w:pStyle w:val="Body"/>
        <w:rPr>
          <w:b/>
          <w:lang w:val="ro-RO"/>
        </w:rPr>
      </w:pPr>
      <w:r w:rsidRPr="00E0488D">
        <w:rPr>
          <w:b/>
          <w:lang w:val="ro-RO"/>
        </w:rPr>
        <w:t>Rezultate</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 xml:space="preserve">. </w:t>
      </w:r>
    </w:p>
    <w:p w:rsidR="00BD59B2" w:rsidRPr="00E0488D" w:rsidRDefault="00BD59B2" w:rsidP="00BD59B2">
      <w:pPr>
        <w:pStyle w:val="ListParagraph"/>
        <w:ind w:left="680"/>
        <w:rPr>
          <w:b/>
          <w:sz w:val="22"/>
          <w:szCs w:val="22"/>
          <w:lang w:val="ro-RO"/>
        </w:rPr>
      </w:pPr>
      <w:r w:rsidRPr="00E0488D">
        <w:rPr>
          <w:b/>
          <w:sz w:val="22"/>
          <w:szCs w:val="22"/>
          <w:lang w:val="ro-RO"/>
        </w:rPr>
        <w:t>Tabelul 8.23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11"/>
        <w:gridCol w:w="2299"/>
        <w:gridCol w:w="1380"/>
        <w:gridCol w:w="1283"/>
        <w:gridCol w:w="1282"/>
        <w:gridCol w:w="1356"/>
      </w:tblGrid>
      <w:tr w:rsidR="00BD59B2" w:rsidRPr="00E0488D" w:rsidTr="009972B3">
        <w:trPr>
          <w:trHeight w:val="99"/>
        </w:trPr>
        <w:tc>
          <w:tcPr>
            <w:tcW w:w="4310"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5</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4%</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6%</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9%</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15</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25</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34</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47</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28%</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46%</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63%</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87%</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7%</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12%</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16%</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22%</w:t>
            </w:r>
          </w:p>
        </w:tc>
      </w:tr>
    </w:tbl>
    <w:p w:rsidR="00BD59B2" w:rsidRPr="00E0488D" w:rsidRDefault="00BD59B2" w:rsidP="00BD59B2">
      <w:pPr>
        <w:spacing w:before="120" w:after="120" w:line="276" w:lineRule="auto"/>
        <w:rPr>
          <w:sz w:val="22"/>
          <w:szCs w:val="22"/>
          <w:lang w:val="ro-RO"/>
        </w:rPr>
      </w:pPr>
    </w:p>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291256" cy="2656800"/>
            <wp:effectExtent l="19050" t="0" r="14044" b="0"/>
            <wp:docPr id="19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8.22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Noul terminal aduce beneficii economice reduse, raportul beneficii/costuri fiind subunitar, ceea ce recomandă reabilitarea terminalului existent Oradea ca fiind opțiunea fezabilă.</w:t>
      </w:r>
    </w:p>
    <w:p w:rsidR="00BD59B2" w:rsidRPr="00E0488D" w:rsidRDefault="00BD59B2" w:rsidP="00BD59B2">
      <w:pPr>
        <w:pStyle w:val="ListParagraph"/>
        <w:ind w:left="680"/>
        <w:rPr>
          <w:b/>
          <w:sz w:val="22"/>
          <w:szCs w:val="22"/>
          <w:lang w:val="ro-RO"/>
        </w:rPr>
      </w:pPr>
      <w:r w:rsidRPr="00E0488D">
        <w:rPr>
          <w:b/>
          <w:sz w:val="22"/>
          <w:szCs w:val="22"/>
          <w:lang w:val="ro-RO"/>
        </w:rPr>
        <w:t>Tabelul 8.26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keepNext/>
              <w:jc w:val="center"/>
              <w:rPr>
                <w:rFonts w:eastAsiaTheme="minorHAnsi"/>
                <w:sz w:val="22"/>
                <w:szCs w:val="22"/>
                <w:lang w:val="ro-RO"/>
              </w:rPr>
            </w:pPr>
            <w:r w:rsidRPr="00E0488D">
              <w:rPr>
                <w:sz w:val="22"/>
                <w:szCs w:val="22"/>
                <w:lang w:val="ro-RO"/>
              </w:rPr>
              <w:t>5.3</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keepNext/>
              <w:jc w:val="center"/>
              <w:rPr>
                <w:sz w:val="22"/>
                <w:szCs w:val="22"/>
                <w:lang w:val="ro-RO"/>
              </w:rPr>
            </w:pPr>
            <w:r w:rsidRPr="00E0488D">
              <w:rPr>
                <w:sz w:val="22"/>
                <w:szCs w:val="22"/>
                <w:lang w:val="ro-RO"/>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keepNext/>
              <w:jc w:val="center"/>
              <w:rPr>
                <w:rFonts w:eastAsiaTheme="minorHAnsi"/>
                <w:sz w:val="22"/>
                <w:szCs w:val="22"/>
                <w:lang w:val="ro-RO"/>
              </w:rPr>
            </w:pPr>
            <w:r w:rsidRPr="00E0488D">
              <w:rPr>
                <w:sz w:val="22"/>
                <w:szCs w:val="22"/>
                <w:lang w:val="ro-RO"/>
              </w:rPr>
              <w:t>10.6%</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keepNext/>
              <w:jc w:val="center"/>
              <w:rPr>
                <w:sz w:val="22"/>
                <w:szCs w:val="22"/>
                <w:lang w:val="ro-RO"/>
              </w:rPr>
            </w:pPr>
            <w:r w:rsidRPr="00E0488D">
              <w:rPr>
                <w:sz w:val="22"/>
                <w:szCs w:val="22"/>
                <w:lang w:val="ro-RO"/>
              </w:rPr>
              <w:t>3.8%</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Theme="minorHAnsi"/>
                <w:sz w:val="22"/>
                <w:szCs w:val="22"/>
                <w:lang w:val="ro-RO"/>
              </w:rPr>
            </w:pPr>
            <w:r w:rsidRPr="00E0488D">
              <w:rPr>
                <w:sz w:val="22"/>
                <w:szCs w:val="22"/>
                <w:lang w:val="ro-RO"/>
              </w:rPr>
              <w:t>2.46</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keepNext/>
              <w:jc w:val="center"/>
              <w:rPr>
                <w:sz w:val="22"/>
                <w:szCs w:val="22"/>
                <w:lang w:val="ro-RO"/>
              </w:rPr>
            </w:pPr>
            <w:r w:rsidRPr="00E0488D">
              <w:rPr>
                <w:sz w:val="22"/>
                <w:szCs w:val="22"/>
                <w:lang w:val="ro-RO"/>
              </w:rPr>
              <w:t>0.80</w:t>
            </w:r>
          </w:p>
        </w:tc>
      </w:tr>
    </w:tbl>
    <w:p w:rsidR="00BD59B2" w:rsidRPr="00E0488D" w:rsidRDefault="00BD59B2" w:rsidP="00BD59B2">
      <w:pPr>
        <w:pStyle w:val="Body"/>
        <w:ind w:left="851"/>
        <w:rPr>
          <w:b/>
          <w:lang w:val="ro-RO"/>
        </w:rPr>
      </w:pPr>
      <w:r w:rsidRPr="00E0488D">
        <w:rPr>
          <w:b/>
          <w:lang w:val="ro-RO"/>
        </w:rPr>
        <w:t>Implementare:</w:t>
      </w:r>
    </w:p>
    <w:p w:rsidR="00BD59B2" w:rsidRPr="00E0488D" w:rsidRDefault="00BD59B2" w:rsidP="002B7E09">
      <w:pPr>
        <w:pStyle w:val="NumberedParas"/>
        <w:rPr>
          <w:b/>
          <w:lang w:eastAsia="en-GB"/>
        </w:rPr>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Cluj Napoca Est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2021 – 2030.</w:t>
      </w:r>
    </w:p>
    <w:p w:rsidR="00BD59B2" w:rsidRPr="00E0488D" w:rsidRDefault="00BD59B2" w:rsidP="00BD59B2">
      <w:pPr>
        <w:rPr>
          <w:b/>
          <w:lang w:val="ro-RO" w:eastAsia="en-GB"/>
        </w:rPr>
      </w:pPr>
    </w:p>
    <w:p w:rsidR="00BD59B2" w:rsidRPr="00E0488D" w:rsidRDefault="00BD59B2" w:rsidP="00BD59B2">
      <w:pPr>
        <w:rPr>
          <w:b/>
          <w:lang w:val="ro-RO" w:eastAsia="en-GB"/>
        </w:rPr>
      </w:pPr>
      <w:r w:rsidRPr="00E0488D">
        <w:rPr>
          <w:b/>
          <w:lang w:val="ro-RO" w:eastAsia="en-GB"/>
        </w:rPr>
        <w:br w:type="page"/>
      </w:r>
    </w:p>
    <w:p w:rsidR="00BD59B2" w:rsidRPr="00E0488D" w:rsidRDefault="00BD59B2" w:rsidP="00BD59B2">
      <w:pPr>
        <w:rPr>
          <w:b/>
          <w:lang w:val="ro-RO" w:eastAsia="en-GB"/>
        </w:rPr>
      </w:pPr>
    </w:p>
    <w:p w:rsidR="00BD59B2" w:rsidRPr="00E0488D" w:rsidRDefault="00BD59B2" w:rsidP="00BD59B2">
      <w:pPr>
        <w:pStyle w:val="Hdg3"/>
      </w:pPr>
      <w:r w:rsidRPr="00E0488D">
        <w:t>Turda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propune</w:t>
      </w:r>
      <w:r w:rsidRPr="00E0488D">
        <w:t xml:space="preserve"> </w:t>
      </w:r>
      <w:r w:rsidRPr="00E0488D">
        <w:rPr>
          <w:rStyle w:val="hps"/>
          <w:rFonts w:cs="Arial"/>
          <w:color w:val="000000" w:themeColor="text1"/>
        </w:rPr>
        <w:t xml:space="preserve">ca terminalul existent la Turda să fie modernizat sau ca un alt terminal intermodal nou să fie construit în aceeași zonă, pentru creșterea eficienței, reducerea costurilor și promovarea creșterii sectorului intermodal, </w:t>
      </w:r>
    </w:p>
    <w:p w:rsidR="00BD59B2" w:rsidRPr="00E0488D" w:rsidRDefault="00BD59B2" w:rsidP="00BD59B2">
      <w:pPr>
        <w:pStyle w:val="Body"/>
        <w:rPr>
          <w:b/>
          <w:lang w:val="ro-RO" w:eastAsia="en-GB"/>
        </w:rPr>
      </w:pPr>
      <w:r w:rsidRPr="00E0488D">
        <w:rPr>
          <w:b/>
          <w:lang w:val="ro-RO" w:eastAsia="en-GB"/>
        </w:rPr>
        <w:t xml:space="preserve">Obiective operaționale </w:t>
      </w:r>
    </w:p>
    <w:p w:rsidR="00BD59B2" w:rsidRPr="00E0488D" w:rsidRDefault="00BD59B2" w:rsidP="002B7E09">
      <w:pPr>
        <w:pStyle w:val="NumberedParas"/>
        <w:rPr>
          <w:lang w:eastAsia="en-GB"/>
        </w:rPr>
      </w:pPr>
      <w:r w:rsidRPr="00E0488D">
        <w:rPr>
          <w:b/>
          <w:lang w:eastAsia="en-GB"/>
        </w:rPr>
        <w:t>OR16,</w:t>
      </w:r>
      <w:r w:rsidRPr="00E0488D">
        <w:rPr>
          <w:lang w:eastAsia="en-GB"/>
        </w:rPr>
        <w:t xml:space="preserve">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pStyle w:val="Body"/>
        <w:rPr>
          <w:b/>
          <w:lang w:val="ro-RO"/>
        </w:rPr>
      </w:pPr>
      <w:r w:rsidRPr="00E0488D">
        <w:rPr>
          <w:b/>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Creșterea prognozată a sectorul intermodal determină necesitatea sporirii capacității acestui terminal pe orizontul previzionat (a se vedea statisticile următoare). Această locație a continuat să fie atractivă și în perioada de recesiune, justificându-se astfel nevoie de modernizare.</w:t>
      </w:r>
    </w:p>
    <w:p w:rsidR="00BD59B2" w:rsidRPr="00E0488D" w:rsidRDefault="00BD59B2" w:rsidP="00BD59B2">
      <w:pPr>
        <w:pStyle w:val="Body"/>
        <w:rPr>
          <w:b/>
          <w:lang w:val="ro-RO"/>
        </w:rPr>
      </w:pPr>
      <w:r w:rsidRPr="00E0488D">
        <w:rPr>
          <w:b/>
          <w:lang w:val="ro-RO"/>
        </w:rPr>
        <w:t>Rezultate</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 xml:space="preserve">. </w:t>
      </w:r>
    </w:p>
    <w:p w:rsidR="00BD59B2" w:rsidRPr="00E0488D" w:rsidRDefault="00BD59B2" w:rsidP="00BD59B2">
      <w:pPr>
        <w:pStyle w:val="ListParagraph"/>
        <w:ind w:left="680"/>
        <w:rPr>
          <w:b/>
          <w:sz w:val="22"/>
          <w:szCs w:val="22"/>
          <w:lang w:val="ro-RO"/>
        </w:rPr>
      </w:pPr>
      <w:r w:rsidRPr="00E0488D">
        <w:rPr>
          <w:b/>
          <w:sz w:val="22"/>
          <w:szCs w:val="22"/>
          <w:lang w:val="ro-RO"/>
        </w:rPr>
        <w:t>Tabelul 8.27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11"/>
        <w:gridCol w:w="2299"/>
        <w:gridCol w:w="1380"/>
        <w:gridCol w:w="1283"/>
        <w:gridCol w:w="1282"/>
        <w:gridCol w:w="1356"/>
      </w:tblGrid>
      <w:tr w:rsidR="00BD59B2" w:rsidRPr="00E0488D" w:rsidTr="009972B3">
        <w:trPr>
          <w:trHeight w:val="99"/>
        </w:trPr>
        <w:tc>
          <w:tcPr>
            <w:tcW w:w="4310"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16</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23</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32</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37%</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53%</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77%</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107%</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15</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28</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37</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47</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50%</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93%</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123%</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157%</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13%</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23%</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31%</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rFonts w:eastAsia="Calibri"/>
                <w:kern w:val="24"/>
                <w:sz w:val="22"/>
                <w:szCs w:val="22"/>
                <w:lang w:val="ro-RO" w:eastAsia="en-GB"/>
              </w:rPr>
            </w:pPr>
            <w:r w:rsidRPr="00E0488D">
              <w:rPr>
                <w:rFonts w:eastAsia="Calibri"/>
                <w:kern w:val="24"/>
                <w:sz w:val="22"/>
                <w:szCs w:val="22"/>
                <w:lang w:val="ro-RO" w:eastAsia="en-GB"/>
              </w:rPr>
              <w:t>39%</w:t>
            </w:r>
          </w:p>
        </w:tc>
      </w:tr>
    </w:tbl>
    <w:p w:rsidR="00BD59B2" w:rsidRPr="00E0488D" w:rsidRDefault="00BD59B2" w:rsidP="00BD59B2">
      <w:pPr>
        <w:spacing w:before="120" w:after="120" w:line="276" w:lineRule="auto"/>
        <w:rPr>
          <w:sz w:val="22"/>
          <w:szCs w:val="22"/>
          <w:lang w:val="ro-RO"/>
        </w:rPr>
      </w:pPr>
    </w:p>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291256" cy="2656800"/>
            <wp:effectExtent l="19050" t="0" r="14044"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8.24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Noul terminal aduce beneficii economice reduse, raportul beneficii/costuri fiind subunitar, ceea ce recomandă reabilitarea terminalului existent Turda ca fiind opțiunea fezabilă.</w:t>
      </w:r>
    </w:p>
    <w:p w:rsidR="00BD59B2" w:rsidRPr="00E0488D" w:rsidRDefault="00BD59B2" w:rsidP="00BD59B2">
      <w:pPr>
        <w:pStyle w:val="ListParagraph"/>
        <w:ind w:left="680"/>
        <w:rPr>
          <w:b/>
          <w:sz w:val="22"/>
          <w:szCs w:val="22"/>
          <w:lang w:val="ro-RO"/>
        </w:rPr>
      </w:pPr>
      <w:r w:rsidRPr="00E0488D">
        <w:rPr>
          <w:b/>
          <w:sz w:val="22"/>
          <w:szCs w:val="22"/>
          <w:lang w:val="ro-RO"/>
        </w:rPr>
        <w:t>Tabelul 8.28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sz w:val="22"/>
                <w:szCs w:val="22"/>
                <w:lang w:val="ro-RO"/>
              </w:rPr>
            </w:pPr>
            <w:r w:rsidRPr="00E0488D">
              <w:rPr>
                <w:sz w:val="22"/>
                <w:szCs w:val="22"/>
                <w:lang w:val="ro-RO"/>
              </w:rPr>
              <w:t>5.3</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sz w:val="22"/>
                <w:szCs w:val="22"/>
                <w:lang w:val="ro-RO"/>
              </w:rPr>
            </w:pPr>
            <w:r w:rsidRPr="00E0488D">
              <w:rPr>
                <w:sz w:val="22"/>
                <w:szCs w:val="22"/>
                <w:lang w:val="ro-RO"/>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sz w:val="22"/>
                <w:szCs w:val="22"/>
                <w:lang w:val="ro-RO"/>
              </w:rPr>
            </w:pPr>
            <w:r w:rsidRPr="00E0488D">
              <w:rPr>
                <w:sz w:val="22"/>
                <w:szCs w:val="22"/>
                <w:lang w:val="ro-RO"/>
              </w:rPr>
              <w:t>6.6%</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sz w:val="22"/>
                <w:szCs w:val="22"/>
                <w:lang w:val="ro-RO"/>
              </w:rPr>
            </w:pPr>
            <w:r w:rsidRPr="00E0488D">
              <w:rPr>
                <w:sz w:val="22"/>
                <w:szCs w:val="22"/>
                <w:lang w:val="ro-RO"/>
              </w:rPr>
              <w:t>0.1%</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sz w:val="22"/>
                <w:szCs w:val="22"/>
                <w:lang w:val="ro-RO"/>
              </w:rPr>
            </w:pPr>
            <w:r w:rsidRPr="00E0488D">
              <w:rPr>
                <w:sz w:val="22"/>
                <w:szCs w:val="22"/>
                <w:lang w:val="ro-RO"/>
              </w:rPr>
              <w:t>1.26</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sz w:val="22"/>
                <w:szCs w:val="22"/>
                <w:lang w:val="ro-RO"/>
              </w:rPr>
            </w:pPr>
            <w:r w:rsidRPr="00E0488D">
              <w:rPr>
                <w:sz w:val="22"/>
                <w:szCs w:val="22"/>
                <w:lang w:val="ro-RO"/>
              </w:rPr>
              <w:t>0.41</w:t>
            </w:r>
          </w:p>
        </w:tc>
      </w:tr>
    </w:tbl>
    <w:p w:rsidR="00BD59B2" w:rsidRPr="00E0488D" w:rsidRDefault="00BD59B2" w:rsidP="00BD59B2">
      <w:pPr>
        <w:pStyle w:val="Body"/>
        <w:ind w:left="851"/>
        <w:rPr>
          <w:b/>
          <w:lang w:val="ro-RO"/>
        </w:rPr>
      </w:pPr>
      <w:r w:rsidRPr="00E0488D">
        <w:rPr>
          <w:b/>
          <w:lang w:val="ro-RO"/>
        </w:rPr>
        <w:t>Implementare:</w:t>
      </w:r>
    </w:p>
    <w:p w:rsidR="00BD59B2" w:rsidRPr="00E0488D" w:rsidRDefault="00BD59B2" w:rsidP="002B7E09">
      <w:pPr>
        <w:pStyle w:val="NumberedParas"/>
        <w:rPr>
          <w:b/>
          <w:lang w:eastAsia="en-GB"/>
        </w:rPr>
      </w:pPr>
      <w:r w:rsidRPr="00E0488D">
        <w:rPr>
          <w:rStyle w:val="hps"/>
          <w:rFonts w:cs="Arial"/>
          <w:color w:val="000000" w:themeColor="text1"/>
        </w:rPr>
        <w:t>Proiectul</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w:t>
      </w:r>
      <w:r w:rsidRPr="00E0488D">
        <w:t xml:space="preserve"> </w:t>
      </w:r>
      <w:r w:rsidRPr="00E0488D">
        <w:rPr>
          <w:rStyle w:val="hps"/>
          <w:rFonts w:cs="Arial"/>
          <w:color w:val="000000" w:themeColor="text1"/>
        </w:rPr>
        <w:t>conform mecanismelor descrise în paragraful 8.4.6</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Cluj Napoca Est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 astfel încât poate asigura capacitatea până la depășirea acesteia</w:t>
      </w:r>
    </w:p>
    <w:p w:rsidR="00BD59B2" w:rsidRPr="00E0488D" w:rsidRDefault="00BD59B2" w:rsidP="00BD59B2">
      <w:pPr>
        <w:rPr>
          <w:b/>
          <w:i/>
          <w:sz w:val="22"/>
          <w:szCs w:val="22"/>
          <w:lang w:val="ro-RO" w:eastAsia="en-GB"/>
        </w:rPr>
      </w:pPr>
      <w:r w:rsidRPr="00E0488D">
        <w:rPr>
          <w:b/>
          <w:lang w:val="ro-RO" w:eastAsia="en-GB"/>
        </w:rPr>
        <w:br w:type="page"/>
      </w:r>
    </w:p>
    <w:p w:rsidR="00BD59B2" w:rsidRPr="00E0488D" w:rsidRDefault="00BD59B2" w:rsidP="00BD59B2">
      <w:pPr>
        <w:rPr>
          <w:b/>
          <w:i/>
          <w:sz w:val="22"/>
          <w:szCs w:val="22"/>
          <w:lang w:val="ro-RO"/>
        </w:rPr>
      </w:pPr>
    </w:p>
    <w:p w:rsidR="00BD59B2" w:rsidRPr="00E0488D" w:rsidRDefault="00BD59B2" w:rsidP="00BD59B2">
      <w:pPr>
        <w:pStyle w:val="Hdg3"/>
      </w:pPr>
      <w:r w:rsidRPr="00E0488D">
        <w:t>Suceava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propune</w:t>
      </w:r>
      <w:r w:rsidRPr="00E0488D">
        <w:t xml:space="preserve"> </w:t>
      </w:r>
      <w:r w:rsidRPr="00E0488D">
        <w:rPr>
          <w:rStyle w:val="hps"/>
          <w:rFonts w:cs="Arial"/>
          <w:color w:val="000000" w:themeColor="text1"/>
        </w:rPr>
        <w:t>modernizarea terminalului</w:t>
      </w:r>
      <w:r w:rsidRPr="00E0488D">
        <w:t xml:space="preserve"> </w:t>
      </w:r>
      <w:r w:rsidRPr="00E0488D">
        <w:rPr>
          <w:rStyle w:val="hps"/>
          <w:rFonts w:cs="Arial"/>
          <w:color w:val="000000" w:themeColor="text1"/>
        </w:rPr>
        <w:t>existent</w:t>
      </w:r>
      <w:r w:rsidRPr="00E0488D">
        <w:t xml:space="preserve"> de </w:t>
      </w:r>
      <w:r w:rsidRPr="00E0488D">
        <w:rPr>
          <w:rStyle w:val="hps"/>
          <w:rFonts w:cs="Arial"/>
          <w:color w:val="000000" w:themeColor="text1"/>
        </w:rPr>
        <w:t>la</w:t>
      </w:r>
      <w:r w:rsidRPr="00E0488D">
        <w:t xml:space="preserve"> </w:t>
      </w:r>
      <w:r w:rsidRPr="00E0488D">
        <w:rPr>
          <w:rStyle w:val="hps"/>
          <w:rFonts w:cs="Arial"/>
          <w:color w:val="000000" w:themeColor="text1"/>
        </w:rPr>
        <w:t>Suceava</w:t>
      </w:r>
      <w:r w:rsidRPr="00E0488D">
        <w:t xml:space="preserve"> </w:t>
      </w:r>
      <w:r w:rsidRPr="00E0488D">
        <w:rPr>
          <w:rStyle w:val="hps"/>
          <w:rFonts w:cs="Arial"/>
          <w:color w:val="000000" w:themeColor="text1"/>
        </w:rPr>
        <w:t>pentru creșterea eficienței</w:t>
      </w:r>
      <w:r w:rsidRPr="00E0488D">
        <w:t xml:space="preserve">, reducerea </w:t>
      </w:r>
      <w:r w:rsidRPr="00E0488D">
        <w:rPr>
          <w:rStyle w:val="hps"/>
          <w:rFonts w:cs="Arial"/>
          <w:color w:val="000000" w:themeColor="text1"/>
        </w:rPr>
        <w:t>costurilor și timpului</w:t>
      </w:r>
      <w:r w:rsidRPr="00E0488D">
        <w:t xml:space="preserve"> </w:t>
      </w:r>
      <w:r w:rsidRPr="00E0488D">
        <w:rPr>
          <w:rStyle w:val="hps"/>
          <w:rFonts w:cs="Arial"/>
          <w:color w:val="000000" w:themeColor="text1"/>
        </w:rPr>
        <w:t>de tranzit, dar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pentru a promova</w:t>
      </w:r>
      <w:r w:rsidRPr="00E0488D">
        <w:t xml:space="preserve"> </w:t>
      </w:r>
      <w:r w:rsidRPr="00E0488D">
        <w:rPr>
          <w:rStyle w:val="hps"/>
          <w:rFonts w:cs="Arial"/>
          <w:color w:val="000000" w:themeColor="text1"/>
        </w:rPr>
        <w:t>creșterea economică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Având în vedere</w:t>
      </w:r>
      <w:r w:rsidRPr="00E0488D">
        <w:t xml:space="preserve"> </w:t>
      </w:r>
      <w:r w:rsidRPr="00E0488D">
        <w:rPr>
          <w:rStyle w:val="hps"/>
          <w:rFonts w:cs="Arial"/>
          <w:color w:val="000000" w:themeColor="text1"/>
        </w:rPr>
        <w:t>creșterea puternică a volumului de</w:t>
      </w:r>
      <w:r w:rsidRPr="00E0488D">
        <w:t xml:space="preserve"> </w:t>
      </w:r>
      <w:r w:rsidRPr="00E0488D">
        <w:rPr>
          <w:rStyle w:val="hps"/>
          <w:rFonts w:cs="Arial"/>
          <w:color w:val="000000" w:themeColor="text1"/>
        </w:rPr>
        <w:t>tonaj,</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experimentată</w:t>
      </w:r>
      <w:r w:rsidRPr="00E0488D">
        <w:t xml:space="preserve">, </w:t>
      </w:r>
      <w:r w:rsidRPr="00E0488D">
        <w:rPr>
          <w:rStyle w:val="hps"/>
          <w:rFonts w:cs="Arial"/>
          <w:color w:val="000000" w:themeColor="text1"/>
        </w:rPr>
        <w:t>Suceava</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oportunitate pentru o</w:t>
      </w:r>
      <w:r w:rsidRPr="00E0488D">
        <w:t xml:space="preserve"> </w:t>
      </w:r>
      <w:r w:rsidRPr="00E0488D">
        <w:rPr>
          <w:rStyle w:val="hps"/>
          <w:rFonts w:cs="Arial"/>
          <w:color w:val="000000" w:themeColor="text1"/>
        </w:rPr>
        <w:t>dezvoltare continuă, dar</w:t>
      </w:r>
      <w:r w:rsidRPr="00E0488D">
        <w:t xml:space="preserve"> </w:t>
      </w:r>
      <w:r w:rsidRPr="00E0488D">
        <w:rPr>
          <w:rStyle w:val="hps"/>
          <w:rFonts w:cs="Arial"/>
          <w:color w:val="000000" w:themeColor="text1"/>
        </w:rPr>
        <w:t>și pentru încurajarea</w:t>
      </w:r>
      <w:r w:rsidRPr="00E0488D">
        <w:t xml:space="preserve"> </w:t>
      </w:r>
      <w:r w:rsidRPr="00E0488D">
        <w:rPr>
          <w:rStyle w:val="hps"/>
          <w:rFonts w:cs="Arial"/>
          <w:color w:val="000000" w:themeColor="text1"/>
        </w:rPr>
        <w:t>traficul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coridorul IX</w:t>
      </w:r>
      <w:r w:rsidRPr="00E0488D">
        <w:t>. Dacă reabilitarea terminalului existent nu este posibilă atunci recomandarea AECOM va fi aceea de construire a unui terminal nou.</w:t>
      </w:r>
    </w:p>
    <w:p w:rsidR="00BD59B2" w:rsidRPr="00E0488D" w:rsidRDefault="00BD59B2" w:rsidP="00BD59B2">
      <w:pPr>
        <w:pStyle w:val="Body"/>
        <w:rPr>
          <w:b/>
          <w:lang w:val="ro-RO" w:eastAsia="en-GB"/>
        </w:rPr>
      </w:pPr>
      <w:r w:rsidRPr="00E0488D">
        <w:rPr>
          <w:b/>
          <w:lang w:val="ro-RO" w:eastAsia="en-GB"/>
        </w:rPr>
        <w:t>Obiective operaționale</w:t>
      </w:r>
    </w:p>
    <w:p w:rsidR="00BD59B2" w:rsidRPr="00E0488D" w:rsidRDefault="00BD59B2" w:rsidP="002B7E09">
      <w:pPr>
        <w:pStyle w:val="NumberedParas"/>
        <w:rPr>
          <w:lang w:eastAsia="en-GB"/>
        </w:rPr>
      </w:pPr>
      <w:r w:rsidRPr="00E0488D">
        <w:rPr>
          <w:lang w:eastAsia="en-GB"/>
        </w:rPr>
        <w:t xml:space="preserve">OR16,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pStyle w:val="Body"/>
        <w:rPr>
          <w:b/>
          <w:lang w:val="ro-RO"/>
        </w:rPr>
      </w:pPr>
      <w:r w:rsidRPr="00E0488D">
        <w:rPr>
          <w:b/>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Creșterea prognozată</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presupune depășirea capacității</w:t>
      </w:r>
      <w:r w:rsidRPr="00E0488D">
        <w:t xml:space="preserve"> </w:t>
      </w:r>
      <w:r w:rsidRPr="00E0488D">
        <w:rPr>
          <w:rStyle w:val="hps"/>
          <w:rFonts w:cs="Arial"/>
          <w:color w:val="000000" w:themeColor="text1"/>
        </w:rPr>
        <w:t>acestui</w:t>
      </w:r>
      <w:r w:rsidRPr="00E0488D">
        <w:t xml:space="preserve"> </w:t>
      </w:r>
      <w:r w:rsidRPr="00E0488D">
        <w:rPr>
          <w:rStyle w:val="hps"/>
          <w:rFonts w:cs="Arial"/>
          <w:color w:val="000000" w:themeColor="text1"/>
        </w:rPr>
        <w:t>terminal într-un interval</w:t>
      </w:r>
      <w:r w:rsidRPr="00E0488D">
        <w:t xml:space="preserve"> </w:t>
      </w:r>
      <w:r w:rsidRPr="00E0488D">
        <w:rPr>
          <w:rStyle w:val="hps"/>
          <w:rFonts w:cs="Arial"/>
          <w:color w:val="000000" w:themeColor="text1"/>
        </w:rPr>
        <w:t>de timp</w:t>
      </w:r>
      <w:r w:rsidRPr="00E0488D">
        <w:t xml:space="preserve"> </w:t>
      </w:r>
      <w:r w:rsidRPr="00E0488D">
        <w:rPr>
          <w:rStyle w:val="hps"/>
          <w:rFonts w:cs="Arial"/>
          <w:color w:val="000000" w:themeColor="text1"/>
        </w:rPr>
        <w:t>scurt</w:t>
      </w:r>
      <w:r w:rsidRPr="00E0488D">
        <w:t xml:space="preserve"> </w:t>
      </w:r>
      <w:r w:rsidRPr="00E0488D">
        <w:rPr>
          <w:rStyle w:val="hps"/>
          <w:rFonts w:cs="Arial"/>
          <w:color w:val="000000" w:themeColor="text1"/>
        </w:rPr>
        <w:t>(</w:t>
      </w:r>
      <w:r w:rsidRPr="00E0488D">
        <w:t xml:space="preserve">a se vedea </w:t>
      </w:r>
      <w:r w:rsidRPr="00E0488D">
        <w:rPr>
          <w:rStyle w:val="hps"/>
          <w:rFonts w:cs="Arial"/>
          <w:color w:val="000000" w:themeColor="text1"/>
        </w:rPr>
        <w:t>rezultatele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astfel</w:t>
      </w:r>
      <w:r w:rsidRPr="00E0488D">
        <w:t xml:space="preserve"> </w:t>
      </w:r>
      <w:r w:rsidRPr="00E0488D">
        <w:rPr>
          <w:rStyle w:val="hps"/>
          <w:rFonts w:cs="Arial"/>
          <w:color w:val="000000" w:themeColor="text1"/>
        </w:rPr>
        <w:t>este nevoie de</w:t>
      </w:r>
      <w:r w:rsidRPr="00E0488D">
        <w:t xml:space="preserve"> </w:t>
      </w:r>
      <w:r w:rsidRPr="00E0488D">
        <w:rPr>
          <w:rStyle w:val="hps"/>
          <w:rFonts w:cs="Arial"/>
          <w:color w:val="000000" w:themeColor="text1"/>
        </w:rPr>
        <w:t>modernizare</w:t>
      </w:r>
      <w:r w:rsidRPr="00E0488D">
        <w:t xml:space="preserve">, </w:t>
      </w:r>
      <w:r w:rsidRPr="00E0488D">
        <w:rPr>
          <w:rStyle w:val="hps"/>
          <w:rFonts w:cs="Arial"/>
          <w:color w:val="000000" w:themeColor="text1"/>
        </w:rPr>
        <w:t>având în vedere</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observată</w:t>
      </w:r>
      <w:r w:rsidRPr="00E0488D">
        <w:t xml:space="preserve"> </w:t>
      </w:r>
      <w:r w:rsidRPr="00E0488D">
        <w:rPr>
          <w:rStyle w:val="hps"/>
          <w:rFonts w:cs="Arial"/>
          <w:color w:val="000000" w:themeColor="text1"/>
        </w:rPr>
        <w:t>în timpul</w:t>
      </w:r>
      <w:r w:rsidRPr="00E0488D">
        <w:t xml:space="preserve"> </w:t>
      </w:r>
      <w:r w:rsidRPr="00E0488D">
        <w:rPr>
          <w:rStyle w:val="hps"/>
          <w:rFonts w:cs="Arial"/>
          <w:color w:val="000000" w:themeColor="text1"/>
        </w:rPr>
        <w:t>recesiunii</w:t>
      </w:r>
      <w:r w:rsidRPr="00E0488D">
        <w:t>. Suceava are avantajul localizării pe coridorul potențial al Proiectului Viking și astfel trebuie să fie echipat pentru a deservi cererea potențială generată de serviciile intermodale pe direcția nord-sub.</w:t>
      </w:r>
    </w:p>
    <w:p w:rsidR="00BD59B2" w:rsidRPr="00E0488D" w:rsidRDefault="00BD59B2" w:rsidP="00BD59B2">
      <w:pPr>
        <w:pStyle w:val="Body"/>
        <w:ind w:left="851"/>
        <w:rPr>
          <w:b/>
          <w:lang w:val="ro-RO"/>
        </w:rPr>
      </w:pPr>
      <w:r w:rsidRPr="00E0488D">
        <w:rPr>
          <w:b/>
          <w:lang w:val="ro-RO"/>
        </w:rPr>
        <w:t xml:space="preserve">Rezultate </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 xml:space="preserve"> </w:t>
      </w:r>
    </w:p>
    <w:p w:rsidR="00BD59B2" w:rsidRPr="00E0488D" w:rsidRDefault="00BD59B2" w:rsidP="00BD59B2">
      <w:pPr>
        <w:pStyle w:val="ListParagraph"/>
        <w:ind w:left="680"/>
        <w:rPr>
          <w:b/>
          <w:sz w:val="22"/>
          <w:szCs w:val="22"/>
          <w:lang w:val="ro-RO"/>
        </w:rPr>
      </w:pPr>
      <w:r w:rsidRPr="00E0488D">
        <w:rPr>
          <w:b/>
          <w:sz w:val="22"/>
          <w:szCs w:val="22"/>
          <w:lang w:val="ro-RO"/>
        </w:rPr>
        <w:t>Tabelul 8.29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11"/>
        <w:gridCol w:w="2299"/>
        <w:gridCol w:w="1380"/>
        <w:gridCol w:w="1283"/>
        <w:gridCol w:w="1282"/>
        <w:gridCol w:w="1356"/>
      </w:tblGrid>
      <w:tr w:rsidR="00BD59B2" w:rsidRPr="00E0488D" w:rsidTr="009972B3">
        <w:trPr>
          <w:trHeight w:val="99"/>
        </w:trPr>
        <w:tc>
          <w:tcPr>
            <w:tcW w:w="4310"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19</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34</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55</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26%</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45%</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81%</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131%</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63</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93</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130</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26%</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150%</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221%</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310%</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7%</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38%</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55%</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77%</w:t>
            </w:r>
          </w:p>
        </w:tc>
      </w:tr>
    </w:tbl>
    <w:p w:rsidR="00BD59B2" w:rsidRPr="00E0488D" w:rsidRDefault="00BD59B2" w:rsidP="00BD59B2">
      <w:pPr>
        <w:spacing w:before="120" w:after="120" w:line="276" w:lineRule="auto"/>
        <w:rPr>
          <w:sz w:val="22"/>
          <w:szCs w:val="22"/>
          <w:lang w:val="ro-RO"/>
        </w:rPr>
      </w:pPr>
    </w:p>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572000" cy="2745441"/>
            <wp:effectExtent l="19050" t="0" r="19050" b="0"/>
            <wp:docPr id="6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8.25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Opțiunea de construcție a unui terminal nou respectă metodologia și condiționalitățile din Master Plan, cu toate că beneficiile aduse de reabilitarea terminalui existent sunt superioare.</w:t>
      </w:r>
    </w:p>
    <w:p w:rsidR="00BD59B2" w:rsidRPr="00E0488D" w:rsidRDefault="00BD59B2" w:rsidP="00BD59B2">
      <w:pPr>
        <w:rPr>
          <w:lang w:val="ro-RO"/>
        </w:rPr>
      </w:pPr>
    </w:p>
    <w:p w:rsidR="00BD59B2" w:rsidRPr="00E0488D" w:rsidRDefault="00BD59B2" w:rsidP="00BD59B2">
      <w:pPr>
        <w:pStyle w:val="ListParagraph"/>
        <w:ind w:left="680"/>
        <w:rPr>
          <w:b/>
          <w:sz w:val="22"/>
          <w:szCs w:val="22"/>
          <w:lang w:val="ro-RO"/>
        </w:rPr>
      </w:pPr>
      <w:r w:rsidRPr="00E0488D">
        <w:rPr>
          <w:b/>
          <w:sz w:val="22"/>
          <w:szCs w:val="22"/>
          <w:lang w:val="ro-RO"/>
        </w:rPr>
        <w:t>Tabelul 8.28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5.3</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14.3%</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6.4%</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4.00</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1.29</w:t>
            </w:r>
          </w:p>
        </w:tc>
      </w:tr>
    </w:tbl>
    <w:p w:rsidR="00BD59B2" w:rsidRPr="00E0488D" w:rsidRDefault="00BD59B2" w:rsidP="00BD59B2">
      <w:pPr>
        <w:pStyle w:val="Body"/>
        <w:ind w:left="0"/>
        <w:rPr>
          <w:b/>
          <w:lang w:val="ro-RO"/>
        </w:rPr>
      </w:pPr>
    </w:p>
    <w:p w:rsidR="00BD59B2" w:rsidRPr="00E0488D" w:rsidRDefault="00BD59B2" w:rsidP="00BD59B2">
      <w:pPr>
        <w:pStyle w:val="Body"/>
        <w:ind w:left="0"/>
        <w:rPr>
          <w:b/>
          <w:lang w:val="ro-RO"/>
        </w:rPr>
      </w:pPr>
      <w:r w:rsidRPr="00E0488D">
        <w:rPr>
          <w:b/>
          <w:lang w:val="ro-RO"/>
        </w:rPr>
        <w:t>Implementare:</w:t>
      </w:r>
    </w:p>
    <w:p w:rsidR="00BD59B2" w:rsidRPr="00E0488D" w:rsidRDefault="00BD59B2" w:rsidP="002B7E09">
      <w:pPr>
        <w:pStyle w:val="NumberedParas"/>
      </w:pPr>
      <w:r w:rsidRPr="00E0488D">
        <w:rPr>
          <w:rStyle w:val="hps"/>
          <w:rFonts w:cs="Arial"/>
          <w:color w:val="000000" w:themeColor="text1"/>
        </w:rPr>
        <w:t>Această schemă</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implementată</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CFR</w:t>
      </w:r>
      <w:r w:rsidRPr="00E0488D">
        <w:t xml:space="preserve"> </w:t>
      </w:r>
      <w:r w:rsidRPr="00E0488D">
        <w:rPr>
          <w:rStyle w:val="hps"/>
          <w:rFonts w:cs="Arial"/>
          <w:color w:val="000000" w:themeColor="text1"/>
        </w:rPr>
        <w:t>SA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împreună cu</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privat</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w:t>
      </w:r>
      <w:r w:rsidRPr="00E0488D">
        <w:rPr>
          <w:rStyle w:val="hps"/>
          <w:rFonts w:cs="Arial"/>
          <w:color w:val="000000" w:themeColor="text1"/>
        </w:rPr>
        <w:t>Terminalul</w:t>
      </w:r>
      <w:r w:rsidRPr="00E0488D">
        <w:t xml:space="preserve">  Suceava  </w:t>
      </w:r>
      <w:r w:rsidRPr="00E0488D">
        <w:rPr>
          <w:rStyle w:val="hps"/>
          <w:rFonts w:cs="Arial"/>
          <w:color w:val="000000" w:themeColor="text1"/>
        </w:rPr>
        <w:t>este programat</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 astfel încât poate asigura capacitatea până în momentul în care utilizarea crescută a terminalului din prezent se va reduce</w:t>
      </w:r>
      <w:r w:rsidRPr="00E0488D">
        <w:t>. De asemenea, este dificilă estimarea beneficiilor suplimentare potențiale generate de Project Viking, dar implementarea acestui proiect nu poate decât să fie în beneficiul proiectului.</w:t>
      </w:r>
    </w:p>
    <w:p w:rsidR="00BD59B2" w:rsidRPr="00E0488D" w:rsidRDefault="00BD59B2" w:rsidP="00BD59B2">
      <w:pPr>
        <w:rPr>
          <w:b/>
          <w:sz w:val="22"/>
          <w:szCs w:val="22"/>
          <w:u w:val="single"/>
          <w:lang w:val="ro-RO"/>
        </w:rPr>
      </w:pPr>
      <w:r w:rsidRPr="00E0488D">
        <w:rPr>
          <w:b/>
          <w:i/>
          <w:u w:val="single"/>
          <w:lang w:val="ro-RO"/>
        </w:rPr>
        <w:br w:type="page"/>
      </w:r>
    </w:p>
    <w:p w:rsidR="00BD59B2" w:rsidRPr="00E0488D" w:rsidRDefault="00BD59B2" w:rsidP="00BD59B2">
      <w:pPr>
        <w:pStyle w:val="Hdg3"/>
      </w:pPr>
      <w:r w:rsidRPr="00E0488D">
        <w:t>Bacau (Terminal nou sau modernizat)</w:t>
      </w:r>
    </w:p>
    <w:p w:rsidR="00BD59B2" w:rsidRPr="00E0488D" w:rsidRDefault="00BD59B2" w:rsidP="002B7E09">
      <w:pPr>
        <w:pStyle w:val="NumberedParas"/>
      </w:pPr>
      <w:r w:rsidRPr="00E0488D">
        <w:rPr>
          <w:rStyle w:val="hps"/>
          <w:rFonts w:cs="Arial"/>
          <w:color w:val="000000" w:themeColor="text1"/>
        </w:rPr>
        <w:t>AECOM</w:t>
      </w:r>
      <w:r w:rsidRPr="00E0488D">
        <w:t xml:space="preserve"> </w:t>
      </w:r>
      <w:r w:rsidRPr="00E0488D">
        <w:rPr>
          <w:rStyle w:val="hps"/>
          <w:rFonts w:cs="Arial"/>
          <w:color w:val="000000" w:themeColor="text1"/>
        </w:rPr>
        <w:t>propune</w:t>
      </w:r>
      <w:r w:rsidRPr="00E0488D">
        <w:t xml:space="preserve"> </w:t>
      </w:r>
      <w:r w:rsidRPr="00E0488D">
        <w:rPr>
          <w:rStyle w:val="hps"/>
          <w:rFonts w:cs="Arial"/>
          <w:color w:val="000000" w:themeColor="text1"/>
        </w:rPr>
        <w:t>renovarea terminalului</w:t>
      </w:r>
      <w:r w:rsidRPr="00E0488D">
        <w:t xml:space="preserve"> </w:t>
      </w:r>
      <w:r w:rsidRPr="00E0488D">
        <w:rPr>
          <w:rStyle w:val="hps"/>
          <w:rFonts w:cs="Arial"/>
          <w:color w:val="000000" w:themeColor="text1"/>
        </w:rPr>
        <w:t>existent</w:t>
      </w:r>
      <w:r w:rsidRPr="00E0488D">
        <w:t xml:space="preserve"> de </w:t>
      </w:r>
      <w:r w:rsidRPr="00E0488D">
        <w:rPr>
          <w:rStyle w:val="hps"/>
          <w:rFonts w:cs="Arial"/>
          <w:color w:val="000000" w:themeColor="text1"/>
        </w:rPr>
        <w:t>la</w:t>
      </w:r>
      <w:r w:rsidRPr="00E0488D">
        <w:t xml:space="preserve"> </w:t>
      </w:r>
      <w:r w:rsidRPr="00E0488D">
        <w:rPr>
          <w:rStyle w:val="hps"/>
          <w:rFonts w:cs="Arial"/>
          <w:color w:val="000000" w:themeColor="text1"/>
        </w:rPr>
        <w:t>Bacau</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extinderea</w:t>
      </w:r>
      <w:r w:rsidRPr="00E0488D">
        <w:t xml:space="preserve"> </w:t>
      </w:r>
      <w:r w:rsidRPr="00E0488D">
        <w:rPr>
          <w:rStyle w:val="hps"/>
          <w:rFonts w:cs="Arial"/>
          <w:color w:val="000000" w:themeColor="text1"/>
        </w:rPr>
        <w:t>spre sud-est</w:t>
      </w:r>
      <w:r w:rsidRPr="00E0488D">
        <w:t xml:space="preserve"> </w:t>
      </w:r>
      <w:r w:rsidRPr="00E0488D">
        <w:rPr>
          <w:rStyle w:val="hps"/>
          <w:rFonts w:cs="Arial"/>
          <w:color w:val="000000" w:themeColor="text1"/>
        </w:rPr>
        <w:t>pentru creșterea eficienței</w:t>
      </w:r>
      <w:r w:rsidRPr="00E0488D">
        <w:t xml:space="preserve">, reducerea </w:t>
      </w:r>
      <w:r w:rsidRPr="00E0488D">
        <w:rPr>
          <w:rStyle w:val="hps"/>
          <w:rFonts w:cs="Arial"/>
          <w:color w:val="000000" w:themeColor="text1"/>
        </w:rPr>
        <w:t>costurilor și</w:t>
      </w:r>
      <w:r w:rsidRPr="00E0488D">
        <w:t xml:space="preserve"> </w:t>
      </w:r>
      <w:r w:rsidRPr="00E0488D">
        <w:rPr>
          <w:rStyle w:val="hps"/>
          <w:rFonts w:cs="Arial"/>
          <w:color w:val="000000" w:themeColor="text1"/>
        </w:rPr>
        <w:t>timpilor</w:t>
      </w:r>
      <w:r w:rsidRPr="00E0488D">
        <w:t xml:space="preserve"> </w:t>
      </w:r>
      <w:r w:rsidRPr="00E0488D">
        <w:rPr>
          <w:rStyle w:val="hps"/>
          <w:rFonts w:cs="Arial"/>
          <w:color w:val="000000" w:themeColor="text1"/>
        </w:rPr>
        <w:t>de tranzit, dar</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pentru a promova</w:t>
      </w:r>
      <w:r w:rsidRPr="00E0488D">
        <w:t xml:space="preserve"> </w:t>
      </w:r>
      <w:r w:rsidRPr="00E0488D">
        <w:rPr>
          <w:rStyle w:val="hps"/>
          <w:rFonts w:cs="Arial"/>
          <w:color w:val="000000" w:themeColor="text1"/>
        </w:rPr>
        <w:t>creșterea economică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Dacă reabilitarea terminalului existent nu este posibilă atunci recomandarea AECOM va fi aceea de construire a unui terminal nou</w:t>
      </w:r>
    </w:p>
    <w:p w:rsidR="00BD59B2" w:rsidRPr="00E0488D" w:rsidRDefault="00BD59B2" w:rsidP="00BD59B2">
      <w:pPr>
        <w:pStyle w:val="Body"/>
        <w:ind w:left="0"/>
        <w:rPr>
          <w:b/>
          <w:lang w:val="ro-RO" w:eastAsia="en-GB"/>
        </w:rPr>
      </w:pPr>
      <w:r w:rsidRPr="00E0488D">
        <w:rPr>
          <w:b/>
          <w:lang w:val="ro-RO" w:eastAsia="en-GB"/>
        </w:rPr>
        <w:t xml:space="preserve">Obiective operaționale </w:t>
      </w:r>
    </w:p>
    <w:p w:rsidR="00BD59B2" w:rsidRPr="00E0488D" w:rsidRDefault="00BD59B2" w:rsidP="002B7E09">
      <w:pPr>
        <w:pStyle w:val="NumberedParas"/>
        <w:rPr>
          <w:lang w:eastAsia="en-GB"/>
        </w:rPr>
      </w:pPr>
      <w:r w:rsidRPr="00E0488D">
        <w:rPr>
          <w:lang w:eastAsia="en-GB"/>
        </w:rPr>
        <w:t xml:space="preserve">OR16, </w:t>
      </w:r>
      <w:r w:rsidRPr="00E0488D">
        <w:rPr>
          <w:rStyle w:val="hps"/>
          <w:rFonts w:cs="Arial"/>
          <w:color w:val="000000" w:themeColor="text1"/>
        </w:rPr>
        <w:t>Dezvoltarea unei rețele</w:t>
      </w:r>
      <w:r w:rsidRPr="00E0488D">
        <w:t xml:space="preserve"> </w:t>
      </w:r>
      <w:r w:rsidRPr="00E0488D">
        <w:rPr>
          <w:rStyle w:val="hps"/>
          <w:rFonts w:cs="Arial"/>
          <w:color w:val="000000" w:themeColor="text1"/>
        </w:rPr>
        <w:t>"</w:t>
      </w:r>
      <w:r w:rsidRPr="00E0488D">
        <w:t xml:space="preserve">open user" de </w:t>
      </w:r>
      <w:r w:rsidRPr="00E0488D">
        <w:rPr>
          <w:rStyle w:val="hps"/>
          <w:rFonts w:cs="Arial"/>
          <w:color w:val="000000" w:themeColor="text1"/>
        </w:rPr>
        <w:t>terminale de marfă</w:t>
      </w:r>
      <w:r w:rsidRPr="00E0488D">
        <w:t xml:space="preserve"> </w:t>
      </w:r>
      <w:r w:rsidRPr="00E0488D">
        <w:rPr>
          <w:rStyle w:val="hps"/>
          <w:rFonts w:cs="Arial"/>
          <w:color w:val="000000" w:themeColor="text1"/>
        </w:rPr>
        <w:t>pentru a</w:t>
      </w:r>
      <w:r w:rsidRPr="00E0488D">
        <w:t xml:space="preserve"> de</w:t>
      </w:r>
      <w:r w:rsidRPr="00E0488D">
        <w:rPr>
          <w:rStyle w:val="hps"/>
          <w:rFonts w:cs="Arial"/>
          <w:color w:val="000000" w:themeColor="text1"/>
        </w:rPr>
        <w:t>servi</w:t>
      </w:r>
      <w:r w:rsidRPr="00E0488D">
        <w:t xml:space="preserve"> regiunile cu </w:t>
      </w:r>
      <w:r w:rsidRPr="00E0488D">
        <w:rPr>
          <w:rStyle w:val="hps"/>
          <w:rFonts w:cs="Arial"/>
          <w:color w:val="000000" w:themeColor="text1"/>
        </w:rPr>
        <w:t>cea mai mare</w:t>
      </w:r>
      <w:r w:rsidRPr="00E0488D">
        <w:t xml:space="preserve"> </w:t>
      </w:r>
      <w:r w:rsidRPr="00E0488D">
        <w:rPr>
          <w:rStyle w:val="hps"/>
          <w:rFonts w:cs="Arial"/>
          <w:color w:val="000000" w:themeColor="text1"/>
        </w:rPr>
        <w:t>cerere</w:t>
      </w:r>
      <w:r w:rsidRPr="00E0488D">
        <w:t xml:space="preserve"> </w:t>
      </w:r>
      <w:r w:rsidRPr="00E0488D">
        <w:rPr>
          <w:rStyle w:val="hps"/>
          <w:rFonts w:cs="Arial"/>
          <w:color w:val="000000" w:themeColor="text1"/>
        </w:rPr>
        <w:t>potențială din România</w:t>
      </w:r>
      <w:r w:rsidRPr="00E0488D">
        <w:t xml:space="preserve">, </w:t>
      </w:r>
      <w:r w:rsidRPr="00E0488D">
        <w:rPr>
          <w:rStyle w:val="hps"/>
          <w:rFonts w:cs="Arial"/>
          <w:color w:val="000000" w:themeColor="text1"/>
        </w:rPr>
        <w:t>orașele</w:t>
      </w:r>
      <w:r w:rsidRPr="00E0488D">
        <w:t xml:space="preserve"> </w:t>
      </w:r>
      <w:r w:rsidRPr="00E0488D">
        <w:rPr>
          <w:rStyle w:val="hps"/>
          <w:rFonts w:cs="Arial"/>
          <w:color w:val="000000" w:themeColor="text1"/>
        </w:rPr>
        <w:t>și piețele</w:t>
      </w:r>
      <w:r w:rsidRPr="00E0488D">
        <w:t xml:space="preserve"> </w:t>
      </w:r>
      <w:r w:rsidRPr="00E0488D">
        <w:rPr>
          <w:rStyle w:val="hps"/>
          <w:rFonts w:cs="Arial"/>
          <w:color w:val="000000" w:themeColor="text1"/>
        </w:rPr>
        <w:t>majore ale UE</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Bulgaria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Ungaria</w:t>
      </w:r>
      <w:r w:rsidRPr="00E0488D">
        <w:t xml:space="preserve">. </w:t>
      </w:r>
    </w:p>
    <w:p w:rsidR="00BD59B2" w:rsidRPr="00E0488D" w:rsidRDefault="00BD59B2" w:rsidP="00BD59B2">
      <w:pPr>
        <w:pStyle w:val="Body"/>
        <w:ind w:left="0"/>
        <w:rPr>
          <w:b/>
          <w:lang w:val="ro-RO"/>
        </w:rPr>
      </w:pPr>
      <w:r w:rsidRPr="00E0488D">
        <w:rPr>
          <w:b/>
          <w:lang w:val="ro-RO"/>
        </w:rPr>
        <w:t>Problemele abordate</w:t>
      </w:r>
    </w:p>
    <w:p w:rsidR="00BD59B2" w:rsidRPr="00E0488D" w:rsidRDefault="00BD59B2" w:rsidP="002B7E09">
      <w:pPr>
        <w:pStyle w:val="NumberedParas"/>
      </w:pPr>
      <w:r w:rsidRPr="00E0488D">
        <w:rPr>
          <w:rStyle w:val="hps"/>
          <w:rFonts w:cs="Arial"/>
          <w:color w:val="000000" w:themeColor="text1"/>
        </w:rPr>
        <w:t>Volumele</w:t>
      </w:r>
      <w:r w:rsidRPr="00E0488D">
        <w:t xml:space="preserve"> </w:t>
      </w:r>
      <w:r w:rsidRPr="00E0488D">
        <w:rPr>
          <w:rStyle w:val="hps"/>
          <w:rFonts w:cs="Arial"/>
          <w:color w:val="000000" w:themeColor="text1"/>
        </w:rPr>
        <w:t>actuale</w:t>
      </w:r>
      <w:r w:rsidRPr="00E0488D">
        <w:t xml:space="preserve"> </w:t>
      </w:r>
      <w:r w:rsidRPr="00E0488D">
        <w:rPr>
          <w:rStyle w:val="hps"/>
          <w:rFonts w:cs="Arial"/>
          <w:color w:val="000000" w:themeColor="text1"/>
        </w:rPr>
        <w:t>de mărfuri</w:t>
      </w:r>
      <w:r w:rsidRPr="00E0488D">
        <w:t xml:space="preserve"> </w:t>
      </w:r>
      <w:r w:rsidRPr="00E0488D">
        <w:rPr>
          <w:rStyle w:val="hps"/>
          <w:rFonts w:cs="Arial"/>
          <w:color w:val="000000" w:themeColor="text1"/>
        </w:rPr>
        <w:t>intermodal</w:t>
      </w:r>
      <w:r w:rsidRPr="00E0488D">
        <w:t>e di</w:t>
      </w:r>
      <w:r w:rsidRPr="00E0488D">
        <w:rPr>
          <w:rStyle w:val="hps"/>
          <w:rFonts w:cs="Arial"/>
          <w:color w:val="000000" w:themeColor="text1"/>
        </w:rPr>
        <w:t>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sunt mici</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 se datorează</w:t>
      </w:r>
      <w:r w:rsidRPr="00E0488D">
        <w:t xml:space="preserve"> </w:t>
      </w:r>
      <w:r w:rsidRPr="00E0488D">
        <w:rPr>
          <w:rStyle w:val="hps"/>
          <w:rFonts w:cs="Arial"/>
          <w:color w:val="000000" w:themeColor="text1"/>
        </w:rPr>
        <w:t>stării proaste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facilităților</w:t>
      </w:r>
      <w:r w:rsidRPr="00E0488D">
        <w:t xml:space="preserve"> </w:t>
      </w:r>
      <w:r w:rsidRPr="00E0488D">
        <w:rPr>
          <w:rStyle w:val="hps"/>
          <w:rFonts w:cs="Arial"/>
          <w:color w:val="000000" w:themeColor="text1"/>
        </w:rPr>
        <w:t>concepute pentru a le</w:t>
      </w:r>
      <w:r w:rsidRPr="00E0488D">
        <w:t xml:space="preserve"> </w:t>
      </w:r>
      <w:r w:rsidRPr="00E0488D">
        <w:rPr>
          <w:rStyle w:val="hps"/>
          <w:rFonts w:cs="Arial"/>
          <w:color w:val="000000" w:themeColor="text1"/>
        </w:rPr>
        <w:t>primi</w:t>
      </w:r>
      <w:r w:rsidRPr="00E0488D">
        <w:t xml:space="preserve">. </w:t>
      </w:r>
      <w:r w:rsidRPr="00E0488D">
        <w:rPr>
          <w:rStyle w:val="hps"/>
          <w:rFonts w:cs="Arial"/>
          <w:color w:val="000000" w:themeColor="text1"/>
        </w:rPr>
        <w:t>Creșterea prognozată</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intermodal</w:t>
      </w:r>
      <w:r w:rsidRPr="00E0488D">
        <w:t xml:space="preserve"> </w:t>
      </w:r>
      <w:r w:rsidRPr="00E0488D">
        <w:rPr>
          <w:rStyle w:val="hps"/>
          <w:rFonts w:cs="Arial"/>
          <w:color w:val="000000" w:themeColor="text1"/>
        </w:rPr>
        <w:t>presupune</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dispunerea</w:t>
      </w:r>
      <w:r w:rsidRPr="00E0488D">
        <w:t xml:space="preserve"> </w:t>
      </w:r>
      <w:r w:rsidRPr="00E0488D">
        <w:rPr>
          <w:rStyle w:val="hps"/>
          <w:rFonts w:cs="Arial"/>
          <w:color w:val="000000" w:themeColor="text1"/>
        </w:rPr>
        <w:t>curentă a terminalului</w:t>
      </w:r>
      <w:r w:rsidRPr="00E0488D">
        <w:t xml:space="preserve"> </w:t>
      </w:r>
      <w:r w:rsidRPr="00E0488D">
        <w:rPr>
          <w:rStyle w:val="hps"/>
          <w:rFonts w:cs="Arial"/>
          <w:color w:val="000000" w:themeColor="text1"/>
        </w:rPr>
        <w:t>Bacau</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fi copleșită în</w:t>
      </w:r>
      <w:r w:rsidRPr="00E0488D">
        <w:t xml:space="preserve"> </w:t>
      </w:r>
      <w:r w:rsidRPr="00E0488D">
        <w:rPr>
          <w:rStyle w:val="hps"/>
          <w:rFonts w:cs="Arial"/>
          <w:color w:val="000000" w:themeColor="text1"/>
        </w:rPr>
        <w:t>curând</w:t>
      </w:r>
      <w:r w:rsidRPr="00E0488D">
        <w:t xml:space="preserve"> </w:t>
      </w:r>
      <w:r w:rsidRPr="00E0488D">
        <w:rPr>
          <w:rStyle w:val="hps"/>
          <w:rFonts w:cs="Arial"/>
          <w:color w:val="000000" w:themeColor="text1"/>
        </w:rPr>
        <w:t>(</w:t>
      </w:r>
      <w:r w:rsidRPr="00E0488D">
        <w:t xml:space="preserve">a se vedea </w:t>
      </w:r>
      <w:r w:rsidRPr="00E0488D">
        <w:rPr>
          <w:rStyle w:val="hps"/>
          <w:rFonts w:cs="Arial"/>
          <w:color w:val="000000" w:themeColor="text1"/>
        </w:rPr>
        <w:t>rezultatele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trebuie realizate îmbunătățiri pentru creșterea volumului de transbordare, dar și pentru a permite</w:t>
      </w:r>
      <w:r w:rsidRPr="00E0488D">
        <w:t xml:space="preserve"> </w:t>
      </w:r>
      <w:r w:rsidRPr="00E0488D">
        <w:rPr>
          <w:rStyle w:val="hps"/>
          <w:rFonts w:cs="Arial"/>
          <w:color w:val="000000" w:themeColor="text1"/>
        </w:rPr>
        <w:t>stocarea unui volum mai mare de containere</w:t>
      </w:r>
      <w:r w:rsidRPr="00E0488D">
        <w:t>.</w:t>
      </w:r>
    </w:p>
    <w:p w:rsidR="00BD59B2" w:rsidRPr="00E0488D" w:rsidRDefault="00BD59B2" w:rsidP="00BD59B2">
      <w:pPr>
        <w:pStyle w:val="Body"/>
        <w:ind w:left="0"/>
        <w:rPr>
          <w:b/>
          <w:lang w:val="ro-RO"/>
        </w:rPr>
      </w:pPr>
      <w:r w:rsidRPr="00E0488D">
        <w:rPr>
          <w:b/>
          <w:lang w:val="ro-RO"/>
        </w:rPr>
        <w:t xml:space="preserve">Rezultate </w:t>
      </w:r>
    </w:p>
    <w:p w:rsidR="00BD59B2" w:rsidRPr="00E0488D" w:rsidRDefault="00BD59B2" w:rsidP="002B7E09">
      <w:pPr>
        <w:pStyle w:val="NumberedParas"/>
      </w:pPr>
      <w:r w:rsidRPr="00E0488D">
        <w:rPr>
          <w:rStyle w:val="hps"/>
          <w:rFonts w:cs="Arial"/>
          <w:color w:val="000000" w:themeColor="text1"/>
        </w:rPr>
        <w:t>După cum s-a demonstrat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tabelul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graficul de mai jos</w:t>
      </w:r>
      <w:r w:rsidRPr="00E0488D">
        <w:t xml:space="preserve">, </w:t>
      </w:r>
      <w:r w:rsidRPr="00E0488D">
        <w:rPr>
          <w:rStyle w:val="hps"/>
          <w:rFonts w:cs="Arial"/>
          <w:color w:val="000000" w:themeColor="text1"/>
        </w:rPr>
        <w:t>intervenția</w:t>
      </w:r>
      <w:r w:rsidRPr="00E0488D">
        <w:t xml:space="preserve"> </w:t>
      </w:r>
      <w:r w:rsidRPr="00E0488D">
        <w:rPr>
          <w:rStyle w:val="hps"/>
          <w:rFonts w:cs="Arial"/>
          <w:color w:val="000000" w:themeColor="text1"/>
        </w:rPr>
        <w:t>(</w:t>
      </w:r>
      <w:r w:rsidRPr="00E0488D">
        <w:t xml:space="preserve">în </w:t>
      </w:r>
      <w:r w:rsidRPr="00E0488D">
        <w:rPr>
          <w:rStyle w:val="hps"/>
          <w:rFonts w:cs="Arial"/>
          <w:color w:val="000000" w:themeColor="text1"/>
        </w:rPr>
        <w:t>acord cu celelalte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o creștere semnificativă</w:t>
      </w:r>
      <w:r w:rsidRPr="00E0488D">
        <w:t xml:space="preserve"> </w:t>
      </w:r>
      <w:r w:rsidRPr="00E0488D">
        <w:rPr>
          <w:rStyle w:val="hps"/>
          <w:rFonts w:cs="Arial"/>
          <w:color w:val="000000" w:themeColor="text1"/>
        </w:rPr>
        <w:t>a volumului de mărfuri</w:t>
      </w:r>
      <w:r w:rsidRPr="00E0488D">
        <w:t xml:space="preserve"> </w:t>
      </w:r>
      <w:r w:rsidRPr="00E0488D">
        <w:rPr>
          <w:rStyle w:val="hps"/>
          <w:rFonts w:cs="Arial"/>
          <w:color w:val="000000" w:themeColor="text1"/>
        </w:rPr>
        <w:t>intermodale transportate</w:t>
      </w:r>
      <w:r w:rsidRPr="00E0488D">
        <w:t xml:space="preserve"> </w:t>
      </w:r>
      <w:r w:rsidRPr="00E0488D">
        <w:rPr>
          <w:rStyle w:val="hps"/>
          <w:rFonts w:cs="Arial"/>
          <w:color w:val="000000" w:themeColor="text1"/>
        </w:rPr>
        <w:t>pe cale ferată</w:t>
      </w:r>
      <w:r w:rsidRPr="00E0488D">
        <w:t>.</w:t>
      </w:r>
    </w:p>
    <w:p w:rsidR="00BD59B2" w:rsidRPr="00E0488D" w:rsidRDefault="00BD59B2" w:rsidP="00BD59B2">
      <w:pPr>
        <w:pStyle w:val="ListParagraph"/>
        <w:ind w:left="680"/>
        <w:rPr>
          <w:b/>
          <w:sz w:val="22"/>
          <w:szCs w:val="22"/>
          <w:lang w:val="ro-RO"/>
        </w:rPr>
      </w:pPr>
      <w:r w:rsidRPr="00E0488D">
        <w:rPr>
          <w:b/>
          <w:sz w:val="22"/>
          <w:szCs w:val="22"/>
          <w:lang w:val="ro-RO"/>
        </w:rPr>
        <w:t>Tabelul 8.31 Cererea (număr TEU) actuală și estimată la diverse orizonturi de prognoză</w:t>
      </w:r>
    </w:p>
    <w:tbl>
      <w:tblPr>
        <w:tblW w:w="9611" w:type="dxa"/>
        <w:tblInd w:w="851" w:type="dxa"/>
        <w:shd w:val="clear" w:color="auto" w:fill="FFFFFF"/>
        <w:tblCellMar>
          <w:left w:w="0" w:type="dxa"/>
          <w:right w:w="0" w:type="dxa"/>
        </w:tblCellMar>
        <w:tblLook w:val="0600" w:firstRow="0" w:lastRow="0" w:firstColumn="0" w:lastColumn="0" w:noHBand="1" w:noVBand="1"/>
      </w:tblPr>
      <w:tblGrid>
        <w:gridCol w:w="2011"/>
        <w:gridCol w:w="2299"/>
        <w:gridCol w:w="1380"/>
        <w:gridCol w:w="1283"/>
        <w:gridCol w:w="1282"/>
        <w:gridCol w:w="1356"/>
      </w:tblGrid>
      <w:tr w:rsidR="00BD59B2" w:rsidRPr="00E0488D" w:rsidTr="009972B3">
        <w:trPr>
          <w:trHeight w:val="99"/>
        </w:trPr>
        <w:tc>
          <w:tcPr>
            <w:tcW w:w="4310"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2011</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2020</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2030</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2040</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de referință</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15</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24</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41</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62</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36%</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57%</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98%</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148%</w:t>
            </w:r>
          </w:p>
        </w:tc>
      </w:tr>
      <w:tr w:rsidR="00BD59B2" w:rsidRPr="00E0488D" w:rsidTr="009972B3">
        <w:trPr>
          <w:trHeight w:val="99"/>
        </w:trPr>
        <w:tc>
          <w:tcPr>
            <w:tcW w:w="201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b/>
                <w:bCs/>
                <w:sz w:val="22"/>
                <w:szCs w:val="22"/>
                <w:lang w:val="ro-RO" w:eastAsia="en-GB"/>
              </w:rPr>
              <w:t>Scenariul cu Terminal</w:t>
            </w: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Cererea zilnică</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15</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74</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107</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150</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sz w:val="22"/>
                <w:szCs w:val="22"/>
                <w:lang w:val="ro-RO" w:eastAsia="en-GB"/>
              </w:rPr>
              <w:t>Procent capacitate (Curent)</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36%</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176%</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255%</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sz w:val="22"/>
                <w:szCs w:val="22"/>
                <w:lang w:val="ro-RO"/>
              </w:rPr>
              <w:t>357%</w:t>
            </w:r>
          </w:p>
        </w:tc>
      </w:tr>
      <w:tr w:rsidR="00BD59B2" w:rsidRPr="00E0488D" w:rsidTr="009972B3">
        <w:trPr>
          <w:trHeight w:val="99"/>
        </w:trPr>
        <w:tc>
          <w:tcPr>
            <w:tcW w:w="201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BD59B2" w:rsidRPr="00E0488D" w:rsidRDefault="00BD59B2" w:rsidP="009972B3">
            <w:pPr>
              <w:jc w:val="center"/>
              <w:rPr>
                <w:sz w:val="22"/>
                <w:szCs w:val="22"/>
                <w:lang w:val="ro-RO" w:eastAsia="en-GB"/>
              </w:rPr>
            </w:pPr>
          </w:p>
        </w:tc>
        <w:tc>
          <w:tcPr>
            <w:tcW w:w="22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eastAsia="en-GB"/>
              </w:rPr>
            </w:pPr>
            <w:r w:rsidRPr="00E0488D">
              <w:rPr>
                <w:i/>
                <w:iCs/>
                <w:sz w:val="22"/>
                <w:szCs w:val="22"/>
                <w:lang w:val="ro-RO" w:eastAsia="en-GB"/>
              </w:rPr>
              <w:t>Procent capacitate (cele mai bune practici)</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9%</w:t>
            </w:r>
          </w:p>
        </w:tc>
        <w:tc>
          <w:tcPr>
            <w:tcW w:w="128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44%</w:t>
            </w:r>
          </w:p>
        </w:tc>
        <w:tc>
          <w:tcPr>
            <w:tcW w:w="12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64%</w:t>
            </w:r>
          </w:p>
        </w:tc>
        <w:tc>
          <w:tcPr>
            <w:tcW w:w="13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8" w:type="dxa"/>
              <w:bottom w:w="0" w:type="dxa"/>
              <w:right w:w="98" w:type="dxa"/>
            </w:tcMar>
            <w:vAlign w:val="center"/>
            <w:hideMark/>
          </w:tcPr>
          <w:p w:rsidR="00BD59B2" w:rsidRPr="00E0488D" w:rsidRDefault="00BD59B2" w:rsidP="009972B3">
            <w:pPr>
              <w:jc w:val="center"/>
              <w:rPr>
                <w:sz w:val="22"/>
                <w:szCs w:val="22"/>
                <w:lang w:val="ro-RO"/>
              </w:rPr>
            </w:pPr>
            <w:r w:rsidRPr="00E0488D">
              <w:rPr>
                <w:i/>
                <w:iCs/>
                <w:sz w:val="22"/>
                <w:szCs w:val="22"/>
                <w:lang w:val="ro-RO"/>
              </w:rPr>
              <w:t>89%</w:t>
            </w:r>
          </w:p>
        </w:tc>
      </w:tr>
    </w:tbl>
    <w:p w:rsidR="00BD59B2" w:rsidRPr="00E0488D" w:rsidRDefault="00BD59B2" w:rsidP="00BD59B2">
      <w:pPr>
        <w:spacing w:before="120" w:after="120" w:line="276" w:lineRule="auto"/>
        <w:jc w:val="center"/>
        <w:rPr>
          <w:sz w:val="22"/>
          <w:szCs w:val="22"/>
          <w:lang w:val="ro-RO"/>
        </w:rPr>
      </w:pPr>
      <w:r w:rsidRPr="00E0488D">
        <w:rPr>
          <w:noProof/>
          <w:sz w:val="22"/>
          <w:szCs w:val="22"/>
          <w:lang w:val="ro-RO" w:eastAsia="ro-RO"/>
        </w:rPr>
        <w:drawing>
          <wp:inline distT="0" distB="0" distL="0" distR="0">
            <wp:extent cx="4924425" cy="3352800"/>
            <wp:effectExtent l="19050" t="0" r="9525" b="0"/>
            <wp:docPr id="66"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rsidR="00BD59B2" w:rsidRPr="00E0488D" w:rsidRDefault="00BD59B2" w:rsidP="00BD59B2">
      <w:pPr>
        <w:ind w:left="567"/>
        <w:rPr>
          <w:b/>
          <w:sz w:val="22"/>
          <w:szCs w:val="22"/>
          <w:lang w:val="ro-RO"/>
        </w:rPr>
      </w:pPr>
      <w:r w:rsidRPr="00E0488D">
        <w:rPr>
          <w:b/>
          <w:sz w:val="22"/>
          <w:szCs w:val="22"/>
          <w:lang w:val="ro-RO"/>
        </w:rPr>
        <w:t xml:space="preserve">Figura 8.26 Variația cererii între scenariul de implementare a tuturor terminalelor și scenariul de referință </w:t>
      </w:r>
    </w:p>
    <w:p w:rsidR="00BD59B2" w:rsidRPr="00E0488D" w:rsidRDefault="00BD59B2" w:rsidP="00BD59B2">
      <w:pPr>
        <w:rPr>
          <w:lang w:val="ro-RO"/>
        </w:rPr>
      </w:pPr>
    </w:p>
    <w:p w:rsidR="00BD59B2" w:rsidRPr="00E0488D" w:rsidRDefault="00BD59B2" w:rsidP="002B7E09">
      <w:pPr>
        <w:pStyle w:val="NumberedParas"/>
      </w:pPr>
      <w:r w:rsidRPr="00E0488D">
        <w:t>Opțiunea de construcție a unui terminal nou respectă metodologia și condiționalitățile din Master Plan, cu toate că beneficiile aduse de reabilitarea terminalui existent sunt superioare.</w:t>
      </w:r>
    </w:p>
    <w:p w:rsidR="00BD59B2" w:rsidRPr="00E0488D" w:rsidRDefault="00BD59B2" w:rsidP="00BD59B2">
      <w:pPr>
        <w:rPr>
          <w:lang w:val="ro-RO"/>
        </w:rPr>
      </w:pPr>
    </w:p>
    <w:p w:rsidR="00BD59B2" w:rsidRPr="00E0488D" w:rsidRDefault="00BD59B2" w:rsidP="00BD59B2">
      <w:pPr>
        <w:pStyle w:val="ListParagraph"/>
        <w:ind w:left="680"/>
        <w:rPr>
          <w:b/>
          <w:sz w:val="22"/>
          <w:szCs w:val="22"/>
          <w:lang w:val="ro-RO"/>
        </w:rPr>
      </w:pPr>
      <w:r w:rsidRPr="00E0488D">
        <w:rPr>
          <w:b/>
          <w:sz w:val="22"/>
          <w:szCs w:val="22"/>
          <w:lang w:val="ro-RO"/>
        </w:rPr>
        <w:t>Tabelul 8.28 Impactul economic al construcție terminalului</w:t>
      </w:r>
    </w:p>
    <w:tbl>
      <w:tblPr>
        <w:tblW w:w="4220" w:type="pct"/>
        <w:tblInd w:w="567" w:type="dxa"/>
        <w:tblCellMar>
          <w:left w:w="0" w:type="dxa"/>
          <w:right w:w="0" w:type="dxa"/>
        </w:tblCellMar>
        <w:tblLook w:val="04A0" w:firstRow="1" w:lastRow="0" w:firstColumn="1" w:lastColumn="0" w:noHBand="0" w:noVBand="1"/>
      </w:tblPr>
      <w:tblGrid>
        <w:gridCol w:w="4991"/>
        <w:gridCol w:w="1898"/>
        <w:gridCol w:w="1896"/>
      </w:tblGrid>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tcPr>
          <w:p w:rsidR="00BD59B2" w:rsidRPr="00E0488D" w:rsidRDefault="00BD59B2" w:rsidP="009972B3">
            <w:pPr>
              <w:rPr>
                <w:sz w:val="22"/>
                <w:szCs w:val="22"/>
                <w:lang w:val="ro-RO"/>
              </w:rPr>
            </w:pP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tcPr>
          <w:p w:rsidR="00BD59B2" w:rsidRPr="00E0488D" w:rsidRDefault="00BD59B2" w:rsidP="009972B3">
            <w:pPr>
              <w:jc w:val="center"/>
              <w:rPr>
                <w:b/>
                <w:sz w:val="22"/>
                <w:szCs w:val="22"/>
                <w:lang w:val="ro-RO"/>
              </w:rPr>
            </w:pPr>
            <w:r w:rsidRPr="00E0488D">
              <w:rPr>
                <w:b/>
                <w:sz w:val="22"/>
                <w:szCs w:val="22"/>
                <w:lang w:val="ro-RO"/>
              </w:rPr>
              <w:t>Modernizare</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b/>
                <w:sz w:val="22"/>
                <w:szCs w:val="22"/>
                <w:lang w:val="ro-RO"/>
              </w:rPr>
            </w:pPr>
            <w:r w:rsidRPr="00E0488D">
              <w:rPr>
                <w:b/>
                <w:sz w:val="22"/>
                <w:szCs w:val="22"/>
                <w:lang w:val="ro-RO"/>
              </w:rPr>
              <w:t>Terminal nou</w:t>
            </w:r>
          </w:p>
        </w:tc>
      </w:tr>
      <w:tr w:rsidR="00BD59B2" w:rsidRPr="00E0488D" w:rsidTr="009972B3">
        <w:trPr>
          <w:trHeight w:hRule="exact" w:val="397"/>
        </w:trPr>
        <w:tc>
          <w:tcPr>
            <w:tcW w:w="2841" w:type="pct"/>
            <w:tcBorders>
              <w:top w:val="single" w:sz="8" w:space="0" w:color="auto"/>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Cost de construcție (prețuri fixe 2014)</w:t>
            </w:r>
          </w:p>
        </w:tc>
        <w:tc>
          <w:tcPr>
            <w:tcW w:w="108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5.3</w:t>
            </w:r>
          </w:p>
        </w:tc>
        <w:tc>
          <w:tcPr>
            <w:tcW w:w="1079" w:type="pct"/>
            <w:tcBorders>
              <w:top w:val="single" w:sz="8" w:space="0" w:color="auto"/>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18.0</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Rata internă de rentabilitate economică RIRE</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14.3%</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6.4%</w:t>
            </w:r>
          </w:p>
        </w:tc>
      </w:tr>
      <w:tr w:rsidR="00BD59B2" w:rsidRPr="00E0488D" w:rsidTr="009972B3">
        <w:trPr>
          <w:trHeight w:hRule="exact" w:val="397"/>
        </w:trPr>
        <w:tc>
          <w:tcPr>
            <w:tcW w:w="2841" w:type="pct"/>
            <w:tcBorders>
              <w:top w:val="nil"/>
              <w:left w:val="single" w:sz="8" w:space="0" w:color="auto"/>
              <w:bottom w:val="single" w:sz="8" w:space="0" w:color="auto"/>
              <w:right w:val="nil"/>
            </w:tcBorders>
            <w:shd w:val="clear" w:color="auto" w:fill="FFFFFF"/>
            <w:noWrap/>
            <w:tcMar>
              <w:top w:w="0" w:type="dxa"/>
              <w:left w:w="108" w:type="dxa"/>
              <w:bottom w:w="0" w:type="dxa"/>
              <w:right w:w="108" w:type="dxa"/>
            </w:tcMar>
            <w:vAlign w:val="center"/>
            <w:hideMark/>
          </w:tcPr>
          <w:p w:rsidR="00BD59B2" w:rsidRPr="00E0488D" w:rsidRDefault="00BD59B2" w:rsidP="009972B3">
            <w:pPr>
              <w:rPr>
                <w:rFonts w:eastAsia="Calibri"/>
                <w:sz w:val="22"/>
                <w:szCs w:val="22"/>
                <w:lang w:val="ro-RO"/>
              </w:rPr>
            </w:pPr>
            <w:r w:rsidRPr="00E0488D">
              <w:rPr>
                <w:sz w:val="22"/>
                <w:szCs w:val="22"/>
                <w:lang w:val="ro-RO"/>
              </w:rPr>
              <w:t>Raportul Beneficii/Costuri</w:t>
            </w:r>
          </w:p>
        </w:tc>
        <w:tc>
          <w:tcPr>
            <w:tcW w:w="108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4.00</w:t>
            </w:r>
          </w:p>
        </w:tc>
        <w:tc>
          <w:tcPr>
            <w:tcW w:w="1079" w:type="pct"/>
            <w:tcBorders>
              <w:top w:val="nil"/>
              <w:left w:val="nil"/>
              <w:bottom w:val="single" w:sz="8" w:space="0" w:color="auto"/>
              <w:right w:val="single" w:sz="8" w:space="0" w:color="auto"/>
            </w:tcBorders>
            <w:vAlign w:val="center"/>
          </w:tcPr>
          <w:p w:rsidR="00BD59B2" w:rsidRPr="00E0488D" w:rsidRDefault="00BD59B2" w:rsidP="009972B3">
            <w:pPr>
              <w:jc w:val="center"/>
              <w:rPr>
                <w:rFonts w:eastAsia="Calibri"/>
                <w:sz w:val="22"/>
                <w:szCs w:val="22"/>
                <w:lang w:val="ro-RO" w:eastAsia="en-GB"/>
              </w:rPr>
            </w:pPr>
            <w:r w:rsidRPr="00E0488D">
              <w:rPr>
                <w:rFonts w:eastAsia="Calibri"/>
                <w:sz w:val="22"/>
                <w:szCs w:val="22"/>
                <w:lang w:val="ro-RO" w:eastAsia="en-GB"/>
              </w:rPr>
              <w:t>1.29</w:t>
            </w:r>
          </w:p>
        </w:tc>
      </w:tr>
    </w:tbl>
    <w:p w:rsidR="00BD59B2" w:rsidRPr="00E0488D" w:rsidRDefault="00BD59B2" w:rsidP="00BD59B2">
      <w:pPr>
        <w:pStyle w:val="Body"/>
        <w:ind w:left="0"/>
        <w:rPr>
          <w:b/>
          <w:lang w:val="ro-RO"/>
        </w:rPr>
      </w:pPr>
      <w:r w:rsidRPr="00E0488D">
        <w:rPr>
          <w:b/>
          <w:lang w:val="ro-RO"/>
        </w:rPr>
        <w:t>Implementare:</w:t>
      </w:r>
    </w:p>
    <w:p w:rsidR="00BD59B2" w:rsidRPr="00E0488D" w:rsidRDefault="00BD59B2" w:rsidP="002B7E09">
      <w:pPr>
        <w:pStyle w:val="NumberedParas"/>
      </w:pPr>
      <w:r w:rsidRPr="00E0488D">
        <w:rPr>
          <w:rStyle w:val="hps"/>
          <w:rFonts w:cs="Arial"/>
          <w:color w:val="000000" w:themeColor="text1"/>
        </w:rPr>
        <w:t>Această schemă</w:t>
      </w:r>
      <w:r w:rsidRPr="00E0488D">
        <w:t xml:space="preserve"> </w:t>
      </w:r>
      <w:r w:rsidRPr="00E0488D">
        <w:rPr>
          <w:rStyle w:val="hps"/>
          <w:rFonts w:cs="Arial"/>
          <w:color w:val="000000" w:themeColor="text1"/>
        </w:rPr>
        <w:t>va fi</w:t>
      </w:r>
      <w:r w:rsidRPr="00E0488D">
        <w:t xml:space="preserve"> </w:t>
      </w:r>
      <w:r w:rsidRPr="00E0488D">
        <w:rPr>
          <w:rStyle w:val="hps"/>
          <w:rFonts w:cs="Arial"/>
          <w:color w:val="000000" w:themeColor="text1"/>
        </w:rPr>
        <w:t>implementată</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CFR</w:t>
      </w:r>
      <w:r w:rsidRPr="00E0488D">
        <w:t xml:space="preserve"> </w:t>
      </w:r>
      <w:r w:rsidRPr="00E0488D">
        <w:rPr>
          <w:rStyle w:val="hps"/>
          <w:rFonts w:cs="Arial"/>
          <w:color w:val="000000" w:themeColor="text1"/>
        </w:rPr>
        <w:t>SA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împreună cu</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privat</w:t>
      </w:r>
      <w:r w:rsidRPr="00E0488D">
        <w:t xml:space="preserve">. </w:t>
      </w:r>
      <w:r w:rsidRPr="00E0488D">
        <w:rPr>
          <w:rStyle w:val="hps"/>
          <w:rFonts w:cs="Arial"/>
          <w:color w:val="000000" w:themeColor="text1"/>
        </w:rPr>
        <w:t>Dezvoltarea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este considerată</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fiind</w:t>
      </w:r>
      <w:r w:rsidRPr="00E0488D">
        <w:t xml:space="preserve"> </w:t>
      </w:r>
      <w:r w:rsidRPr="00E0488D">
        <w:rPr>
          <w:rStyle w:val="hps"/>
          <w:rFonts w:cs="Arial"/>
          <w:color w:val="000000" w:themeColor="text1"/>
        </w:rPr>
        <w:t>foarte</w:t>
      </w:r>
      <w:r w:rsidRPr="00E0488D">
        <w:t xml:space="preserve"> </w:t>
      </w:r>
      <w:r w:rsidRPr="00E0488D">
        <w:rPr>
          <w:rStyle w:val="hps"/>
          <w:rFonts w:cs="Arial"/>
          <w:color w:val="000000" w:themeColor="text1"/>
        </w:rPr>
        <w:t>importantă pentru dezvoltarea</w:t>
      </w:r>
      <w:r w:rsidRPr="00E0488D">
        <w:t xml:space="preserve"> </w:t>
      </w:r>
      <w:r w:rsidRPr="00E0488D">
        <w:rPr>
          <w:rStyle w:val="hps"/>
          <w:rFonts w:cs="Arial"/>
          <w:color w:val="000000" w:themeColor="text1"/>
        </w:rPr>
        <w:t>transportului feroviar de marfă</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întrucât acestea 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transportului feroviar să concureze</w:t>
      </w:r>
      <w:r w:rsidRPr="00E0488D">
        <w:t xml:space="preserve"> </w:t>
      </w:r>
      <w:r w:rsidRPr="00E0488D">
        <w:rPr>
          <w:rStyle w:val="hps"/>
          <w:rFonts w:cs="Arial"/>
          <w:color w:val="000000" w:themeColor="text1"/>
        </w:rPr>
        <w:t>într-un sector</w:t>
      </w:r>
      <w:r w:rsidRPr="00E0488D">
        <w:t xml:space="preserve"> </w:t>
      </w:r>
      <w:r w:rsidRPr="00E0488D">
        <w:rPr>
          <w:rStyle w:val="hps"/>
          <w:rFonts w:cs="Arial"/>
          <w:color w:val="000000" w:themeColor="text1"/>
        </w:rPr>
        <w:t>modern și</w:t>
      </w:r>
      <w:r w:rsidRPr="00E0488D">
        <w:t xml:space="preserve"> în </w:t>
      </w:r>
      <w:r w:rsidRPr="00E0488D">
        <w:rPr>
          <w:rStyle w:val="hps"/>
          <w:rFonts w:cs="Arial"/>
          <w:color w:val="000000" w:themeColor="text1"/>
        </w:rPr>
        <w:t xml:space="preserve"> creștere</w:t>
      </w:r>
      <w:r w:rsidRPr="00E0488D">
        <w:t xml:space="preserve">. Renovarea </w:t>
      </w:r>
      <w:r w:rsidRPr="00E0488D">
        <w:rPr>
          <w:rStyle w:val="hps"/>
          <w:rFonts w:cs="Arial"/>
          <w:color w:val="000000" w:themeColor="text1"/>
        </w:rPr>
        <w:t>Terminalului Bacău</w:t>
      </w:r>
      <w:r w:rsidRPr="00E0488D">
        <w:t xml:space="preserve">  </w:t>
      </w:r>
      <w:r w:rsidRPr="00E0488D">
        <w:rPr>
          <w:rStyle w:val="hps"/>
          <w:rFonts w:cs="Arial"/>
          <w:color w:val="000000" w:themeColor="text1"/>
        </w:rPr>
        <w:t>este programată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implementare în</w:t>
      </w:r>
      <w:r w:rsidRPr="00E0488D">
        <w:t xml:space="preserve"> </w:t>
      </w:r>
      <w:r w:rsidRPr="00E0488D">
        <w:rPr>
          <w:rStyle w:val="hps"/>
          <w:rFonts w:cs="Arial"/>
          <w:color w:val="000000" w:themeColor="text1"/>
        </w:rPr>
        <w:t>perioada</w:t>
      </w:r>
      <w:r w:rsidRPr="00E0488D">
        <w:t xml:space="preserve"> </w:t>
      </w:r>
      <w:r w:rsidRPr="00E0488D">
        <w:rPr>
          <w:rStyle w:val="hps"/>
          <w:rFonts w:cs="Arial"/>
          <w:color w:val="000000" w:themeColor="text1"/>
        </w:rPr>
        <w:t>2015 – 2020, astfel încât se poate asigura capacitatea până în momentul în care terminalul existent va ajunge la depășirea capacității</w:t>
      </w:r>
      <w:r w:rsidRPr="00E0488D">
        <w:t xml:space="preserve">. </w:t>
      </w:r>
    </w:p>
    <w:p w:rsidR="00BD59B2" w:rsidRPr="00E0488D" w:rsidRDefault="00BD59B2" w:rsidP="00BD59B2">
      <w:pPr>
        <w:rPr>
          <w:lang w:val="ro-RO"/>
        </w:rPr>
      </w:pPr>
      <w:r w:rsidRPr="00E0488D">
        <w:rPr>
          <w:lang w:val="ro-RO"/>
        </w:rPr>
        <w:br w:type="page"/>
      </w:r>
    </w:p>
    <w:p w:rsidR="00BD59B2" w:rsidRPr="00E0488D" w:rsidRDefault="00BD59B2" w:rsidP="00BD59B2">
      <w:pPr>
        <w:pStyle w:val="Hdg3"/>
      </w:pPr>
      <w:r w:rsidRPr="00E0488D">
        <w:t>Modernizări ale sectorului de transport feroviar de care va beneficia și transportul intermodal</w:t>
      </w:r>
    </w:p>
    <w:p w:rsidR="00BD59B2" w:rsidRPr="00E0488D" w:rsidRDefault="00BD59B2" w:rsidP="002B7E09">
      <w:pPr>
        <w:pStyle w:val="NumberedParas"/>
      </w:pPr>
      <w:r w:rsidRPr="00E0488D">
        <w:rPr>
          <w:rStyle w:val="hps"/>
          <w:rFonts w:cs="Arial"/>
          <w:color w:val="000000" w:themeColor="text1"/>
        </w:rPr>
        <w:t>Transportul de marfă</w:t>
      </w:r>
      <w:r w:rsidRPr="00E0488D">
        <w:t xml:space="preserve"> </w:t>
      </w:r>
      <w:r w:rsidRPr="00E0488D">
        <w:rPr>
          <w:rStyle w:val="hps"/>
          <w:rFonts w:cs="Arial"/>
          <w:color w:val="000000" w:themeColor="text1"/>
        </w:rPr>
        <w:t>va putea</w:t>
      </w:r>
      <w:r w:rsidRPr="00E0488D">
        <w:t xml:space="preserve"> </w:t>
      </w:r>
      <w:r w:rsidRPr="00E0488D">
        <w:rPr>
          <w:rStyle w:val="hps"/>
          <w:rFonts w:cs="Arial"/>
          <w:color w:val="000000" w:themeColor="text1"/>
        </w:rPr>
        <w:t>beneficia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îmbunătățirile</w:t>
      </w:r>
      <w:r w:rsidRPr="00E0488D">
        <w:t xml:space="preserve"> </w:t>
      </w:r>
      <w:r w:rsidRPr="00E0488D">
        <w:rPr>
          <w:rStyle w:val="hps"/>
          <w:rFonts w:cs="Arial"/>
          <w:color w:val="000000" w:themeColor="text1"/>
        </w:rPr>
        <w:t>aduse</w:t>
      </w:r>
      <w:r w:rsidRPr="00E0488D">
        <w:t xml:space="preserve"> </w:t>
      </w:r>
      <w:r w:rsidRPr="00E0488D">
        <w:rPr>
          <w:rStyle w:val="hps"/>
          <w:rFonts w:cs="Arial"/>
          <w:color w:val="000000" w:themeColor="text1"/>
        </w:rPr>
        <w:t>rețelei</w:t>
      </w:r>
      <w:r w:rsidRPr="00E0488D">
        <w:t xml:space="preserve"> </w:t>
      </w:r>
      <w:r w:rsidRPr="00E0488D">
        <w:rPr>
          <w:rStyle w:val="hps"/>
          <w:rFonts w:cs="Arial"/>
          <w:color w:val="000000" w:themeColor="text1"/>
        </w:rPr>
        <w:t>de transport călători</w:t>
      </w:r>
      <w:r w:rsidRPr="00E0488D">
        <w:t xml:space="preserve"> </w:t>
      </w:r>
      <w:r w:rsidRPr="00E0488D">
        <w:rPr>
          <w:rStyle w:val="hps"/>
          <w:rFonts w:cs="Arial"/>
          <w:color w:val="000000" w:themeColor="text1"/>
        </w:rPr>
        <w:t>pentru a deveni</w:t>
      </w:r>
      <w:r w:rsidRPr="00E0488D">
        <w:t xml:space="preserve"> </w:t>
      </w:r>
      <w:r w:rsidRPr="00E0488D">
        <w:rPr>
          <w:rStyle w:val="hps"/>
          <w:rFonts w:cs="Arial"/>
          <w:color w:val="000000" w:themeColor="text1"/>
        </w:rPr>
        <w:t>mai</w:t>
      </w:r>
      <w:r w:rsidRPr="00E0488D">
        <w:t xml:space="preserve"> </w:t>
      </w:r>
      <w:r w:rsidRPr="00E0488D">
        <w:rPr>
          <w:rStyle w:val="hps"/>
          <w:rFonts w:cs="Arial"/>
          <w:color w:val="000000" w:themeColor="text1"/>
        </w:rPr>
        <w:t>competitivă</w:t>
      </w:r>
      <w:r w:rsidRPr="00E0488D">
        <w:t xml:space="preserve"> cu transportul rutier </w:t>
      </w:r>
      <w:r w:rsidRPr="00E0488D">
        <w:rPr>
          <w:rStyle w:val="hps"/>
          <w:rFonts w:cs="Arial"/>
          <w:color w:val="000000" w:themeColor="text1"/>
        </w:rPr>
        <w:t>și</w:t>
      </w:r>
      <w:r w:rsidRPr="00E0488D">
        <w:t xml:space="preserve">, ca atare, </w:t>
      </w:r>
      <w:r w:rsidRPr="00E0488D">
        <w:rPr>
          <w:rStyle w:val="hps"/>
          <w:rFonts w:cs="Arial"/>
          <w:color w:val="000000" w:themeColor="text1"/>
        </w:rPr>
        <w:t>o mare parte din</w:t>
      </w:r>
      <w:r w:rsidRPr="00E0488D">
        <w:t xml:space="preserve"> </w:t>
      </w:r>
      <w:r w:rsidRPr="00E0488D">
        <w:rPr>
          <w:rStyle w:val="hps"/>
          <w:rFonts w:cs="Arial"/>
          <w:color w:val="000000" w:themeColor="text1"/>
        </w:rPr>
        <w:t>creșterea</w:t>
      </w:r>
      <w:r w:rsidRPr="00E0488D">
        <w:t xml:space="preserve"> </w:t>
      </w:r>
      <w:r w:rsidRPr="00E0488D">
        <w:rPr>
          <w:rStyle w:val="hps"/>
          <w:rFonts w:cs="Arial"/>
          <w:color w:val="000000" w:themeColor="text1"/>
        </w:rPr>
        <w:t>potențială</w:t>
      </w:r>
      <w:r w:rsidRPr="00E0488D">
        <w:t xml:space="preserve"> </w:t>
      </w:r>
      <w:r w:rsidRPr="00E0488D">
        <w:rPr>
          <w:rStyle w:val="hps"/>
          <w:rFonts w:cs="Arial"/>
          <w:color w:val="000000" w:themeColor="text1"/>
        </w:rPr>
        <w:t>depinde de</w:t>
      </w:r>
      <w:r w:rsidRPr="00E0488D">
        <w:t xml:space="preserve"> </w:t>
      </w:r>
      <w:r w:rsidRPr="00E0488D">
        <w:rPr>
          <w:rStyle w:val="hps"/>
          <w:rFonts w:cs="Arial"/>
          <w:color w:val="000000" w:themeColor="text1"/>
        </w:rPr>
        <w:t>reabilitarea rețelei</w:t>
      </w:r>
      <w:r w:rsidRPr="00E0488D">
        <w:t xml:space="preserve"> </w:t>
      </w:r>
      <w:r w:rsidRPr="00E0488D">
        <w:rPr>
          <w:rStyle w:val="hps"/>
          <w:rFonts w:cs="Arial"/>
          <w:color w:val="000000" w:themeColor="text1"/>
        </w:rPr>
        <w:t>și</w:t>
      </w:r>
      <w:r w:rsidRPr="00E0488D">
        <w:t xml:space="preserve"> îmbunătățirea </w:t>
      </w:r>
      <w:r w:rsidRPr="00E0488D">
        <w:rPr>
          <w:rStyle w:val="hps"/>
          <w:rFonts w:cs="Arial"/>
          <w:color w:val="000000" w:themeColor="text1"/>
        </w:rPr>
        <w:t>fiabilității</w:t>
      </w:r>
      <w:r w:rsidRPr="00E0488D">
        <w:t xml:space="preserve">, care este </w:t>
      </w:r>
      <w:r w:rsidRPr="00E0488D">
        <w:rPr>
          <w:rStyle w:val="hps"/>
          <w:rFonts w:cs="Arial"/>
          <w:color w:val="000000" w:themeColor="text1"/>
        </w:rPr>
        <w:t>prezentată</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secțiunea</w:t>
      </w:r>
      <w:r w:rsidRPr="00E0488D">
        <w:t xml:space="preserve"> </w:t>
      </w:r>
      <w:r w:rsidRPr="00E0488D">
        <w:rPr>
          <w:rStyle w:val="hps"/>
          <w:rFonts w:cs="Arial"/>
          <w:color w:val="000000" w:themeColor="text1"/>
        </w:rPr>
        <w:t>de transport călători</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reabilitarea</w:t>
      </w:r>
      <w:r w:rsidRPr="00E0488D">
        <w:t xml:space="preserve"> </w:t>
      </w:r>
      <w:r w:rsidRPr="00E0488D">
        <w:rPr>
          <w:rStyle w:val="hps"/>
          <w:rFonts w:cs="Arial"/>
          <w:color w:val="000000" w:themeColor="text1"/>
        </w:rPr>
        <w:t>unor coridoare</w:t>
      </w:r>
      <w:r w:rsidRPr="00E0488D">
        <w:t xml:space="preserve"> </w:t>
      </w:r>
      <w:r w:rsidRPr="00E0488D">
        <w:rPr>
          <w:rStyle w:val="hps"/>
          <w:rFonts w:cs="Arial"/>
          <w:color w:val="000000" w:themeColor="text1"/>
        </w:rPr>
        <w:t>cheie pentru</w:t>
      </w:r>
      <w:r w:rsidRPr="00E0488D">
        <w:t xml:space="preserve"> restabilirea completă a </w:t>
      </w:r>
      <w:r w:rsidRPr="00E0488D">
        <w:rPr>
          <w:rStyle w:val="hps"/>
          <w:rFonts w:cs="Arial"/>
          <w:color w:val="000000" w:themeColor="text1"/>
        </w:rPr>
        <w:t>vitezei</w:t>
      </w:r>
      <w:r w:rsidRPr="00E0488D">
        <w:t xml:space="preserve"> </w:t>
      </w:r>
      <w:r w:rsidRPr="00E0488D">
        <w:rPr>
          <w:rStyle w:val="hps"/>
          <w:rFonts w:cs="Arial"/>
          <w:color w:val="000000" w:themeColor="text1"/>
        </w:rPr>
        <w:t>de proiectare</w:t>
      </w:r>
      <w:r w:rsidRPr="00E0488D">
        <w:t xml:space="preserve"> </w:t>
      </w:r>
      <w:r w:rsidRPr="00E0488D">
        <w:rPr>
          <w:rStyle w:val="hps"/>
          <w:rFonts w:cs="Arial"/>
          <w:color w:val="000000" w:themeColor="text1"/>
        </w:rPr>
        <w:t>și</w:t>
      </w:r>
      <w:r w:rsidRPr="00E0488D">
        <w:t xml:space="preserve"> a </w:t>
      </w:r>
      <w:r w:rsidRPr="00E0488D">
        <w:rPr>
          <w:rStyle w:val="hps"/>
          <w:rFonts w:cs="Arial"/>
          <w:color w:val="000000" w:themeColor="text1"/>
        </w:rPr>
        <w:t>capacității</w:t>
      </w:r>
      <w:r w:rsidRPr="00E0488D">
        <w:t xml:space="preserve"> </w:t>
      </w:r>
      <w:r w:rsidRPr="00E0488D">
        <w:rPr>
          <w:rStyle w:val="hps"/>
          <w:rFonts w:cs="Arial"/>
          <w:color w:val="000000" w:themeColor="text1"/>
        </w:rPr>
        <w:t>va duce la eliminarea</w:t>
      </w:r>
      <w:r w:rsidRPr="00E0488D">
        <w:t xml:space="preserve"> </w:t>
      </w:r>
      <w:r w:rsidRPr="00E0488D">
        <w:rPr>
          <w:rStyle w:val="hps"/>
          <w:rFonts w:cs="Arial"/>
          <w:color w:val="000000" w:themeColor="text1"/>
        </w:rPr>
        <w:t>restricțiilor de viteză</w:t>
      </w:r>
      <w:r w:rsidRPr="00E0488D">
        <w:t xml:space="preserve">, </w:t>
      </w:r>
      <w:r w:rsidRPr="00E0488D">
        <w:rPr>
          <w:rStyle w:val="hps"/>
          <w:rFonts w:cs="Arial"/>
          <w:color w:val="000000" w:themeColor="text1"/>
        </w:rPr>
        <w:t>reducând</w:t>
      </w:r>
      <w:r w:rsidRPr="00E0488D">
        <w:t xml:space="preserve"> astfel </w:t>
      </w:r>
      <w:r w:rsidRPr="00E0488D">
        <w:rPr>
          <w:rStyle w:val="hps"/>
          <w:rFonts w:cs="Arial"/>
          <w:color w:val="000000" w:themeColor="text1"/>
        </w:rPr>
        <w:t>timpul de călătorie</w:t>
      </w:r>
      <w:r w:rsidRPr="00E0488D">
        <w:t xml:space="preserve"> </w:t>
      </w:r>
      <w:r w:rsidRPr="00E0488D">
        <w:rPr>
          <w:rStyle w:val="hps"/>
          <w:rFonts w:cs="Arial"/>
          <w:color w:val="000000" w:themeColor="text1"/>
        </w:rPr>
        <w:t>și îmbunătățind fiabilitatea, în același timp</w:t>
      </w:r>
      <w:r w:rsidRPr="00E0488D">
        <w:t>. E</w:t>
      </w:r>
      <w:r w:rsidRPr="00E0488D">
        <w:rPr>
          <w:rStyle w:val="hps"/>
          <w:rFonts w:cs="Arial"/>
          <w:color w:val="000000" w:themeColor="text1"/>
        </w:rPr>
        <w:t>ste în special cazul</w:t>
      </w:r>
      <w:r w:rsidRPr="00E0488D">
        <w:t xml:space="preserve"> </w:t>
      </w:r>
      <w:r w:rsidRPr="00E0488D">
        <w:rPr>
          <w:rStyle w:val="hps"/>
          <w:rFonts w:cs="Arial"/>
          <w:color w:val="000000" w:themeColor="text1"/>
        </w:rPr>
        <w:t>limitei actuale</w:t>
      </w:r>
      <w:r w:rsidRPr="00E0488D">
        <w:t xml:space="preserve"> </w:t>
      </w:r>
      <w:r w:rsidRPr="00E0488D">
        <w:rPr>
          <w:rStyle w:val="hps"/>
          <w:rFonts w:cs="Arial"/>
          <w:color w:val="000000" w:themeColor="text1"/>
        </w:rPr>
        <w:t>de viteză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toate</w:t>
      </w:r>
      <w:r w:rsidRPr="00E0488D">
        <w:t xml:space="preserve"> </w:t>
      </w:r>
      <w:r w:rsidRPr="00E0488D">
        <w:rPr>
          <w:rStyle w:val="hps"/>
          <w:rFonts w:cs="Arial"/>
          <w:color w:val="000000" w:themeColor="text1"/>
        </w:rPr>
        <w:t>trenurile de marfă</w:t>
      </w:r>
      <w:r w:rsidRPr="00E0488D">
        <w:t xml:space="preserve"> care trebuie să opereze la o viteză maximă de </w:t>
      </w:r>
      <w:r w:rsidRPr="00E0488D">
        <w:rPr>
          <w:rStyle w:val="hps"/>
          <w:rFonts w:cs="Arial"/>
          <w:color w:val="000000" w:themeColor="text1"/>
        </w:rPr>
        <w:t>80 kilometri pe oră</w:t>
      </w:r>
      <w:r w:rsidRPr="00E0488D">
        <w:t xml:space="preserve">. </w:t>
      </w:r>
      <w:r w:rsidRPr="00E0488D">
        <w:rPr>
          <w:rStyle w:val="hps"/>
          <w:rFonts w:cs="Arial"/>
          <w:color w:val="000000" w:themeColor="text1"/>
        </w:rPr>
        <w:t>Nu s-a observat</w:t>
      </w:r>
      <w:r w:rsidRPr="00E0488D">
        <w:t xml:space="preserve"> </w:t>
      </w:r>
      <w:r w:rsidRPr="00E0488D">
        <w:rPr>
          <w:rStyle w:val="hps"/>
          <w:rFonts w:cs="Arial"/>
          <w:color w:val="000000" w:themeColor="text1"/>
        </w:rPr>
        <w:t>nici o</w:t>
      </w:r>
      <w:r w:rsidRPr="00E0488D">
        <w:t xml:space="preserve"> </w:t>
      </w:r>
      <w:r w:rsidRPr="00E0488D">
        <w:rPr>
          <w:rStyle w:val="hps"/>
          <w:rFonts w:cs="Arial"/>
          <w:color w:val="000000" w:themeColor="text1"/>
        </w:rPr>
        <w:t>dovadă</w:t>
      </w:r>
      <w:r w:rsidRPr="00E0488D">
        <w:t xml:space="preserve"> </w:t>
      </w:r>
      <w:r w:rsidRPr="00E0488D">
        <w:rPr>
          <w:rStyle w:val="hps"/>
          <w:rFonts w:cs="Arial"/>
          <w:color w:val="000000" w:themeColor="text1"/>
        </w:rPr>
        <w:t>justificatoare care să explice de ce</w:t>
      </w:r>
      <w:r w:rsidRPr="00E0488D">
        <w:t xml:space="preserve"> </w:t>
      </w:r>
      <w:r w:rsidRPr="00E0488D">
        <w:rPr>
          <w:rStyle w:val="hps"/>
          <w:rFonts w:cs="Arial"/>
          <w:color w:val="000000" w:themeColor="text1"/>
        </w:rPr>
        <w:t>limita de viteză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anumite</w:t>
      </w:r>
      <w:r w:rsidRPr="00E0488D">
        <w:t xml:space="preserve"> </w:t>
      </w:r>
      <w:r w:rsidRPr="00E0488D">
        <w:rPr>
          <w:rStyle w:val="hps"/>
          <w:rFonts w:cs="Arial"/>
          <w:color w:val="000000" w:themeColor="text1"/>
        </w:rPr>
        <w:t>trenuri de</w:t>
      </w:r>
      <w:r w:rsidRPr="00E0488D">
        <w:t xml:space="preserve"> </w:t>
      </w:r>
      <w:r w:rsidRPr="00E0488D">
        <w:rPr>
          <w:rStyle w:val="hps"/>
          <w:rFonts w:cs="Arial"/>
          <w:color w:val="000000" w:themeColor="text1"/>
        </w:rPr>
        <w:t>marfă</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ar putea fi ridicată</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120 de</w:t>
      </w:r>
      <w:r w:rsidRPr="00E0488D">
        <w:t xml:space="preserve"> </w:t>
      </w:r>
      <w:r w:rsidRPr="00E0488D">
        <w:rPr>
          <w:rStyle w:val="hps"/>
          <w:rFonts w:cs="Arial"/>
          <w:color w:val="000000" w:themeColor="text1"/>
        </w:rPr>
        <w:t>kilometri pe oră</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traseele</w:t>
      </w:r>
      <w:r w:rsidRPr="00E0488D">
        <w:t xml:space="preserve"> </w:t>
      </w:r>
      <w:r w:rsidRPr="00E0488D">
        <w:rPr>
          <w:rStyle w:val="hps"/>
          <w:rFonts w:cs="Arial"/>
          <w:color w:val="000000" w:themeColor="text1"/>
        </w:rPr>
        <w:t>reabilitate</w:t>
      </w:r>
      <w:r w:rsidRPr="00E0488D">
        <w:t xml:space="preserve">, </w:t>
      </w:r>
      <w:r w:rsidRPr="00E0488D">
        <w:rPr>
          <w:rStyle w:val="hps"/>
          <w:rFonts w:cs="Arial"/>
          <w:color w:val="000000" w:themeColor="text1"/>
        </w:rPr>
        <w:t>unde</w:t>
      </w:r>
      <w:r w:rsidRPr="00E0488D">
        <w:t xml:space="preserve"> </w:t>
      </w:r>
      <w:r w:rsidRPr="00E0488D">
        <w:rPr>
          <w:rStyle w:val="hps"/>
          <w:rFonts w:cs="Arial"/>
          <w:color w:val="000000" w:themeColor="text1"/>
        </w:rPr>
        <w:t>viteza de</w:t>
      </w:r>
      <w:r w:rsidRPr="00E0488D">
        <w:t xml:space="preserve"> </w:t>
      </w:r>
      <w:r w:rsidRPr="00E0488D">
        <w:rPr>
          <w:rStyle w:val="hps"/>
          <w:rFonts w:cs="Arial"/>
          <w:color w:val="000000" w:themeColor="text1"/>
        </w:rPr>
        <w:t>linie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relieful</w:t>
      </w:r>
      <w:r w:rsidRPr="00E0488D">
        <w:t xml:space="preserve"> </w:t>
      </w:r>
      <w:r w:rsidRPr="00E0488D">
        <w:rPr>
          <w:rStyle w:val="hps"/>
          <w:rFonts w:cs="Arial"/>
          <w:color w:val="000000" w:themeColor="text1"/>
        </w:rPr>
        <w:t>permit acest lucru</w:t>
      </w:r>
      <w:r w:rsidRPr="00E0488D">
        <w:t>.</w:t>
      </w:r>
    </w:p>
    <w:p w:rsidR="00BD59B2" w:rsidRPr="00E0488D" w:rsidRDefault="00BD59B2" w:rsidP="002B7E09">
      <w:pPr>
        <w:pStyle w:val="NumberedParas"/>
      </w:pPr>
      <w:r w:rsidRPr="00E0488D">
        <w:rPr>
          <w:rStyle w:val="hps"/>
          <w:rFonts w:cs="Arial"/>
          <w:color w:val="000000" w:themeColor="text1"/>
        </w:rPr>
        <w:t>Timpii de călătorie</w:t>
      </w:r>
      <w:r w:rsidRPr="00E0488D">
        <w:t xml:space="preserve"> </w:t>
      </w:r>
      <w:r w:rsidRPr="00E0488D">
        <w:rPr>
          <w:rStyle w:val="hps"/>
          <w:rFonts w:cs="Arial"/>
          <w:color w:val="000000" w:themeColor="text1"/>
        </w:rPr>
        <w:t>vor beneficia</w:t>
      </w:r>
      <w:r w:rsidRPr="00E0488D">
        <w:t xml:space="preserve">, de asemenea, </w:t>
      </w:r>
      <w:r w:rsidRPr="00E0488D">
        <w:rPr>
          <w:rStyle w:val="hps"/>
          <w:rFonts w:cs="Arial"/>
          <w:color w:val="000000" w:themeColor="text1"/>
        </w:rPr>
        <w:t>din</w:t>
      </w:r>
      <w:r w:rsidRPr="00E0488D">
        <w:t xml:space="preserve"> </w:t>
      </w:r>
      <w:r w:rsidRPr="00E0488D">
        <w:rPr>
          <w:rStyle w:val="hps"/>
          <w:rFonts w:cs="Arial"/>
          <w:color w:val="000000" w:themeColor="text1"/>
        </w:rPr>
        <w:t>crearea unui</w:t>
      </w:r>
      <w:r w:rsidRPr="00E0488D">
        <w:t xml:space="preserve"> </w:t>
      </w:r>
      <w:r w:rsidRPr="00E0488D">
        <w:rPr>
          <w:rStyle w:val="hps"/>
          <w:rFonts w:cs="Arial"/>
          <w:color w:val="000000" w:themeColor="text1"/>
        </w:rPr>
        <w:t>sistem solid de</w:t>
      </w:r>
      <w:r w:rsidRPr="00E0488D">
        <w:t xml:space="preserve"> </w:t>
      </w:r>
      <w:r w:rsidRPr="00E0488D">
        <w:rPr>
          <w:rStyle w:val="hps"/>
          <w:rFonts w:cs="Arial"/>
          <w:color w:val="000000" w:themeColor="text1"/>
        </w:rPr>
        <w:t>responsabilitate a</w:t>
      </w:r>
      <w:r w:rsidRPr="00E0488D">
        <w:t xml:space="preserve"> </w:t>
      </w:r>
      <w:r w:rsidRPr="00E0488D">
        <w:rPr>
          <w:rStyle w:val="hps"/>
          <w:rFonts w:cs="Arial"/>
          <w:color w:val="000000" w:themeColor="text1"/>
        </w:rPr>
        <w:t>performanței pentru a încuraja</w:t>
      </w:r>
      <w:r w:rsidRPr="00E0488D">
        <w:t xml:space="preserve"> </w:t>
      </w:r>
      <w:r w:rsidRPr="00E0488D">
        <w:rPr>
          <w:rStyle w:val="hps"/>
          <w:rFonts w:cs="Arial"/>
          <w:color w:val="000000" w:themeColor="text1"/>
        </w:rPr>
        <w:t>graficele de mers</w:t>
      </w:r>
      <w:r w:rsidRPr="00E0488D">
        <w:t xml:space="preserve"> </w:t>
      </w:r>
      <w:r w:rsidRPr="00E0488D">
        <w:rPr>
          <w:rStyle w:val="hps"/>
          <w:rFonts w:cs="Arial"/>
          <w:color w:val="000000" w:themeColor="text1"/>
        </w:rPr>
        <w:t>eficiente și compatibile, dar</w:t>
      </w:r>
      <w:r w:rsidRPr="00E0488D">
        <w:t xml:space="preserve"> </w:t>
      </w:r>
      <w:r w:rsidRPr="00E0488D">
        <w:rPr>
          <w:rStyle w:val="hps"/>
          <w:rFonts w:cs="Arial"/>
          <w:color w:val="000000" w:themeColor="text1"/>
        </w:rPr>
        <w:t>și din utilizarea</w:t>
      </w:r>
      <w:r w:rsidRPr="00E0488D">
        <w:t xml:space="preserve"> </w:t>
      </w:r>
      <w:r w:rsidRPr="00E0488D">
        <w:rPr>
          <w:rStyle w:val="hps"/>
          <w:rFonts w:cs="Arial"/>
          <w:color w:val="000000" w:themeColor="text1"/>
        </w:rPr>
        <w:t>printr-</w:t>
      </w:r>
      <w:r w:rsidRPr="00E0488D">
        <w:t xml:space="preserve">un </w:t>
      </w:r>
      <w:r w:rsidRPr="00E0488D">
        <w:rPr>
          <w:rStyle w:val="hps"/>
          <w:rFonts w:cs="Arial"/>
          <w:color w:val="000000" w:themeColor="text1"/>
        </w:rPr>
        <w:t>regim</w:t>
      </w:r>
      <w:r w:rsidRPr="00E0488D">
        <w:t xml:space="preserve"> </w:t>
      </w:r>
      <w:r w:rsidRPr="00E0488D">
        <w:rPr>
          <w:rStyle w:val="hps"/>
          <w:rFonts w:cs="Arial"/>
          <w:color w:val="000000" w:themeColor="text1"/>
        </w:rPr>
        <w:t>de compensare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întârzierilor</w:t>
      </w:r>
      <w:r w:rsidRPr="00E0488D">
        <w:t xml:space="preserve">. </w:t>
      </w:r>
      <w:r w:rsidRPr="00E0488D">
        <w:rPr>
          <w:rStyle w:val="hps"/>
          <w:rFonts w:cs="Arial"/>
          <w:color w:val="000000" w:themeColor="text1"/>
        </w:rPr>
        <w:t>În mod similar</w:t>
      </w:r>
      <w:r w:rsidRPr="00E0488D">
        <w:t xml:space="preserve">, </w:t>
      </w:r>
      <w:r w:rsidRPr="00E0488D">
        <w:rPr>
          <w:rStyle w:val="hps"/>
          <w:rFonts w:cs="Arial"/>
          <w:color w:val="000000" w:themeColor="text1"/>
        </w:rPr>
        <w:t>îmbunătățirile aduse</w:t>
      </w:r>
      <w:r w:rsidRPr="00E0488D">
        <w:t xml:space="preserve"> </w:t>
      </w:r>
      <w:r w:rsidRPr="00E0488D">
        <w:rPr>
          <w:rStyle w:val="hps"/>
          <w:rFonts w:cs="Arial"/>
          <w:color w:val="000000" w:themeColor="text1"/>
        </w:rPr>
        <w:t>procedurile de manevrare a trenurilor</w:t>
      </w:r>
      <w:r w:rsidRPr="00E0488D">
        <w:t xml:space="preserve"> </w:t>
      </w:r>
      <w:r w:rsidRPr="00E0488D">
        <w:rPr>
          <w:rStyle w:val="hps"/>
          <w:rFonts w:cs="Arial"/>
          <w:color w:val="000000" w:themeColor="text1"/>
        </w:rPr>
        <w:t>și sistemelor administrative</w:t>
      </w:r>
      <w:r w:rsidRPr="00E0488D">
        <w:t xml:space="preserve"> </w:t>
      </w:r>
      <w:r w:rsidRPr="00E0488D">
        <w:rPr>
          <w:rStyle w:val="hps"/>
          <w:rFonts w:cs="Arial"/>
          <w:color w:val="000000" w:themeColor="text1"/>
        </w:rPr>
        <w:t>la frontiere</w:t>
      </w:r>
      <w:r w:rsidRPr="00E0488D">
        <w:t xml:space="preserve"> </w:t>
      </w:r>
      <w:r w:rsidRPr="00E0488D">
        <w:rPr>
          <w:rStyle w:val="hps"/>
          <w:rFonts w:cs="Arial"/>
          <w:color w:val="000000" w:themeColor="text1"/>
        </w:rPr>
        <w:t>vor fi de folos</w:t>
      </w:r>
      <w:r w:rsidRPr="00E0488D">
        <w:t xml:space="preserve">, de asemenea, </w:t>
      </w:r>
      <w:r w:rsidRPr="00E0488D">
        <w:rPr>
          <w:rStyle w:val="hps"/>
          <w:rFonts w:cs="Arial"/>
          <w:color w:val="000000" w:themeColor="text1"/>
        </w:rPr>
        <w:t>fluxurilor internaționale</w:t>
      </w:r>
      <w:r w:rsidRPr="00E0488D">
        <w:t xml:space="preserve"> </w:t>
      </w:r>
      <w:r w:rsidRPr="00E0488D">
        <w:rPr>
          <w:rStyle w:val="hps"/>
          <w:rFonts w:cs="Arial"/>
          <w:color w:val="000000" w:themeColor="text1"/>
        </w:rPr>
        <w:t>de mărfuri</w:t>
      </w:r>
      <w:r w:rsidRPr="00E0488D">
        <w:t xml:space="preserve">. Există dovezi care </w:t>
      </w:r>
      <w:r w:rsidRPr="00E0488D">
        <w:rPr>
          <w:rStyle w:val="hps"/>
          <w:rFonts w:cs="Arial"/>
          <w:color w:val="000000" w:themeColor="text1"/>
        </w:rPr>
        <w:t>sugerează</w:t>
      </w:r>
      <w:r w:rsidRPr="00E0488D">
        <w:t xml:space="preserve"> </w:t>
      </w:r>
      <w:r w:rsidRPr="00E0488D">
        <w:rPr>
          <w:rStyle w:val="hps"/>
          <w:rFonts w:cs="Arial"/>
          <w:color w:val="000000" w:themeColor="text1"/>
        </w:rPr>
        <w:t>că</w:t>
      </w:r>
      <w:r w:rsidRPr="00E0488D">
        <w:t xml:space="preserve"> </w:t>
      </w:r>
      <w:r w:rsidRPr="00E0488D">
        <w:rPr>
          <w:rStyle w:val="hps"/>
          <w:rFonts w:cs="Arial"/>
          <w:color w:val="000000" w:themeColor="text1"/>
        </w:rPr>
        <w:t>operatorii privați</w:t>
      </w:r>
      <w:r w:rsidRPr="00E0488D">
        <w:t xml:space="preserve"> </w:t>
      </w:r>
      <w:r w:rsidRPr="00E0488D">
        <w:rPr>
          <w:rStyle w:val="hps"/>
          <w:rFonts w:cs="Arial"/>
          <w:color w:val="000000" w:themeColor="text1"/>
        </w:rPr>
        <w:t>pot rezolva procedurile</w:t>
      </w:r>
      <w:r w:rsidRPr="00E0488D">
        <w:t xml:space="preserve"> </w:t>
      </w:r>
      <w:r w:rsidRPr="00E0488D">
        <w:rPr>
          <w:rStyle w:val="hps"/>
          <w:rFonts w:cs="Arial"/>
          <w:color w:val="000000" w:themeColor="text1"/>
        </w:rPr>
        <w:t>de trecere a frontierei</w:t>
      </w:r>
      <w:r w:rsidRPr="00E0488D">
        <w:t xml:space="preserve">, în </w:t>
      </w:r>
      <w:r w:rsidRPr="00E0488D">
        <w:rPr>
          <w:rStyle w:val="hps"/>
          <w:rFonts w:cs="Arial"/>
          <w:color w:val="000000" w:themeColor="text1"/>
        </w:rPr>
        <w:t>mai puțin de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oră</w:t>
      </w:r>
      <w:r w:rsidRPr="00E0488D">
        <w:t xml:space="preserve">, </w:t>
      </w:r>
      <w:r w:rsidRPr="00E0488D">
        <w:rPr>
          <w:rStyle w:val="hps"/>
          <w:rFonts w:cs="Arial"/>
          <w:color w:val="000000" w:themeColor="text1"/>
        </w:rPr>
        <w:t>în timp ce</w:t>
      </w:r>
      <w:r w:rsidRPr="00E0488D">
        <w:t xml:space="preserve"> </w:t>
      </w:r>
      <w:r w:rsidRPr="00E0488D">
        <w:rPr>
          <w:rStyle w:val="hps"/>
          <w:rFonts w:cs="Arial"/>
          <w:color w:val="000000" w:themeColor="text1"/>
        </w:rPr>
        <w:t>trenurile</w:t>
      </w:r>
      <w:r w:rsidRPr="00E0488D">
        <w:t xml:space="preserve"> </w:t>
      </w:r>
      <w:r w:rsidRPr="00E0488D">
        <w:rPr>
          <w:rStyle w:val="hps"/>
          <w:rFonts w:cs="Arial"/>
          <w:color w:val="000000" w:themeColor="text1"/>
        </w:rPr>
        <w:t>conduse</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operatorul de stat</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necesită de obicei</w:t>
      </w:r>
      <w:r w:rsidRPr="00E0488D">
        <w:t xml:space="preserve"> </w:t>
      </w:r>
      <w:r w:rsidRPr="00E0488D">
        <w:rPr>
          <w:rStyle w:val="hps"/>
          <w:rFonts w:cs="Arial"/>
          <w:color w:val="000000" w:themeColor="text1"/>
        </w:rPr>
        <w:t>mai</w:t>
      </w:r>
      <w:r w:rsidRPr="00E0488D">
        <w:t xml:space="preserve"> </w:t>
      </w:r>
      <w:r w:rsidRPr="00E0488D">
        <w:rPr>
          <w:rStyle w:val="hps"/>
          <w:rFonts w:cs="Arial"/>
          <w:color w:val="000000" w:themeColor="text1"/>
        </w:rPr>
        <w:t>mult de două ore</w:t>
      </w:r>
      <w:r w:rsidRPr="00E0488D">
        <w:t xml:space="preserve"> </w:t>
      </w:r>
      <w:r w:rsidRPr="00E0488D">
        <w:rPr>
          <w:rStyle w:val="hps"/>
          <w:rFonts w:cs="Arial"/>
          <w:color w:val="000000" w:themeColor="text1"/>
        </w:rPr>
        <w:t>pentru a obține</w:t>
      </w:r>
      <w:r w:rsidRPr="00E0488D">
        <w:t xml:space="preserve"> </w:t>
      </w:r>
      <w:r w:rsidRPr="00E0488D">
        <w:rPr>
          <w:rStyle w:val="hps"/>
          <w:rFonts w:cs="Arial"/>
          <w:color w:val="000000" w:themeColor="text1"/>
        </w:rPr>
        <w:t>autorizațiile necesare</w:t>
      </w:r>
      <w:r w:rsidRPr="00E0488D">
        <w:t xml:space="preserve">. </w:t>
      </w:r>
      <w:r w:rsidRPr="00E0488D">
        <w:rPr>
          <w:rStyle w:val="hps"/>
          <w:rFonts w:cs="Arial"/>
          <w:color w:val="000000" w:themeColor="text1"/>
        </w:rPr>
        <w:t>În mod evident</w:t>
      </w:r>
      <w:r w:rsidRPr="00E0488D">
        <w:t xml:space="preserve">, </w:t>
      </w:r>
      <w:r w:rsidRPr="00E0488D">
        <w:rPr>
          <w:rStyle w:val="hps"/>
          <w:rFonts w:cs="Arial"/>
          <w:color w:val="000000" w:themeColor="text1"/>
        </w:rPr>
        <w:t>reducerea duratei</w:t>
      </w:r>
      <w:r w:rsidRPr="00E0488D">
        <w:t xml:space="preserve"> </w:t>
      </w:r>
      <w:r w:rsidRPr="00E0488D">
        <w:rPr>
          <w:rStyle w:val="hps"/>
          <w:rFonts w:cs="Arial"/>
          <w:color w:val="000000" w:themeColor="text1"/>
        </w:rPr>
        <w:t>procedurilor administrative</w:t>
      </w:r>
      <w:r w:rsidRPr="00E0488D">
        <w:t xml:space="preserve"> </w:t>
      </w:r>
      <w:r w:rsidRPr="00E0488D">
        <w:rPr>
          <w:rStyle w:val="hps"/>
          <w:rFonts w:cs="Arial"/>
          <w:color w:val="000000" w:themeColor="text1"/>
        </w:rPr>
        <w:t>îmbunătățește</w:t>
      </w:r>
      <w:r w:rsidRPr="00E0488D">
        <w:t xml:space="preserve"> gradul de </w:t>
      </w:r>
      <w:r w:rsidRPr="00E0488D">
        <w:rPr>
          <w:rStyle w:val="hps"/>
          <w:rFonts w:cs="Arial"/>
          <w:color w:val="000000" w:themeColor="text1"/>
        </w:rPr>
        <w:t>utilizare a</w:t>
      </w:r>
      <w:r w:rsidRPr="00E0488D">
        <w:t xml:space="preserve"> </w:t>
      </w:r>
      <w:r w:rsidRPr="00E0488D">
        <w:rPr>
          <w:rStyle w:val="hps"/>
          <w:rFonts w:cs="Arial"/>
          <w:color w:val="000000" w:themeColor="text1"/>
        </w:rPr>
        <w:t>liniei</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reduce nevoia de</w:t>
      </w:r>
      <w:r w:rsidRPr="00E0488D">
        <w:t xml:space="preserve"> </w:t>
      </w:r>
      <w:r w:rsidRPr="00E0488D">
        <w:rPr>
          <w:rStyle w:val="hps"/>
          <w:rFonts w:cs="Arial"/>
          <w:color w:val="000000" w:themeColor="text1"/>
        </w:rPr>
        <w:t>zone suplimentare de garare a trenurilor</w:t>
      </w:r>
      <w:r w:rsidRPr="00E0488D">
        <w:t>.</w:t>
      </w:r>
    </w:p>
    <w:p w:rsidR="00BD59B2" w:rsidRPr="00E0488D" w:rsidRDefault="00BD59B2" w:rsidP="002B7E09">
      <w:pPr>
        <w:pStyle w:val="NumberedParas"/>
      </w:pPr>
      <w:r w:rsidRPr="00E0488D">
        <w:rPr>
          <w:rStyle w:val="hps"/>
          <w:rFonts w:cs="Arial"/>
          <w:color w:val="000000" w:themeColor="text1"/>
        </w:rPr>
        <w:t>Există</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serie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intervenții</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va aduce</w:t>
      </w:r>
      <w:r w:rsidRPr="00E0488D">
        <w:t xml:space="preserve"> </w:t>
      </w:r>
      <w:r w:rsidRPr="00E0488D">
        <w:rPr>
          <w:rStyle w:val="hps"/>
          <w:rFonts w:cs="Arial"/>
          <w:color w:val="000000" w:themeColor="text1"/>
        </w:rPr>
        <w:t>României</w:t>
      </w:r>
      <w:r w:rsidRPr="00E0488D">
        <w:t xml:space="preserve"> </w:t>
      </w:r>
      <w:r w:rsidRPr="00E0488D">
        <w:rPr>
          <w:rStyle w:val="hps"/>
          <w:rFonts w:cs="Arial"/>
          <w:color w:val="000000" w:themeColor="text1"/>
        </w:rPr>
        <w:t>îmbunătățiri semnificative</w:t>
      </w:r>
      <w:r w:rsidRPr="00E0488D">
        <w:t xml:space="preserve"> privind </w:t>
      </w:r>
      <w:r w:rsidRPr="00E0488D">
        <w:rPr>
          <w:rStyle w:val="hps"/>
          <w:rFonts w:cs="Arial"/>
          <w:color w:val="000000" w:themeColor="text1"/>
        </w:rPr>
        <w:t>potențialului său</w:t>
      </w:r>
      <w:r w:rsidRPr="00E0488D">
        <w:t xml:space="preserve"> de transport </w:t>
      </w:r>
      <w:r w:rsidRPr="00E0488D">
        <w:rPr>
          <w:rStyle w:val="hps"/>
          <w:rFonts w:cs="Arial"/>
          <w:color w:val="000000" w:themeColor="text1"/>
        </w:rPr>
        <w:t>feroviar de marfă și</w:t>
      </w:r>
      <w:r w:rsidRPr="00E0488D">
        <w:t xml:space="preserve"> a</w:t>
      </w:r>
      <w:r w:rsidRPr="00E0488D">
        <w:rPr>
          <w:rStyle w:val="hps"/>
          <w:rFonts w:cs="Arial"/>
          <w:color w:val="000000" w:themeColor="text1"/>
        </w:rPr>
        <w:t xml:space="preserve"> rețelei.</w:t>
      </w:r>
      <w:r w:rsidRPr="00E0488D">
        <w:t xml:space="preserve"> </w:t>
      </w:r>
      <w:r w:rsidRPr="00E0488D">
        <w:rPr>
          <w:rStyle w:val="hps"/>
          <w:rFonts w:cs="Arial"/>
          <w:color w:val="000000" w:themeColor="text1"/>
        </w:rPr>
        <w:t>Interoperabilitatea</w:t>
      </w:r>
      <w:r w:rsidRPr="00E0488D">
        <w:t xml:space="preserve"> </w:t>
      </w:r>
      <w:r w:rsidRPr="00E0488D">
        <w:rPr>
          <w:rStyle w:val="hps"/>
          <w:rFonts w:cs="Arial"/>
          <w:color w:val="000000" w:themeColor="text1"/>
        </w:rPr>
        <w:t>internatională a trenurilor</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obiectiv</w:t>
      </w:r>
      <w:r w:rsidRPr="00E0488D">
        <w:t xml:space="preserve"> </w:t>
      </w:r>
      <w:r w:rsidRPr="00E0488D">
        <w:rPr>
          <w:rStyle w:val="hps"/>
          <w:rFonts w:cs="Arial"/>
          <w:color w:val="000000" w:themeColor="text1"/>
        </w:rPr>
        <w:t>european</w:t>
      </w:r>
      <w:r w:rsidRPr="00E0488D">
        <w:t xml:space="preserve"> </w:t>
      </w:r>
      <w:r w:rsidRPr="00E0488D">
        <w:rPr>
          <w:rStyle w:val="hps"/>
          <w:rFonts w:cs="Arial"/>
          <w:color w:val="000000" w:themeColor="text1"/>
        </w:rPr>
        <w:t>important pentru a facilita</w:t>
      </w:r>
      <w:r w:rsidRPr="00E0488D">
        <w:t xml:space="preserve"> transportul </w:t>
      </w:r>
      <w:r w:rsidRPr="00E0488D">
        <w:rPr>
          <w:rStyle w:val="hps"/>
          <w:rFonts w:cs="Arial"/>
          <w:color w:val="000000" w:themeColor="text1"/>
        </w:rPr>
        <w:t>feroviar</w:t>
      </w:r>
      <w:r w:rsidRPr="00E0488D">
        <w:t xml:space="preserve"> </w:t>
      </w:r>
      <w:r w:rsidRPr="00E0488D">
        <w:rPr>
          <w:rStyle w:val="hps"/>
          <w:rFonts w:cs="Arial"/>
          <w:color w:val="000000" w:themeColor="text1"/>
        </w:rPr>
        <w:t>internațional de marfă</w:t>
      </w:r>
      <w:r w:rsidRPr="00E0488D">
        <w:t xml:space="preserve">  pe distanțe lungi </w:t>
      </w:r>
      <w:r w:rsidRPr="00E0488D">
        <w:rPr>
          <w:rStyle w:val="hps"/>
          <w:rFonts w:cs="Arial"/>
          <w:color w:val="000000" w:themeColor="text1"/>
        </w:rPr>
        <w:t>și</w:t>
      </w:r>
      <w:r w:rsidRPr="00E0488D">
        <w:t xml:space="preserve">, prin urmare, </w:t>
      </w:r>
      <w:r w:rsidRPr="00E0488D">
        <w:rPr>
          <w:rStyle w:val="hps"/>
          <w:rFonts w:cs="Arial"/>
          <w:color w:val="000000" w:themeColor="text1"/>
        </w:rPr>
        <w:t>în cadrul programului</w:t>
      </w:r>
      <w:r w:rsidRPr="00E0488D">
        <w:t xml:space="preserve"> </w:t>
      </w:r>
      <w:r w:rsidRPr="00E0488D">
        <w:rPr>
          <w:rStyle w:val="hps"/>
          <w:rFonts w:cs="Arial"/>
          <w:color w:val="000000" w:themeColor="text1"/>
        </w:rPr>
        <w:t>de reabilitare</w:t>
      </w:r>
      <w:r w:rsidRPr="00E0488D">
        <w:t xml:space="preserve">, </w:t>
      </w:r>
      <w:r w:rsidRPr="00E0488D">
        <w:rPr>
          <w:rStyle w:val="hps"/>
          <w:rFonts w:cs="Arial"/>
          <w:color w:val="000000" w:themeColor="text1"/>
        </w:rPr>
        <w:t>este importantă îmbunătățirea limitei privind sarcina pe osie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22,5</w:t>
      </w:r>
      <w:r w:rsidRPr="00E0488D">
        <w:t xml:space="preserve"> </w:t>
      </w:r>
      <w:r w:rsidRPr="00E0488D">
        <w:rPr>
          <w:rStyle w:val="hps"/>
          <w:rFonts w:cs="Arial"/>
          <w:color w:val="000000" w:themeColor="text1"/>
        </w:rPr>
        <w:t>tone, de pe toate</w:t>
      </w:r>
      <w:r w:rsidRPr="00E0488D">
        <w:t xml:space="preserve"> </w:t>
      </w:r>
      <w:r w:rsidRPr="00E0488D">
        <w:rPr>
          <w:rStyle w:val="hps"/>
          <w:rFonts w:cs="Arial"/>
          <w:color w:val="000000" w:themeColor="text1"/>
        </w:rPr>
        <w:t>coridoarele</w:t>
      </w:r>
      <w:r w:rsidRPr="00E0488D">
        <w:t xml:space="preserve"> </w:t>
      </w:r>
      <w:r w:rsidRPr="00E0488D">
        <w:rPr>
          <w:rStyle w:val="hps"/>
          <w:rFonts w:cs="Arial"/>
          <w:color w:val="000000" w:themeColor="text1"/>
        </w:rPr>
        <w:t>reabilitate</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conformitate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normele europene</w:t>
      </w:r>
      <w:r w:rsidRPr="00E0488D">
        <w:t xml:space="preserve">. </w:t>
      </w:r>
      <w:r w:rsidRPr="00E0488D">
        <w:rPr>
          <w:rStyle w:val="hps"/>
          <w:rFonts w:cs="Arial"/>
          <w:color w:val="000000" w:themeColor="text1"/>
        </w:rPr>
        <w:t>Deși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parte din</w:t>
      </w:r>
      <w:r w:rsidRPr="00E0488D">
        <w:t xml:space="preserve"> </w:t>
      </w:r>
      <w:r w:rsidRPr="00E0488D">
        <w:rPr>
          <w:rStyle w:val="hps"/>
          <w:rFonts w:cs="Arial"/>
          <w:color w:val="000000" w:themeColor="text1"/>
        </w:rPr>
        <w:t>materialului rulant</w:t>
      </w:r>
      <w:r w:rsidRPr="00E0488D">
        <w:t xml:space="preserve"> </w:t>
      </w:r>
      <w:r w:rsidRPr="00E0488D">
        <w:rPr>
          <w:rStyle w:val="hps"/>
          <w:rFonts w:cs="Arial"/>
          <w:color w:val="000000" w:themeColor="text1"/>
        </w:rPr>
        <w:t>existent</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fi capabil să suporte o sarcină pe osie mai mare</w:t>
      </w:r>
      <w:r w:rsidRPr="00E0488D">
        <w:t xml:space="preserve">, </w:t>
      </w:r>
      <w:r w:rsidRPr="00E0488D">
        <w:rPr>
          <w:rStyle w:val="hps"/>
          <w:rFonts w:cs="Arial"/>
          <w:color w:val="000000" w:themeColor="text1"/>
        </w:rPr>
        <w:t>unele</w:t>
      </w:r>
      <w:r w:rsidRPr="00E0488D">
        <w:t xml:space="preserve"> </w:t>
      </w:r>
      <w:r w:rsidRPr="00E0488D">
        <w:rPr>
          <w:rStyle w:val="hps"/>
          <w:rFonts w:cs="Arial"/>
          <w:color w:val="000000" w:themeColor="text1"/>
        </w:rPr>
        <w:t>vagoane</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potrivite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toate vagoanele</w:t>
      </w:r>
      <w:r w:rsidRPr="00E0488D">
        <w:t xml:space="preserve"> </w:t>
      </w:r>
      <w:r w:rsidRPr="00E0488D">
        <w:rPr>
          <w:rStyle w:val="hps"/>
          <w:rFonts w:cs="Arial"/>
          <w:color w:val="000000" w:themeColor="text1"/>
        </w:rPr>
        <w:t>noi și cele modernizate</w:t>
      </w:r>
      <w:r w:rsidRPr="00E0488D">
        <w:t xml:space="preserve"> </w:t>
      </w:r>
      <w:r w:rsidRPr="00E0488D">
        <w:rPr>
          <w:rStyle w:val="hps"/>
          <w:rFonts w:cs="Arial"/>
          <w:color w:val="000000" w:themeColor="text1"/>
        </w:rPr>
        <w:t>ar putea îmbunătății</w:t>
      </w:r>
      <w:r w:rsidRPr="00E0488D">
        <w:t xml:space="preserve"> </w:t>
      </w:r>
      <w:r w:rsidRPr="00E0488D">
        <w:rPr>
          <w:rStyle w:val="hps"/>
          <w:rFonts w:cs="Arial"/>
          <w:color w:val="000000" w:themeColor="text1"/>
        </w:rPr>
        <w:t>capacitatea</w:t>
      </w:r>
      <w:r w:rsidRPr="00E0488D">
        <w:t xml:space="preserve">. </w:t>
      </w:r>
      <w:r w:rsidRPr="00E0488D">
        <w:rPr>
          <w:rStyle w:val="hps"/>
          <w:rFonts w:cs="Arial"/>
          <w:color w:val="000000" w:themeColor="text1"/>
        </w:rPr>
        <w:t>Acest lucru va</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numai</w:t>
      </w:r>
      <w:r w:rsidRPr="00E0488D">
        <w:t xml:space="preserve"> </w:t>
      </w:r>
      <w:r w:rsidRPr="00E0488D">
        <w:rPr>
          <w:rStyle w:val="hps"/>
          <w:rFonts w:cs="Arial"/>
          <w:color w:val="000000" w:themeColor="text1"/>
        </w:rPr>
        <w:t>o mai bună utilizare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materialului rulant</w:t>
      </w:r>
      <w:r w:rsidRPr="00E0488D">
        <w:t xml:space="preserve"> </w:t>
      </w:r>
      <w:r w:rsidRPr="00E0488D">
        <w:rPr>
          <w:rStyle w:val="hps"/>
          <w:rFonts w:cs="Arial"/>
          <w:color w:val="000000" w:themeColor="text1"/>
        </w:rPr>
        <w:t>(</w:t>
      </w:r>
      <w:r w:rsidRPr="00E0488D">
        <w:t xml:space="preserve">iar </w:t>
      </w:r>
      <w:r w:rsidRPr="00E0488D">
        <w:rPr>
          <w:rStyle w:val="hps"/>
          <w:rFonts w:cs="Arial"/>
          <w:color w:val="000000" w:themeColor="text1"/>
        </w:rPr>
        <w:t>vagoanele</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vor mai trebui să fie</w:t>
      </w:r>
      <w:r w:rsidRPr="00E0488D">
        <w:t xml:space="preserve"> </w:t>
      </w:r>
      <w:r w:rsidRPr="00E0488D">
        <w:rPr>
          <w:rStyle w:val="hps"/>
          <w:rFonts w:cs="Arial"/>
          <w:color w:val="000000" w:themeColor="text1"/>
        </w:rPr>
        <w:t>subîncărcate</w:t>
      </w:r>
      <w:r w:rsidRPr="00E0488D">
        <w:t xml:space="preserve">), dar, de asemenea, </w:t>
      </w:r>
      <w:r w:rsidRPr="00E0488D">
        <w:rPr>
          <w:rStyle w:val="hps"/>
          <w:rFonts w:cs="Arial"/>
          <w:color w:val="000000" w:themeColor="text1"/>
        </w:rPr>
        <w:t>se va omogeniza și fluxul</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trenuri</w:t>
      </w:r>
      <w:r w:rsidRPr="00E0488D">
        <w:t xml:space="preserve"> </w:t>
      </w:r>
      <w:r w:rsidRPr="00E0488D">
        <w:rPr>
          <w:rStyle w:val="hps"/>
          <w:rFonts w:cs="Arial"/>
          <w:color w:val="000000" w:themeColor="text1"/>
        </w:rPr>
        <w:t>din alte țări</w:t>
      </w:r>
      <w:r w:rsidRPr="00E0488D">
        <w:t xml:space="preserve"> </w:t>
      </w:r>
      <w:r w:rsidRPr="00E0488D">
        <w:rPr>
          <w:rStyle w:val="hps"/>
          <w:rFonts w:cs="Arial"/>
          <w:color w:val="000000" w:themeColor="text1"/>
        </w:rPr>
        <w:t>întrucât acestea</w:t>
      </w:r>
      <w:r w:rsidRPr="00E0488D">
        <w:t xml:space="preserve"> </w:t>
      </w:r>
      <w:r w:rsidRPr="00E0488D">
        <w:rPr>
          <w:rStyle w:val="hps"/>
          <w:rFonts w:cs="Arial"/>
          <w:color w:val="000000" w:themeColor="text1"/>
        </w:rPr>
        <w:t>nu</w:t>
      </w:r>
      <w:r w:rsidRPr="00E0488D">
        <w:t xml:space="preserve"> </w:t>
      </w:r>
      <w:r w:rsidRPr="00E0488D">
        <w:rPr>
          <w:rStyle w:val="hps"/>
          <w:rFonts w:cs="Arial"/>
          <w:color w:val="000000" w:themeColor="text1"/>
        </w:rPr>
        <w:t>vor</w:t>
      </w:r>
      <w:r w:rsidRPr="00E0488D">
        <w:t xml:space="preserve"> mai </w:t>
      </w:r>
      <w:r w:rsidRPr="00E0488D">
        <w:rPr>
          <w:rStyle w:val="hps"/>
          <w:rFonts w:cs="Arial"/>
          <w:color w:val="000000" w:themeColor="text1"/>
        </w:rPr>
        <w:t>trebui</w:t>
      </w:r>
      <w:r w:rsidRPr="00E0488D">
        <w:t xml:space="preserve"> </w:t>
      </w:r>
      <w:r w:rsidRPr="00E0488D">
        <w:rPr>
          <w:rStyle w:val="hps"/>
          <w:rFonts w:cs="Arial"/>
          <w:color w:val="000000" w:themeColor="text1"/>
        </w:rPr>
        <w:t>să fie încărcate</w:t>
      </w:r>
      <w:r w:rsidRPr="00E0488D">
        <w:t xml:space="preserve"> specific </w:t>
      </w:r>
      <w:r w:rsidRPr="00E0488D">
        <w:rPr>
          <w:rStyle w:val="hps"/>
          <w:rFonts w:cs="Arial"/>
          <w:color w:val="000000" w:themeColor="text1"/>
        </w:rPr>
        <w:t>pentru a satisface</w:t>
      </w:r>
      <w:r w:rsidRPr="00E0488D">
        <w:t xml:space="preserve"> </w:t>
      </w:r>
      <w:r w:rsidRPr="00E0488D">
        <w:rPr>
          <w:rStyle w:val="hps"/>
          <w:rFonts w:cs="Arial"/>
          <w:color w:val="000000" w:themeColor="text1"/>
        </w:rPr>
        <w:t>restricțiile privind sarcina</w:t>
      </w:r>
      <w:r w:rsidRPr="00E0488D">
        <w:t xml:space="preserve"> </w:t>
      </w:r>
      <w:r w:rsidRPr="00E0488D">
        <w:rPr>
          <w:rStyle w:val="hps"/>
          <w:rFonts w:cs="Arial"/>
          <w:color w:val="000000" w:themeColor="text1"/>
        </w:rPr>
        <w:t>pe osie</w:t>
      </w:r>
      <w:r w:rsidRPr="00E0488D">
        <w:t xml:space="preserve"> </w:t>
      </w:r>
      <w:r w:rsidRPr="00E0488D">
        <w:rPr>
          <w:rStyle w:val="hps"/>
          <w:rFonts w:cs="Arial"/>
          <w:color w:val="000000" w:themeColor="text1"/>
        </w:rPr>
        <w:t>din România</w:t>
      </w:r>
      <w:r w:rsidRPr="00E0488D">
        <w:t xml:space="preserve">, ci vor fi </w:t>
      </w:r>
      <w:r w:rsidRPr="00E0488D">
        <w:rPr>
          <w:rStyle w:val="hps"/>
          <w:rFonts w:cs="Arial"/>
          <w:color w:val="000000" w:themeColor="text1"/>
        </w:rPr>
        <w:t>în măsură</w:t>
      </w:r>
      <w:r w:rsidRPr="00E0488D">
        <w:t xml:space="preserve"> </w:t>
      </w:r>
      <w:r w:rsidRPr="00E0488D">
        <w:rPr>
          <w:rStyle w:val="hps"/>
          <w:rFonts w:cs="Arial"/>
          <w:color w:val="000000" w:themeColor="text1"/>
        </w:rPr>
        <w:t>să poată călători</w:t>
      </w:r>
      <w:r w:rsidRPr="00E0488D">
        <w:t xml:space="preserve"> </w:t>
      </w:r>
      <w:r w:rsidRPr="00E0488D">
        <w:rPr>
          <w:rStyle w:val="hps"/>
          <w:rFonts w:cs="Arial"/>
          <w:color w:val="000000" w:themeColor="text1"/>
        </w:rPr>
        <w:t>de-a lungul UE</w:t>
      </w:r>
      <w:r w:rsidRPr="00E0488D">
        <w:t xml:space="preserve">. </w:t>
      </w:r>
      <w:r w:rsidRPr="00E0488D">
        <w:rPr>
          <w:rStyle w:val="hps"/>
          <w:rFonts w:cs="Arial"/>
          <w:color w:val="000000" w:themeColor="text1"/>
        </w:rPr>
        <w:t>Pe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tren</w:t>
      </w:r>
      <w:r w:rsidRPr="00E0488D">
        <w:t xml:space="preserve"> </w:t>
      </w:r>
      <w:r w:rsidRPr="00E0488D">
        <w:rPr>
          <w:rStyle w:val="hps"/>
          <w:rFonts w:cs="Arial"/>
          <w:color w:val="000000" w:themeColor="text1"/>
        </w:rPr>
        <w:t>de 30</w:t>
      </w:r>
      <w:r w:rsidRPr="00E0488D">
        <w:t xml:space="preserve"> </w:t>
      </w:r>
      <w:r w:rsidRPr="00E0488D">
        <w:rPr>
          <w:rStyle w:val="hps"/>
          <w:rFonts w:cs="Arial"/>
          <w:color w:val="000000" w:themeColor="text1"/>
        </w:rPr>
        <w:t>de vagoane</w:t>
      </w:r>
      <w:r w:rsidRPr="00E0488D">
        <w:t xml:space="preserve">, </w:t>
      </w:r>
      <w:r w:rsidRPr="00E0488D">
        <w:rPr>
          <w:rStyle w:val="hps"/>
          <w:rFonts w:cs="Arial"/>
          <w:color w:val="000000" w:themeColor="text1"/>
        </w:rPr>
        <w:t>acest lucru va</w:t>
      </w:r>
      <w:r w:rsidRPr="00E0488D">
        <w:t xml:space="preserve"> </w:t>
      </w:r>
      <w:r w:rsidRPr="00E0488D">
        <w:rPr>
          <w:rStyle w:val="hps"/>
          <w:rFonts w:cs="Arial"/>
          <w:color w:val="000000" w:themeColor="text1"/>
        </w:rPr>
        <w:t>îmbunătăți</w:t>
      </w:r>
      <w:r w:rsidRPr="00E0488D">
        <w:t xml:space="preserve"> </w:t>
      </w:r>
      <w:r w:rsidRPr="00E0488D">
        <w:rPr>
          <w:rStyle w:val="hps"/>
          <w:rFonts w:cs="Arial"/>
          <w:color w:val="000000" w:themeColor="text1"/>
        </w:rPr>
        <w:t>productivitatea</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aproximativ 15</w:t>
      </w:r>
      <w:r w:rsidRPr="00E0488D">
        <w:t xml:space="preserve">%, </w:t>
      </w:r>
      <w:r w:rsidRPr="00E0488D">
        <w:rPr>
          <w:rStyle w:val="hps"/>
          <w:rFonts w:cs="Arial"/>
          <w:color w:val="000000" w:themeColor="text1"/>
        </w:rPr>
        <w:t>ca urmare a creșterii</w:t>
      </w:r>
      <w:r w:rsidRPr="00E0488D">
        <w:t xml:space="preserve"> </w:t>
      </w:r>
      <w:r w:rsidRPr="00E0488D">
        <w:rPr>
          <w:rStyle w:val="hps"/>
          <w:rFonts w:cs="Arial"/>
          <w:color w:val="000000" w:themeColor="text1"/>
        </w:rPr>
        <w:t>tonajului</w:t>
      </w:r>
      <w:r w:rsidRPr="00E0488D">
        <w:t xml:space="preserve"> </w:t>
      </w:r>
      <w:r w:rsidRPr="00E0488D">
        <w:rPr>
          <w:rStyle w:val="hps"/>
          <w:rFonts w:cs="Arial"/>
          <w:color w:val="000000" w:themeColor="text1"/>
        </w:rPr>
        <w:t>care ar putea fi</w:t>
      </w:r>
      <w:r w:rsidRPr="00E0488D">
        <w:t xml:space="preserve"> </w:t>
      </w:r>
      <w:r w:rsidRPr="00E0488D">
        <w:rPr>
          <w:rStyle w:val="hps"/>
          <w:rFonts w:cs="Arial"/>
          <w:color w:val="000000" w:themeColor="text1"/>
        </w:rPr>
        <w:t>transportat</w:t>
      </w:r>
      <w:r w:rsidRPr="00E0488D">
        <w:t xml:space="preserve"> </w:t>
      </w:r>
      <w:r w:rsidRPr="00E0488D">
        <w:rPr>
          <w:rStyle w:val="hps"/>
          <w:rFonts w:cs="Arial"/>
          <w:color w:val="000000" w:themeColor="text1"/>
        </w:rPr>
        <w:t>(</w:t>
      </w:r>
      <w:r w:rsidRPr="00E0488D">
        <w:t xml:space="preserve">un plus de </w:t>
      </w:r>
      <w:r w:rsidRPr="00E0488D">
        <w:rPr>
          <w:rStyle w:val="hps"/>
          <w:rFonts w:cs="Arial"/>
          <w:color w:val="000000" w:themeColor="text1"/>
        </w:rPr>
        <w:t>240 de</w:t>
      </w:r>
      <w:r w:rsidRPr="00E0488D">
        <w:t xml:space="preserve"> </w:t>
      </w:r>
      <w:r w:rsidRPr="00E0488D">
        <w:rPr>
          <w:rStyle w:val="hps"/>
          <w:rFonts w:cs="Arial"/>
          <w:color w:val="000000" w:themeColor="text1"/>
        </w:rPr>
        <w:t>tone</w:t>
      </w:r>
      <w:r w:rsidRPr="00E0488D">
        <w:t xml:space="preserve">). </w:t>
      </w:r>
      <w:r w:rsidRPr="00E0488D">
        <w:rPr>
          <w:rStyle w:val="hps"/>
          <w:rFonts w:cs="Arial"/>
          <w:color w:val="000000" w:themeColor="text1"/>
        </w:rPr>
        <w:t>Aceasta este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intervenție</w:t>
      </w:r>
      <w:r w:rsidRPr="00E0488D">
        <w:t xml:space="preserve"> </w:t>
      </w:r>
      <w:r w:rsidRPr="00E0488D">
        <w:rPr>
          <w:rStyle w:val="hps"/>
          <w:rFonts w:cs="Arial"/>
          <w:color w:val="000000" w:themeColor="text1"/>
        </w:rPr>
        <w:t>cheie</w:t>
      </w:r>
      <w:r w:rsidRPr="00E0488D">
        <w:t xml:space="preserve"> </w:t>
      </w:r>
      <w:r w:rsidRPr="00E0488D">
        <w:rPr>
          <w:rStyle w:val="hps"/>
          <w:rFonts w:cs="Arial"/>
          <w:color w:val="000000" w:themeColor="text1"/>
        </w:rPr>
        <w:t>și va</w:t>
      </w:r>
      <w:r w:rsidRPr="00E0488D">
        <w:t xml:space="preserve"> </w:t>
      </w:r>
      <w:r w:rsidRPr="00E0488D">
        <w:rPr>
          <w:rStyle w:val="hps"/>
          <w:rFonts w:cs="Arial"/>
          <w:color w:val="000000" w:themeColor="text1"/>
        </w:rPr>
        <w:t>continua</w:t>
      </w:r>
      <w:r w:rsidRPr="00E0488D">
        <w:t xml:space="preserve"> </w:t>
      </w:r>
      <w:r w:rsidRPr="00E0488D">
        <w:rPr>
          <w:rStyle w:val="hps"/>
          <w:rFonts w:cs="Arial"/>
          <w:color w:val="000000" w:themeColor="text1"/>
        </w:rPr>
        <w:t>pe toată</w:t>
      </w:r>
      <w:r w:rsidRPr="00E0488D">
        <w:t xml:space="preserve"> </w:t>
      </w:r>
      <w:r w:rsidRPr="00E0488D">
        <w:rPr>
          <w:rStyle w:val="hps"/>
          <w:rFonts w:cs="Arial"/>
          <w:color w:val="000000" w:themeColor="text1"/>
        </w:rPr>
        <w:t>durata</w:t>
      </w:r>
      <w:r w:rsidRPr="00E0488D">
        <w:t xml:space="preserve"> </w:t>
      </w:r>
      <w:r w:rsidRPr="00E0488D">
        <w:rPr>
          <w:rStyle w:val="hps"/>
          <w:rFonts w:cs="Arial"/>
          <w:color w:val="000000" w:themeColor="text1"/>
        </w:rPr>
        <w:t>Master Planului</w:t>
      </w:r>
      <w:r w:rsidRPr="00E0488D">
        <w:t xml:space="preserve">, </w:t>
      </w:r>
      <w:r w:rsidRPr="00E0488D">
        <w:rPr>
          <w:rStyle w:val="hps"/>
          <w:rFonts w:cs="Arial"/>
          <w:color w:val="000000" w:themeColor="text1"/>
        </w:rPr>
        <w:t>rezultând</w:t>
      </w:r>
      <w:r w:rsidRPr="00E0488D">
        <w:t xml:space="preserve"> </w:t>
      </w:r>
      <w:r w:rsidRPr="00E0488D">
        <w:rPr>
          <w:rStyle w:val="hps"/>
          <w:rFonts w:cs="Arial"/>
          <w:color w:val="000000" w:themeColor="text1"/>
        </w:rPr>
        <w:t>o rețea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coridoare</w:t>
      </w:r>
      <w:r w:rsidRPr="00E0488D">
        <w:t xml:space="preserve"> </w:t>
      </w:r>
      <w:r w:rsidRPr="00E0488D">
        <w:rPr>
          <w:rStyle w:val="hps"/>
          <w:rFonts w:cs="Arial"/>
          <w:color w:val="000000" w:themeColor="text1"/>
        </w:rPr>
        <w:t>de transport marfă</w:t>
      </w:r>
      <w:r w:rsidRPr="00E0488D">
        <w:t xml:space="preserve"> </w:t>
      </w:r>
      <w:r w:rsidRPr="00E0488D">
        <w:rPr>
          <w:rStyle w:val="hps"/>
          <w:rFonts w:cs="Arial"/>
          <w:color w:val="000000" w:themeColor="text1"/>
        </w:rPr>
        <w:t>de încredere</w:t>
      </w:r>
      <w:r w:rsidRPr="00E0488D">
        <w:t xml:space="preserve">, </w:t>
      </w:r>
      <w:r w:rsidRPr="00E0488D">
        <w:rPr>
          <w:rStyle w:val="hps"/>
          <w:rFonts w:cs="Arial"/>
          <w:color w:val="000000" w:themeColor="text1"/>
        </w:rPr>
        <w:t>mai productive</w:t>
      </w:r>
      <w:r w:rsidRPr="00E0488D">
        <w:t xml:space="preserve"> </w:t>
      </w:r>
      <w:r w:rsidRPr="00E0488D">
        <w:rPr>
          <w:rStyle w:val="hps"/>
          <w:rFonts w:cs="Arial"/>
          <w:color w:val="000000" w:themeColor="text1"/>
        </w:rPr>
        <w:t>de-a lungul țării</w:t>
      </w:r>
      <w:r w:rsidRPr="00E0488D">
        <w:t>.</w:t>
      </w:r>
    </w:p>
    <w:p w:rsidR="00BD59B2" w:rsidRPr="00E0488D" w:rsidRDefault="00BD59B2" w:rsidP="002B7E09">
      <w:pPr>
        <w:pStyle w:val="NumberedParas"/>
      </w:pPr>
      <w:r w:rsidRPr="00E0488D">
        <w:rPr>
          <w:rStyle w:val="hps"/>
          <w:rFonts w:cs="Arial"/>
          <w:color w:val="000000" w:themeColor="text1"/>
        </w:rPr>
        <w:t>Programul de reabilitare</w:t>
      </w:r>
      <w:r w:rsidRPr="00E0488D">
        <w:t xml:space="preserve"> </w:t>
      </w:r>
      <w:r w:rsidRPr="00E0488D">
        <w:rPr>
          <w:rStyle w:val="hps"/>
          <w:rFonts w:cs="Arial"/>
          <w:color w:val="000000" w:themeColor="text1"/>
        </w:rPr>
        <w:t>va</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viteze</w:t>
      </w:r>
      <w:r w:rsidRPr="00E0488D">
        <w:t xml:space="preserve"> </w:t>
      </w:r>
      <w:r w:rsidRPr="00E0488D">
        <w:rPr>
          <w:rStyle w:val="hps"/>
          <w:rFonts w:cs="Arial"/>
          <w:color w:val="000000" w:themeColor="text1"/>
        </w:rPr>
        <w:t>mai bune pentru</w:t>
      </w:r>
      <w:r w:rsidRPr="00E0488D">
        <w:t xml:space="preserve"> </w:t>
      </w:r>
      <w:r w:rsidRPr="00E0488D">
        <w:rPr>
          <w:rStyle w:val="hps"/>
          <w:rFonts w:cs="Arial"/>
          <w:color w:val="000000" w:themeColor="text1"/>
        </w:rPr>
        <w:t>trenurile de marfă</w:t>
      </w:r>
      <w:r w:rsidRPr="00E0488D">
        <w:t xml:space="preserve"> </w:t>
      </w:r>
      <w:r w:rsidRPr="00E0488D">
        <w:rPr>
          <w:rStyle w:val="hps"/>
          <w:rFonts w:cs="Arial"/>
          <w:color w:val="000000" w:themeColor="text1"/>
        </w:rPr>
        <w:t>în întreaga rețea</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special</w:t>
      </w:r>
      <w:r w:rsidRPr="00E0488D">
        <w:t xml:space="preserve"> </w:t>
      </w:r>
      <w:r w:rsidRPr="00E0488D">
        <w:rPr>
          <w:rStyle w:val="hps"/>
          <w:rFonts w:cs="Arial"/>
          <w:color w:val="000000" w:themeColor="text1"/>
        </w:rPr>
        <w:t>acest lucru ar trebui</w:t>
      </w:r>
      <w:r w:rsidRPr="00E0488D">
        <w:t xml:space="preserve"> </w:t>
      </w:r>
      <w:r w:rsidRPr="00E0488D">
        <w:rPr>
          <w:rStyle w:val="hps"/>
          <w:rFonts w:cs="Arial"/>
          <w:color w:val="000000" w:themeColor="text1"/>
        </w:rPr>
        <w:t>să fie</w:t>
      </w:r>
      <w:r w:rsidRPr="00E0488D">
        <w:t xml:space="preserve"> </w:t>
      </w:r>
      <w:r w:rsidRPr="00E0488D">
        <w:rPr>
          <w:rStyle w:val="hps"/>
          <w:rFonts w:cs="Arial"/>
          <w:color w:val="000000" w:themeColor="text1"/>
        </w:rPr>
        <w:t>valorificat</w:t>
      </w:r>
      <w:r w:rsidRPr="00E0488D">
        <w:t xml:space="preserve"> </w:t>
      </w:r>
      <w:r w:rsidRPr="00E0488D">
        <w:rPr>
          <w:rStyle w:val="hps"/>
          <w:rFonts w:cs="Arial"/>
          <w:color w:val="000000" w:themeColor="text1"/>
        </w:rPr>
        <w:t>prin</w:t>
      </w:r>
      <w:r w:rsidRPr="00E0488D">
        <w:t xml:space="preserve"> </w:t>
      </w:r>
      <w:r w:rsidRPr="00E0488D">
        <w:rPr>
          <w:rStyle w:val="hps"/>
          <w:rFonts w:cs="Arial"/>
          <w:color w:val="000000" w:themeColor="text1"/>
        </w:rPr>
        <w:t>crearea unui</w:t>
      </w:r>
      <w:r w:rsidRPr="00E0488D">
        <w:t xml:space="preserve"> </w:t>
      </w:r>
      <w:r w:rsidRPr="00E0488D">
        <w:rPr>
          <w:rStyle w:val="hps"/>
          <w:rFonts w:cs="Arial"/>
          <w:color w:val="000000" w:themeColor="text1"/>
        </w:rPr>
        <w:t>sistem dualist</w:t>
      </w:r>
      <w:r w:rsidRPr="00E0488D">
        <w:t xml:space="preserve"> </w:t>
      </w:r>
      <w:r w:rsidRPr="00E0488D">
        <w:rPr>
          <w:rStyle w:val="hps"/>
          <w:rFonts w:cs="Arial"/>
          <w:color w:val="000000" w:themeColor="text1"/>
        </w:rPr>
        <w:t>de diferențiere</w:t>
      </w:r>
      <w:r w:rsidRPr="00E0488D">
        <w:t xml:space="preserve"> </w:t>
      </w:r>
      <w:r w:rsidRPr="00E0488D">
        <w:rPr>
          <w:rStyle w:val="hps"/>
          <w:rFonts w:cs="Arial"/>
          <w:color w:val="000000" w:themeColor="text1"/>
        </w:rPr>
        <w:t>între</w:t>
      </w:r>
      <w:r w:rsidRPr="00E0488D">
        <w:t xml:space="preserve"> trenurile </w:t>
      </w:r>
      <w:r w:rsidRPr="00E0488D">
        <w:rPr>
          <w:rStyle w:val="hps"/>
          <w:rFonts w:cs="Arial"/>
          <w:color w:val="000000" w:themeColor="text1"/>
        </w:rPr>
        <w:t>grele de mărfuri vrac</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trenurile intermodale</w:t>
      </w:r>
      <w:r w:rsidRPr="00E0488D">
        <w:t xml:space="preserve"> </w:t>
      </w:r>
      <w:r w:rsidRPr="00E0488D">
        <w:rPr>
          <w:rStyle w:val="hps"/>
          <w:rFonts w:cs="Arial"/>
          <w:color w:val="000000" w:themeColor="text1"/>
        </w:rPr>
        <w:t>ușoare</w:t>
      </w:r>
      <w:r w:rsidRPr="00E0488D">
        <w:t xml:space="preserve"> </w:t>
      </w:r>
      <w:r w:rsidRPr="00E0488D">
        <w:rPr>
          <w:rStyle w:val="hps"/>
          <w:rFonts w:cs="Arial"/>
          <w:color w:val="000000" w:themeColor="text1"/>
        </w:rPr>
        <w:t>de marfă</w:t>
      </w:r>
      <w:r w:rsidRPr="00E0488D">
        <w:t xml:space="preserve">. </w:t>
      </w:r>
      <w:r w:rsidRPr="00E0488D">
        <w:rPr>
          <w:rStyle w:val="hps"/>
          <w:rFonts w:cs="Arial"/>
          <w:color w:val="000000" w:themeColor="text1"/>
        </w:rPr>
        <w:t>Se recomandă transportarea</w:t>
      </w:r>
      <w:r w:rsidRPr="00E0488D">
        <w:t xml:space="preserve"> containerelor </w:t>
      </w:r>
      <w:r w:rsidRPr="00E0488D">
        <w:rPr>
          <w:rStyle w:val="hps"/>
          <w:rFonts w:cs="Arial"/>
          <w:color w:val="000000" w:themeColor="text1"/>
        </w:rPr>
        <w:t>pe</w:t>
      </w:r>
      <w:r w:rsidRPr="00E0488D">
        <w:t xml:space="preserve"> </w:t>
      </w:r>
      <w:r w:rsidRPr="00E0488D">
        <w:rPr>
          <w:rStyle w:val="hps"/>
          <w:rFonts w:cs="Arial"/>
          <w:color w:val="000000" w:themeColor="text1"/>
        </w:rPr>
        <w:t>trenuri</w:t>
      </w:r>
      <w:r w:rsidRPr="00E0488D">
        <w:t xml:space="preserve"> </w:t>
      </w:r>
      <w:r w:rsidRPr="00E0488D">
        <w:rPr>
          <w:rStyle w:val="hps"/>
          <w:rFonts w:cs="Arial"/>
          <w:color w:val="000000" w:themeColor="text1"/>
        </w:rPr>
        <w:t>dedicate, de tip bloc</w:t>
      </w:r>
      <w:r w:rsidRPr="00E0488D">
        <w:t xml:space="preserve">, mai degrabă </w:t>
      </w:r>
      <w:r w:rsidRPr="00E0488D">
        <w:rPr>
          <w:rStyle w:val="hps"/>
          <w:rFonts w:cs="Arial"/>
          <w:color w:val="000000" w:themeColor="text1"/>
        </w:rPr>
        <w:t>decât</w:t>
      </w:r>
      <w:r w:rsidRPr="00E0488D">
        <w:t xml:space="preserve"> </w:t>
      </w:r>
      <w:r w:rsidRPr="00E0488D">
        <w:rPr>
          <w:rStyle w:val="hps"/>
          <w:rFonts w:cs="Arial"/>
          <w:color w:val="000000" w:themeColor="text1"/>
        </w:rPr>
        <w:t>procedura</w:t>
      </w:r>
      <w:r w:rsidRPr="00E0488D">
        <w:t xml:space="preserve"> </w:t>
      </w:r>
      <w:r w:rsidRPr="00E0488D">
        <w:rPr>
          <w:rStyle w:val="hps"/>
          <w:rFonts w:cs="Arial"/>
          <w:color w:val="000000" w:themeColor="text1"/>
        </w:rPr>
        <w:t>existentă</w:t>
      </w:r>
      <w:r w:rsidRPr="00E0488D">
        <w:t xml:space="preserve"> </w:t>
      </w:r>
      <w:r w:rsidRPr="00E0488D">
        <w:rPr>
          <w:rStyle w:val="hps"/>
          <w:rFonts w:cs="Arial"/>
          <w:color w:val="000000" w:themeColor="text1"/>
        </w:rPr>
        <w:t>de a transporta</w:t>
      </w:r>
      <w:r w:rsidRPr="00E0488D">
        <w:t xml:space="preserve"> </w:t>
      </w:r>
      <w:r w:rsidRPr="00E0488D">
        <w:rPr>
          <w:rStyle w:val="hps"/>
          <w:rFonts w:cs="Arial"/>
          <w:color w:val="000000" w:themeColor="text1"/>
        </w:rPr>
        <w:t>o parte din</w:t>
      </w:r>
      <w:r w:rsidRPr="00E0488D">
        <w:t xml:space="preserve"> </w:t>
      </w:r>
      <w:r w:rsidRPr="00E0488D">
        <w:rPr>
          <w:rStyle w:val="hps"/>
          <w:rFonts w:cs="Arial"/>
          <w:color w:val="000000" w:themeColor="text1"/>
        </w:rPr>
        <w:t>containere</w:t>
      </w:r>
      <w:r w:rsidRPr="00E0488D">
        <w:t xml:space="preserve"> </w:t>
      </w:r>
      <w:r w:rsidRPr="00E0488D">
        <w:rPr>
          <w:rStyle w:val="hps"/>
          <w:rFonts w:cs="Arial"/>
          <w:color w:val="000000" w:themeColor="text1"/>
        </w:rPr>
        <w:t>la serviciile</w:t>
      </w:r>
      <w:r w:rsidRPr="00E0488D">
        <w:t xml:space="preserve"> </w:t>
      </w:r>
      <w:r w:rsidRPr="00E0488D">
        <w:rPr>
          <w:rStyle w:val="hps"/>
          <w:rFonts w:cs="Arial"/>
          <w:color w:val="000000" w:themeColor="text1"/>
        </w:rPr>
        <w:t>de oprire</w:t>
      </w:r>
      <w:r w:rsidRPr="00E0488D">
        <w:t xml:space="preserve"> </w:t>
      </w:r>
      <w:r w:rsidRPr="00E0488D">
        <w:rPr>
          <w:rStyle w:val="hps"/>
          <w:rFonts w:cs="Arial"/>
          <w:color w:val="000000" w:themeColor="text1"/>
        </w:rPr>
        <w:t>pick-</w:t>
      </w:r>
      <w:r w:rsidRPr="00E0488D">
        <w:t xml:space="preserve">up </w:t>
      </w:r>
      <w:r w:rsidRPr="00E0488D">
        <w:rPr>
          <w:rStyle w:val="hps"/>
          <w:rFonts w:cs="Arial"/>
          <w:color w:val="000000" w:themeColor="text1"/>
        </w:rPr>
        <w:t>sau</w:t>
      </w:r>
      <w:r w:rsidRPr="00E0488D">
        <w:t xml:space="preserve"> în </w:t>
      </w:r>
      <w:r w:rsidRPr="00E0488D">
        <w:rPr>
          <w:rStyle w:val="hps"/>
          <w:rFonts w:cs="Arial"/>
          <w:color w:val="000000" w:themeColor="text1"/>
        </w:rPr>
        <w:t>trenuri</w:t>
      </w:r>
      <w:r w:rsidRPr="00E0488D">
        <w:t xml:space="preserve"> </w:t>
      </w:r>
      <w:r w:rsidRPr="00E0488D">
        <w:rPr>
          <w:rStyle w:val="hps"/>
          <w:rFonts w:cs="Arial"/>
          <w:color w:val="000000" w:themeColor="text1"/>
        </w:rPr>
        <w:t>de vagoane</w:t>
      </w:r>
      <w:r w:rsidRPr="00E0488D">
        <w:t xml:space="preserve"> </w:t>
      </w:r>
      <w:r w:rsidRPr="00E0488D">
        <w:rPr>
          <w:rStyle w:val="hps"/>
          <w:rFonts w:cs="Arial"/>
          <w:color w:val="000000" w:themeColor="text1"/>
        </w:rPr>
        <w:t>mixte</w:t>
      </w:r>
      <w:r w:rsidRPr="00E0488D">
        <w:t xml:space="preserve">. </w:t>
      </w:r>
      <w:r w:rsidRPr="00E0488D">
        <w:rPr>
          <w:rStyle w:val="hps"/>
          <w:rFonts w:cs="Arial"/>
          <w:color w:val="000000" w:themeColor="text1"/>
        </w:rPr>
        <w:t>Serviciile</w:t>
      </w:r>
      <w:r w:rsidRPr="00E0488D">
        <w:t xml:space="preserve"> de transport intermodal în trenuri de tip </w:t>
      </w:r>
      <w:r w:rsidRPr="00E0488D">
        <w:rPr>
          <w:rStyle w:val="hps"/>
          <w:rFonts w:cs="Arial"/>
          <w:color w:val="000000" w:themeColor="text1"/>
        </w:rPr>
        <w:t>bloc</w:t>
      </w:r>
      <w:r w:rsidRPr="00E0488D">
        <w:t xml:space="preserve"> </w:t>
      </w:r>
      <w:r w:rsidRPr="00E0488D">
        <w:rPr>
          <w:rStyle w:val="hps"/>
          <w:rFonts w:cs="Arial"/>
          <w:color w:val="000000" w:themeColor="text1"/>
        </w:rPr>
        <w:t>ar trebui să fie</w:t>
      </w:r>
      <w:r w:rsidRPr="00E0488D">
        <w:t xml:space="preserve"> </w:t>
      </w:r>
      <w:r w:rsidRPr="00E0488D">
        <w:rPr>
          <w:rStyle w:val="hps"/>
          <w:rFonts w:cs="Arial"/>
          <w:color w:val="000000" w:themeColor="text1"/>
        </w:rPr>
        <w:t>capabile să ruleze la</w:t>
      </w:r>
      <w:r w:rsidRPr="00E0488D">
        <w:t xml:space="preserve"> </w:t>
      </w:r>
      <w:r w:rsidRPr="00E0488D">
        <w:rPr>
          <w:rStyle w:val="hps"/>
          <w:rFonts w:cs="Arial"/>
          <w:color w:val="000000" w:themeColor="text1"/>
        </w:rPr>
        <w:t>viteze de</w:t>
      </w:r>
      <w:r w:rsidRPr="00E0488D">
        <w:t xml:space="preserve"> </w:t>
      </w:r>
      <w:r w:rsidRPr="00E0488D">
        <w:rPr>
          <w:rStyle w:val="hps"/>
          <w:rFonts w:cs="Arial"/>
          <w:color w:val="000000" w:themeColor="text1"/>
        </w:rPr>
        <w:t>120 kilometri pe oră</w:t>
      </w:r>
      <w:r w:rsidRPr="00E0488D">
        <w:t xml:space="preserve"> </w:t>
      </w:r>
      <w:r w:rsidRPr="00E0488D">
        <w:rPr>
          <w:rStyle w:val="hps"/>
          <w:rFonts w:cs="Arial"/>
          <w:color w:val="000000" w:themeColor="text1"/>
        </w:rPr>
        <w:t>și</w:t>
      </w:r>
      <w:r w:rsidRPr="00E0488D">
        <w:t xml:space="preserve"> să aibă </w:t>
      </w:r>
      <w:r w:rsidRPr="00E0488D">
        <w:rPr>
          <w:rStyle w:val="hps"/>
          <w:rFonts w:cs="Arial"/>
          <w:color w:val="000000" w:themeColor="text1"/>
        </w:rPr>
        <w:t>prioritate</w:t>
      </w:r>
      <w:r w:rsidRPr="00E0488D">
        <w:t xml:space="preserve"> </w:t>
      </w:r>
      <w:r w:rsidRPr="00E0488D">
        <w:rPr>
          <w:rStyle w:val="hps"/>
          <w:rFonts w:cs="Arial"/>
          <w:color w:val="000000" w:themeColor="text1"/>
        </w:rPr>
        <w:t>în</w:t>
      </w:r>
      <w:r w:rsidRPr="00E0488D">
        <w:t xml:space="preserve">  fața </w:t>
      </w:r>
      <w:r w:rsidRPr="00E0488D">
        <w:rPr>
          <w:rStyle w:val="hps"/>
          <w:rFonts w:cs="Arial"/>
          <w:color w:val="000000" w:themeColor="text1"/>
        </w:rPr>
        <w:t>serviciilor</w:t>
      </w:r>
      <w:r w:rsidRPr="00E0488D">
        <w:t xml:space="preserve"> </w:t>
      </w:r>
      <w:r w:rsidRPr="00E0488D">
        <w:rPr>
          <w:rStyle w:val="hps"/>
          <w:rFonts w:cs="Arial"/>
          <w:color w:val="000000" w:themeColor="text1"/>
        </w:rPr>
        <w:t>de transport de marfă</w:t>
      </w:r>
      <w:r w:rsidRPr="00E0488D">
        <w:t xml:space="preserve"> </w:t>
      </w:r>
      <w:r w:rsidRPr="00E0488D">
        <w:rPr>
          <w:rStyle w:val="hps"/>
          <w:rFonts w:cs="Arial"/>
          <w:color w:val="000000" w:themeColor="text1"/>
        </w:rPr>
        <w:t>mai lente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chiar în fața unor</w:t>
      </w:r>
      <w:r w:rsidRPr="00E0488D">
        <w:t xml:space="preserve"> </w:t>
      </w:r>
      <w:r w:rsidRPr="00E0488D">
        <w:rPr>
          <w:rStyle w:val="hps"/>
          <w:rFonts w:cs="Arial"/>
          <w:color w:val="000000" w:themeColor="text1"/>
        </w:rPr>
        <w:t>servicii</w:t>
      </w:r>
      <w:r w:rsidRPr="00E0488D">
        <w:t xml:space="preserve"> </w:t>
      </w:r>
      <w:r w:rsidRPr="00E0488D">
        <w:rPr>
          <w:rStyle w:val="hps"/>
          <w:rFonts w:cs="Arial"/>
          <w:color w:val="000000" w:themeColor="text1"/>
        </w:rPr>
        <w:t>lente</w:t>
      </w:r>
      <w:r w:rsidRPr="00E0488D">
        <w:t xml:space="preserve"> </w:t>
      </w:r>
      <w:r w:rsidRPr="00E0488D">
        <w:rPr>
          <w:rStyle w:val="hps"/>
          <w:rFonts w:cs="Arial"/>
          <w:color w:val="000000" w:themeColor="text1"/>
        </w:rPr>
        <w:t>de transport pasageri</w:t>
      </w:r>
      <w:r w:rsidRPr="00E0488D">
        <w:t xml:space="preserve">, pentru a obține un </w:t>
      </w:r>
      <w:r w:rsidRPr="00E0488D">
        <w:rPr>
          <w:rStyle w:val="hps"/>
          <w:rFonts w:cs="Arial"/>
          <w:color w:val="000000" w:themeColor="text1"/>
        </w:rPr>
        <w:t>timp de călătorie</w:t>
      </w:r>
      <w:r w:rsidRPr="00E0488D">
        <w:t xml:space="preserve"> </w:t>
      </w:r>
      <w:r w:rsidRPr="00E0488D">
        <w:rPr>
          <w:rStyle w:val="hps"/>
          <w:rFonts w:cs="Arial"/>
          <w:color w:val="000000" w:themeColor="text1"/>
        </w:rPr>
        <w:t>mai mic și</w:t>
      </w:r>
      <w:r w:rsidRPr="00E0488D">
        <w:t xml:space="preserve"> </w:t>
      </w:r>
      <w:r w:rsidRPr="00E0488D">
        <w:rPr>
          <w:rStyle w:val="hps"/>
          <w:rFonts w:cs="Arial"/>
          <w:color w:val="000000" w:themeColor="text1"/>
        </w:rPr>
        <w:t>îmbunătății</w:t>
      </w:r>
      <w:r w:rsidRPr="00E0488D">
        <w:t xml:space="preserve"> </w:t>
      </w:r>
      <w:r w:rsidRPr="00E0488D">
        <w:rPr>
          <w:rStyle w:val="hps"/>
          <w:rFonts w:cs="Arial"/>
          <w:color w:val="000000" w:themeColor="text1"/>
        </w:rPr>
        <w:t>fiabilitatea</w:t>
      </w:r>
      <w:r w:rsidRPr="00E0488D">
        <w:t xml:space="preserve"> </w:t>
      </w:r>
      <w:r w:rsidRPr="00E0488D">
        <w:rPr>
          <w:rStyle w:val="hps"/>
          <w:rFonts w:cs="Arial"/>
          <w:color w:val="000000" w:themeColor="text1"/>
        </w:rPr>
        <w:t>duratei de călătoriei</w:t>
      </w:r>
      <w:r w:rsidRPr="00E0488D">
        <w:t xml:space="preserve">. </w:t>
      </w:r>
      <w:r w:rsidRPr="00E0488D">
        <w:rPr>
          <w:rStyle w:val="hps"/>
          <w:rFonts w:cs="Arial"/>
          <w:color w:val="000000" w:themeColor="text1"/>
        </w:rPr>
        <w:t>Transportul intermodal</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sector</w:t>
      </w:r>
      <w:r w:rsidRPr="00E0488D">
        <w:t xml:space="preserve"> </w:t>
      </w:r>
      <w:r w:rsidRPr="00E0488D">
        <w:rPr>
          <w:rStyle w:val="hps"/>
          <w:rFonts w:cs="Arial"/>
          <w:color w:val="000000" w:themeColor="text1"/>
        </w:rPr>
        <w:t>cheie</w:t>
      </w:r>
      <w:r w:rsidRPr="00E0488D">
        <w:t xml:space="preserve"> </w:t>
      </w:r>
      <w:r w:rsidRPr="00E0488D">
        <w:rPr>
          <w:rStyle w:val="hps"/>
          <w:rFonts w:cs="Arial"/>
          <w:color w:val="000000" w:themeColor="text1"/>
        </w:rPr>
        <w:t>viitor pe piață</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transportul feroviar de marfă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cel mai mare potențial</w:t>
      </w:r>
      <w:r w:rsidRPr="00E0488D">
        <w:t xml:space="preserve"> </w:t>
      </w:r>
      <w:r w:rsidRPr="00E0488D">
        <w:rPr>
          <w:rStyle w:val="hps"/>
          <w:rFonts w:cs="Arial"/>
          <w:color w:val="000000" w:themeColor="text1"/>
        </w:rPr>
        <w:t>de a asigura</w:t>
      </w:r>
      <w:r w:rsidRPr="00E0488D">
        <w:t xml:space="preserve"> un </w:t>
      </w:r>
      <w:r w:rsidRPr="00E0488D">
        <w:rPr>
          <w:rStyle w:val="hps"/>
          <w:rFonts w:cs="Arial"/>
          <w:color w:val="000000" w:themeColor="text1"/>
        </w:rPr>
        <w:t>transfer modal</w:t>
      </w:r>
      <w:r w:rsidRPr="00E0488D">
        <w:t xml:space="preserve"> </w:t>
      </w:r>
      <w:r w:rsidRPr="00E0488D">
        <w:rPr>
          <w:rStyle w:val="hps"/>
          <w:rFonts w:cs="Arial"/>
          <w:color w:val="000000" w:themeColor="text1"/>
        </w:rPr>
        <w:t>durabil</w:t>
      </w:r>
      <w:r w:rsidRPr="00E0488D">
        <w:t xml:space="preserve"> </w:t>
      </w:r>
      <w:r w:rsidRPr="00E0488D">
        <w:rPr>
          <w:rStyle w:val="hps"/>
          <w:rFonts w:cs="Arial"/>
          <w:color w:val="000000" w:themeColor="text1"/>
        </w:rPr>
        <w:t>de la transportul rutier</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transportul feroviar</w:t>
      </w:r>
      <w:r w:rsidRPr="00E0488D">
        <w:t xml:space="preserve"> </w:t>
      </w:r>
      <w:r w:rsidRPr="00E0488D">
        <w:rPr>
          <w:rStyle w:val="hps"/>
          <w:rFonts w:cs="Arial"/>
          <w:color w:val="000000" w:themeColor="text1"/>
        </w:rPr>
        <w:t>cu condiția</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oferta</w:t>
      </w:r>
      <w:r w:rsidRPr="00E0488D">
        <w:t xml:space="preserve"> de transport </w:t>
      </w:r>
      <w:r w:rsidRPr="00E0488D">
        <w:rPr>
          <w:rStyle w:val="hps"/>
          <w:rFonts w:cs="Arial"/>
          <w:color w:val="000000" w:themeColor="text1"/>
        </w:rPr>
        <w:t>feroviar</w:t>
      </w:r>
      <w:r w:rsidRPr="00E0488D">
        <w:t xml:space="preserve"> </w:t>
      </w:r>
      <w:r w:rsidRPr="00E0488D">
        <w:rPr>
          <w:rStyle w:val="hps"/>
          <w:rFonts w:cs="Arial"/>
          <w:color w:val="000000" w:themeColor="text1"/>
        </w:rPr>
        <w:t>să fie</w:t>
      </w:r>
      <w:r w:rsidRPr="00E0488D">
        <w:t xml:space="preserve"> </w:t>
      </w:r>
      <w:r w:rsidRPr="00E0488D">
        <w:rPr>
          <w:rStyle w:val="hps"/>
          <w:rFonts w:cs="Arial"/>
          <w:color w:val="000000" w:themeColor="text1"/>
        </w:rPr>
        <w:t>competitivă</w:t>
      </w:r>
      <w:r w:rsidRPr="00E0488D">
        <w:t xml:space="preserve">. </w:t>
      </w:r>
    </w:p>
    <w:p w:rsidR="00BD59B2" w:rsidRPr="00E0488D" w:rsidRDefault="00BD59B2" w:rsidP="002B7E09">
      <w:pPr>
        <w:pStyle w:val="NumberedParas"/>
      </w:pPr>
      <w:r w:rsidRPr="00E0488D">
        <w:rPr>
          <w:rStyle w:val="hps"/>
          <w:rFonts w:cs="Arial"/>
          <w:color w:val="000000" w:themeColor="text1"/>
        </w:rPr>
        <w:t>Există unele infrastructuri</w:t>
      </w:r>
      <w:r w:rsidRPr="00E0488D">
        <w:t xml:space="preserve"> </w:t>
      </w:r>
      <w:r w:rsidRPr="00E0488D">
        <w:rPr>
          <w:rStyle w:val="hps"/>
          <w:rFonts w:cs="Arial"/>
          <w:color w:val="000000" w:themeColor="text1"/>
        </w:rPr>
        <w:t>pentru a promova</w:t>
      </w:r>
      <w:r w:rsidRPr="00E0488D">
        <w:t xml:space="preserve"> </w:t>
      </w:r>
      <w:r w:rsidRPr="00E0488D">
        <w:rPr>
          <w:rStyle w:val="hps"/>
          <w:rFonts w:cs="Arial"/>
          <w:color w:val="000000" w:themeColor="text1"/>
        </w:rPr>
        <w:t>containerizarea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transportul intermodal</w:t>
      </w:r>
      <w:r w:rsidRPr="00E0488D">
        <w:t xml:space="preserve">, cum ar fi </w:t>
      </w:r>
      <w:r w:rsidRPr="00E0488D">
        <w:rPr>
          <w:rStyle w:val="hps"/>
          <w:rFonts w:cs="Arial"/>
          <w:color w:val="000000" w:themeColor="text1"/>
        </w:rPr>
        <w:t>prezența a trei</w:t>
      </w:r>
      <w:r w:rsidRPr="00E0488D">
        <w:t xml:space="preserve"> </w:t>
      </w:r>
      <w:r w:rsidRPr="00E0488D">
        <w:rPr>
          <w:rStyle w:val="hps"/>
          <w:rFonts w:cs="Arial"/>
          <w:color w:val="000000" w:themeColor="text1"/>
        </w:rPr>
        <w:t>facilități</w:t>
      </w:r>
      <w:r w:rsidRPr="00E0488D">
        <w:t xml:space="preserve"> </w:t>
      </w:r>
      <w:r w:rsidRPr="00E0488D">
        <w:rPr>
          <w:rStyle w:val="hps"/>
          <w:rFonts w:cs="Arial"/>
          <w:color w:val="000000" w:themeColor="text1"/>
        </w:rPr>
        <w:t>de manevrare a containerelor</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chiar dacă</w:t>
      </w:r>
      <w:r w:rsidRPr="00E0488D">
        <w:t xml:space="preserve"> </w:t>
      </w:r>
      <w:r w:rsidRPr="00E0488D">
        <w:rPr>
          <w:rStyle w:val="hps"/>
          <w:rFonts w:cs="Arial"/>
          <w:color w:val="000000" w:themeColor="text1"/>
        </w:rPr>
        <w:t>numai</w:t>
      </w:r>
      <w:r w:rsidRPr="00E0488D">
        <w:t xml:space="preserve"> </w:t>
      </w:r>
      <w:r w:rsidRPr="00E0488D">
        <w:rPr>
          <w:rStyle w:val="hps"/>
          <w:rFonts w:cs="Arial"/>
          <w:color w:val="000000" w:themeColor="text1"/>
        </w:rPr>
        <w:t>unul dispune de</w:t>
      </w:r>
      <w:r w:rsidRPr="00E0488D">
        <w:t xml:space="preserve"> </w:t>
      </w:r>
      <w:r w:rsidRPr="00E0488D">
        <w:rPr>
          <w:rStyle w:val="hps"/>
          <w:rFonts w:cs="Arial"/>
          <w:color w:val="000000" w:themeColor="text1"/>
        </w:rPr>
        <w:t>echipamente</w:t>
      </w:r>
      <w:r w:rsidRPr="00E0488D">
        <w:t xml:space="preserve"> </w:t>
      </w:r>
      <w:r w:rsidRPr="00E0488D">
        <w:rPr>
          <w:rStyle w:val="hps"/>
          <w:rFonts w:cs="Arial"/>
          <w:color w:val="000000" w:themeColor="text1"/>
        </w:rPr>
        <w:t>relativ</w:t>
      </w:r>
      <w:r w:rsidRPr="00E0488D">
        <w:t xml:space="preserve"> </w:t>
      </w:r>
      <w:r w:rsidRPr="00E0488D">
        <w:rPr>
          <w:rStyle w:val="hps"/>
          <w:rFonts w:cs="Arial"/>
          <w:color w:val="000000" w:themeColor="text1"/>
        </w:rPr>
        <w:t>moderne</w:t>
      </w:r>
      <w:r w:rsidRPr="00E0488D">
        <w:t xml:space="preserve">. </w:t>
      </w:r>
      <w:r w:rsidRPr="00E0488D">
        <w:rPr>
          <w:rStyle w:val="hps"/>
          <w:rFonts w:cs="Arial"/>
          <w:color w:val="000000" w:themeColor="text1"/>
        </w:rPr>
        <w:t>Constanța este</w:t>
      </w:r>
      <w:r w:rsidRPr="00E0488D">
        <w:t xml:space="preserve"> </w:t>
      </w:r>
      <w:r w:rsidRPr="00E0488D">
        <w:rPr>
          <w:rStyle w:val="hps"/>
          <w:rFonts w:cs="Arial"/>
          <w:color w:val="000000" w:themeColor="text1"/>
        </w:rPr>
        <w:t>cel mai mare port</w:t>
      </w:r>
      <w:r w:rsidRPr="00E0488D">
        <w:t xml:space="preserve"> </w:t>
      </w:r>
      <w:r w:rsidRPr="00E0488D">
        <w:rPr>
          <w:rStyle w:val="hps"/>
          <w:rFonts w:cs="Arial"/>
          <w:color w:val="000000" w:themeColor="text1"/>
        </w:rPr>
        <w:t>de containere de la marea</w:t>
      </w:r>
      <w:r w:rsidRPr="00E0488D">
        <w:t xml:space="preserve"> </w:t>
      </w:r>
      <w:r w:rsidRPr="00E0488D">
        <w:rPr>
          <w:rStyle w:val="hps"/>
          <w:rFonts w:cs="Arial"/>
          <w:color w:val="000000" w:themeColor="text1"/>
        </w:rPr>
        <w:t>Marea Neagră</w:t>
      </w:r>
      <w:r w:rsidRPr="00E0488D">
        <w:t xml:space="preserve">, în principal </w:t>
      </w:r>
      <w:r w:rsidRPr="00E0488D">
        <w:rPr>
          <w:rStyle w:val="hps"/>
          <w:rFonts w:cs="Arial"/>
          <w:color w:val="000000" w:themeColor="text1"/>
        </w:rPr>
        <w:t>datorită Terminalului de containere</w:t>
      </w:r>
      <w:r w:rsidRPr="00E0488D">
        <w:t xml:space="preserve"> </w:t>
      </w:r>
      <w:r w:rsidRPr="00E0488D">
        <w:rPr>
          <w:rStyle w:val="hps"/>
          <w:rFonts w:cs="Arial"/>
          <w:color w:val="000000" w:themeColor="text1"/>
        </w:rPr>
        <w:t>DP</w:t>
      </w:r>
      <w:r w:rsidRPr="00E0488D">
        <w:t xml:space="preserve"> </w:t>
      </w:r>
      <w:r w:rsidRPr="00E0488D">
        <w:rPr>
          <w:rStyle w:val="hps"/>
          <w:rFonts w:cs="Arial"/>
          <w:color w:val="000000" w:themeColor="text1"/>
        </w:rPr>
        <w:t>World</w:t>
      </w:r>
      <w:r w:rsidRPr="00E0488D">
        <w:t xml:space="preserve"> </w:t>
      </w:r>
      <w:r w:rsidRPr="00E0488D">
        <w:rPr>
          <w:rStyle w:val="hps"/>
          <w:rFonts w:cs="Arial"/>
          <w:color w:val="000000" w:themeColor="text1"/>
        </w:rPr>
        <w:t>Constanta</w:t>
      </w:r>
      <w:r w:rsidRPr="00E0488D">
        <w:t xml:space="preserve"> </w:t>
      </w:r>
      <w:r w:rsidRPr="00E0488D">
        <w:rPr>
          <w:rStyle w:val="hps"/>
          <w:rFonts w:cs="Arial"/>
          <w:color w:val="000000" w:themeColor="text1"/>
        </w:rPr>
        <w:t>Sud</w:t>
      </w:r>
      <w:r w:rsidRPr="00E0488D">
        <w:t>, care s-</w:t>
      </w:r>
      <w:r w:rsidRPr="00E0488D">
        <w:rPr>
          <w:rStyle w:val="hps"/>
          <w:rFonts w:cs="Arial"/>
          <w:color w:val="000000" w:themeColor="text1"/>
        </w:rPr>
        <w:t>a deschis</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2004</w:t>
      </w:r>
      <w:r w:rsidRPr="00E0488D">
        <w:t xml:space="preserve">, iar </w:t>
      </w:r>
      <w:r w:rsidRPr="00E0488D">
        <w:rPr>
          <w:rStyle w:val="hps"/>
          <w:rFonts w:cs="Arial"/>
          <w:color w:val="000000" w:themeColor="text1"/>
        </w:rPr>
        <w:t>în</w:t>
      </w:r>
      <w:r w:rsidRPr="00E0488D">
        <w:t xml:space="preserve"> </w:t>
      </w:r>
      <w:r w:rsidRPr="00E0488D">
        <w:rPr>
          <w:rStyle w:val="hps"/>
          <w:rFonts w:cs="Arial"/>
          <w:color w:val="000000" w:themeColor="text1"/>
        </w:rPr>
        <w:t>2012</w:t>
      </w:r>
      <w:r w:rsidRPr="00E0488D">
        <w:t xml:space="preserve"> a </w:t>
      </w:r>
      <w:r w:rsidRPr="00E0488D">
        <w:rPr>
          <w:rStyle w:val="hps"/>
          <w:rFonts w:cs="Arial"/>
          <w:color w:val="000000" w:themeColor="text1"/>
        </w:rPr>
        <w:t>operat 97</w:t>
      </w:r>
      <w:r w:rsidRPr="00E0488D">
        <w:t xml:space="preserve">% </w:t>
      </w:r>
      <w:r w:rsidRPr="00E0488D">
        <w:rPr>
          <w:rStyle w:val="hps"/>
          <w:rFonts w:cs="Arial"/>
          <w:color w:val="000000" w:themeColor="text1"/>
        </w:rPr>
        <w:t>din</w:t>
      </w:r>
      <w:r w:rsidRPr="00E0488D">
        <w:t xml:space="preserve"> </w:t>
      </w:r>
      <w:r w:rsidRPr="00E0488D">
        <w:rPr>
          <w:rStyle w:val="hps"/>
          <w:rFonts w:cs="Arial"/>
          <w:color w:val="000000" w:themeColor="text1"/>
        </w:rPr>
        <w:t>transportul</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din port</w:t>
      </w:r>
      <w:r w:rsidRPr="00E0488D">
        <w:t xml:space="preserve">. Portul </w:t>
      </w:r>
      <w:r w:rsidRPr="00E0488D">
        <w:rPr>
          <w:rStyle w:val="hps"/>
          <w:rFonts w:cs="Arial"/>
          <w:color w:val="000000" w:themeColor="text1"/>
        </w:rPr>
        <w:t>Constanta</w:t>
      </w:r>
      <w:r w:rsidRPr="00E0488D">
        <w:t xml:space="preserve"> </w:t>
      </w:r>
      <w:r w:rsidRPr="00E0488D">
        <w:rPr>
          <w:rStyle w:val="hps"/>
          <w:rFonts w:cs="Arial"/>
          <w:color w:val="000000" w:themeColor="text1"/>
        </w:rPr>
        <w:t>este situat strategic</w:t>
      </w:r>
      <w:r w:rsidRPr="00E0488D">
        <w:t xml:space="preserve"> </w:t>
      </w:r>
      <w:r w:rsidRPr="00E0488D">
        <w:rPr>
          <w:rStyle w:val="hps"/>
          <w:rFonts w:cs="Arial"/>
          <w:color w:val="000000" w:themeColor="text1"/>
        </w:rPr>
        <w:t>pentru a putea alimenta</w:t>
      </w:r>
      <w:r w:rsidRPr="00E0488D">
        <w:t xml:space="preserve"> </w:t>
      </w:r>
      <w:r w:rsidRPr="00E0488D">
        <w:rPr>
          <w:rStyle w:val="hps"/>
          <w:rFonts w:cs="Arial"/>
          <w:color w:val="000000" w:themeColor="text1"/>
        </w:rPr>
        <w:t>cu marfă</w:t>
      </w:r>
      <w:r w:rsidRPr="00E0488D">
        <w:t xml:space="preserve"> </w:t>
      </w:r>
      <w:r w:rsidRPr="00E0488D">
        <w:rPr>
          <w:rStyle w:val="hps"/>
          <w:rFonts w:cs="Arial"/>
          <w:color w:val="000000" w:themeColor="text1"/>
        </w:rPr>
        <w:t>zonele de influență din</w:t>
      </w:r>
      <w:r w:rsidRPr="00E0488D">
        <w:t xml:space="preserve"> </w:t>
      </w:r>
      <w:r w:rsidRPr="00E0488D">
        <w:rPr>
          <w:rStyle w:val="hps"/>
          <w:rFonts w:cs="Arial"/>
          <w:color w:val="000000" w:themeColor="text1"/>
        </w:rPr>
        <w:t>Europa</w:t>
      </w:r>
      <w:r w:rsidRPr="00E0488D">
        <w:t xml:space="preserve"> </w:t>
      </w:r>
      <w:r w:rsidRPr="00E0488D">
        <w:rPr>
          <w:rStyle w:val="hps"/>
          <w:rFonts w:cs="Arial"/>
          <w:color w:val="000000" w:themeColor="text1"/>
        </w:rPr>
        <w:t>Centrală și de Est</w:t>
      </w:r>
      <w:r w:rsidRPr="00E0488D">
        <w:t xml:space="preserve">, dar </w:t>
      </w:r>
      <w:r w:rsidRPr="00E0488D">
        <w:rPr>
          <w:rStyle w:val="hps"/>
          <w:rFonts w:cs="Arial"/>
          <w:color w:val="000000" w:themeColor="text1"/>
        </w:rPr>
        <w:t>din cauza infrastructurii</w:t>
      </w:r>
      <w:r w:rsidRPr="00E0488D">
        <w:t xml:space="preserve"> </w:t>
      </w:r>
      <w:r w:rsidRPr="00E0488D">
        <w:rPr>
          <w:rStyle w:val="hps"/>
          <w:rFonts w:cs="Arial"/>
          <w:color w:val="000000" w:themeColor="text1"/>
        </w:rPr>
        <w:t>intermodale</w:t>
      </w:r>
      <w:r w:rsidRPr="00E0488D">
        <w:t xml:space="preserve"> </w:t>
      </w:r>
      <w:r w:rsidRPr="00E0488D">
        <w:rPr>
          <w:rStyle w:val="hps"/>
          <w:rFonts w:cs="Arial"/>
          <w:color w:val="000000" w:themeColor="text1"/>
        </w:rPr>
        <w:t>deficiente</w:t>
      </w:r>
      <w:r w:rsidRPr="00E0488D">
        <w:t xml:space="preserve"> </w:t>
      </w:r>
      <w:r w:rsidRPr="00E0488D">
        <w:rPr>
          <w:rStyle w:val="hps"/>
          <w:rFonts w:cs="Arial"/>
          <w:color w:val="000000" w:themeColor="text1"/>
        </w:rPr>
        <w:t>nu se poate valorifica</w:t>
      </w:r>
      <w:r w:rsidRPr="00E0488D">
        <w:t xml:space="preserve"> </w:t>
      </w:r>
      <w:r w:rsidRPr="00E0488D">
        <w:rPr>
          <w:rStyle w:val="hps"/>
          <w:rFonts w:cs="Arial"/>
          <w:color w:val="000000" w:themeColor="text1"/>
        </w:rPr>
        <w:t>pe deplin</w:t>
      </w:r>
      <w:r w:rsidRPr="00E0488D">
        <w:t xml:space="preserve"> </w:t>
      </w:r>
      <w:r w:rsidRPr="00E0488D">
        <w:rPr>
          <w:rStyle w:val="hps"/>
          <w:rFonts w:cs="Arial"/>
          <w:color w:val="000000" w:themeColor="text1"/>
        </w:rPr>
        <w:t>această oportunitate</w:t>
      </w:r>
      <w:r w:rsidRPr="00E0488D">
        <w:t xml:space="preserve">. Întrucât </w:t>
      </w:r>
      <w:r w:rsidRPr="00E0488D">
        <w:rPr>
          <w:rStyle w:val="hps"/>
          <w:rFonts w:cs="Arial"/>
          <w:color w:val="000000" w:themeColor="text1"/>
        </w:rPr>
        <w:t>economia</w:t>
      </w:r>
      <w:r w:rsidRPr="00E0488D">
        <w:t xml:space="preserve"> </w:t>
      </w:r>
      <w:r w:rsidRPr="00E0488D">
        <w:rPr>
          <w:rStyle w:val="hps"/>
          <w:rFonts w:cs="Arial"/>
          <w:color w:val="000000" w:themeColor="text1"/>
        </w:rPr>
        <w:t>din România</w:t>
      </w:r>
      <w:r w:rsidRPr="00E0488D">
        <w:t xml:space="preserve"> </w:t>
      </w:r>
      <w:r w:rsidRPr="00E0488D">
        <w:rPr>
          <w:rStyle w:val="hps"/>
          <w:rFonts w:cs="Arial"/>
          <w:color w:val="000000" w:themeColor="text1"/>
        </w:rPr>
        <w:t>continuă să se dezvolte</w:t>
      </w:r>
      <w:r w:rsidRPr="00E0488D">
        <w:t xml:space="preserve">, </w:t>
      </w:r>
      <w:r w:rsidRPr="00E0488D">
        <w:rPr>
          <w:rStyle w:val="hps"/>
          <w:rFonts w:cs="Arial"/>
          <w:color w:val="000000" w:themeColor="text1"/>
        </w:rPr>
        <w:t>va exista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creștere</w:t>
      </w:r>
      <w:r w:rsidRPr="00E0488D">
        <w:t xml:space="preserve"> </w:t>
      </w:r>
      <w:r w:rsidRPr="00E0488D">
        <w:rPr>
          <w:rStyle w:val="hps"/>
          <w:rFonts w:cs="Arial"/>
          <w:color w:val="000000" w:themeColor="text1"/>
        </w:rPr>
        <w:t>continuă a</w:t>
      </w:r>
      <w:r w:rsidRPr="00E0488D">
        <w:t xml:space="preserve"> </w:t>
      </w:r>
      <w:r w:rsidRPr="00E0488D">
        <w:rPr>
          <w:rStyle w:val="hps"/>
          <w:rFonts w:cs="Arial"/>
          <w:color w:val="000000" w:themeColor="text1"/>
        </w:rPr>
        <w:t>numărului</w:t>
      </w:r>
      <w:r w:rsidRPr="00E0488D">
        <w:t xml:space="preserve"> </w:t>
      </w:r>
      <w:r w:rsidRPr="00E0488D">
        <w:rPr>
          <w:rStyle w:val="hps"/>
          <w:rFonts w:cs="Arial"/>
          <w:color w:val="000000" w:themeColor="text1"/>
        </w:rPr>
        <w:t>de containere</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care să permită</w:t>
      </w:r>
      <w:r w:rsidRPr="00E0488D">
        <w:t xml:space="preserve"> </w:t>
      </w:r>
      <w:r w:rsidRPr="00E0488D">
        <w:rPr>
          <w:rStyle w:val="hps"/>
          <w:rFonts w:cs="Arial"/>
          <w:color w:val="000000" w:themeColor="text1"/>
        </w:rPr>
        <w:t>transferul</w:t>
      </w:r>
      <w:r w:rsidRPr="00E0488D">
        <w:t xml:space="preserve"> </w:t>
      </w:r>
      <w:r w:rsidRPr="00E0488D">
        <w:rPr>
          <w:rStyle w:val="hps"/>
          <w:rFonts w:cs="Arial"/>
          <w:color w:val="000000" w:themeColor="text1"/>
        </w:rPr>
        <w:t>lin</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bunuri</w:t>
      </w:r>
      <w:r w:rsidRPr="00E0488D">
        <w:t xml:space="preserve"> </w:t>
      </w:r>
      <w:r w:rsidRPr="00E0488D">
        <w:rPr>
          <w:rStyle w:val="hps"/>
          <w:rFonts w:cs="Arial"/>
          <w:color w:val="000000" w:themeColor="text1"/>
        </w:rPr>
        <w:t>între</w:t>
      </w:r>
      <w:r w:rsidRPr="00E0488D">
        <w:t xml:space="preserve"> </w:t>
      </w:r>
      <w:r w:rsidRPr="00E0488D">
        <w:rPr>
          <w:rStyle w:val="hps"/>
          <w:rFonts w:cs="Arial"/>
          <w:color w:val="000000" w:themeColor="text1"/>
        </w:rPr>
        <w:t>modurile de transport și</w:t>
      </w:r>
      <w:r w:rsidRPr="00E0488D">
        <w:t xml:space="preserve">, prin urmare, </w:t>
      </w:r>
      <w:r w:rsidRPr="00E0488D">
        <w:rPr>
          <w:rStyle w:val="hps"/>
          <w:rFonts w:cs="Arial"/>
          <w:color w:val="000000" w:themeColor="text1"/>
        </w:rPr>
        <w:t>să poată reduce emisiile de</w:t>
      </w:r>
      <w:r w:rsidRPr="00E0488D">
        <w:t xml:space="preserve"> </w:t>
      </w:r>
      <w:r w:rsidRPr="00E0488D">
        <w:rPr>
          <w:rStyle w:val="hps"/>
          <w:rFonts w:cs="Arial"/>
          <w:color w:val="000000" w:themeColor="text1"/>
        </w:rPr>
        <w:t>carbon și</w:t>
      </w:r>
      <w:r w:rsidRPr="00E0488D">
        <w:t xml:space="preserve"> </w:t>
      </w:r>
      <w:r w:rsidRPr="00E0488D">
        <w:rPr>
          <w:rStyle w:val="hps"/>
          <w:rFonts w:cs="Arial"/>
          <w:color w:val="000000" w:themeColor="text1"/>
        </w:rPr>
        <w:t>îmbunătății</w:t>
      </w:r>
      <w:r w:rsidRPr="00E0488D">
        <w:t xml:space="preserve"> </w:t>
      </w:r>
      <w:r w:rsidRPr="00E0488D">
        <w:rPr>
          <w:rStyle w:val="hps"/>
          <w:rFonts w:cs="Arial"/>
          <w:color w:val="000000" w:themeColor="text1"/>
        </w:rPr>
        <w:t>sustenabilitatea</w:t>
      </w:r>
      <w:r w:rsidRPr="00E0488D">
        <w:t xml:space="preserve"> </w:t>
      </w:r>
      <w:r w:rsidRPr="00E0488D">
        <w:rPr>
          <w:rStyle w:val="hps"/>
          <w:rFonts w:cs="Arial"/>
          <w:color w:val="000000" w:themeColor="text1"/>
        </w:rPr>
        <w:t>dacă</w:t>
      </w:r>
      <w:r w:rsidRPr="00E0488D">
        <w:t xml:space="preserve"> </w:t>
      </w:r>
      <w:r w:rsidRPr="00E0488D">
        <w:rPr>
          <w:rStyle w:val="hps"/>
          <w:rFonts w:cs="Arial"/>
          <w:color w:val="000000" w:themeColor="text1"/>
        </w:rPr>
        <w:t>aceste creșteri</w:t>
      </w:r>
      <w:r w:rsidRPr="00E0488D">
        <w:t xml:space="preserve"> </w:t>
      </w:r>
      <w:r w:rsidRPr="00E0488D">
        <w:rPr>
          <w:rStyle w:val="hps"/>
          <w:rFonts w:cs="Arial"/>
          <w:color w:val="000000" w:themeColor="text1"/>
        </w:rPr>
        <w:t>pot fi capturate</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sectorul feroviar</w:t>
      </w:r>
      <w:r w:rsidRPr="00E0488D">
        <w:t xml:space="preserve"> </w:t>
      </w:r>
      <w:r w:rsidRPr="00E0488D">
        <w:rPr>
          <w:rStyle w:val="hps"/>
          <w:rFonts w:cs="Arial"/>
          <w:color w:val="000000" w:themeColor="text1"/>
        </w:rPr>
        <w:t>(</w:t>
      </w:r>
      <w:r w:rsidRPr="00E0488D">
        <w:t xml:space="preserve">a se vedea secțiunea căi </w:t>
      </w:r>
      <w:r w:rsidRPr="00E0488D">
        <w:rPr>
          <w:rStyle w:val="hps"/>
          <w:rFonts w:cs="Arial"/>
          <w:color w:val="000000" w:themeColor="text1"/>
        </w:rPr>
        <w:t>navigabile 8.5</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propuneri specifice</w:t>
      </w:r>
      <w:r w:rsidRPr="00E0488D">
        <w:t xml:space="preserve"> Portului </w:t>
      </w:r>
      <w:r w:rsidRPr="00E0488D">
        <w:rPr>
          <w:rStyle w:val="hps"/>
          <w:rFonts w:cs="Arial"/>
          <w:color w:val="000000" w:themeColor="text1"/>
        </w:rPr>
        <w:t>Constanta</w:t>
      </w:r>
      <w:r w:rsidRPr="00E0488D">
        <w:t>).</w:t>
      </w:r>
    </w:p>
    <w:p w:rsidR="00BD59B2" w:rsidRPr="00E0488D" w:rsidRDefault="00BD59B2" w:rsidP="002B7E09">
      <w:pPr>
        <w:pStyle w:val="NumberedParas"/>
      </w:pPr>
      <w:r w:rsidRPr="00E0488D">
        <w:rPr>
          <w:rStyle w:val="hps"/>
          <w:rFonts w:cs="Arial"/>
          <w:color w:val="000000" w:themeColor="text1"/>
        </w:rPr>
        <w:t>Pentru a</w:t>
      </w:r>
      <w:r w:rsidRPr="00E0488D">
        <w:t xml:space="preserve"> </w:t>
      </w:r>
      <w:r w:rsidRPr="00E0488D">
        <w:rPr>
          <w:rStyle w:val="hps"/>
          <w:rFonts w:cs="Arial"/>
          <w:color w:val="000000" w:themeColor="text1"/>
        </w:rPr>
        <w:t>furniza</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ofertă</w:t>
      </w:r>
      <w:r w:rsidRPr="00E0488D">
        <w:t xml:space="preserve"> de transport </w:t>
      </w:r>
      <w:r w:rsidRPr="00E0488D">
        <w:rPr>
          <w:rStyle w:val="hps"/>
          <w:rFonts w:cs="Arial"/>
          <w:color w:val="000000" w:themeColor="text1"/>
        </w:rPr>
        <w:t>intermodal</w:t>
      </w:r>
      <w:r w:rsidRPr="00E0488D">
        <w:t xml:space="preserve"> </w:t>
      </w:r>
      <w:r w:rsidRPr="00E0488D">
        <w:rPr>
          <w:rStyle w:val="hps"/>
          <w:rFonts w:cs="Arial"/>
          <w:color w:val="000000" w:themeColor="text1"/>
        </w:rPr>
        <w:t>competitiv este</w:t>
      </w:r>
      <w:r w:rsidRPr="00E0488D">
        <w:t xml:space="preserve">, de asemenea, </w:t>
      </w:r>
      <w:r w:rsidRPr="00E0488D">
        <w:rPr>
          <w:rStyle w:val="hps"/>
          <w:rFonts w:cs="Arial"/>
          <w:color w:val="000000" w:themeColor="text1"/>
        </w:rPr>
        <w:t>necesar</w:t>
      </w:r>
      <w:r w:rsidRPr="00E0488D">
        <w:t xml:space="preserve"> </w:t>
      </w:r>
      <w:r w:rsidRPr="00E0488D">
        <w:rPr>
          <w:rStyle w:val="hps"/>
          <w:rFonts w:cs="Arial"/>
          <w:color w:val="000000" w:themeColor="text1"/>
        </w:rPr>
        <w:t>ca</w:t>
      </w:r>
      <w:r w:rsidRPr="00E0488D">
        <w:t xml:space="preserve"> </w:t>
      </w:r>
      <w:r w:rsidRPr="00E0488D">
        <w:rPr>
          <w:rStyle w:val="hps"/>
          <w:rFonts w:cs="Arial"/>
          <w:color w:val="000000" w:themeColor="text1"/>
        </w:rPr>
        <w:t>infrastructură</w:t>
      </w:r>
      <w:r w:rsidRPr="00E0488D">
        <w:t xml:space="preserve"> </w:t>
      </w:r>
      <w:r w:rsidRPr="00E0488D">
        <w:rPr>
          <w:rStyle w:val="hps"/>
          <w:rFonts w:cs="Arial"/>
          <w:color w:val="000000" w:themeColor="text1"/>
        </w:rPr>
        <w:t>intermodală</w:t>
      </w:r>
      <w:r w:rsidRPr="00E0488D">
        <w:t xml:space="preserve"> </w:t>
      </w:r>
      <w:r w:rsidRPr="00E0488D">
        <w:rPr>
          <w:rStyle w:val="hps"/>
          <w:rFonts w:cs="Arial"/>
          <w:color w:val="000000" w:themeColor="text1"/>
        </w:rPr>
        <w:t>a țării</w:t>
      </w:r>
      <w:r w:rsidRPr="00E0488D">
        <w:t xml:space="preserve"> </w:t>
      </w:r>
      <w:r w:rsidRPr="00E0488D">
        <w:rPr>
          <w:rStyle w:val="hps"/>
          <w:rFonts w:cs="Arial"/>
          <w:color w:val="000000" w:themeColor="text1"/>
        </w:rPr>
        <w:t>să poată oferi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rețea globală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de înaltă</w:t>
      </w:r>
      <w:r w:rsidRPr="00E0488D">
        <w:t xml:space="preserve"> </w:t>
      </w:r>
      <w:r w:rsidRPr="00E0488D">
        <w:rPr>
          <w:rStyle w:val="hps"/>
          <w:rFonts w:cs="Arial"/>
          <w:color w:val="000000" w:themeColor="text1"/>
        </w:rPr>
        <w:t>calitate</w:t>
      </w:r>
      <w:r w:rsidRPr="00E0488D">
        <w:t xml:space="preserve"> </w:t>
      </w:r>
      <w:r w:rsidRPr="00E0488D">
        <w:rPr>
          <w:rStyle w:val="hps"/>
          <w:rFonts w:cs="Arial"/>
          <w:color w:val="000000" w:themeColor="text1"/>
        </w:rPr>
        <w:t>de terminale</w:t>
      </w:r>
      <w:r w:rsidRPr="00E0488D">
        <w:t xml:space="preserve"> </w:t>
      </w:r>
      <w:r w:rsidRPr="00E0488D">
        <w:rPr>
          <w:rStyle w:val="hps"/>
          <w:rFonts w:cs="Arial"/>
          <w:color w:val="000000" w:themeColor="text1"/>
        </w:rPr>
        <w:t>care să reflecte</w:t>
      </w:r>
      <w:r w:rsidRPr="00E0488D">
        <w:t xml:space="preserve"> </w:t>
      </w:r>
      <w:r w:rsidRPr="00E0488D">
        <w:rPr>
          <w:rStyle w:val="hps"/>
          <w:rFonts w:cs="Arial"/>
          <w:color w:val="000000" w:themeColor="text1"/>
        </w:rPr>
        <w:t>și</w:t>
      </w:r>
      <w:r w:rsidRPr="00E0488D">
        <w:t xml:space="preserve"> de</w:t>
      </w:r>
      <w:r w:rsidRPr="00E0488D">
        <w:rPr>
          <w:rStyle w:val="hps"/>
          <w:rFonts w:cs="Arial"/>
          <w:color w:val="000000" w:themeColor="text1"/>
        </w:rPr>
        <w:t>servi</w:t>
      </w:r>
      <w:r w:rsidRPr="00E0488D">
        <w:t xml:space="preserve"> prognoza </w:t>
      </w:r>
      <w:r w:rsidRPr="00E0488D">
        <w:rPr>
          <w:rStyle w:val="hps"/>
          <w:rFonts w:cs="Arial"/>
          <w:color w:val="000000" w:themeColor="text1"/>
        </w:rPr>
        <w:t>viitoare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transportului feroviar intermodal de marfă</w:t>
      </w:r>
      <w:r w:rsidRPr="00E0488D">
        <w:t xml:space="preserve"> </w:t>
      </w:r>
      <w:r w:rsidRPr="00E0488D">
        <w:rPr>
          <w:rStyle w:val="hps"/>
          <w:rFonts w:cs="Arial"/>
          <w:color w:val="000000" w:themeColor="text1"/>
        </w:rPr>
        <w:t>din țară</w:t>
      </w:r>
      <w:r w:rsidRPr="00E0488D">
        <w:t xml:space="preserve">. </w:t>
      </w:r>
      <w:r w:rsidRPr="00E0488D">
        <w:rPr>
          <w:rStyle w:val="hps"/>
          <w:rFonts w:cs="Arial"/>
          <w:color w:val="000000" w:themeColor="text1"/>
        </w:rPr>
        <w:t>Pe lângă</w:t>
      </w:r>
      <w:r w:rsidRPr="00E0488D">
        <w:t xml:space="preserve"> </w:t>
      </w:r>
      <w:r w:rsidRPr="00E0488D">
        <w:rPr>
          <w:rStyle w:val="hps"/>
          <w:rFonts w:cs="Arial"/>
          <w:color w:val="000000" w:themeColor="text1"/>
        </w:rPr>
        <w:t>lucrările</w:t>
      </w:r>
      <w:r w:rsidRPr="00E0488D">
        <w:t xml:space="preserve"> </w:t>
      </w:r>
      <w:r w:rsidRPr="00E0488D">
        <w:rPr>
          <w:rStyle w:val="hps"/>
          <w:rFonts w:cs="Arial"/>
          <w:color w:val="000000" w:themeColor="text1"/>
        </w:rPr>
        <w:t>propuse în Portul Constanța</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facilitarea</w:t>
      </w:r>
      <w:r w:rsidRPr="00E0488D">
        <w:t xml:space="preserve"> </w:t>
      </w:r>
      <w:r w:rsidRPr="00E0488D">
        <w:rPr>
          <w:rStyle w:val="hps"/>
          <w:rFonts w:cs="Arial"/>
          <w:color w:val="000000" w:themeColor="text1"/>
        </w:rPr>
        <w:t>comerțului</w:t>
      </w:r>
      <w:r w:rsidRPr="00E0488D">
        <w:t xml:space="preserve"> </w:t>
      </w:r>
      <w:r w:rsidRPr="00E0488D">
        <w:rPr>
          <w:rStyle w:val="hps"/>
          <w:rFonts w:cs="Arial"/>
          <w:color w:val="000000" w:themeColor="text1"/>
        </w:rPr>
        <w:t>de import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export</w:t>
      </w:r>
      <w:r w:rsidRPr="00E0488D">
        <w:t xml:space="preserve"> </w:t>
      </w:r>
      <w:r w:rsidRPr="00E0488D">
        <w:rPr>
          <w:rStyle w:val="hps"/>
          <w:rFonts w:cs="Arial"/>
          <w:color w:val="000000" w:themeColor="text1"/>
        </w:rPr>
        <w:t>(</w:t>
      </w:r>
      <w:r w:rsidRPr="00E0488D">
        <w:t xml:space="preserve">inclusiv o creștere a </w:t>
      </w:r>
      <w:r w:rsidRPr="00E0488D">
        <w:rPr>
          <w:rStyle w:val="hps"/>
          <w:rFonts w:cs="Arial"/>
          <w:color w:val="000000" w:themeColor="text1"/>
        </w:rPr>
        <w:t>capacității terminalelor</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următorii zece ani</w:t>
      </w:r>
      <w:r w:rsidRPr="00E0488D">
        <w:t xml:space="preserve"> </w:t>
      </w:r>
      <w:r w:rsidRPr="00E0488D">
        <w:rPr>
          <w:rStyle w:val="hps"/>
          <w:rFonts w:cs="Arial"/>
          <w:color w:val="000000" w:themeColor="text1"/>
        </w:rPr>
        <w:t>pe măsură ce piata</w:t>
      </w:r>
      <w:r w:rsidRPr="00E0488D">
        <w:t xml:space="preserve"> </w:t>
      </w:r>
      <w:r w:rsidRPr="00E0488D">
        <w:rPr>
          <w:rStyle w:val="hps"/>
          <w:rFonts w:cs="Arial"/>
          <w:color w:val="000000" w:themeColor="text1"/>
        </w:rPr>
        <w:t>se extinde</w:t>
      </w:r>
      <w:r w:rsidRPr="00E0488D">
        <w:t xml:space="preserve">) </w:t>
      </w:r>
      <w:r w:rsidRPr="00E0488D">
        <w:rPr>
          <w:rStyle w:val="hps"/>
          <w:rFonts w:cs="Arial"/>
          <w:color w:val="000000" w:themeColor="text1"/>
        </w:rPr>
        <w:t>Master Planul</w:t>
      </w:r>
      <w:r w:rsidRPr="00E0488D">
        <w:t xml:space="preserve"> </w:t>
      </w:r>
      <w:r w:rsidRPr="00E0488D">
        <w:rPr>
          <w:rStyle w:val="hps"/>
          <w:rFonts w:cs="Arial"/>
          <w:color w:val="000000" w:themeColor="text1"/>
        </w:rPr>
        <w:t>recomandă</w:t>
      </w:r>
      <w:r w:rsidRPr="00E0488D">
        <w:t xml:space="preserve">, de asemenea, </w:t>
      </w:r>
      <w:r w:rsidRPr="00E0488D">
        <w:rPr>
          <w:rStyle w:val="hps"/>
          <w:rFonts w:cs="Arial"/>
          <w:color w:val="000000" w:themeColor="text1"/>
        </w:rPr>
        <w:t>reabilitarea</w:t>
      </w:r>
      <w:r w:rsidRPr="00E0488D">
        <w:t xml:space="preserve"> sau construirea </w:t>
      </w:r>
      <w:r w:rsidRPr="00E0488D">
        <w:rPr>
          <w:rStyle w:val="hps"/>
          <w:rFonts w:cs="Arial"/>
          <w:color w:val="000000" w:themeColor="text1"/>
        </w:rPr>
        <w:t>mai multor</w:t>
      </w:r>
      <w:r w:rsidRPr="00E0488D">
        <w:t xml:space="preserv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Planul</w:t>
      </w:r>
      <w:r w:rsidRPr="00E0488D">
        <w:t xml:space="preserve"> </w:t>
      </w:r>
      <w:r w:rsidRPr="00E0488D">
        <w:rPr>
          <w:rStyle w:val="hps"/>
          <w:rFonts w:cs="Arial"/>
          <w:color w:val="000000" w:themeColor="text1"/>
        </w:rPr>
        <w:t>este de a stabili</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rețea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terminale de tip</w:t>
      </w:r>
      <w:r w:rsidRPr="00E0488D">
        <w:t xml:space="preserve"> </w:t>
      </w:r>
      <w:r w:rsidRPr="00E0488D">
        <w:rPr>
          <w:rStyle w:val="hps"/>
          <w:rFonts w:cs="Arial"/>
          <w:color w:val="000000" w:themeColor="text1"/>
        </w:rPr>
        <w:t>"</w:t>
      </w:r>
      <w:r w:rsidRPr="00E0488D">
        <w:t xml:space="preserve">open-user", </w:t>
      </w:r>
      <w:r w:rsidRPr="00E0488D">
        <w:rPr>
          <w:rStyle w:val="hps"/>
          <w:rFonts w:cs="Arial"/>
          <w:color w:val="000000" w:themeColor="text1"/>
        </w:rPr>
        <w:t>operate</w:t>
      </w:r>
      <w:r w:rsidRPr="00E0488D">
        <w:t xml:space="preserve"> </w:t>
      </w:r>
      <w:r w:rsidRPr="00E0488D">
        <w:rPr>
          <w:rStyle w:val="hps"/>
          <w:rFonts w:cs="Arial"/>
          <w:color w:val="000000" w:themeColor="text1"/>
        </w:rPr>
        <w:t>într-un mod</w:t>
      </w:r>
      <w:r w:rsidRPr="00E0488D">
        <w:t xml:space="preserve"> </w:t>
      </w:r>
      <w:r w:rsidRPr="00E0488D">
        <w:rPr>
          <w:rStyle w:val="hps"/>
          <w:rFonts w:cs="Arial"/>
          <w:color w:val="000000" w:themeColor="text1"/>
        </w:rPr>
        <w:t>eficient</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privat</w:t>
      </w:r>
      <w:r w:rsidRPr="00E0488D">
        <w:t xml:space="preserve">. </w:t>
      </w:r>
      <w:r w:rsidRPr="00E0488D">
        <w:rPr>
          <w:rStyle w:val="hps"/>
          <w:rFonts w:cs="Arial"/>
          <w:color w:val="000000" w:themeColor="text1"/>
        </w:rPr>
        <w:t>Rețeaua</w:t>
      </w:r>
      <w:r w:rsidRPr="00E0488D">
        <w:t xml:space="preserve"> </w:t>
      </w:r>
      <w:r w:rsidRPr="00E0488D">
        <w:rPr>
          <w:rStyle w:val="hps"/>
          <w:rFonts w:cs="Arial"/>
          <w:color w:val="000000" w:themeColor="text1"/>
        </w:rPr>
        <w:t>urmărește să</w:t>
      </w:r>
      <w:r w:rsidRPr="00E0488D">
        <w:t xml:space="preserve"> </w:t>
      </w:r>
      <w:r w:rsidRPr="00E0488D">
        <w:rPr>
          <w:rStyle w:val="hps"/>
          <w:rFonts w:cs="Arial"/>
          <w:color w:val="000000" w:themeColor="text1"/>
        </w:rPr>
        <w:t>se bazeze pe</w:t>
      </w:r>
      <w:r w:rsidRPr="00E0488D">
        <w:t xml:space="preserve"> </w:t>
      </w:r>
      <w:r w:rsidRPr="00E0488D">
        <w:rPr>
          <w:rStyle w:val="hps"/>
          <w:rFonts w:cs="Arial"/>
          <w:color w:val="000000" w:themeColor="text1"/>
        </w:rPr>
        <w:t>terminalele existente</w:t>
      </w:r>
      <w:r w:rsidRPr="00E0488D">
        <w:t xml:space="preserve">, </w:t>
      </w:r>
      <w:r w:rsidRPr="00E0488D">
        <w:rPr>
          <w:rStyle w:val="hps"/>
          <w:rFonts w:cs="Arial"/>
          <w:color w:val="000000" w:themeColor="text1"/>
        </w:rPr>
        <w:t>dintre care unele sunt</w:t>
      </w:r>
      <w:r w:rsidRPr="00E0488D">
        <w:t xml:space="preserve"> </w:t>
      </w:r>
      <w:r w:rsidRPr="00E0488D">
        <w:rPr>
          <w:rStyle w:val="hps"/>
          <w:rFonts w:cs="Arial"/>
          <w:color w:val="000000" w:themeColor="text1"/>
        </w:rPr>
        <w:t>deja</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activ</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privat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alte locații</w:t>
      </w:r>
      <w:r w:rsidRPr="00E0488D">
        <w:t xml:space="preserve"> </w:t>
      </w:r>
      <w:r w:rsidRPr="00E0488D">
        <w:rPr>
          <w:rStyle w:val="hps"/>
          <w:rFonts w:cs="Arial"/>
          <w:color w:val="000000" w:themeColor="text1"/>
        </w:rPr>
        <w:t>este nevoie de</w:t>
      </w:r>
      <w:r w:rsidRPr="00E0488D">
        <w:t xml:space="preserve"> </w:t>
      </w:r>
      <w:r w:rsidRPr="00E0488D">
        <w:rPr>
          <w:rStyle w:val="hps"/>
          <w:rFonts w:cs="Arial"/>
          <w:color w:val="000000" w:themeColor="text1"/>
        </w:rPr>
        <w:t>renovări majore</w:t>
      </w:r>
      <w:r w:rsidRPr="00E0488D">
        <w:t xml:space="preserve"> </w:t>
      </w:r>
      <w:r w:rsidRPr="00E0488D">
        <w:rPr>
          <w:rStyle w:val="hps"/>
          <w:rFonts w:cs="Arial"/>
          <w:color w:val="000000" w:themeColor="text1"/>
        </w:rPr>
        <w:t>sau</w:t>
      </w:r>
      <w:r w:rsidRPr="00E0488D">
        <w:t xml:space="preserve"> de </w:t>
      </w:r>
      <w:r w:rsidRPr="00E0488D">
        <w:rPr>
          <w:rStyle w:val="hps"/>
          <w:rFonts w:cs="Arial"/>
          <w:color w:val="000000" w:themeColor="text1"/>
        </w:rPr>
        <w:t>înlocuirea</w:t>
      </w:r>
      <w:r w:rsidRPr="00E0488D">
        <w:t xml:space="preserve"> </w:t>
      </w:r>
      <w:r w:rsidRPr="00E0488D">
        <w:rPr>
          <w:rStyle w:val="hps"/>
          <w:rFonts w:cs="Arial"/>
          <w:color w:val="000000" w:themeColor="text1"/>
        </w:rPr>
        <w:t>terminalelor</w:t>
      </w:r>
      <w:r w:rsidRPr="00E0488D">
        <w:t xml:space="preserve"> </w:t>
      </w:r>
      <w:r w:rsidRPr="00E0488D">
        <w:rPr>
          <w:rStyle w:val="hps"/>
          <w:rFonts w:cs="Arial"/>
          <w:color w:val="000000" w:themeColor="text1"/>
        </w:rPr>
        <w:t>existente,</w:t>
      </w:r>
      <w:r w:rsidRPr="00E0488D">
        <w:t xml:space="preserve"> </w:t>
      </w:r>
      <w:r w:rsidRPr="00E0488D">
        <w:rPr>
          <w:rStyle w:val="hps"/>
          <w:rFonts w:cs="Arial"/>
          <w:color w:val="000000" w:themeColor="text1"/>
        </w:rPr>
        <w:t>selectate</w:t>
      </w:r>
      <w:r w:rsidRPr="00E0488D">
        <w:t xml:space="preserve"> </w:t>
      </w:r>
      <w:r w:rsidRPr="00E0488D">
        <w:rPr>
          <w:rStyle w:val="hps"/>
          <w:rFonts w:cs="Arial"/>
          <w:color w:val="000000" w:themeColor="text1"/>
        </w:rPr>
        <w:t>anterior,</w:t>
      </w:r>
      <w:r w:rsidRPr="00E0488D">
        <w:t xml:space="preserve"> </w:t>
      </w:r>
      <w:r w:rsidRPr="00E0488D">
        <w:rPr>
          <w:rStyle w:val="hps"/>
          <w:rFonts w:cs="Arial"/>
          <w:color w:val="000000" w:themeColor="text1"/>
        </w:rPr>
        <w:t>deținute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operate de</w:t>
      </w:r>
      <w:r w:rsidRPr="00E0488D">
        <w:t xml:space="preserve"> </w:t>
      </w:r>
      <w:r w:rsidRPr="00E0488D">
        <w:rPr>
          <w:rStyle w:val="hps"/>
          <w:rFonts w:cs="Arial"/>
          <w:color w:val="000000" w:themeColor="text1"/>
        </w:rPr>
        <w:t>CFR Marfă. În</w:t>
      </w:r>
      <w:r w:rsidRPr="00E0488D">
        <w:t xml:space="preserve"> </w:t>
      </w:r>
      <w:r w:rsidRPr="00E0488D">
        <w:rPr>
          <w:rStyle w:val="hps"/>
          <w:rFonts w:cs="Arial"/>
          <w:color w:val="000000" w:themeColor="text1"/>
        </w:rPr>
        <w:t>viitor</w:t>
      </w:r>
      <w:r w:rsidRPr="00E0488D">
        <w:t xml:space="preserve"> </w:t>
      </w:r>
      <w:r w:rsidRPr="00E0488D">
        <w:rPr>
          <w:rStyle w:val="hps"/>
          <w:rFonts w:cs="Arial"/>
          <w:color w:val="000000" w:themeColor="text1"/>
        </w:rPr>
        <w:t>acestea</w:t>
      </w:r>
      <w:r w:rsidRPr="00E0488D">
        <w:t xml:space="preserve"> </w:t>
      </w:r>
      <w:r w:rsidRPr="00E0488D">
        <w:rPr>
          <w:rStyle w:val="hps"/>
          <w:rFonts w:cs="Arial"/>
          <w:color w:val="000000" w:themeColor="text1"/>
        </w:rPr>
        <w:t>ar trebui să fie</w:t>
      </w:r>
      <w:r w:rsidRPr="00E0488D">
        <w:t xml:space="preserve"> </w:t>
      </w:r>
      <w:r w:rsidRPr="00E0488D">
        <w:rPr>
          <w:rStyle w:val="hps"/>
          <w:rFonts w:cs="Arial"/>
          <w:color w:val="000000" w:themeColor="text1"/>
        </w:rPr>
        <w:t>operate</w:t>
      </w:r>
      <w:r w:rsidRPr="00E0488D">
        <w:t xml:space="preserve"> </w:t>
      </w:r>
      <w:r w:rsidRPr="00E0488D">
        <w:rPr>
          <w:rStyle w:val="hps"/>
          <w:rFonts w:cs="Arial"/>
          <w:color w:val="000000" w:themeColor="text1"/>
        </w:rPr>
        <w:t>de către sectorul</w:t>
      </w:r>
      <w:r w:rsidRPr="00E0488D">
        <w:t xml:space="preserve"> </w:t>
      </w:r>
      <w:r w:rsidRPr="00E0488D">
        <w:rPr>
          <w:rStyle w:val="hps"/>
          <w:rFonts w:cs="Arial"/>
          <w:color w:val="000000" w:themeColor="text1"/>
        </w:rPr>
        <w:t>privat</w:t>
      </w:r>
      <w:r w:rsidRPr="00E0488D">
        <w:t xml:space="preserve">. </w:t>
      </w:r>
      <w:r w:rsidRPr="00E0488D">
        <w:rPr>
          <w:rStyle w:val="hps"/>
          <w:rFonts w:cs="Arial"/>
          <w:color w:val="000000" w:themeColor="text1"/>
        </w:rPr>
        <w:t>În timp ce</w:t>
      </w:r>
      <w:r w:rsidRPr="00E0488D">
        <w:t xml:space="preserve"> </w:t>
      </w:r>
      <w:r w:rsidRPr="00E0488D">
        <w:rPr>
          <w:rStyle w:val="hps"/>
          <w:rFonts w:cs="Arial"/>
          <w:color w:val="000000" w:themeColor="text1"/>
        </w:rPr>
        <w:t>toate</w:t>
      </w:r>
      <w:r w:rsidRPr="00E0488D">
        <w:t xml:space="preserve"> </w:t>
      </w:r>
      <w:r w:rsidRPr="00E0488D">
        <w:rPr>
          <w:rStyle w:val="hps"/>
          <w:rFonts w:cs="Arial"/>
          <w:color w:val="000000" w:themeColor="text1"/>
        </w:rPr>
        <w:t>terminalele</w:t>
      </w:r>
      <w:r w:rsidRPr="00E0488D">
        <w:t xml:space="preserve"> </w:t>
      </w:r>
      <w:r w:rsidRPr="00E0488D">
        <w:rPr>
          <w:rStyle w:val="hps"/>
          <w:rFonts w:cs="Arial"/>
          <w:color w:val="000000" w:themeColor="text1"/>
        </w:rPr>
        <w:t>vor</w:t>
      </w:r>
      <w:r w:rsidRPr="00E0488D">
        <w:t xml:space="preserve"> </w:t>
      </w:r>
      <w:r w:rsidRPr="00E0488D">
        <w:rPr>
          <w:rStyle w:val="hps"/>
          <w:rFonts w:cs="Arial"/>
          <w:color w:val="000000" w:themeColor="text1"/>
        </w:rPr>
        <w:t>permite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încuraja</w:t>
      </w:r>
      <w:r w:rsidRPr="00E0488D">
        <w:t xml:space="preserve"> </w:t>
      </w:r>
      <w:r w:rsidRPr="00E0488D">
        <w:rPr>
          <w:rStyle w:val="hps"/>
          <w:rFonts w:cs="Arial"/>
          <w:color w:val="000000" w:themeColor="text1"/>
        </w:rPr>
        <w:t>traficul internațional</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special</w:t>
      </w:r>
      <w:r w:rsidRPr="00E0488D">
        <w:t xml:space="preserve"> </w:t>
      </w:r>
      <w:r w:rsidRPr="00E0488D">
        <w:rPr>
          <w:rStyle w:val="hps"/>
          <w:rFonts w:cs="Arial"/>
          <w:color w:val="000000" w:themeColor="text1"/>
        </w:rPr>
        <w:t>terminale</w:t>
      </w:r>
      <w:r w:rsidRPr="00E0488D">
        <w:t xml:space="preserve">le de la </w:t>
      </w:r>
      <w:r w:rsidRPr="00E0488D">
        <w:rPr>
          <w:rStyle w:val="hps"/>
          <w:rFonts w:cs="Arial"/>
          <w:color w:val="000000" w:themeColor="text1"/>
        </w:rPr>
        <w:t>Timisoara</w:t>
      </w:r>
      <w:r w:rsidRPr="00E0488D">
        <w:t xml:space="preserve"> </w:t>
      </w:r>
      <w:r w:rsidRPr="00E0488D">
        <w:rPr>
          <w:rStyle w:val="hps"/>
          <w:rFonts w:cs="Arial"/>
          <w:color w:val="000000" w:themeColor="text1"/>
        </w:rPr>
        <w:t>(</w:t>
      </w:r>
      <w:r w:rsidRPr="00E0488D">
        <w:t xml:space="preserve">Seminic) </w:t>
      </w:r>
      <w:r w:rsidRPr="00E0488D">
        <w:rPr>
          <w:rStyle w:val="hps"/>
          <w:rFonts w:cs="Arial"/>
          <w:color w:val="000000" w:themeColor="text1"/>
        </w:rPr>
        <w:t>și</w:t>
      </w:r>
      <w:r w:rsidRPr="00E0488D">
        <w:t xml:space="preserve"> </w:t>
      </w:r>
      <w:r w:rsidRPr="00E0488D">
        <w:rPr>
          <w:rStyle w:val="hps"/>
          <w:rFonts w:cs="Arial"/>
          <w:color w:val="000000" w:themeColor="text1"/>
        </w:rPr>
        <w:t>Iași</w:t>
      </w:r>
      <w:r w:rsidRPr="00E0488D">
        <w:t xml:space="preserve"> </w:t>
      </w:r>
      <w:r w:rsidRPr="00E0488D">
        <w:rPr>
          <w:rStyle w:val="hps"/>
          <w:rFonts w:cs="Arial"/>
          <w:color w:val="000000" w:themeColor="text1"/>
        </w:rPr>
        <w:t>(</w:t>
      </w:r>
      <w:r w:rsidRPr="00E0488D">
        <w:t xml:space="preserve">Socola) </w:t>
      </w:r>
      <w:r w:rsidRPr="00E0488D">
        <w:rPr>
          <w:rStyle w:val="hps"/>
          <w:rFonts w:cs="Arial"/>
          <w:color w:val="000000" w:themeColor="text1"/>
        </w:rPr>
        <w:t>vor oferi</w:t>
      </w:r>
      <w:r w:rsidRPr="00E0488D">
        <w:t xml:space="preserve"> </w:t>
      </w:r>
      <w:r w:rsidRPr="00E0488D">
        <w:rPr>
          <w:rStyle w:val="hps"/>
          <w:rFonts w:cs="Arial"/>
          <w:color w:val="000000" w:themeColor="text1"/>
        </w:rPr>
        <w:t>acces</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rețeaua internațională</w:t>
      </w:r>
      <w:r w:rsidRPr="00E0488D">
        <w:t xml:space="preserve"> </w:t>
      </w:r>
      <w:r w:rsidRPr="00E0488D">
        <w:rPr>
          <w:rStyle w:val="hps"/>
          <w:rFonts w:cs="Arial"/>
          <w:color w:val="000000" w:themeColor="text1"/>
        </w:rPr>
        <w:t>dat</w:t>
      </w:r>
      <w:r w:rsidRPr="00E0488D">
        <w:t xml:space="preserve">orită </w:t>
      </w:r>
      <w:r w:rsidRPr="00E0488D">
        <w:rPr>
          <w:rStyle w:val="hps"/>
          <w:rFonts w:cs="Arial"/>
          <w:color w:val="000000" w:themeColor="text1"/>
        </w:rPr>
        <w:t>locațiilor acestora din</w:t>
      </w:r>
      <w:r w:rsidRPr="00E0488D">
        <w:t xml:space="preserve"> </w:t>
      </w:r>
      <w:r w:rsidRPr="00E0488D">
        <w:rPr>
          <w:rStyle w:val="hps"/>
          <w:rFonts w:cs="Arial"/>
          <w:color w:val="000000" w:themeColor="text1"/>
        </w:rPr>
        <w:t>vest</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est</w:t>
      </w:r>
      <w:r w:rsidRPr="00E0488D">
        <w:t xml:space="preserve">, respectiv. </w:t>
      </w:r>
      <w:r w:rsidRPr="00E0488D">
        <w:rPr>
          <w:rStyle w:val="hps"/>
          <w:rFonts w:cs="Arial"/>
          <w:color w:val="000000" w:themeColor="text1"/>
        </w:rPr>
        <w:t>Acesta din urmă</w:t>
      </w:r>
      <w:r w:rsidRPr="00E0488D">
        <w:t xml:space="preserve"> </w:t>
      </w:r>
      <w:r w:rsidRPr="00E0488D">
        <w:rPr>
          <w:rStyle w:val="hps"/>
          <w:rFonts w:cs="Arial"/>
          <w:color w:val="000000" w:themeColor="text1"/>
        </w:rPr>
        <w:t>oferă</w:t>
      </w:r>
      <w:r w:rsidRPr="00E0488D">
        <w:t xml:space="preserve">, de asemenea, </w:t>
      </w:r>
      <w:r w:rsidRPr="00E0488D">
        <w:rPr>
          <w:rStyle w:val="hps"/>
          <w:rFonts w:cs="Arial"/>
          <w:color w:val="000000" w:themeColor="text1"/>
        </w:rPr>
        <w:t>posibilitatea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transbordare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serviciilor pe calea ferată cu ecartament</w:t>
      </w:r>
      <w:r w:rsidRPr="00E0488D">
        <w:t xml:space="preserve"> </w:t>
      </w:r>
      <w:r w:rsidRPr="00E0488D">
        <w:rPr>
          <w:rStyle w:val="hps"/>
          <w:rFonts w:cs="Arial"/>
          <w:color w:val="000000" w:themeColor="text1"/>
        </w:rPr>
        <w:t>rusesc</w:t>
      </w:r>
      <w:r w:rsidRPr="00E0488D">
        <w:t xml:space="preserve"> </w:t>
      </w:r>
      <w:r w:rsidRPr="00E0488D">
        <w:rPr>
          <w:rStyle w:val="hps"/>
          <w:rFonts w:cs="Arial"/>
          <w:color w:val="000000" w:themeColor="text1"/>
        </w:rPr>
        <w:t>pentru</w:t>
      </w:r>
      <w:r w:rsidRPr="00E0488D">
        <w:t xml:space="preserve"> </w:t>
      </w:r>
      <w:r w:rsidRPr="00E0488D">
        <w:rPr>
          <w:rStyle w:val="hps"/>
          <w:rFonts w:cs="Arial"/>
          <w:color w:val="000000" w:themeColor="text1"/>
        </w:rPr>
        <w:t>Ucraina</w:t>
      </w:r>
      <w:r w:rsidRPr="00E0488D">
        <w:t xml:space="preserve">, </w:t>
      </w:r>
      <w:r w:rsidRPr="00E0488D">
        <w:rPr>
          <w:rStyle w:val="hps"/>
          <w:rFonts w:cs="Arial"/>
          <w:color w:val="000000" w:themeColor="text1"/>
        </w:rPr>
        <w:t>Rusia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 mare parte din</w:t>
      </w:r>
      <w:r w:rsidRPr="00E0488D">
        <w:t xml:space="preserve"> </w:t>
      </w:r>
      <w:r w:rsidRPr="00E0488D">
        <w:rPr>
          <w:rStyle w:val="hps"/>
          <w:rFonts w:cs="Arial"/>
          <w:color w:val="000000" w:themeColor="text1"/>
        </w:rPr>
        <w:t>Europa de Est</w:t>
      </w:r>
      <w:r w:rsidRPr="00E0488D">
        <w:t xml:space="preserve">. </w:t>
      </w:r>
      <w:r w:rsidRPr="00E0488D">
        <w:rPr>
          <w:rStyle w:val="hps"/>
          <w:rFonts w:cs="Arial"/>
          <w:color w:val="000000" w:themeColor="text1"/>
        </w:rPr>
        <w:t>Alte</w:t>
      </w:r>
      <w:r w:rsidRPr="00E0488D">
        <w:t xml:space="preserve"> </w:t>
      </w:r>
      <w:r w:rsidRPr="00E0488D">
        <w:rPr>
          <w:rStyle w:val="hps"/>
          <w:rFonts w:cs="Arial"/>
          <w:color w:val="000000" w:themeColor="text1"/>
        </w:rPr>
        <w:t>terminale</w:t>
      </w:r>
      <w:r w:rsidRPr="00E0488D">
        <w:t xml:space="preserve"> </w:t>
      </w:r>
      <w:r w:rsidRPr="00E0488D">
        <w:rPr>
          <w:rStyle w:val="hps"/>
          <w:rFonts w:cs="Arial"/>
          <w:color w:val="000000" w:themeColor="text1"/>
        </w:rPr>
        <w:t>vor fi</w:t>
      </w:r>
      <w:r w:rsidRPr="00E0488D">
        <w:t xml:space="preserve"> </w:t>
      </w:r>
      <w:r w:rsidRPr="00E0488D">
        <w:rPr>
          <w:rStyle w:val="hps"/>
          <w:rFonts w:cs="Arial"/>
          <w:color w:val="000000" w:themeColor="text1"/>
        </w:rPr>
        <w:t>situate în apropiere de</w:t>
      </w:r>
      <w:r w:rsidRPr="00E0488D">
        <w:t xml:space="preserve"> </w:t>
      </w:r>
      <w:r w:rsidRPr="00E0488D">
        <w:rPr>
          <w:rStyle w:val="hps"/>
          <w:rFonts w:cs="Arial"/>
          <w:color w:val="000000" w:themeColor="text1"/>
        </w:rPr>
        <w:t>marile centre de</w:t>
      </w:r>
      <w:r w:rsidRPr="00E0488D">
        <w:t xml:space="preserve"> </w:t>
      </w:r>
      <w:r w:rsidRPr="00E0488D">
        <w:rPr>
          <w:rStyle w:val="hps"/>
          <w:rFonts w:cs="Arial"/>
          <w:color w:val="000000" w:themeColor="text1"/>
        </w:rPr>
        <w:t>producție</w:t>
      </w:r>
      <w:r w:rsidRPr="00E0488D">
        <w:t xml:space="preserve"> </w:t>
      </w:r>
      <w:r w:rsidRPr="00E0488D">
        <w:rPr>
          <w:rStyle w:val="hps"/>
          <w:rFonts w:cs="Arial"/>
          <w:color w:val="000000" w:themeColor="text1"/>
        </w:rPr>
        <w:t>industrială</w:t>
      </w:r>
      <w:r w:rsidRPr="00E0488D">
        <w:t xml:space="preserve"> </w:t>
      </w:r>
      <w:r w:rsidRPr="00E0488D">
        <w:rPr>
          <w:rStyle w:val="hps"/>
          <w:rFonts w:cs="Arial"/>
          <w:color w:val="000000" w:themeColor="text1"/>
        </w:rPr>
        <w:t>românească</w:t>
      </w:r>
      <w:r w:rsidRPr="00E0488D">
        <w:t xml:space="preserve">, </w:t>
      </w:r>
      <w:r w:rsidRPr="00E0488D">
        <w:rPr>
          <w:rStyle w:val="hps"/>
          <w:rFonts w:cs="Arial"/>
          <w:color w:val="000000" w:themeColor="text1"/>
        </w:rPr>
        <w:t>activitate economică</w:t>
      </w:r>
      <w:r w:rsidRPr="00E0488D">
        <w:t xml:space="preserve"> </w:t>
      </w:r>
      <w:r w:rsidRPr="00E0488D">
        <w:rPr>
          <w:rStyle w:val="hps"/>
          <w:rFonts w:cs="Arial"/>
          <w:color w:val="000000" w:themeColor="text1"/>
        </w:rPr>
        <w:t>și de populației</w:t>
      </w:r>
      <w:r w:rsidRPr="00E0488D">
        <w:t xml:space="preserve">; </w:t>
      </w:r>
      <w:r w:rsidRPr="00E0488D">
        <w:rPr>
          <w:rStyle w:val="hps"/>
          <w:rFonts w:cs="Arial"/>
          <w:color w:val="000000" w:themeColor="text1"/>
        </w:rPr>
        <w:t>Craiova,</w:t>
      </w:r>
      <w:r w:rsidRPr="00E0488D">
        <w:t xml:space="preserve"> </w:t>
      </w:r>
      <w:r w:rsidRPr="00E0488D">
        <w:rPr>
          <w:rStyle w:val="hps"/>
          <w:rFonts w:cs="Arial"/>
          <w:color w:val="000000" w:themeColor="text1"/>
        </w:rPr>
        <w:t>Cluj</w:t>
      </w:r>
      <w:r w:rsidRPr="00E0488D">
        <w:t xml:space="preserve"> </w:t>
      </w:r>
      <w:r w:rsidRPr="00E0488D">
        <w:rPr>
          <w:rStyle w:val="hps"/>
          <w:rFonts w:cs="Arial"/>
          <w:color w:val="000000" w:themeColor="text1"/>
        </w:rPr>
        <w:t>Napoca</w:t>
      </w:r>
      <w:r w:rsidRPr="00E0488D">
        <w:t xml:space="preserve">, </w:t>
      </w:r>
      <w:r w:rsidRPr="00E0488D">
        <w:rPr>
          <w:rStyle w:val="hps"/>
          <w:rFonts w:cs="Arial"/>
          <w:color w:val="000000" w:themeColor="text1"/>
        </w:rPr>
        <w:t>Turdu</w:t>
      </w:r>
      <w:r w:rsidRPr="00E0488D">
        <w:t xml:space="preserve">, </w:t>
      </w:r>
      <w:r w:rsidRPr="00E0488D">
        <w:rPr>
          <w:rStyle w:val="hps"/>
          <w:rFonts w:cs="Arial"/>
          <w:color w:val="000000" w:themeColor="text1"/>
        </w:rPr>
        <w:t>Suceava</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Bacău</w:t>
      </w:r>
      <w:r w:rsidRPr="00E0488D">
        <w:t xml:space="preserve">. </w:t>
      </w:r>
      <w:r w:rsidRPr="00E0488D">
        <w:rPr>
          <w:rStyle w:val="hps"/>
          <w:rFonts w:cs="Arial"/>
          <w:color w:val="000000" w:themeColor="text1"/>
        </w:rPr>
        <w:t>Alături de</w:t>
      </w:r>
      <w:r w:rsidRPr="00E0488D">
        <w:t xml:space="preserve"> </w:t>
      </w:r>
      <w:r w:rsidRPr="00E0488D">
        <w:rPr>
          <w:rStyle w:val="hps"/>
          <w:rFonts w:cs="Arial"/>
          <w:color w:val="000000" w:themeColor="text1"/>
        </w:rPr>
        <w:t>terminalele</w:t>
      </w:r>
      <w:r w:rsidRPr="00E0488D">
        <w:t xml:space="preserve"> </w:t>
      </w:r>
      <w:r w:rsidRPr="00E0488D">
        <w:rPr>
          <w:rStyle w:val="hps"/>
          <w:rFonts w:cs="Arial"/>
          <w:color w:val="000000" w:themeColor="text1"/>
        </w:rPr>
        <w:t>tri</w:t>
      </w:r>
      <w:r w:rsidRPr="00E0488D">
        <w:rPr>
          <w:rStyle w:val="atn"/>
          <w:rFonts w:cs="Arial"/>
          <w:color w:val="000000" w:themeColor="text1"/>
        </w:rPr>
        <w:t>-</w:t>
      </w:r>
      <w:r w:rsidRPr="00E0488D">
        <w:t xml:space="preserve">modale propuse </w:t>
      </w:r>
      <w:r w:rsidRPr="00E0488D">
        <w:rPr>
          <w:rStyle w:val="hps"/>
          <w:rFonts w:cs="Arial"/>
          <w:color w:val="000000" w:themeColor="text1"/>
        </w:rPr>
        <w:t>pe Dunare</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Drobeta-Turnu</w:t>
      </w:r>
      <w:r w:rsidRPr="00E0488D">
        <w:t xml:space="preserve">-Severin, </w:t>
      </w:r>
      <w:r w:rsidRPr="00E0488D">
        <w:rPr>
          <w:rStyle w:val="hps"/>
          <w:rFonts w:cs="Arial"/>
          <w:color w:val="000000" w:themeColor="text1"/>
        </w:rPr>
        <w:t>Giurgiu</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Galați</w:t>
      </w:r>
      <w:r w:rsidRPr="00E0488D">
        <w:t xml:space="preserve">, transportul </w:t>
      </w:r>
      <w:r w:rsidRPr="00E0488D">
        <w:rPr>
          <w:rStyle w:val="hps"/>
          <w:rFonts w:cs="Arial"/>
          <w:color w:val="000000" w:themeColor="text1"/>
        </w:rPr>
        <w:t>feroviar va</w:t>
      </w:r>
      <w:r w:rsidRPr="00E0488D">
        <w:t xml:space="preserve"> </w:t>
      </w:r>
      <w:r w:rsidRPr="00E0488D">
        <w:rPr>
          <w:rStyle w:val="hps"/>
          <w:rFonts w:cs="Arial"/>
          <w:color w:val="000000" w:themeColor="text1"/>
        </w:rPr>
        <w:t>fi</w:t>
      </w:r>
      <w:r w:rsidRPr="00E0488D">
        <w:t xml:space="preserve"> </w:t>
      </w:r>
      <w:r w:rsidRPr="00E0488D">
        <w:rPr>
          <w:rStyle w:val="hps"/>
          <w:rFonts w:cs="Arial"/>
          <w:color w:val="000000" w:themeColor="text1"/>
        </w:rPr>
        <w:t>în măsură să ofere</w:t>
      </w:r>
      <w:r w:rsidRPr="00E0488D">
        <w:t xml:space="preserve"> </w:t>
      </w:r>
      <w:r w:rsidRPr="00E0488D">
        <w:rPr>
          <w:rStyle w:val="hps"/>
          <w:rFonts w:cs="Arial"/>
          <w:color w:val="000000" w:themeColor="text1"/>
        </w:rPr>
        <w:t>o rețea</w:t>
      </w:r>
      <w:r w:rsidRPr="00E0488D">
        <w:t xml:space="preserve"> extinsă de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legate</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liniile</w:t>
      </w:r>
      <w:r w:rsidRPr="00E0488D">
        <w:t xml:space="preserve"> </w:t>
      </w:r>
      <w:r w:rsidRPr="00E0488D">
        <w:rPr>
          <w:rStyle w:val="hps"/>
          <w:rFonts w:cs="Arial"/>
          <w:color w:val="000000" w:themeColor="text1"/>
        </w:rPr>
        <w:t>reabilitate</w:t>
      </w:r>
      <w:r w:rsidRPr="00E0488D">
        <w:t xml:space="preserve"> </w:t>
      </w:r>
      <w:r w:rsidRPr="00E0488D">
        <w:rPr>
          <w:rStyle w:val="hps"/>
          <w:rFonts w:cs="Arial"/>
          <w:color w:val="000000" w:themeColor="text1"/>
        </w:rPr>
        <w:t>promițătoare de</w:t>
      </w:r>
      <w:r w:rsidRPr="00E0488D">
        <w:t xml:space="preserve"> </w:t>
      </w:r>
      <w:r w:rsidRPr="00E0488D">
        <w:rPr>
          <w:rStyle w:val="hps"/>
          <w:rFonts w:cs="Arial"/>
          <w:color w:val="000000" w:themeColor="text1"/>
        </w:rPr>
        <w:t>servicii de încredere</w:t>
      </w:r>
      <w:r w:rsidRPr="00E0488D">
        <w:t xml:space="preserve">, </w:t>
      </w:r>
      <w:r w:rsidRPr="00E0488D">
        <w:rPr>
          <w:rStyle w:val="hps"/>
          <w:rFonts w:cs="Arial"/>
          <w:color w:val="000000" w:themeColor="text1"/>
        </w:rPr>
        <w:t>de transport rapid de marfă-</w:t>
      </w:r>
      <w:r w:rsidRPr="00E0488D">
        <w:t xml:space="preserve"> </w:t>
      </w:r>
      <w:r w:rsidRPr="00E0488D">
        <w:rPr>
          <w:rStyle w:val="hps"/>
          <w:rFonts w:cs="Arial"/>
          <w:color w:val="000000" w:themeColor="text1"/>
        </w:rPr>
        <w:t>o ofertă competitivă</w:t>
      </w:r>
      <w:r w:rsidRPr="00E0488D">
        <w:t xml:space="preserve"> </w:t>
      </w:r>
      <w:r w:rsidRPr="00E0488D">
        <w:rPr>
          <w:rStyle w:val="hps"/>
          <w:rFonts w:cs="Arial"/>
          <w:color w:val="000000" w:themeColor="text1"/>
        </w:rPr>
        <w:t>în comparație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transportul rutier de mărfuri</w:t>
      </w:r>
      <w:r w:rsidRPr="00E0488D">
        <w:t xml:space="preserve">. </w:t>
      </w:r>
      <w:r w:rsidRPr="00E0488D">
        <w:rPr>
          <w:rStyle w:val="hps"/>
          <w:rFonts w:cs="Arial"/>
          <w:color w:val="000000" w:themeColor="text1"/>
        </w:rPr>
        <w:t>Aceste aspecte sunt prezentate</w:t>
      </w:r>
      <w:r w:rsidRPr="00E0488D">
        <w:t xml:space="preserve"> </w:t>
      </w:r>
      <w:r w:rsidRPr="00E0488D">
        <w:rPr>
          <w:rStyle w:val="hps"/>
          <w:rFonts w:cs="Arial"/>
          <w:color w:val="000000" w:themeColor="text1"/>
        </w:rPr>
        <w:t>în Figura 8.20</w:t>
      </w:r>
      <w:r w:rsidRPr="00E0488D">
        <w:t>:</w:t>
      </w:r>
    </w:p>
    <w:p w:rsidR="00BD59B2" w:rsidRPr="00E0488D" w:rsidRDefault="00BD59B2" w:rsidP="002B7E09">
      <w:pPr>
        <w:pStyle w:val="NumberedParas"/>
      </w:pPr>
      <w:r w:rsidRPr="00E0488D">
        <w:rPr>
          <w:rStyle w:val="hps"/>
          <w:rFonts w:cs="Arial"/>
          <w:color w:val="000000" w:themeColor="text1"/>
        </w:rPr>
        <w:t>Transportul intermodal</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transportul feroviar de marfă</w:t>
      </w:r>
      <w:r w:rsidRPr="00E0488D">
        <w:t xml:space="preserve"> </w:t>
      </w:r>
      <w:r w:rsidRPr="00E0488D">
        <w:rPr>
          <w:rStyle w:val="hps"/>
          <w:rFonts w:cs="Arial"/>
          <w:color w:val="000000" w:themeColor="text1"/>
        </w:rPr>
        <w:t>vrac</w:t>
      </w:r>
      <w:r w:rsidRPr="00E0488D">
        <w:t xml:space="preserve"> </w:t>
      </w:r>
      <w:r w:rsidRPr="00E0488D">
        <w:rPr>
          <w:rStyle w:val="hps"/>
          <w:rFonts w:cs="Arial"/>
          <w:color w:val="000000" w:themeColor="text1"/>
        </w:rPr>
        <w:t>vor beneficia</w:t>
      </w:r>
      <w:r w:rsidRPr="00E0488D">
        <w:t xml:space="preserve">, de asemenea, </w:t>
      </w:r>
      <w:r w:rsidRPr="00E0488D">
        <w:rPr>
          <w:rStyle w:val="hps"/>
          <w:rFonts w:cs="Arial"/>
          <w:color w:val="000000" w:themeColor="text1"/>
        </w:rPr>
        <w:t>de</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serie de alte</w:t>
      </w:r>
      <w:r w:rsidRPr="00E0488D">
        <w:t xml:space="preserve"> </w:t>
      </w:r>
      <w:r w:rsidRPr="00E0488D">
        <w:rPr>
          <w:rStyle w:val="hps"/>
          <w:rFonts w:cs="Arial"/>
          <w:color w:val="000000" w:themeColor="text1"/>
        </w:rPr>
        <w:t>intervenții</w:t>
      </w:r>
      <w:r w:rsidRPr="00E0488D">
        <w:t xml:space="preserve">. </w:t>
      </w:r>
      <w:r w:rsidRPr="00E0488D">
        <w:rPr>
          <w:rStyle w:val="hps"/>
          <w:rFonts w:cs="Arial"/>
          <w:color w:val="000000" w:themeColor="text1"/>
        </w:rPr>
        <w:t>Există o oportunitate</w:t>
      </w:r>
      <w:r w:rsidRPr="00E0488D">
        <w:t xml:space="preserve"> </w:t>
      </w:r>
      <w:r w:rsidRPr="00E0488D">
        <w:rPr>
          <w:rStyle w:val="hps"/>
          <w:rFonts w:cs="Arial"/>
          <w:color w:val="000000" w:themeColor="text1"/>
        </w:rPr>
        <w:t>de simplificare</w:t>
      </w:r>
      <w:r w:rsidRPr="00E0488D">
        <w:t xml:space="preserve"> </w:t>
      </w:r>
      <w:r w:rsidRPr="00E0488D">
        <w:rPr>
          <w:rStyle w:val="hps"/>
          <w:rFonts w:cs="Arial"/>
          <w:color w:val="000000" w:themeColor="text1"/>
        </w:rPr>
        <w:t>și creștere a eficienței</w:t>
      </w:r>
      <w:r w:rsidRPr="00E0488D">
        <w:t xml:space="preserve"> </w:t>
      </w:r>
      <w:r w:rsidRPr="00E0488D">
        <w:rPr>
          <w:rStyle w:val="hps"/>
          <w:rFonts w:cs="Arial"/>
          <w:color w:val="000000" w:themeColor="text1"/>
        </w:rPr>
        <w:t>prin îmbunătățirea</w:t>
      </w:r>
      <w:r w:rsidRPr="00E0488D">
        <w:t xml:space="preserve"> cursurilor de </w:t>
      </w:r>
      <w:r w:rsidRPr="00E0488D">
        <w:rPr>
          <w:rStyle w:val="hps"/>
          <w:rFonts w:cs="Arial"/>
          <w:color w:val="000000" w:themeColor="text1"/>
        </w:rPr>
        <w:t>formare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utilizare a tehnologiei</w:t>
      </w:r>
      <w:r w:rsidRPr="00E0488D">
        <w:t xml:space="preserve">. </w:t>
      </w:r>
      <w:r w:rsidRPr="00E0488D">
        <w:rPr>
          <w:rStyle w:val="hps"/>
          <w:rFonts w:cs="Arial"/>
          <w:color w:val="000000" w:themeColor="text1"/>
        </w:rPr>
        <w:t>În timp ce unele</w:t>
      </w:r>
      <w:r w:rsidRPr="00E0488D">
        <w:t xml:space="preserve"> </w:t>
      </w:r>
      <w:r w:rsidRPr="00E0488D">
        <w:rPr>
          <w:rStyle w:val="hps"/>
          <w:rFonts w:cs="Arial"/>
          <w:color w:val="000000" w:themeColor="text1"/>
        </w:rPr>
        <w:t>sisteme moderne</w:t>
      </w:r>
      <w:r w:rsidRPr="00E0488D">
        <w:t xml:space="preserve"> </w:t>
      </w:r>
      <w:r w:rsidRPr="00E0488D">
        <w:rPr>
          <w:rStyle w:val="hps"/>
          <w:rFonts w:cs="Arial"/>
          <w:color w:val="000000" w:themeColor="text1"/>
        </w:rPr>
        <w:t>sunt</w:t>
      </w:r>
      <w:r w:rsidRPr="00E0488D">
        <w:t xml:space="preserve"> </w:t>
      </w:r>
      <w:r w:rsidRPr="00E0488D">
        <w:rPr>
          <w:rStyle w:val="hps"/>
          <w:rFonts w:cs="Arial"/>
          <w:color w:val="000000" w:themeColor="text1"/>
        </w:rPr>
        <w:t>utilizate</w:t>
      </w:r>
      <w:r w:rsidRPr="00E0488D">
        <w:t xml:space="preserve"> </w:t>
      </w:r>
      <w:r w:rsidRPr="00E0488D">
        <w:rPr>
          <w:rStyle w:val="hps"/>
          <w:rFonts w:cs="Arial"/>
          <w:color w:val="000000" w:themeColor="text1"/>
        </w:rPr>
        <w:t>în rețea</w:t>
      </w:r>
      <w:r w:rsidRPr="00E0488D">
        <w:t xml:space="preserve"> </w:t>
      </w:r>
      <w:r w:rsidRPr="00E0488D">
        <w:rPr>
          <w:rStyle w:val="hps"/>
          <w:rFonts w:cs="Arial"/>
          <w:color w:val="000000" w:themeColor="text1"/>
        </w:rPr>
        <w:t>(</w:t>
      </w:r>
      <w:r w:rsidRPr="00E0488D">
        <w:t xml:space="preserve">ARGOS </w:t>
      </w:r>
      <w:r w:rsidRPr="00E0488D">
        <w:rPr>
          <w:rStyle w:val="hps"/>
          <w:rFonts w:cs="Arial"/>
          <w:color w:val="000000" w:themeColor="text1"/>
        </w:rPr>
        <w:t>și</w:t>
      </w:r>
      <w:r w:rsidRPr="00E0488D">
        <w:t xml:space="preserve"> </w:t>
      </w:r>
      <w:r w:rsidRPr="00E0488D">
        <w:rPr>
          <w:rStyle w:val="hps"/>
          <w:rFonts w:cs="Arial"/>
          <w:color w:val="000000" w:themeColor="text1"/>
        </w:rPr>
        <w:t>utilizarea</w:t>
      </w:r>
      <w:r w:rsidRPr="00E0488D">
        <w:t xml:space="preserve"> sistemului </w:t>
      </w:r>
      <w:r w:rsidRPr="00E0488D">
        <w:rPr>
          <w:rStyle w:val="hps"/>
          <w:rFonts w:cs="Arial"/>
          <w:color w:val="000000" w:themeColor="text1"/>
        </w:rPr>
        <w:t>de</w:t>
      </w:r>
      <w:r w:rsidRPr="00E0488D">
        <w:t xml:space="preserve"> </w:t>
      </w:r>
      <w:r w:rsidRPr="00E0488D">
        <w:rPr>
          <w:rStyle w:val="hps"/>
          <w:rFonts w:cs="Arial"/>
          <w:color w:val="000000" w:themeColor="text1"/>
        </w:rPr>
        <w:t>urmărire GPS</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unii operatori</w:t>
      </w:r>
      <w:r w:rsidRPr="00E0488D">
        <w:t xml:space="preserve"> </w:t>
      </w:r>
      <w:r w:rsidRPr="00E0488D">
        <w:rPr>
          <w:rStyle w:val="hps"/>
          <w:rFonts w:cs="Arial"/>
          <w:color w:val="000000" w:themeColor="text1"/>
        </w:rPr>
        <w:t>privați</w:t>
      </w:r>
      <w:r w:rsidRPr="00E0488D">
        <w:t xml:space="preserve"> </w:t>
      </w:r>
      <w:r w:rsidRPr="00E0488D">
        <w:rPr>
          <w:rStyle w:val="hps"/>
          <w:rFonts w:cs="Arial"/>
          <w:color w:val="000000" w:themeColor="text1"/>
        </w:rPr>
        <w:t>de transport</w:t>
      </w:r>
      <w:r w:rsidRPr="00E0488D">
        <w:t xml:space="preserve"> </w:t>
      </w:r>
      <w:r w:rsidRPr="00E0488D">
        <w:rPr>
          <w:rStyle w:val="hps"/>
          <w:rFonts w:cs="Arial"/>
          <w:color w:val="000000" w:themeColor="text1"/>
        </w:rPr>
        <w:t>feroviar</w:t>
      </w:r>
      <w:r w:rsidRPr="00E0488D">
        <w:t xml:space="preserve">, de exemplu), </w:t>
      </w:r>
      <w:r w:rsidRPr="00E0488D">
        <w:rPr>
          <w:rStyle w:val="hps"/>
          <w:rFonts w:cs="Arial"/>
          <w:color w:val="000000" w:themeColor="text1"/>
        </w:rPr>
        <w:t>această utilizare</w:t>
      </w:r>
      <w:r w:rsidRPr="00E0488D">
        <w:t xml:space="preserve"> </w:t>
      </w:r>
      <w:r w:rsidRPr="00E0488D">
        <w:rPr>
          <w:rStyle w:val="hps"/>
          <w:rFonts w:cs="Arial"/>
          <w:color w:val="000000" w:themeColor="text1"/>
        </w:rPr>
        <w:t>este în prezent</w:t>
      </w:r>
      <w:r w:rsidRPr="00E0488D">
        <w:t xml:space="preserve"> </w:t>
      </w:r>
      <w:r w:rsidRPr="00E0488D">
        <w:rPr>
          <w:rStyle w:val="hps"/>
          <w:rFonts w:cs="Arial"/>
          <w:color w:val="000000" w:themeColor="text1"/>
        </w:rPr>
        <w:t>limitată</w:t>
      </w:r>
      <w:r w:rsidRPr="00E0488D">
        <w:t>.</w:t>
      </w:r>
      <w:r w:rsidRPr="00E0488D">
        <w:rPr>
          <w:rStyle w:val="atn"/>
          <w:rFonts w:cs="Arial"/>
          <w:color w:val="000000" w:themeColor="text1"/>
        </w:rPr>
        <w:t xml:space="preserve"> Extinderea gradului de utilizare a</w:t>
      </w:r>
      <w:r w:rsidRPr="00E0488D">
        <w:t xml:space="preserve"> </w:t>
      </w:r>
      <w:r w:rsidRPr="00E0488D">
        <w:rPr>
          <w:rStyle w:val="hps"/>
          <w:rFonts w:cs="Arial"/>
          <w:color w:val="000000" w:themeColor="text1"/>
        </w:rPr>
        <w:t>tehnologie este</w:t>
      </w:r>
      <w:r w:rsidRPr="00E0488D">
        <w:t xml:space="preserve"> </w:t>
      </w:r>
      <w:r w:rsidRPr="00E0488D">
        <w:rPr>
          <w:rStyle w:val="hps"/>
          <w:rFonts w:cs="Arial"/>
          <w:color w:val="000000" w:themeColor="text1"/>
        </w:rPr>
        <w:t>împiedicată și de</w:t>
      </w:r>
      <w:r w:rsidRPr="00E0488D">
        <w:t xml:space="preserve"> </w:t>
      </w:r>
      <w:r w:rsidRPr="00E0488D">
        <w:rPr>
          <w:rStyle w:val="hps"/>
          <w:rFonts w:cs="Arial"/>
          <w:color w:val="000000" w:themeColor="text1"/>
        </w:rPr>
        <w:t>instruirea</w:t>
      </w:r>
      <w:r w:rsidRPr="00E0488D">
        <w:t xml:space="preserve"> </w:t>
      </w:r>
      <w:r w:rsidRPr="00E0488D">
        <w:rPr>
          <w:rStyle w:val="hps"/>
          <w:rFonts w:cs="Arial"/>
          <w:color w:val="000000" w:themeColor="text1"/>
        </w:rPr>
        <w:t>tradițională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oarecum</w:t>
      </w:r>
      <w:r w:rsidRPr="00E0488D">
        <w:t xml:space="preserve"> </w:t>
      </w:r>
      <w:r w:rsidRPr="00E0488D">
        <w:rPr>
          <w:rStyle w:val="hps"/>
          <w:rFonts w:cs="Arial"/>
          <w:color w:val="000000" w:themeColor="text1"/>
        </w:rPr>
        <w:t>depășită a</w:t>
      </w:r>
      <w:r w:rsidRPr="00E0488D">
        <w:t xml:space="preserve"> </w:t>
      </w:r>
      <w:r w:rsidRPr="00E0488D">
        <w:rPr>
          <w:rStyle w:val="hps"/>
          <w:rFonts w:cs="Arial"/>
          <w:color w:val="000000" w:themeColor="text1"/>
        </w:rPr>
        <w:t>lucrătorilor</w:t>
      </w:r>
      <w:r w:rsidRPr="00E0488D">
        <w:t xml:space="preserve"> </w:t>
      </w:r>
      <w:r w:rsidRPr="00E0488D">
        <w:rPr>
          <w:rStyle w:val="hps"/>
          <w:rFonts w:cs="Arial"/>
          <w:color w:val="000000" w:themeColor="text1"/>
        </w:rPr>
        <w:t>de pe</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prin urmare,</w:t>
      </w:r>
      <w:r w:rsidRPr="00E0488D">
        <w:t xml:space="preserve"> </w:t>
      </w:r>
      <w:r w:rsidRPr="00E0488D">
        <w:rPr>
          <w:rStyle w:val="hps"/>
          <w:rFonts w:cs="Arial"/>
          <w:color w:val="000000" w:themeColor="text1"/>
        </w:rPr>
        <w:t>introducerea</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noi tehnologii</w:t>
      </w:r>
      <w:r w:rsidRPr="00E0488D">
        <w:t xml:space="preserve"> </w:t>
      </w:r>
      <w:r w:rsidRPr="00E0488D">
        <w:rPr>
          <w:rStyle w:val="hps"/>
          <w:rFonts w:cs="Arial"/>
          <w:color w:val="000000" w:themeColor="text1"/>
        </w:rPr>
        <w:t>ar trebui să fie</w:t>
      </w:r>
      <w:r w:rsidRPr="00E0488D">
        <w:t xml:space="preserve"> </w:t>
      </w:r>
      <w:r w:rsidRPr="00E0488D">
        <w:rPr>
          <w:rStyle w:val="hps"/>
          <w:rFonts w:cs="Arial"/>
          <w:color w:val="000000" w:themeColor="text1"/>
        </w:rPr>
        <w:t>inclusă într-un</w:t>
      </w:r>
      <w:r w:rsidRPr="00E0488D">
        <w:t xml:space="preserve"> </w:t>
      </w:r>
      <w:r w:rsidRPr="00E0488D">
        <w:rPr>
          <w:rStyle w:val="hps"/>
          <w:rFonts w:cs="Arial"/>
          <w:color w:val="000000" w:themeColor="text1"/>
        </w:rPr>
        <w:t>sistem</w:t>
      </w:r>
      <w:r w:rsidRPr="00E0488D">
        <w:t xml:space="preserve"> </w:t>
      </w:r>
      <w:r w:rsidRPr="00E0488D">
        <w:rPr>
          <w:rStyle w:val="hps"/>
          <w:rFonts w:cs="Arial"/>
          <w:color w:val="000000" w:themeColor="text1"/>
        </w:rPr>
        <w:t>de formare</w:t>
      </w:r>
      <w:r w:rsidRPr="00E0488D">
        <w:t xml:space="preserve"> </w:t>
      </w:r>
      <w:r w:rsidRPr="00E0488D">
        <w:rPr>
          <w:rStyle w:val="hps"/>
          <w:rFonts w:cs="Arial"/>
          <w:color w:val="000000" w:themeColor="text1"/>
        </w:rPr>
        <w:t>restructurat</w:t>
      </w:r>
      <w:r w:rsidRPr="00E0488D">
        <w:t xml:space="preserve"> </w:t>
      </w:r>
      <w:r w:rsidRPr="00E0488D">
        <w:rPr>
          <w:rStyle w:val="hps"/>
          <w:rFonts w:cs="Arial"/>
          <w:color w:val="000000" w:themeColor="text1"/>
        </w:rPr>
        <w:t>pentru a obține</w:t>
      </w:r>
      <w:r w:rsidRPr="00E0488D">
        <w:t xml:space="preserve"> </w:t>
      </w:r>
      <w:r w:rsidRPr="00E0488D">
        <w:rPr>
          <w:rStyle w:val="hps"/>
          <w:rFonts w:cs="Arial"/>
          <w:color w:val="000000" w:themeColor="text1"/>
        </w:rPr>
        <w:t>cea mai bună utilizare</w:t>
      </w:r>
      <w:r w:rsidRPr="00E0488D">
        <w:t xml:space="preserve"> </w:t>
      </w:r>
      <w:r w:rsidRPr="00E0488D">
        <w:rPr>
          <w:rStyle w:val="hps"/>
          <w:rFonts w:cs="Arial"/>
          <w:color w:val="000000" w:themeColor="text1"/>
        </w:rPr>
        <w:t>a</w:t>
      </w:r>
      <w:r w:rsidRPr="00E0488D">
        <w:t xml:space="preserve"> </w:t>
      </w:r>
      <w:r w:rsidRPr="00E0488D">
        <w:rPr>
          <w:rStyle w:val="hps"/>
          <w:rFonts w:cs="Arial"/>
          <w:color w:val="000000" w:themeColor="text1"/>
        </w:rPr>
        <w:t>noilor facilități</w:t>
      </w:r>
      <w:r w:rsidRPr="00E0488D">
        <w:t xml:space="preserve">, atât </w:t>
      </w:r>
      <w:r w:rsidRPr="00E0488D">
        <w:rPr>
          <w:rStyle w:val="hps"/>
          <w:rFonts w:cs="Arial"/>
          <w:color w:val="000000" w:themeColor="text1"/>
        </w:rPr>
        <w:t>pe termen</w:t>
      </w:r>
      <w:r w:rsidRPr="00E0488D">
        <w:t xml:space="preserve"> </w:t>
      </w:r>
      <w:r w:rsidRPr="00E0488D">
        <w:rPr>
          <w:rStyle w:val="hps"/>
          <w:rFonts w:cs="Arial"/>
          <w:color w:val="000000" w:themeColor="text1"/>
        </w:rPr>
        <w:t>scurt cât și lung</w:t>
      </w:r>
      <w:r w:rsidRPr="00E0488D">
        <w:t xml:space="preserve">. </w:t>
      </w:r>
    </w:p>
    <w:p w:rsidR="00BD59B2" w:rsidRPr="00E0488D" w:rsidRDefault="00BD59B2" w:rsidP="002B7E09">
      <w:pPr>
        <w:pStyle w:val="NumberedParas"/>
      </w:pPr>
      <w:r w:rsidRPr="00E0488D">
        <w:rPr>
          <w:rStyle w:val="hps"/>
          <w:rFonts w:cs="Arial"/>
          <w:color w:val="000000" w:themeColor="text1"/>
        </w:rPr>
        <w:t>În plus,</w:t>
      </w:r>
      <w:r w:rsidRPr="00E0488D">
        <w:t xml:space="preserve"> </w:t>
      </w:r>
      <w:r w:rsidRPr="00E0488D">
        <w:rPr>
          <w:rStyle w:val="hps"/>
          <w:rFonts w:cs="Arial"/>
          <w:color w:val="000000" w:themeColor="text1"/>
        </w:rPr>
        <w:t>privatizarea</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va permite operatorilor</w:t>
      </w:r>
      <w:r w:rsidRPr="00E0488D">
        <w:t xml:space="preserve"> </w:t>
      </w:r>
      <w:r w:rsidRPr="00E0488D">
        <w:rPr>
          <w:rStyle w:val="hps"/>
          <w:rFonts w:cs="Arial"/>
          <w:color w:val="000000" w:themeColor="text1"/>
        </w:rPr>
        <w:t>privați</w:t>
      </w:r>
      <w:r w:rsidRPr="00E0488D">
        <w:t xml:space="preserve"> </w:t>
      </w:r>
      <w:r w:rsidRPr="00E0488D">
        <w:rPr>
          <w:rStyle w:val="hps"/>
          <w:rFonts w:cs="Arial"/>
          <w:color w:val="000000" w:themeColor="text1"/>
        </w:rPr>
        <w:t>să</w:t>
      </w:r>
      <w:r w:rsidRPr="00E0488D">
        <w:t xml:space="preserve"> </w:t>
      </w:r>
      <w:r w:rsidRPr="00E0488D">
        <w:rPr>
          <w:rStyle w:val="hps"/>
          <w:rFonts w:cs="Arial"/>
          <w:color w:val="000000" w:themeColor="text1"/>
        </w:rPr>
        <w:t>dezvolte</w:t>
      </w:r>
      <w:r w:rsidRPr="00E0488D">
        <w:t xml:space="preserve"> </w:t>
      </w:r>
      <w:r w:rsidRPr="00E0488D">
        <w:rPr>
          <w:rStyle w:val="hps"/>
          <w:rFonts w:cs="Arial"/>
          <w:color w:val="000000" w:themeColor="text1"/>
        </w:rPr>
        <w:t>relații pe termen</w:t>
      </w:r>
      <w:r w:rsidRPr="00E0488D">
        <w:t xml:space="preserve"> </w:t>
      </w:r>
      <w:r w:rsidRPr="00E0488D">
        <w:rPr>
          <w:rStyle w:val="hps"/>
          <w:rFonts w:cs="Arial"/>
          <w:color w:val="000000" w:themeColor="text1"/>
        </w:rPr>
        <w:t>lung cu clienții</w:t>
      </w:r>
      <w:r w:rsidRPr="00E0488D">
        <w:t xml:space="preserve"> </w:t>
      </w:r>
      <w:r w:rsidRPr="00E0488D">
        <w:rPr>
          <w:rStyle w:val="hps"/>
          <w:rFonts w:cs="Arial"/>
          <w:color w:val="000000" w:themeColor="text1"/>
        </w:rPr>
        <w:t>cheie</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incertitudinea</w:t>
      </w:r>
      <w:r w:rsidRPr="00E0488D">
        <w:t xml:space="preserve"> </w:t>
      </w:r>
      <w:r w:rsidRPr="00E0488D">
        <w:rPr>
          <w:rStyle w:val="hps"/>
          <w:rFonts w:cs="Arial"/>
          <w:color w:val="000000" w:themeColor="text1"/>
        </w:rPr>
        <w:t>asupra viitorului</w:t>
      </w:r>
      <w:r w:rsidRPr="00E0488D">
        <w:t xml:space="preserve"> </w:t>
      </w:r>
      <w:r w:rsidRPr="00E0488D">
        <w:rPr>
          <w:rStyle w:val="hps"/>
          <w:rFonts w:cs="Arial"/>
          <w:color w:val="000000" w:themeColor="text1"/>
        </w:rPr>
        <w:t>CFR Marfă</w:t>
      </w:r>
      <w:r w:rsidRPr="00E0488D">
        <w:t xml:space="preserve"> </w:t>
      </w:r>
      <w:r w:rsidRPr="00E0488D">
        <w:rPr>
          <w:rStyle w:val="hps"/>
          <w:rFonts w:cs="Arial"/>
          <w:color w:val="000000" w:themeColor="text1"/>
        </w:rPr>
        <w:t>presupune blocarea transportului pe</w:t>
      </w:r>
      <w:r w:rsidRPr="00E0488D">
        <w:t xml:space="preserve"> </w:t>
      </w:r>
      <w:r w:rsidRPr="00E0488D">
        <w:rPr>
          <w:rStyle w:val="hps"/>
          <w:rFonts w:cs="Arial"/>
          <w:color w:val="000000" w:themeColor="text1"/>
        </w:rPr>
        <w:t>calea ferată</w:t>
      </w:r>
      <w:r w:rsidRPr="00E0488D">
        <w:t xml:space="preserve"> </w:t>
      </w:r>
      <w:r w:rsidRPr="00E0488D">
        <w:rPr>
          <w:rStyle w:val="hps"/>
          <w:rFonts w:cs="Arial"/>
          <w:color w:val="000000" w:themeColor="text1"/>
        </w:rPr>
        <w:t>într-un</w:t>
      </w:r>
      <w:r w:rsidRPr="00E0488D">
        <w:t xml:space="preserve"> </w:t>
      </w:r>
      <w:r w:rsidRPr="00E0488D">
        <w:rPr>
          <w:rStyle w:val="hps"/>
          <w:rFonts w:cs="Arial"/>
          <w:color w:val="000000" w:themeColor="text1"/>
        </w:rPr>
        <w:t>ciclu</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contracte pe termen scurt</w:t>
      </w:r>
      <w:r w:rsidRPr="00E0488D">
        <w:t xml:space="preserve">, </w:t>
      </w:r>
      <w:r w:rsidRPr="00E0488D">
        <w:rPr>
          <w:rStyle w:val="hps"/>
          <w:rFonts w:cs="Arial"/>
          <w:color w:val="000000" w:themeColor="text1"/>
        </w:rPr>
        <w:t>întreținere</w:t>
      </w:r>
      <w:r w:rsidRPr="00E0488D">
        <w:t xml:space="preserve"> </w:t>
      </w:r>
      <w:r w:rsidRPr="00E0488D">
        <w:rPr>
          <w:rStyle w:val="hps"/>
          <w:rFonts w:cs="Arial"/>
          <w:color w:val="000000" w:themeColor="text1"/>
        </w:rPr>
        <w:t>limitată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o incapacitate de a</w:t>
      </w:r>
      <w:r w:rsidRPr="00E0488D">
        <w:t xml:space="preserve"> </w:t>
      </w:r>
      <w:r w:rsidRPr="00E0488D">
        <w:rPr>
          <w:rStyle w:val="hps"/>
          <w:rFonts w:cs="Arial"/>
          <w:color w:val="000000" w:themeColor="text1"/>
        </w:rPr>
        <w:t>lua decizii de investiții</w:t>
      </w:r>
      <w:r w:rsidRPr="00E0488D">
        <w:t xml:space="preserve">, </w:t>
      </w:r>
      <w:r w:rsidRPr="00E0488D">
        <w:rPr>
          <w:rStyle w:val="hps"/>
          <w:rFonts w:cs="Arial"/>
          <w:color w:val="000000" w:themeColor="text1"/>
        </w:rPr>
        <w:t>întrucât</w:t>
      </w:r>
      <w:r w:rsidRPr="00E0488D">
        <w:t xml:space="preserve"> </w:t>
      </w:r>
      <w:r w:rsidRPr="00E0488D">
        <w:rPr>
          <w:rStyle w:val="hps"/>
          <w:rFonts w:cs="Arial"/>
          <w:color w:val="000000" w:themeColor="text1"/>
        </w:rPr>
        <w:t>gândirea</w:t>
      </w:r>
      <w:r w:rsidRPr="00E0488D">
        <w:t xml:space="preserve"> </w:t>
      </w:r>
      <w:r w:rsidRPr="00E0488D">
        <w:rPr>
          <w:rStyle w:val="hps"/>
          <w:rFonts w:cs="Arial"/>
          <w:color w:val="000000" w:themeColor="text1"/>
        </w:rPr>
        <w:t>pe termen lung este limitată,</w:t>
      </w:r>
      <w:r w:rsidRPr="00E0488D">
        <w:t xml:space="preserve"> </w:t>
      </w:r>
      <w:r w:rsidRPr="00E0488D">
        <w:rPr>
          <w:rStyle w:val="hps"/>
          <w:rFonts w:cs="Arial"/>
          <w:color w:val="000000" w:themeColor="text1"/>
        </w:rPr>
        <w:t>într-o organizație</w:t>
      </w:r>
      <w:r w:rsidRPr="00E0488D">
        <w:t xml:space="preserve"> </w:t>
      </w:r>
      <w:r w:rsidRPr="00E0488D">
        <w:rPr>
          <w:rStyle w:val="hps"/>
          <w:rFonts w:cs="Arial"/>
          <w:color w:val="000000" w:themeColor="text1"/>
        </w:rPr>
        <w:t>care</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încă</w:t>
      </w:r>
      <w:r w:rsidRPr="00E0488D">
        <w:t xml:space="preserve"> </w:t>
      </w:r>
      <w:r w:rsidRPr="00E0488D">
        <w:rPr>
          <w:rStyle w:val="hps"/>
          <w:rFonts w:cs="Arial"/>
          <w:color w:val="000000" w:themeColor="text1"/>
        </w:rPr>
        <w:t>incertă</w:t>
      </w:r>
      <w:r w:rsidRPr="00E0488D">
        <w:t xml:space="preserve"> </w:t>
      </w:r>
      <w:r w:rsidRPr="00E0488D">
        <w:rPr>
          <w:rStyle w:val="hps"/>
          <w:rFonts w:cs="Arial"/>
          <w:color w:val="000000" w:themeColor="text1"/>
        </w:rPr>
        <w:t>asupra viitorului</w:t>
      </w:r>
      <w:r w:rsidRPr="00E0488D">
        <w:t xml:space="preserve"> </w:t>
      </w:r>
      <w:r w:rsidRPr="00E0488D">
        <w:rPr>
          <w:rStyle w:val="hps"/>
          <w:rFonts w:cs="Arial"/>
          <w:color w:val="000000" w:themeColor="text1"/>
        </w:rPr>
        <w:t>său</w:t>
      </w:r>
      <w:r w:rsidRPr="00E0488D">
        <w:t xml:space="preserve">. </w:t>
      </w:r>
    </w:p>
    <w:p w:rsidR="00BD59B2" w:rsidRPr="00E0488D" w:rsidRDefault="00BD59B2" w:rsidP="002B7E09">
      <w:pPr>
        <w:pStyle w:val="NumberedParas"/>
      </w:pPr>
      <w:r w:rsidRPr="00E0488D">
        <w:rPr>
          <w:rStyle w:val="hps"/>
          <w:rFonts w:cs="Arial"/>
          <w:color w:val="000000" w:themeColor="text1"/>
        </w:rPr>
        <w:t>O astfel de</w:t>
      </w:r>
      <w:r w:rsidRPr="00E0488D">
        <w:t xml:space="preserve"> </w:t>
      </w:r>
      <w:r w:rsidRPr="00E0488D">
        <w:rPr>
          <w:rStyle w:val="hps"/>
          <w:rFonts w:cs="Arial"/>
          <w:color w:val="000000" w:themeColor="text1"/>
        </w:rPr>
        <w:t>gândire</w:t>
      </w:r>
      <w:r w:rsidRPr="00E0488D">
        <w:t xml:space="preserve"> </w:t>
      </w:r>
      <w:r w:rsidRPr="00E0488D">
        <w:rPr>
          <w:rStyle w:val="hps"/>
          <w:rFonts w:cs="Arial"/>
          <w:color w:val="000000" w:themeColor="text1"/>
        </w:rPr>
        <w:t>pe termen lung</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noua</w:t>
      </w:r>
      <w:r w:rsidRPr="00E0488D">
        <w:t xml:space="preserve"> </w:t>
      </w:r>
      <w:r w:rsidRPr="00E0488D">
        <w:rPr>
          <w:rStyle w:val="hps"/>
          <w:rFonts w:cs="Arial"/>
          <w:color w:val="000000" w:themeColor="text1"/>
        </w:rPr>
        <w:t>tehnologie ar putea fi</w:t>
      </w:r>
      <w:r w:rsidRPr="00E0488D">
        <w:t xml:space="preserve">, de asemenea, </w:t>
      </w:r>
      <w:r w:rsidRPr="00E0488D">
        <w:rPr>
          <w:rStyle w:val="hps"/>
          <w:rFonts w:cs="Arial"/>
          <w:color w:val="000000" w:themeColor="text1"/>
        </w:rPr>
        <w:t>utilizate în rețea</w:t>
      </w:r>
      <w:r w:rsidRPr="00E0488D">
        <w:t xml:space="preserve"> </w:t>
      </w:r>
      <w:r w:rsidRPr="00E0488D">
        <w:rPr>
          <w:rStyle w:val="hps"/>
          <w:rFonts w:cs="Arial"/>
          <w:color w:val="000000" w:themeColor="text1"/>
        </w:rPr>
        <w:t>pentru a o putea exploata cât mai mult timp</w:t>
      </w:r>
      <w:r w:rsidRPr="00E0488D">
        <w:t xml:space="preserve">. </w:t>
      </w:r>
      <w:r w:rsidRPr="00E0488D">
        <w:rPr>
          <w:rStyle w:val="hps"/>
          <w:rFonts w:cs="Arial"/>
          <w:color w:val="000000" w:themeColor="text1"/>
        </w:rPr>
        <w:t>O parte din materialul</w:t>
      </w:r>
      <w:r w:rsidRPr="00E0488D">
        <w:t xml:space="preserve"> </w:t>
      </w:r>
      <w:r w:rsidRPr="00E0488D">
        <w:rPr>
          <w:rStyle w:val="hps"/>
          <w:rFonts w:cs="Arial"/>
          <w:color w:val="000000" w:themeColor="text1"/>
        </w:rPr>
        <w:t>rulant</w:t>
      </w:r>
      <w:r w:rsidRPr="00E0488D">
        <w:t xml:space="preserve"> curent </w:t>
      </w:r>
      <w:r w:rsidRPr="00E0488D">
        <w:rPr>
          <w:rStyle w:val="hps"/>
          <w:rFonts w:cs="Arial"/>
          <w:color w:val="000000" w:themeColor="text1"/>
        </w:rPr>
        <w:t>este</w:t>
      </w:r>
      <w:r w:rsidRPr="00E0488D">
        <w:t xml:space="preserve"> </w:t>
      </w:r>
      <w:r w:rsidRPr="00E0488D">
        <w:rPr>
          <w:rStyle w:val="hps"/>
          <w:rFonts w:cs="Arial"/>
          <w:color w:val="000000" w:themeColor="text1"/>
        </w:rPr>
        <w:t>folosit</w:t>
      </w:r>
      <w:r w:rsidRPr="00E0488D">
        <w:t xml:space="preserve"> într-un mod </w:t>
      </w:r>
      <w:r w:rsidRPr="00E0488D">
        <w:rPr>
          <w:rStyle w:val="hps"/>
          <w:rFonts w:cs="Arial"/>
          <w:color w:val="000000" w:themeColor="text1"/>
        </w:rPr>
        <w:t>sub-</w:t>
      </w:r>
      <w:r w:rsidRPr="00E0488D">
        <w:t xml:space="preserve">optim. </w:t>
      </w:r>
      <w:r w:rsidRPr="00E0488D">
        <w:rPr>
          <w:rStyle w:val="hps"/>
          <w:rFonts w:cs="Arial"/>
          <w:color w:val="000000" w:themeColor="text1"/>
        </w:rPr>
        <w:t>Trenurile</w:t>
      </w:r>
      <w:r w:rsidRPr="00E0488D">
        <w:t xml:space="preserve"> </w:t>
      </w:r>
      <w:r w:rsidRPr="00E0488D">
        <w:rPr>
          <w:rStyle w:val="hps"/>
          <w:rFonts w:cs="Arial"/>
          <w:color w:val="000000" w:themeColor="text1"/>
        </w:rPr>
        <w:t>ar putea fi folosite</w:t>
      </w:r>
      <w:r w:rsidRPr="00E0488D">
        <w:t xml:space="preserve"> </w:t>
      </w:r>
      <w:r w:rsidRPr="00E0488D">
        <w:rPr>
          <w:rStyle w:val="hps"/>
          <w:rFonts w:cs="Arial"/>
          <w:color w:val="000000" w:themeColor="text1"/>
        </w:rPr>
        <w:t>mai</w:t>
      </w:r>
      <w:r w:rsidRPr="00E0488D">
        <w:t xml:space="preserve"> </w:t>
      </w:r>
      <w:r w:rsidRPr="00E0488D">
        <w:rPr>
          <w:rStyle w:val="hps"/>
          <w:rFonts w:cs="Arial"/>
          <w:color w:val="000000" w:themeColor="text1"/>
        </w:rPr>
        <w:t>productiv</w:t>
      </w:r>
      <w:r w:rsidRPr="00E0488D">
        <w:t xml:space="preserve">, </w:t>
      </w:r>
      <w:r w:rsidRPr="00E0488D">
        <w:rPr>
          <w:rStyle w:val="hps"/>
          <w:rFonts w:cs="Arial"/>
          <w:color w:val="000000" w:themeColor="text1"/>
        </w:rPr>
        <w:t>fiind încărcate</w:t>
      </w:r>
      <w:r w:rsidRPr="00E0488D">
        <w:t xml:space="preserve"> </w:t>
      </w:r>
      <w:r w:rsidRPr="00E0488D">
        <w:rPr>
          <w:rStyle w:val="hps"/>
          <w:rFonts w:cs="Arial"/>
          <w:color w:val="000000" w:themeColor="text1"/>
        </w:rPr>
        <w:t>/</w:t>
      </w:r>
      <w:r w:rsidRPr="00E0488D">
        <w:t xml:space="preserve"> </w:t>
      </w:r>
      <w:r w:rsidRPr="00E0488D">
        <w:rPr>
          <w:rStyle w:val="hps"/>
          <w:rFonts w:cs="Arial"/>
          <w:color w:val="000000" w:themeColor="text1"/>
        </w:rPr>
        <w:t>descărcate</w:t>
      </w:r>
      <w:r w:rsidRPr="00E0488D">
        <w:t xml:space="preserve"> </w:t>
      </w:r>
      <w:r w:rsidRPr="00E0488D">
        <w:rPr>
          <w:rStyle w:val="hps"/>
          <w:rFonts w:cs="Arial"/>
          <w:color w:val="000000" w:themeColor="text1"/>
        </w:rPr>
        <w:t>mai rapid</w:t>
      </w:r>
      <w:r w:rsidRPr="00E0488D">
        <w:t xml:space="preserve">, </w:t>
      </w:r>
      <w:r w:rsidRPr="00E0488D">
        <w:rPr>
          <w:rStyle w:val="hps"/>
          <w:rFonts w:cs="Arial"/>
          <w:color w:val="000000" w:themeColor="text1"/>
        </w:rPr>
        <w:t>prin reducerea</w:t>
      </w:r>
      <w:r w:rsidRPr="00E0488D">
        <w:t xml:space="preserve"> </w:t>
      </w:r>
      <w:r w:rsidRPr="00E0488D">
        <w:rPr>
          <w:rStyle w:val="hps"/>
          <w:rFonts w:cs="Arial"/>
          <w:color w:val="000000" w:themeColor="text1"/>
        </w:rPr>
        <w:t>timpului de călătorie</w:t>
      </w:r>
      <w:r w:rsidRPr="00E0488D">
        <w:t xml:space="preserve">, </w:t>
      </w:r>
      <w:r w:rsidRPr="00E0488D">
        <w:rPr>
          <w:rStyle w:val="hps"/>
          <w:rFonts w:cs="Arial"/>
          <w:color w:val="000000" w:themeColor="text1"/>
        </w:rPr>
        <w:t>transportând</w:t>
      </w:r>
      <w:r w:rsidRPr="00E0488D">
        <w:t xml:space="preserve"> </w:t>
      </w:r>
      <w:r w:rsidRPr="00E0488D">
        <w:rPr>
          <w:rStyle w:val="hps"/>
          <w:rFonts w:cs="Arial"/>
          <w:color w:val="000000" w:themeColor="text1"/>
        </w:rPr>
        <w:t>mai multă</w:t>
      </w:r>
      <w:r w:rsidRPr="00E0488D">
        <w:t xml:space="preserve"> </w:t>
      </w:r>
      <w:r w:rsidRPr="00E0488D">
        <w:rPr>
          <w:rStyle w:val="hps"/>
          <w:rFonts w:cs="Arial"/>
          <w:color w:val="000000" w:themeColor="text1"/>
        </w:rPr>
        <w:t>sarcină utilă</w:t>
      </w:r>
      <w:r w:rsidRPr="00E0488D">
        <w:t xml:space="preserve"> </w:t>
      </w:r>
      <w:r w:rsidRPr="00E0488D">
        <w:rPr>
          <w:rStyle w:val="hps"/>
          <w:rFonts w:cs="Arial"/>
          <w:color w:val="000000" w:themeColor="text1"/>
        </w:rPr>
        <w:t>și</w:t>
      </w:r>
      <w:r w:rsidRPr="00E0488D">
        <w:t xml:space="preserve">, în general, prin </w:t>
      </w:r>
      <w:r w:rsidRPr="00E0488D">
        <w:rPr>
          <w:rStyle w:val="hps"/>
          <w:rFonts w:cs="Arial"/>
          <w:color w:val="000000" w:themeColor="text1"/>
        </w:rPr>
        <w:t>creșterea veniturile</w:t>
      </w:r>
      <w:r w:rsidRPr="00E0488D">
        <w:t xml:space="preserve"> </w:t>
      </w:r>
      <w:r w:rsidRPr="00E0488D">
        <w:rPr>
          <w:rStyle w:val="hps"/>
          <w:rFonts w:cs="Arial"/>
          <w:color w:val="000000" w:themeColor="text1"/>
        </w:rPr>
        <w:t>anuale pe setul de tren,</w:t>
      </w:r>
      <w:r w:rsidRPr="00E0488D">
        <w:t xml:space="preserve"> </w:t>
      </w:r>
      <w:r w:rsidRPr="00E0488D">
        <w:rPr>
          <w:rStyle w:val="hps"/>
          <w:rFonts w:cs="Arial"/>
          <w:color w:val="000000" w:themeColor="text1"/>
        </w:rPr>
        <w:t>pe an</w:t>
      </w:r>
      <w:r w:rsidRPr="00E0488D">
        <w:t xml:space="preserve">. </w:t>
      </w:r>
      <w:r w:rsidRPr="00E0488D">
        <w:rPr>
          <w:rStyle w:val="hps"/>
          <w:rFonts w:cs="Arial"/>
          <w:color w:val="000000" w:themeColor="text1"/>
        </w:rPr>
        <w:t>Un</w:t>
      </w:r>
      <w:r w:rsidRPr="00E0488D">
        <w:t xml:space="preserve"> </w:t>
      </w:r>
      <w:r w:rsidRPr="00E0488D">
        <w:rPr>
          <w:rStyle w:val="hps"/>
          <w:rFonts w:cs="Arial"/>
          <w:color w:val="000000" w:themeColor="text1"/>
        </w:rPr>
        <w:t>exemplu</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sistem</w:t>
      </w:r>
      <w:r w:rsidRPr="00E0488D">
        <w:t xml:space="preserve"> </w:t>
      </w:r>
      <w:r w:rsidRPr="00E0488D">
        <w:rPr>
          <w:rStyle w:val="hps"/>
          <w:rFonts w:cs="Arial"/>
          <w:color w:val="000000" w:themeColor="text1"/>
        </w:rPr>
        <w:t>care nu este utilizat</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România</w:t>
      </w:r>
      <w:r w:rsidRPr="00E0488D">
        <w:t xml:space="preserve">, dar </w:t>
      </w:r>
      <w:r w:rsidRPr="00E0488D">
        <w:rPr>
          <w:rStyle w:val="hps"/>
          <w:rFonts w:cs="Arial"/>
          <w:color w:val="000000" w:themeColor="text1"/>
        </w:rPr>
        <w:t>potrivit</w:t>
      </w:r>
      <w:r w:rsidRPr="00E0488D">
        <w:t xml:space="preserve"> </w:t>
      </w:r>
      <w:r w:rsidRPr="00E0488D">
        <w:rPr>
          <w:rStyle w:val="hps"/>
          <w:rFonts w:cs="Arial"/>
          <w:color w:val="000000" w:themeColor="text1"/>
        </w:rPr>
        <w:t>unui</w:t>
      </w:r>
      <w:r w:rsidRPr="00E0488D">
        <w:t xml:space="preserve"> </w:t>
      </w:r>
      <w:r w:rsidRPr="00E0488D">
        <w:rPr>
          <w:rStyle w:val="hps"/>
          <w:rFonts w:cs="Arial"/>
          <w:color w:val="000000" w:themeColor="text1"/>
        </w:rPr>
        <w:t>număr</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locomotive</w:t>
      </w:r>
      <w:r w:rsidRPr="00E0488D">
        <w:t xml:space="preserve"> </w:t>
      </w:r>
      <w:r w:rsidRPr="00E0488D">
        <w:rPr>
          <w:rStyle w:val="hps"/>
          <w:rFonts w:cs="Arial"/>
          <w:color w:val="000000" w:themeColor="text1"/>
        </w:rPr>
        <w:t>utilizate de</w:t>
      </w:r>
      <w:r w:rsidRPr="00E0488D">
        <w:t xml:space="preserve"> </w:t>
      </w:r>
      <w:r w:rsidRPr="00E0488D">
        <w:rPr>
          <w:rStyle w:val="hps"/>
          <w:rFonts w:cs="Arial"/>
          <w:color w:val="000000" w:themeColor="text1"/>
        </w:rPr>
        <w:t>sectorul</w:t>
      </w:r>
      <w:r w:rsidRPr="00E0488D">
        <w:t xml:space="preserve"> </w:t>
      </w:r>
      <w:r w:rsidRPr="00E0488D">
        <w:rPr>
          <w:rStyle w:val="hps"/>
          <w:rFonts w:cs="Arial"/>
          <w:color w:val="000000" w:themeColor="text1"/>
        </w:rPr>
        <w:t>privat</w:t>
      </w:r>
      <w:r w:rsidRPr="00E0488D">
        <w:t xml:space="preserve"> </w:t>
      </w:r>
      <w:r w:rsidRPr="00E0488D">
        <w:rPr>
          <w:rStyle w:val="hps"/>
          <w:rFonts w:cs="Arial"/>
          <w:color w:val="000000" w:themeColor="text1"/>
        </w:rPr>
        <w:t>în țară este</w:t>
      </w:r>
      <w:r w:rsidRPr="00E0488D">
        <w:t xml:space="preserve"> sistemul </w:t>
      </w:r>
      <w:r w:rsidRPr="00E0488D">
        <w:rPr>
          <w:rStyle w:val="hps"/>
          <w:rFonts w:cs="Arial"/>
          <w:color w:val="000000" w:themeColor="text1"/>
        </w:rPr>
        <w:t>de franare regenerativă</w:t>
      </w:r>
      <w:r w:rsidRPr="00E0488D">
        <w:t xml:space="preserve">, </w:t>
      </w:r>
      <w:r w:rsidRPr="00E0488D">
        <w:rPr>
          <w:rStyle w:val="hps"/>
          <w:rFonts w:cs="Arial"/>
          <w:color w:val="000000" w:themeColor="text1"/>
        </w:rPr>
        <w:t>prin care</w:t>
      </w:r>
      <w:r w:rsidRPr="00E0488D">
        <w:t xml:space="preserve"> </w:t>
      </w:r>
      <w:r w:rsidRPr="00E0488D">
        <w:rPr>
          <w:rStyle w:val="hps"/>
          <w:rFonts w:cs="Arial"/>
          <w:color w:val="000000" w:themeColor="text1"/>
        </w:rPr>
        <w:t>energia eliberată</w:t>
      </w:r>
      <w:r w:rsidRPr="00E0488D">
        <w:t xml:space="preserve"> </w:t>
      </w:r>
      <w:r w:rsidRPr="00E0488D">
        <w:rPr>
          <w:rStyle w:val="hps"/>
          <w:rFonts w:cs="Arial"/>
          <w:color w:val="000000" w:themeColor="text1"/>
        </w:rPr>
        <w:t>de trenuri</w:t>
      </w:r>
      <w:r w:rsidRPr="00E0488D">
        <w:t xml:space="preserve"> la </w:t>
      </w:r>
      <w:r w:rsidRPr="00E0488D">
        <w:rPr>
          <w:rStyle w:val="hps"/>
          <w:rFonts w:cs="Arial"/>
          <w:color w:val="000000" w:themeColor="text1"/>
        </w:rPr>
        <w:t>încetinire poate realimenta sistemul.</w:t>
      </w:r>
      <w:r w:rsidRPr="00E0488D">
        <w:t xml:space="preserve"> </w:t>
      </w:r>
      <w:r w:rsidRPr="00E0488D">
        <w:rPr>
          <w:rStyle w:val="hps"/>
          <w:rFonts w:cs="Arial"/>
          <w:color w:val="000000" w:themeColor="text1"/>
        </w:rPr>
        <w:t>Infrastructura</w:t>
      </w:r>
      <w:r w:rsidRPr="00E0488D">
        <w:t xml:space="preserve"> cu durata </w:t>
      </w:r>
      <w:r w:rsidRPr="00E0488D">
        <w:rPr>
          <w:rStyle w:val="hps"/>
          <w:rFonts w:cs="Arial"/>
          <w:color w:val="000000" w:themeColor="text1"/>
        </w:rPr>
        <w:t>de viață</w:t>
      </w:r>
      <w:r w:rsidRPr="00E0488D">
        <w:t xml:space="preserve"> </w:t>
      </w:r>
      <w:r w:rsidRPr="00E0488D">
        <w:rPr>
          <w:rStyle w:val="hps"/>
          <w:rFonts w:cs="Arial"/>
          <w:color w:val="000000" w:themeColor="text1"/>
        </w:rPr>
        <w:t>expirată</w:t>
      </w:r>
      <w:r w:rsidRPr="00E0488D">
        <w:t xml:space="preserve"> </w:t>
      </w:r>
      <w:r w:rsidRPr="00E0488D">
        <w:rPr>
          <w:rStyle w:val="hps"/>
          <w:rFonts w:cs="Arial"/>
          <w:color w:val="000000" w:themeColor="text1"/>
        </w:rPr>
        <w:t>este</w:t>
      </w:r>
      <w:r w:rsidRPr="00E0488D">
        <w:t xml:space="preserve"> </w:t>
      </w:r>
      <w:r w:rsidRPr="00E0488D">
        <w:rPr>
          <w:rStyle w:val="hps"/>
          <w:rFonts w:cs="Arial"/>
          <w:color w:val="000000" w:themeColor="text1"/>
        </w:rPr>
        <w:t>în prezent</w:t>
      </w:r>
      <w:r w:rsidRPr="00E0488D">
        <w:t xml:space="preserve"> </w:t>
      </w:r>
      <w:r w:rsidRPr="00E0488D">
        <w:rPr>
          <w:rStyle w:val="hps"/>
          <w:rFonts w:cs="Arial"/>
          <w:color w:val="000000" w:themeColor="text1"/>
        </w:rPr>
        <w:t>în imposibilitatea de a</w:t>
      </w:r>
      <w:r w:rsidRPr="00E0488D">
        <w:t xml:space="preserve"> </w:t>
      </w:r>
      <w:r w:rsidRPr="00E0488D">
        <w:rPr>
          <w:rStyle w:val="hps"/>
          <w:rFonts w:cs="Arial"/>
          <w:color w:val="000000" w:themeColor="text1"/>
        </w:rPr>
        <w:t>accepta</w:t>
      </w:r>
      <w:r w:rsidRPr="00E0488D">
        <w:t xml:space="preserve"> </w:t>
      </w:r>
      <w:r w:rsidRPr="00E0488D">
        <w:rPr>
          <w:rStyle w:val="hps"/>
          <w:rFonts w:cs="Arial"/>
          <w:color w:val="000000" w:themeColor="text1"/>
        </w:rPr>
        <w:t>astfel de</w:t>
      </w:r>
      <w:r w:rsidRPr="00E0488D">
        <w:t xml:space="preserve"> </w:t>
      </w:r>
      <w:r w:rsidRPr="00E0488D">
        <w:rPr>
          <w:rStyle w:val="hps"/>
          <w:rFonts w:cs="Arial"/>
          <w:color w:val="000000" w:themeColor="text1"/>
        </w:rPr>
        <w:t>sisteme</w:t>
      </w:r>
      <w:r w:rsidRPr="00E0488D">
        <w:t xml:space="preserve">. </w:t>
      </w:r>
      <w:r w:rsidRPr="00E0488D">
        <w:rPr>
          <w:rStyle w:val="hps"/>
          <w:rFonts w:cs="Arial"/>
          <w:color w:val="000000" w:themeColor="text1"/>
        </w:rPr>
        <w:t>Un plan</w:t>
      </w:r>
      <w:r w:rsidRPr="00E0488D">
        <w:t xml:space="preserve"> </w:t>
      </w:r>
      <w:r w:rsidRPr="00E0488D">
        <w:rPr>
          <w:rStyle w:val="hps"/>
          <w:rFonts w:cs="Arial"/>
          <w:color w:val="000000" w:themeColor="text1"/>
        </w:rPr>
        <w:t>pentru introducerea</w:t>
      </w:r>
      <w:r w:rsidRPr="00E0488D">
        <w:t xml:space="preserve"> </w:t>
      </w:r>
      <w:r w:rsidRPr="00E0488D">
        <w:rPr>
          <w:rStyle w:val="hps"/>
          <w:rFonts w:cs="Arial"/>
          <w:color w:val="000000" w:themeColor="text1"/>
        </w:rPr>
        <w:t>aceastei tehnologii</w:t>
      </w:r>
      <w:r w:rsidRPr="00E0488D">
        <w:t xml:space="preserve"> </w:t>
      </w:r>
      <w:r w:rsidRPr="00E0488D">
        <w:rPr>
          <w:rStyle w:val="hps"/>
          <w:rFonts w:cs="Arial"/>
          <w:color w:val="000000" w:themeColor="text1"/>
        </w:rPr>
        <w:t>ar putea reduce</w:t>
      </w:r>
      <w:r w:rsidRPr="00E0488D">
        <w:t xml:space="preserve"> </w:t>
      </w:r>
      <w:r w:rsidRPr="00E0488D">
        <w:rPr>
          <w:rStyle w:val="hps"/>
          <w:rFonts w:cs="Arial"/>
          <w:color w:val="000000" w:themeColor="text1"/>
        </w:rPr>
        <w:t>semnificativ</w:t>
      </w:r>
      <w:r w:rsidRPr="00E0488D">
        <w:t xml:space="preserve"> </w:t>
      </w:r>
      <w:r w:rsidRPr="00E0488D">
        <w:rPr>
          <w:rStyle w:val="hps"/>
          <w:rFonts w:cs="Arial"/>
          <w:color w:val="000000" w:themeColor="text1"/>
        </w:rPr>
        <w:t>costurile</w:t>
      </w:r>
      <w:r w:rsidRPr="00E0488D">
        <w:t xml:space="preserve"> </w:t>
      </w:r>
      <w:r w:rsidRPr="00E0488D">
        <w:rPr>
          <w:rStyle w:val="hps"/>
          <w:rFonts w:cs="Arial"/>
          <w:color w:val="000000" w:themeColor="text1"/>
        </w:rPr>
        <w:t>de furnizare a serviciilor</w:t>
      </w:r>
      <w:r w:rsidRPr="00E0488D">
        <w:t xml:space="preserve"> </w:t>
      </w:r>
      <w:r w:rsidRPr="00E0488D">
        <w:rPr>
          <w:rStyle w:val="hps"/>
          <w:rFonts w:cs="Arial"/>
          <w:color w:val="000000" w:themeColor="text1"/>
        </w:rPr>
        <w:t>de transport feroviar, întrucât</w:t>
      </w:r>
      <w:r w:rsidRPr="00E0488D">
        <w:t xml:space="preserve"> </w:t>
      </w:r>
      <w:r w:rsidRPr="00E0488D">
        <w:rPr>
          <w:rStyle w:val="hps"/>
          <w:rFonts w:cs="Arial"/>
          <w:color w:val="000000" w:themeColor="text1"/>
        </w:rPr>
        <w:t>utilizare</w:t>
      </w:r>
      <w:r w:rsidRPr="00E0488D">
        <w:t xml:space="preserve">a </w:t>
      </w:r>
      <w:r w:rsidRPr="00E0488D">
        <w:rPr>
          <w:rStyle w:val="hps"/>
          <w:rFonts w:cs="Arial"/>
          <w:color w:val="000000" w:themeColor="text1"/>
        </w:rPr>
        <w:t>energiei poate fi</w:t>
      </w:r>
      <w:r w:rsidRPr="00E0488D">
        <w:t xml:space="preserve"> </w:t>
      </w:r>
      <w:r w:rsidRPr="00E0488D">
        <w:rPr>
          <w:rStyle w:val="hps"/>
          <w:rFonts w:cs="Arial"/>
          <w:color w:val="000000" w:themeColor="text1"/>
        </w:rPr>
        <w:t>redusă cu 5</w:t>
      </w:r>
      <w:r w:rsidRPr="00E0488D">
        <w:t xml:space="preserve">% </w:t>
      </w:r>
      <w:r w:rsidRPr="00E0488D">
        <w:rPr>
          <w:rStyle w:val="hps"/>
          <w:rFonts w:cs="Arial"/>
          <w:color w:val="000000" w:themeColor="text1"/>
        </w:rPr>
        <w:t>pentru trenurile de marfă</w:t>
      </w:r>
      <w:r w:rsidRPr="00E0488D">
        <w:t xml:space="preserve"> </w:t>
      </w:r>
      <w:r w:rsidRPr="00E0488D">
        <w:rPr>
          <w:rStyle w:val="hps"/>
          <w:rFonts w:cs="Arial"/>
          <w:color w:val="000000" w:themeColor="text1"/>
        </w:rPr>
        <w:t>și până</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17</w:t>
      </w:r>
      <w:r w:rsidRPr="00E0488D">
        <w:t xml:space="preserve">% </w:t>
      </w:r>
      <w:r w:rsidRPr="00E0488D">
        <w:rPr>
          <w:rStyle w:val="hps"/>
          <w:rFonts w:cs="Arial"/>
          <w:color w:val="000000" w:themeColor="text1"/>
        </w:rPr>
        <w:t>la</w:t>
      </w:r>
      <w:r w:rsidRPr="00E0488D">
        <w:t xml:space="preserve"> </w:t>
      </w:r>
      <w:r w:rsidRPr="00E0488D">
        <w:rPr>
          <w:rStyle w:val="hps"/>
          <w:rFonts w:cs="Arial"/>
          <w:color w:val="000000" w:themeColor="text1"/>
        </w:rPr>
        <w:t>serviciile de pasageri</w:t>
      </w:r>
      <w:r w:rsidRPr="00E0488D">
        <w:t xml:space="preserve"> </w:t>
      </w:r>
      <w:r w:rsidRPr="00E0488D">
        <w:rPr>
          <w:rStyle w:val="hps"/>
          <w:rFonts w:cs="Arial"/>
          <w:color w:val="000000" w:themeColor="text1"/>
        </w:rPr>
        <w:t>și</w:t>
      </w:r>
      <w:r w:rsidRPr="00E0488D">
        <w:t xml:space="preserve">, ca atare, se recomandă realizarea </w:t>
      </w:r>
      <w:r w:rsidRPr="00E0488D">
        <w:rPr>
          <w:rStyle w:val="hps"/>
          <w:rFonts w:cs="Arial"/>
          <w:color w:val="000000" w:themeColor="text1"/>
        </w:rPr>
        <w:t>unui studiu de fezabilitate</w:t>
      </w:r>
      <w:r w:rsidRPr="00E0488D">
        <w:t xml:space="preserve"> </w:t>
      </w:r>
      <w:r w:rsidRPr="00E0488D">
        <w:rPr>
          <w:rStyle w:val="hps"/>
          <w:rFonts w:cs="Arial"/>
          <w:color w:val="000000" w:themeColor="text1"/>
        </w:rPr>
        <w:t>asupra modului în care</w:t>
      </w:r>
      <w:r w:rsidRPr="00E0488D">
        <w:t xml:space="preserve"> </w:t>
      </w:r>
      <w:r w:rsidRPr="00E0488D">
        <w:rPr>
          <w:rStyle w:val="hps"/>
          <w:rFonts w:cs="Arial"/>
          <w:color w:val="000000" w:themeColor="text1"/>
        </w:rPr>
        <w:t>acest lucru ar putea</w:t>
      </w:r>
      <w:r w:rsidRPr="00E0488D">
        <w:t xml:space="preserve"> </w:t>
      </w:r>
      <w:r w:rsidRPr="00E0488D">
        <w:rPr>
          <w:rStyle w:val="hps"/>
          <w:rFonts w:cs="Arial"/>
          <w:color w:val="000000" w:themeColor="text1"/>
        </w:rPr>
        <w:t>fi</w:t>
      </w:r>
      <w:r w:rsidRPr="00E0488D">
        <w:t xml:space="preserve"> </w:t>
      </w:r>
      <w:r w:rsidRPr="00E0488D">
        <w:rPr>
          <w:rStyle w:val="hps"/>
          <w:rFonts w:cs="Arial"/>
          <w:color w:val="000000" w:themeColor="text1"/>
        </w:rPr>
        <w:t>cel mai bine</w:t>
      </w:r>
      <w:r w:rsidRPr="00E0488D">
        <w:t xml:space="preserve"> </w:t>
      </w:r>
      <w:r w:rsidRPr="00E0488D">
        <w:rPr>
          <w:rStyle w:val="hps"/>
          <w:rFonts w:cs="Arial"/>
          <w:color w:val="000000" w:themeColor="text1"/>
        </w:rPr>
        <w:t>pus în aplicare</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ar trebui să fie</w:t>
      </w:r>
      <w:r w:rsidRPr="00E0488D">
        <w:t xml:space="preserve"> </w:t>
      </w:r>
      <w:r w:rsidRPr="00E0488D">
        <w:rPr>
          <w:rStyle w:val="hps"/>
          <w:rFonts w:cs="Arial"/>
          <w:color w:val="000000" w:themeColor="text1"/>
        </w:rPr>
        <w:t>efectuat</w:t>
      </w:r>
      <w:r w:rsidRPr="00E0488D">
        <w:t xml:space="preserve"> </w:t>
      </w:r>
      <w:r w:rsidRPr="00E0488D">
        <w:rPr>
          <w:rStyle w:val="hps"/>
          <w:rFonts w:cs="Arial"/>
          <w:color w:val="000000" w:themeColor="text1"/>
        </w:rPr>
        <w:t>imediat, întrucât</w:t>
      </w:r>
      <w:r w:rsidRPr="00E0488D">
        <w:t xml:space="preserve"> </w:t>
      </w:r>
      <w:r w:rsidRPr="00E0488D">
        <w:rPr>
          <w:rStyle w:val="hps"/>
          <w:rFonts w:cs="Arial"/>
          <w:color w:val="000000" w:themeColor="text1"/>
        </w:rPr>
        <w:t>ar fi logic combinarea</w:t>
      </w:r>
      <w:r w:rsidRPr="00E0488D">
        <w:t xml:space="preserve"> </w:t>
      </w:r>
      <w:r w:rsidRPr="00E0488D">
        <w:rPr>
          <w:rStyle w:val="hps"/>
          <w:rFonts w:cs="Arial"/>
          <w:color w:val="000000" w:themeColor="text1"/>
        </w:rPr>
        <w:t>acestui lucru cu</w:t>
      </w:r>
      <w:r w:rsidRPr="00E0488D">
        <w:t xml:space="preserve"> </w:t>
      </w:r>
      <w:r w:rsidRPr="00E0488D">
        <w:rPr>
          <w:rStyle w:val="hps"/>
          <w:rFonts w:cs="Arial"/>
          <w:color w:val="000000" w:themeColor="text1"/>
        </w:rPr>
        <w:t>alte lucrări</w:t>
      </w:r>
      <w:r w:rsidRPr="00E0488D">
        <w:t xml:space="preserve"> </w:t>
      </w:r>
      <w:r w:rsidRPr="00E0488D">
        <w:rPr>
          <w:rStyle w:val="hps"/>
          <w:rFonts w:cs="Arial"/>
          <w:color w:val="000000" w:themeColor="text1"/>
        </w:rPr>
        <w:t>de reabilitare</w:t>
      </w:r>
      <w:r w:rsidRPr="00E0488D">
        <w:t>.</w:t>
      </w:r>
    </w:p>
    <w:p w:rsidR="00BD59B2" w:rsidRPr="00E0488D" w:rsidRDefault="00BD59B2" w:rsidP="002B7E09">
      <w:pPr>
        <w:pStyle w:val="NumberedParas"/>
      </w:pPr>
      <w:r w:rsidRPr="00E0488D">
        <w:rPr>
          <w:rStyle w:val="hps"/>
          <w:rFonts w:cs="Arial"/>
          <w:color w:val="000000" w:themeColor="text1"/>
        </w:rPr>
        <w:t>Împreună,</w:t>
      </w:r>
      <w:r w:rsidRPr="00E0488D">
        <w:t xml:space="preserve"> </w:t>
      </w:r>
      <w:r w:rsidRPr="00E0488D">
        <w:rPr>
          <w:rStyle w:val="hps"/>
          <w:rFonts w:cs="Arial"/>
          <w:color w:val="000000" w:themeColor="text1"/>
        </w:rPr>
        <w:t>intervențiile</w:t>
      </w:r>
      <w:r w:rsidRPr="00E0488D">
        <w:t xml:space="preserve"> </w:t>
      </w:r>
      <w:r w:rsidRPr="00E0488D">
        <w:rPr>
          <w:rStyle w:val="hps"/>
          <w:rFonts w:cs="Arial"/>
          <w:color w:val="000000" w:themeColor="text1"/>
        </w:rPr>
        <w:t>combinate</w:t>
      </w:r>
      <w:r w:rsidRPr="00E0488D">
        <w:t xml:space="preserve"> </w:t>
      </w:r>
      <w:r w:rsidRPr="00E0488D">
        <w:rPr>
          <w:rStyle w:val="hps"/>
          <w:rFonts w:cs="Arial"/>
          <w:color w:val="000000" w:themeColor="text1"/>
        </w:rPr>
        <w:t>oferă</w:t>
      </w:r>
      <w:r w:rsidRPr="00E0488D">
        <w:t xml:space="preserve"> </w:t>
      </w:r>
      <w:r w:rsidRPr="00E0488D">
        <w:rPr>
          <w:rStyle w:val="hps"/>
          <w:rFonts w:cs="Arial"/>
          <w:color w:val="000000" w:themeColor="text1"/>
        </w:rPr>
        <w:t>un plan pentru</w:t>
      </w:r>
      <w:r w:rsidRPr="00E0488D">
        <w:t xml:space="preserve"> </w:t>
      </w:r>
      <w:r w:rsidRPr="00E0488D">
        <w:rPr>
          <w:rStyle w:val="hps"/>
          <w:rFonts w:cs="Arial"/>
          <w:color w:val="000000" w:themeColor="text1"/>
        </w:rPr>
        <w:t>o</w:t>
      </w:r>
      <w:r w:rsidRPr="00E0488D">
        <w:t xml:space="preserve"> </w:t>
      </w:r>
      <w:r w:rsidRPr="00E0488D">
        <w:rPr>
          <w:rStyle w:val="hps"/>
          <w:rFonts w:cs="Arial"/>
          <w:color w:val="000000" w:themeColor="text1"/>
        </w:rPr>
        <w:t>rețea de</w:t>
      </w:r>
      <w:r w:rsidRPr="00E0488D">
        <w:t xml:space="preserve"> </w:t>
      </w:r>
      <w:r w:rsidRPr="00E0488D">
        <w:rPr>
          <w:rStyle w:val="hps"/>
          <w:rFonts w:cs="Arial"/>
          <w:color w:val="000000" w:themeColor="text1"/>
        </w:rPr>
        <w:t>transport feroviar de marfă</w:t>
      </w:r>
      <w:r w:rsidRPr="00E0488D">
        <w:t xml:space="preserve"> </w:t>
      </w:r>
      <w:r w:rsidRPr="00E0488D">
        <w:rPr>
          <w:rStyle w:val="hps"/>
          <w:rFonts w:cs="Arial"/>
          <w:color w:val="000000" w:themeColor="text1"/>
        </w:rPr>
        <w:t>de succes</w:t>
      </w:r>
      <w:r w:rsidRPr="00E0488D">
        <w:t xml:space="preserve">, </w:t>
      </w:r>
      <w:r w:rsidRPr="00E0488D">
        <w:rPr>
          <w:rStyle w:val="hps"/>
          <w:rFonts w:cs="Arial"/>
          <w:color w:val="000000" w:themeColor="text1"/>
        </w:rPr>
        <w:t>durabil în</w:t>
      </w:r>
      <w:r w:rsidRPr="00E0488D">
        <w:t xml:space="preserve"> </w:t>
      </w:r>
      <w:r w:rsidRPr="00E0488D">
        <w:rPr>
          <w:rStyle w:val="hps"/>
          <w:rFonts w:cs="Arial"/>
          <w:color w:val="000000" w:themeColor="text1"/>
        </w:rPr>
        <w:t>România</w:t>
      </w:r>
      <w:r w:rsidRPr="00E0488D">
        <w:t xml:space="preserve">. </w:t>
      </w:r>
      <w:r w:rsidRPr="00E0488D">
        <w:rPr>
          <w:rStyle w:val="hps"/>
          <w:rFonts w:cs="Arial"/>
          <w:color w:val="000000" w:themeColor="text1"/>
        </w:rPr>
        <w:t>Nu numai că reabilitarea</w:t>
      </w:r>
      <w:r w:rsidRPr="00E0488D">
        <w:t xml:space="preserve"> </w:t>
      </w:r>
      <w:r w:rsidRPr="00E0488D">
        <w:rPr>
          <w:rStyle w:val="hps"/>
          <w:rFonts w:cs="Arial"/>
          <w:color w:val="000000" w:themeColor="text1"/>
        </w:rPr>
        <w:t>coridoarelor</w:t>
      </w:r>
      <w:r w:rsidRPr="00E0488D">
        <w:t xml:space="preserve"> </w:t>
      </w:r>
      <w:r w:rsidRPr="00E0488D">
        <w:rPr>
          <w:rStyle w:val="hps"/>
          <w:rFonts w:cs="Arial"/>
          <w:color w:val="000000" w:themeColor="text1"/>
        </w:rPr>
        <w:t>feroviare</w:t>
      </w:r>
      <w:r w:rsidRPr="00E0488D">
        <w:t xml:space="preserve"> va </w:t>
      </w:r>
      <w:r w:rsidRPr="00E0488D">
        <w:rPr>
          <w:rStyle w:val="hps"/>
          <w:rFonts w:cs="Arial"/>
          <w:color w:val="000000" w:themeColor="text1"/>
        </w:rPr>
        <w:t>permite</w:t>
      </w:r>
      <w:r w:rsidRPr="00E0488D">
        <w:t xml:space="preserve"> </w:t>
      </w:r>
      <w:r w:rsidRPr="00E0488D">
        <w:rPr>
          <w:rStyle w:val="hps"/>
          <w:rFonts w:cs="Arial"/>
          <w:color w:val="000000" w:themeColor="text1"/>
        </w:rPr>
        <w:t>creșterea fiabilității transportului</w:t>
      </w:r>
      <w:r w:rsidRPr="00E0488D">
        <w:t xml:space="preserve"> </w:t>
      </w:r>
      <w:r w:rsidRPr="00E0488D">
        <w:rPr>
          <w:rStyle w:val="hps"/>
          <w:rFonts w:cs="Arial"/>
          <w:color w:val="000000" w:themeColor="text1"/>
        </w:rPr>
        <w:t>de marfă</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a vitezelor de livrare</w:t>
      </w:r>
      <w:r w:rsidRPr="00E0488D">
        <w:t xml:space="preserve">, </w:t>
      </w:r>
      <w:r w:rsidRPr="00E0488D">
        <w:rPr>
          <w:rStyle w:val="hps"/>
          <w:rFonts w:cs="Arial"/>
          <w:color w:val="000000" w:themeColor="text1"/>
        </w:rPr>
        <w:t>dar</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combinație</w:t>
      </w:r>
      <w:r w:rsidRPr="00E0488D">
        <w:t xml:space="preserve"> </w:t>
      </w:r>
      <w:r w:rsidRPr="00E0488D">
        <w:rPr>
          <w:rStyle w:val="hps"/>
          <w:rFonts w:cs="Arial"/>
          <w:color w:val="000000" w:themeColor="text1"/>
        </w:rPr>
        <w:t>cu</w:t>
      </w:r>
      <w:r w:rsidRPr="00E0488D">
        <w:t xml:space="preserve"> </w:t>
      </w:r>
      <w:r w:rsidRPr="00E0488D">
        <w:rPr>
          <w:rStyle w:val="hps"/>
          <w:rFonts w:cs="Arial"/>
          <w:color w:val="000000" w:themeColor="text1"/>
        </w:rPr>
        <w:t>alte intervenții</w:t>
      </w:r>
      <w:r w:rsidRPr="00E0488D">
        <w:t xml:space="preserve"> </w:t>
      </w:r>
      <w:r w:rsidRPr="00E0488D">
        <w:rPr>
          <w:rStyle w:val="hps"/>
          <w:rFonts w:cs="Arial"/>
          <w:color w:val="000000" w:themeColor="text1"/>
        </w:rPr>
        <w:t>operaționale</w:t>
      </w:r>
      <w:r w:rsidRPr="00E0488D">
        <w:t xml:space="preserve"> </w:t>
      </w:r>
      <w:r w:rsidRPr="00E0488D">
        <w:rPr>
          <w:rStyle w:val="hps"/>
          <w:rFonts w:cs="Arial"/>
          <w:color w:val="000000" w:themeColor="text1"/>
        </w:rPr>
        <w:t>se</w:t>
      </w:r>
      <w:r w:rsidRPr="00E0488D">
        <w:t xml:space="preserve"> </w:t>
      </w:r>
      <w:r w:rsidRPr="00E0488D">
        <w:rPr>
          <w:rStyle w:val="hps"/>
          <w:rFonts w:cs="Arial"/>
          <w:color w:val="000000" w:themeColor="text1"/>
        </w:rPr>
        <w:t>va pune baza</w:t>
      </w:r>
      <w:r w:rsidRPr="00E0488D">
        <w:t xml:space="preserve"> </w:t>
      </w:r>
      <w:r w:rsidRPr="00E0488D">
        <w:rPr>
          <w:rStyle w:val="hps"/>
          <w:rFonts w:cs="Arial"/>
          <w:color w:val="000000" w:themeColor="text1"/>
        </w:rPr>
        <w:t>unui</w:t>
      </w:r>
      <w:r w:rsidRPr="00E0488D">
        <w:t xml:space="preserve"> transport </w:t>
      </w:r>
      <w:r w:rsidRPr="00E0488D">
        <w:rPr>
          <w:rStyle w:val="hps"/>
          <w:rFonts w:cs="Arial"/>
          <w:color w:val="000000" w:themeColor="text1"/>
        </w:rPr>
        <w:t>intermodal</w:t>
      </w:r>
      <w:r w:rsidRPr="00E0488D">
        <w:t xml:space="preserve"> </w:t>
      </w:r>
      <w:r w:rsidRPr="00E0488D">
        <w:rPr>
          <w:rStyle w:val="hps"/>
          <w:rFonts w:cs="Arial"/>
          <w:color w:val="000000" w:themeColor="text1"/>
        </w:rPr>
        <w:t>puternic</w:t>
      </w:r>
      <w:r w:rsidRPr="00E0488D">
        <w:t xml:space="preserve"> </w:t>
      </w:r>
      <w:r w:rsidRPr="00E0488D">
        <w:rPr>
          <w:rStyle w:val="hps"/>
          <w:rFonts w:cs="Arial"/>
          <w:color w:val="000000" w:themeColor="text1"/>
        </w:rPr>
        <w:t>în</w:t>
      </w:r>
      <w:r w:rsidRPr="00E0488D">
        <w:t xml:space="preserve"> </w:t>
      </w:r>
      <w:r w:rsidRPr="00E0488D">
        <w:rPr>
          <w:rStyle w:val="hps"/>
          <w:rFonts w:cs="Arial"/>
          <w:color w:val="000000" w:themeColor="text1"/>
        </w:rPr>
        <w:t>concurență</w:t>
      </w:r>
      <w:r w:rsidRPr="00E0488D">
        <w:t xml:space="preserve"> </w:t>
      </w:r>
      <w:r w:rsidRPr="00E0488D">
        <w:rPr>
          <w:rStyle w:val="hps"/>
          <w:rFonts w:cs="Arial"/>
          <w:color w:val="000000" w:themeColor="text1"/>
        </w:rPr>
        <w:t>cu transportul rutier</w:t>
      </w:r>
      <w:r w:rsidRPr="00E0488D">
        <w:t xml:space="preserve">. </w:t>
      </w:r>
      <w:r w:rsidRPr="00E0488D">
        <w:rPr>
          <w:rStyle w:val="hps"/>
          <w:rFonts w:cs="Arial"/>
          <w:color w:val="000000" w:themeColor="text1"/>
        </w:rPr>
        <w:t>În special</w:t>
      </w:r>
      <w:r w:rsidRPr="00E0488D">
        <w:t xml:space="preserve">, </w:t>
      </w:r>
      <w:r w:rsidRPr="00E0488D">
        <w:rPr>
          <w:rStyle w:val="hps"/>
          <w:rFonts w:cs="Arial"/>
          <w:color w:val="000000" w:themeColor="text1"/>
        </w:rPr>
        <w:t>această piață</w:t>
      </w:r>
      <w:r w:rsidRPr="00E0488D">
        <w:t xml:space="preserve"> </w:t>
      </w:r>
      <w:r w:rsidRPr="00E0488D">
        <w:rPr>
          <w:rStyle w:val="hps"/>
          <w:rFonts w:cs="Arial"/>
          <w:color w:val="000000" w:themeColor="text1"/>
        </w:rPr>
        <w:t>intermodală</w:t>
      </w:r>
      <w:r w:rsidRPr="00E0488D">
        <w:t xml:space="preserve"> </w:t>
      </w:r>
      <w:r w:rsidRPr="00E0488D">
        <w:rPr>
          <w:rStyle w:val="hps"/>
          <w:rFonts w:cs="Arial"/>
          <w:color w:val="000000" w:themeColor="text1"/>
        </w:rPr>
        <w:t>a fost</w:t>
      </w:r>
      <w:r w:rsidRPr="00E0488D">
        <w:t xml:space="preserve"> </w:t>
      </w:r>
      <w:r w:rsidRPr="00E0488D">
        <w:rPr>
          <w:rStyle w:val="hps"/>
          <w:rFonts w:cs="Arial"/>
          <w:color w:val="000000" w:themeColor="text1"/>
        </w:rPr>
        <w:t>identificată ca fiind un</w:t>
      </w:r>
      <w:r w:rsidRPr="00E0488D">
        <w:t xml:space="preserve"> </w:t>
      </w:r>
      <w:r w:rsidRPr="00E0488D">
        <w:rPr>
          <w:rStyle w:val="hps"/>
          <w:rFonts w:cs="Arial"/>
          <w:color w:val="000000" w:themeColor="text1"/>
        </w:rPr>
        <w:t>sector</w:t>
      </w:r>
      <w:r w:rsidRPr="00E0488D">
        <w:t xml:space="preserve"> </w:t>
      </w:r>
      <w:r w:rsidRPr="00E0488D">
        <w:rPr>
          <w:rStyle w:val="hps"/>
          <w:rFonts w:cs="Arial"/>
          <w:color w:val="000000" w:themeColor="text1"/>
        </w:rPr>
        <w:t>cheie</w:t>
      </w:r>
      <w:r w:rsidRPr="00E0488D">
        <w:t xml:space="preserve"> </w:t>
      </w:r>
      <w:r w:rsidRPr="00E0488D">
        <w:rPr>
          <w:rStyle w:val="hps"/>
          <w:rFonts w:cs="Arial"/>
          <w:color w:val="000000" w:themeColor="text1"/>
        </w:rPr>
        <w:t>pentru</w:t>
      </w:r>
      <w:r w:rsidRPr="00E0488D">
        <w:t xml:space="preserve"> viitoarea </w:t>
      </w:r>
      <w:r w:rsidRPr="00E0488D">
        <w:rPr>
          <w:rStyle w:val="hps"/>
          <w:rFonts w:cs="Arial"/>
          <w:color w:val="000000" w:themeColor="text1"/>
        </w:rPr>
        <w:t>creștere economică</w:t>
      </w:r>
      <w:r w:rsidRPr="00E0488D">
        <w:t xml:space="preserve">, </w:t>
      </w:r>
      <w:r w:rsidRPr="00E0488D">
        <w:rPr>
          <w:rStyle w:val="hps"/>
          <w:rFonts w:cs="Arial"/>
          <w:color w:val="000000" w:themeColor="text1"/>
        </w:rPr>
        <w:t>iar</w:t>
      </w:r>
      <w:r w:rsidRPr="00E0488D">
        <w:t xml:space="preserve"> </w:t>
      </w:r>
      <w:r w:rsidRPr="00E0488D">
        <w:rPr>
          <w:rStyle w:val="hps"/>
          <w:rFonts w:cs="Arial"/>
          <w:color w:val="000000" w:themeColor="text1"/>
        </w:rPr>
        <w:t>acest lucru</w:t>
      </w:r>
      <w:r w:rsidRPr="00E0488D">
        <w:t xml:space="preserve"> </w:t>
      </w:r>
      <w:r w:rsidRPr="00E0488D">
        <w:rPr>
          <w:rStyle w:val="hps"/>
          <w:rFonts w:cs="Arial"/>
          <w:color w:val="000000" w:themeColor="text1"/>
        </w:rPr>
        <w:t>va fi încurajat</w:t>
      </w:r>
      <w:r w:rsidRPr="00E0488D">
        <w:t xml:space="preserve"> </w:t>
      </w:r>
      <w:r w:rsidRPr="00E0488D">
        <w:rPr>
          <w:rStyle w:val="hps"/>
          <w:rFonts w:cs="Arial"/>
          <w:color w:val="000000" w:themeColor="text1"/>
        </w:rPr>
        <w:t>de către</w:t>
      </w:r>
      <w:r w:rsidRPr="00E0488D">
        <w:t xml:space="preserve"> </w:t>
      </w:r>
      <w:r w:rsidRPr="00E0488D">
        <w:rPr>
          <w:rStyle w:val="hps"/>
          <w:rFonts w:cs="Arial"/>
          <w:color w:val="000000" w:themeColor="text1"/>
        </w:rPr>
        <w:t>rețeaua</w:t>
      </w:r>
      <w:r w:rsidRPr="00E0488D">
        <w:t xml:space="preserve"> </w:t>
      </w:r>
      <w:r w:rsidRPr="00E0488D">
        <w:rPr>
          <w:rStyle w:val="hps"/>
          <w:rFonts w:cs="Arial"/>
          <w:color w:val="000000" w:themeColor="text1"/>
        </w:rPr>
        <w:t>propusă</w:t>
      </w:r>
      <w:r w:rsidRPr="00E0488D">
        <w:t xml:space="preserve"> </w:t>
      </w:r>
      <w:r w:rsidRPr="00E0488D">
        <w:rPr>
          <w:rStyle w:val="hps"/>
          <w:rFonts w:cs="Arial"/>
          <w:color w:val="000000" w:themeColor="text1"/>
        </w:rPr>
        <w:t>de</w:t>
      </w:r>
      <w:r w:rsidRPr="00E0488D">
        <w:t xml:space="preserve"> </w:t>
      </w:r>
      <w:r w:rsidRPr="00E0488D">
        <w:rPr>
          <w:rStyle w:val="hps"/>
          <w:rFonts w:cs="Arial"/>
          <w:color w:val="000000" w:themeColor="text1"/>
        </w:rPr>
        <w:t>terminale intermodale</w:t>
      </w:r>
      <w:r w:rsidRPr="00E0488D">
        <w:t xml:space="preserve"> </w:t>
      </w:r>
      <w:r w:rsidRPr="00E0488D">
        <w:rPr>
          <w:rStyle w:val="hps"/>
          <w:rFonts w:cs="Arial"/>
          <w:color w:val="000000" w:themeColor="text1"/>
        </w:rPr>
        <w:t>și</w:t>
      </w:r>
      <w:r w:rsidRPr="00E0488D">
        <w:t xml:space="preserve"> </w:t>
      </w:r>
      <w:r w:rsidRPr="00E0488D">
        <w:rPr>
          <w:rStyle w:val="hps"/>
          <w:rFonts w:cs="Arial"/>
          <w:color w:val="000000" w:themeColor="text1"/>
        </w:rPr>
        <w:t>tri-</w:t>
      </w:r>
      <w:r w:rsidRPr="00E0488D">
        <w:t xml:space="preserve">modale </w:t>
      </w:r>
      <w:r w:rsidRPr="00E0488D">
        <w:rPr>
          <w:rStyle w:val="hps"/>
          <w:rFonts w:cs="Arial"/>
          <w:color w:val="000000" w:themeColor="text1"/>
        </w:rPr>
        <w:t>care</w:t>
      </w:r>
      <w:r w:rsidRPr="00E0488D">
        <w:t xml:space="preserve"> </w:t>
      </w:r>
      <w:r w:rsidRPr="00E0488D">
        <w:rPr>
          <w:rStyle w:val="hps"/>
          <w:rFonts w:cs="Arial"/>
          <w:color w:val="000000" w:themeColor="text1"/>
        </w:rPr>
        <w:t>sunt amplasate</w:t>
      </w:r>
      <w:r w:rsidRPr="00E0488D">
        <w:t xml:space="preserve"> </w:t>
      </w:r>
      <w:r w:rsidRPr="00E0488D">
        <w:rPr>
          <w:rStyle w:val="hps"/>
          <w:rFonts w:cs="Arial"/>
          <w:color w:val="000000" w:themeColor="text1"/>
        </w:rPr>
        <w:t>strategic</w:t>
      </w:r>
      <w:r w:rsidRPr="00E0488D">
        <w:t xml:space="preserve"> </w:t>
      </w:r>
      <w:r w:rsidRPr="00E0488D">
        <w:rPr>
          <w:rStyle w:val="hps"/>
          <w:rFonts w:cs="Arial"/>
          <w:color w:val="000000" w:themeColor="text1"/>
        </w:rPr>
        <w:t>pentru a oferi</w:t>
      </w:r>
      <w:r w:rsidRPr="00E0488D">
        <w:t xml:space="preserve"> </w:t>
      </w:r>
      <w:r w:rsidRPr="00E0488D">
        <w:rPr>
          <w:rStyle w:val="hps"/>
          <w:rFonts w:cs="Arial"/>
          <w:color w:val="000000" w:themeColor="text1"/>
        </w:rPr>
        <w:t>o acoperire cuprinzătoare a</w:t>
      </w:r>
      <w:r w:rsidRPr="00E0488D">
        <w:t xml:space="preserve"> </w:t>
      </w:r>
      <w:r w:rsidRPr="00E0488D">
        <w:rPr>
          <w:rStyle w:val="hps"/>
          <w:rFonts w:cs="Arial"/>
          <w:color w:val="000000" w:themeColor="text1"/>
        </w:rPr>
        <w:t>centrelor</w:t>
      </w:r>
      <w:r w:rsidRPr="00E0488D">
        <w:t xml:space="preserve"> </w:t>
      </w:r>
      <w:r w:rsidRPr="00E0488D">
        <w:rPr>
          <w:rStyle w:val="hps"/>
          <w:rFonts w:cs="Arial"/>
          <w:color w:val="000000" w:themeColor="text1"/>
        </w:rPr>
        <w:t>economice</w:t>
      </w:r>
      <w:r w:rsidRPr="00E0488D">
        <w:t xml:space="preserve"> </w:t>
      </w:r>
      <w:r w:rsidRPr="00E0488D">
        <w:rPr>
          <w:rStyle w:val="hps"/>
          <w:rFonts w:cs="Arial"/>
          <w:color w:val="000000" w:themeColor="text1"/>
        </w:rPr>
        <w:t>cheie din România</w:t>
      </w:r>
      <w:r w:rsidRPr="00E0488D">
        <w:t xml:space="preserve"> </w:t>
      </w:r>
      <w:r w:rsidRPr="00E0488D">
        <w:rPr>
          <w:rStyle w:val="hps"/>
          <w:rFonts w:cs="Arial"/>
          <w:color w:val="000000" w:themeColor="text1"/>
        </w:rPr>
        <w:t>și centrelor</w:t>
      </w:r>
      <w:r w:rsidRPr="00E0488D">
        <w:t xml:space="preserve"> </w:t>
      </w:r>
      <w:r w:rsidRPr="00E0488D">
        <w:rPr>
          <w:rStyle w:val="hps"/>
          <w:rFonts w:cs="Arial"/>
          <w:color w:val="000000" w:themeColor="text1"/>
        </w:rPr>
        <w:t>de populație</w:t>
      </w:r>
      <w:r w:rsidRPr="00E0488D">
        <w:t>.</w:t>
      </w:r>
    </w:p>
    <w:p w:rsidR="00BD59B2" w:rsidRPr="00E0488D" w:rsidRDefault="00BD59B2" w:rsidP="00BD59B2">
      <w:pPr>
        <w:rPr>
          <w:lang w:val="ro-RO"/>
        </w:rPr>
      </w:pPr>
    </w:p>
    <w:p w:rsidR="00BD59B2" w:rsidRPr="00E0488D" w:rsidRDefault="00BD59B2" w:rsidP="00BD59B2">
      <w:pPr>
        <w:pStyle w:val="Hdg2"/>
        <w:rPr>
          <w:lang w:eastAsia="en-GB"/>
        </w:rPr>
      </w:pPr>
      <w:bookmarkStart w:id="584" w:name="_Toc397049527"/>
      <w:bookmarkStart w:id="585" w:name="_Toc398292107"/>
      <w:bookmarkStart w:id="586" w:name="_Toc412114957"/>
      <w:bookmarkStart w:id="587" w:name="_Toc413060348"/>
      <w:r w:rsidRPr="00E0488D">
        <w:rPr>
          <w:lang w:eastAsia="en-GB"/>
        </w:rPr>
        <w:t>Rezumatul intervențiilor în transportul intermodal</w:t>
      </w:r>
      <w:bookmarkEnd w:id="584"/>
      <w:bookmarkEnd w:id="585"/>
      <w:bookmarkEnd w:id="586"/>
      <w:bookmarkEnd w:id="587"/>
    </w:p>
    <w:p w:rsidR="00BD59B2" w:rsidRPr="00E0488D" w:rsidRDefault="00BD59B2" w:rsidP="002B7E09">
      <w:pPr>
        <w:pStyle w:val="NumberedParas"/>
      </w:pPr>
      <w:r w:rsidRPr="00E0488D">
        <w:t>Cu scopul de a obține o ofertă competitivă de transport intermodal, este necesar ca România să aibă o rețea dezvoltată de terminale intermodale moderne, care să reflecte evoluția viitoare a cererii de transport feroviar intermodal. În plus față de lucrările propuse în Portul Constanța pentru facilitarea creșterii fluxurilor de import-export (prin extinderea capacității de operare a containerelor în următorii zecei ani, urmare a extinderii pieței) Master Planul recomandă, de asemenea, reabilitarea unor terminale existente. Fără îndoială că opțiunea recomandată este de a construi terminale intermodale noi. Analiza a arătat faptul că există o cerere semnificativă de servicii intermodale la Iași, Oradea și Turda dar nu suficientă pentru a justifica construcția unor terminale intermodale noi în acest locații. Din aceste motive, recomandarea noastră este ca terminalele existente să fie modernizat. O dată cu creșterea cererii de transport intermodal, în aceste locații se pot dezvolta alte terminale noi. Totuși, dacă vor exista inițiative private privind construcția unor terminale noi, atunci Master Planul și Ministerul Transporturilor vor sprijini aceste investiții.</w:t>
      </w:r>
    </w:p>
    <w:p w:rsidR="00BD59B2" w:rsidRPr="00E0488D" w:rsidRDefault="00BD59B2" w:rsidP="002B7E09">
      <w:pPr>
        <w:pStyle w:val="NumberedParas"/>
      </w:pPr>
      <w:r w:rsidRPr="00E0488D">
        <w:t>Obiectivul este de a stabili o rețea de terminale “open-user” operate într-o manieră eficientă de către sectorul privat. Rețeaua se dezvoltă în prezent pe locațiile deja existente, unele dintre ele fiind operate eficient de către sectorul privat. În alte locații, este nevoie de modernizarea radicală a acestora sau de înlocuriea completă a terminalelor deținute de CFR Marfă. Pe viitor acestea vor trebui operate de către sectorul privat. În timp ce toate terminalele vor facilita derularea traficului internațional, terminalele localizate la Timișoara și Iași vor funcționa ca și porți internaționale de acces, având în vedere localizarea lor în zonele de vest și est ale țării. Iași oferire și posibilitatea schimbării de ecartament pentru serviciile cu destinația Ucraina, Rusia și mare parte a Europei de Est. Alte terminale sunt selectate pentru localizarea lor prin care vor deservi centre majore de producție industrială, activități economice și aglomerări urbane, cum ar fi Craiova, Cluj-Napoca, Turda, Suceava și Bacău.</w:t>
      </w:r>
    </w:p>
    <w:p w:rsidR="00BD59B2" w:rsidRPr="00E0488D" w:rsidRDefault="00BD59B2" w:rsidP="002B7E09">
      <w:pPr>
        <w:pStyle w:val="NumberedParas"/>
      </w:pPr>
      <w:r w:rsidRPr="00E0488D">
        <w:t>Împreună cu terminalele tri-modale propuse la Drobeta-Turnu-Severin, Giurgiu și Galați, România va putea oferi o rețea extinsă de terminale intermodale conectate la liniile de cale ferată reabilitate, fiind permise astfel servicii rapide și fiabile – o ofertă competitivă care va putea fi o alternativă viabilă la transportul rutier.</w:t>
      </w:r>
    </w:p>
    <w:p w:rsidR="00BD59B2" w:rsidRPr="00E0488D" w:rsidRDefault="00BD59B2" w:rsidP="002B7E09">
      <w:pPr>
        <w:pStyle w:val="NumberedParas"/>
      </w:pPr>
      <w:r w:rsidRPr="00E0488D">
        <w:t>Această rețea de terminale intermodale din România este prezentată în Figura 8.27.</w:t>
      </w:r>
    </w:p>
    <w:p w:rsidR="00BD59B2" w:rsidRPr="00E0488D" w:rsidRDefault="00BD59B2" w:rsidP="00BD59B2">
      <w:pPr>
        <w:spacing w:before="120" w:after="120" w:line="276" w:lineRule="auto"/>
        <w:rPr>
          <w:sz w:val="22"/>
          <w:szCs w:val="22"/>
          <w:lang w:val="ro-RO"/>
        </w:rPr>
      </w:pPr>
    </w:p>
    <w:p w:rsidR="00BD59B2" w:rsidRPr="00E0488D" w:rsidRDefault="00BD59B2" w:rsidP="00BD59B2">
      <w:pPr>
        <w:spacing w:before="120" w:after="120" w:line="276" w:lineRule="auto"/>
        <w:ind w:firstLine="851"/>
        <w:rPr>
          <w:sz w:val="22"/>
          <w:szCs w:val="22"/>
          <w:lang w:val="ro-RO"/>
        </w:rPr>
      </w:pPr>
      <w:r w:rsidRPr="00E0488D">
        <w:rPr>
          <w:noProof/>
          <w:sz w:val="22"/>
          <w:szCs w:val="22"/>
          <w:lang w:val="ro-RO" w:eastAsia="ro-RO"/>
        </w:rPr>
        <w:drawing>
          <wp:inline distT="0" distB="0" distL="0" distR="0">
            <wp:extent cx="5705475" cy="4029075"/>
            <wp:effectExtent l="19050" t="0" r="9525" b="0"/>
            <wp:docPr id="419" name="Picture 9" descr="OR - ALL4 - Intermodal_teminals_tri-modal_v2-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 - ALL4 - Intermodal_teminals_tri-modal_v2-p3"/>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5705475" cy="4029075"/>
                    </a:xfrm>
                    <a:prstGeom prst="rect">
                      <a:avLst/>
                    </a:prstGeom>
                    <a:noFill/>
                    <a:ln w="9525">
                      <a:noFill/>
                      <a:miter lim="800000"/>
                      <a:headEnd/>
                      <a:tailEnd/>
                    </a:ln>
                  </pic:spPr>
                </pic:pic>
              </a:graphicData>
            </a:graphic>
          </wp:inline>
        </w:drawing>
      </w:r>
    </w:p>
    <w:p w:rsidR="00BD59B2" w:rsidRPr="00E0488D" w:rsidRDefault="00BD59B2" w:rsidP="00BD59B2">
      <w:pPr>
        <w:spacing w:before="120" w:after="120" w:line="276" w:lineRule="auto"/>
        <w:ind w:left="851"/>
        <w:rPr>
          <w:b/>
          <w:sz w:val="22"/>
          <w:szCs w:val="22"/>
          <w:lang w:val="ro-RO"/>
        </w:rPr>
      </w:pPr>
      <w:r w:rsidRPr="00E0488D">
        <w:rPr>
          <w:b/>
          <w:sz w:val="22"/>
          <w:szCs w:val="22"/>
          <w:lang w:val="ro-RO"/>
        </w:rPr>
        <w:t>Figura 8.27 Rețeaua propusă de terminale intermodale</w:t>
      </w:r>
    </w:p>
    <w:p w:rsidR="00BD59B2" w:rsidRPr="00E0488D" w:rsidRDefault="00BD59B2" w:rsidP="002B7E09">
      <w:pPr>
        <w:pStyle w:val="NumberedParas"/>
      </w:pPr>
      <w:r w:rsidRPr="00E0488D">
        <w:t>După cum se poate vedea, comparând această rețea cu harta celor mai mari centre de populație din România, există o bună suprapunere peste nevoile de derulare a operațiunilor de transport intermodal. Centrele urbane sunt prezentate în Figura 8.28.</w:t>
      </w:r>
    </w:p>
    <w:p w:rsidR="00BD59B2" w:rsidRPr="00E0488D" w:rsidRDefault="00BD59B2" w:rsidP="002B7E09">
      <w:pPr>
        <w:pStyle w:val="NumberedParas"/>
        <w:numPr>
          <w:ilvl w:val="0"/>
          <w:numId w:val="0"/>
        </w:numPr>
        <w:ind w:left="851"/>
      </w:pPr>
      <w:r w:rsidRPr="00E0488D">
        <w:rPr>
          <w:noProof/>
          <w:lang w:eastAsia="ro-RO"/>
        </w:rPr>
        <w:drawing>
          <wp:inline distT="0" distB="0" distL="0" distR="0">
            <wp:extent cx="4980462" cy="3516578"/>
            <wp:effectExtent l="19050" t="0" r="0" b="0"/>
            <wp:docPr id="435" name="Picture 8" descr="F:\TMARKET\Freight\Projects\Romania Masterplan\Maps\Top_20_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MARKET\Freight\Projects\Romania Masterplan\Maps\Top_20_cities.jpg"/>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4979110" cy="3515623"/>
                    </a:xfrm>
                    <a:prstGeom prst="rect">
                      <a:avLst/>
                    </a:prstGeom>
                    <a:noFill/>
                    <a:ln w="9525">
                      <a:noFill/>
                      <a:miter lim="800000"/>
                      <a:headEnd/>
                      <a:tailEnd/>
                    </a:ln>
                  </pic:spPr>
                </pic:pic>
              </a:graphicData>
            </a:graphic>
          </wp:inline>
        </w:drawing>
      </w:r>
    </w:p>
    <w:p w:rsidR="00BD59B2" w:rsidRPr="00E0488D" w:rsidRDefault="00BD59B2" w:rsidP="00BD59B2">
      <w:pPr>
        <w:spacing w:line="276" w:lineRule="auto"/>
        <w:ind w:left="851"/>
        <w:rPr>
          <w:b/>
          <w:bCs/>
          <w:sz w:val="22"/>
          <w:szCs w:val="22"/>
          <w:lang w:val="ro-RO"/>
        </w:rPr>
      </w:pPr>
      <w:r w:rsidRPr="00E0488D">
        <w:rPr>
          <w:b/>
          <w:bCs/>
          <w:sz w:val="22"/>
          <w:szCs w:val="22"/>
          <w:lang w:val="ro-RO"/>
        </w:rPr>
        <w:t>Figura 8.28: Cele mai mari 20 centre urbane din România</w:t>
      </w:r>
    </w:p>
    <w:p w:rsidR="00BD59B2" w:rsidRPr="00E0488D" w:rsidRDefault="000F50C2" w:rsidP="002B7E09">
      <w:pPr>
        <w:pStyle w:val="NumberedParas"/>
      </w:pPr>
      <w:r>
        <w:t xml:space="preserve">Strategia de dezvoltare a sectorului de transport intermodal descrisă mai înainte, atunci când este combinată cu proiectele navale </w:t>
      </w:r>
      <w:r w:rsidR="0076305A">
        <w:t>și feroviare (dar și cu terminalele tri-modale de la Galați, Giurgiu și Drobeta-Turnu-Severin) are potențialul de a aduce o contribuție semnificativă la dezvoltarea economică și sustenabilă a României prin promovarea schimburilor modale în transportul de marfă. Implementarea strategiei va induce o reducere cu 900.000 a numărului de tone-km pentru drumuri, o creștere cu 100.000 tone-km pentru calea ferată, o creștere cu 1,1 milioane tone-km pentru căi navigabile și o creștere generală de 400,000 tone-km față de Scenariul de Referință. Strategia de dezvoltare este descrisă în tabelele 8.33 și 8.34.</w:t>
      </w:r>
    </w:p>
    <w:p w:rsidR="00BD59B2" w:rsidRPr="00E0488D" w:rsidRDefault="00BD59B2" w:rsidP="0076305A">
      <w:pPr>
        <w:rPr>
          <w:highlight w:val="yellow"/>
          <w:lang w:val="ro-RO"/>
        </w:rPr>
      </w:pPr>
    </w:p>
    <w:p w:rsidR="00BD59B2" w:rsidRPr="00E0488D" w:rsidRDefault="00BD59B2" w:rsidP="00BD59B2">
      <w:pPr>
        <w:rPr>
          <w:b/>
          <w:sz w:val="22"/>
          <w:szCs w:val="22"/>
          <w:highlight w:val="yellow"/>
          <w:lang w:val="ro-RO"/>
        </w:rPr>
      </w:pPr>
      <w:r w:rsidRPr="00E0488D">
        <w:rPr>
          <w:b/>
          <w:sz w:val="22"/>
          <w:szCs w:val="22"/>
          <w:highlight w:val="yellow"/>
          <w:lang w:val="ro-RO"/>
        </w:rPr>
        <w:br w:type="page"/>
      </w:r>
    </w:p>
    <w:p w:rsidR="00BD59B2" w:rsidRPr="0076305A" w:rsidRDefault="0076305A" w:rsidP="00BD59B2">
      <w:pPr>
        <w:spacing w:line="276" w:lineRule="auto"/>
        <w:rPr>
          <w:b/>
          <w:sz w:val="22"/>
          <w:szCs w:val="22"/>
          <w:lang w:val="ro-RO"/>
        </w:rPr>
      </w:pPr>
      <w:r w:rsidRPr="0076305A">
        <w:rPr>
          <w:b/>
          <w:sz w:val="22"/>
          <w:szCs w:val="22"/>
          <w:lang w:val="ro-RO"/>
        </w:rPr>
        <w:t>Tabelul</w:t>
      </w:r>
      <w:r w:rsidR="00BD59B2" w:rsidRPr="0076305A">
        <w:rPr>
          <w:b/>
          <w:sz w:val="22"/>
          <w:szCs w:val="22"/>
          <w:lang w:val="ro-RO"/>
        </w:rPr>
        <w:t xml:space="preserve"> 8.33 </w:t>
      </w:r>
      <w:r w:rsidRPr="0076305A">
        <w:rPr>
          <w:b/>
          <w:sz w:val="22"/>
          <w:szCs w:val="22"/>
          <w:lang w:val="ro-RO"/>
        </w:rPr>
        <w:t>Rezumatul intervențiilor recomandate și impactul asupra utilizăroo (volume zilnice)</w:t>
      </w:r>
    </w:p>
    <w:tbl>
      <w:tblPr>
        <w:tblW w:w="49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3"/>
        <w:gridCol w:w="1684"/>
        <w:gridCol w:w="1684"/>
        <w:gridCol w:w="1684"/>
        <w:gridCol w:w="1678"/>
      </w:tblGrid>
      <w:tr w:rsidR="00BD59B2" w:rsidRPr="0076305A" w:rsidTr="009972B3">
        <w:trPr>
          <w:tblHeader/>
        </w:trPr>
        <w:tc>
          <w:tcPr>
            <w:tcW w:w="1759"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sidRPr="0076305A">
              <w:rPr>
                <w:b/>
                <w:sz w:val="22"/>
                <w:szCs w:val="22"/>
                <w:lang w:val="ro-RO"/>
              </w:rPr>
              <w:t>Intervenție</w:t>
            </w:r>
          </w:p>
        </w:tc>
        <w:tc>
          <w:tcPr>
            <w:tcW w:w="811"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sidRPr="0076305A">
              <w:rPr>
                <w:b/>
                <w:sz w:val="22"/>
                <w:szCs w:val="22"/>
                <w:lang w:val="ro-RO"/>
              </w:rPr>
              <w:t>Locație</w:t>
            </w:r>
          </w:p>
        </w:tc>
        <w:tc>
          <w:tcPr>
            <w:tcW w:w="811" w:type="pct"/>
            <w:shd w:val="clear" w:color="auto" w:fill="B8CCE4" w:themeFill="accent1" w:themeFillTint="66"/>
            <w:vAlign w:val="center"/>
          </w:tcPr>
          <w:p w:rsidR="00BD59B2" w:rsidRPr="0076305A" w:rsidRDefault="00BD59B2" w:rsidP="009972B3">
            <w:pPr>
              <w:spacing w:line="276" w:lineRule="auto"/>
              <w:jc w:val="center"/>
              <w:rPr>
                <w:b/>
                <w:sz w:val="22"/>
                <w:szCs w:val="22"/>
                <w:lang w:val="ro-RO"/>
              </w:rPr>
            </w:pPr>
            <w:r w:rsidRPr="0076305A">
              <w:rPr>
                <w:b/>
                <w:sz w:val="22"/>
                <w:szCs w:val="22"/>
                <w:lang w:val="ro-RO"/>
              </w:rPr>
              <w:t>2011 TEU</w:t>
            </w:r>
          </w:p>
          <w:p w:rsidR="00BD59B2" w:rsidRPr="0076305A" w:rsidRDefault="00BD59B2" w:rsidP="009972B3">
            <w:pPr>
              <w:spacing w:line="276" w:lineRule="auto"/>
              <w:jc w:val="center"/>
              <w:rPr>
                <w:b/>
                <w:sz w:val="22"/>
                <w:szCs w:val="22"/>
                <w:lang w:val="ro-RO"/>
              </w:rPr>
            </w:pPr>
            <w:r w:rsidRPr="0076305A">
              <w:rPr>
                <w:b/>
                <w:sz w:val="22"/>
                <w:szCs w:val="22"/>
                <w:lang w:val="ro-RO"/>
              </w:rPr>
              <w:t>(Actual)</w:t>
            </w:r>
          </w:p>
        </w:tc>
        <w:tc>
          <w:tcPr>
            <w:tcW w:w="811" w:type="pct"/>
            <w:shd w:val="clear" w:color="auto" w:fill="B8CCE4" w:themeFill="accent1" w:themeFillTint="66"/>
            <w:vAlign w:val="center"/>
          </w:tcPr>
          <w:p w:rsidR="00BD59B2" w:rsidRPr="0076305A" w:rsidRDefault="00BD59B2" w:rsidP="009972B3">
            <w:pPr>
              <w:spacing w:line="276" w:lineRule="auto"/>
              <w:jc w:val="center"/>
              <w:rPr>
                <w:b/>
                <w:sz w:val="22"/>
                <w:szCs w:val="22"/>
                <w:lang w:val="ro-RO"/>
              </w:rPr>
            </w:pPr>
            <w:r w:rsidRPr="0076305A">
              <w:rPr>
                <w:b/>
                <w:sz w:val="22"/>
                <w:szCs w:val="22"/>
                <w:lang w:val="ro-RO"/>
              </w:rPr>
              <w:t>2020 TEU</w:t>
            </w:r>
          </w:p>
          <w:p w:rsidR="00BD59B2" w:rsidRPr="0076305A" w:rsidRDefault="00BD59B2" w:rsidP="0076305A">
            <w:pPr>
              <w:spacing w:line="276" w:lineRule="auto"/>
              <w:jc w:val="center"/>
              <w:rPr>
                <w:b/>
                <w:sz w:val="22"/>
                <w:szCs w:val="22"/>
                <w:lang w:val="ro-RO"/>
              </w:rPr>
            </w:pPr>
            <w:r w:rsidRPr="0076305A">
              <w:rPr>
                <w:b/>
                <w:sz w:val="22"/>
                <w:szCs w:val="22"/>
                <w:lang w:val="ro-RO"/>
              </w:rPr>
              <w:t>(</w:t>
            </w:r>
            <w:r w:rsidR="0076305A" w:rsidRPr="0076305A">
              <w:rPr>
                <w:b/>
                <w:sz w:val="22"/>
                <w:szCs w:val="22"/>
                <w:lang w:val="ro-RO"/>
              </w:rPr>
              <w:t>Scenariul de Referință</w:t>
            </w:r>
            <w:r w:rsidRPr="0076305A">
              <w:rPr>
                <w:b/>
                <w:sz w:val="22"/>
                <w:szCs w:val="22"/>
                <w:lang w:val="ro-RO"/>
              </w:rPr>
              <w:t>)</w:t>
            </w:r>
          </w:p>
        </w:tc>
        <w:tc>
          <w:tcPr>
            <w:tcW w:w="808" w:type="pct"/>
            <w:shd w:val="clear" w:color="auto" w:fill="B8CCE4" w:themeFill="accent1" w:themeFillTint="66"/>
            <w:vAlign w:val="center"/>
          </w:tcPr>
          <w:p w:rsidR="00BD59B2" w:rsidRPr="0076305A" w:rsidRDefault="00BD59B2" w:rsidP="009972B3">
            <w:pPr>
              <w:spacing w:line="276" w:lineRule="auto"/>
              <w:jc w:val="center"/>
              <w:rPr>
                <w:b/>
                <w:sz w:val="22"/>
                <w:szCs w:val="22"/>
                <w:lang w:val="ro-RO"/>
              </w:rPr>
            </w:pPr>
            <w:r w:rsidRPr="0076305A">
              <w:rPr>
                <w:b/>
                <w:sz w:val="22"/>
                <w:szCs w:val="22"/>
                <w:lang w:val="ro-RO"/>
              </w:rPr>
              <w:t>2020 TEU</w:t>
            </w:r>
          </w:p>
          <w:p w:rsidR="00BD59B2" w:rsidRPr="0076305A" w:rsidRDefault="00BD59B2" w:rsidP="009972B3">
            <w:pPr>
              <w:spacing w:line="276" w:lineRule="auto"/>
              <w:jc w:val="center"/>
              <w:rPr>
                <w:b/>
                <w:sz w:val="22"/>
                <w:szCs w:val="22"/>
                <w:lang w:val="ro-RO"/>
              </w:rPr>
            </w:pPr>
            <w:r w:rsidRPr="0076305A">
              <w:rPr>
                <w:b/>
                <w:sz w:val="22"/>
                <w:szCs w:val="22"/>
                <w:lang w:val="ro-RO"/>
              </w:rPr>
              <w:t>(Do Something)</w:t>
            </w:r>
          </w:p>
        </w:tc>
      </w:tr>
      <w:tr w:rsidR="00BD59B2" w:rsidRPr="0076305A" w:rsidTr="009972B3">
        <w:tc>
          <w:tcPr>
            <w:tcW w:w="1759" w:type="pct"/>
            <w:vAlign w:val="center"/>
          </w:tcPr>
          <w:p w:rsidR="00BD59B2" w:rsidRPr="0076305A" w:rsidRDefault="0076305A" w:rsidP="009972B3">
            <w:pPr>
              <w:spacing w:line="276" w:lineRule="auto"/>
              <w:jc w:val="center"/>
              <w:rPr>
                <w:sz w:val="22"/>
                <w:szCs w:val="22"/>
                <w:lang w:val="ro-RO"/>
              </w:rPr>
            </w:pPr>
            <w:r w:rsidRPr="0076305A">
              <w:rPr>
                <w:sz w:val="22"/>
                <w:szCs w:val="22"/>
                <w:lang w:val="ro-RO"/>
              </w:rPr>
              <w:t>Construcția unui terminal nou</w:t>
            </w:r>
          </w:p>
        </w:tc>
        <w:tc>
          <w:tcPr>
            <w:tcW w:w="811" w:type="pct"/>
            <w:vAlign w:val="center"/>
          </w:tcPr>
          <w:p w:rsidR="00BD59B2" w:rsidRPr="0076305A" w:rsidRDefault="0076305A" w:rsidP="009972B3">
            <w:pPr>
              <w:spacing w:line="276" w:lineRule="auto"/>
              <w:jc w:val="center"/>
              <w:rPr>
                <w:sz w:val="22"/>
                <w:szCs w:val="22"/>
                <w:lang w:val="ro-RO"/>
              </w:rPr>
            </w:pPr>
            <w:r w:rsidRPr="0076305A">
              <w:rPr>
                <w:sz w:val="22"/>
                <w:szCs w:val="22"/>
                <w:lang w:val="ro-RO"/>
              </w:rPr>
              <w:t>București</w:t>
            </w:r>
          </w:p>
        </w:tc>
        <w:tc>
          <w:tcPr>
            <w:tcW w:w="811" w:type="pct"/>
            <w:vAlign w:val="center"/>
          </w:tcPr>
          <w:p w:rsidR="00BD59B2" w:rsidRPr="0076305A" w:rsidRDefault="00BD59B2" w:rsidP="009972B3">
            <w:pPr>
              <w:spacing w:line="276" w:lineRule="auto"/>
              <w:jc w:val="center"/>
              <w:rPr>
                <w:rFonts w:cs="Arial"/>
                <w:sz w:val="22"/>
                <w:szCs w:val="22"/>
                <w:lang w:val="ro-RO"/>
              </w:rPr>
            </w:pPr>
            <w:r w:rsidRPr="0076305A">
              <w:rPr>
                <w:rFonts w:cs="Arial"/>
                <w:sz w:val="22"/>
                <w:szCs w:val="22"/>
                <w:lang w:val="ro-RO"/>
              </w:rPr>
              <w:t>35</w:t>
            </w:r>
          </w:p>
        </w:tc>
        <w:tc>
          <w:tcPr>
            <w:tcW w:w="811" w:type="pct"/>
            <w:vAlign w:val="center"/>
          </w:tcPr>
          <w:p w:rsidR="00BD59B2" w:rsidRPr="0076305A" w:rsidRDefault="00BD59B2" w:rsidP="009972B3">
            <w:pPr>
              <w:spacing w:line="276" w:lineRule="auto"/>
              <w:jc w:val="center"/>
              <w:rPr>
                <w:rFonts w:cs="Arial"/>
                <w:sz w:val="22"/>
                <w:szCs w:val="22"/>
                <w:lang w:val="ro-RO"/>
              </w:rPr>
            </w:pPr>
            <w:r w:rsidRPr="0076305A">
              <w:rPr>
                <w:rFonts w:cs="Arial"/>
                <w:sz w:val="22"/>
                <w:szCs w:val="22"/>
                <w:lang w:val="ro-RO"/>
              </w:rPr>
              <w:t>82</w:t>
            </w:r>
          </w:p>
        </w:tc>
        <w:tc>
          <w:tcPr>
            <w:tcW w:w="808"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179</w:t>
            </w:r>
          </w:p>
        </w:tc>
      </w:tr>
      <w:tr w:rsidR="00BD59B2" w:rsidRPr="0076305A" w:rsidTr="009972B3">
        <w:tc>
          <w:tcPr>
            <w:tcW w:w="1759" w:type="pct"/>
            <w:vAlign w:val="center"/>
          </w:tcPr>
          <w:p w:rsidR="00BD59B2" w:rsidRPr="0076305A" w:rsidRDefault="0076305A" w:rsidP="009972B3">
            <w:pPr>
              <w:spacing w:line="276" w:lineRule="auto"/>
              <w:jc w:val="center"/>
              <w:rPr>
                <w:sz w:val="22"/>
                <w:szCs w:val="22"/>
                <w:lang w:val="ro-RO"/>
              </w:rPr>
            </w:pPr>
            <w:r w:rsidRPr="0076305A">
              <w:rPr>
                <w:sz w:val="22"/>
                <w:szCs w:val="22"/>
                <w:lang w:val="ro-RO"/>
              </w:rPr>
              <w:t>Construcția unui terminal nou</w:t>
            </w:r>
          </w:p>
        </w:tc>
        <w:tc>
          <w:tcPr>
            <w:tcW w:w="811" w:type="pct"/>
            <w:vAlign w:val="center"/>
          </w:tcPr>
          <w:p w:rsidR="00BD59B2" w:rsidRPr="0076305A" w:rsidRDefault="00BD59B2" w:rsidP="009972B3">
            <w:pPr>
              <w:spacing w:line="276" w:lineRule="auto"/>
              <w:jc w:val="center"/>
              <w:rPr>
                <w:sz w:val="22"/>
                <w:szCs w:val="22"/>
                <w:lang w:val="ro-RO"/>
              </w:rPr>
            </w:pPr>
            <w:r w:rsidRPr="0076305A">
              <w:rPr>
                <w:sz w:val="22"/>
                <w:szCs w:val="22"/>
                <w:lang w:val="ro-RO"/>
              </w:rPr>
              <w:t>Craiova</w:t>
            </w:r>
          </w:p>
        </w:tc>
        <w:tc>
          <w:tcPr>
            <w:tcW w:w="811"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0</w:t>
            </w:r>
          </w:p>
        </w:tc>
        <w:tc>
          <w:tcPr>
            <w:tcW w:w="811" w:type="pct"/>
            <w:vAlign w:val="center"/>
          </w:tcPr>
          <w:p w:rsidR="00BD59B2" w:rsidRPr="0076305A" w:rsidRDefault="00BD59B2" w:rsidP="009972B3">
            <w:pPr>
              <w:jc w:val="center"/>
              <w:rPr>
                <w:rFonts w:cs="Arial"/>
                <w:sz w:val="22"/>
                <w:szCs w:val="22"/>
                <w:lang w:val="ro-RO"/>
              </w:rPr>
            </w:pPr>
            <w:r w:rsidRPr="0076305A">
              <w:rPr>
                <w:rFonts w:cs="Arial"/>
                <w:sz w:val="22"/>
                <w:szCs w:val="22"/>
                <w:lang w:val="ro-RO"/>
              </w:rPr>
              <w:t>0</w:t>
            </w:r>
          </w:p>
        </w:tc>
        <w:tc>
          <w:tcPr>
            <w:tcW w:w="808" w:type="pct"/>
            <w:vAlign w:val="center"/>
          </w:tcPr>
          <w:p w:rsidR="00BD59B2" w:rsidRPr="0076305A" w:rsidRDefault="00BD59B2" w:rsidP="009972B3">
            <w:pPr>
              <w:jc w:val="center"/>
              <w:rPr>
                <w:rFonts w:cs="Arial"/>
                <w:sz w:val="22"/>
                <w:szCs w:val="22"/>
                <w:lang w:val="ro-RO"/>
              </w:rPr>
            </w:pPr>
            <w:r w:rsidRPr="0076305A">
              <w:rPr>
                <w:rFonts w:cs="Arial"/>
                <w:sz w:val="22"/>
                <w:szCs w:val="22"/>
                <w:lang w:val="ro-RO"/>
              </w:rPr>
              <w:t>41</w:t>
            </w:r>
          </w:p>
        </w:tc>
      </w:tr>
      <w:tr w:rsidR="00BD59B2" w:rsidRPr="0076305A" w:rsidTr="009972B3">
        <w:tc>
          <w:tcPr>
            <w:tcW w:w="1759" w:type="pct"/>
            <w:vAlign w:val="center"/>
          </w:tcPr>
          <w:p w:rsidR="00BD59B2" w:rsidRPr="0076305A" w:rsidRDefault="0076305A" w:rsidP="009972B3">
            <w:pPr>
              <w:spacing w:line="276" w:lineRule="auto"/>
              <w:jc w:val="center"/>
              <w:rPr>
                <w:sz w:val="22"/>
                <w:szCs w:val="22"/>
                <w:lang w:val="ro-RO"/>
              </w:rPr>
            </w:pPr>
            <w:r w:rsidRPr="0076305A">
              <w:rPr>
                <w:sz w:val="22"/>
                <w:szCs w:val="22"/>
                <w:lang w:val="ro-RO"/>
              </w:rPr>
              <w:t>Construcția unui terminal nou sau modernizarea celui existent</w:t>
            </w:r>
          </w:p>
        </w:tc>
        <w:tc>
          <w:tcPr>
            <w:tcW w:w="811" w:type="pct"/>
            <w:vAlign w:val="center"/>
          </w:tcPr>
          <w:p w:rsidR="00BD59B2" w:rsidRPr="0076305A" w:rsidRDefault="00BD59B2" w:rsidP="009972B3">
            <w:pPr>
              <w:spacing w:line="276" w:lineRule="auto"/>
              <w:jc w:val="center"/>
              <w:rPr>
                <w:sz w:val="22"/>
                <w:szCs w:val="22"/>
                <w:lang w:val="ro-RO"/>
              </w:rPr>
            </w:pPr>
            <w:r w:rsidRPr="0076305A">
              <w:rPr>
                <w:sz w:val="22"/>
                <w:szCs w:val="22"/>
                <w:lang w:val="ro-RO"/>
              </w:rPr>
              <w:t>Timisoara</w:t>
            </w:r>
          </w:p>
        </w:tc>
        <w:tc>
          <w:tcPr>
            <w:tcW w:w="81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2</w:t>
            </w:r>
          </w:p>
        </w:tc>
        <w:tc>
          <w:tcPr>
            <w:tcW w:w="81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2</w:t>
            </w:r>
          </w:p>
        </w:tc>
        <w:tc>
          <w:tcPr>
            <w:tcW w:w="808"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40</w:t>
            </w:r>
          </w:p>
        </w:tc>
      </w:tr>
      <w:tr w:rsidR="0076305A" w:rsidRPr="0076305A" w:rsidTr="00A2437A">
        <w:tc>
          <w:tcPr>
            <w:tcW w:w="1759" w:type="pct"/>
          </w:tcPr>
          <w:p w:rsidR="0076305A" w:rsidRPr="0076305A" w:rsidRDefault="0076305A" w:rsidP="0076305A">
            <w:pPr>
              <w:jc w:val="center"/>
            </w:pPr>
            <w:r w:rsidRPr="0076305A">
              <w:rPr>
                <w:sz w:val="22"/>
                <w:szCs w:val="22"/>
                <w:lang w:val="ro-RO"/>
              </w:rPr>
              <w:t>Construcția unui terminal nou sau modernizarea celui existent</w:t>
            </w:r>
          </w:p>
        </w:tc>
        <w:tc>
          <w:tcPr>
            <w:tcW w:w="811"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Cluj Napoca</w:t>
            </w:r>
          </w:p>
        </w:tc>
        <w:tc>
          <w:tcPr>
            <w:tcW w:w="81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9</w:t>
            </w:r>
          </w:p>
        </w:tc>
        <w:tc>
          <w:tcPr>
            <w:tcW w:w="81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23</w:t>
            </w:r>
          </w:p>
        </w:tc>
        <w:tc>
          <w:tcPr>
            <w:tcW w:w="808"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55</w:t>
            </w:r>
          </w:p>
        </w:tc>
      </w:tr>
      <w:tr w:rsidR="0076305A" w:rsidRPr="0076305A" w:rsidTr="00A2437A">
        <w:tc>
          <w:tcPr>
            <w:tcW w:w="1759" w:type="pct"/>
          </w:tcPr>
          <w:p w:rsidR="0076305A" w:rsidRPr="0076305A" w:rsidRDefault="0076305A" w:rsidP="0076305A">
            <w:pPr>
              <w:jc w:val="center"/>
            </w:pPr>
            <w:r w:rsidRPr="0076305A">
              <w:rPr>
                <w:sz w:val="22"/>
                <w:szCs w:val="22"/>
                <w:lang w:val="ro-RO"/>
              </w:rPr>
              <w:t>Construcția unui terminal nou sau modernizarea celui existent</w:t>
            </w:r>
          </w:p>
        </w:tc>
        <w:tc>
          <w:tcPr>
            <w:tcW w:w="811"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Suceava</w:t>
            </w:r>
          </w:p>
        </w:tc>
        <w:tc>
          <w:tcPr>
            <w:tcW w:w="811" w:type="pct"/>
            <w:vAlign w:val="center"/>
          </w:tcPr>
          <w:p w:rsidR="0076305A" w:rsidRPr="0076305A" w:rsidRDefault="0076305A" w:rsidP="009972B3">
            <w:pPr>
              <w:jc w:val="center"/>
              <w:rPr>
                <w:rFonts w:cs="Arial"/>
                <w:bCs/>
                <w:sz w:val="22"/>
                <w:szCs w:val="22"/>
                <w:lang w:val="ro-RO"/>
              </w:rPr>
            </w:pPr>
            <w:r w:rsidRPr="0076305A">
              <w:rPr>
                <w:rFonts w:cs="Arial"/>
                <w:bCs/>
                <w:sz w:val="22"/>
                <w:szCs w:val="22"/>
                <w:lang w:val="ro-RO"/>
              </w:rPr>
              <w:t>11</w:t>
            </w:r>
          </w:p>
        </w:tc>
        <w:tc>
          <w:tcPr>
            <w:tcW w:w="811" w:type="pct"/>
            <w:vAlign w:val="center"/>
          </w:tcPr>
          <w:p w:rsidR="0076305A" w:rsidRPr="0076305A" w:rsidRDefault="0076305A" w:rsidP="009972B3">
            <w:pPr>
              <w:jc w:val="center"/>
              <w:rPr>
                <w:rFonts w:cs="Arial"/>
                <w:bCs/>
                <w:sz w:val="22"/>
                <w:szCs w:val="22"/>
                <w:lang w:val="ro-RO"/>
              </w:rPr>
            </w:pPr>
            <w:r w:rsidRPr="0076305A">
              <w:rPr>
                <w:rFonts w:cs="Arial"/>
                <w:bCs/>
                <w:sz w:val="22"/>
                <w:szCs w:val="22"/>
                <w:lang w:val="ro-RO"/>
              </w:rPr>
              <w:t>19</w:t>
            </w:r>
          </w:p>
        </w:tc>
        <w:tc>
          <w:tcPr>
            <w:tcW w:w="808" w:type="pct"/>
            <w:vAlign w:val="center"/>
          </w:tcPr>
          <w:p w:rsidR="0076305A" w:rsidRPr="0076305A" w:rsidRDefault="0076305A" w:rsidP="009972B3">
            <w:pPr>
              <w:jc w:val="center"/>
              <w:rPr>
                <w:rFonts w:cs="Arial"/>
                <w:bCs/>
                <w:sz w:val="22"/>
                <w:szCs w:val="22"/>
                <w:lang w:val="ro-RO"/>
              </w:rPr>
            </w:pPr>
            <w:r w:rsidRPr="0076305A">
              <w:rPr>
                <w:rFonts w:cs="Arial"/>
                <w:bCs/>
                <w:sz w:val="22"/>
                <w:szCs w:val="22"/>
                <w:lang w:val="ro-RO"/>
              </w:rPr>
              <w:t>63</w:t>
            </w:r>
          </w:p>
        </w:tc>
      </w:tr>
      <w:tr w:rsidR="0076305A" w:rsidRPr="0076305A" w:rsidTr="00A2437A">
        <w:tc>
          <w:tcPr>
            <w:tcW w:w="1759" w:type="pct"/>
          </w:tcPr>
          <w:p w:rsidR="0076305A" w:rsidRPr="0076305A" w:rsidRDefault="0076305A" w:rsidP="0076305A">
            <w:pPr>
              <w:jc w:val="center"/>
            </w:pPr>
            <w:r w:rsidRPr="0076305A">
              <w:rPr>
                <w:sz w:val="22"/>
                <w:szCs w:val="22"/>
                <w:lang w:val="ro-RO"/>
              </w:rPr>
              <w:t>Construcția unui terminal nou sau modernizarea celui existent</w:t>
            </w:r>
          </w:p>
        </w:tc>
        <w:tc>
          <w:tcPr>
            <w:tcW w:w="811"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Bacau</w:t>
            </w:r>
          </w:p>
        </w:tc>
        <w:tc>
          <w:tcPr>
            <w:tcW w:w="81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15</w:t>
            </w:r>
          </w:p>
        </w:tc>
        <w:tc>
          <w:tcPr>
            <w:tcW w:w="81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24</w:t>
            </w:r>
          </w:p>
        </w:tc>
        <w:tc>
          <w:tcPr>
            <w:tcW w:w="808"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74</w:t>
            </w:r>
          </w:p>
        </w:tc>
      </w:tr>
      <w:tr w:rsidR="00BD59B2" w:rsidRPr="0076305A" w:rsidTr="009972B3">
        <w:tc>
          <w:tcPr>
            <w:tcW w:w="1759" w:type="pct"/>
            <w:vAlign w:val="center"/>
          </w:tcPr>
          <w:p w:rsidR="00BD59B2" w:rsidRPr="0076305A" w:rsidRDefault="0076305A" w:rsidP="009972B3">
            <w:pPr>
              <w:spacing w:line="276" w:lineRule="auto"/>
              <w:jc w:val="center"/>
              <w:rPr>
                <w:sz w:val="22"/>
                <w:szCs w:val="22"/>
                <w:lang w:val="ro-RO"/>
              </w:rPr>
            </w:pPr>
            <w:r w:rsidRPr="0076305A">
              <w:rPr>
                <w:sz w:val="22"/>
                <w:szCs w:val="22"/>
                <w:lang w:val="ro-RO"/>
              </w:rPr>
              <w:t>Modernizarea terminalului existent</w:t>
            </w:r>
          </w:p>
        </w:tc>
        <w:tc>
          <w:tcPr>
            <w:tcW w:w="811" w:type="pct"/>
            <w:vAlign w:val="center"/>
          </w:tcPr>
          <w:p w:rsidR="00BD59B2" w:rsidRPr="0076305A" w:rsidRDefault="00BD59B2" w:rsidP="009972B3">
            <w:pPr>
              <w:spacing w:line="276" w:lineRule="auto"/>
              <w:jc w:val="center"/>
              <w:rPr>
                <w:sz w:val="22"/>
                <w:szCs w:val="22"/>
                <w:lang w:val="ro-RO"/>
              </w:rPr>
            </w:pPr>
            <w:r w:rsidRPr="0076305A">
              <w:rPr>
                <w:sz w:val="22"/>
                <w:szCs w:val="22"/>
                <w:lang w:val="ro-RO"/>
              </w:rPr>
              <w:t>Iasi</w:t>
            </w:r>
          </w:p>
        </w:tc>
        <w:tc>
          <w:tcPr>
            <w:tcW w:w="81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w:t>
            </w:r>
          </w:p>
        </w:tc>
        <w:tc>
          <w:tcPr>
            <w:tcW w:w="81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2</w:t>
            </w:r>
          </w:p>
        </w:tc>
        <w:tc>
          <w:tcPr>
            <w:tcW w:w="808"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25</w:t>
            </w:r>
          </w:p>
        </w:tc>
      </w:tr>
      <w:tr w:rsidR="0076305A" w:rsidRPr="0076305A" w:rsidTr="00A2437A">
        <w:tc>
          <w:tcPr>
            <w:tcW w:w="1759" w:type="pct"/>
          </w:tcPr>
          <w:p w:rsidR="0076305A" w:rsidRPr="0076305A" w:rsidRDefault="0076305A">
            <w:r w:rsidRPr="0076305A">
              <w:rPr>
                <w:sz w:val="22"/>
                <w:szCs w:val="22"/>
                <w:lang w:val="ro-RO"/>
              </w:rPr>
              <w:t>Modernizarea terminalului existent</w:t>
            </w:r>
          </w:p>
        </w:tc>
        <w:tc>
          <w:tcPr>
            <w:tcW w:w="811"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Oradea</w:t>
            </w:r>
          </w:p>
        </w:tc>
        <w:tc>
          <w:tcPr>
            <w:tcW w:w="811"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1</w:t>
            </w:r>
          </w:p>
        </w:tc>
        <w:tc>
          <w:tcPr>
            <w:tcW w:w="811"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2</w:t>
            </w:r>
          </w:p>
        </w:tc>
        <w:tc>
          <w:tcPr>
            <w:tcW w:w="808"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25</w:t>
            </w:r>
          </w:p>
        </w:tc>
      </w:tr>
      <w:tr w:rsidR="0076305A" w:rsidRPr="0076305A" w:rsidTr="00A2437A">
        <w:tc>
          <w:tcPr>
            <w:tcW w:w="1759" w:type="pct"/>
          </w:tcPr>
          <w:p w:rsidR="0076305A" w:rsidRPr="0076305A" w:rsidRDefault="0076305A">
            <w:r w:rsidRPr="0076305A">
              <w:rPr>
                <w:sz w:val="22"/>
                <w:szCs w:val="22"/>
                <w:lang w:val="ro-RO"/>
              </w:rPr>
              <w:t>Modernizarea terminalului existent</w:t>
            </w:r>
          </w:p>
        </w:tc>
        <w:tc>
          <w:tcPr>
            <w:tcW w:w="811"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Turdu</w:t>
            </w:r>
          </w:p>
        </w:tc>
        <w:tc>
          <w:tcPr>
            <w:tcW w:w="81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11</w:t>
            </w:r>
          </w:p>
        </w:tc>
        <w:tc>
          <w:tcPr>
            <w:tcW w:w="81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16</w:t>
            </w:r>
          </w:p>
        </w:tc>
        <w:tc>
          <w:tcPr>
            <w:tcW w:w="808"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28</w:t>
            </w:r>
          </w:p>
        </w:tc>
      </w:tr>
    </w:tbl>
    <w:p w:rsidR="00BD59B2" w:rsidRPr="0076305A" w:rsidRDefault="00BD59B2" w:rsidP="0076305A">
      <w:pPr>
        <w:spacing w:before="120" w:after="120" w:line="276" w:lineRule="auto"/>
        <w:rPr>
          <w:b/>
          <w:sz w:val="22"/>
          <w:szCs w:val="22"/>
          <w:lang w:val="ro-RO"/>
        </w:rPr>
      </w:pPr>
    </w:p>
    <w:p w:rsidR="00BD59B2" w:rsidRPr="0076305A" w:rsidRDefault="0076305A" w:rsidP="00BD59B2">
      <w:pPr>
        <w:spacing w:line="276" w:lineRule="auto"/>
        <w:rPr>
          <w:b/>
          <w:sz w:val="22"/>
          <w:szCs w:val="22"/>
          <w:lang w:val="ro-RO"/>
        </w:rPr>
      </w:pPr>
      <w:r w:rsidRPr="0076305A">
        <w:rPr>
          <w:b/>
          <w:sz w:val="22"/>
          <w:szCs w:val="22"/>
          <w:lang w:val="ro-RO"/>
        </w:rPr>
        <w:t xml:space="preserve">Tabelul </w:t>
      </w:r>
      <w:r w:rsidR="00BD59B2" w:rsidRPr="0076305A">
        <w:rPr>
          <w:b/>
          <w:sz w:val="22"/>
          <w:szCs w:val="22"/>
          <w:lang w:val="ro-RO"/>
        </w:rPr>
        <w:t xml:space="preserve">8.34 </w:t>
      </w:r>
      <w:r w:rsidRPr="0076305A">
        <w:rPr>
          <w:b/>
          <w:sz w:val="22"/>
          <w:szCs w:val="22"/>
          <w:lang w:val="ro-RO"/>
        </w:rPr>
        <w:t>Rezumatul performanței economice a proiectelor</w:t>
      </w: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2420"/>
        <w:gridCol w:w="1492"/>
        <w:gridCol w:w="1495"/>
        <w:gridCol w:w="1965"/>
        <w:gridCol w:w="1493"/>
      </w:tblGrid>
      <w:tr w:rsidR="00BD59B2" w:rsidRPr="0076305A" w:rsidTr="009972B3">
        <w:trPr>
          <w:tblHeader/>
        </w:trPr>
        <w:tc>
          <w:tcPr>
            <w:tcW w:w="799"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Pr>
                <w:b/>
                <w:sz w:val="22"/>
                <w:szCs w:val="22"/>
                <w:lang w:val="ro-RO"/>
              </w:rPr>
              <w:t>Locație</w:t>
            </w:r>
          </w:p>
        </w:tc>
        <w:tc>
          <w:tcPr>
            <w:tcW w:w="1195"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sidRPr="0076305A">
              <w:rPr>
                <w:b/>
                <w:sz w:val="22"/>
                <w:szCs w:val="22"/>
                <w:lang w:val="ro-RO"/>
              </w:rPr>
              <w:t>Intervenție</w:t>
            </w:r>
          </w:p>
        </w:tc>
        <w:tc>
          <w:tcPr>
            <w:tcW w:w="751"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Pr>
                <w:b/>
                <w:sz w:val="22"/>
                <w:szCs w:val="22"/>
                <w:lang w:val="ro-RO"/>
              </w:rPr>
              <w:t xml:space="preserve">Valoare </w:t>
            </w:r>
          </w:p>
          <w:p w:rsidR="00BD59B2" w:rsidRPr="0076305A" w:rsidRDefault="00BD59B2" w:rsidP="009972B3">
            <w:pPr>
              <w:spacing w:line="276" w:lineRule="auto"/>
              <w:jc w:val="center"/>
              <w:rPr>
                <w:b/>
                <w:sz w:val="22"/>
                <w:szCs w:val="22"/>
                <w:lang w:val="ro-RO"/>
              </w:rPr>
            </w:pPr>
            <w:r w:rsidRPr="0076305A">
              <w:rPr>
                <w:b/>
                <w:sz w:val="22"/>
                <w:szCs w:val="22"/>
                <w:lang w:val="ro-RO"/>
              </w:rPr>
              <w:t>(CAPEX)</w:t>
            </w:r>
          </w:p>
        </w:tc>
        <w:tc>
          <w:tcPr>
            <w:tcW w:w="752"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Pr>
                <w:b/>
                <w:sz w:val="22"/>
                <w:szCs w:val="22"/>
                <w:lang w:val="ro-RO"/>
              </w:rPr>
              <w:t>Beneficii</w:t>
            </w:r>
          </w:p>
        </w:tc>
        <w:tc>
          <w:tcPr>
            <w:tcW w:w="752"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Pr>
                <w:b/>
                <w:sz w:val="22"/>
                <w:szCs w:val="22"/>
                <w:lang w:val="ro-RO"/>
              </w:rPr>
              <w:t>Raportul Beneficii/Costuri</w:t>
            </w:r>
          </w:p>
        </w:tc>
        <w:tc>
          <w:tcPr>
            <w:tcW w:w="751" w:type="pct"/>
            <w:shd w:val="clear" w:color="auto" w:fill="B8CCE4" w:themeFill="accent1" w:themeFillTint="66"/>
            <w:vAlign w:val="center"/>
          </w:tcPr>
          <w:p w:rsidR="00BD59B2" w:rsidRPr="0076305A" w:rsidRDefault="0076305A" w:rsidP="009972B3">
            <w:pPr>
              <w:spacing w:line="276" w:lineRule="auto"/>
              <w:jc w:val="center"/>
              <w:rPr>
                <w:b/>
                <w:sz w:val="22"/>
                <w:szCs w:val="22"/>
                <w:lang w:val="ro-RO"/>
              </w:rPr>
            </w:pPr>
            <w:r>
              <w:rPr>
                <w:b/>
                <w:sz w:val="22"/>
                <w:szCs w:val="22"/>
                <w:lang w:val="ro-RO"/>
              </w:rPr>
              <w:t>Rata internă de rentabilitate economică</w:t>
            </w:r>
          </w:p>
        </w:tc>
      </w:tr>
      <w:tr w:rsidR="00BD59B2" w:rsidRPr="0076305A" w:rsidTr="009972B3">
        <w:tc>
          <w:tcPr>
            <w:tcW w:w="799" w:type="pct"/>
            <w:vAlign w:val="center"/>
          </w:tcPr>
          <w:p w:rsidR="00BD59B2" w:rsidRPr="0076305A" w:rsidRDefault="0076305A" w:rsidP="009972B3">
            <w:pPr>
              <w:spacing w:line="276" w:lineRule="auto"/>
              <w:jc w:val="center"/>
              <w:rPr>
                <w:sz w:val="22"/>
                <w:szCs w:val="22"/>
                <w:lang w:val="ro-RO"/>
              </w:rPr>
            </w:pPr>
            <w:r w:rsidRPr="0076305A">
              <w:rPr>
                <w:sz w:val="22"/>
                <w:szCs w:val="22"/>
                <w:lang w:val="ro-RO"/>
              </w:rPr>
              <w:t>București</w:t>
            </w: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nou</w:t>
            </w:r>
          </w:p>
        </w:tc>
        <w:tc>
          <w:tcPr>
            <w:tcW w:w="751" w:type="pct"/>
            <w:vAlign w:val="center"/>
          </w:tcPr>
          <w:p w:rsidR="00BD59B2" w:rsidRPr="0076305A" w:rsidRDefault="00BD59B2" w:rsidP="009972B3">
            <w:pPr>
              <w:spacing w:line="276" w:lineRule="auto"/>
              <w:jc w:val="center"/>
              <w:rPr>
                <w:rFonts w:cs="Arial"/>
                <w:sz w:val="22"/>
                <w:szCs w:val="22"/>
                <w:lang w:val="ro-RO"/>
              </w:rPr>
            </w:pPr>
            <w:r w:rsidRPr="0076305A">
              <w:rPr>
                <w:rFonts w:cs="Arial"/>
                <w:sz w:val="22"/>
                <w:szCs w:val="22"/>
                <w:lang w:val="ro-RO"/>
              </w:rPr>
              <w:t>12.8</w:t>
            </w:r>
          </w:p>
        </w:tc>
        <w:tc>
          <w:tcPr>
            <w:tcW w:w="752" w:type="pct"/>
            <w:vAlign w:val="center"/>
          </w:tcPr>
          <w:p w:rsidR="00BD59B2" w:rsidRPr="0076305A" w:rsidRDefault="00BD59B2" w:rsidP="009972B3">
            <w:pPr>
              <w:spacing w:line="276" w:lineRule="auto"/>
              <w:jc w:val="center"/>
              <w:rPr>
                <w:rFonts w:cs="Arial"/>
                <w:sz w:val="22"/>
                <w:szCs w:val="22"/>
                <w:lang w:val="ro-RO"/>
              </w:rPr>
            </w:pPr>
            <w:r w:rsidRPr="0076305A">
              <w:rPr>
                <w:rFonts w:cs="Arial"/>
                <w:sz w:val="22"/>
                <w:szCs w:val="22"/>
                <w:lang w:val="ro-RO"/>
              </w:rPr>
              <w:t>50.1</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3.91</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13.8%</w:t>
            </w:r>
          </w:p>
        </w:tc>
      </w:tr>
      <w:tr w:rsidR="0076305A" w:rsidRPr="0076305A" w:rsidTr="00A2437A">
        <w:tc>
          <w:tcPr>
            <w:tcW w:w="799"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Craiova</w:t>
            </w:r>
          </w:p>
        </w:tc>
        <w:tc>
          <w:tcPr>
            <w:tcW w:w="1195" w:type="pct"/>
          </w:tcPr>
          <w:p w:rsidR="0076305A" w:rsidRDefault="0076305A" w:rsidP="0076305A">
            <w:pPr>
              <w:jc w:val="center"/>
            </w:pPr>
            <w:r w:rsidRPr="007D7871">
              <w:rPr>
                <w:sz w:val="22"/>
                <w:szCs w:val="22"/>
                <w:lang w:val="ro-RO"/>
              </w:rPr>
              <w:t>Terminal nou</w:t>
            </w:r>
          </w:p>
        </w:tc>
        <w:tc>
          <w:tcPr>
            <w:tcW w:w="751" w:type="pct"/>
            <w:vAlign w:val="center"/>
          </w:tcPr>
          <w:p w:rsidR="0076305A" w:rsidRPr="0076305A" w:rsidRDefault="0076305A" w:rsidP="009972B3">
            <w:pPr>
              <w:jc w:val="center"/>
              <w:rPr>
                <w:rFonts w:cs="Arial"/>
                <w:bCs/>
                <w:sz w:val="22"/>
                <w:szCs w:val="22"/>
                <w:lang w:val="ro-RO"/>
              </w:rPr>
            </w:pPr>
            <w:r w:rsidRPr="0076305A">
              <w:rPr>
                <w:rFonts w:cs="Arial"/>
                <w:bCs/>
                <w:sz w:val="22"/>
                <w:szCs w:val="22"/>
                <w:lang w:val="ro-RO"/>
              </w:rPr>
              <w:t>13.6</w:t>
            </w:r>
          </w:p>
        </w:tc>
        <w:tc>
          <w:tcPr>
            <w:tcW w:w="752" w:type="pct"/>
            <w:vAlign w:val="center"/>
          </w:tcPr>
          <w:p w:rsidR="0076305A" w:rsidRPr="0076305A" w:rsidRDefault="0076305A" w:rsidP="009972B3">
            <w:pPr>
              <w:jc w:val="center"/>
              <w:rPr>
                <w:rFonts w:cs="Arial"/>
                <w:sz w:val="22"/>
                <w:szCs w:val="22"/>
                <w:lang w:val="ro-RO"/>
              </w:rPr>
            </w:pPr>
            <w:r w:rsidRPr="0076305A">
              <w:rPr>
                <w:rFonts w:cs="Arial"/>
                <w:sz w:val="22"/>
                <w:szCs w:val="22"/>
                <w:lang w:val="ro-RO"/>
              </w:rPr>
              <w:t>18.8</w:t>
            </w:r>
          </w:p>
        </w:tc>
        <w:tc>
          <w:tcPr>
            <w:tcW w:w="752" w:type="pct"/>
            <w:vAlign w:val="center"/>
          </w:tcPr>
          <w:p w:rsidR="0076305A" w:rsidRPr="0076305A" w:rsidRDefault="0076305A" w:rsidP="009972B3">
            <w:pPr>
              <w:jc w:val="center"/>
              <w:rPr>
                <w:rFonts w:cs="Arial"/>
                <w:sz w:val="22"/>
                <w:szCs w:val="22"/>
                <w:lang w:val="ro-RO"/>
              </w:rPr>
            </w:pPr>
            <w:r w:rsidRPr="0076305A">
              <w:rPr>
                <w:rFonts w:cs="Arial"/>
                <w:sz w:val="22"/>
                <w:szCs w:val="22"/>
                <w:lang w:val="ro-RO"/>
              </w:rPr>
              <w:t>1.39</w:t>
            </w:r>
          </w:p>
        </w:tc>
        <w:tc>
          <w:tcPr>
            <w:tcW w:w="751" w:type="pct"/>
            <w:vAlign w:val="center"/>
          </w:tcPr>
          <w:p w:rsidR="0076305A" w:rsidRPr="0076305A" w:rsidRDefault="0076305A" w:rsidP="009972B3">
            <w:pPr>
              <w:jc w:val="center"/>
              <w:rPr>
                <w:rFonts w:cs="Arial"/>
                <w:sz w:val="22"/>
                <w:szCs w:val="22"/>
                <w:lang w:val="ro-RO"/>
              </w:rPr>
            </w:pPr>
            <w:r w:rsidRPr="0076305A">
              <w:rPr>
                <w:rFonts w:cs="Arial"/>
                <w:sz w:val="22"/>
                <w:szCs w:val="22"/>
                <w:lang w:val="ro-RO"/>
              </w:rPr>
              <w:t>6.6%</w:t>
            </w:r>
          </w:p>
        </w:tc>
      </w:tr>
      <w:tr w:rsidR="0076305A" w:rsidRPr="0076305A" w:rsidTr="00A2437A">
        <w:tc>
          <w:tcPr>
            <w:tcW w:w="799" w:type="pct"/>
            <w:vMerge w:val="restart"/>
            <w:vAlign w:val="center"/>
          </w:tcPr>
          <w:p w:rsidR="0076305A" w:rsidRPr="0076305A" w:rsidRDefault="0076305A" w:rsidP="009972B3">
            <w:pPr>
              <w:spacing w:line="276" w:lineRule="auto"/>
              <w:jc w:val="center"/>
              <w:rPr>
                <w:sz w:val="22"/>
                <w:szCs w:val="22"/>
                <w:lang w:val="ro-RO"/>
              </w:rPr>
            </w:pPr>
            <w:r w:rsidRPr="0076305A">
              <w:rPr>
                <w:sz w:val="22"/>
                <w:szCs w:val="22"/>
                <w:lang w:val="ro-RO"/>
              </w:rPr>
              <w:t>Timisoara</w:t>
            </w:r>
          </w:p>
        </w:tc>
        <w:tc>
          <w:tcPr>
            <w:tcW w:w="1195" w:type="pct"/>
          </w:tcPr>
          <w:p w:rsidR="0076305A" w:rsidRDefault="0076305A" w:rsidP="0076305A">
            <w:pPr>
              <w:jc w:val="center"/>
            </w:pPr>
            <w:r w:rsidRPr="007D7871">
              <w:rPr>
                <w:sz w:val="22"/>
                <w:szCs w:val="22"/>
                <w:lang w:val="ro-RO"/>
              </w:rPr>
              <w:t>Terminal nou</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14.4</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19.1</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1.33</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6.6%</w:t>
            </w:r>
          </w:p>
        </w:tc>
      </w:tr>
      <w:tr w:rsidR="00BD59B2" w:rsidRPr="0076305A" w:rsidTr="009972B3">
        <w:tc>
          <w:tcPr>
            <w:tcW w:w="799" w:type="pct"/>
            <w:vMerge/>
            <w:vAlign w:val="center"/>
          </w:tcPr>
          <w:p w:rsidR="00BD59B2" w:rsidRPr="0076305A" w:rsidRDefault="00BD59B2" w:rsidP="009972B3">
            <w:pPr>
              <w:spacing w:line="276" w:lineRule="auto"/>
              <w:jc w:val="center"/>
              <w:rPr>
                <w:sz w:val="22"/>
                <w:szCs w:val="22"/>
                <w:lang w:val="ro-RO"/>
              </w:rPr>
            </w:pP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modernizat</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2.3</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19.1</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8.45</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24.4%</w:t>
            </w:r>
          </w:p>
        </w:tc>
      </w:tr>
      <w:tr w:rsidR="00BD59B2" w:rsidRPr="0076305A" w:rsidTr="009972B3">
        <w:tc>
          <w:tcPr>
            <w:tcW w:w="799" w:type="pct"/>
            <w:vMerge w:val="restart"/>
            <w:vAlign w:val="center"/>
          </w:tcPr>
          <w:p w:rsidR="00BD59B2" w:rsidRPr="0076305A" w:rsidRDefault="00BD59B2" w:rsidP="009972B3">
            <w:pPr>
              <w:spacing w:line="276" w:lineRule="auto"/>
              <w:jc w:val="center"/>
              <w:rPr>
                <w:sz w:val="22"/>
                <w:szCs w:val="22"/>
                <w:lang w:val="ro-RO"/>
              </w:rPr>
            </w:pPr>
            <w:r w:rsidRPr="0076305A">
              <w:rPr>
                <w:sz w:val="22"/>
                <w:szCs w:val="22"/>
                <w:lang w:val="ro-RO"/>
              </w:rPr>
              <w:t>Cluj Napoca</w:t>
            </w: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nou</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14.4</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18.0</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1.25</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6.3%</w:t>
            </w:r>
          </w:p>
        </w:tc>
      </w:tr>
      <w:tr w:rsidR="00BD59B2" w:rsidRPr="0076305A" w:rsidTr="009972B3">
        <w:tc>
          <w:tcPr>
            <w:tcW w:w="799" w:type="pct"/>
            <w:vMerge/>
            <w:vAlign w:val="center"/>
          </w:tcPr>
          <w:p w:rsidR="00BD59B2" w:rsidRPr="0076305A" w:rsidRDefault="00BD59B2" w:rsidP="009972B3">
            <w:pPr>
              <w:spacing w:line="276" w:lineRule="auto"/>
              <w:jc w:val="center"/>
              <w:rPr>
                <w:sz w:val="22"/>
                <w:szCs w:val="22"/>
                <w:lang w:val="ro-RO"/>
              </w:rPr>
            </w:pP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modernizat</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4.7</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18.0</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3.86</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14.5%</w:t>
            </w:r>
          </w:p>
        </w:tc>
      </w:tr>
      <w:tr w:rsidR="00BD59B2" w:rsidRPr="0076305A" w:rsidTr="009972B3">
        <w:tc>
          <w:tcPr>
            <w:tcW w:w="799" w:type="pct"/>
            <w:vMerge w:val="restart"/>
            <w:vAlign w:val="center"/>
          </w:tcPr>
          <w:p w:rsidR="00BD59B2" w:rsidRPr="0076305A" w:rsidRDefault="00BD59B2" w:rsidP="009972B3">
            <w:pPr>
              <w:spacing w:line="276" w:lineRule="auto"/>
              <w:jc w:val="center"/>
              <w:rPr>
                <w:sz w:val="22"/>
                <w:szCs w:val="22"/>
                <w:lang w:val="ro-RO"/>
              </w:rPr>
            </w:pPr>
            <w:r w:rsidRPr="0076305A">
              <w:rPr>
                <w:sz w:val="22"/>
                <w:szCs w:val="22"/>
                <w:lang w:val="ro-RO"/>
              </w:rPr>
              <w:t>Suceava</w:t>
            </w: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nou</w:t>
            </w:r>
          </w:p>
        </w:tc>
        <w:tc>
          <w:tcPr>
            <w:tcW w:w="751"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14.4</w:t>
            </w:r>
          </w:p>
        </w:tc>
        <w:tc>
          <w:tcPr>
            <w:tcW w:w="752"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18.6</w:t>
            </w:r>
          </w:p>
        </w:tc>
        <w:tc>
          <w:tcPr>
            <w:tcW w:w="752"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1.29</w:t>
            </w:r>
          </w:p>
        </w:tc>
        <w:tc>
          <w:tcPr>
            <w:tcW w:w="751"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6.4%</w:t>
            </w:r>
          </w:p>
        </w:tc>
      </w:tr>
      <w:tr w:rsidR="00BD59B2" w:rsidRPr="0076305A" w:rsidTr="009972B3">
        <w:tc>
          <w:tcPr>
            <w:tcW w:w="799" w:type="pct"/>
            <w:vMerge/>
            <w:vAlign w:val="center"/>
          </w:tcPr>
          <w:p w:rsidR="00BD59B2" w:rsidRPr="0076305A" w:rsidRDefault="00BD59B2" w:rsidP="009972B3">
            <w:pPr>
              <w:spacing w:line="276" w:lineRule="auto"/>
              <w:jc w:val="center"/>
              <w:rPr>
                <w:sz w:val="22"/>
                <w:szCs w:val="22"/>
                <w:lang w:val="ro-RO"/>
              </w:rPr>
            </w:pP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modernizat</w:t>
            </w:r>
          </w:p>
        </w:tc>
        <w:tc>
          <w:tcPr>
            <w:tcW w:w="751"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4.7</w:t>
            </w:r>
          </w:p>
        </w:tc>
        <w:tc>
          <w:tcPr>
            <w:tcW w:w="752"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18.6</w:t>
            </w:r>
          </w:p>
        </w:tc>
        <w:tc>
          <w:tcPr>
            <w:tcW w:w="752"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4.00</w:t>
            </w:r>
          </w:p>
        </w:tc>
        <w:tc>
          <w:tcPr>
            <w:tcW w:w="751" w:type="pct"/>
            <w:vAlign w:val="center"/>
          </w:tcPr>
          <w:p w:rsidR="00BD59B2" w:rsidRPr="0076305A" w:rsidRDefault="00BD59B2" w:rsidP="009972B3">
            <w:pPr>
              <w:jc w:val="center"/>
              <w:rPr>
                <w:rFonts w:cs="Arial"/>
                <w:bCs/>
                <w:sz w:val="22"/>
                <w:szCs w:val="22"/>
                <w:lang w:val="ro-RO"/>
              </w:rPr>
            </w:pPr>
            <w:r w:rsidRPr="0076305A">
              <w:rPr>
                <w:rFonts w:cs="Arial"/>
                <w:bCs/>
                <w:sz w:val="22"/>
                <w:szCs w:val="22"/>
                <w:lang w:val="ro-RO"/>
              </w:rPr>
              <w:t>14.3%</w:t>
            </w:r>
          </w:p>
        </w:tc>
      </w:tr>
      <w:tr w:rsidR="00BD59B2" w:rsidRPr="0076305A" w:rsidTr="009972B3">
        <w:tc>
          <w:tcPr>
            <w:tcW w:w="799" w:type="pct"/>
            <w:vMerge w:val="restart"/>
            <w:vAlign w:val="center"/>
          </w:tcPr>
          <w:p w:rsidR="00BD59B2" w:rsidRPr="0076305A" w:rsidRDefault="00BD59B2" w:rsidP="009972B3">
            <w:pPr>
              <w:spacing w:line="276" w:lineRule="auto"/>
              <w:jc w:val="center"/>
              <w:rPr>
                <w:sz w:val="22"/>
                <w:szCs w:val="22"/>
                <w:lang w:val="ro-RO"/>
              </w:rPr>
            </w:pPr>
            <w:r w:rsidRPr="0076305A">
              <w:rPr>
                <w:sz w:val="22"/>
                <w:szCs w:val="22"/>
                <w:lang w:val="ro-RO"/>
              </w:rPr>
              <w:t>Bacau</w:t>
            </w:r>
          </w:p>
        </w:tc>
        <w:tc>
          <w:tcPr>
            <w:tcW w:w="1195" w:type="pct"/>
            <w:vAlign w:val="center"/>
          </w:tcPr>
          <w:p w:rsidR="00BD59B2" w:rsidRPr="0076305A" w:rsidRDefault="0076305A" w:rsidP="0076305A">
            <w:pPr>
              <w:spacing w:line="276" w:lineRule="auto"/>
              <w:jc w:val="center"/>
              <w:rPr>
                <w:sz w:val="22"/>
                <w:szCs w:val="22"/>
                <w:lang w:val="ro-RO"/>
              </w:rPr>
            </w:pPr>
            <w:r>
              <w:rPr>
                <w:sz w:val="22"/>
                <w:szCs w:val="22"/>
                <w:lang w:val="ro-RO"/>
              </w:rPr>
              <w:t>Terminal nou</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14.4</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18.4</w:t>
            </w:r>
          </w:p>
        </w:tc>
        <w:tc>
          <w:tcPr>
            <w:tcW w:w="752"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1.28</w:t>
            </w:r>
          </w:p>
        </w:tc>
        <w:tc>
          <w:tcPr>
            <w:tcW w:w="751" w:type="pct"/>
            <w:vAlign w:val="center"/>
          </w:tcPr>
          <w:p w:rsidR="00BD59B2" w:rsidRPr="0076305A" w:rsidRDefault="00BD59B2" w:rsidP="009972B3">
            <w:pPr>
              <w:jc w:val="center"/>
              <w:rPr>
                <w:rFonts w:cs="Arial"/>
                <w:color w:val="000000"/>
                <w:sz w:val="22"/>
                <w:szCs w:val="22"/>
                <w:lang w:val="ro-RO"/>
              </w:rPr>
            </w:pPr>
            <w:r w:rsidRPr="0076305A">
              <w:rPr>
                <w:rFonts w:cs="Arial"/>
                <w:color w:val="000000"/>
                <w:sz w:val="22"/>
                <w:szCs w:val="22"/>
                <w:lang w:val="ro-RO"/>
              </w:rPr>
              <w:t>6.4%</w:t>
            </w:r>
          </w:p>
        </w:tc>
      </w:tr>
      <w:tr w:rsidR="0076305A" w:rsidRPr="0076305A" w:rsidTr="00A2437A">
        <w:tc>
          <w:tcPr>
            <w:tcW w:w="799" w:type="pct"/>
            <w:vMerge/>
            <w:vAlign w:val="center"/>
          </w:tcPr>
          <w:p w:rsidR="0076305A" w:rsidRPr="0076305A" w:rsidRDefault="0076305A" w:rsidP="009972B3">
            <w:pPr>
              <w:spacing w:line="276" w:lineRule="auto"/>
              <w:jc w:val="center"/>
              <w:rPr>
                <w:sz w:val="22"/>
                <w:szCs w:val="22"/>
                <w:lang w:val="ro-RO"/>
              </w:rPr>
            </w:pPr>
          </w:p>
        </w:tc>
        <w:tc>
          <w:tcPr>
            <w:tcW w:w="1195" w:type="pct"/>
          </w:tcPr>
          <w:p w:rsidR="0076305A" w:rsidRDefault="0076305A" w:rsidP="0076305A">
            <w:pPr>
              <w:jc w:val="center"/>
            </w:pPr>
            <w:r w:rsidRPr="008826EF">
              <w:rPr>
                <w:sz w:val="22"/>
                <w:szCs w:val="22"/>
                <w:lang w:val="ro-RO"/>
              </w:rPr>
              <w:t>Terminal modernizat</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4.7</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18.4</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3.95</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14.4%</w:t>
            </w:r>
          </w:p>
        </w:tc>
      </w:tr>
      <w:tr w:rsidR="0076305A" w:rsidRPr="0076305A" w:rsidTr="00A2437A">
        <w:tc>
          <w:tcPr>
            <w:tcW w:w="799"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Iasi</w:t>
            </w:r>
          </w:p>
        </w:tc>
        <w:tc>
          <w:tcPr>
            <w:tcW w:w="1195" w:type="pct"/>
          </w:tcPr>
          <w:p w:rsidR="0076305A" w:rsidRDefault="0076305A" w:rsidP="0076305A">
            <w:pPr>
              <w:jc w:val="center"/>
            </w:pPr>
            <w:r w:rsidRPr="008826EF">
              <w:rPr>
                <w:sz w:val="22"/>
                <w:szCs w:val="22"/>
                <w:lang w:val="ro-RO"/>
              </w:rPr>
              <w:t>Terminal modernizat</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3.9</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11.7</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0.81</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3.9%</w:t>
            </w:r>
          </w:p>
        </w:tc>
      </w:tr>
      <w:tr w:rsidR="0076305A" w:rsidRPr="0076305A" w:rsidTr="00A2437A">
        <w:tc>
          <w:tcPr>
            <w:tcW w:w="799"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Oradea</w:t>
            </w:r>
          </w:p>
        </w:tc>
        <w:tc>
          <w:tcPr>
            <w:tcW w:w="1195" w:type="pct"/>
          </w:tcPr>
          <w:p w:rsidR="0076305A" w:rsidRDefault="0076305A" w:rsidP="0076305A">
            <w:pPr>
              <w:jc w:val="center"/>
            </w:pPr>
            <w:r w:rsidRPr="008826EF">
              <w:rPr>
                <w:sz w:val="22"/>
                <w:szCs w:val="22"/>
                <w:lang w:val="ro-RO"/>
              </w:rPr>
              <w:t>Terminal modernizat</w:t>
            </w:r>
          </w:p>
        </w:tc>
        <w:tc>
          <w:tcPr>
            <w:tcW w:w="751"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4.7</w:t>
            </w:r>
          </w:p>
        </w:tc>
        <w:tc>
          <w:tcPr>
            <w:tcW w:w="752"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11.4</w:t>
            </w:r>
          </w:p>
        </w:tc>
        <w:tc>
          <w:tcPr>
            <w:tcW w:w="752"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2.46</w:t>
            </w:r>
          </w:p>
        </w:tc>
        <w:tc>
          <w:tcPr>
            <w:tcW w:w="751" w:type="pct"/>
            <w:vAlign w:val="center"/>
          </w:tcPr>
          <w:p w:rsidR="0076305A" w:rsidRPr="0076305A" w:rsidRDefault="0076305A" w:rsidP="009972B3">
            <w:pPr>
              <w:spacing w:line="276" w:lineRule="auto"/>
              <w:jc w:val="center"/>
              <w:rPr>
                <w:rFonts w:cs="Arial"/>
                <w:sz w:val="22"/>
                <w:szCs w:val="22"/>
                <w:lang w:val="ro-RO"/>
              </w:rPr>
            </w:pPr>
            <w:r w:rsidRPr="0076305A">
              <w:rPr>
                <w:rFonts w:cs="Arial"/>
                <w:sz w:val="22"/>
                <w:szCs w:val="22"/>
                <w:lang w:val="ro-RO"/>
              </w:rPr>
              <w:t>10.6%</w:t>
            </w:r>
          </w:p>
        </w:tc>
      </w:tr>
      <w:tr w:rsidR="0076305A" w:rsidRPr="00E0488D" w:rsidTr="00A2437A">
        <w:tc>
          <w:tcPr>
            <w:tcW w:w="799" w:type="pct"/>
            <w:vAlign w:val="center"/>
          </w:tcPr>
          <w:p w:rsidR="0076305A" w:rsidRPr="0076305A" w:rsidRDefault="0076305A" w:rsidP="009972B3">
            <w:pPr>
              <w:spacing w:line="276" w:lineRule="auto"/>
              <w:jc w:val="center"/>
              <w:rPr>
                <w:sz w:val="22"/>
                <w:szCs w:val="22"/>
                <w:lang w:val="ro-RO"/>
              </w:rPr>
            </w:pPr>
            <w:r w:rsidRPr="0076305A">
              <w:rPr>
                <w:sz w:val="22"/>
                <w:szCs w:val="22"/>
                <w:lang w:val="ro-RO"/>
              </w:rPr>
              <w:t>Turda</w:t>
            </w:r>
          </w:p>
        </w:tc>
        <w:tc>
          <w:tcPr>
            <w:tcW w:w="1195" w:type="pct"/>
          </w:tcPr>
          <w:p w:rsidR="0076305A" w:rsidRDefault="0076305A" w:rsidP="0076305A">
            <w:pPr>
              <w:jc w:val="center"/>
            </w:pPr>
            <w:r w:rsidRPr="008826EF">
              <w:rPr>
                <w:sz w:val="22"/>
                <w:szCs w:val="22"/>
                <w:lang w:val="ro-RO"/>
              </w:rPr>
              <w:t>Terminal modernizat</w:t>
            </w:r>
          </w:p>
        </w:tc>
        <w:tc>
          <w:tcPr>
            <w:tcW w:w="751"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4.7</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5.9</w:t>
            </w:r>
          </w:p>
        </w:tc>
        <w:tc>
          <w:tcPr>
            <w:tcW w:w="752" w:type="pct"/>
            <w:vAlign w:val="center"/>
          </w:tcPr>
          <w:p w:rsidR="0076305A" w:rsidRPr="0076305A" w:rsidRDefault="0076305A" w:rsidP="009972B3">
            <w:pPr>
              <w:jc w:val="center"/>
              <w:rPr>
                <w:rFonts w:cs="Arial"/>
                <w:color w:val="000000"/>
                <w:sz w:val="22"/>
                <w:szCs w:val="22"/>
                <w:lang w:val="ro-RO"/>
              </w:rPr>
            </w:pPr>
            <w:r w:rsidRPr="0076305A">
              <w:rPr>
                <w:rFonts w:cs="Arial"/>
                <w:color w:val="000000"/>
                <w:sz w:val="22"/>
                <w:szCs w:val="22"/>
                <w:lang w:val="ro-RO"/>
              </w:rPr>
              <w:t>1.26</w:t>
            </w:r>
          </w:p>
        </w:tc>
        <w:tc>
          <w:tcPr>
            <w:tcW w:w="751" w:type="pct"/>
            <w:vAlign w:val="center"/>
          </w:tcPr>
          <w:p w:rsidR="0076305A" w:rsidRPr="00E0488D" w:rsidRDefault="0076305A" w:rsidP="009972B3">
            <w:pPr>
              <w:jc w:val="center"/>
              <w:rPr>
                <w:rFonts w:cs="Arial"/>
                <w:color w:val="000000"/>
                <w:sz w:val="22"/>
                <w:szCs w:val="22"/>
                <w:lang w:val="ro-RO"/>
              </w:rPr>
            </w:pPr>
            <w:r w:rsidRPr="0076305A">
              <w:rPr>
                <w:rFonts w:cs="Arial"/>
                <w:color w:val="000000"/>
                <w:sz w:val="22"/>
                <w:szCs w:val="22"/>
                <w:lang w:val="ro-RO"/>
              </w:rPr>
              <w:t>6.6%</w:t>
            </w:r>
          </w:p>
        </w:tc>
      </w:tr>
    </w:tbl>
    <w:p w:rsidR="00BD59B2" w:rsidRPr="00E0488D" w:rsidRDefault="00BD59B2" w:rsidP="00BD59B2">
      <w:pPr>
        <w:rPr>
          <w:sz w:val="22"/>
          <w:szCs w:val="22"/>
          <w:lang w:val="ro-RO"/>
        </w:rPr>
      </w:pPr>
    </w:p>
    <w:p w:rsidR="00BD59B2" w:rsidRPr="00E0488D" w:rsidRDefault="00BD59B2" w:rsidP="00BD59B2">
      <w:pPr>
        <w:rPr>
          <w:sz w:val="22"/>
          <w:szCs w:val="22"/>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334"/>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335"/>
          <w:footerReference w:type="default" r:id="rId336"/>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t>Analiza Finanțării</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tabs>
          <w:tab w:val="clear" w:pos="680"/>
        </w:tabs>
        <w:ind w:left="851" w:hanging="851"/>
      </w:pPr>
      <w:bookmarkStart w:id="588" w:name="_Toc413060349"/>
      <w:r w:rsidRPr="00E0488D">
        <w:t>Analiza Finanțării</w:t>
      </w:r>
      <w:bookmarkEnd w:id="588"/>
    </w:p>
    <w:p w:rsidR="00B4550A" w:rsidRPr="00E0488D" w:rsidRDefault="00B4550A" w:rsidP="00B4550A">
      <w:pPr>
        <w:rPr>
          <w:lang w:val="ro-RO"/>
        </w:rPr>
      </w:pPr>
    </w:p>
    <w:p w:rsidR="00B4550A" w:rsidRPr="00E0488D" w:rsidRDefault="00B4550A" w:rsidP="00BD59B2">
      <w:pPr>
        <w:pStyle w:val="Hdg2"/>
      </w:pPr>
      <w:bookmarkStart w:id="589" w:name="_Toc413060350"/>
      <w:r w:rsidRPr="00E0488D">
        <w:t>Ipoteze de bază</w:t>
      </w:r>
      <w:bookmarkEnd w:id="589"/>
    </w:p>
    <w:p w:rsidR="00B4550A" w:rsidRPr="00E0488D" w:rsidRDefault="00B4550A" w:rsidP="00B4550A">
      <w:pPr>
        <w:pStyle w:val="Hdg3"/>
      </w:pPr>
      <w:r w:rsidRPr="00E0488D">
        <w:t>Context</w:t>
      </w:r>
    </w:p>
    <w:p w:rsidR="00B4550A" w:rsidRPr="00E0488D" w:rsidRDefault="00B4550A" w:rsidP="002B7E09">
      <w:pPr>
        <w:pStyle w:val="NumberedParas"/>
      </w:pPr>
      <w:r w:rsidRPr="00E0488D">
        <w:t>O etapă importantă a procesului de identificare a planului de investiții pentru orizonturile 2020 și 2030 este definirea ipotezelor privind alocările financiare disponibile pentru investiții, pentru toate modurile de transport.</w:t>
      </w:r>
    </w:p>
    <w:p w:rsidR="00B4550A" w:rsidRPr="00E0488D" w:rsidRDefault="00B4550A" w:rsidP="002B7E09">
      <w:pPr>
        <w:pStyle w:val="NumberedParas"/>
      </w:pPr>
      <w:r w:rsidRPr="00E0488D">
        <w:t>Aceasta va permite obținerea unui plan de investiții realist, ca și rezultat final al procesului de identificare a problemelor, de definire a obiectivelor operaționale și de selecție a celor mai bune intervenții care se adresează acestor obiective.</w:t>
      </w:r>
    </w:p>
    <w:p w:rsidR="00B4550A" w:rsidRPr="00E0488D" w:rsidRDefault="00B4550A" w:rsidP="002B7E09">
      <w:pPr>
        <w:pStyle w:val="NumberedParas"/>
      </w:pPr>
      <w:r w:rsidRPr="00E0488D">
        <w:t>Deși gradul de maturitate a proiectelor nu este considerat criteriu distinct în cadrul analizei multicriteriale (prin urmare nu face parte din prioritizare), restricțiile date de finanțarea disponibilă reprezintă un element cheie al Master Planului, de vreme ce nevoile de investiții identificate depășesc cu mult bugetele disponibile.</w:t>
      </w:r>
    </w:p>
    <w:p w:rsidR="00B4550A" w:rsidRPr="00E0488D" w:rsidRDefault="00B4550A" w:rsidP="002B7E09">
      <w:pPr>
        <w:pStyle w:val="NumberedParas"/>
      </w:pPr>
      <w:r w:rsidRPr="00E0488D">
        <w:t>Ca și finalitate a procesului de elaborare a Master Planului, a fost identificată o listă lungă de intervenții potențiale prioritizate; prin alăturarea constrângerilor financiare la această listă se obține un calendar realist de implementare a proiectelor la orizonturile de timp definite în cadrul Caietului de Sarcini, respectiv 2020, 2030 și după anul 2030.</w:t>
      </w:r>
    </w:p>
    <w:p w:rsidR="00B4550A" w:rsidRPr="00E0488D" w:rsidRDefault="00B4550A" w:rsidP="00B4550A">
      <w:pPr>
        <w:rPr>
          <w:lang w:val="ro-RO"/>
        </w:rPr>
      </w:pPr>
    </w:p>
    <w:p w:rsidR="00B4550A" w:rsidRPr="00E0488D" w:rsidRDefault="00B4550A" w:rsidP="00B4550A">
      <w:pPr>
        <w:pStyle w:val="Hdg3"/>
      </w:pPr>
      <w:r w:rsidRPr="00E0488D">
        <w:t>Abordare</w:t>
      </w:r>
    </w:p>
    <w:p w:rsidR="00B4550A" w:rsidRPr="00E0488D" w:rsidRDefault="00B4550A" w:rsidP="002B7E09">
      <w:pPr>
        <w:pStyle w:val="NumberedParas"/>
      </w:pPr>
      <w:r w:rsidRPr="00E0488D">
        <w:t>Pentru cuantificarea fondurilor disponibile pentru proiectele din Master Plan a fost dezvoltat un model în format tabelar (Anexa A). Ipotezele de lucru și metodologia considerată sunt descrise în continuare.</w:t>
      </w:r>
    </w:p>
    <w:p w:rsidR="00B4550A" w:rsidRPr="00E0488D" w:rsidRDefault="00B4550A" w:rsidP="002B7E09">
      <w:pPr>
        <w:pStyle w:val="NumberedParas"/>
      </w:pPr>
      <w:r w:rsidRPr="00E0488D">
        <w:t>Comisia Europeană a precizat faptul că Master Planul va fi dezvoltat pe baza unei abordări ierarhice cu privire la alocarea fondurile pe categorii de cheltuieli obligatorii iar fondurile disponibile pentru investiții vor fi acelea rămase după alocarea acestor bugete:</w:t>
      </w:r>
    </w:p>
    <w:p w:rsidR="00B4550A" w:rsidRPr="00E0488D" w:rsidRDefault="00B4550A" w:rsidP="00B4550A">
      <w:pPr>
        <w:pStyle w:val="Body"/>
        <w:pBdr>
          <w:top w:val="single" w:sz="4" w:space="1" w:color="auto"/>
          <w:left w:val="single" w:sz="4" w:space="4" w:color="auto"/>
          <w:bottom w:val="single" w:sz="4" w:space="1" w:color="auto"/>
          <w:right w:val="single" w:sz="4" w:space="4" w:color="auto"/>
        </w:pBdr>
        <w:spacing w:before="120" w:after="120" w:line="240" w:lineRule="auto"/>
        <w:ind w:left="1134"/>
        <w:rPr>
          <w:lang w:val="ro-RO"/>
        </w:rPr>
      </w:pPr>
      <w:r w:rsidRPr="00E0488D">
        <w:rPr>
          <w:lang w:val="ro-RO"/>
        </w:rPr>
        <w:t>Elaborarea Master Planului</w:t>
      </w:r>
      <w:r w:rsidRPr="00E0488D">
        <w:rPr>
          <w:rStyle w:val="FootnoteReference"/>
          <w:lang w:val="ro-RO"/>
        </w:rPr>
        <w:footnoteReference w:id="36"/>
      </w:r>
      <w:r w:rsidRPr="00E0488D">
        <w:rPr>
          <w:lang w:val="ro-RO"/>
        </w:rPr>
        <w:t xml:space="preserve"> se va baza pe angajamentul politic privind efortul bugetar alocat sectorului de transport pentru următorii 20 de ani, incluzând toate costurile directe și indirecte corespunzătoare construcției și întreținerii infrastructurii, luându-se în considerare sursele potențiale de generare de venituri din sectorul feroviar sau prin taxarea utilizatorilor, acolo unde este cazul. A fost solicitată o adresa din partea Ministerului de Finanțe care să includă aceste angajamente bugetare.</w:t>
      </w:r>
    </w:p>
    <w:p w:rsidR="00B4550A" w:rsidRPr="00E0488D" w:rsidRDefault="00B4550A" w:rsidP="00B4550A">
      <w:pPr>
        <w:pStyle w:val="Body"/>
        <w:pBdr>
          <w:top w:val="single" w:sz="4" w:space="1" w:color="auto"/>
          <w:left w:val="single" w:sz="4" w:space="4" w:color="auto"/>
          <w:bottom w:val="single" w:sz="4" w:space="1" w:color="auto"/>
          <w:right w:val="single" w:sz="4" w:space="4" w:color="auto"/>
        </w:pBdr>
        <w:spacing w:before="120" w:after="120" w:line="240" w:lineRule="auto"/>
        <w:ind w:left="1134"/>
        <w:rPr>
          <w:lang w:val="ro-RO"/>
        </w:rPr>
      </w:pPr>
      <w:r w:rsidRPr="00E0488D">
        <w:rPr>
          <w:lang w:val="ro-RO"/>
        </w:rPr>
        <w:t>Aceste ipoteze vor determina bugetul disponibil pentru investițiile noi. Din bugetul total disponibil vor fi deduse costurile necesare cu întreținerea și operarea infrastructurii, calculate folosing rate și costuri unitare de referință (EUR/km), pe baza standardelor acceptate și a obligațiilor generate de către proiectele aflate în derulare sau implementate recent. Pot fi obținute anumite economii cu costurile de întreținere, în special ca urmare a reducerii rețelei feroviare, inclusiv a numărului de stații.</w:t>
      </w:r>
    </w:p>
    <w:p w:rsidR="00B4550A" w:rsidRPr="00E0488D" w:rsidRDefault="00B4550A" w:rsidP="002B7E09">
      <w:pPr>
        <w:pStyle w:val="NumberedParas"/>
      </w:pPr>
      <w:r w:rsidRPr="00E0488D">
        <w:t>Cheltuielile obligatorii, ce vor fi alocate cu prioritate sunt, conform recomandărilor DG Regio:</w:t>
      </w:r>
    </w:p>
    <w:p w:rsidR="00B4550A" w:rsidRPr="00E0488D" w:rsidRDefault="00B4550A" w:rsidP="00BC2B57">
      <w:pPr>
        <w:pStyle w:val="BulletLevel1"/>
      </w:pPr>
      <w:r w:rsidRPr="00E0488D">
        <w:t>Costuri de întreținere pentru rețeaua restructurată, conform standardelor internaționale;</w:t>
      </w:r>
    </w:p>
    <w:p w:rsidR="00B4550A" w:rsidRPr="00E0488D" w:rsidRDefault="00B4550A" w:rsidP="00BC2B57">
      <w:pPr>
        <w:pStyle w:val="BulletLevel1"/>
      </w:pPr>
      <w:r w:rsidRPr="00E0488D">
        <w:t>Serviciul datoriei aferent proiectelor de investiții curente (rambursarea împrumuturilor);</w:t>
      </w:r>
    </w:p>
    <w:p w:rsidR="00B4550A" w:rsidRPr="00E0488D" w:rsidRDefault="00B4550A" w:rsidP="00BC2B57">
      <w:pPr>
        <w:pStyle w:val="BulletLevel1"/>
      </w:pPr>
      <w:r w:rsidRPr="00E0488D">
        <w:t>Lucrări de reabilitare pentru rețeaua feroviară viabilă economic, cu scopul de a o duce la standardele de viteză acceptate; și</w:t>
      </w:r>
    </w:p>
    <w:p w:rsidR="00B4550A" w:rsidRPr="00E0488D" w:rsidRDefault="00B4550A" w:rsidP="00BC2B57">
      <w:pPr>
        <w:pStyle w:val="BulletLevel1"/>
      </w:pPr>
      <w:r w:rsidRPr="00E0488D">
        <w:t>Ajutorul public de stat pentru companiile de stat, în conformitate cu regulile ajutorului de stat.</w:t>
      </w:r>
    </w:p>
    <w:p w:rsidR="00B4550A" w:rsidRPr="00E0488D" w:rsidRDefault="00B4550A" w:rsidP="002B7E09">
      <w:pPr>
        <w:pStyle w:val="NumberedParas"/>
      </w:pPr>
      <w:r w:rsidRPr="00E0488D">
        <w:t>În decembrie 2013 a fost emisă o decizie o Guvernului României privind alocarea a 2% din PIB pentru sectorul de transport</w:t>
      </w:r>
      <w:r w:rsidRPr="00E0488D">
        <w:rPr>
          <w:rStyle w:val="FootnoteReference"/>
        </w:rPr>
        <w:footnoteReference w:id="37"/>
      </w:r>
      <w:r w:rsidRPr="00E0488D">
        <w:t>, ca măsură privind îndeplinirea condiționalităților ex-ante legate de Acordul de Parteneriat și de Programele Operaționale (printre care, elaborarea unui Master Plan de Transport este o componentă cheie). În cadrul acestui angajament este specificat faptul că alocarea de 2% din PIB va fi distribuită/utilizată doar pentru investiții și lucrări de întreținere a infrastructurii de transport, pentru toate modurile.</w:t>
      </w:r>
    </w:p>
    <w:p w:rsidR="00B4550A" w:rsidRPr="00E0488D" w:rsidRDefault="00B4550A" w:rsidP="002B7E09">
      <w:pPr>
        <w:pStyle w:val="NumberedParas"/>
      </w:pPr>
      <w:r w:rsidRPr="00E0488D">
        <w:t>Ministerul Transportului a confirmat că serviciul datoriei, plățile de disponibilitate, subvențiile naționale pentru serviciul feroviar public de călători nu sunt incluse în acest buget</w:t>
      </w:r>
      <w:r w:rsidRPr="00E0488D">
        <w:rPr>
          <w:rStyle w:val="FootnoteReference"/>
        </w:rPr>
        <w:footnoteReference w:id="38"/>
      </w:r>
      <w:r w:rsidRPr="00E0488D">
        <w:t>. Includerea fondurilor UE în cei 2% din PIB poate avea un contra-efect asupra bugetului rămas disponibil, de vreme ce creștere alocărilor UE va conduce la creștere efortului național de acoperire a co-finanțării necesare.</w:t>
      </w:r>
    </w:p>
    <w:p w:rsidR="00B4550A" w:rsidRPr="00E0488D" w:rsidRDefault="00B4550A" w:rsidP="002B7E09">
      <w:pPr>
        <w:pStyle w:val="NumberedParas"/>
      </w:pPr>
      <w:r w:rsidRPr="00E0488D">
        <w:t>Pe baza acestei abordări ierarhice, se obține structura planului financiar pentru perioadele 2014-2020 și 2021-2030, așa cum este ilustrat în Tabelul 9.1 atașat.</w:t>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sz w:val="22"/>
          <w:szCs w:val="22"/>
          <w:lang w:val="ro-RO"/>
        </w:rPr>
      </w:pPr>
      <w:r w:rsidRPr="00E0488D">
        <w:rPr>
          <w:lang w:val="ro-RO"/>
        </w:rPr>
        <w:br w:type="page"/>
      </w:r>
    </w:p>
    <w:p w:rsidR="00B4550A" w:rsidRPr="00E0488D" w:rsidRDefault="00B4550A" w:rsidP="00B4550A">
      <w:pPr>
        <w:spacing w:before="120" w:after="120" w:line="276" w:lineRule="auto"/>
        <w:ind w:left="567"/>
        <w:jc w:val="both"/>
        <w:rPr>
          <w:rFonts w:cs="Arial"/>
          <w:b/>
          <w:sz w:val="22"/>
          <w:lang w:val="ro-RO"/>
        </w:rPr>
      </w:pPr>
      <w:r w:rsidRPr="00E0488D">
        <w:rPr>
          <w:rFonts w:cs="Arial"/>
          <w:b/>
          <w:sz w:val="22"/>
          <w:lang w:val="ro-RO"/>
        </w:rPr>
        <w:t>Tabelul 9.1. Structura planului financiar MPGT, perioada 2014-2030</w:t>
      </w:r>
    </w:p>
    <w:tbl>
      <w:tblPr>
        <w:tblW w:w="4813" w:type="pct"/>
        <w:tblInd w:w="392" w:type="dxa"/>
        <w:tblBorders>
          <w:top w:val="double" w:sz="4" w:space="0" w:color="auto"/>
          <w:left w:val="double" w:sz="4" w:space="0" w:color="auto"/>
          <w:bottom w:val="double" w:sz="4" w:space="0" w:color="auto"/>
          <w:right w:val="double" w:sz="4" w:space="0" w:color="auto"/>
          <w:insideH w:val="dotted" w:sz="4" w:space="0" w:color="auto"/>
        </w:tblBorders>
        <w:tblLook w:val="04A0" w:firstRow="1" w:lastRow="0" w:firstColumn="1" w:lastColumn="0" w:noHBand="0" w:noVBand="1"/>
      </w:tblPr>
      <w:tblGrid>
        <w:gridCol w:w="3117"/>
        <w:gridCol w:w="993"/>
        <w:gridCol w:w="1135"/>
        <w:gridCol w:w="4869"/>
      </w:tblGrid>
      <w:tr w:rsidR="00B4550A" w:rsidRPr="00E0488D" w:rsidTr="003C7FC8">
        <w:trPr>
          <w:trHeight w:val="397"/>
        </w:trPr>
        <w:tc>
          <w:tcPr>
            <w:tcW w:w="1541" w:type="pct"/>
            <w:shd w:val="clear" w:color="auto" w:fill="DBE5F1"/>
            <w:vAlign w:val="center"/>
            <w:hideMark/>
          </w:tcPr>
          <w:p w:rsidR="00B4550A" w:rsidRPr="00E0488D" w:rsidRDefault="00966D0E" w:rsidP="003C7FC8">
            <w:pPr>
              <w:rPr>
                <w:rFonts w:cs="Arial"/>
                <w:b/>
                <w:bCs/>
                <w:color w:val="000000"/>
                <w:sz w:val="20"/>
                <w:szCs w:val="20"/>
                <w:lang w:val="ro-RO"/>
              </w:rPr>
            </w:pPr>
            <w:r>
              <w:rPr>
                <w:rFonts w:cs="Arial"/>
                <w:b/>
                <w:bCs/>
                <w:color w:val="000000"/>
                <w:sz w:val="20"/>
                <w:szCs w:val="20"/>
                <w:lang w:val="ro-RO"/>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 o:spid="_x0000_s1853" type="#_x0000_t67" style="position:absolute;margin-left:-44pt;margin-top:3.6pt;width:25.9pt;height:577.0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" adj="21115" fillcolor="#a5d5e2 [1624]" strokecolor="#002060">
                  <v:fill color2="#e4f2f6 [504]" rotate="t" angle="180" colors="0 #9eeaff;22938f #bbefff;1 #e4f9ff" focus="100%" type="gradient"/>
                  <v:shadow on="t" color="black" opacity="24903f" origin=",.5" offset="0,.55556mm"/>
                  <v:path arrowok="t"/>
                </v:shape>
              </w:pict>
            </w:r>
            <w:r w:rsidR="00B4550A" w:rsidRPr="00E0488D">
              <w:rPr>
                <w:rFonts w:cs="Arial"/>
                <w:b/>
                <w:bCs/>
                <w:color w:val="000000"/>
                <w:sz w:val="20"/>
                <w:szCs w:val="20"/>
                <w:lang w:val="ro-RO"/>
              </w:rPr>
              <w:t>2% din PIB alocat sectorul transport</w:t>
            </w:r>
          </w:p>
        </w:tc>
        <w:tc>
          <w:tcPr>
            <w:tcW w:w="49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A</w:t>
            </w:r>
          </w:p>
        </w:tc>
        <w:tc>
          <w:tcPr>
            <w:tcW w:w="561" w:type="pct"/>
            <w:shd w:val="clear" w:color="auto" w:fill="DBE5F1"/>
            <w:vAlign w:val="center"/>
            <w:hideMark/>
          </w:tcPr>
          <w:p w:rsidR="00B4550A" w:rsidRPr="00E0488D" w:rsidRDefault="00B4550A" w:rsidP="003C7FC8">
            <w:pPr>
              <w:jc w:val="center"/>
              <w:rPr>
                <w:rFonts w:cs="Arial"/>
                <w:b/>
                <w:bCs/>
                <w:color w:val="000000"/>
                <w:sz w:val="20"/>
                <w:szCs w:val="20"/>
                <w:lang w:val="ro-RO"/>
              </w:rPr>
            </w:pPr>
          </w:p>
        </w:tc>
        <w:tc>
          <w:tcPr>
            <w:tcW w:w="2407" w:type="pct"/>
            <w:shd w:val="clear" w:color="auto" w:fill="DBE5F1"/>
            <w:vAlign w:val="center"/>
          </w:tcPr>
          <w:p w:rsidR="00B4550A" w:rsidRPr="00E0488D" w:rsidRDefault="00B4550A" w:rsidP="003C7FC8">
            <w:pPr>
              <w:rPr>
                <w:rFonts w:cs="Arial"/>
                <w:b/>
                <w:bCs/>
                <w:color w:val="000000"/>
                <w:sz w:val="20"/>
                <w:szCs w:val="20"/>
                <w:lang w:val="ro-RO"/>
              </w:rPr>
            </w:pPr>
            <w:r w:rsidRPr="00E0488D">
              <w:rPr>
                <w:sz w:val="20"/>
                <w:szCs w:val="20"/>
                <w:lang w:val="ro-RO"/>
              </w:rPr>
              <w:t>2% din PIB pe perioada 2014-2030, în termeni reali</w:t>
            </w:r>
          </w:p>
        </w:tc>
      </w:tr>
      <w:tr w:rsidR="00B4550A" w:rsidRPr="00E0488D" w:rsidTr="003C7FC8">
        <w:trPr>
          <w:trHeight w:val="39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Costuri cu întreținerea și reparațiile</w:t>
            </w:r>
          </w:p>
        </w:tc>
        <w:tc>
          <w:tcPr>
            <w:tcW w:w="491" w:type="pct"/>
            <w:shd w:val="clear" w:color="auto" w:fill="auto"/>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B</w:t>
            </w:r>
            <w:r w:rsidRPr="00E0488D">
              <w:rPr>
                <w:rFonts w:cs="Arial"/>
                <w:color w:val="000000"/>
                <w:sz w:val="20"/>
                <w:szCs w:val="20"/>
                <w:vertAlign w:val="subscript"/>
                <w:lang w:val="ro-RO"/>
              </w:rPr>
              <w:t>1</w:t>
            </w:r>
          </w:p>
        </w:tc>
        <w:tc>
          <w:tcPr>
            <w:tcW w:w="561" w:type="pct"/>
            <w:shd w:val="clear" w:color="auto" w:fill="auto"/>
            <w:vAlign w:val="center"/>
            <w:hideMark/>
          </w:tcPr>
          <w:p w:rsidR="00B4550A" w:rsidRPr="00E0488D" w:rsidRDefault="00B4550A" w:rsidP="003C7FC8">
            <w:pPr>
              <w:jc w:val="center"/>
              <w:rPr>
                <w:rFonts w:cs="Arial"/>
                <w:color w:val="000000"/>
                <w:sz w:val="20"/>
                <w:szCs w:val="20"/>
                <w:lang w:val="ro-RO"/>
              </w:rPr>
            </w:pPr>
          </w:p>
        </w:tc>
        <w:tc>
          <w:tcPr>
            <w:tcW w:w="2407" w:type="pct"/>
            <w:vAlign w:val="center"/>
          </w:tcPr>
          <w:p w:rsidR="00B4550A" w:rsidRPr="00E0488D" w:rsidRDefault="00B4550A" w:rsidP="003C7FC8">
            <w:pPr>
              <w:rPr>
                <w:rFonts w:cs="Arial"/>
                <w:color w:val="000000"/>
                <w:sz w:val="20"/>
                <w:szCs w:val="20"/>
                <w:lang w:val="ro-RO"/>
              </w:rPr>
            </w:pPr>
            <w:r w:rsidRPr="00E0488D">
              <w:rPr>
                <w:sz w:val="20"/>
                <w:szCs w:val="20"/>
                <w:lang w:val="ro-RO"/>
              </w:rPr>
              <w:t>Se ia în considerare o creștere graduală cu întreținerea rețelelor rutiere, feroviare și navale</w:t>
            </w:r>
          </w:p>
        </w:tc>
      </w:tr>
      <w:tr w:rsidR="00B4550A" w:rsidRPr="00E0488D" w:rsidTr="003C7FC8">
        <w:trPr>
          <w:trHeight w:val="39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Lucrări de reabilitare ale rețelei rutiere viabile</w:t>
            </w:r>
          </w:p>
        </w:tc>
        <w:tc>
          <w:tcPr>
            <w:tcW w:w="491" w:type="pct"/>
            <w:shd w:val="clear" w:color="auto" w:fill="auto"/>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B</w:t>
            </w:r>
            <w:r w:rsidRPr="00E0488D">
              <w:rPr>
                <w:rFonts w:cs="Arial"/>
                <w:color w:val="000000"/>
                <w:sz w:val="20"/>
                <w:szCs w:val="20"/>
                <w:vertAlign w:val="subscript"/>
                <w:lang w:val="ro-RO"/>
              </w:rPr>
              <w:t>2</w:t>
            </w:r>
          </w:p>
        </w:tc>
        <w:tc>
          <w:tcPr>
            <w:tcW w:w="561" w:type="pct"/>
            <w:shd w:val="clear" w:color="auto" w:fill="auto"/>
            <w:vAlign w:val="center"/>
            <w:hideMark/>
          </w:tcPr>
          <w:p w:rsidR="00B4550A" w:rsidRPr="00E0488D" w:rsidRDefault="00B4550A" w:rsidP="003C7FC8">
            <w:pPr>
              <w:jc w:val="center"/>
              <w:rPr>
                <w:rFonts w:cs="Arial"/>
                <w:color w:val="000000"/>
                <w:sz w:val="20"/>
                <w:szCs w:val="20"/>
                <w:lang w:val="ro-RO"/>
              </w:rPr>
            </w:pPr>
          </w:p>
        </w:tc>
        <w:tc>
          <w:tcPr>
            <w:tcW w:w="2407" w:type="pct"/>
            <w:vAlign w:val="center"/>
          </w:tcPr>
          <w:p w:rsidR="00B4550A" w:rsidRPr="00E0488D" w:rsidRDefault="00B4550A" w:rsidP="003C7FC8">
            <w:pPr>
              <w:rPr>
                <w:rFonts w:cs="Arial"/>
                <w:color w:val="000000"/>
                <w:sz w:val="20"/>
                <w:szCs w:val="20"/>
                <w:lang w:val="ro-RO"/>
              </w:rPr>
            </w:pPr>
            <w:r w:rsidRPr="00E0488D">
              <w:rPr>
                <w:sz w:val="20"/>
                <w:szCs w:val="20"/>
                <w:lang w:val="ro-RO"/>
              </w:rPr>
              <w:t>Include eliminarea întârzierilor cu reabilitarea rețelei rutiere</w:t>
            </w:r>
          </w:p>
        </w:tc>
      </w:tr>
      <w:tr w:rsidR="00B4550A" w:rsidRPr="00E0488D" w:rsidTr="003C7FC8">
        <w:trPr>
          <w:trHeight w:val="397"/>
        </w:trPr>
        <w:tc>
          <w:tcPr>
            <w:tcW w:w="1541" w:type="pct"/>
            <w:shd w:val="clear" w:color="auto" w:fill="DBE5F1"/>
            <w:vAlign w:val="center"/>
            <w:hideMark/>
          </w:tcPr>
          <w:p w:rsidR="00B4550A" w:rsidRPr="00E0488D" w:rsidRDefault="00B4550A" w:rsidP="003C7FC8">
            <w:pPr>
              <w:rPr>
                <w:rFonts w:cs="Arial"/>
                <w:b/>
                <w:bCs/>
                <w:color w:val="000000"/>
                <w:sz w:val="20"/>
                <w:szCs w:val="20"/>
                <w:lang w:val="ro-RO"/>
              </w:rPr>
            </w:pPr>
            <w:r w:rsidRPr="00E0488D">
              <w:rPr>
                <w:rFonts w:cs="Arial"/>
                <w:b/>
                <w:bCs/>
                <w:color w:val="000000"/>
                <w:sz w:val="20"/>
                <w:szCs w:val="20"/>
                <w:lang w:val="ro-RO"/>
              </w:rPr>
              <w:t>Fonduri publice disponibile pentru investiții noi, din care</w:t>
            </w:r>
          </w:p>
        </w:tc>
        <w:tc>
          <w:tcPr>
            <w:tcW w:w="49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C</w:t>
            </w:r>
          </w:p>
        </w:tc>
        <w:tc>
          <w:tcPr>
            <w:tcW w:w="56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=A-B</w:t>
            </w:r>
            <w:r w:rsidRPr="00E0488D">
              <w:rPr>
                <w:rFonts w:cs="Arial"/>
                <w:b/>
                <w:bCs/>
                <w:color w:val="000000"/>
                <w:sz w:val="20"/>
                <w:szCs w:val="20"/>
                <w:vertAlign w:val="subscript"/>
                <w:lang w:val="ro-RO"/>
              </w:rPr>
              <w:t>1</w:t>
            </w:r>
            <w:r w:rsidRPr="00E0488D">
              <w:rPr>
                <w:rFonts w:cs="Arial"/>
                <w:b/>
                <w:bCs/>
                <w:color w:val="000000"/>
                <w:sz w:val="20"/>
                <w:szCs w:val="20"/>
                <w:lang w:val="ro-RO"/>
              </w:rPr>
              <w:t>-B</w:t>
            </w:r>
            <w:r w:rsidRPr="00E0488D">
              <w:rPr>
                <w:rFonts w:cs="Arial"/>
                <w:b/>
                <w:bCs/>
                <w:color w:val="000000"/>
                <w:sz w:val="20"/>
                <w:szCs w:val="20"/>
                <w:vertAlign w:val="subscript"/>
                <w:lang w:val="ro-RO"/>
              </w:rPr>
              <w:t>2</w:t>
            </w:r>
          </w:p>
        </w:tc>
        <w:tc>
          <w:tcPr>
            <w:tcW w:w="2407" w:type="pct"/>
            <w:shd w:val="clear" w:color="auto" w:fill="DBE5F1"/>
            <w:vAlign w:val="center"/>
          </w:tcPr>
          <w:p w:rsidR="00B4550A" w:rsidRPr="00E0488D" w:rsidRDefault="00B4550A" w:rsidP="003C7FC8">
            <w:pPr>
              <w:rPr>
                <w:rFonts w:cs="Arial"/>
                <w:b/>
                <w:bCs/>
                <w:color w:val="000000"/>
                <w:sz w:val="20"/>
                <w:szCs w:val="20"/>
                <w:lang w:val="ro-RO"/>
              </w:rPr>
            </w:pPr>
            <w:r w:rsidRPr="00E0488D">
              <w:rPr>
                <w:sz w:val="20"/>
                <w:szCs w:val="20"/>
                <w:lang w:val="ro-RO"/>
              </w:rPr>
              <w:t>Reprezintă fondurile disponibile după deducerea costurilor obligatorii cu întreținerea, reparațiile și reabilitarea</w:t>
            </w:r>
          </w:p>
        </w:tc>
      </w:tr>
      <w:tr w:rsidR="00B4550A" w:rsidRPr="00E0488D" w:rsidTr="003C7FC8">
        <w:trPr>
          <w:trHeight w:val="39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Contribuția UE</w:t>
            </w:r>
          </w:p>
        </w:tc>
        <w:tc>
          <w:tcPr>
            <w:tcW w:w="491" w:type="pct"/>
            <w:shd w:val="clear" w:color="auto" w:fill="auto"/>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C</w:t>
            </w:r>
            <w:r w:rsidRPr="00E0488D">
              <w:rPr>
                <w:rFonts w:cs="Arial"/>
                <w:color w:val="000000"/>
                <w:sz w:val="20"/>
                <w:szCs w:val="20"/>
                <w:vertAlign w:val="subscript"/>
                <w:lang w:val="ro-RO"/>
              </w:rPr>
              <w:t>1</w:t>
            </w:r>
          </w:p>
        </w:tc>
        <w:tc>
          <w:tcPr>
            <w:tcW w:w="561" w:type="pct"/>
            <w:shd w:val="clear" w:color="auto" w:fill="auto"/>
            <w:vAlign w:val="center"/>
            <w:hideMark/>
          </w:tcPr>
          <w:p w:rsidR="00B4550A" w:rsidRPr="00E0488D" w:rsidRDefault="00B4550A" w:rsidP="003C7FC8">
            <w:pPr>
              <w:jc w:val="center"/>
              <w:rPr>
                <w:rFonts w:cs="Arial"/>
                <w:color w:val="000000"/>
                <w:sz w:val="20"/>
                <w:szCs w:val="20"/>
                <w:lang w:val="ro-RO"/>
              </w:rPr>
            </w:pPr>
          </w:p>
        </w:tc>
        <w:tc>
          <w:tcPr>
            <w:tcW w:w="2407" w:type="pct"/>
            <w:vAlign w:val="center"/>
          </w:tcPr>
          <w:p w:rsidR="00B4550A" w:rsidRPr="00E0488D" w:rsidRDefault="00B4550A" w:rsidP="003C7FC8">
            <w:pPr>
              <w:rPr>
                <w:rFonts w:cs="Arial"/>
                <w:color w:val="000000"/>
                <w:sz w:val="20"/>
                <w:szCs w:val="20"/>
                <w:lang w:val="ro-RO"/>
              </w:rPr>
            </w:pPr>
            <w:r w:rsidRPr="00E0488D">
              <w:rPr>
                <w:rFonts w:cs="Arial"/>
                <w:color w:val="000000"/>
                <w:sz w:val="20"/>
                <w:szCs w:val="20"/>
                <w:lang w:val="ro-RO"/>
              </w:rPr>
              <w:t>Fondurile totale disponibile sunt: FC: 3,404 miliarde euro, FEDR: 1,728 miliarde euro, CEF: 1,200 miliarde euro (sursă: MT, conform prevederilor POIM 2014-2020)</w:t>
            </w:r>
          </w:p>
        </w:tc>
      </w:tr>
      <w:tr w:rsidR="00B4550A" w:rsidRPr="00E0488D" w:rsidTr="003C7FC8">
        <w:trPr>
          <w:trHeight w:val="133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Co-finanțarea națională</w:t>
            </w:r>
            <w:r w:rsidRPr="00E0488D">
              <w:rPr>
                <w:rStyle w:val="FootnoteReference"/>
                <w:rFonts w:cs="Arial"/>
                <w:bCs/>
                <w:color w:val="000000"/>
                <w:sz w:val="20"/>
                <w:szCs w:val="20"/>
                <w:lang w:val="ro-RO"/>
              </w:rPr>
              <w:footnoteReference w:id="39"/>
            </w:r>
          </w:p>
        </w:tc>
        <w:tc>
          <w:tcPr>
            <w:tcW w:w="491" w:type="pct"/>
            <w:shd w:val="clear" w:color="auto" w:fill="auto"/>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C</w:t>
            </w:r>
            <w:r w:rsidRPr="00E0488D">
              <w:rPr>
                <w:rFonts w:cs="Arial"/>
                <w:color w:val="000000"/>
                <w:sz w:val="20"/>
                <w:szCs w:val="20"/>
                <w:vertAlign w:val="subscript"/>
                <w:lang w:val="ro-RO"/>
              </w:rPr>
              <w:t>2</w:t>
            </w:r>
          </w:p>
        </w:tc>
        <w:tc>
          <w:tcPr>
            <w:tcW w:w="561" w:type="pct"/>
            <w:shd w:val="clear" w:color="auto" w:fill="auto"/>
            <w:vAlign w:val="center"/>
            <w:hideMark/>
          </w:tcPr>
          <w:p w:rsidR="00B4550A" w:rsidRPr="00E0488D" w:rsidRDefault="00B4550A" w:rsidP="003C7FC8">
            <w:pPr>
              <w:jc w:val="center"/>
              <w:rPr>
                <w:rFonts w:cs="Arial"/>
                <w:color w:val="000000"/>
                <w:sz w:val="20"/>
                <w:szCs w:val="20"/>
                <w:lang w:val="ro-RO"/>
              </w:rPr>
            </w:pPr>
          </w:p>
        </w:tc>
        <w:tc>
          <w:tcPr>
            <w:tcW w:w="2407" w:type="pct"/>
            <w:vAlign w:val="center"/>
          </w:tcPr>
          <w:p w:rsidR="00B4550A" w:rsidRPr="00E0488D" w:rsidRDefault="00B4550A" w:rsidP="003C7FC8">
            <w:pPr>
              <w:rPr>
                <w:rFonts w:cs="Arial"/>
                <w:color w:val="000000"/>
                <w:sz w:val="20"/>
                <w:szCs w:val="20"/>
                <w:lang w:val="ro-RO"/>
              </w:rPr>
            </w:pPr>
            <w:r w:rsidRPr="00E0488D">
              <w:rPr>
                <w:rFonts w:cs="Arial"/>
                <w:color w:val="000000"/>
                <w:sz w:val="20"/>
                <w:szCs w:val="20"/>
                <w:lang w:val="ro-RO"/>
              </w:rPr>
              <w:t>25% din costurile eligibile totale pentru proiectele finanțate din FC și FEDR</w:t>
            </w:r>
          </w:p>
          <w:p w:rsidR="00B4550A" w:rsidRPr="00E0488D" w:rsidRDefault="00B4550A" w:rsidP="003C7FC8">
            <w:pPr>
              <w:rPr>
                <w:rFonts w:cs="Arial"/>
                <w:color w:val="000000"/>
                <w:sz w:val="20"/>
                <w:szCs w:val="20"/>
                <w:lang w:val="ro-RO"/>
              </w:rPr>
            </w:pPr>
            <w:r w:rsidRPr="00E0488D">
              <w:rPr>
                <w:rFonts w:cs="Arial"/>
                <w:color w:val="000000"/>
                <w:sz w:val="20"/>
                <w:szCs w:val="20"/>
                <w:lang w:val="ro-RO"/>
              </w:rPr>
              <w:t>15% din costurile eligibile totale pentru proiectele finanțate din CEF</w:t>
            </w:r>
          </w:p>
        </w:tc>
      </w:tr>
      <w:tr w:rsidR="00B4550A" w:rsidRPr="00E0488D" w:rsidTr="003C7FC8">
        <w:trPr>
          <w:trHeight w:val="397"/>
        </w:trPr>
        <w:tc>
          <w:tcPr>
            <w:tcW w:w="1541" w:type="pct"/>
            <w:shd w:val="clear" w:color="auto" w:fill="DBE5F1"/>
            <w:vAlign w:val="center"/>
            <w:hideMark/>
          </w:tcPr>
          <w:p w:rsidR="00B4550A" w:rsidRPr="00E0488D" w:rsidRDefault="00B4550A" w:rsidP="003C7FC8">
            <w:pPr>
              <w:rPr>
                <w:rFonts w:cs="Arial"/>
                <w:b/>
                <w:bCs/>
                <w:color w:val="000000"/>
                <w:sz w:val="20"/>
                <w:szCs w:val="20"/>
                <w:lang w:val="ro-RO"/>
              </w:rPr>
            </w:pPr>
            <w:r w:rsidRPr="00E0488D">
              <w:rPr>
                <w:rFonts w:cs="Arial"/>
                <w:b/>
                <w:bCs/>
                <w:color w:val="000000"/>
                <w:sz w:val="20"/>
                <w:szCs w:val="20"/>
                <w:lang w:val="ro-RO"/>
              </w:rPr>
              <w:t>Indicatorul de sustenabilitate / Fonduri naționale nete</w:t>
            </w:r>
          </w:p>
        </w:tc>
        <w:tc>
          <w:tcPr>
            <w:tcW w:w="49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D</w:t>
            </w:r>
          </w:p>
        </w:tc>
        <w:tc>
          <w:tcPr>
            <w:tcW w:w="56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=C-C</w:t>
            </w:r>
            <w:r w:rsidRPr="00E0488D">
              <w:rPr>
                <w:rFonts w:cs="Arial"/>
                <w:b/>
                <w:bCs/>
                <w:color w:val="000000"/>
                <w:sz w:val="20"/>
                <w:szCs w:val="20"/>
                <w:vertAlign w:val="subscript"/>
                <w:lang w:val="ro-RO"/>
              </w:rPr>
              <w:t>1</w:t>
            </w:r>
            <w:r w:rsidRPr="00E0488D">
              <w:rPr>
                <w:rFonts w:cs="Arial"/>
                <w:b/>
                <w:bCs/>
                <w:color w:val="000000"/>
                <w:sz w:val="20"/>
                <w:szCs w:val="20"/>
                <w:lang w:val="ro-RO"/>
              </w:rPr>
              <w:t>-C</w:t>
            </w:r>
            <w:r w:rsidRPr="00E0488D">
              <w:rPr>
                <w:rFonts w:cs="Arial"/>
                <w:b/>
                <w:bCs/>
                <w:color w:val="000000"/>
                <w:sz w:val="20"/>
                <w:szCs w:val="20"/>
                <w:vertAlign w:val="subscript"/>
                <w:lang w:val="ro-RO"/>
              </w:rPr>
              <w:t>2</w:t>
            </w:r>
          </w:p>
        </w:tc>
        <w:tc>
          <w:tcPr>
            <w:tcW w:w="2407" w:type="pct"/>
            <w:shd w:val="clear" w:color="auto" w:fill="DBE5F1"/>
            <w:vAlign w:val="center"/>
          </w:tcPr>
          <w:p w:rsidR="00B4550A" w:rsidRPr="00E0488D" w:rsidRDefault="00B4550A" w:rsidP="003C7FC8">
            <w:pPr>
              <w:rPr>
                <w:rFonts w:cs="Arial"/>
                <w:b/>
                <w:bCs/>
                <w:color w:val="000000"/>
                <w:sz w:val="20"/>
                <w:szCs w:val="20"/>
                <w:lang w:val="ro-RO"/>
              </w:rPr>
            </w:pPr>
            <w:r w:rsidRPr="00E0488D">
              <w:rPr>
                <w:sz w:val="20"/>
                <w:szCs w:val="20"/>
                <w:lang w:val="ro-RO"/>
              </w:rPr>
              <w:t>Reprezintă una din cifrele cheie ale planului financiar. Arată fondurile naționale nete disponibile după deducerea din C a fondurilor UE  (</w:t>
            </w:r>
            <w:r w:rsidRPr="00E0488D">
              <w:rPr>
                <w:b/>
                <w:sz w:val="20"/>
                <w:szCs w:val="20"/>
                <w:lang w:val="ro-RO"/>
              </w:rPr>
              <w:t>C</w:t>
            </w:r>
            <w:r w:rsidRPr="00E0488D">
              <w:rPr>
                <w:b/>
                <w:sz w:val="20"/>
                <w:szCs w:val="20"/>
                <w:vertAlign w:val="subscript"/>
                <w:lang w:val="ro-RO"/>
              </w:rPr>
              <w:t>1</w:t>
            </w:r>
            <w:r w:rsidRPr="00E0488D">
              <w:rPr>
                <w:sz w:val="20"/>
                <w:szCs w:val="20"/>
                <w:lang w:val="ro-RO"/>
              </w:rPr>
              <w:t>) și a cofinanțării naționale (</w:t>
            </w:r>
            <w:r w:rsidRPr="00E0488D">
              <w:rPr>
                <w:b/>
                <w:sz w:val="20"/>
                <w:szCs w:val="20"/>
                <w:lang w:val="ro-RO"/>
              </w:rPr>
              <w:t>C</w:t>
            </w:r>
            <w:r w:rsidRPr="00E0488D">
              <w:rPr>
                <w:b/>
                <w:sz w:val="20"/>
                <w:szCs w:val="20"/>
                <w:vertAlign w:val="subscript"/>
                <w:lang w:val="ro-RO"/>
              </w:rPr>
              <w:t>2</w:t>
            </w:r>
            <w:r w:rsidRPr="00E0488D">
              <w:rPr>
                <w:sz w:val="20"/>
                <w:szCs w:val="20"/>
                <w:lang w:val="ro-RO"/>
              </w:rPr>
              <w:t xml:space="preserve">). Dacă </w:t>
            </w:r>
            <w:r w:rsidRPr="00E0488D">
              <w:rPr>
                <w:b/>
                <w:sz w:val="20"/>
                <w:szCs w:val="20"/>
                <w:lang w:val="ro-RO"/>
              </w:rPr>
              <w:t>D</w:t>
            </w:r>
            <w:r w:rsidRPr="00E0488D">
              <w:rPr>
                <w:sz w:val="20"/>
                <w:szCs w:val="20"/>
                <w:lang w:val="ro-RO"/>
              </w:rPr>
              <w:t xml:space="preserve"> &gt; 0 atunci planul financiar este sustenabil – acesta înseamnă că proiectele finanțate din fonduri UE pot fi sprijinite de Bugetul Național (procentul de 2% din PIB) considerând în avans cheltuielile manadatate incluse în </w:t>
            </w:r>
            <w:r w:rsidRPr="00E0488D">
              <w:rPr>
                <w:b/>
                <w:sz w:val="20"/>
                <w:szCs w:val="20"/>
                <w:lang w:val="ro-RO"/>
              </w:rPr>
              <w:t>B</w:t>
            </w:r>
            <w:r w:rsidRPr="00E0488D">
              <w:rPr>
                <w:b/>
                <w:sz w:val="20"/>
                <w:szCs w:val="20"/>
                <w:vertAlign w:val="subscript"/>
                <w:lang w:val="ro-RO"/>
              </w:rPr>
              <w:t>1</w:t>
            </w:r>
            <w:r w:rsidRPr="00E0488D">
              <w:rPr>
                <w:sz w:val="20"/>
                <w:szCs w:val="20"/>
                <w:lang w:val="ro-RO"/>
              </w:rPr>
              <w:t xml:space="preserve"> și </w:t>
            </w:r>
            <w:r w:rsidRPr="00E0488D">
              <w:rPr>
                <w:b/>
                <w:sz w:val="20"/>
                <w:szCs w:val="20"/>
                <w:lang w:val="ro-RO"/>
              </w:rPr>
              <w:t>B</w:t>
            </w:r>
            <w:r w:rsidRPr="00E0488D">
              <w:rPr>
                <w:b/>
                <w:sz w:val="20"/>
                <w:szCs w:val="20"/>
                <w:vertAlign w:val="subscript"/>
                <w:lang w:val="ro-RO"/>
              </w:rPr>
              <w:t>2</w:t>
            </w:r>
            <w:r w:rsidRPr="00E0488D">
              <w:rPr>
                <w:sz w:val="20"/>
                <w:szCs w:val="20"/>
                <w:lang w:val="ro-RO"/>
              </w:rPr>
              <w:t>.</w:t>
            </w:r>
          </w:p>
        </w:tc>
      </w:tr>
      <w:tr w:rsidR="00B4550A" w:rsidRPr="00E0488D" w:rsidTr="003C7FC8">
        <w:trPr>
          <w:trHeight w:val="39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Proiecte fazate și Metroul București</w:t>
            </w:r>
          </w:p>
        </w:tc>
        <w:tc>
          <w:tcPr>
            <w:tcW w:w="491" w:type="pct"/>
            <w:shd w:val="clear" w:color="auto" w:fill="auto"/>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E</w:t>
            </w:r>
          </w:p>
        </w:tc>
        <w:tc>
          <w:tcPr>
            <w:tcW w:w="561" w:type="pct"/>
            <w:shd w:val="clear" w:color="auto" w:fill="auto"/>
            <w:vAlign w:val="center"/>
            <w:hideMark/>
          </w:tcPr>
          <w:p w:rsidR="00B4550A" w:rsidRPr="00E0488D" w:rsidRDefault="00B4550A" w:rsidP="003C7FC8">
            <w:pPr>
              <w:jc w:val="center"/>
              <w:rPr>
                <w:rFonts w:cs="Arial"/>
                <w:color w:val="000000"/>
                <w:sz w:val="20"/>
                <w:szCs w:val="20"/>
                <w:lang w:val="ro-RO"/>
              </w:rPr>
            </w:pPr>
          </w:p>
        </w:tc>
        <w:tc>
          <w:tcPr>
            <w:tcW w:w="2407" w:type="pct"/>
            <w:vAlign w:val="center"/>
          </w:tcPr>
          <w:p w:rsidR="00B4550A" w:rsidRPr="00E0488D" w:rsidRDefault="00B4550A" w:rsidP="003C7FC8">
            <w:pPr>
              <w:rPr>
                <w:rFonts w:cs="Arial"/>
                <w:color w:val="000000"/>
                <w:sz w:val="20"/>
                <w:szCs w:val="20"/>
                <w:lang w:val="ro-RO"/>
              </w:rPr>
            </w:pPr>
            <w:r w:rsidRPr="00E0488D">
              <w:rPr>
                <w:sz w:val="20"/>
                <w:szCs w:val="20"/>
                <w:lang w:val="ro-RO"/>
              </w:rPr>
              <w:t>Include investițiile restante pentru proiectele începute în programul operațional 2007-2013, care vor continua după 2014 (bugetul total estimat este de 2,489 miliarde de euro) în plus față de bugetul destinat proiectelor pentru metrou (buget estimat de 0,727 miliarde euro). Sursa datelor este  MT.</w:t>
            </w:r>
          </w:p>
        </w:tc>
      </w:tr>
      <w:tr w:rsidR="00B4550A" w:rsidRPr="00E0488D" w:rsidTr="003C7FC8">
        <w:trPr>
          <w:trHeight w:val="397"/>
        </w:trPr>
        <w:tc>
          <w:tcPr>
            <w:tcW w:w="1541" w:type="pct"/>
            <w:shd w:val="clear" w:color="auto" w:fill="DBE5F1"/>
            <w:vAlign w:val="center"/>
            <w:hideMark/>
          </w:tcPr>
          <w:p w:rsidR="00B4550A" w:rsidRPr="00E0488D" w:rsidRDefault="00B4550A" w:rsidP="003C7FC8">
            <w:pPr>
              <w:rPr>
                <w:rFonts w:cs="Arial"/>
                <w:b/>
                <w:bCs/>
                <w:color w:val="000000"/>
                <w:sz w:val="20"/>
                <w:szCs w:val="20"/>
                <w:lang w:val="ro-RO"/>
              </w:rPr>
            </w:pPr>
          </w:p>
        </w:tc>
        <w:tc>
          <w:tcPr>
            <w:tcW w:w="49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F</w:t>
            </w:r>
          </w:p>
        </w:tc>
        <w:tc>
          <w:tcPr>
            <w:tcW w:w="56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=C-E</w:t>
            </w:r>
          </w:p>
        </w:tc>
        <w:tc>
          <w:tcPr>
            <w:tcW w:w="2407" w:type="pct"/>
            <w:shd w:val="clear" w:color="auto" w:fill="DBE5F1"/>
            <w:vAlign w:val="center"/>
          </w:tcPr>
          <w:p w:rsidR="00B4550A" w:rsidRPr="00E0488D" w:rsidRDefault="00B4550A" w:rsidP="003C7FC8">
            <w:pPr>
              <w:rPr>
                <w:rFonts w:cs="Arial"/>
                <w:b/>
                <w:bCs/>
                <w:color w:val="000000"/>
                <w:sz w:val="20"/>
                <w:szCs w:val="20"/>
                <w:lang w:val="ro-RO"/>
              </w:rPr>
            </w:pPr>
            <w:r w:rsidRPr="00E0488D">
              <w:rPr>
                <w:sz w:val="20"/>
                <w:szCs w:val="20"/>
                <w:lang w:val="ro-RO"/>
              </w:rPr>
              <w:t xml:space="preserve">Reprezintă fondurile disponibile pentru investiții în transporturi. Luând în considerare potențialele corecții financiare și procentul de overcommitment  la nivel național estimat la 30%, fondurile totale disponibile sunt egale cu </w:t>
            </w:r>
            <w:r w:rsidRPr="00E0488D">
              <w:rPr>
                <w:b/>
                <w:sz w:val="20"/>
                <w:szCs w:val="20"/>
                <w:lang w:val="ro-RO"/>
              </w:rPr>
              <w:t>G</w:t>
            </w:r>
            <w:r w:rsidRPr="00E0488D">
              <w:rPr>
                <w:sz w:val="20"/>
                <w:szCs w:val="20"/>
                <w:lang w:val="ro-RO"/>
              </w:rPr>
              <w:t>.</w:t>
            </w:r>
          </w:p>
        </w:tc>
      </w:tr>
      <w:tr w:rsidR="00B4550A" w:rsidRPr="00E0488D" w:rsidTr="003C7FC8">
        <w:trPr>
          <w:trHeight w:val="39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+ 30% Overcommitment</w:t>
            </w:r>
          </w:p>
        </w:tc>
        <w:tc>
          <w:tcPr>
            <w:tcW w:w="491" w:type="pct"/>
            <w:shd w:val="clear" w:color="auto" w:fill="auto"/>
            <w:vAlign w:val="center"/>
            <w:hideMark/>
          </w:tcPr>
          <w:p w:rsidR="00B4550A" w:rsidRPr="00E0488D" w:rsidRDefault="00B4550A" w:rsidP="003C7FC8">
            <w:pPr>
              <w:jc w:val="center"/>
              <w:rPr>
                <w:rFonts w:cs="Arial"/>
                <w:b/>
                <w:color w:val="000000"/>
                <w:sz w:val="20"/>
                <w:szCs w:val="20"/>
                <w:lang w:val="ro-RO"/>
              </w:rPr>
            </w:pPr>
            <w:r w:rsidRPr="00E0488D">
              <w:rPr>
                <w:rFonts w:cs="Arial"/>
                <w:b/>
                <w:color w:val="000000"/>
                <w:sz w:val="20"/>
                <w:szCs w:val="20"/>
                <w:lang w:val="ro-RO"/>
              </w:rPr>
              <w:t>G</w:t>
            </w:r>
          </w:p>
        </w:tc>
        <w:tc>
          <w:tcPr>
            <w:tcW w:w="561" w:type="pct"/>
            <w:shd w:val="clear" w:color="auto" w:fill="auto"/>
            <w:vAlign w:val="center"/>
            <w:hideMark/>
          </w:tcPr>
          <w:p w:rsidR="00B4550A" w:rsidRPr="00E0488D" w:rsidRDefault="00B4550A" w:rsidP="003C7FC8">
            <w:pPr>
              <w:jc w:val="center"/>
              <w:rPr>
                <w:rFonts w:cs="Arial"/>
                <w:b/>
                <w:color w:val="000000"/>
                <w:sz w:val="20"/>
                <w:szCs w:val="20"/>
                <w:lang w:val="ro-RO"/>
              </w:rPr>
            </w:pPr>
            <w:r w:rsidRPr="00E0488D">
              <w:rPr>
                <w:rFonts w:cs="Arial"/>
                <w:b/>
                <w:color w:val="000000"/>
                <w:sz w:val="20"/>
                <w:szCs w:val="20"/>
                <w:lang w:val="ro-RO"/>
              </w:rPr>
              <w:t>=F*1.3</w:t>
            </w:r>
          </w:p>
        </w:tc>
        <w:tc>
          <w:tcPr>
            <w:tcW w:w="2407" w:type="pct"/>
            <w:vAlign w:val="center"/>
          </w:tcPr>
          <w:p w:rsidR="00B4550A" w:rsidRPr="00E0488D" w:rsidRDefault="00B4550A" w:rsidP="003C7FC8">
            <w:pPr>
              <w:rPr>
                <w:sz w:val="20"/>
                <w:szCs w:val="20"/>
                <w:lang w:val="ro-RO"/>
              </w:rPr>
            </w:pPr>
            <w:r w:rsidRPr="00E0488D">
              <w:rPr>
                <w:sz w:val="20"/>
                <w:szCs w:val="20"/>
                <w:lang w:val="ro-RO"/>
              </w:rPr>
              <w:t xml:space="preserve">Include corecțiile financiare și proiectele potențiale contractate pe perioada alocărilor bugetare inițiale </w:t>
            </w:r>
          </w:p>
        </w:tc>
      </w:tr>
      <w:tr w:rsidR="00B4550A" w:rsidRPr="00E0488D" w:rsidTr="003C7FC8">
        <w:trPr>
          <w:trHeight w:val="397"/>
        </w:trPr>
        <w:tc>
          <w:tcPr>
            <w:tcW w:w="1541" w:type="pct"/>
            <w:shd w:val="clear" w:color="auto" w:fill="auto"/>
            <w:vAlign w:val="center"/>
            <w:hideMark/>
          </w:tcPr>
          <w:p w:rsidR="00B4550A" w:rsidRPr="00E0488D" w:rsidRDefault="00B4550A" w:rsidP="003C7FC8">
            <w:pPr>
              <w:rPr>
                <w:rFonts w:cs="Arial"/>
                <w:bCs/>
                <w:color w:val="000000"/>
                <w:sz w:val="20"/>
                <w:szCs w:val="20"/>
                <w:lang w:val="ro-RO"/>
              </w:rPr>
            </w:pPr>
            <w:r w:rsidRPr="00E0488D">
              <w:rPr>
                <w:rFonts w:cs="Arial"/>
                <w:bCs/>
                <w:color w:val="000000"/>
                <w:sz w:val="20"/>
                <w:szCs w:val="20"/>
                <w:lang w:val="ro-RO"/>
              </w:rPr>
              <w:t>Recuperarea întârzierilor cu reabilitarea fdrețelei feroviare</w:t>
            </w:r>
          </w:p>
        </w:tc>
        <w:tc>
          <w:tcPr>
            <w:tcW w:w="491" w:type="pct"/>
            <w:shd w:val="clear" w:color="auto" w:fill="auto"/>
            <w:vAlign w:val="center"/>
            <w:hideMark/>
          </w:tcPr>
          <w:p w:rsidR="00B4550A" w:rsidRPr="00E0488D" w:rsidRDefault="00B4550A" w:rsidP="003C7FC8">
            <w:pPr>
              <w:jc w:val="center"/>
              <w:rPr>
                <w:rFonts w:cs="Arial"/>
                <w:b/>
                <w:color w:val="000000"/>
                <w:sz w:val="20"/>
                <w:szCs w:val="20"/>
                <w:lang w:val="ro-RO"/>
              </w:rPr>
            </w:pPr>
            <w:r w:rsidRPr="00E0488D">
              <w:rPr>
                <w:rFonts w:cs="Arial"/>
                <w:b/>
                <w:color w:val="000000"/>
                <w:sz w:val="20"/>
                <w:szCs w:val="20"/>
                <w:lang w:val="ro-RO"/>
              </w:rPr>
              <w:t>H</w:t>
            </w:r>
          </w:p>
        </w:tc>
        <w:tc>
          <w:tcPr>
            <w:tcW w:w="561" w:type="pct"/>
            <w:shd w:val="clear" w:color="auto" w:fill="auto"/>
            <w:vAlign w:val="center"/>
            <w:hideMark/>
          </w:tcPr>
          <w:p w:rsidR="00B4550A" w:rsidRPr="00E0488D" w:rsidRDefault="00B4550A" w:rsidP="003C7FC8">
            <w:pPr>
              <w:jc w:val="center"/>
              <w:rPr>
                <w:rFonts w:cs="Arial"/>
                <w:b/>
                <w:color w:val="000000"/>
                <w:sz w:val="20"/>
                <w:szCs w:val="20"/>
                <w:lang w:val="ro-RO"/>
              </w:rPr>
            </w:pPr>
            <w:r w:rsidRPr="00E0488D">
              <w:rPr>
                <w:rFonts w:cs="Arial"/>
                <w:b/>
                <w:color w:val="000000"/>
                <w:sz w:val="20"/>
                <w:szCs w:val="20"/>
                <w:lang w:val="ro-RO"/>
              </w:rPr>
              <w:t>o</w:t>
            </w:r>
          </w:p>
        </w:tc>
        <w:tc>
          <w:tcPr>
            <w:tcW w:w="2407" w:type="pct"/>
            <w:vAlign w:val="center"/>
          </w:tcPr>
          <w:p w:rsidR="00B4550A" w:rsidRPr="00E0488D" w:rsidRDefault="00B4550A" w:rsidP="003C7FC8">
            <w:pPr>
              <w:rPr>
                <w:rFonts w:cs="Arial"/>
                <w:b/>
                <w:color w:val="000000"/>
                <w:sz w:val="20"/>
                <w:szCs w:val="20"/>
                <w:lang w:val="ro-RO"/>
              </w:rPr>
            </w:pPr>
            <w:r w:rsidRPr="00E0488D">
              <w:rPr>
                <w:sz w:val="20"/>
                <w:szCs w:val="20"/>
                <w:lang w:val="ro-RO"/>
              </w:rPr>
              <w:t xml:space="preserve">Nu este inclusă deoarece recuperarea restanțelor la reabilitarea rețelei feroviare este una din cerințele cheie identificate în procesul elaborării Master Planului. Costurile de reabilitare a rețelei feroviare sunt prioritizate și determinate ca parte a Master Planuluiși vor fi finanțate, din bugetul disponibil rămas. </w:t>
            </w:r>
          </w:p>
        </w:tc>
      </w:tr>
      <w:tr w:rsidR="00B4550A" w:rsidRPr="00E0488D" w:rsidTr="003C7FC8">
        <w:trPr>
          <w:trHeight w:val="397"/>
        </w:trPr>
        <w:tc>
          <w:tcPr>
            <w:tcW w:w="1541" w:type="pct"/>
            <w:shd w:val="clear" w:color="auto" w:fill="DBE5F1"/>
            <w:vAlign w:val="center"/>
            <w:hideMark/>
          </w:tcPr>
          <w:p w:rsidR="00B4550A" w:rsidRPr="00E0488D" w:rsidRDefault="00B4550A" w:rsidP="003C7FC8">
            <w:pPr>
              <w:rPr>
                <w:rFonts w:cs="Arial"/>
                <w:b/>
                <w:bCs/>
                <w:color w:val="000000"/>
                <w:sz w:val="20"/>
                <w:szCs w:val="20"/>
                <w:lang w:val="ro-RO"/>
              </w:rPr>
            </w:pPr>
            <w:r w:rsidRPr="00E0488D">
              <w:rPr>
                <w:rFonts w:cs="Arial"/>
                <w:b/>
                <w:bCs/>
                <w:color w:val="000000"/>
                <w:sz w:val="20"/>
                <w:szCs w:val="20"/>
                <w:lang w:val="ro-RO"/>
              </w:rPr>
              <w:t>Disponibil pentru proiectele MPGT după eliminarea întârzierilor cu reabilitarea rețelei feroviare</w:t>
            </w:r>
          </w:p>
        </w:tc>
        <w:tc>
          <w:tcPr>
            <w:tcW w:w="49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I</w:t>
            </w:r>
          </w:p>
        </w:tc>
        <w:tc>
          <w:tcPr>
            <w:tcW w:w="561" w:type="pct"/>
            <w:shd w:val="clear" w:color="auto" w:fill="DBE5F1"/>
            <w:vAlign w:val="center"/>
            <w:hideMark/>
          </w:tcPr>
          <w:p w:rsidR="00B4550A" w:rsidRPr="00E0488D" w:rsidRDefault="00B4550A" w:rsidP="003C7FC8">
            <w:pPr>
              <w:jc w:val="center"/>
              <w:rPr>
                <w:rFonts w:cs="Arial"/>
                <w:b/>
                <w:bCs/>
                <w:color w:val="000000"/>
                <w:sz w:val="20"/>
                <w:szCs w:val="20"/>
                <w:lang w:val="ro-RO"/>
              </w:rPr>
            </w:pPr>
            <w:r w:rsidRPr="00E0488D">
              <w:rPr>
                <w:rFonts w:cs="Arial"/>
                <w:b/>
                <w:bCs/>
                <w:color w:val="000000"/>
                <w:sz w:val="20"/>
                <w:szCs w:val="20"/>
                <w:lang w:val="ro-RO"/>
              </w:rPr>
              <w:t>=G-H</w:t>
            </w:r>
          </w:p>
        </w:tc>
        <w:tc>
          <w:tcPr>
            <w:tcW w:w="2407" w:type="pct"/>
            <w:shd w:val="clear" w:color="auto" w:fill="DBE5F1"/>
            <w:vAlign w:val="center"/>
          </w:tcPr>
          <w:p w:rsidR="00B4550A" w:rsidRPr="00E0488D" w:rsidRDefault="00B4550A" w:rsidP="003C7FC8">
            <w:pPr>
              <w:rPr>
                <w:rFonts w:cs="Arial"/>
                <w:b/>
                <w:bCs/>
                <w:color w:val="000000"/>
                <w:sz w:val="20"/>
                <w:szCs w:val="20"/>
                <w:lang w:val="ro-RO"/>
              </w:rPr>
            </w:pPr>
            <w:r w:rsidRPr="00E0488D">
              <w:rPr>
                <w:sz w:val="20"/>
                <w:szCs w:val="20"/>
                <w:lang w:val="ro-RO"/>
              </w:rPr>
              <w:t xml:space="preserve">Reprezintă bugetul disponibil estimat pentru proiectele din Master Plan în urma recuperării restanțelor la reabilitarea rețelei feroviare </w:t>
            </w:r>
          </w:p>
        </w:tc>
      </w:tr>
    </w:tbl>
    <w:p w:rsidR="00B4550A" w:rsidRPr="00E0488D" w:rsidRDefault="00B4550A" w:rsidP="00B4550A">
      <w:pPr>
        <w:ind w:left="1134"/>
        <w:rPr>
          <w:i/>
          <w:lang w:val="ro-RO"/>
        </w:rPr>
      </w:pPr>
      <w:r w:rsidRPr="00E0488D">
        <w:rPr>
          <w:i/>
          <w:lang w:val="ro-RO"/>
        </w:rPr>
        <w:t>Sursa: AECOM, MT</w:t>
      </w:r>
    </w:p>
    <w:p w:rsidR="00B4550A" w:rsidRPr="00E0488D" w:rsidRDefault="00B4550A" w:rsidP="00B4550A">
      <w:pPr>
        <w:rPr>
          <w:rFonts w:cs="Arial"/>
          <w:sz w:val="22"/>
          <w:lang w:val="ro-RO"/>
        </w:rPr>
      </w:pPr>
      <w:r w:rsidRPr="00E0488D">
        <w:rPr>
          <w:rFonts w:cs="Arial"/>
          <w:sz w:val="22"/>
          <w:lang w:val="ro-RO"/>
        </w:rPr>
        <w:br w:type="page"/>
      </w:r>
    </w:p>
    <w:p w:rsidR="00B4550A" w:rsidRPr="00E0488D" w:rsidRDefault="00B4550A" w:rsidP="00B4550A">
      <w:pPr>
        <w:pStyle w:val="Hdg3"/>
      </w:pPr>
      <w:r w:rsidRPr="00E0488D">
        <w:t>Contextul istoric</w:t>
      </w:r>
    </w:p>
    <w:p w:rsidR="00B4550A" w:rsidRPr="00E0488D" w:rsidRDefault="00B4550A" w:rsidP="002B7E09">
      <w:pPr>
        <w:pStyle w:val="NumberedParas"/>
      </w:pPr>
      <w:r w:rsidRPr="00E0488D">
        <w:t>Ca parte a procesului de identificare a nevoii de investiții din sectorul transporturilor, în luna iunie, MT a întocmit o analiză a cheltuielilor înregistrate în trecut în acest sector</w:t>
      </w:r>
      <w:r w:rsidRPr="00E0488D">
        <w:rPr>
          <w:rStyle w:val="FootnoteReference"/>
        </w:rPr>
        <w:footnoteReference w:id="40"/>
      </w:r>
      <w:r w:rsidRPr="00E0488D">
        <w:t>. Această analiză a inclus costurile istorice reale pentru fiecare mod de transport, înregistrate în perioada 2007 -2012 și estimările pentru anul 2013.</w:t>
      </w:r>
    </w:p>
    <w:p w:rsidR="00B4550A" w:rsidRPr="00E0488D" w:rsidRDefault="00B4550A" w:rsidP="00B4550A">
      <w:pPr>
        <w:spacing w:before="120" w:after="120" w:line="276" w:lineRule="auto"/>
        <w:ind w:left="567"/>
        <w:jc w:val="both"/>
        <w:rPr>
          <w:rFonts w:cs="Arial"/>
          <w:b/>
          <w:sz w:val="22"/>
          <w:lang w:val="ro-RO"/>
        </w:rPr>
      </w:pPr>
      <w:r w:rsidRPr="00E0488D">
        <w:rPr>
          <w:rFonts w:cs="Arial"/>
          <w:b/>
          <w:sz w:val="22"/>
          <w:lang w:val="ro-RO"/>
        </w:rPr>
        <w:t>Tabelul 9.2. Cheltuielile totale și procentul din PIB pentru transporturi, 2007-2013 (’000 lei)</w:t>
      </w:r>
    </w:p>
    <w:tbl>
      <w:tblPr>
        <w:tblW w:w="0" w:type="auto"/>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60"/>
        <w:gridCol w:w="2107"/>
        <w:gridCol w:w="1745"/>
        <w:gridCol w:w="1672"/>
      </w:tblGrid>
      <w:tr w:rsidR="00B4550A" w:rsidRPr="00E0488D" w:rsidTr="003C7FC8">
        <w:trPr>
          <w:trHeight w:hRule="exact" w:val="811"/>
        </w:trPr>
        <w:tc>
          <w:tcPr>
            <w:tcW w:w="1060" w:type="dxa"/>
            <w:shd w:val="clear" w:color="auto" w:fill="B8CCE4" w:themeFill="accent1" w:themeFillTint="66"/>
            <w:vAlign w:val="center"/>
          </w:tcPr>
          <w:p w:rsidR="00B4550A" w:rsidRPr="00E0488D" w:rsidRDefault="00B4550A" w:rsidP="003C7FC8">
            <w:pPr>
              <w:jc w:val="center"/>
              <w:rPr>
                <w:rFonts w:eastAsia="Arial" w:cs="Arial"/>
                <w:b/>
                <w:w w:val="101"/>
                <w:sz w:val="22"/>
                <w:szCs w:val="22"/>
                <w:lang w:val="ro-RO"/>
              </w:rPr>
            </w:pPr>
            <w:r w:rsidRPr="00E0488D">
              <w:rPr>
                <w:rFonts w:eastAsia="Arial" w:cs="Arial"/>
                <w:b/>
                <w:w w:val="101"/>
                <w:sz w:val="22"/>
                <w:szCs w:val="22"/>
                <w:lang w:val="ro-RO"/>
              </w:rPr>
              <w:t>An</w:t>
            </w:r>
          </w:p>
        </w:tc>
        <w:tc>
          <w:tcPr>
            <w:tcW w:w="2107" w:type="dxa"/>
            <w:shd w:val="clear" w:color="auto" w:fill="B8CCE4" w:themeFill="accent1" w:themeFillTint="66"/>
            <w:vAlign w:val="center"/>
          </w:tcPr>
          <w:p w:rsidR="00B4550A" w:rsidRPr="00E0488D" w:rsidRDefault="00B4550A" w:rsidP="003C7FC8">
            <w:pPr>
              <w:jc w:val="center"/>
              <w:rPr>
                <w:rFonts w:eastAsia="Arial" w:cs="Arial"/>
                <w:b/>
                <w:sz w:val="22"/>
                <w:szCs w:val="22"/>
                <w:lang w:val="ro-RO"/>
              </w:rPr>
            </w:pPr>
            <w:r w:rsidRPr="00E0488D">
              <w:rPr>
                <w:rFonts w:eastAsia="Arial" w:cs="Arial"/>
                <w:b/>
                <w:w w:val="103"/>
                <w:sz w:val="22"/>
                <w:szCs w:val="22"/>
                <w:lang w:val="ro-RO"/>
              </w:rPr>
              <w:t>Total sector transportui</w:t>
            </w:r>
          </w:p>
        </w:tc>
        <w:tc>
          <w:tcPr>
            <w:tcW w:w="1745" w:type="dxa"/>
            <w:shd w:val="clear" w:color="auto" w:fill="B8CCE4" w:themeFill="accent1" w:themeFillTint="66"/>
            <w:vAlign w:val="center"/>
          </w:tcPr>
          <w:p w:rsidR="00B4550A" w:rsidRPr="00E0488D" w:rsidRDefault="00B4550A" w:rsidP="003C7FC8">
            <w:pPr>
              <w:jc w:val="center"/>
              <w:rPr>
                <w:rFonts w:eastAsia="Arial" w:cs="Arial"/>
                <w:b/>
                <w:sz w:val="22"/>
                <w:szCs w:val="22"/>
                <w:lang w:val="ro-RO"/>
              </w:rPr>
            </w:pPr>
            <w:r w:rsidRPr="00E0488D">
              <w:rPr>
                <w:rFonts w:eastAsia="Arial" w:cs="Arial"/>
                <w:b/>
                <w:w w:val="103"/>
                <w:sz w:val="22"/>
                <w:szCs w:val="22"/>
                <w:lang w:val="ro-RO"/>
              </w:rPr>
              <w:t>PIB</w:t>
            </w:r>
          </w:p>
        </w:tc>
        <w:tc>
          <w:tcPr>
            <w:tcW w:w="1672" w:type="dxa"/>
            <w:shd w:val="clear" w:color="auto" w:fill="B8CCE4" w:themeFill="accent1" w:themeFillTint="66"/>
            <w:vAlign w:val="center"/>
          </w:tcPr>
          <w:p w:rsidR="00B4550A" w:rsidRPr="00E0488D" w:rsidRDefault="00B4550A" w:rsidP="003C7FC8">
            <w:pPr>
              <w:jc w:val="center"/>
              <w:rPr>
                <w:rFonts w:eastAsia="Arial" w:cs="Arial"/>
                <w:b/>
                <w:sz w:val="22"/>
                <w:szCs w:val="22"/>
                <w:lang w:val="ro-RO"/>
              </w:rPr>
            </w:pPr>
            <w:r w:rsidRPr="00E0488D">
              <w:rPr>
                <w:rFonts w:eastAsia="Arial" w:cs="Arial"/>
                <w:b/>
                <w:w w:val="110"/>
                <w:sz w:val="22"/>
                <w:szCs w:val="22"/>
                <w:lang w:val="ro-RO"/>
              </w:rPr>
              <w:t>% din PIB</w:t>
            </w:r>
          </w:p>
        </w:tc>
      </w:tr>
      <w:tr w:rsidR="00B4550A" w:rsidRPr="00E0488D" w:rsidTr="003C7FC8">
        <w:trPr>
          <w:trHeight w:hRule="exact" w:val="407"/>
        </w:trPr>
        <w:tc>
          <w:tcPr>
            <w:tcW w:w="1060"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7"/>
                <w:sz w:val="22"/>
                <w:szCs w:val="22"/>
                <w:lang w:val="ro-RO"/>
              </w:rPr>
              <w:t>2007</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spacing w:val="-19"/>
                <w:w w:val="119"/>
                <w:sz w:val="22"/>
                <w:szCs w:val="22"/>
                <w:lang w:val="ro-RO"/>
              </w:rPr>
              <w:t>1</w:t>
            </w:r>
            <w:r w:rsidRPr="00E0488D">
              <w:rPr>
                <w:rFonts w:eastAsia="Arial" w:cs="Arial"/>
                <w:color w:val="2F3131"/>
                <w:spacing w:val="-12"/>
                <w:w w:val="157"/>
                <w:sz w:val="22"/>
                <w:szCs w:val="22"/>
                <w:lang w:val="ro-RO"/>
              </w:rPr>
              <w:t>.</w:t>
            </w:r>
            <w:r w:rsidRPr="00E0488D">
              <w:rPr>
                <w:rFonts w:eastAsia="Arial" w:cs="Arial"/>
                <w:color w:val="161616"/>
                <w:w w:val="109"/>
                <w:sz w:val="22"/>
                <w:szCs w:val="22"/>
                <w:lang w:val="ro-RO"/>
              </w:rPr>
              <w:t>61</w:t>
            </w:r>
            <w:r w:rsidRPr="00E0488D">
              <w:rPr>
                <w:rFonts w:eastAsia="Arial" w:cs="Arial"/>
                <w:color w:val="161616"/>
                <w:spacing w:val="-12"/>
                <w:w w:val="109"/>
                <w:sz w:val="22"/>
                <w:szCs w:val="22"/>
                <w:lang w:val="ro-RO"/>
              </w:rPr>
              <w:t>3</w:t>
            </w:r>
            <w:r w:rsidRPr="00E0488D">
              <w:rPr>
                <w:rFonts w:eastAsia="Arial" w:cs="Arial"/>
                <w:color w:val="2F3131"/>
                <w:spacing w:val="-8"/>
                <w:w w:val="125"/>
                <w:sz w:val="22"/>
                <w:szCs w:val="22"/>
                <w:lang w:val="ro-RO"/>
              </w:rPr>
              <w:t>.</w:t>
            </w:r>
            <w:r w:rsidRPr="00E0488D">
              <w:rPr>
                <w:rFonts w:eastAsia="Arial" w:cs="Arial"/>
                <w:color w:val="161616"/>
                <w:w w:val="107"/>
                <w:sz w:val="22"/>
                <w:szCs w:val="22"/>
                <w:lang w:val="ro-RO"/>
              </w:rPr>
              <w:t>269</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8"/>
                <w:sz w:val="22"/>
                <w:szCs w:val="22"/>
                <w:lang w:val="ro-RO"/>
              </w:rPr>
              <w:t>41</w:t>
            </w:r>
            <w:r w:rsidRPr="00E0488D">
              <w:rPr>
                <w:rFonts w:eastAsia="Arial" w:cs="Arial"/>
                <w:color w:val="161616"/>
                <w:spacing w:val="-11"/>
                <w:w w:val="108"/>
                <w:sz w:val="22"/>
                <w:szCs w:val="22"/>
                <w:lang w:val="ro-RO"/>
              </w:rPr>
              <w:t>6</w:t>
            </w:r>
            <w:r w:rsidRPr="00E0488D">
              <w:rPr>
                <w:rFonts w:eastAsia="Arial" w:cs="Arial"/>
                <w:color w:val="2F3131"/>
                <w:spacing w:val="-11"/>
                <w:w w:val="125"/>
                <w:sz w:val="22"/>
                <w:szCs w:val="22"/>
                <w:lang w:val="ro-RO"/>
              </w:rPr>
              <w:t>.</w:t>
            </w:r>
            <w:r w:rsidRPr="00E0488D">
              <w:rPr>
                <w:rFonts w:eastAsia="Arial" w:cs="Arial"/>
                <w:color w:val="161616"/>
                <w:w w:val="108"/>
                <w:sz w:val="22"/>
                <w:szCs w:val="22"/>
                <w:lang w:val="ro-RO"/>
              </w:rPr>
              <w:t>00</w:t>
            </w:r>
            <w:r w:rsidRPr="00E0488D">
              <w:rPr>
                <w:rFonts w:eastAsia="Arial" w:cs="Arial"/>
                <w:color w:val="161616"/>
                <w:spacing w:val="-11"/>
                <w:w w:val="108"/>
                <w:sz w:val="22"/>
                <w:szCs w:val="22"/>
                <w:lang w:val="ro-RO"/>
              </w:rPr>
              <w:t>6</w:t>
            </w:r>
            <w:r w:rsidRPr="00E0488D">
              <w:rPr>
                <w:rFonts w:eastAsia="Arial" w:cs="Arial"/>
                <w:color w:val="2F3131"/>
                <w:spacing w:val="-10"/>
                <w:w w:val="125"/>
                <w:sz w:val="22"/>
                <w:szCs w:val="22"/>
                <w:lang w:val="ro-RO"/>
              </w:rPr>
              <w:t>.</w:t>
            </w:r>
            <w:r w:rsidRPr="00E0488D">
              <w:rPr>
                <w:rFonts w:eastAsia="Arial" w:cs="Arial"/>
                <w:color w:val="161616"/>
                <w:w w:val="110"/>
                <w:sz w:val="22"/>
                <w:szCs w:val="22"/>
                <w:lang w:val="ro-RO"/>
              </w:rPr>
              <w:t>800</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spacing w:val="-6"/>
                <w:w w:val="110"/>
                <w:sz w:val="22"/>
                <w:szCs w:val="22"/>
                <w:lang w:val="ro-RO"/>
              </w:rPr>
              <w:t>0</w:t>
            </w:r>
            <w:r w:rsidRPr="00E0488D">
              <w:rPr>
                <w:rFonts w:eastAsia="Arial" w:cs="Arial"/>
                <w:color w:val="2F3131"/>
                <w:spacing w:val="-11"/>
                <w:w w:val="121"/>
                <w:sz w:val="22"/>
                <w:szCs w:val="22"/>
                <w:lang w:val="ro-RO"/>
              </w:rPr>
              <w:t>,</w:t>
            </w:r>
            <w:r w:rsidRPr="00E0488D">
              <w:rPr>
                <w:rFonts w:eastAsia="Arial" w:cs="Arial"/>
                <w:w w:val="106"/>
                <w:sz w:val="22"/>
                <w:szCs w:val="22"/>
                <w:lang w:val="ro-RO"/>
              </w:rPr>
              <w:t>39</w:t>
            </w:r>
          </w:p>
        </w:tc>
      </w:tr>
      <w:tr w:rsidR="00B4550A" w:rsidRPr="00E0488D" w:rsidTr="003C7FC8">
        <w:trPr>
          <w:trHeight w:hRule="exact" w:val="403"/>
        </w:trPr>
        <w:tc>
          <w:tcPr>
            <w:tcW w:w="1060"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7"/>
                <w:sz w:val="22"/>
                <w:szCs w:val="22"/>
                <w:lang w:val="ro-RO"/>
              </w:rPr>
              <w:t>2008</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spacing w:val="-3"/>
                <w:w w:val="107"/>
                <w:sz w:val="22"/>
                <w:szCs w:val="22"/>
                <w:lang w:val="ro-RO"/>
              </w:rPr>
              <w:t>3</w:t>
            </w:r>
            <w:r w:rsidRPr="00E0488D">
              <w:rPr>
                <w:rFonts w:eastAsia="Arial" w:cs="Arial"/>
                <w:color w:val="2F3131"/>
                <w:spacing w:val="-17"/>
                <w:w w:val="125"/>
                <w:sz w:val="22"/>
                <w:szCs w:val="22"/>
                <w:lang w:val="ro-RO"/>
              </w:rPr>
              <w:t>.</w:t>
            </w:r>
            <w:r w:rsidRPr="00E0488D">
              <w:rPr>
                <w:rFonts w:eastAsia="Arial" w:cs="Arial"/>
                <w:color w:val="161616"/>
                <w:w w:val="110"/>
                <w:sz w:val="22"/>
                <w:szCs w:val="22"/>
                <w:lang w:val="ro-RO"/>
              </w:rPr>
              <w:t>67</w:t>
            </w:r>
            <w:r w:rsidRPr="00E0488D">
              <w:rPr>
                <w:rFonts w:eastAsia="Arial" w:cs="Arial"/>
                <w:color w:val="161616"/>
                <w:spacing w:val="-13"/>
                <w:w w:val="110"/>
                <w:sz w:val="22"/>
                <w:szCs w:val="22"/>
                <w:lang w:val="ro-RO"/>
              </w:rPr>
              <w:t>0</w:t>
            </w:r>
            <w:r w:rsidRPr="00E0488D">
              <w:rPr>
                <w:rFonts w:eastAsia="Arial" w:cs="Arial"/>
                <w:color w:val="464949"/>
                <w:spacing w:val="-13"/>
                <w:w w:val="157"/>
                <w:sz w:val="22"/>
                <w:szCs w:val="22"/>
                <w:lang w:val="ro-RO"/>
              </w:rPr>
              <w:t>.</w:t>
            </w:r>
            <w:r w:rsidRPr="00E0488D">
              <w:rPr>
                <w:rFonts w:eastAsia="Arial" w:cs="Arial"/>
                <w:color w:val="161616"/>
                <w:w w:val="108"/>
                <w:sz w:val="22"/>
                <w:szCs w:val="22"/>
                <w:lang w:val="ro-RO"/>
              </w:rPr>
              <w:t>717</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6"/>
                <w:sz w:val="22"/>
                <w:szCs w:val="22"/>
                <w:lang w:val="ro-RO"/>
              </w:rPr>
              <w:t>51</w:t>
            </w:r>
            <w:r w:rsidRPr="00E0488D">
              <w:rPr>
                <w:rFonts w:eastAsia="Arial" w:cs="Arial"/>
                <w:color w:val="161616"/>
                <w:spacing w:val="-11"/>
                <w:w w:val="106"/>
                <w:sz w:val="22"/>
                <w:szCs w:val="22"/>
                <w:lang w:val="ro-RO"/>
              </w:rPr>
              <w:t>4</w:t>
            </w:r>
            <w:r w:rsidRPr="00E0488D">
              <w:rPr>
                <w:rFonts w:eastAsia="Arial" w:cs="Arial"/>
                <w:color w:val="464949"/>
                <w:spacing w:val="-12"/>
                <w:w w:val="125"/>
                <w:sz w:val="22"/>
                <w:szCs w:val="22"/>
                <w:lang w:val="ro-RO"/>
              </w:rPr>
              <w:t>.</w:t>
            </w:r>
            <w:r w:rsidRPr="00E0488D">
              <w:rPr>
                <w:rFonts w:eastAsia="Arial" w:cs="Arial"/>
                <w:color w:val="161616"/>
                <w:w w:val="108"/>
                <w:sz w:val="22"/>
                <w:szCs w:val="22"/>
                <w:lang w:val="ro-RO"/>
              </w:rPr>
              <w:t>70</w:t>
            </w:r>
            <w:r w:rsidRPr="00E0488D">
              <w:rPr>
                <w:rFonts w:eastAsia="Arial" w:cs="Arial"/>
                <w:color w:val="161616"/>
                <w:spacing w:val="-11"/>
                <w:w w:val="108"/>
                <w:sz w:val="22"/>
                <w:szCs w:val="22"/>
                <w:lang w:val="ro-RO"/>
              </w:rPr>
              <w:t>0</w:t>
            </w:r>
            <w:r w:rsidRPr="00E0488D">
              <w:rPr>
                <w:rFonts w:eastAsia="Arial" w:cs="Arial"/>
                <w:color w:val="2F3131"/>
                <w:spacing w:val="-4"/>
                <w:w w:val="125"/>
                <w:sz w:val="22"/>
                <w:szCs w:val="22"/>
                <w:lang w:val="ro-RO"/>
              </w:rPr>
              <w:t>.</w:t>
            </w:r>
            <w:r w:rsidRPr="00E0488D">
              <w:rPr>
                <w:rFonts w:eastAsia="Arial" w:cs="Arial"/>
                <w:color w:val="161616"/>
                <w:w w:val="106"/>
                <w:sz w:val="22"/>
                <w:szCs w:val="22"/>
                <w:lang w:val="ro-RO"/>
              </w:rPr>
              <w:t>000</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w w:val="105"/>
                <w:sz w:val="22"/>
                <w:szCs w:val="22"/>
                <w:lang w:val="ro-RO"/>
              </w:rPr>
              <w:t>0,71</w:t>
            </w:r>
          </w:p>
        </w:tc>
      </w:tr>
      <w:tr w:rsidR="00B4550A" w:rsidRPr="00E0488D" w:rsidTr="003C7FC8">
        <w:trPr>
          <w:trHeight w:hRule="exact" w:val="403"/>
        </w:trPr>
        <w:tc>
          <w:tcPr>
            <w:tcW w:w="1060"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7"/>
                <w:sz w:val="22"/>
                <w:szCs w:val="22"/>
                <w:lang w:val="ro-RO"/>
              </w:rPr>
              <w:t>2009</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5"/>
                <w:sz w:val="22"/>
                <w:szCs w:val="22"/>
                <w:lang w:val="ro-RO"/>
              </w:rPr>
              <w:t>6.428.839</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4"/>
                <w:sz w:val="22"/>
                <w:szCs w:val="22"/>
                <w:lang w:val="ro-RO"/>
              </w:rPr>
              <w:t>501.139.400</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w w:val="103"/>
                <w:sz w:val="22"/>
                <w:szCs w:val="22"/>
                <w:lang w:val="ro-RO"/>
              </w:rPr>
              <w:t>1,28</w:t>
            </w:r>
          </w:p>
        </w:tc>
      </w:tr>
      <w:tr w:rsidR="00B4550A" w:rsidRPr="00E0488D" w:rsidTr="003C7FC8">
        <w:trPr>
          <w:trHeight w:hRule="exact" w:val="400"/>
        </w:trPr>
        <w:tc>
          <w:tcPr>
            <w:tcW w:w="1060"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7"/>
                <w:sz w:val="22"/>
                <w:szCs w:val="22"/>
                <w:lang w:val="ro-RO"/>
              </w:rPr>
              <w:t>2010</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spacing w:val="-11"/>
                <w:w w:val="107"/>
                <w:sz w:val="22"/>
                <w:szCs w:val="22"/>
                <w:lang w:val="ro-RO"/>
              </w:rPr>
              <w:t>6</w:t>
            </w:r>
            <w:r w:rsidRPr="00E0488D">
              <w:rPr>
                <w:rFonts w:eastAsia="Arial" w:cs="Arial"/>
                <w:color w:val="2F3131"/>
                <w:spacing w:val="-10"/>
                <w:w w:val="157"/>
                <w:sz w:val="22"/>
                <w:szCs w:val="22"/>
                <w:lang w:val="ro-RO"/>
              </w:rPr>
              <w:t>.</w:t>
            </w:r>
            <w:r w:rsidRPr="00E0488D">
              <w:rPr>
                <w:rFonts w:eastAsia="Arial" w:cs="Arial"/>
                <w:color w:val="161616"/>
                <w:w w:val="108"/>
                <w:sz w:val="22"/>
                <w:szCs w:val="22"/>
                <w:lang w:val="ro-RO"/>
              </w:rPr>
              <w:t>50</w:t>
            </w:r>
            <w:r w:rsidRPr="00E0488D">
              <w:rPr>
                <w:rFonts w:eastAsia="Arial" w:cs="Arial"/>
                <w:color w:val="161616"/>
                <w:spacing w:val="-13"/>
                <w:w w:val="108"/>
                <w:sz w:val="22"/>
                <w:szCs w:val="22"/>
                <w:lang w:val="ro-RO"/>
              </w:rPr>
              <w:t>2</w:t>
            </w:r>
            <w:r w:rsidRPr="00E0488D">
              <w:rPr>
                <w:rFonts w:eastAsia="Arial" w:cs="Arial"/>
                <w:color w:val="464949"/>
                <w:spacing w:val="-10"/>
                <w:w w:val="157"/>
                <w:sz w:val="22"/>
                <w:szCs w:val="22"/>
                <w:lang w:val="ro-RO"/>
              </w:rPr>
              <w:t>.</w:t>
            </w:r>
            <w:r w:rsidRPr="00E0488D">
              <w:rPr>
                <w:rFonts w:eastAsia="Arial" w:cs="Arial"/>
                <w:color w:val="161616"/>
                <w:w w:val="107"/>
                <w:sz w:val="22"/>
                <w:szCs w:val="22"/>
                <w:lang w:val="ro-RO"/>
              </w:rPr>
              <w:t>971</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8"/>
                <w:sz w:val="22"/>
                <w:szCs w:val="22"/>
                <w:lang w:val="ro-RO"/>
              </w:rPr>
              <w:t>52</w:t>
            </w:r>
            <w:r w:rsidRPr="00E0488D">
              <w:rPr>
                <w:rFonts w:eastAsia="Arial" w:cs="Arial"/>
                <w:color w:val="161616"/>
                <w:spacing w:val="-10"/>
                <w:w w:val="108"/>
                <w:sz w:val="22"/>
                <w:szCs w:val="22"/>
                <w:lang w:val="ro-RO"/>
              </w:rPr>
              <w:t>3</w:t>
            </w:r>
            <w:r w:rsidRPr="00E0488D">
              <w:rPr>
                <w:rFonts w:eastAsia="Arial" w:cs="Arial"/>
                <w:color w:val="464949"/>
                <w:spacing w:val="-17"/>
                <w:w w:val="125"/>
                <w:sz w:val="22"/>
                <w:szCs w:val="22"/>
                <w:lang w:val="ro-RO"/>
              </w:rPr>
              <w:t>.</w:t>
            </w:r>
            <w:r w:rsidRPr="00E0488D">
              <w:rPr>
                <w:rFonts w:eastAsia="Arial" w:cs="Arial"/>
                <w:color w:val="161616"/>
                <w:w w:val="109"/>
                <w:sz w:val="22"/>
                <w:szCs w:val="22"/>
                <w:lang w:val="ro-RO"/>
              </w:rPr>
              <w:t>69</w:t>
            </w:r>
            <w:r w:rsidRPr="00E0488D">
              <w:rPr>
                <w:rFonts w:eastAsia="Arial" w:cs="Arial"/>
                <w:color w:val="161616"/>
                <w:spacing w:val="-12"/>
                <w:w w:val="109"/>
                <w:sz w:val="22"/>
                <w:szCs w:val="22"/>
                <w:lang w:val="ro-RO"/>
              </w:rPr>
              <w:t>3</w:t>
            </w:r>
            <w:r w:rsidRPr="00E0488D">
              <w:rPr>
                <w:rFonts w:eastAsia="Arial" w:cs="Arial"/>
                <w:color w:val="2F3131"/>
                <w:spacing w:val="-11"/>
                <w:w w:val="125"/>
                <w:sz w:val="22"/>
                <w:szCs w:val="22"/>
                <w:lang w:val="ro-RO"/>
              </w:rPr>
              <w:t>.</w:t>
            </w:r>
            <w:r w:rsidRPr="00E0488D">
              <w:rPr>
                <w:rFonts w:eastAsia="Arial" w:cs="Arial"/>
                <w:color w:val="161616"/>
                <w:w w:val="110"/>
                <w:sz w:val="22"/>
                <w:szCs w:val="22"/>
                <w:lang w:val="ro-RO"/>
              </w:rPr>
              <w:t>300</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spacing w:val="-10"/>
                <w:w w:val="115"/>
                <w:sz w:val="22"/>
                <w:szCs w:val="22"/>
                <w:lang w:val="ro-RO"/>
              </w:rPr>
              <w:t>1</w:t>
            </w:r>
            <w:r w:rsidRPr="00E0488D">
              <w:rPr>
                <w:rFonts w:eastAsia="Arial" w:cs="Arial"/>
                <w:color w:val="2F3131"/>
                <w:spacing w:val="-2"/>
                <w:w w:val="101"/>
                <w:sz w:val="22"/>
                <w:szCs w:val="22"/>
                <w:lang w:val="ro-RO"/>
              </w:rPr>
              <w:t>,</w:t>
            </w:r>
            <w:r w:rsidRPr="00E0488D">
              <w:rPr>
                <w:rFonts w:eastAsia="Arial" w:cs="Arial"/>
                <w:w w:val="105"/>
                <w:sz w:val="22"/>
                <w:szCs w:val="22"/>
                <w:lang w:val="ro-RO"/>
              </w:rPr>
              <w:t>24</w:t>
            </w:r>
          </w:p>
        </w:tc>
      </w:tr>
      <w:tr w:rsidR="00B4550A" w:rsidRPr="00E0488D" w:rsidTr="003C7FC8">
        <w:trPr>
          <w:trHeight w:hRule="exact" w:val="403"/>
        </w:trPr>
        <w:tc>
          <w:tcPr>
            <w:tcW w:w="1060"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8"/>
                <w:sz w:val="22"/>
                <w:szCs w:val="22"/>
                <w:lang w:val="ro-RO"/>
              </w:rPr>
              <w:t>2011</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spacing w:val="-13"/>
                <w:w w:val="116"/>
                <w:sz w:val="22"/>
                <w:szCs w:val="22"/>
                <w:lang w:val="ro-RO"/>
              </w:rPr>
              <w:t>7</w:t>
            </w:r>
            <w:r w:rsidRPr="00E0488D">
              <w:rPr>
                <w:rFonts w:eastAsia="Arial" w:cs="Arial"/>
                <w:color w:val="2F3131"/>
                <w:spacing w:val="-11"/>
                <w:w w:val="125"/>
                <w:sz w:val="22"/>
                <w:szCs w:val="22"/>
                <w:lang w:val="ro-RO"/>
              </w:rPr>
              <w:t>.</w:t>
            </w:r>
            <w:r w:rsidRPr="00E0488D">
              <w:rPr>
                <w:rFonts w:eastAsia="Arial" w:cs="Arial"/>
                <w:w w:val="108"/>
                <w:sz w:val="22"/>
                <w:szCs w:val="22"/>
                <w:lang w:val="ro-RO"/>
              </w:rPr>
              <w:t>12</w:t>
            </w:r>
            <w:r w:rsidRPr="00E0488D">
              <w:rPr>
                <w:rFonts w:eastAsia="Arial" w:cs="Arial"/>
                <w:spacing w:val="-12"/>
                <w:w w:val="108"/>
                <w:sz w:val="22"/>
                <w:szCs w:val="22"/>
                <w:lang w:val="ro-RO"/>
              </w:rPr>
              <w:t>9</w:t>
            </w:r>
            <w:r w:rsidRPr="00E0488D">
              <w:rPr>
                <w:rFonts w:eastAsia="Arial" w:cs="Arial"/>
                <w:color w:val="464949"/>
                <w:spacing w:val="-10"/>
                <w:w w:val="125"/>
                <w:sz w:val="22"/>
                <w:szCs w:val="22"/>
                <w:lang w:val="ro-RO"/>
              </w:rPr>
              <w:t>.</w:t>
            </w:r>
            <w:r w:rsidRPr="00E0488D">
              <w:rPr>
                <w:rFonts w:eastAsia="Arial" w:cs="Arial"/>
                <w:color w:val="161616"/>
                <w:w w:val="110"/>
                <w:sz w:val="22"/>
                <w:szCs w:val="22"/>
                <w:lang w:val="ro-RO"/>
              </w:rPr>
              <w:t>614</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8"/>
                <w:sz w:val="22"/>
                <w:szCs w:val="22"/>
                <w:lang w:val="ro-RO"/>
              </w:rPr>
              <w:t>55</w:t>
            </w:r>
            <w:r w:rsidRPr="00E0488D">
              <w:rPr>
                <w:rFonts w:eastAsia="Arial" w:cs="Arial"/>
                <w:color w:val="161616"/>
                <w:spacing w:val="-11"/>
                <w:w w:val="108"/>
                <w:sz w:val="22"/>
                <w:szCs w:val="22"/>
                <w:lang w:val="ro-RO"/>
              </w:rPr>
              <w:t>6</w:t>
            </w:r>
            <w:r w:rsidRPr="00E0488D">
              <w:rPr>
                <w:rFonts w:eastAsia="Arial" w:cs="Arial"/>
                <w:color w:val="464949"/>
                <w:spacing w:val="-12"/>
                <w:w w:val="125"/>
                <w:sz w:val="22"/>
                <w:szCs w:val="22"/>
                <w:lang w:val="ro-RO"/>
              </w:rPr>
              <w:t>.</w:t>
            </w:r>
            <w:r w:rsidRPr="00E0488D">
              <w:rPr>
                <w:rFonts w:eastAsia="Arial" w:cs="Arial"/>
                <w:color w:val="161616"/>
                <w:w w:val="106"/>
                <w:sz w:val="22"/>
                <w:szCs w:val="22"/>
                <w:lang w:val="ro-RO"/>
              </w:rPr>
              <w:t>708.400</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w w:val="103"/>
                <w:sz w:val="22"/>
                <w:szCs w:val="22"/>
                <w:lang w:val="ro-RO"/>
              </w:rPr>
              <w:t>1,28</w:t>
            </w:r>
          </w:p>
        </w:tc>
      </w:tr>
      <w:tr w:rsidR="00B4550A" w:rsidRPr="00E0488D" w:rsidTr="003C7FC8">
        <w:trPr>
          <w:trHeight w:hRule="exact" w:val="410"/>
        </w:trPr>
        <w:tc>
          <w:tcPr>
            <w:tcW w:w="1060"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w w:val="106"/>
                <w:sz w:val="22"/>
                <w:szCs w:val="22"/>
                <w:lang w:val="ro-RO"/>
              </w:rPr>
              <w:t>2012</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color w:val="161616"/>
                <w:spacing w:val="-10"/>
                <w:w w:val="107"/>
                <w:sz w:val="22"/>
                <w:szCs w:val="22"/>
                <w:lang w:val="ro-RO"/>
              </w:rPr>
              <w:t>8</w:t>
            </w:r>
            <w:r w:rsidRPr="00E0488D">
              <w:rPr>
                <w:rFonts w:eastAsia="Arial" w:cs="Arial"/>
                <w:color w:val="2F3131"/>
                <w:spacing w:val="-10"/>
                <w:w w:val="157"/>
                <w:sz w:val="22"/>
                <w:szCs w:val="22"/>
                <w:lang w:val="ro-RO"/>
              </w:rPr>
              <w:t>.</w:t>
            </w:r>
            <w:r w:rsidRPr="00E0488D">
              <w:rPr>
                <w:rFonts w:eastAsia="Arial" w:cs="Arial"/>
                <w:w w:val="108"/>
                <w:sz w:val="22"/>
                <w:szCs w:val="22"/>
                <w:lang w:val="ro-RO"/>
              </w:rPr>
              <w:t>03</w:t>
            </w:r>
            <w:r w:rsidRPr="00E0488D">
              <w:rPr>
                <w:rFonts w:eastAsia="Arial" w:cs="Arial"/>
                <w:spacing w:val="-13"/>
                <w:w w:val="108"/>
                <w:sz w:val="22"/>
                <w:szCs w:val="22"/>
                <w:lang w:val="ro-RO"/>
              </w:rPr>
              <w:t>6</w:t>
            </w:r>
            <w:r w:rsidRPr="00E0488D">
              <w:rPr>
                <w:rFonts w:eastAsia="Arial" w:cs="Arial"/>
                <w:color w:val="2F3131"/>
                <w:spacing w:val="-4"/>
                <w:w w:val="125"/>
                <w:sz w:val="22"/>
                <w:szCs w:val="22"/>
                <w:lang w:val="ro-RO"/>
              </w:rPr>
              <w:t>.</w:t>
            </w:r>
            <w:r w:rsidRPr="00E0488D">
              <w:rPr>
                <w:rFonts w:eastAsia="Arial" w:cs="Arial"/>
                <w:w w:val="106"/>
                <w:sz w:val="22"/>
                <w:szCs w:val="22"/>
                <w:lang w:val="ro-RO"/>
              </w:rPr>
              <w:t>044</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w w:val="104"/>
                <w:sz w:val="22"/>
                <w:szCs w:val="22"/>
                <w:lang w:val="ro-RO"/>
              </w:rPr>
              <w:t>587.46</w:t>
            </w:r>
            <w:r w:rsidRPr="00E0488D">
              <w:rPr>
                <w:rFonts w:eastAsia="Arial" w:cs="Arial"/>
                <w:spacing w:val="-4"/>
                <w:w w:val="105"/>
                <w:sz w:val="22"/>
                <w:szCs w:val="22"/>
                <w:lang w:val="ro-RO"/>
              </w:rPr>
              <w:t>6</w:t>
            </w:r>
            <w:r w:rsidRPr="00E0488D">
              <w:rPr>
                <w:rFonts w:eastAsia="Arial" w:cs="Arial"/>
                <w:color w:val="2F3131"/>
                <w:spacing w:val="-11"/>
                <w:w w:val="125"/>
                <w:sz w:val="22"/>
                <w:szCs w:val="22"/>
                <w:lang w:val="ro-RO"/>
              </w:rPr>
              <w:t>.</w:t>
            </w:r>
            <w:r w:rsidRPr="00E0488D">
              <w:rPr>
                <w:rFonts w:eastAsia="Arial" w:cs="Arial"/>
                <w:w w:val="108"/>
                <w:sz w:val="22"/>
                <w:szCs w:val="22"/>
                <w:lang w:val="ro-RO"/>
              </w:rPr>
              <w:t>400</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w w:val="103"/>
                <w:sz w:val="22"/>
                <w:szCs w:val="22"/>
                <w:lang w:val="ro-RO"/>
              </w:rPr>
              <w:t>1,37</w:t>
            </w:r>
          </w:p>
        </w:tc>
      </w:tr>
      <w:tr w:rsidR="00B4550A" w:rsidRPr="00E0488D" w:rsidTr="003C7FC8">
        <w:trPr>
          <w:trHeight w:hRule="exact" w:val="410"/>
        </w:trPr>
        <w:tc>
          <w:tcPr>
            <w:tcW w:w="1060" w:type="dxa"/>
            <w:vAlign w:val="center"/>
          </w:tcPr>
          <w:p w:rsidR="00B4550A" w:rsidRPr="00E0488D" w:rsidRDefault="00B4550A" w:rsidP="003C7FC8">
            <w:pPr>
              <w:jc w:val="center"/>
              <w:rPr>
                <w:rFonts w:eastAsia="Arial" w:cs="Arial"/>
                <w:color w:val="161616"/>
                <w:w w:val="106"/>
                <w:sz w:val="22"/>
                <w:szCs w:val="22"/>
                <w:lang w:val="ro-RO"/>
              </w:rPr>
            </w:pPr>
            <w:r w:rsidRPr="00E0488D">
              <w:rPr>
                <w:rFonts w:eastAsia="Arial" w:cs="Arial"/>
                <w:color w:val="161616"/>
                <w:w w:val="106"/>
                <w:sz w:val="22"/>
                <w:szCs w:val="22"/>
                <w:lang w:val="ro-RO"/>
              </w:rPr>
              <w:t>2013</w:t>
            </w:r>
          </w:p>
        </w:tc>
        <w:tc>
          <w:tcPr>
            <w:tcW w:w="2107" w:type="dxa"/>
            <w:vAlign w:val="center"/>
          </w:tcPr>
          <w:p w:rsidR="00B4550A" w:rsidRPr="00E0488D" w:rsidRDefault="00B4550A" w:rsidP="003C7FC8">
            <w:pPr>
              <w:jc w:val="center"/>
              <w:rPr>
                <w:rFonts w:eastAsia="Arial" w:cs="Arial"/>
                <w:sz w:val="22"/>
                <w:szCs w:val="22"/>
                <w:lang w:val="ro-RO"/>
              </w:rPr>
            </w:pPr>
            <w:r w:rsidRPr="00E0488D">
              <w:rPr>
                <w:rFonts w:eastAsia="Arial" w:cs="Arial"/>
                <w:sz w:val="22"/>
                <w:szCs w:val="22"/>
                <w:lang w:val="ro-RO"/>
              </w:rPr>
              <w:t>10.562.387</w:t>
            </w:r>
          </w:p>
        </w:tc>
        <w:tc>
          <w:tcPr>
            <w:tcW w:w="1745" w:type="dxa"/>
            <w:vAlign w:val="center"/>
          </w:tcPr>
          <w:p w:rsidR="00B4550A" w:rsidRPr="00E0488D" w:rsidRDefault="00B4550A" w:rsidP="003C7FC8">
            <w:pPr>
              <w:jc w:val="center"/>
              <w:rPr>
                <w:rFonts w:eastAsia="Arial" w:cs="Arial"/>
                <w:sz w:val="22"/>
                <w:szCs w:val="22"/>
                <w:lang w:val="ro-RO"/>
              </w:rPr>
            </w:pPr>
            <w:r w:rsidRPr="00E0488D">
              <w:rPr>
                <w:rFonts w:eastAsia="Arial" w:cs="Arial"/>
                <w:sz w:val="22"/>
                <w:szCs w:val="22"/>
                <w:lang w:val="ro-RO"/>
              </w:rPr>
              <w:t>599.215.728</w:t>
            </w:r>
          </w:p>
        </w:tc>
        <w:tc>
          <w:tcPr>
            <w:tcW w:w="1672" w:type="dxa"/>
            <w:vAlign w:val="center"/>
          </w:tcPr>
          <w:p w:rsidR="00B4550A" w:rsidRPr="00E0488D" w:rsidRDefault="00B4550A" w:rsidP="003C7FC8">
            <w:pPr>
              <w:jc w:val="center"/>
              <w:rPr>
                <w:rFonts w:eastAsia="Arial" w:cs="Arial"/>
                <w:sz w:val="22"/>
                <w:szCs w:val="22"/>
                <w:lang w:val="ro-RO"/>
              </w:rPr>
            </w:pPr>
            <w:r w:rsidRPr="00E0488D">
              <w:rPr>
                <w:rFonts w:eastAsia="Arial" w:cs="Arial"/>
                <w:sz w:val="22"/>
                <w:szCs w:val="22"/>
                <w:lang w:val="ro-RO"/>
              </w:rPr>
              <w:t>1,76</w:t>
            </w:r>
          </w:p>
        </w:tc>
      </w:tr>
    </w:tbl>
    <w:p w:rsidR="00B4550A" w:rsidRPr="00E0488D" w:rsidRDefault="00B4550A" w:rsidP="00B4550A">
      <w:pPr>
        <w:ind w:left="567"/>
        <w:rPr>
          <w:i/>
          <w:lang w:val="ro-RO"/>
        </w:rPr>
      </w:pPr>
      <w:r w:rsidRPr="00E0488D">
        <w:rPr>
          <w:i/>
          <w:lang w:val="ro-RO"/>
        </w:rPr>
        <w:t>Sursa: MT</w:t>
      </w:r>
    </w:p>
    <w:p w:rsidR="00B4550A" w:rsidRPr="00E0488D" w:rsidRDefault="00B4550A" w:rsidP="002B7E09">
      <w:pPr>
        <w:pStyle w:val="NumberedParas"/>
      </w:pPr>
      <w:r w:rsidRPr="00E0488D">
        <w:t xml:space="preserve">Pe baza acestor cifre istorice și evaluării nevoii viitoare de investiții, </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2015</w:t>
      </w:r>
      <w:r w:rsidRPr="00E0488D">
        <w:rPr>
          <w:rFonts w:eastAsia="Arial"/>
          <w:sz w:val="22"/>
          <w:szCs w:val="22"/>
          <w:lang w:val="ro-RO"/>
        </w:rPr>
        <w:tab/>
      </w:r>
      <w:r w:rsidRPr="00E0488D">
        <w:rPr>
          <w:rFonts w:eastAsia="Arial"/>
          <w:sz w:val="22"/>
          <w:szCs w:val="22"/>
          <w:lang w:val="ro-RO"/>
        </w:rPr>
        <w:tab/>
        <w:t>2.15%</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2016</w:t>
      </w:r>
      <w:r w:rsidRPr="00E0488D">
        <w:rPr>
          <w:rFonts w:eastAsia="Arial"/>
          <w:sz w:val="22"/>
          <w:szCs w:val="22"/>
          <w:lang w:val="ro-RO"/>
        </w:rPr>
        <w:tab/>
      </w:r>
      <w:r w:rsidRPr="00E0488D">
        <w:rPr>
          <w:rFonts w:eastAsia="Arial"/>
          <w:sz w:val="22"/>
          <w:szCs w:val="22"/>
          <w:lang w:val="ro-RO"/>
        </w:rPr>
        <w:tab/>
        <w:t>2.35%</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2017</w:t>
      </w:r>
      <w:r w:rsidRPr="00E0488D">
        <w:rPr>
          <w:rFonts w:eastAsia="Arial"/>
          <w:sz w:val="22"/>
          <w:szCs w:val="22"/>
          <w:lang w:val="ro-RO"/>
        </w:rPr>
        <w:tab/>
      </w:r>
      <w:r w:rsidRPr="00E0488D">
        <w:rPr>
          <w:rFonts w:eastAsia="Arial"/>
          <w:sz w:val="22"/>
          <w:szCs w:val="22"/>
          <w:lang w:val="ro-RO"/>
        </w:rPr>
        <w:tab/>
        <w:t>2.00%</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2018</w:t>
      </w:r>
      <w:r w:rsidRPr="00E0488D">
        <w:rPr>
          <w:rFonts w:eastAsia="Arial"/>
          <w:sz w:val="22"/>
          <w:szCs w:val="22"/>
          <w:lang w:val="ro-RO"/>
        </w:rPr>
        <w:tab/>
      </w:r>
      <w:r w:rsidRPr="00E0488D">
        <w:rPr>
          <w:rFonts w:eastAsia="Arial"/>
          <w:sz w:val="22"/>
          <w:szCs w:val="22"/>
          <w:lang w:val="ro-RO"/>
        </w:rPr>
        <w:tab/>
        <w:t>2.00%</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2019</w:t>
      </w:r>
      <w:r w:rsidRPr="00E0488D">
        <w:rPr>
          <w:rFonts w:eastAsia="Arial"/>
          <w:sz w:val="22"/>
          <w:szCs w:val="22"/>
          <w:lang w:val="ro-RO"/>
        </w:rPr>
        <w:tab/>
      </w:r>
      <w:r w:rsidRPr="00E0488D">
        <w:rPr>
          <w:rFonts w:eastAsia="Arial"/>
          <w:sz w:val="22"/>
          <w:szCs w:val="22"/>
          <w:lang w:val="ro-RO"/>
        </w:rPr>
        <w:tab/>
        <w:t>2.00%</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2020</w:t>
      </w:r>
      <w:r w:rsidRPr="00E0488D">
        <w:rPr>
          <w:rFonts w:eastAsia="Arial"/>
          <w:sz w:val="22"/>
          <w:szCs w:val="22"/>
          <w:lang w:val="ro-RO"/>
        </w:rPr>
        <w:tab/>
      </w:r>
      <w:r w:rsidRPr="00E0488D">
        <w:rPr>
          <w:rFonts w:eastAsia="Arial"/>
          <w:sz w:val="22"/>
          <w:szCs w:val="22"/>
          <w:lang w:val="ro-RO"/>
        </w:rPr>
        <w:tab/>
        <w:t>2.00%</w:t>
      </w:r>
    </w:p>
    <w:p w:rsidR="00B4550A" w:rsidRPr="00E0488D" w:rsidRDefault="00B4550A" w:rsidP="00B4550A">
      <w:pPr>
        <w:pStyle w:val="Hdg3"/>
      </w:pPr>
      <w:r w:rsidRPr="00E0488D">
        <w:t>Scenariul de prognoză PIB</w:t>
      </w:r>
    </w:p>
    <w:p w:rsidR="00B4550A" w:rsidRPr="00E0488D" w:rsidRDefault="00B4550A" w:rsidP="002B7E09">
      <w:pPr>
        <w:pStyle w:val="NumberedParas"/>
      </w:pPr>
      <w:r w:rsidRPr="00E0488D">
        <w:t>Ipotezele scenariului de prognoză a PIB au fost:</w:t>
      </w:r>
    </w:p>
    <w:p w:rsidR="00B4550A" w:rsidRPr="00E0488D" w:rsidRDefault="00B4550A" w:rsidP="00BC2B57">
      <w:pPr>
        <w:pStyle w:val="BulletLevel1"/>
      </w:pPr>
      <w:r w:rsidRPr="00E0488D">
        <w:t>Pentru perioada 2014 – 2017 sursa a fost ultima prognoză PIB disponibilă publicată de Comisia Națională de Prognoză</w:t>
      </w:r>
      <w:r w:rsidRPr="00E0488D">
        <w:rPr>
          <w:rStyle w:val="FootnoteReference"/>
        </w:rPr>
        <w:footnoteReference w:id="41"/>
      </w:r>
      <w:r w:rsidRPr="00E0488D">
        <w:t>. Aceasta ia în considerare următoarele rate reale de creștere:</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2015</w:t>
      </w:r>
      <w:r w:rsidRPr="00E0488D">
        <w:rPr>
          <w:rFonts w:eastAsia="Arial"/>
          <w:sz w:val="22"/>
          <w:szCs w:val="22"/>
          <w:lang w:val="ro-RO"/>
        </w:rPr>
        <w:tab/>
      </w:r>
      <w:r w:rsidRPr="00E0488D">
        <w:rPr>
          <w:rFonts w:eastAsia="Arial"/>
          <w:sz w:val="22"/>
          <w:szCs w:val="22"/>
          <w:lang w:val="ro-RO"/>
        </w:rPr>
        <w:tab/>
        <w:t>2,5%</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2016</w:t>
      </w:r>
      <w:r w:rsidRPr="00E0488D">
        <w:rPr>
          <w:rFonts w:eastAsia="Arial"/>
          <w:sz w:val="22"/>
          <w:szCs w:val="22"/>
          <w:lang w:val="ro-RO"/>
        </w:rPr>
        <w:tab/>
      </w:r>
      <w:r w:rsidRPr="00E0488D">
        <w:rPr>
          <w:rFonts w:eastAsia="Arial"/>
          <w:sz w:val="22"/>
          <w:szCs w:val="22"/>
          <w:lang w:val="ro-RO"/>
        </w:rPr>
        <w:tab/>
        <w:t>3,0%</w:t>
      </w:r>
    </w:p>
    <w:p w:rsidR="00B4550A" w:rsidRPr="00E0488D" w:rsidRDefault="00B4550A" w:rsidP="00687448">
      <w:pPr>
        <w:pStyle w:val="ListParagraph"/>
        <w:numPr>
          <w:ilvl w:val="2"/>
          <w:numId w:val="18"/>
        </w:numPr>
        <w:spacing w:line="276" w:lineRule="auto"/>
        <w:rPr>
          <w:rFonts w:eastAsia="Arial"/>
          <w:sz w:val="22"/>
          <w:szCs w:val="22"/>
          <w:lang w:val="ro-RO"/>
        </w:rPr>
      </w:pPr>
      <w:r w:rsidRPr="00E0488D">
        <w:rPr>
          <w:rFonts w:eastAsia="Arial"/>
          <w:sz w:val="22"/>
          <w:szCs w:val="22"/>
          <w:lang w:val="ro-RO"/>
        </w:rPr>
        <w:t>2017</w:t>
      </w:r>
      <w:r w:rsidRPr="00E0488D">
        <w:rPr>
          <w:rFonts w:eastAsia="Arial"/>
          <w:sz w:val="22"/>
          <w:szCs w:val="22"/>
          <w:lang w:val="ro-RO"/>
        </w:rPr>
        <w:tab/>
      </w:r>
      <w:r w:rsidRPr="00E0488D">
        <w:rPr>
          <w:rFonts w:eastAsia="Arial"/>
          <w:sz w:val="22"/>
          <w:szCs w:val="22"/>
          <w:lang w:val="ro-RO"/>
        </w:rPr>
        <w:tab/>
        <w:t>3,3%</w:t>
      </w:r>
    </w:p>
    <w:p w:rsidR="00B4550A" w:rsidRPr="00E0488D" w:rsidRDefault="00B4550A" w:rsidP="00BC2B57">
      <w:pPr>
        <w:pStyle w:val="BulletLevel1"/>
      </w:pPr>
      <w:r w:rsidRPr="00E0488D">
        <w:t xml:space="preserve">După anul 2017, s-au folosit prognozele principale ale Modelului Național de Transport (o creștere reală de 3,5% p.a) </w:t>
      </w:r>
    </w:p>
    <w:p w:rsidR="00B4550A" w:rsidRPr="00E0488D" w:rsidRDefault="00B4550A" w:rsidP="002B7E09">
      <w:pPr>
        <w:pStyle w:val="NumberedParas"/>
      </w:pPr>
      <w:r w:rsidRPr="00E0488D">
        <w:t>Valoarea estimată a PIB pentru anul 2014, potrivit CNP, este de 664,4 miliarde de Lei, reprezentând o creștere reală de 2,3% față de anul 2013.</w:t>
      </w:r>
    </w:p>
    <w:p w:rsidR="00B4550A" w:rsidRPr="00E0488D" w:rsidRDefault="00B4550A" w:rsidP="00BD59B2">
      <w:pPr>
        <w:pStyle w:val="Hdg2"/>
      </w:pPr>
      <w:bookmarkStart w:id="590" w:name="_Toc413060351"/>
      <w:r w:rsidRPr="00E0488D">
        <w:t>Cheltuieli mandatate pentru lucrări de întreținere și reparații capitale</w:t>
      </w:r>
      <w:bookmarkEnd w:id="590"/>
    </w:p>
    <w:p w:rsidR="00B4550A" w:rsidRPr="00E0488D" w:rsidRDefault="00B4550A" w:rsidP="002B7E09">
      <w:pPr>
        <w:pStyle w:val="NumberedParas"/>
      </w:pPr>
      <w:r w:rsidRPr="00E0488D">
        <w:t>Așa cum am menționat în secțiunea 11.1, fondurile disponibile pentru investiții noi se vor stabili după deducerea cheltuielilor necesare pentru întreținere și reparații capitale.</w:t>
      </w:r>
    </w:p>
    <w:p w:rsidR="00B4550A" w:rsidRPr="00E0488D" w:rsidRDefault="00B4550A" w:rsidP="00BC2B57">
      <w:pPr>
        <w:pStyle w:val="BulletLevel1"/>
      </w:pPr>
      <w:r w:rsidRPr="00E0488D">
        <w:t>(</w:t>
      </w:r>
      <w:r w:rsidRPr="00E0488D">
        <w:rPr>
          <w:b/>
        </w:rPr>
        <w:t>B</w:t>
      </w:r>
      <w:r w:rsidRPr="00E0488D">
        <w:rPr>
          <w:b/>
          <w:vertAlign w:val="subscript"/>
        </w:rPr>
        <w:t>1</w:t>
      </w:r>
      <w:r w:rsidRPr="00E0488D">
        <w:t>)</w:t>
      </w:r>
      <w:r w:rsidRPr="00E0488D">
        <w:tab/>
        <w:t>Întreținerea pentru sectorul feroviar a fost stabilită potrivit analizei AECOM privind cheltuielile necesare pentru acoperirea lucrărilor de întreținere și reparații necesare rețelei feroviare care reține 55% din întreaga rețea existentă care include linii de manevră și linii secundare și 99% din numărul total de pasageri-km și tone marfă-km ai rețelei curente. Aceasta include o creștere graduală de la nivelul cheltuieilor curente de 324 mil. EUR la nivelul dorit, de 532 mil.EUR, pe o perioadă de 6 ani (a se consulta Secțiunea 6.5)..</w:t>
      </w:r>
    </w:p>
    <w:p w:rsidR="00B4550A" w:rsidRPr="00E0488D" w:rsidRDefault="00B4550A" w:rsidP="00BC2B57">
      <w:pPr>
        <w:pStyle w:val="BulletLevel1"/>
      </w:pPr>
      <w:r w:rsidRPr="00E0488D">
        <w:t>(</w:t>
      </w:r>
      <w:r w:rsidRPr="00E0488D">
        <w:rPr>
          <w:b/>
        </w:rPr>
        <w:t>B</w:t>
      </w:r>
      <w:r w:rsidRPr="00E0488D">
        <w:rPr>
          <w:b/>
          <w:vertAlign w:val="subscript"/>
        </w:rPr>
        <w:t>1</w:t>
      </w:r>
      <w:r w:rsidRPr="00E0488D">
        <w:t>)</w:t>
      </w:r>
      <w:r w:rsidRPr="00E0488D">
        <w:tab/>
        <w:t>Întreținerea pentru sectorul rutier ia în considerare o estimare a costurilor de întreținere și reparații capitale pe baza Modelului de Recuperare a Costurilor al Băncii Mondiale. Aceasta cuprinde o creștere graduală de la cheltuielile curente de 191 mil. EUR la nivelul dorit de 679 mil. EUR, pe o perioadă de 6 ani (a se consulta Secțiunea 5.6);</w:t>
      </w:r>
    </w:p>
    <w:p w:rsidR="00B4550A" w:rsidRPr="00E0488D" w:rsidRDefault="00B4550A" w:rsidP="00BC2B57">
      <w:pPr>
        <w:pStyle w:val="BulletLevel1"/>
      </w:pPr>
      <w:r w:rsidRPr="00E0488D">
        <w:t>(</w:t>
      </w:r>
      <w:r w:rsidRPr="00E0488D">
        <w:rPr>
          <w:b/>
        </w:rPr>
        <w:t>B</w:t>
      </w:r>
      <w:r w:rsidRPr="00E0488D">
        <w:rPr>
          <w:b/>
          <w:vertAlign w:val="subscript"/>
        </w:rPr>
        <w:t>1</w:t>
      </w:r>
      <w:r w:rsidRPr="00E0488D">
        <w:t>)</w:t>
      </w:r>
      <w:r w:rsidRPr="00E0488D">
        <w:tab/>
        <w:t xml:space="preserve">Pentru lucrările de întreținere pe șenalul navigabil al Dunării a fost luată în considerare o creștere semnificativă (de până la 25 de milioane de Euro pe an, potrivit evaluării nevoilor de întreținere determinate în baza analizei condițiilor existente). A se consulta secțiunea 8 pentru detalii suplimentare. </w:t>
      </w:r>
    </w:p>
    <w:p w:rsidR="00B4550A" w:rsidRPr="00E0488D" w:rsidRDefault="00B4550A" w:rsidP="00BC2B57">
      <w:pPr>
        <w:pStyle w:val="BulletLevel1"/>
      </w:pPr>
      <w:r w:rsidRPr="00E0488D">
        <w:t>(</w:t>
      </w:r>
      <w:r w:rsidRPr="00E0488D">
        <w:rPr>
          <w:b/>
        </w:rPr>
        <w:t>B</w:t>
      </w:r>
      <w:r w:rsidRPr="00E0488D">
        <w:rPr>
          <w:b/>
          <w:vertAlign w:val="subscript"/>
        </w:rPr>
        <w:t>2</w:t>
      </w:r>
      <w:r w:rsidRPr="00E0488D">
        <w:t>)</w:t>
      </w:r>
      <w:r w:rsidRPr="00E0488D">
        <w:tab/>
        <w:t>Lucrările restante de întreținere a rețelei rutiere au fost calculate în baza estimării Costurilor de Reabilitare (Ciclului de viață) elaborate de AECOM pe baza Modelului Financiar de Recuperare a Costurilor realizat de Banca Mondială și informațiilor privind stadiul curent al îmbrăcăminții rutiere, provenite de la CNADNR. S-a estimat că procesul de reabilitare/eliminare a restanțelor se va finaliza în anul 2020, luând în considerare o creștere graduală pe următoarea perioadă de 6 ani, cu costurile de reabilitare a drumurilor după 2020 incluse în reparațiile standard (a se consulta Secțiunea 5.6). Bugetul total estimat este de 4,578 miliarde de Euro pe perioada 2014 -2020, echivalând cu 654 de milioane de Euro pe an.</w:t>
      </w:r>
    </w:p>
    <w:p w:rsidR="00B4550A" w:rsidRPr="00E0488D" w:rsidRDefault="00B4550A" w:rsidP="00BC2B57">
      <w:pPr>
        <w:pStyle w:val="BulletLevel1"/>
      </w:pPr>
      <w:r w:rsidRPr="00E0488D">
        <w:t>Lucrările restante de reabilitare a rețelei feroviare vor fi  tratate ca parte a procesului din cadrul Master Planului de identificare și prioritizare a intervențiilor. A se consulta Secțiunea 6.5 pentru detalii suplimentare.</w:t>
      </w:r>
    </w:p>
    <w:p w:rsidR="00B4550A" w:rsidRPr="00E0488D" w:rsidRDefault="00B4550A" w:rsidP="00BD59B2">
      <w:pPr>
        <w:pStyle w:val="Hdg2"/>
      </w:pPr>
      <w:bookmarkStart w:id="591" w:name="_Toc413060352"/>
      <w:r w:rsidRPr="00E0488D">
        <w:t>Bugetul disponibil pentru investiții</w:t>
      </w:r>
      <w:bookmarkEnd w:id="591"/>
    </w:p>
    <w:p w:rsidR="00B4550A" w:rsidRPr="00E0488D" w:rsidRDefault="00B4550A" w:rsidP="002B7E09">
      <w:pPr>
        <w:pStyle w:val="NumberedParas"/>
      </w:pPr>
      <w:r w:rsidRPr="00E0488D">
        <w:t>În baza metodologiei descrise în secțiunea 11.1 și a bugetelor asumate exprimate în secțiunea 11.2, bugetul total disponibil pentru investiții în sectorul transporturilor este estimat pentru orizonturile de timp 2020 și 2030.</w:t>
      </w:r>
    </w:p>
    <w:p w:rsidR="00B4550A" w:rsidRPr="00E0488D" w:rsidRDefault="00B4550A" w:rsidP="002B7E09">
      <w:pPr>
        <w:pStyle w:val="NumberedParas"/>
      </w:pPr>
      <w:r w:rsidRPr="00E0488D">
        <w:t>În urma consultărilor cu MT a fost asumată o distribuție a fondurilor pe moduri de transport, potrivit prevederilor Programului Operațional pentru Transport 2014 – 2020. Aceasta a fost extrapolată apoi la perioada 2021-2030. Distribuția asumată pe moduri și investițiile specifice pentru anul 2020 sunt:</w:t>
      </w:r>
    </w:p>
    <w:p w:rsidR="00B4550A" w:rsidRPr="00E0488D" w:rsidRDefault="00B4550A" w:rsidP="00BC2B57">
      <w:pPr>
        <w:pStyle w:val="BulletLevel1"/>
      </w:pPr>
      <w:r w:rsidRPr="00E0488D">
        <w:t>51% - transport rutier</w:t>
      </w:r>
    </w:p>
    <w:p w:rsidR="00B4550A" w:rsidRPr="00E0488D" w:rsidRDefault="00B4550A" w:rsidP="00687448">
      <w:pPr>
        <w:pStyle w:val="ListParagraph"/>
        <w:numPr>
          <w:ilvl w:val="1"/>
          <w:numId w:val="18"/>
        </w:numPr>
        <w:ind w:left="1931"/>
        <w:rPr>
          <w:rFonts w:eastAsia="Arial"/>
          <w:sz w:val="22"/>
          <w:szCs w:val="22"/>
          <w:lang w:val="ro-RO"/>
        </w:rPr>
      </w:pPr>
      <w:r w:rsidRPr="00E0488D">
        <w:rPr>
          <w:rFonts w:eastAsia="Arial"/>
          <w:sz w:val="22"/>
          <w:szCs w:val="22"/>
          <w:lang w:val="ro-RO"/>
        </w:rPr>
        <w:t xml:space="preserve">90% - construirea de noi autostrăzi și drumuri expres </w:t>
      </w:r>
    </w:p>
    <w:p w:rsidR="00B4550A" w:rsidRPr="00E0488D" w:rsidRDefault="00B4550A" w:rsidP="00687448">
      <w:pPr>
        <w:pStyle w:val="ListParagraph"/>
        <w:numPr>
          <w:ilvl w:val="1"/>
          <w:numId w:val="18"/>
        </w:numPr>
        <w:ind w:left="1931"/>
        <w:rPr>
          <w:rFonts w:eastAsia="Arial"/>
          <w:sz w:val="22"/>
          <w:szCs w:val="22"/>
          <w:lang w:val="ro-RO"/>
        </w:rPr>
      </w:pPr>
      <w:r w:rsidRPr="00E0488D">
        <w:rPr>
          <w:rFonts w:eastAsia="Arial"/>
          <w:sz w:val="22"/>
          <w:szCs w:val="22"/>
          <w:lang w:val="ro-RO"/>
        </w:rPr>
        <w:t>2% - intervenții pentru creșterea siguranței</w:t>
      </w:r>
    </w:p>
    <w:p w:rsidR="00B4550A" w:rsidRPr="00E0488D" w:rsidRDefault="00B4550A" w:rsidP="00687448">
      <w:pPr>
        <w:pStyle w:val="ListParagraph"/>
        <w:numPr>
          <w:ilvl w:val="1"/>
          <w:numId w:val="18"/>
        </w:numPr>
        <w:ind w:left="1931"/>
        <w:rPr>
          <w:rFonts w:eastAsia="Arial"/>
          <w:sz w:val="22"/>
          <w:szCs w:val="22"/>
          <w:lang w:val="ro-RO"/>
        </w:rPr>
      </w:pPr>
      <w:r w:rsidRPr="00E0488D">
        <w:rPr>
          <w:rFonts w:eastAsia="Arial"/>
          <w:sz w:val="22"/>
          <w:szCs w:val="22"/>
          <w:lang w:val="ro-RO"/>
        </w:rPr>
        <w:t>3% - construirea de rute ocolitoare</w:t>
      </w:r>
    </w:p>
    <w:p w:rsidR="00B4550A" w:rsidRPr="00E0488D" w:rsidRDefault="00B4550A" w:rsidP="00687448">
      <w:pPr>
        <w:pStyle w:val="ListParagraph"/>
        <w:numPr>
          <w:ilvl w:val="1"/>
          <w:numId w:val="18"/>
        </w:numPr>
        <w:ind w:left="1931"/>
        <w:rPr>
          <w:rFonts w:eastAsia="Arial"/>
          <w:sz w:val="22"/>
          <w:szCs w:val="22"/>
          <w:lang w:val="ro-RO"/>
        </w:rPr>
      </w:pPr>
      <w:r w:rsidRPr="00E0488D">
        <w:rPr>
          <w:rFonts w:eastAsia="Arial"/>
          <w:sz w:val="22"/>
          <w:szCs w:val="22"/>
          <w:lang w:val="ro-RO"/>
        </w:rPr>
        <w:t>5% - modernizarea drumurilor naționale</w:t>
      </w:r>
    </w:p>
    <w:p w:rsidR="00B4550A" w:rsidRPr="00E0488D" w:rsidRDefault="00B4550A" w:rsidP="00BC2B57">
      <w:pPr>
        <w:pStyle w:val="BulletLevel1"/>
      </w:pPr>
      <w:r w:rsidRPr="00E0488D">
        <w:t>44% - transport feroviar</w:t>
      </w:r>
    </w:p>
    <w:p w:rsidR="00B4550A" w:rsidRPr="00E0488D" w:rsidRDefault="00B4550A" w:rsidP="00BC2B57">
      <w:pPr>
        <w:pStyle w:val="BulletLevel1"/>
      </w:pPr>
      <w:r w:rsidRPr="00E0488D">
        <w:t xml:space="preserve">5% - investiții în porturi, căi navigabile interne, transport aerian și intermodal, din care: </w:t>
      </w:r>
    </w:p>
    <w:p w:rsidR="00B4550A" w:rsidRPr="00E0488D" w:rsidRDefault="00B4550A" w:rsidP="00687448">
      <w:pPr>
        <w:pStyle w:val="ListParagraph"/>
        <w:numPr>
          <w:ilvl w:val="0"/>
          <w:numId w:val="17"/>
        </w:numPr>
        <w:rPr>
          <w:rFonts w:eastAsia="Arial"/>
          <w:sz w:val="22"/>
          <w:szCs w:val="22"/>
          <w:lang w:val="ro-RO"/>
        </w:rPr>
      </w:pPr>
      <w:r w:rsidRPr="00E0488D">
        <w:rPr>
          <w:rFonts w:eastAsia="Arial"/>
          <w:sz w:val="22"/>
          <w:szCs w:val="22"/>
          <w:lang w:val="ro-RO"/>
        </w:rPr>
        <w:t>66% - porturi și căi navigabile interne</w:t>
      </w:r>
    </w:p>
    <w:p w:rsidR="00B4550A" w:rsidRPr="00E0488D" w:rsidRDefault="00B4550A" w:rsidP="00687448">
      <w:pPr>
        <w:pStyle w:val="ListParagraph"/>
        <w:numPr>
          <w:ilvl w:val="0"/>
          <w:numId w:val="17"/>
        </w:numPr>
        <w:rPr>
          <w:rFonts w:eastAsia="Arial"/>
          <w:sz w:val="22"/>
          <w:szCs w:val="22"/>
          <w:lang w:val="ro-RO"/>
        </w:rPr>
      </w:pPr>
      <w:r w:rsidRPr="00E0488D">
        <w:rPr>
          <w:rFonts w:eastAsia="Arial"/>
          <w:sz w:val="22"/>
          <w:szCs w:val="22"/>
          <w:lang w:val="ro-RO"/>
        </w:rPr>
        <w:t>21% - transport aerian</w:t>
      </w:r>
    </w:p>
    <w:p w:rsidR="00B4550A" w:rsidRPr="00E0488D" w:rsidRDefault="00B4550A" w:rsidP="00687448">
      <w:pPr>
        <w:pStyle w:val="ListParagraph"/>
        <w:numPr>
          <w:ilvl w:val="0"/>
          <w:numId w:val="17"/>
        </w:numPr>
        <w:rPr>
          <w:sz w:val="22"/>
          <w:szCs w:val="22"/>
          <w:lang w:val="ro-RO"/>
        </w:rPr>
      </w:pPr>
      <w:r w:rsidRPr="00E0488D">
        <w:rPr>
          <w:rFonts w:eastAsia="Arial"/>
          <w:sz w:val="22"/>
          <w:szCs w:val="22"/>
          <w:lang w:val="ro-RO"/>
        </w:rPr>
        <w:t>13% - transport intermodal</w:t>
      </w:r>
    </w:p>
    <w:p w:rsidR="00B4550A" w:rsidRPr="00E0488D" w:rsidRDefault="00B4550A" w:rsidP="002B7E09">
      <w:pPr>
        <w:pStyle w:val="NumberedParas"/>
      </w:pPr>
      <w:r w:rsidRPr="00E0488D">
        <w:t xml:space="preserve">Cele mai importante valori ale planului financiar sunt prezentate în Tabelul 9.3 și ilustrate în Figura 9.1. </w:t>
      </w:r>
    </w:p>
    <w:p w:rsidR="00B4550A" w:rsidRPr="00E0488D" w:rsidRDefault="00B4550A" w:rsidP="00B4550A">
      <w:pPr>
        <w:rPr>
          <w:rFonts w:cs="Arial"/>
          <w:b/>
          <w:sz w:val="22"/>
          <w:lang w:val="ro-RO"/>
        </w:rPr>
      </w:pPr>
    </w:p>
    <w:p w:rsidR="00B4550A" w:rsidRPr="00E0488D" w:rsidRDefault="00B4550A" w:rsidP="00B4550A">
      <w:pPr>
        <w:rPr>
          <w:rFonts w:cs="Arial"/>
          <w:b/>
          <w:sz w:val="22"/>
          <w:lang w:val="ro-RO"/>
        </w:rPr>
        <w:sectPr w:rsidR="00B4550A" w:rsidRPr="00E0488D" w:rsidSect="00933C17">
          <w:headerReference w:type="default" r:id="rId337"/>
          <w:pgSz w:w="11907" w:h="16840" w:code="9"/>
          <w:pgMar w:top="1418" w:right="709" w:bottom="1418" w:left="907" w:header="357" w:footer="567" w:gutter="0"/>
          <w:cols w:space="187"/>
          <w:docGrid w:linePitch="360"/>
        </w:sectPr>
      </w:pPr>
    </w:p>
    <w:p w:rsidR="00B4550A" w:rsidRPr="00E0488D" w:rsidRDefault="00B4550A" w:rsidP="00B4550A">
      <w:pPr>
        <w:spacing w:before="120" w:after="120" w:line="276" w:lineRule="auto"/>
        <w:rPr>
          <w:rFonts w:cs="Arial"/>
          <w:b/>
          <w:sz w:val="22"/>
          <w:lang w:val="ro-RO"/>
        </w:rPr>
      </w:pPr>
      <w:r w:rsidRPr="00E0488D">
        <w:rPr>
          <w:rFonts w:cs="Arial"/>
          <w:b/>
          <w:sz w:val="22"/>
          <w:lang w:val="ro-RO"/>
        </w:rPr>
        <w:t>Tabelul 9.3 Distribuția alocărilor financiare pentru transport în perioadele 2014-2020 și 2021-2030 (milioane euro, prețuri fixe 2014)</w:t>
      </w:r>
    </w:p>
    <w:tbl>
      <w:tblPr>
        <w:tblW w:w="5000" w:type="pct"/>
        <w:tblLook w:val="04A0" w:firstRow="1" w:lastRow="0" w:firstColumn="1" w:lastColumn="0" w:noHBand="0" w:noVBand="1"/>
      </w:tblPr>
      <w:tblGrid>
        <w:gridCol w:w="5460"/>
        <w:gridCol w:w="970"/>
        <w:gridCol w:w="1382"/>
        <w:gridCol w:w="279"/>
        <w:gridCol w:w="978"/>
        <w:gridCol w:w="882"/>
        <w:gridCol w:w="279"/>
        <w:gridCol w:w="978"/>
        <w:gridCol w:w="882"/>
        <w:gridCol w:w="279"/>
        <w:gridCol w:w="978"/>
        <w:gridCol w:w="873"/>
      </w:tblGrid>
      <w:tr w:rsidR="00B4550A" w:rsidRPr="00E0488D" w:rsidTr="003C7FC8">
        <w:trPr>
          <w:trHeight w:hRule="exact" w:val="397"/>
        </w:trPr>
        <w:tc>
          <w:tcPr>
            <w:tcW w:w="1920"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1"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486"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654"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2014-2020</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654"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2021-2030</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651"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B4550A" w:rsidRPr="00E0488D" w:rsidRDefault="00B4550A" w:rsidP="003C7FC8">
            <w:pPr>
              <w:jc w:val="center"/>
              <w:rPr>
                <w:rFonts w:cs="Arial"/>
                <w:b/>
                <w:bCs/>
                <w:sz w:val="22"/>
                <w:szCs w:val="22"/>
                <w:lang w:val="ro-RO"/>
              </w:rPr>
            </w:pPr>
            <w:r w:rsidRPr="00E0488D">
              <w:rPr>
                <w:rFonts w:cs="Arial"/>
                <w:b/>
                <w:bCs/>
                <w:sz w:val="22"/>
                <w:szCs w:val="22"/>
                <w:lang w:val="ro-RO"/>
              </w:rPr>
              <w:t>2014-2030</w:t>
            </w:r>
          </w:p>
        </w:tc>
      </w:tr>
      <w:tr w:rsidR="00B4550A" w:rsidRPr="00E0488D" w:rsidTr="003C7FC8">
        <w:trPr>
          <w:trHeight w:hRule="exact" w:val="397"/>
        </w:trPr>
        <w:tc>
          <w:tcPr>
            <w:tcW w:w="1920" w:type="pct"/>
            <w:tcBorders>
              <w:top w:val="single" w:sz="8" w:space="0" w:color="auto"/>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2% din PIB disponibil pentru sectorul de transport</w:t>
            </w:r>
          </w:p>
        </w:tc>
        <w:tc>
          <w:tcPr>
            <w:tcW w:w="341" w:type="pct"/>
            <w:tcBorders>
              <w:top w:val="single" w:sz="8" w:space="0" w:color="auto"/>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A</w:t>
            </w:r>
          </w:p>
        </w:tc>
        <w:tc>
          <w:tcPr>
            <w:tcW w:w="486" w:type="pct"/>
            <w:tcBorders>
              <w:top w:val="single" w:sz="8" w:space="0" w:color="auto"/>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22,599</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43,216</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65,815</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Intreținere și reparații capitale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B1</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7,260</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32.1%</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20,650</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47.8%</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27,910</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42.4%</w:t>
            </w:r>
          </w:p>
        </w:tc>
      </w:tr>
      <w:tr w:rsidR="00B4550A" w:rsidRPr="00E0488D" w:rsidTr="003C7FC8">
        <w:trPr>
          <w:trHeight w:hRule="exact" w:val="450"/>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Reabilitarea rețelei rutiere viabile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B2</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4,578</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20.3%</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0.0%</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4,578</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7.0%</w:t>
            </w:r>
          </w:p>
        </w:tc>
      </w:tr>
      <w:tr w:rsidR="00B4550A" w:rsidRPr="00E0488D" w:rsidTr="003C7FC8">
        <w:trPr>
          <w:trHeight w:hRule="exact" w:val="612"/>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Fonduri publice disponibile pentru investiții, inclusiv contribuția EU și cea națională, din care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C</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=A-B1-B2</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10,761</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47.6%</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22,566</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52.2%</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33,327</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50.6%</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Contribuția UE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C1</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6,332</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9,046</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15,378</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Contribuția națională</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C2</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1,922</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2,746</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4,669</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r>
      <w:tr w:rsidR="00B4550A" w:rsidRPr="00E0488D" w:rsidTr="003C7FC8">
        <w:trPr>
          <w:trHeight w:hRule="exact" w:val="57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Indicator de sustenabilitate/Fonduri naționale nete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D</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=C-C1-C2</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2,507</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10,774</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13,281</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Proiecte fazate și Metroul București</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E</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3,441</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3,200</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6,641</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r>
      <w:tr w:rsidR="00B4550A" w:rsidRPr="00E0488D" w:rsidTr="003C7FC8">
        <w:trPr>
          <w:trHeight w:hRule="exact" w:val="545"/>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Disponibil pentru proiecte MPGT (total inclusiv fonduri UE și naționale)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F</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=C-E</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7,320</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32.4%</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19,366</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44.8%</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26,686</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40.5%</w:t>
            </w:r>
          </w:p>
        </w:tc>
      </w:tr>
      <w:tr w:rsidR="00B4550A" w:rsidRPr="00E0488D" w:rsidTr="003C7FC8">
        <w:trPr>
          <w:trHeight w:hRule="exact" w:val="397"/>
        </w:trPr>
        <w:tc>
          <w:tcPr>
            <w:tcW w:w="1920" w:type="pct"/>
            <w:tcBorders>
              <w:top w:val="nil"/>
              <w:left w:val="single" w:sz="8" w:space="0" w:color="auto"/>
              <w:bottom w:val="single" w:sz="8"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 xml:space="preserve">+ 30% Overcommitment </w:t>
            </w:r>
          </w:p>
        </w:tc>
        <w:tc>
          <w:tcPr>
            <w:tcW w:w="341" w:type="pct"/>
            <w:tcBorders>
              <w:top w:val="nil"/>
              <w:left w:val="nil"/>
              <w:bottom w:val="single" w:sz="8"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G</w:t>
            </w:r>
          </w:p>
        </w:tc>
        <w:tc>
          <w:tcPr>
            <w:tcW w:w="486" w:type="pct"/>
            <w:tcBorders>
              <w:top w:val="nil"/>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=F*1.3</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9,516</w:t>
            </w:r>
          </w:p>
        </w:tc>
        <w:tc>
          <w:tcPr>
            <w:tcW w:w="310" w:type="pct"/>
            <w:tcBorders>
              <w:top w:val="nil"/>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25,176</w:t>
            </w:r>
          </w:p>
        </w:tc>
        <w:tc>
          <w:tcPr>
            <w:tcW w:w="310" w:type="pct"/>
            <w:tcBorders>
              <w:top w:val="nil"/>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34,692</w:t>
            </w:r>
          </w:p>
        </w:tc>
        <w:tc>
          <w:tcPr>
            <w:tcW w:w="307" w:type="pct"/>
            <w:tcBorders>
              <w:top w:val="nil"/>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r>
      <w:tr w:rsidR="00B4550A" w:rsidRPr="00E0488D" w:rsidTr="003C7FC8">
        <w:trPr>
          <w:trHeight w:hRule="exact" w:val="397"/>
        </w:trPr>
        <w:tc>
          <w:tcPr>
            <w:tcW w:w="1920" w:type="pct"/>
            <w:tcBorders>
              <w:top w:val="nil"/>
              <w:left w:val="nil"/>
              <w:bottom w:val="nil"/>
              <w:right w:val="nil"/>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 </w:t>
            </w:r>
          </w:p>
        </w:tc>
        <w:tc>
          <w:tcPr>
            <w:tcW w:w="341" w:type="pct"/>
            <w:tcBorders>
              <w:top w:val="nil"/>
              <w:left w:val="nil"/>
              <w:bottom w:val="nil"/>
              <w:right w:val="nil"/>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nil"/>
              <w:right w:val="nil"/>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nil"/>
              <w:bottom w:val="nil"/>
              <w:right w:val="nil"/>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310" w:type="pct"/>
            <w:tcBorders>
              <w:top w:val="nil"/>
              <w:left w:val="nil"/>
              <w:bottom w:val="nil"/>
              <w:right w:val="nil"/>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nil"/>
              <w:bottom w:val="nil"/>
              <w:right w:val="nil"/>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310" w:type="pct"/>
            <w:tcBorders>
              <w:top w:val="nil"/>
              <w:left w:val="nil"/>
              <w:bottom w:val="nil"/>
              <w:right w:val="nil"/>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nil"/>
              <w:bottom w:val="nil"/>
              <w:right w:val="nil"/>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307" w:type="pct"/>
            <w:tcBorders>
              <w:top w:val="nil"/>
              <w:left w:val="nil"/>
              <w:bottom w:val="nil"/>
              <w:right w:val="nil"/>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 </w:t>
            </w:r>
          </w:p>
        </w:tc>
      </w:tr>
      <w:tr w:rsidR="00B4550A" w:rsidRPr="00E0488D" w:rsidTr="003C7FC8">
        <w:trPr>
          <w:trHeight w:hRule="exact" w:val="397"/>
        </w:trPr>
        <w:tc>
          <w:tcPr>
            <w:tcW w:w="1920" w:type="pct"/>
            <w:tcBorders>
              <w:top w:val="single" w:sz="8" w:space="0" w:color="auto"/>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Drumuri</w:t>
            </w:r>
          </w:p>
        </w:tc>
        <w:tc>
          <w:tcPr>
            <w:tcW w:w="341" w:type="pct"/>
            <w:tcBorders>
              <w:top w:val="single" w:sz="8" w:space="0" w:color="auto"/>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single" w:sz="8" w:space="0" w:color="auto"/>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4,853</w:t>
            </w:r>
          </w:p>
        </w:tc>
        <w:tc>
          <w:tcPr>
            <w:tcW w:w="310" w:type="pct"/>
            <w:tcBorders>
              <w:top w:val="single" w:sz="8" w:space="0" w:color="auto"/>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51%</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12,840</w:t>
            </w:r>
          </w:p>
        </w:tc>
        <w:tc>
          <w:tcPr>
            <w:tcW w:w="310" w:type="pct"/>
            <w:tcBorders>
              <w:top w:val="single" w:sz="8" w:space="0" w:color="auto"/>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51%</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17,693</w:t>
            </w:r>
          </w:p>
        </w:tc>
        <w:tc>
          <w:tcPr>
            <w:tcW w:w="307" w:type="pct"/>
            <w:tcBorders>
              <w:top w:val="single" w:sz="8" w:space="0" w:color="auto"/>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51%</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auto" w:fill="auto"/>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Construcția de autostrăzi și drumuri expres</w:t>
            </w:r>
          </w:p>
        </w:tc>
        <w:tc>
          <w:tcPr>
            <w:tcW w:w="341" w:type="pct"/>
            <w:tcBorders>
              <w:top w:val="nil"/>
              <w:left w:val="nil"/>
              <w:bottom w:val="single" w:sz="4" w:space="0" w:color="auto"/>
              <w:right w:val="single" w:sz="4"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auto" w:fill="auto"/>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auto" w:fill="auto"/>
            <w:noWrap/>
            <w:vAlign w:val="center"/>
            <w:hideMark/>
          </w:tcPr>
          <w:p w:rsidR="00B4550A" w:rsidRPr="00E0488D" w:rsidRDefault="00B4550A" w:rsidP="003C7FC8">
            <w:pPr>
              <w:rPr>
                <w:rFonts w:cs="Arial"/>
                <w:color w:val="000000"/>
                <w:sz w:val="22"/>
                <w:szCs w:val="22"/>
                <w:lang w:val="ro-RO"/>
              </w:rPr>
            </w:pPr>
          </w:p>
        </w:tc>
        <w:tc>
          <w:tcPr>
            <w:tcW w:w="344" w:type="pct"/>
            <w:tcBorders>
              <w:top w:val="nil"/>
              <w:left w:val="single" w:sz="8" w:space="0" w:color="auto"/>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4,368</w:t>
            </w:r>
          </w:p>
        </w:tc>
        <w:tc>
          <w:tcPr>
            <w:tcW w:w="310"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90%</w:t>
            </w:r>
          </w:p>
        </w:tc>
        <w:tc>
          <w:tcPr>
            <w:tcW w:w="98" w:type="pct"/>
            <w:tcBorders>
              <w:top w:val="nil"/>
              <w:left w:val="nil"/>
              <w:bottom w:val="nil"/>
              <w:right w:val="nil"/>
            </w:tcBorders>
            <w:shd w:val="clear" w:color="auto" w:fill="auto"/>
            <w:noWrap/>
            <w:vAlign w:val="center"/>
            <w:hideMark/>
          </w:tcPr>
          <w:p w:rsidR="00B4550A" w:rsidRPr="00E0488D" w:rsidRDefault="00B4550A" w:rsidP="003C7FC8">
            <w:pPr>
              <w:rPr>
                <w:rFonts w:cs="Arial"/>
                <w:color w:val="000000"/>
                <w:sz w:val="22"/>
                <w:szCs w:val="22"/>
                <w:lang w:val="ro-RO"/>
              </w:rPr>
            </w:pPr>
          </w:p>
        </w:tc>
        <w:tc>
          <w:tcPr>
            <w:tcW w:w="344" w:type="pct"/>
            <w:tcBorders>
              <w:top w:val="nil"/>
              <w:left w:val="single" w:sz="8" w:space="0" w:color="auto"/>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11,556</w:t>
            </w:r>
          </w:p>
        </w:tc>
        <w:tc>
          <w:tcPr>
            <w:tcW w:w="310"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90%</w:t>
            </w:r>
          </w:p>
        </w:tc>
        <w:tc>
          <w:tcPr>
            <w:tcW w:w="98" w:type="pct"/>
            <w:tcBorders>
              <w:top w:val="nil"/>
              <w:left w:val="nil"/>
              <w:bottom w:val="nil"/>
              <w:right w:val="nil"/>
            </w:tcBorders>
            <w:shd w:val="clear" w:color="auto" w:fill="auto"/>
            <w:noWrap/>
            <w:vAlign w:val="center"/>
            <w:hideMark/>
          </w:tcPr>
          <w:p w:rsidR="00B4550A" w:rsidRPr="00E0488D" w:rsidRDefault="00B4550A" w:rsidP="003C7FC8">
            <w:pPr>
              <w:rPr>
                <w:rFonts w:cs="Arial"/>
                <w:color w:val="000000"/>
                <w:sz w:val="22"/>
                <w:szCs w:val="22"/>
                <w:lang w:val="ro-RO"/>
              </w:rPr>
            </w:pP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15,924</w:t>
            </w:r>
          </w:p>
        </w:tc>
        <w:tc>
          <w:tcPr>
            <w:tcW w:w="307"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90%</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Măsuri de siguranță</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100</w:t>
            </w:r>
          </w:p>
        </w:tc>
        <w:tc>
          <w:tcPr>
            <w:tcW w:w="310"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50</w:t>
            </w:r>
          </w:p>
        </w:tc>
        <w:tc>
          <w:tcPr>
            <w:tcW w:w="310"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0%</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150</w:t>
            </w:r>
          </w:p>
        </w:tc>
        <w:tc>
          <w:tcPr>
            <w:tcW w:w="307"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Construcția de variante de ocolire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130</w:t>
            </w:r>
          </w:p>
        </w:tc>
        <w:tc>
          <w:tcPr>
            <w:tcW w:w="310"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834</w:t>
            </w:r>
          </w:p>
        </w:tc>
        <w:tc>
          <w:tcPr>
            <w:tcW w:w="310"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964</w:t>
            </w:r>
          </w:p>
        </w:tc>
        <w:tc>
          <w:tcPr>
            <w:tcW w:w="307" w:type="pct"/>
            <w:tcBorders>
              <w:top w:val="nil"/>
              <w:left w:val="nil"/>
              <w:bottom w:val="single" w:sz="4"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Modernizarea drumurilor naționale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255</w:t>
            </w:r>
          </w:p>
        </w:tc>
        <w:tc>
          <w:tcPr>
            <w:tcW w:w="310" w:type="pct"/>
            <w:tcBorders>
              <w:top w:val="nil"/>
              <w:left w:val="nil"/>
              <w:bottom w:val="single" w:sz="8" w:space="0" w:color="auto"/>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5%</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nil"/>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400</w:t>
            </w:r>
          </w:p>
        </w:tc>
        <w:tc>
          <w:tcPr>
            <w:tcW w:w="310" w:type="pct"/>
            <w:tcBorders>
              <w:top w:val="nil"/>
              <w:left w:val="nil"/>
              <w:bottom w:val="nil"/>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3%</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nil"/>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655</w:t>
            </w:r>
          </w:p>
        </w:tc>
        <w:tc>
          <w:tcPr>
            <w:tcW w:w="307" w:type="pct"/>
            <w:tcBorders>
              <w:top w:val="nil"/>
              <w:left w:val="nil"/>
              <w:bottom w:val="nil"/>
              <w:right w:val="single" w:sz="8" w:space="0" w:color="auto"/>
            </w:tcBorders>
            <w:shd w:val="clear" w:color="auto" w:fill="auto"/>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4%</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Calea ferată</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nil"/>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4,187</w:t>
            </w:r>
          </w:p>
        </w:tc>
        <w:tc>
          <w:tcPr>
            <w:tcW w:w="310" w:type="pct"/>
            <w:tcBorders>
              <w:top w:val="nil"/>
              <w:left w:val="nil"/>
              <w:bottom w:val="nil"/>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44%</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11,077</w:t>
            </w:r>
          </w:p>
        </w:tc>
        <w:tc>
          <w:tcPr>
            <w:tcW w:w="310" w:type="pct"/>
            <w:tcBorders>
              <w:top w:val="single" w:sz="8" w:space="0" w:color="auto"/>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44%</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15,265</w:t>
            </w:r>
          </w:p>
        </w:tc>
        <w:tc>
          <w:tcPr>
            <w:tcW w:w="307" w:type="pct"/>
            <w:tcBorders>
              <w:top w:val="single" w:sz="8" w:space="0" w:color="auto"/>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44%</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rPr>
                <w:rFonts w:cs="Arial"/>
                <w:b/>
                <w:bCs/>
                <w:color w:val="000000"/>
                <w:sz w:val="22"/>
                <w:szCs w:val="22"/>
                <w:lang w:val="ro-RO"/>
              </w:rPr>
            </w:pPr>
            <w:r w:rsidRPr="00E0488D">
              <w:rPr>
                <w:rFonts w:cs="Arial"/>
                <w:b/>
                <w:bCs/>
                <w:color w:val="000000"/>
                <w:sz w:val="22"/>
                <w:szCs w:val="22"/>
                <w:lang w:val="ro-RO"/>
              </w:rPr>
              <w:t>Cai navigabile, aviație, terminale intermodale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476</w:t>
            </w:r>
          </w:p>
        </w:tc>
        <w:tc>
          <w:tcPr>
            <w:tcW w:w="310" w:type="pct"/>
            <w:tcBorders>
              <w:top w:val="single" w:sz="8" w:space="0" w:color="auto"/>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5%</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1,259</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5%</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1,735</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b/>
                <w:bCs/>
                <w:i/>
                <w:iCs/>
                <w:color w:val="000000"/>
                <w:sz w:val="22"/>
                <w:szCs w:val="22"/>
                <w:lang w:val="ro-RO"/>
              </w:rPr>
            </w:pPr>
            <w:r w:rsidRPr="00E0488D">
              <w:rPr>
                <w:rFonts w:cs="Arial"/>
                <w:b/>
                <w:bCs/>
                <w:i/>
                <w:iCs/>
                <w:color w:val="000000"/>
                <w:sz w:val="22"/>
                <w:szCs w:val="22"/>
                <w:lang w:val="ro-RO"/>
              </w:rPr>
              <w:t>5%</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Porturi, căi navigabile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324</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68%</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832</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66%</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1,156</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67%</w:t>
            </w:r>
          </w:p>
        </w:tc>
      </w:tr>
      <w:tr w:rsidR="00B4550A" w:rsidRPr="00E0488D" w:rsidTr="003C7FC8">
        <w:trPr>
          <w:trHeight w:hRule="exact" w:val="397"/>
        </w:trPr>
        <w:tc>
          <w:tcPr>
            <w:tcW w:w="1920" w:type="pct"/>
            <w:tcBorders>
              <w:top w:val="nil"/>
              <w:left w:val="single" w:sz="8" w:space="0" w:color="auto"/>
              <w:bottom w:val="single" w:sz="4" w:space="0" w:color="auto"/>
              <w:right w:val="single" w:sz="4" w:space="0" w:color="auto"/>
            </w:tcBorders>
            <w:shd w:val="clear" w:color="000000" w:fill="FFFFFF"/>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Aviație</w:t>
            </w:r>
          </w:p>
        </w:tc>
        <w:tc>
          <w:tcPr>
            <w:tcW w:w="341" w:type="pct"/>
            <w:tcBorders>
              <w:top w:val="nil"/>
              <w:left w:val="nil"/>
              <w:bottom w:val="single" w:sz="4"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4"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89</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19%</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357</w:t>
            </w:r>
          </w:p>
        </w:tc>
        <w:tc>
          <w:tcPr>
            <w:tcW w:w="310"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28%</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4"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446</w:t>
            </w:r>
          </w:p>
        </w:tc>
        <w:tc>
          <w:tcPr>
            <w:tcW w:w="307" w:type="pct"/>
            <w:tcBorders>
              <w:top w:val="nil"/>
              <w:left w:val="nil"/>
              <w:bottom w:val="single" w:sz="4"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26%</w:t>
            </w:r>
          </w:p>
        </w:tc>
      </w:tr>
      <w:tr w:rsidR="00B4550A" w:rsidRPr="00E0488D" w:rsidTr="003C7FC8">
        <w:trPr>
          <w:trHeight w:hRule="exact" w:val="397"/>
        </w:trPr>
        <w:tc>
          <w:tcPr>
            <w:tcW w:w="1920" w:type="pct"/>
            <w:tcBorders>
              <w:top w:val="nil"/>
              <w:left w:val="single" w:sz="8" w:space="0" w:color="auto"/>
              <w:bottom w:val="single" w:sz="8" w:space="0" w:color="auto"/>
              <w:right w:val="single" w:sz="4" w:space="0" w:color="auto"/>
            </w:tcBorders>
            <w:shd w:val="clear" w:color="000000" w:fill="FFFFFF"/>
            <w:vAlign w:val="center"/>
            <w:hideMark/>
          </w:tcPr>
          <w:p w:rsidR="00B4550A" w:rsidRPr="00E0488D" w:rsidRDefault="00B4550A" w:rsidP="003C7FC8">
            <w:pPr>
              <w:jc w:val="right"/>
              <w:rPr>
                <w:rFonts w:cs="Arial"/>
                <w:color w:val="000000"/>
                <w:sz w:val="22"/>
                <w:szCs w:val="22"/>
                <w:lang w:val="ro-RO"/>
              </w:rPr>
            </w:pPr>
            <w:r w:rsidRPr="00E0488D">
              <w:rPr>
                <w:rFonts w:cs="Arial"/>
                <w:color w:val="000000"/>
                <w:sz w:val="22"/>
                <w:szCs w:val="22"/>
                <w:lang w:val="ro-RO"/>
              </w:rPr>
              <w:t>Terminale intermodale</w:t>
            </w:r>
          </w:p>
        </w:tc>
        <w:tc>
          <w:tcPr>
            <w:tcW w:w="341" w:type="pct"/>
            <w:tcBorders>
              <w:top w:val="nil"/>
              <w:left w:val="nil"/>
              <w:bottom w:val="single" w:sz="8" w:space="0" w:color="auto"/>
              <w:right w:val="single" w:sz="4"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486" w:type="pct"/>
            <w:tcBorders>
              <w:top w:val="nil"/>
              <w:left w:val="nil"/>
              <w:bottom w:val="single" w:sz="8" w:space="0" w:color="auto"/>
              <w:right w:val="single" w:sz="8" w:space="0" w:color="auto"/>
            </w:tcBorders>
            <w:shd w:val="clear" w:color="000000" w:fill="FFFFFF"/>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 </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63</w:t>
            </w:r>
          </w:p>
        </w:tc>
        <w:tc>
          <w:tcPr>
            <w:tcW w:w="310" w:type="pct"/>
            <w:tcBorders>
              <w:top w:val="nil"/>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13%</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70</w:t>
            </w:r>
          </w:p>
        </w:tc>
        <w:tc>
          <w:tcPr>
            <w:tcW w:w="310" w:type="pct"/>
            <w:tcBorders>
              <w:top w:val="nil"/>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6%</w:t>
            </w:r>
          </w:p>
        </w:tc>
        <w:tc>
          <w:tcPr>
            <w:tcW w:w="98" w:type="pct"/>
            <w:tcBorders>
              <w:top w:val="nil"/>
              <w:left w:val="nil"/>
              <w:bottom w:val="nil"/>
              <w:right w:val="nil"/>
            </w:tcBorders>
            <w:shd w:val="clear" w:color="000000" w:fill="FFFFFF"/>
            <w:noWrap/>
            <w:vAlign w:val="center"/>
            <w:hideMark/>
          </w:tcPr>
          <w:p w:rsidR="00B4550A" w:rsidRPr="00E0488D" w:rsidRDefault="00B4550A" w:rsidP="003C7FC8">
            <w:pPr>
              <w:rPr>
                <w:rFonts w:cs="Arial"/>
                <w:color w:val="000000"/>
                <w:sz w:val="22"/>
                <w:szCs w:val="22"/>
                <w:lang w:val="ro-RO"/>
              </w:rPr>
            </w:pPr>
            <w:r w:rsidRPr="00E0488D">
              <w:rPr>
                <w:rFonts w:cs="Arial"/>
                <w:color w:val="000000"/>
                <w:sz w:val="22"/>
                <w:szCs w:val="22"/>
                <w:lang w:val="ro-RO"/>
              </w:rPr>
              <w:t> </w:t>
            </w:r>
          </w:p>
        </w:tc>
        <w:tc>
          <w:tcPr>
            <w:tcW w:w="344" w:type="pct"/>
            <w:tcBorders>
              <w:top w:val="nil"/>
              <w:left w:val="single" w:sz="8" w:space="0" w:color="auto"/>
              <w:bottom w:val="single" w:sz="8" w:space="0" w:color="auto"/>
              <w:right w:val="single" w:sz="4" w:space="0" w:color="auto"/>
            </w:tcBorders>
            <w:shd w:val="clear" w:color="000000" w:fill="FFFFFF"/>
            <w:noWrap/>
            <w:vAlign w:val="center"/>
            <w:hideMark/>
          </w:tcPr>
          <w:p w:rsidR="00B4550A" w:rsidRPr="00E0488D" w:rsidRDefault="00B4550A" w:rsidP="003C7FC8">
            <w:pPr>
              <w:jc w:val="center"/>
              <w:rPr>
                <w:rFonts w:cs="Arial"/>
                <w:b/>
                <w:bCs/>
                <w:color w:val="000000"/>
                <w:sz w:val="22"/>
                <w:szCs w:val="22"/>
                <w:lang w:val="ro-RO"/>
              </w:rPr>
            </w:pPr>
            <w:r w:rsidRPr="00E0488D">
              <w:rPr>
                <w:rFonts w:cs="Arial"/>
                <w:b/>
                <w:bCs/>
                <w:color w:val="000000"/>
                <w:sz w:val="22"/>
                <w:szCs w:val="22"/>
                <w:lang w:val="ro-RO"/>
              </w:rPr>
              <w:t>133</w:t>
            </w:r>
          </w:p>
        </w:tc>
        <w:tc>
          <w:tcPr>
            <w:tcW w:w="307" w:type="pct"/>
            <w:tcBorders>
              <w:top w:val="nil"/>
              <w:left w:val="nil"/>
              <w:bottom w:val="single" w:sz="8" w:space="0" w:color="auto"/>
              <w:right w:val="single" w:sz="8" w:space="0" w:color="auto"/>
            </w:tcBorders>
            <w:shd w:val="clear" w:color="000000" w:fill="FFFFFF"/>
            <w:noWrap/>
            <w:vAlign w:val="center"/>
            <w:hideMark/>
          </w:tcPr>
          <w:p w:rsidR="00B4550A" w:rsidRPr="00E0488D" w:rsidRDefault="00B4550A" w:rsidP="003C7FC8">
            <w:pPr>
              <w:jc w:val="center"/>
              <w:rPr>
                <w:rFonts w:cs="Arial"/>
                <w:color w:val="000000"/>
                <w:sz w:val="22"/>
                <w:szCs w:val="22"/>
                <w:lang w:val="ro-RO"/>
              </w:rPr>
            </w:pPr>
            <w:r w:rsidRPr="00E0488D">
              <w:rPr>
                <w:rFonts w:cs="Arial"/>
                <w:color w:val="000000"/>
                <w:sz w:val="22"/>
                <w:szCs w:val="22"/>
                <w:lang w:val="ro-RO"/>
              </w:rPr>
              <w:t>8%</w:t>
            </w:r>
          </w:p>
        </w:tc>
      </w:tr>
    </w:tbl>
    <w:p w:rsidR="00B4550A" w:rsidRPr="00E0488D" w:rsidRDefault="00B4550A" w:rsidP="00B4550A">
      <w:pPr>
        <w:rPr>
          <w:i/>
          <w:lang w:val="ro-RO"/>
        </w:rPr>
      </w:pPr>
      <w:r w:rsidRPr="00E0488D">
        <w:rPr>
          <w:i/>
          <w:lang w:val="ro-RO"/>
        </w:rPr>
        <w:t>Sursa: MPGT Plan Financiar, AECOM</w:t>
      </w:r>
    </w:p>
    <w:p w:rsidR="00B4550A" w:rsidRPr="00E0488D" w:rsidRDefault="00B4550A" w:rsidP="00B4550A">
      <w:pPr>
        <w:rPr>
          <w:rFonts w:cs="Arial"/>
          <w:b/>
          <w:sz w:val="22"/>
          <w:lang w:val="ro-RO"/>
        </w:rPr>
        <w:sectPr w:rsidR="00B4550A" w:rsidRPr="00E0488D" w:rsidSect="00F923DC">
          <w:pgSz w:w="16840" w:h="11907" w:orient="landscape" w:code="9"/>
          <w:pgMar w:top="907" w:right="1418" w:bottom="709" w:left="1418" w:header="357" w:footer="567" w:gutter="0"/>
          <w:cols w:space="187"/>
          <w:docGrid w:linePitch="360"/>
        </w:sectPr>
      </w:pPr>
    </w:p>
    <w:p w:rsidR="00B4550A" w:rsidRPr="00E0488D" w:rsidRDefault="00B4550A" w:rsidP="00B4550A">
      <w:pPr>
        <w:spacing w:before="120" w:after="120" w:line="276" w:lineRule="auto"/>
        <w:jc w:val="both"/>
        <w:rPr>
          <w:rFonts w:cs="Arial"/>
          <w:b/>
          <w:sz w:val="22"/>
          <w:lang w:val="ro-RO"/>
        </w:rPr>
      </w:pPr>
      <w:r w:rsidRPr="00E0488D">
        <w:rPr>
          <w:rFonts w:cs="Arial"/>
          <w:b/>
          <w:sz w:val="22"/>
          <w:lang w:val="ro-RO"/>
        </w:rPr>
        <w:t>Figura 9.1. Distribuția fondurilor pe categorii de cheltuieli și moduri de transport (miliarde euro, prețuri fixe 2014)</w:t>
      </w:r>
    </w:p>
    <w:p w:rsidR="00B4550A" w:rsidRPr="00E0488D" w:rsidRDefault="00B4550A" w:rsidP="00B4550A">
      <w:pPr>
        <w:rPr>
          <w:lang w:val="ro-RO"/>
        </w:rPr>
      </w:pPr>
      <w:r w:rsidRPr="00E0488D">
        <w:rPr>
          <w:noProof/>
          <w:lang w:val="ro-RO" w:eastAsia="ro-RO"/>
        </w:rPr>
        <w:drawing>
          <wp:inline distT="0" distB="0" distL="0" distR="0">
            <wp:extent cx="6428509" cy="3186546"/>
            <wp:effectExtent l="0" t="0" r="10795" b="13970"/>
            <wp:docPr id="861" name="Chart 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rsidR="00B4550A" w:rsidRPr="00E0488D" w:rsidRDefault="00B4550A" w:rsidP="00B4550A">
      <w:pPr>
        <w:rPr>
          <w:i/>
          <w:lang w:val="ro-RO"/>
        </w:rPr>
      </w:pPr>
      <w:r w:rsidRPr="00E0488D">
        <w:rPr>
          <w:i/>
          <w:lang w:val="ro-RO"/>
        </w:rPr>
        <w:t>Sursa: MPGT Plan Financiar, AECOM</w:t>
      </w:r>
    </w:p>
    <w:p w:rsidR="00B4550A" w:rsidRPr="00E0488D" w:rsidRDefault="00B4550A" w:rsidP="00B4550A">
      <w:pPr>
        <w:rPr>
          <w:lang w:val="ro-RO"/>
        </w:rPr>
      </w:pPr>
    </w:p>
    <w:p w:rsidR="00B4550A" w:rsidRPr="00E0488D" w:rsidRDefault="00B4550A" w:rsidP="002B7E09">
      <w:pPr>
        <w:pStyle w:val="NumberedParas"/>
      </w:pPr>
      <w:r w:rsidRPr="00E0488D">
        <w:t>Câteva concluzii cheie sunt prezentate mai jos:</w:t>
      </w:r>
    </w:p>
    <w:p w:rsidR="00B4550A" w:rsidRPr="00E0488D" w:rsidRDefault="00B4550A" w:rsidP="00BC2B57">
      <w:pPr>
        <w:pStyle w:val="BulletLevel1"/>
      </w:pPr>
      <w:r w:rsidRPr="00E0488D">
        <w:t>În perioada 2014-2030, cheltuielile asumate pentru întreținere și lucrări de reabilitare restante se ridică la peste 50% din bugetul total disponibil. Aceasta ar necesita un angajament ferm din partea Guvernului României de a asigura resursele financiare necesare pentru acoperirea lor. Acesta reprezintă un factor critic în dezvoltarea unui sector de transport durabil.</w:t>
      </w:r>
    </w:p>
    <w:p w:rsidR="00B4550A" w:rsidRPr="00E0488D" w:rsidRDefault="00B4550A" w:rsidP="00BC2B57">
      <w:pPr>
        <w:pStyle w:val="BulletLevel1"/>
      </w:pPr>
      <w:r w:rsidRPr="00E0488D">
        <w:t>Procentul de 2% din PIB reprezintă o creștere semnificativă față de tendința istorică de 1.15% pentru perioada 2007-2013 (Tabelul 9.2).</w:t>
      </w:r>
    </w:p>
    <w:p w:rsidR="00B4550A" w:rsidRPr="00E0488D" w:rsidRDefault="00B4550A" w:rsidP="00BC2B57">
      <w:pPr>
        <w:pStyle w:val="BulletLevel1"/>
      </w:pPr>
      <w:r w:rsidRPr="00E0488D">
        <w:t>Există o creștere semnificativă a bugetului mediu anual disponibil, de la 1,046 miliarde Euro (2014-2020) la 1,937 miliarde de Euro (2021-2030), datorată creșterii  PIB în termeni reali.</w:t>
      </w:r>
    </w:p>
    <w:p w:rsidR="00B4550A" w:rsidRPr="00E0488D" w:rsidRDefault="00B4550A" w:rsidP="00BC2B57">
      <w:pPr>
        <w:pStyle w:val="BulletLevel1"/>
      </w:pPr>
      <w:r w:rsidRPr="00E0488D">
        <w:t>După 2020 lucrările restante de reabilitare sunt incluse în costurile de întreținere.</w:t>
      </w:r>
    </w:p>
    <w:p w:rsidR="00B4550A" w:rsidRPr="00E0488D" w:rsidRDefault="00B4550A" w:rsidP="002B7E09">
      <w:pPr>
        <w:pStyle w:val="NumberedParas"/>
      </w:pPr>
      <w:r w:rsidRPr="00E0488D">
        <w:t>Alocările financiare pe sectoare sunt apoi utilizate în devoltarea Planului de Investiții piroritizate discutate în secțiunea 12.</w:t>
      </w: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339"/>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340"/>
          <w:footerReference w:type="default" r:id="rId341"/>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t xml:space="preserve">Strategia </w:t>
      </w:r>
      <w:r w:rsidR="002B762C">
        <w:t>generală</w:t>
      </w:r>
      <w:r w:rsidRPr="00E0488D">
        <w:t xml:space="preserve"> </w:t>
      </w:r>
      <w:r w:rsidRPr="00E0488D">
        <w:br/>
        <w:t xml:space="preserve">pentru </w:t>
      </w:r>
      <w:r w:rsidR="002B762C">
        <w:t xml:space="preserve">anii </w:t>
      </w:r>
      <w:r w:rsidRPr="00E0488D">
        <w:t>2020 și 2030</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ind w:left="851" w:hanging="851"/>
      </w:pPr>
      <w:bookmarkStart w:id="592" w:name="_Toc413060353"/>
      <w:r w:rsidRPr="00E0488D">
        <w:t xml:space="preserve">Strategia </w:t>
      </w:r>
      <w:r w:rsidR="002B762C">
        <w:t>generală</w:t>
      </w:r>
      <w:r w:rsidRPr="00E0488D">
        <w:t xml:space="preserve"> pentru </w:t>
      </w:r>
      <w:r w:rsidR="002B762C">
        <w:t xml:space="preserve">anii </w:t>
      </w:r>
      <w:r w:rsidRPr="00E0488D">
        <w:t>2020 și 2030</w:t>
      </w:r>
      <w:bookmarkEnd w:id="592"/>
    </w:p>
    <w:p w:rsidR="00B4550A" w:rsidRPr="00E0488D" w:rsidRDefault="00B4550A" w:rsidP="00BD59B2">
      <w:pPr>
        <w:pStyle w:val="Hdg2"/>
      </w:pPr>
      <w:bookmarkStart w:id="593" w:name="_Toc413060354"/>
      <w:r w:rsidRPr="00E0488D">
        <w:t>Introducere</w:t>
      </w:r>
      <w:bookmarkEnd w:id="593"/>
    </w:p>
    <w:p w:rsidR="002B762C" w:rsidRPr="00BF454A" w:rsidRDefault="002B762C" w:rsidP="002B7E09">
      <w:pPr>
        <w:pStyle w:val="NumberedParas"/>
      </w:pPr>
      <w:r w:rsidRPr="00BF454A">
        <w:t xml:space="preserve">Master Planul General de Transport (MPGT) reprezintă o oportunitate unică pentru România. Pentru prima dată România va avea un plan comprehensiv și bine fundamentat pentru toate modurile principale de transport, pentru perioada  </w:t>
      </w:r>
      <w:r>
        <w:t xml:space="preserve">2014 - </w:t>
      </w:r>
      <w:r w:rsidRPr="00BF454A">
        <w:t xml:space="preserve">2030. Acesta oferă un program etapizat de intervenții care includ nu doar propuneri de </w:t>
      </w:r>
      <w:r>
        <w:t>î</w:t>
      </w:r>
      <w:r w:rsidRPr="00BF454A">
        <w:t xml:space="preserve">mbunătățire a infrastructurii de transport, dar și </w:t>
      </w:r>
      <w:r>
        <w:t xml:space="preserve">propuneri </w:t>
      </w:r>
      <w:r w:rsidRPr="00BF454A">
        <w:t>legate de întreținere, management și operațiuni precum și de siguranță.</w:t>
      </w:r>
    </w:p>
    <w:p w:rsidR="002B762C" w:rsidRPr="00BF454A" w:rsidRDefault="002B762C" w:rsidP="002B7E09">
      <w:pPr>
        <w:pStyle w:val="NumberedParas"/>
      </w:pPr>
      <w:r w:rsidRPr="00BF454A">
        <w:t>Master Planul oferă, de asemenea, justificarea proiectelor ce vor fi incluse în Programul Operațional Infrastructură Mare (Transport) 2014-2020 precum și pentru proiectele incluse în Facilitatea Conectarea Europei (CEF). Va oferi baza și pentru proiectele ce vor fi implementate după anul 2020, deși natura precisă a programelor de finanțare după momentul 2020 nu este încă definită.</w:t>
      </w:r>
    </w:p>
    <w:p w:rsidR="002B762C" w:rsidRPr="00BF454A" w:rsidRDefault="002B762C" w:rsidP="002B7E09">
      <w:pPr>
        <w:pStyle w:val="NumberedParas"/>
      </w:pPr>
      <w:r w:rsidRPr="00BF454A">
        <w:t>Master Planul nu va reuși să-și îndeplinească obiectivele dacă nu va exista o susținere generală a programului său pe termen mediu și lung. Acest lucru se aplică nu doar organizațiilor care sunt responsabile de implementarea proiectelor ci și Guvernelor care se succed precum și Ministerelor cheie, cum ar fi Transport, Fonduri Europene sau Finanțe. Investițiile majore în infrastructura de transport se derulează pe intervale mari de timp, de 6-10 ani, incluzând planificarea acestora precum și execuția propriu-zisă și au o durată de viață economică de 30-50 ani, prin urmare un angajament politic și instituțional pe termen lung este esențial.</w:t>
      </w:r>
    </w:p>
    <w:p w:rsidR="002B762C" w:rsidRPr="00BF454A" w:rsidRDefault="002B762C" w:rsidP="002B7E09">
      <w:pPr>
        <w:pStyle w:val="NumberedParas"/>
      </w:pPr>
      <w:r w:rsidRPr="00BF454A">
        <w:t xml:space="preserve">Furnizarea unui transport de bună calitate nu reprezintă un scop în sine. Un transport eficient este o componentă critică a dezvoltării economice, atât la nivel național cât și la nivel global. Disponibilitatea sistemului de transport afectează tiparele de dezvoltare și poate fi o piedică sau un factor de influență a dezvoltării economice a fiecărei națiuni. Investițiile în transporturi inter-conectează factorii de producție într-o rețea </w:t>
      </w:r>
      <w:r>
        <w:t>creată între</w:t>
      </w:r>
      <w:r w:rsidRPr="00BF454A">
        <w:t xml:space="preserve"> producători și consumatori, cu </w:t>
      </w:r>
      <w:r>
        <w:t>scopul de a crea o specializare</w:t>
      </w:r>
      <w:r w:rsidRPr="00BF454A">
        <w:t xml:space="preserve"> mai eficientă a producției, de a elimina disparitățile economice la nivel regional și de a furniza mijloace de dezvoltare a economiei.</w:t>
      </w:r>
    </w:p>
    <w:p w:rsidR="002B762C" w:rsidRPr="00BF454A" w:rsidRDefault="002B762C" w:rsidP="002B7E09">
      <w:pPr>
        <w:pStyle w:val="NumberedParas"/>
      </w:pPr>
      <w:r w:rsidRPr="00BF454A">
        <w:t>Metodologia generală de elaborare a Master Planului este ilustrată în Figura 1</w:t>
      </w:r>
      <w:r>
        <w:t>0</w:t>
      </w:r>
      <w:r w:rsidRPr="00BF454A">
        <w:t>.1. Procesul include trei elemente principale:</w:t>
      </w:r>
    </w:p>
    <w:p w:rsidR="002B762C" w:rsidRPr="00BF454A" w:rsidRDefault="002B762C" w:rsidP="00573AD5">
      <w:pPr>
        <w:pStyle w:val="BulletLevel1"/>
        <w:numPr>
          <w:ilvl w:val="1"/>
          <w:numId w:val="65"/>
        </w:numPr>
        <w:spacing w:after="60"/>
        <w:ind w:left="1208" w:hanging="357"/>
      </w:pPr>
      <w:r w:rsidRPr="00BF454A">
        <w:t xml:space="preserve">un element de </w:t>
      </w:r>
      <w:r w:rsidRPr="00BF454A">
        <w:rPr>
          <w:b/>
        </w:rPr>
        <w:t>Politici de Transport</w:t>
      </w:r>
      <w:r w:rsidRPr="00BF454A">
        <w:t xml:space="preserve"> care determină obiectivele generale, fondurile disponibile pentru implementarea Master Planului, Evaluarea Strategică de Mediu (ESM) și care include și consultările publice;</w:t>
      </w:r>
    </w:p>
    <w:p w:rsidR="002B762C" w:rsidRPr="00BF454A" w:rsidRDefault="002B762C" w:rsidP="00573AD5">
      <w:pPr>
        <w:pStyle w:val="BulletLevel1"/>
        <w:numPr>
          <w:ilvl w:val="1"/>
          <w:numId w:val="65"/>
        </w:numPr>
        <w:spacing w:after="60"/>
        <w:ind w:left="1208" w:hanging="357"/>
      </w:pPr>
      <w:r w:rsidRPr="00BF454A">
        <w:rPr>
          <w:b/>
        </w:rPr>
        <w:t>Procesul de Evaluare</w:t>
      </w:r>
      <w:r w:rsidRPr="00BF454A">
        <w:t>, care determină care dintre proiecte sunt selectate, testate și criteriile de includere a acestora în cadrul Master Planului și Strategiei de Implementare; și</w:t>
      </w:r>
    </w:p>
    <w:p w:rsidR="002B762C" w:rsidRPr="00BF454A" w:rsidRDefault="002B762C" w:rsidP="00573AD5">
      <w:pPr>
        <w:pStyle w:val="BulletLevel1"/>
        <w:numPr>
          <w:ilvl w:val="1"/>
          <w:numId w:val="65"/>
        </w:numPr>
        <w:spacing w:after="60"/>
        <w:ind w:left="1208" w:hanging="357"/>
      </w:pPr>
      <w:r w:rsidRPr="00BF454A">
        <w:rPr>
          <w:b/>
        </w:rPr>
        <w:t>Instrumentele Analitice</w:t>
      </w:r>
      <w:r w:rsidRPr="00BF454A">
        <w:t xml:space="preserve"> pentru testarea și cuantificarea impacturilor proiectelor. Cele mai importante sunt Modelul Național de Transport (MNT) și Instrumentul de calcul Analiză Cost-Beneficiu (ACB tool).</w:t>
      </w:r>
    </w:p>
    <w:p w:rsidR="002B762C" w:rsidRPr="00BF454A" w:rsidRDefault="002B762C" w:rsidP="002B7E09">
      <w:pPr>
        <w:pStyle w:val="NumberedParas"/>
      </w:pPr>
      <w:r w:rsidRPr="00BF454A">
        <w:t>La diferite stadii ale proiectului au fost elaborate diverse Rapoarte tehnice de specialitate, care descriu în detaliu întregul proces. Acestea sunt ilustrate în următoarea figură</w:t>
      </w:r>
      <w:r>
        <w:t xml:space="preserve"> 10.1</w:t>
      </w:r>
      <w:r w:rsidRPr="00BF454A">
        <w:t>.</w:t>
      </w:r>
    </w:p>
    <w:p w:rsidR="002B762C" w:rsidRPr="00BF454A" w:rsidRDefault="002B762C" w:rsidP="002B7E09">
      <w:pPr>
        <w:pStyle w:val="NumberedParas"/>
        <w:numPr>
          <w:ilvl w:val="0"/>
          <w:numId w:val="0"/>
        </w:numPr>
      </w:pPr>
    </w:p>
    <w:p w:rsidR="002B762C" w:rsidRPr="00BF454A" w:rsidRDefault="002B762C" w:rsidP="002B762C">
      <w:pPr>
        <w:rPr>
          <w:lang w:val="ro-RO"/>
        </w:rPr>
      </w:pPr>
      <w:r w:rsidRPr="00BF454A">
        <w:rPr>
          <w:lang w:val="ro-RO"/>
        </w:rPr>
        <w:br w:type="page"/>
      </w:r>
    </w:p>
    <w:p w:rsidR="002B762C" w:rsidRPr="00BF454A" w:rsidRDefault="002B762C" w:rsidP="002B762C">
      <w:pPr>
        <w:rPr>
          <w:b/>
          <w:sz w:val="22"/>
          <w:szCs w:val="22"/>
          <w:lang w:val="ro-RO"/>
        </w:rPr>
      </w:pPr>
      <w:r w:rsidRPr="00BF454A">
        <w:rPr>
          <w:b/>
          <w:sz w:val="22"/>
          <w:szCs w:val="22"/>
          <w:lang w:val="ro-RO"/>
        </w:rPr>
        <w:t>Figura 1</w:t>
      </w:r>
      <w:r>
        <w:rPr>
          <w:b/>
          <w:sz w:val="22"/>
          <w:szCs w:val="22"/>
          <w:lang w:val="ro-RO"/>
        </w:rPr>
        <w:t>0</w:t>
      </w:r>
      <w:r w:rsidRPr="00BF454A">
        <w:rPr>
          <w:b/>
          <w:sz w:val="22"/>
          <w:szCs w:val="22"/>
          <w:lang w:val="ro-RO"/>
        </w:rPr>
        <w:t>.1  Procesul de elaborare a Master Planului</w:t>
      </w:r>
    </w:p>
    <w:p w:rsidR="002B762C" w:rsidRPr="00BF454A" w:rsidRDefault="002B762C" w:rsidP="002B762C">
      <w:pPr>
        <w:rPr>
          <w:sz w:val="22"/>
          <w:szCs w:val="22"/>
          <w:lang w:val="ro-RO"/>
        </w:rPr>
      </w:pPr>
    </w:p>
    <w:p w:rsidR="002B762C" w:rsidRPr="00BF454A" w:rsidRDefault="002B762C" w:rsidP="002B762C">
      <w:pPr>
        <w:rPr>
          <w:sz w:val="22"/>
          <w:szCs w:val="22"/>
          <w:lang w:val="ro-RO"/>
        </w:rPr>
      </w:pPr>
      <w:r w:rsidRPr="00BF454A">
        <w:rPr>
          <w:noProof/>
          <w:sz w:val="22"/>
          <w:szCs w:val="22"/>
          <w:lang w:val="ro-RO" w:eastAsia="ro-RO"/>
        </w:rPr>
        <w:drawing>
          <wp:inline distT="0" distB="0" distL="0" distR="0">
            <wp:extent cx="6019800" cy="455420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6011409" cy="4547856"/>
                    </a:xfrm>
                    <a:prstGeom prst="rect">
                      <a:avLst/>
                    </a:prstGeom>
                    <a:noFill/>
                    <a:ln>
                      <a:noFill/>
                    </a:ln>
                  </pic:spPr>
                </pic:pic>
              </a:graphicData>
            </a:graphic>
          </wp:inline>
        </w:drawing>
      </w:r>
    </w:p>
    <w:p w:rsidR="002B762C" w:rsidRPr="00BF454A" w:rsidRDefault="002B762C" w:rsidP="002B762C">
      <w:pPr>
        <w:rPr>
          <w:sz w:val="22"/>
          <w:szCs w:val="22"/>
          <w:lang w:val="ro-RO"/>
        </w:rPr>
      </w:pPr>
      <w:r w:rsidRPr="00BF454A">
        <w:rPr>
          <w:noProof/>
          <w:sz w:val="22"/>
          <w:szCs w:val="22"/>
          <w:lang w:val="ro-RO" w:eastAsia="ro-RO"/>
        </w:rPr>
        <w:drawing>
          <wp:inline distT="0" distB="0" distL="0" distR="0">
            <wp:extent cx="6134100" cy="37723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139942" cy="3775939"/>
                    </a:xfrm>
                    <a:prstGeom prst="rect">
                      <a:avLst/>
                    </a:prstGeom>
                    <a:noFill/>
                    <a:ln>
                      <a:noFill/>
                    </a:ln>
                  </pic:spPr>
                </pic:pic>
              </a:graphicData>
            </a:graphic>
          </wp:inline>
        </w:drawing>
      </w:r>
    </w:p>
    <w:p w:rsidR="002B762C" w:rsidRDefault="002B762C" w:rsidP="002B762C">
      <w:pPr>
        <w:rPr>
          <w:sz w:val="22"/>
          <w:szCs w:val="22"/>
          <w:lang w:val="ro-RO"/>
        </w:rPr>
      </w:pPr>
      <w:r>
        <w:rPr>
          <w:sz w:val="22"/>
          <w:szCs w:val="22"/>
          <w:lang w:val="ro-RO"/>
        </w:rPr>
        <w:br w:type="page"/>
      </w:r>
    </w:p>
    <w:p w:rsidR="002B762C" w:rsidRPr="00BF454A" w:rsidRDefault="002B762C" w:rsidP="002B762C">
      <w:pPr>
        <w:pStyle w:val="Hdg2"/>
        <w:tabs>
          <w:tab w:val="clear" w:pos="2280"/>
          <w:tab w:val="num" w:pos="1288"/>
        </w:tabs>
      </w:pPr>
      <w:bookmarkStart w:id="594" w:name="_Toc411956597"/>
      <w:bookmarkStart w:id="595" w:name="_Toc413060355"/>
      <w:r w:rsidRPr="00BF454A">
        <w:t>Situația existentă</w:t>
      </w:r>
      <w:bookmarkEnd w:id="594"/>
      <w:bookmarkEnd w:id="595"/>
    </w:p>
    <w:p w:rsidR="002B762C" w:rsidRPr="00BF454A" w:rsidRDefault="002B762C" w:rsidP="002B7E09">
      <w:pPr>
        <w:pStyle w:val="NumberedParas"/>
      </w:pPr>
      <w:r w:rsidRPr="00BF454A">
        <w:t>Planul a implicat o investigare detaliată a condițiilor existente, a problemelor și a cauzelor lor fundamentale. Au rezultat patru teme comune tuturor modurilor de transport:</w:t>
      </w:r>
    </w:p>
    <w:p w:rsidR="002B762C" w:rsidRPr="00BF454A" w:rsidRDefault="002B762C" w:rsidP="00573AD5">
      <w:pPr>
        <w:pStyle w:val="BulletLevel1"/>
        <w:numPr>
          <w:ilvl w:val="1"/>
          <w:numId w:val="65"/>
        </w:numPr>
        <w:spacing w:after="60"/>
        <w:ind w:left="1208" w:hanging="357"/>
      </w:pPr>
      <w:r w:rsidRPr="00BF454A">
        <w:t xml:space="preserve">Romania are un </w:t>
      </w:r>
      <w:r w:rsidRPr="00BF454A">
        <w:rPr>
          <w:b/>
        </w:rPr>
        <w:t xml:space="preserve">deficit </w:t>
      </w:r>
      <w:r w:rsidRPr="004A64D9">
        <w:rPr>
          <w:b/>
        </w:rPr>
        <w:t>semnificativ de infrastructură</w:t>
      </w:r>
      <w:r w:rsidRPr="00BF454A">
        <w:t>, în ceea ce privește calitatea sa: în general, gradul de acoperire a rețelelor de transport este satisfăcător.</w:t>
      </w:r>
    </w:p>
    <w:p w:rsidR="002B762C" w:rsidRPr="00BF454A" w:rsidRDefault="002B762C" w:rsidP="00573AD5">
      <w:pPr>
        <w:pStyle w:val="BulletLevel1"/>
        <w:numPr>
          <w:ilvl w:val="1"/>
          <w:numId w:val="65"/>
        </w:numPr>
        <w:spacing w:after="60"/>
        <w:ind w:left="1208" w:hanging="357"/>
      </w:pPr>
      <w:r w:rsidRPr="00BF454A">
        <w:rPr>
          <w:b/>
        </w:rPr>
        <w:t>Regim inade</w:t>
      </w:r>
      <w:r>
        <w:rPr>
          <w:b/>
        </w:rPr>
        <w:t>c</w:t>
      </w:r>
      <w:r w:rsidRPr="00BF454A">
        <w:rPr>
          <w:b/>
        </w:rPr>
        <w:t>vat de întreținere și reparații capitale</w:t>
      </w:r>
      <w:r w:rsidRPr="00BF454A">
        <w:t>, în special în ceea ce privește rețeaua feroviară, ceea ce a condus la declinul nivelul de servicii și a fiabilității, contribuind, în special, la reducerea volumelor de pasageri și, într-o măsură mai mică, la reducerea volumelor de marfă.</w:t>
      </w:r>
    </w:p>
    <w:p w:rsidR="002B762C" w:rsidRPr="00BF454A" w:rsidRDefault="002B762C" w:rsidP="00573AD5">
      <w:pPr>
        <w:pStyle w:val="BulletLevel1"/>
        <w:numPr>
          <w:ilvl w:val="1"/>
          <w:numId w:val="65"/>
        </w:numPr>
        <w:spacing w:after="60"/>
        <w:ind w:left="1208" w:hanging="357"/>
      </w:pPr>
      <w:r w:rsidRPr="00BF454A">
        <w:t xml:space="preserve">Această situație se datorează în mare parte </w:t>
      </w:r>
      <w:r w:rsidRPr="00BF454A">
        <w:rPr>
          <w:b/>
        </w:rPr>
        <w:t>sub-finanțării</w:t>
      </w:r>
      <w:r w:rsidRPr="00BF454A">
        <w:t xml:space="preserve"> </w:t>
      </w:r>
      <w:r>
        <w:t>pe parcursul</w:t>
      </w:r>
      <w:r w:rsidRPr="00BF454A">
        <w:t xml:space="preserve"> unei perioade mari de timp </w:t>
      </w:r>
      <w:r>
        <w:t xml:space="preserve">și </w:t>
      </w:r>
      <w:r w:rsidRPr="00BF454A">
        <w:t>este exace</w:t>
      </w:r>
      <w:r>
        <w:t>r</w:t>
      </w:r>
      <w:r w:rsidRPr="00BF454A">
        <w:t>bată de practicile de management și opera</w:t>
      </w:r>
      <w:r>
        <w:t>re</w:t>
      </w:r>
      <w:r w:rsidRPr="00BF454A">
        <w:t xml:space="preserve"> care afectează </w:t>
      </w:r>
      <w:r>
        <w:t>transportul feroviar</w:t>
      </w:r>
      <w:r w:rsidRPr="00BF454A">
        <w:t xml:space="preserve"> precum și transportul rutier și naval</w:t>
      </w:r>
      <w:r>
        <w:t>.</w:t>
      </w:r>
      <w:r w:rsidRPr="00BF454A">
        <w:t xml:space="preserve"> </w:t>
      </w:r>
      <w:r>
        <w:t xml:space="preserve">Sectorul transportului feroviar este, însă, este cel </w:t>
      </w:r>
      <w:r w:rsidRPr="00BF454A">
        <w:t>afectat în cea mai mare măsură.</w:t>
      </w:r>
    </w:p>
    <w:p w:rsidR="002B762C" w:rsidRPr="00BF454A" w:rsidRDefault="002B762C" w:rsidP="00573AD5">
      <w:pPr>
        <w:pStyle w:val="BulletLevel1"/>
        <w:numPr>
          <w:ilvl w:val="1"/>
          <w:numId w:val="65"/>
        </w:numPr>
        <w:spacing w:after="60"/>
        <w:ind w:left="1208" w:hanging="357"/>
      </w:pPr>
      <w:r w:rsidRPr="00BF454A">
        <w:rPr>
          <w:b/>
        </w:rPr>
        <w:t>Siguranța</w:t>
      </w:r>
      <w:r w:rsidRPr="00BF454A">
        <w:t xml:space="preserve"> reprezintă o îngrijorare, în special pentru rețeaua rutieră: România are cele mai defavorabile statistici ale accidentelor din Europa.</w:t>
      </w:r>
    </w:p>
    <w:p w:rsidR="002B762C" w:rsidRPr="00BF454A" w:rsidRDefault="002B762C" w:rsidP="002B7E09">
      <w:pPr>
        <w:pStyle w:val="NumberedParas"/>
      </w:pPr>
      <w:r w:rsidRPr="00BF454A">
        <w:t>În paragrafele următoare am inclus o descriere a situației existente pe fiecare mod de transport, cu privire la cele mai importante probleme identificate precum și soluțiile de rezolvare a acestora propuse în cadrul Master Planului. Raportul privind Master Planul pe termen scurt, mediu și lung include, în cadrul secțiunilor modale (Capitolele 4-8) analize detaliate cu privire la problemele fiecărui mod de transport, conform informațiile incluse în Raportul privind Definirea Problemelor, disponibil pe pagina de web a Ministerului Transporturilor.</w:t>
      </w:r>
      <w:r w:rsidRPr="00BF454A">
        <w:rPr>
          <w:rStyle w:val="FootnoteReference"/>
        </w:rPr>
        <w:footnoteReference w:id="42"/>
      </w:r>
      <w:r w:rsidRPr="00BF454A">
        <w:t xml:space="preserve"> Conexiunile între Probleme, Obiective și Intervenții sunt descrise într-o serie de Note Tehnice.</w:t>
      </w:r>
    </w:p>
    <w:p w:rsidR="002B762C" w:rsidRPr="00BF454A" w:rsidRDefault="002B762C" w:rsidP="002B7E09">
      <w:pPr>
        <w:pStyle w:val="NumberedParas"/>
      </w:pPr>
      <w:r w:rsidRPr="00BF454A">
        <w:t>Disponibilitatea surselor de finanțare reprezintă a constrângere care afectează nu numai investițiile în sectorul de transport din România ci din toate țările europene. Prin urmare, Master Planul nu poate include soluții pentru toate probleme existente și să rămână în continuare un plan realist. Așadar Master Planul va include o prioritizare a intervențiilor din sectorul public pe perioada imediat următoare.</w:t>
      </w:r>
    </w:p>
    <w:p w:rsidR="002B762C" w:rsidRDefault="002B762C" w:rsidP="002B762C">
      <w:pPr>
        <w:pStyle w:val="Hdg3"/>
      </w:pPr>
      <w:bookmarkStart w:id="596" w:name="_Toc411956599"/>
      <w:r w:rsidRPr="00BF454A">
        <w:t>Transportul feroviar</w:t>
      </w:r>
      <w:bookmarkEnd w:id="596"/>
    </w:p>
    <w:p w:rsidR="002B762C" w:rsidRPr="00BF454A" w:rsidRDefault="002B762C" w:rsidP="002B7E09">
      <w:pPr>
        <w:pStyle w:val="NumberedParas"/>
      </w:pPr>
      <w:r w:rsidRPr="00BF454A">
        <w:t xml:space="preserve">În opinia noastră, a afirma că </w:t>
      </w:r>
      <w:r>
        <w:t>sistemul feroviar</w:t>
      </w:r>
      <w:r w:rsidRPr="00BF454A">
        <w:t xml:space="preserve"> din România se află într-o situație de criză nu reprezintă o exagerare. Sunt necesari mai mulți pași, dintre care se pot menționa:</w:t>
      </w:r>
    </w:p>
    <w:p w:rsidR="002B762C" w:rsidRPr="00BF454A" w:rsidRDefault="002B762C" w:rsidP="00573AD5">
      <w:pPr>
        <w:pStyle w:val="BulletLevel1"/>
        <w:numPr>
          <w:ilvl w:val="1"/>
          <w:numId w:val="65"/>
        </w:numPr>
        <w:spacing w:after="60"/>
        <w:ind w:left="1208" w:hanging="357"/>
      </w:pPr>
      <w:r w:rsidRPr="00BF454A">
        <w:t>Reforme semnificative privind structura sistemului feroviar precum și a Contractelor de Servicii Publice (CSP), cu scopul de a încuraja deciziile cu impact comercial pozitiv,</w:t>
      </w:r>
    </w:p>
    <w:p w:rsidR="002B762C" w:rsidRPr="00BF454A" w:rsidRDefault="002B762C" w:rsidP="00573AD5">
      <w:pPr>
        <w:pStyle w:val="BulletLevel1"/>
        <w:numPr>
          <w:ilvl w:val="1"/>
          <w:numId w:val="65"/>
        </w:numPr>
        <w:spacing w:after="60"/>
        <w:ind w:left="1208" w:hanging="357"/>
      </w:pPr>
      <w:r w:rsidRPr="00BF454A">
        <w:t xml:space="preserve">Creșterea substanțială a alocărilor financiare </w:t>
      </w:r>
      <w:r>
        <w:t>pentru întreținere și reparații</w:t>
      </w:r>
      <w:r w:rsidRPr="00BF454A">
        <w:t xml:space="preserve"> cu scopul atingerii standardelor europene, pentru a preveni alte deteriorări ulterioare și </w:t>
      </w:r>
      <w:r>
        <w:t>pentru</w:t>
      </w:r>
      <w:r w:rsidRPr="00BF454A">
        <w:t xml:space="preserve"> a întreține rețeaua primară la o stare tehnică adecvată;</w:t>
      </w:r>
    </w:p>
    <w:p w:rsidR="002B762C" w:rsidRPr="00BF454A" w:rsidRDefault="002B762C" w:rsidP="00573AD5">
      <w:pPr>
        <w:pStyle w:val="BulletLevel1"/>
        <w:numPr>
          <w:ilvl w:val="1"/>
          <w:numId w:val="65"/>
        </w:numPr>
        <w:spacing w:after="60"/>
        <w:ind w:left="1208" w:hanging="357"/>
      </w:pPr>
      <w:r w:rsidRPr="00BF454A">
        <w:t xml:space="preserve">Creșterea investițiilor </w:t>
      </w:r>
      <w:r>
        <w:t>pentru</w:t>
      </w:r>
      <w:r w:rsidRPr="00BF454A">
        <w:t xml:space="preserve"> reabilitarea la vitezele de proiectare actuale ale principalelor linii naționale și internaționale, și</w:t>
      </w:r>
    </w:p>
    <w:p w:rsidR="002B762C" w:rsidRPr="00BF454A" w:rsidRDefault="002B762C" w:rsidP="00573AD5">
      <w:pPr>
        <w:pStyle w:val="BulletLevel1"/>
        <w:numPr>
          <w:ilvl w:val="1"/>
          <w:numId w:val="65"/>
        </w:numPr>
        <w:spacing w:after="60"/>
        <w:ind w:left="1208" w:hanging="357"/>
      </w:pPr>
      <w:r w:rsidRPr="00BF454A">
        <w:t>Introducerea mersului cadențat, adaptat nevoilor pasagerilor.</w:t>
      </w:r>
    </w:p>
    <w:p w:rsidR="002B762C" w:rsidRPr="00BF454A" w:rsidRDefault="002B762C" w:rsidP="002B7E09">
      <w:pPr>
        <w:pStyle w:val="NumberedParas"/>
      </w:pPr>
      <w:r w:rsidRPr="00BF454A">
        <w:t>Dacă aceste măsuri nu sunt adoptate, opinia noastră este că în următorii 10 ani calea ferată va înceta să mai joace un rol național în România.</w:t>
      </w:r>
    </w:p>
    <w:p w:rsidR="002B762C" w:rsidRPr="00BF454A" w:rsidRDefault="002B762C" w:rsidP="002B7E09">
      <w:pPr>
        <w:pStyle w:val="NumberedParas"/>
      </w:pPr>
      <w:r w:rsidRPr="00BF454A">
        <w:t>Începând cu anul 1990, numărul de pasageri-km a scăzut cu 90%, iar numărul de tone-km cu 70%, cu toate că poziția de piață a transportului feroviar de marfă s-a stabilizat. Vitezele medii pentru trenurile de pasageri au scăzut de la 60 km/h în 1990 la 45 km/h în anul 2012, în vreme ce vitezele actuale ale trenurilor de marfă ating abia 23 km/h. Între 60-80% din activele căii ferate aveau durata normală de viață expirată în 2012, existau 1.800 de restricții de viteză  temporare și estimăm că vitezele actuale sunt cu 20-30% mai mici decât viteza de proiectare a liniei. Linia și celelalte active fixe sunt sub-utilizate: aproximativ 90% din trafic (pasageri și marfă) este transportat pe 54% din rute (63% din km de linie desfășurată) în timp ce aproximativ 20% din km rețea (14% din km linie) operează doar 1% din traficul total. 1.000 de stații CF generează mai puțin de 50 de călătorii pe zi, iar 533 stații au mai puțin de 10 pasageri pe zi.</w:t>
      </w:r>
    </w:p>
    <w:p w:rsidR="002B762C" w:rsidRPr="00BF454A" w:rsidRDefault="002B762C" w:rsidP="002B7E09">
      <w:pPr>
        <w:pStyle w:val="NumberedParas"/>
      </w:pPr>
      <w:r w:rsidRPr="00BF454A">
        <w:t>O prognoză pe baza trendurilor istorice sugerează că numărul de pasageri-km ar scădea cu 75% până în anul 2030, în timp ce analiza datelor MNT sugerează un declin de 21% în 2020 și de 40% până în anul 2030. Oricare dintre scenarii ar fi utilizat, este clar că viitorul transporturilor pe calea ferată este unul sumbru, în lipsa unor acțiuni drastice.</w:t>
      </w:r>
    </w:p>
    <w:p w:rsidR="002B762C" w:rsidRPr="00BF454A" w:rsidRDefault="002B762C" w:rsidP="002B7E09">
      <w:pPr>
        <w:pStyle w:val="NumberedParas"/>
      </w:pPr>
      <w:r w:rsidRPr="00BF454A">
        <w:t>Aceste reduceri ale atractivității sistemului feroviar au fost urmările a trei factori principali;</w:t>
      </w:r>
    </w:p>
    <w:p w:rsidR="002B762C" w:rsidRPr="00BF454A" w:rsidRDefault="002B762C" w:rsidP="00573AD5">
      <w:pPr>
        <w:pStyle w:val="BulletLevel1"/>
        <w:numPr>
          <w:ilvl w:val="1"/>
          <w:numId w:val="65"/>
        </w:numPr>
        <w:spacing w:after="60"/>
        <w:ind w:left="1208" w:hanging="357"/>
      </w:pPr>
      <w:r w:rsidRPr="00BF454A">
        <w:t>Întreținerea deficitară ce a condus la timpii de călătorie mai mari deci, prin urmare, necompetitivi;</w:t>
      </w:r>
    </w:p>
    <w:p w:rsidR="002B762C" w:rsidRPr="00BF454A" w:rsidRDefault="002B762C" w:rsidP="00573AD5">
      <w:pPr>
        <w:pStyle w:val="BulletLevel1"/>
        <w:numPr>
          <w:ilvl w:val="1"/>
          <w:numId w:val="65"/>
        </w:numPr>
        <w:spacing w:after="60"/>
        <w:ind w:left="1208" w:hanging="357"/>
      </w:pPr>
      <w:r w:rsidRPr="00BF454A">
        <w:t>Un orar de mers ce nu a avut o orientare comercială (contractele de servicii publice se bazează în mare parte pe indicatorul trenuri-km și nu pe graficele de mers, care satisfac nevoile clienților); și</w:t>
      </w:r>
    </w:p>
    <w:p w:rsidR="002B762C" w:rsidRPr="00BF454A" w:rsidRDefault="002B762C" w:rsidP="00573AD5">
      <w:pPr>
        <w:pStyle w:val="BulletLevel1"/>
        <w:numPr>
          <w:ilvl w:val="1"/>
          <w:numId w:val="65"/>
        </w:numPr>
        <w:spacing w:after="60"/>
        <w:ind w:left="1208" w:hanging="357"/>
      </w:pPr>
      <w:r w:rsidRPr="00BF454A">
        <w:t>Schimbările demografice cum ar fi dispersia populației, apariția centrelor comerciale</w:t>
      </w:r>
      <w:r>
        <w:t>/ centrelor de ocupare</w:t>
      </w:r>
      <w:r w:rsidRPr="00BF454A">
        <w:t xml:space="preserve"> sau creșterea numărului de autovehicule înmatriculate.</w:t>
      </w:r>
    </w:p>
    <w:p w:rsidR="002B762C" w:rsidRPr="00BF454A" w:rsidRDefault="002B762C" w:rsidP="002B7E09">
      <w:pPr>
        <w:pStyle w:val="NumberedParas"/>
      </w:pPr>
      <w:r w:rsidRPr="00BF454A">
        <w:t xml:space="preserve">Rezultatele testelelor efectuate cu Modelul Național au arătat că regimul inadecvat de întreținere este responsabil </w:t>
      </w:r>
      <w:r>
        <w:t>de</w:t>
      </w:r>
      <w:r w:rsidRPr="00BF454A">
        <w:t xml:space="preserve"> 13% din reducerea prognozată de 22% a numărului de pasageri-km.</w:t>
      </w:r>
    </w:p>
    <w:p w:rsidR="002B762C" w:rsidRPr="00BF454A" w:rsidRDefault="002B762C" w:rsidP="002B7E09">
      <w:pPr>
        <w:pStyle w:val="NumberedParas"/>
      </w:pPr>
      <w:r w:rsidRPr="00BF454A">
        <w:t>Propunerile din Master Plan se concentrează în principal pe primele două elemente. Recomandările constau în creșterea alocărilor bugetare pentru întreținere conform standardelor europene, reabilitarea liniilor principale în combinație cu introducerea graficelor de mers la intervale regulate pentru serviciile Inter-Regio, operate cu material rulant modern. La nivelele actuale (reduse) ale gradului de motorizare din România, există mijloace limitate la nivelul Guvernului ce pot fi utilizate pentru a diminua numărul de vehicule înmatriculate dar există, în schimb, multe alte intervenții ce pot fi implementate pentru a crește atractivitatea sectorului feroviar.</w:t>
      </w:r>
    </w:p>
    <w:p w:rsidR="002B762C" w:rsidRPr="00BF454A" w:rsidRDefault="002B762C" w:rsidP="002B7E09">
      <w:pPr>
        <w:pStyle w:val="NumberedParas"/>
      </w:pPr>
      <w:r w:rsidRPr="00BF454A">
        <w:t>Există, de asemenea, schimbări instituționale ce pot fi introduse pentru a face mai dinamic sectorul feroviar din România. Acestea sunt incluse în intervențiile identificate în cadrul Master Planului.</w:t>
      </w:r>
    </w:p>
    <w:p w:rsidR="002B762C" w:rsidRPr="00BF454A" w:rsidRDefault="002B762C" w:rsidP="002B762C">
      <w:pPr>
        <w:pStyle w:val="Hdg3"/>
      </w:pPr>
      <w:bookmarkStart w:id="597" w:name="_Toc411956600"/>
      <w:r w:rsidRPr="00BF454A">
        <w:t>Transportul rutier</w:t>
      </w:r>
      <w:bookmarkEnd w:id="597"/>
    </w:p>
    <w:p w:rsidR="002B762C" w:rsidRPr="00BF454A" w:rsidRDefault="002B762C" w:rsidP="002B7E09">
      <w:pPr>
        <w:pStyle w:val="NumberedParas"/>
      </w:pPr>
      <w:r w:rsidRPr="00BF454A">
        <w:t>Întreținerea rețelei rutiere este de asemenea inadecvată, doar 50% din rețeaua de drumuri naționale fiind în condiții bune. Această estimare utilizând metoda dezvoltată de Banca Mondială sugerează că întreținerea periodică și cheltuielile cu reparațiile și înlocuirile ar trebui să crească cu 560 milioane euro pe an, iar cele cu reabilitarea și modernizarea cu 650 milioane euro pe an, pentru eliminarea și recuperarea întârzierilor până în anul 2020.</w:t>
      </w:r>
      <w:r w:rsidRPr="00BF454A">
        <w:rPr>
          <w:rStyle w:val="FootnoteReference"/>
        </w:rPr>
        <w:footnoteReference w:id="43"/>
      </w:r>
      <w:r w:rsidRPr="00BF454A">
        <w:t xml:space="preserve"> .</w:t>
      </w:r>
    </w:p>
    <w:p w:rsidR="002B762C" w:rsidRPr="00BF454A" w:rsidRDefault="002B762C" w:rsidP="002B7E09">
      <w:pPr>
        <w:pStyle w:val="NumberedParas"/>
      </w:pPr>
      <w:r w:rsidRPr="00BF454A">
        <w:t>Master Planul prevede creșterea alocărilor financiare pentru întreținerea și reparațiile rețelei rutiere ceea ce va conduce la păstrarea rețelei naționale într-o stare tehnică corespunzătoare. Master Planul include și recomandări privind încheierea contractelor de întreținere ce vor îmbunătăți calitatea întreținerii și vor eficientiză operațiile.</w:t>
      </w:r>
    </w:p>
    <w:p w:rsidR="002B762C" w:rsidRPr="00BF454A" w:rsidRDefault="002B762C" w:rsidP="002B7E09">
      <w:pPr>
        <w:pStyle w:val="NumberedParas"/>
      </w:pPr>
      <w:r w:rsidRPr="00BF454A">
        <w:t>Timpii mari de călătorie conduc la utilizarea ineficientă a resurselor de timp și au impact negativ asupra economiilor naționale și regionale și reduc potențialul activităților comerciale și turistice. România are o suprafață extinsă, cu multe centre regionale iar competitivitatea economică a acestor centre este afectată negativ de nivelul redus de serviciu oferit de rețeaua rutieră.</w:t>
      </w:r>
    </w:p>
    <w:p w:rsidR="002B762C" w:rsidRPr="00BF454A" w:rsidRDefault="002B762C" w:rsidP="002B7E09">
      <w:pPr>
        <w:pStyle w:val="NumberedParas"/>
      </w:pPr>
      <w:r w:rsidRPr="00BF454A">
        <w:t>Nivelul de serviciu al rețelei rutiere (exprimat prin vitezele medii de circulație) este în general scăzut. Vitezele medii de circulație sunt de 66 km/h pentru rețeaua de drumuri naționale, cu 34% mai puțin decât ținta de 100 km/h corespondentă rețelei TEN-T de bază și secundară. România deține cel mai mic număr de km de autostradă pe cap de locuitor din Uniunea Europeană.</w:t>
      </w:r>
    </w:p>
    <w:p w:rsidR="002B762C" w:rsidRPr="00BF454A" w:rsidRDefault="002B762C" w:rsidP="002B7E09">
      <w:pPr>
        <w:pStyle w:val="NumberedParas"/>
      </w:pPr>
      <w:r w:rsidRPr="00BF454A">
        <w:t>Așadar Master Planul prevede propuneri privind extinderea rețelei de autostrăzi ce vor conecta centrele economice din România cu principalii săi partenerii comerciali. Această rețea de autostrăzi va fi complementată de drumuri expres moderne (drumuri cu 2x2 benzi, cu intersecții denivelate) ce vor completa rețeaua de drumuri naționale.</w:t>
      </w:r>
    </w:p>
    <w:p w:rsidR="002B762C" w:rsidRPr="00BF454A" w:rsidRDefault="002B762C" w:rsidP="002B7E09">
      <w:pPr>
        <w:pStyle w:val="NumberedParas"/>
      </w:pPr>
      <w:r w:rsidRPr="00BF454A">
        <w:t>România are cea mai defavorabilă statistică a accidentelor rutiere din UE, după cum urmează:</w:t>
      </w:r>
    </w:p>
    <w:p w:rsidR="002B762C" w:rsidRPr="00BF454A" w:rsidRDefault="002B762C" w:rsidP="00573AD5">
      <w:pPr>
        <w:pStyle w:val="BulletLevel1"/>
        <w:numPr>
          <w:ilvl w:val="1"/>
          <w:numId w:val="65"/>
        </w:numPr>
        <w:spacing w:after="60"/>
        <w:ind w:left="1208" w:hanging="357"/>
      </w:pPr>
      <w:r w:rsidRPr="00BF454A">
        <w:t>Decese la un milion de locuitori: 94, față de media UE de 60 – locul 24 din 28;</w:t>
      </w:r>
    </w:p>
    <w:p w:rsidR="002B762C" w:rsidRPr="00BF454A" w:rsidRDefault="002B762C" w:rsidP="00573AD5">
      <w:pPr>
        <w:pStyle w:val="BulletLevel1"/>
        <w:numPr>
          <w:ilvl w:val="1"/>
          <w:numId w:val="65"/>
        </w:numPr>
        <w:spacing w:after="60"/>
        <w:ind w:left="1208" w:hanging="357"/>
      </w:pPr>
      <w:r w:rsidRPr="00BF454A">
        <w:t>Decese la 100 miliarde pasageri-km: 259, față de media UE de 61 – locul 28 din 28; și</w:t>
      </w:r>
    </w:p>
    <w:p w:rsidR="002B762C" w:rsidRPr="00BF454A" w:rsidRDefault="002B762C" w:rsidP="00573AD5">
      <w:pPr>
        <w:pStyle w:val="BulletLevel1"/>
        <w:numPr>
          <w:ilvl w:val="1"/>
          <w:numId w:val="65"/>
        </w:numPr>
        <w:spacing w:after="60"/>
        <w:ind w:left="1208" w:hanging="357"/>
      </w:pPr>
      <w:r w:rsidRPr="00BF454A">
        <w:t>Decese la un milion autoturisme: 466 față de media UE de 126 – locul 28 din 28.</w:t>
      </w:r>
    </w:p>
    <w:p w:rsidR="002B762C" w:rsidRPr="00BF454A" w:rsidRDefault="002B762C" w:rsidP="002B7E09">
      <w:pPr>
        <w:pStyle w:val="NumberedParas"/>
      </w:pPr>
      <w:r w:rsidRPr="00BF454A">
        <w:t>În timp ce autostrăzile și drumurile expres au o rată mult mai mică de incidență a accidentelor față de drumurile cu o singură bandă de circulație pe sens nu este fezabil sau eficient economic să se înlocuiască întreaga rețea de drumuri naționale cu autostrăzi sau drumuri expres. Așadar Master Planul conține și recomandări privind intervenții de eliminare a punctelor negre (138 locații cu cel mai crescut număr de accidente). Aceste proiecte au eficiență economică foarte bună și reprezintă măsuri imediate de îmbunătățire a gradului de siguranță a pietonilor si vehiculelor, înainte de implementarea investițiile semnificative cu dezvoltarea rețelei de drumuri rapide din România.</w:t>
      </w:r>
    </w:p>
    <w:p w:rsidR="002B762C" w:rsidRPr="00BF454A" w:rsidRDefault="002B762C" w:rsidP="002B762C">
      <w:pPr>
        <w:pStyle w:val="Hdg3"/>
      </w:pPr>
      <w:bookmarkStart w:id="598" w:name="_Toc411956601"/>
      <w:r w:rsidRPr="00BF454A">
        <w:t>Porturi și căi navigabile</w:t>
      </w:r>
      <w:bookmarkEnd w:id="598"/>
    </w:p>
    <w:p w:rsidR="002B762C" w:rsidRPr="00BF454A" w:rsidRDefault="002B762C" w:rsidP="002B7E09">
      <w:pPr>
        <w:pStyle w:val="NumberedParas"/>
      </w:pPr>
      <w:r w:rsidRPr="00BF454A">
        <w:t>România include trei porturi maritime principale, Constanța, Galați și Brăila. Ultimele două sunt localizate pe secțiunea maritimă a Dunării, în timp ce Constanța este un port de adâncimi mari, cu ieșire la Marea Neagră. Constanța este conectat la Dunăre printr-un canal artificial și beneficiază de conexiuni rutiere și feroviare bune cu zona municipiului București și, prin urmare, cu sudul și vestul țării și mai departe cu Ungaria.</w:t>
      </w:r>
    </w:p>
    <w:p w:rsidR="002B762C" w:rsidRPr="00BF454A" w:rsidRDefault="002B762C" w:rsidP="002B7E09">
      <w:pPr>
        <w:pStyle w:val="NumberedParas"/>
      </w:pPr>
      <w:r w:rsidRPr="00BF454A">
        <w:t>Conexiunile acestor trei porturi cu zona centrală și de nord a României sunt deficitare iar proiectele rutiere și feroviare vor ameliora aceste deficiențe.</w:t>
      </w:r>
    </w:p>
    <w:p w:rsidR="002B762C" w:rsidRPr="00BF454A" w:rsidRDefault="002B762C" w:rsidP="002B7E09">
      <w:pPr>
        <w:pStyle w:val="NumberedParas"/>
      </w:pPr>
      <w:r w:rsidRPr="00BF454A">
        <w:t>Există și alte porturi maritime mai mici cum ar fi Mangalia sau Midia precum și o serie de porturi fluviale, dintre care cele mai importante sunt Giurgiu, Oltenița și Drobeta Turnu-Severin.</w:t>
      </w:r>
    </w:p>
    <w:p w:rsidR="002B762C" w:rsidRPr="00BF454A" w:rsidRDefault="002B762C" w:rsidP="002B7E09">
      <w:pPr>
        <w:pStyle w:val="NumberedParas"/>
      </w:pPr>
      <w:r w:rsidRPr="00BF454A">
        <w:t>Constanța este de departe cel mai mare port din România. Tabelul 2.1 prezintă informații privind traficul operat în anul 2011 în primele 10 porturi din România. Constanța deține 83% din totalul acestor porturi, următorul port fiind Galați, cu 9%. Aceste date ilustrează importanța majoră a portului Constanța, ca principală poartă de acces a fluxurilor de import și export ale României.</w:t>
      </w:r>
    </w:p>
    <w:p w:rsidR="002B762C" w:rsidRPr="00BF454A" w:rsidRDefault="002B762C" w:rsidP="002B7E09">
      <w:pPr>
        <w:pStyle w:val="NumberedParas"/>
        <w:numPr>
          <w:ilvl w:val="0"/>
          <w:numId w:val="0"/>
        </w:numPr>
        <w:ind w:left="1531"/>
        <w:sectPr w:rsidR="002B762C" w:rsidRPr="00BF454A" w:rsidSect="00933C17">
          <w:headerReference w:type="default" r:id="rId344"/>
          <w:pgSz w:w="11907" w:h="16840" w:code="9"/>
          <w:pgMar w:top="1418" w:right="709" w:bottom="1418" w:left="907" w:header="357" w:footer="567" w:gutter="0"/>
          <w:cols w:space="187"/>
          <w:docGrid w:linePitch="360"/>
        </w:sectPr>
      </w:pPr>
    </w:p>
    <w:p w:rsidR="002B762C" w:rsidRPr="00BF454A" w:rsidRDefault="002B762C" w:rsidP="002B762C">
      <w:pPr>
        <w:ind w:left="851"/>
        <w:rPr>
          <w:b/>
          <w:sz w:val="22"/>
          <w:szCs w:val="22"/>
          <w:lang w:val="ro-RO"/>
        </w:rPr>
      </w:pPr>
      <w:r w:rsidRPr="00BF454A">
        <w:rPr>
          <w:b/>
          <w:sz w:val="22"/>
          <w:szCs w:val="22"/>
          <w:lang w:val="ro-RO"/>
        </w:rPr>
        <w:t xml:space="preserve">Tabelul </w:t>
      </w:r>
      <w:r>
        <w:rPr>
          <w:b/>
          <w:sz w:val="22"/>
          <w:szCs w:val="22"/>
          <w:lang w:val="ro-RO"/>
        </w:rPr>
        <w:t>10</w:t>
      </w:r>
      <w:r w:rsidRPr="00BF454A">
        <w:rPr>
          <w:b/>
          <w:sz w:val="22"/>
          <w:szCs w:val="22"/>
          <w:lang w:val="ro-RO"/>
        </w:rPr>
        <w:t>.1  Mărfuri operate în porturile din România</w:t>
      </w:r>
    </w:p>
    <w:tbl>
      <w:tblPr>
        <w:tblW w:w="7780" w:type="dxa"/>
        <w:tblInd w:w="567" w:type="dxa"/>
        <w:tblLook w:val="04A0" w:firstRow="1" w:lastRow="0" w:firstColumn="1" w:lastColumn="0" w:noHBand="0" w:noVBand="1"/>
      </w:tblPr>
      <w:tblGrid>
        <w:gridCol w:w="1101"/>
        <w:gridCol w:w="1839"/>
        <w:gridCol w:w="1520"/>
        <w:gridCol w:w="1840"/>
        <w:gridCol w:w="1480"/>
      </w:tblGrid>
      <w:tr w:rsidR="002B762C" w:rsidRPr="00BF454A" w:rsidTr="0030066D">
        <w:trPr>
          <w:trHeight w:val="870"/>
        </w:trPr>
        <w:tc>
          <w:tcPr>
            <w:tcW w:w="11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Rang</w:t>
            </w:r>
          </w:p>
        </w:tc>
        <w:tc>
          <w:tcPr>
            <w:tcW w:w="1839"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Port</w:t>
            </w:r>
          </w:p>
        </w:tc>
        <w:tc>
          <w:tcPr>
            <w:tcW w:w="152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Tip port</w:t>
            </w:r>
          </w:p>
        </w:tc>
        <w:tc>
          <w:tcPr>
            <w:tcW w:w="184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Tone operate (pe anul 2011)</w:t>
            </w:r>
          </w:p>
        </w:tc>
        <w:tc>
          <w:tcPr>
            <w:tcW w:w="148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 din top 10 porturi</w:t>
            </w:r>
          </w:p>
        </w:tc>
      </w:tr>
      <w:tr w:rsidR="002B762C" w:rsidRPr="00BF454A" w:rsidTr="0030066D">
        <w:trPr>
          <w:trHeight w:val="720"/>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Constanța</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Maritim (Deep Sea)</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46,000,000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82.6%</w:t>
            </w:r>
          </w:p>
        </w:tc>
      </w:tr>
      <w:tr w:rsidR="002B762C" w:rsidRPr="00BF454A" w:rsidTr="0030066D">
        <w:trPr>
          <w:trHeight w:val="55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2</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Galați</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Maritim</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5,100,000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9.2%</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3</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Tulcea</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Maritim</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1,650,000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3.0%</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4</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Brăila</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Maritim</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1,203,000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2.2%</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5</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Oltenița</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508,000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0.9%</w:t>
            </w:r>
          </w:p>
        </w:tc>
      </w:tr>
      <w:tr w:rsidR="002B762C" w:rsidRPr="00BF454A" w:rsidTr="0030066D">
        <w:trPr>
          <w:trHeight w:val="58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6</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Drobeta-Turnu-Severin</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490,000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0.9%</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7</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Giurgiu</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256,000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0.5%</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8</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Orșova</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188,000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0.3%</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9</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Calafat</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139,000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0.2%</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10</w:t>
            </w:r>
          </w:p>
        </w:tc>
        <w:tc>
          <w:tcPr>
            <w:tcW w:w="1839"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Cernavodă</w:t>
            </w:r>
          </w:p>
        </w:tc>
        <w:tc>
          <w:tcPr>
            <w:tcW w:w="152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Fluvial</w:t>
            </w:r>
          </w:p>
        </w:tc>
        <w:tc>
          <w:tcPr>
            <w:tcW w:w="1840" w:type="dxa"/>
            <w:tcBorders>
              <w:top w:val="nil"/>
              <w:left w:val="nil"/>
              <w:bottom w:val="single" w:sz="8" w:space="0" w:color="auto"/>
              <w:right w:val="single" w:sz="8" w:space="0" w:color="auto"/>
            </w:tcBorders>
            <w:shd w:val="clear" w:color="auto" w:fill="auto"/>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132,000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2"/>
                <w:szCs w:val="22"/>
                <w:lang w:val="ro-RO" w:eastAsia="en-GB"/>
              </w:rPr>
            </w:pPr>
            <w:r w:rsidRPr="00BF454A">
              <w:rPr>
                <w:rFonts w:cs="Arial"/>
                <w:color w:val="000000"/>
                <w:sz w:val="22"/>
                <w:szCs w:val="22"/>
                <w:lang w:val="ro-RO" w:eastAsia="en-GB"/>
              </w:rPr>
              <w:t>0.2%</w:t>
            </w:r>
          </w:p>
        </w:tc>
      </w:tr>
      <w:tr w:rsidR="002B762C" w:rsidRPr="00BF454A" w:rsidTr="0030066D">
        <w:trPr>
          <w:trHeight w:val="315"/>
        </w:trPr>
        <w:tc>
          <w:tcPr>
            <w:tcW w:w="1101" w:type="dxa"/>
            <w:tcBorders>
              <w:top w:val="nil"/>
              <w:left w:val="single" w:sz="8" w:space="0" w:color="auto"/>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Total</w:t>
            </w:r>
          </w:p>
        </w:tc>
        <w:tc>
          <w:tcPr>
            <w:tcW w:w="1839"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 </w:t>
            </w:r>
          </w:p>
        </w:tc>
        <w:tc>
          <w:tcPr>
            <w:tcW w:w="152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 </w:t>
            </w:r>
          </w:p>
        </w:tc>
        <w:tc>
          <w:tcPr>
            <w:tcW w:w="184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55,666,000</w:t>
            </w:r>
          </w:p>
        </w:tc>
        <w:tc>
          <w:tcPr>
            <w:tcW w:w="148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b/>
                <w:color w:val="000000"/>
                <w:sz w:val="22"/>
                <w:szCs w:val="22"/>
                <w:lang w:val="ro-RO" w:eastAsia="en-GB"/>
              </w:rPr>
            </w:pPr>
            <w:r w:rsidRPr="00BF454A">
              <w:rPr>
                <w:rFonts w:cs="Arial"/>
                <w:b/>
                <w:color w:val="000000"/>
                <w:sz w:val="22"/>
                <w:szCs w:val="22"/>
                <w:lang w:val="ro-RO" w:eastAsia="en-GB"/>
              </w:rPr>
              <w:t>100.0%</w:t>
            </w:r>
          </w:p>
        </w:tc>
      </w:tr>
    </w:tbl>
    <w:p w:rsidR="002B762C" w:rsidRPr="004A64D9" w:rsidRDefault="002B762C" w:rsidP="002B7E09">
      <w:pPr>
        <w:pStyle w:val="NumberedParas"/>
        <w:numPr>
          <w:ilvl w:val="0"/>
          <w:numId w:val="0"/>
        </w:numPr>
        <w:ind w:left="1134"/>
      </w:pPr>
      <w:r w:rsidRPr="004A64D9">
        <w:t>Sursa: MT, Direcția navală</w:t>
      </w:r>
    </w:p>
    <w:p w:rsidR="002B762C" w:rsidRPr="00BF454A" w:rsidRDefault="002B762C" w:rsidP="002B7E09">
      <w:pPr>
        <w:pStyle w:val="NumberedParas"/>
      </w:pPr>
      <w:r w:rsidRPr="00BF454A">
        <w:t>Cu toate acestea, Master Planul recunoaște faptul că investițiile identificate în porturi selectate, inclusiv Constanța, sunt necesare pentru exploatarea oportunităților pe care fluviul Dunărea le oferă pentru acele categorii de mărfuri pentru care transportul fluvial este competitiv. Există două probleme ce trebuie rezolvate:</w:t>
      </w:r>
    </w:p>
    <w:p w:rsidR="002B762C" w:rsidRPr="00BF454A" w:rsidRDefault="002B762C" w:rsidP="00573AD5">
      <w:pPr>
        <w:pStyle w:val="BulletLevel1"/>
        <w:numPr>
          <w:ilvl w:val="1"/>
          <w:numId w:val="65"/>
        </w:numPr>
        <w:spacing w:after="60"/>
        <w:ind w:left="1208" w:hanging="357"/>
      </w:pPr>
      <w:r w:rsidRPr="00BF454A">
        <w:t>În primul rând, fluviul Dunărea este o cale navigabilă naturală ce prezintă probleme periodice privind variabilitatea adâncimilor și a lățimii șenalului navigabil. Aceste lucruri conduc la întârzieri și inconsistențe privind timpii de călătorie, ceea ce afectează cerințele actuale ale industriei logistice; și</w:t>
      </w:r>
    </w:p>
    <w:p w:rsidR="002B762C" w:rsidRPr="00BF454A" w:rsidRDefault="002B762C" w:rsidP="00573AD5">
      <w:pPr>
        <w:pStyle w:val="BulletLevel1"/>
        <w:numPr>
          <w:ilvl w:val="1"/>
          <w:numId w:val="65"/>
        </w:numPr>
        <w:spacing w:after="60"/>
        <w:ind w:left="1208" w:hanging="357"/>
      </w:pPr>
      <w:r w:rsidRPr="00BF454A">
        <w:t>În al doilea rând, porturile maritime, în special, adesea au suficientă capacitate teoretică dar această capacitate corespunde unor categorii de trafic care nu mai există sau care constă în facilități sau echipamente depășite. Prin urmare, adevărata problemă a multor</w:t>
      </w:r>
      <w:r>
        <w:t>a</w:t>
      </w:r>
      <w:r w:rsidRPr="00BF454A">
        <w:t xml:space="preserve"> din porturile românești este nu neapărat o deficiență în capacitățile existente ci mai ales infrastructura </w:t>
      </w:r>
      <w:r>
        <w:t>î</w:t>
      </w:r>
      <w:r w:rsidRPr="00BF454A">
        <w:t>nvechită sau ineficientă, care nu este adecvată industriei logistice moderne. Un port eficient și competitiv necesită suprafețe de operare suficiente, macarale moderne și echipamente de manevrare moderne pentru piețele existente și viitoare, facilități moderne de depozitare a anumitor categorii de mărfuri (cum ar fi cerealele) precum și conexiuni rutiere și feroviare adecvate.</w:t>
      </w:r>
    </w:p>
    <w:p w:rsidR="002B762C" w:rsidRPr="00BF454A" w:rsidRDefault="002B762C" w:rsidP="002B7E09">
      <w:pPr>
        <w:pStyle w:val="NumberedParas"/>
      </w:pPr>
      <w:r w:rsidRPr="00BF454A">
        <w:t>Propunerile din Master Plan se concentrează pe investiții în a crește navigabilitatea Dunării de-a lungul întregului an și investiții în facilități moderne pentru porturile care au un viitor pe termen lung.</w:t>
      </w:r>
    </w:p>
    <w:p w:rsidR="002B762C" w:rsidRPr="00BF454A" w:rsidRDefault="002B762C" w:rsidP="002B7E09">
      <w:pPr>
        <w:pStyle w:val="NumberedParas"/>
      </w:pPr>
      <w:r w:rsidRPr="00BF454A">
        <w:t>Similar cu sectoarele rutier și feroviar, întreținerea deficitară este o problemă și pentru căile navigabile din România. România alocă 11.300 euro pe km și an pentru întreținerea secțiunii Dunării pentru care este responsabilă, comparativ cu un buget de 250,000 euro pe km alocat de Austria. Bulgaria este responsabilă pentru întreținerea unei mari părți a sectorului comun al Dunării iar din informațiile noastre știm că Bulgaria alocă doar 2,100 euro pe km și an pentru întreținerea șenalului.</w:t>
      </w:r>
    </w:p>
    <w:p w:rsidR="002B762C" w:rsidRPr="00BF454A" w:rsidRDefault="002B762C" w:rsidP="002B762C">
      <w:pPr>
        <w:pStyle w:val="Hdg3"/>
      </w:pPr>
      <w:bookmarkStart w:id="599" w:name="_Toc411956602"/>
      <w:r w:rsidRPr="00BF454A">
        <w:t>Transport aerian</w:t>
      </w:r>
      <w:bookmarkEnd w:id="599"/>
    </w:p>
    <w:p w:rsidR="002B762C" w:rsidRPr="00BF454A" w:rsidRDefault="002B762C" w:rsidP="002B7E09">
      <w:pPr>
        <w:pStyle w:val="NumberedParas"/>
      </w:pPr>
      <w:r w:rsidRPr="00BF454A">
        <w:t xml:space="preserve">Sectorul de transport aerian din România este unul bine dezvoltat, cu un număr de linii aeriene majore care deservesc destinații din toată Europa, în special în cazul aeroportului internațional din București dar și în cazul aeroporturilor din vestul țării. </w:t>
      </w:r>
    </w:p>
    <w:p w:rsidR="002B762C" w:rsidRPr="00BF454A" w:rsidRDefault="002B762C" w:rsidP="002B7E09">
      <w:pPr>
        <w:pStyle w:val="NumberedParas"/>
      </w:pPr>
      <w:r w:rsidRPr="00BF454A">
        <w:t>Aeroporturile joacă un rol important în dezvoltarea economică a unei regiuni și la nivel național, ca întreg. Aeroporturile facilitează deplasarea rapidă a persoanelor și a bunurilor cu valoare mare și care necesită transport rapid, generând astfel operațiuni de comerț și schimb. Turismul este relativ subdezvoltat în România. Aeroporturile, împreună cu serviciile operatorilor low-cost în particular, oferă o accesibilitate crescută care, la rândul său, impulsionează sectorul de turism. Un număr din ce în ce mai mare de vizitatori și utilizatori ai aeroporturilor înseamnă un influx mai mare de capital în economia locală.</w:t>
      </w:r>
    </w:p>
    <w:p w:rsidR="002B762C" w:rsidRPr="00BF454A" w:rsidRDefault="002B762C" w:rsidP="002B7E09">
      <w:pPr>
        <w:pStyle w:val="NumberedParas"/>
      </w:pPr>
      <w:r w:rsidRPr="00BF454A">
        <w:t>Numărul pasagerilor care folosesc aeroporturile din România este prezentat în Tabelul 2.2 de mai jos. Aeroportul In</w:t>
      </w:r>
      <w:r>
        <w:t>t</w:t>
      </w:r>
      <w:r w:rsidRPr="00BF454A">
        <w:t>ernațional Henri Coandă din București este poarta de intrare pentru pasagerii internațional și reprezintă aproximativ 67% din totalul traficului de pasageri. Împreună cu aeroporturile din Timișoara și Cluj Napoca însumează 89% din totalul traficului de pasageri.</w:t>
      </w:r>
    </w:p>
    <w:p w:rsidR="002B762C" w:rsidRPr="008E7DDF" w:rsidRDefault="002B762C" w:rsidP="002B7E09">
      <w:pPr>
        <w:pStyle w:val="NumberedParas"/>
        <w:numPr>
          <w:ilvl w:val="0"/>
          <w:numId w:val="0"/>
        </w:numPr>
        <w:ind w:left="851"/>
      </w:pPr>
      <w:r w:rsidRPr="008E7DDF">
        <w:t>Tabelul 10.2 Pasageri în aeroporturile din România, 2012</w:t>
      </w:r>
    </w:p>
    <w:tbl>
      <w:tblPr>
        <w:tblpPr w:leftFromText="180" w:rightFromText="180" w:vertAnchor="text" w:horzAnchor="margin" w:tblpY="40"/>
        <w:tblW w:w="7111" w:type="dxa"/>
        <w:tblLook w:val="04A0" w:firstRow="1" w:lastRow="0" w:firstColumn="1" w:lastColumn="0" w:noHBand="0" w:noVBand="1"/>
      </w:tblPr>
      <w:tblGrid>
        <w:gridCol w:w="2838"/>
        <w:gridCol w:w="1418"/>
        <w:gridCol w:w="1537"/>
        <w:gridCol w:w="1318"/>
      </w:tblGrid>
      <w:tr w:rsidR="002B762C" w:rsidRPr="00BF454A" w:rsidTr="0030066D">
        <w:trPr>
          <w:trHeight w:val="554"/>
          <w:tblHeader/>
        </w:trPr>
        <w:tc>
          <w:tcPr>
            <w:tcW w:w="283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2B762C" w:rsidRPr="00BF454A" w:rsidRDefault="002B762C" w:rsidP="0030066D">
            <w:pPr>
              <w:rPr>
                <w:b/>
                <w:bCs/>
                <w:color w:val="000000"/>
                <w:sz w:val="20"/>
                <w:szCs w:val="20"/>
                <w:lang w:val="ro-RO"/>
              </w:rPr>
            </w:pPr>
            <w:r w:rsidRPr="00BF454A">
              <w:rPr>
                <w:b/>
                <w:bCs/>
                <w:color w:val="000000"/>
                <w:sz w:val="20"/>
                <w:szCs w:val="20"/>
                <w:lang w:val="ro-RO"/>
              </w:rPr>
              <w:t>Aeroport</w:t>
            </w:r>
          </w:p>
        </w:tc>
        <w:tc>
          <w:tcPr>
            <w:tcW w:w="1418"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2B762C" w:rsidRPr="00BF454A" w:rsidRDefault="002B762C" w:rsidP="0030066D">
            <w:pPr>
              <w:jc w:val="center"/>
              <w:rPr>
                <w:b/>
                <w:bCs/>
                <w:color w:val="000000"/>
                <w:sz w:val="20"/>
                <w:szCs w:val="20"/>
                <w:lang w:val="ro-RO"/>
              </w:rPr>
            </w:pPr>
            <w:r w:rsidRPr="00BF454A">
              <w:rPr>
                <w:b/>
                <w:bCs/>
                <w:color w:val="000000"/>
                <w:sz w:val="20"/>
                <w:szCs w:val="20"/>
                <w:lang w:val="ro-RO"/>
              </w:rPr>
              <w:t>Pasageri</w:t>
            </w:r>
          </w:p>
          <w:p w:rsidR="002B762C" w:rsidRPr="00BF454A" w:rsidRDefault="002B762C" w:rsidP="0030066D">
            <w:pPr>
              <w:jc w:val="center"/>
              <w:rPr>
                <w:b/>
                <w:bCs/>
                <w:color w:val="000000"/>
                <w:sz w:val="20"/>
                <w:szCs w:val="20"/>
                <w:lang w:val="ro-RO"/>
              </w:rPr>
            </w:pPr>
            <w:r w:rsidRPr="00BF454A">
              <w:rPr>
                <w:b/>
                <w:bCs/>
                <w:color w:val="000000"/>
                <w:sz w:val="20"/>
                <w:szCs w:val="20"/>
                <w:lang w:val="ro-RO"/>
              </w:rPr>
              <w:t>Intern</w:t>
            </w:r>
          </w:p>
        </w:tc>
        <w:tc>
          <w:tcPr>
            <w:tcW w:w="1537"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2B762C" w:rsidRPr="00BF454A" w:rsidRDefault="002B762C" w:rsidP="0030066D">
            <w:pPr>
              <w:jc w:val="center"/>
              <w:rPr>
                <w:b/>
                <w:bCs/>
                <w:color w:val="000000"/>
                <w:sz w:val="20"/>
                <w:szCs w:val="20"/>
                <w:lang w:val="ro-RO"/>
              </w:rPr>
            </w:pPr>
            <w:r w:rsidRPr="00BF454A">
              <w:rPr>
                <w:b/>
                <w:bCs/>
                <w:color w:val="000000"/>
                <w:sz w:val="20"/>
                <w:szCs w:val="20"/>
                <w:lang w:val="ro-RO"/>
              </w:rPr>
              <w:t>Pasageri</w:t>
            </w:r>
          </w:p>
          <w:p w:rsidR="002B762C" w:rsidRPr="00BF454A" w:rsidRDefault="002B762C" w:rsidP="0030066D">
            <w:pPr>
              <w:jc w:val="center"/>
              <w:rPr>
                <w:b/>
                <w:bCs/>
                <w:color w:val="000000"/>
                <w:sz w:val="20"/>
                <w:szCs w:val="20"/>
                <w:lang w:val="ro-RO"/>
              </w:rPr>
            </w:pPr>
            <w:r w:rsidRPr="00BF454A">
              <w:rPr>
                <w:b/>
                <w:bCs/>
                <w:color w:val="000000"/>
                <w:sz w:val="20"/>
                <w:szCs w:val="20"/>
                <w:lang w:val="ro-RO"/>
              </w:rPr>
              <w:t>Internațional</w:t>
            </w:r>
          </w:p>
        </w:tc>
        <w:tc>
          <w:tcPr>
            <w:tcW w:w="1318"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2B762C" w:rsidRPr="00BF454A" w:rsidRDefault="002B762C" w:rsidP="0030066D">
            <w:pPr>
              <w:jc w:val="center"/>
              <w:rPr>
                <w:b/>
                <w:bCs/>
                <w:color w:val="000000"/>
                <w:sz w:val="20"/>
                <w:szCs w:val="20"/>
                <w:lang w:val="ro-RO"/>
              </w:rPr>
            </w:pPr>
            <w:r w:rsidRPr="00BF454A">
              <w:rPr>
                <w:b/>
                <w:bCs/>
                <w:color w:val="000000"/>
                <w:sz w:val="20"/>
                <w:szCs w:val="20"/>
                <w:lang w:val="ro-RO"/>
              </w:rPr>
              <w:t>Pasageri</w:t>
            </w:r>
          </w:p>
          <w:p w:rsidR="002B762C" w:rsidRPr="00BF454A" w:rsidRDefault="002B762C" w:rsidP="0030066D">
            <w:pPr>
              <w:jc w:val="center"/>
              <w:rPr>
                <w:b/>
                <w:bCs/>
                <w:color w:val="000000"/>
                <w:sz w:val="20"/>
                <w:szCs w:val="20"/>
                <w:lang w:val="ro-RO"/>
              </w:rPr>
            </w:pPr>
            <w:r w:rsidRPr="00BF454A">
              <w:rPr>
                <w:b/>
                <w:bCs/>
                <w:color w:val="000000"/>
                <w:sz w:val="20"/>
                <w:szCs w:val="20"/>
                <w:lang w:val="ro-RO"/>
              </w:rPr>
              <w:t>TOTAL</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București  Henri Coandă</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649.682</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6.670.,884</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7.320.566</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Timișoara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336.152</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1.019.,867</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1.356.019</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Cluj-Napoca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189.139</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815.682</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1.004,821</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Bacău</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21.106</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306.308</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327,414</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Târgu Mureș</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10.477</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216.361</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226,838</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Iașii</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139.185</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45.298</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184,483</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Sibiu</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26.482</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150.424</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176.906</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Constanta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11.647</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64.817</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76.464</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Oradea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58.887</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1.659</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60.546</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Craiova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19.397</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11.872</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31.269</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Suceava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26.224</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984</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27.208</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Satu Mare</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19.534</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3.207</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22.741</w:t>
            </w:r>
          </w:p>
        </w:tc>
      </w:tr>
      <w:tr w:rsidR="002B762C" w:rsidRPr="00BF454A" w:rsidTr="0030066D">
        <w:trPr>
          <w:trHeight w:val="300"/>
        </w:trPr>
        <w:tc>
          <w:tcPr>
            <w:tcW w:w="2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Baia Mare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18.017</w:t>
            </w:r>
          </w:p>
        </w:tc>
        <w:tc>
          <w:tcPr>
            <w:tcW w:w="1537" w:type="dxa"/>
            <w:tcBorders>
              <w:top w:val="single" w:sz="4" w:space="0" w:color="auto"/>
              <w:left w:val="single" w:sz="4" w:space="0" w:color="auto"/>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551</w:t>
            </w:r>
          </w:p>
        </w:tc>
        <w:tc>
          <w:tcPr>
            <w:tcW w:w="1318" w:type="dxa"/>
            <w:tcBorders>
              <w:top w:val="single" w:sz="4" w:space="0" w:color="auto"/>
              <w:left w:val="single" w:sz="4" w:space="0" w:color="auto"/>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18.568</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Arad</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0</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0</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0</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Brașov</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0</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0</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0</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hideMark/>
          </w:tcPr>
          <w:p w:rsidR="002B762C" w:rsidRPr="00BF454A" w:rsidRDefault="002B762C" w:rsidP="0030066D">
            <w:pPr>
              <w:rPr>
                <w:color w:val="000000"/>
                <w:sz w:val="20"/>
                <w:szCs w:val="20"/>
                <w:lang w:val="ro-RO"/>
              </w:rPr>
            </w:pPr>
            <w:r w:rsidRPr="00BF454A">
              <w:rPr>
                <w:color w:val="000000"/>
                <w:sz w:val="20"/>
                <w:szCs w:val="20"/>
                <w:lang w:val="ro-RO"/>
              </w:rPr>
              <w:t>Tulcea</w:t>
            </w:r>
          </w:p>
        </w:tc>
        <w:tc>
          <w:tcPr>
            <w:tcW w:w="1418" w:type="dxa"/>
            <w:tcBorders>
              <w:top w:val="nil"/>
              <w:left w:val="nil"/>
              <w:bottom w:val="single" w:sz="4" w:space="0" w:color="auto"/>
              <w:right w:val="single" w:sz="4" w:space="0" w:color="auto"/>
            </w:tcBorders>
            <w:shd w:val="clear" w:color="auto" w:fill="auto"/>
            <w:noWrap/>
            <w:vAlign w:val="center"/>
            <w:hideMark/>
          </w:tcPr>
          <w:p w:rsidR="002B762C" w:rsidRPr="00BF454A" w:rsidRDefault="002B762C" w:rsidP="0030066D">
            <w:pPr>
              <w:jc w:val="center"/>
              <w:rPr>
                <w:color w:val="000000"/>
                <w:sz w:val="20"/>
                <w:szCs w:val="20"/>
                <w:lang w:val="ro-RO"/>
              </w:rPr>
            </w:pPr>
            <w:r w:rsidRPr="00BF454A">
              <w:rPr>
                <w:color w:val="000000"/>
                <w:sz w:val="20"/>
                <w:szCs w:val="20"/>
                <w:lang w:val="ro-RO"/>
              </w:rPr>
              <w:t>0</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0</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color w:val="000000"/>
                <w:sz w:val="20"/>
                <w:szCs w:val="20"/>
                <w:lang w:val="ro-RO"/>
              </w:rPr>
            </w:pPr>
            <w:r w:rsidRPr="00BF454A">
              <w:rPr>
                <w:color w:val="000000"/>
                <w:sz w:val="20"/>
                <w:szCs w:val="20"/>
                <w:lang w:val="ro-RO"/>
              </w:rPr>
              <w:t>0</w:t>
            </w:r>
          </w:p>
        </w:tc>
      </w:tr>
      <w:tr w:rsidR="002B762C" w:rsidRPr="00BF454A" w:rsidTr="0030066D">
        <w:trPr>
          <w:trHeight w:val="300"/>
        </w:trPr>
        <w:tc>
          <w:tcPr>
            <w:tcW w:w="2838" w:type="dxa"/>
            <w:tcBorders>
              <w:top w:val="nil"/>
              <w:left w:val="single" w:sz="4" w:space="0" w:color="auto"/>
              <w:bottom w:val="single" w:sz="4" w:space="0" w:color="auto"/>
              <w:right w:val="single" w:sz="4" w:space="0" w:color="auto"/>
            </w:tcBorders>
            <w:shd w:val="clear" w:color="auto" w:fill="auto"/>
            <w:noWrap/>
            <w:vAlign w:val="center"/>
          </w:tcPr>
          <w:p w:rsidR="002B762C" w:rsidRPr="00BF454A" w:rsidRDefault="002B762C" w:rsidP="0030066D">
            <w:pPr>
              <w:rPr>
                <w:b/>
                <w:color w:val="000000"/>
                <w:sz w:val="20"/>
                <w:szCs w:val="20"/>
                <w:lang w:val="ro-RO"/>
              </w:rPr>
            </w:pPr>
            <w:r w:rsidRPr="00BF454A">
              <w:rPr>
                <w:b/>
                <w:color w:val="000000"/>
                <w:sz w:val="20"/>
                <w:szCs w:val="20"/>
                <w:lang w:val="ro-RO"/>
              </w:rPr>
              <w:t>TOTAL</w:t>
            </w:r>
          </w:p>
        </w:tc>
        <w:tc>
          <w:tcPr>
            <w:tcW w:w="1418" w:type="dxa"/>
            <w:tcBorders>
              <w:top w:val="nil"/>
              <w:left w:val="nil"/>
              <w:bottom w:val="single" w:sz="4" w:space="0" w:color="auto"/>
              <w:right w:val="single" w:sz="4" w:space="0" w:color="auto"/>
            </w:tcBorders>
            <w:shd w:val="clear" w:color="auto" w:fill="auto"/>
            <w:noWrap/>
            <w:vAlign w:val="center"/>
          </w:tcPr>
          <w:p w:rsidR="002B762C" w:rsidRPr="00BF454A" w:rsidRDefault="002B762C" w:rsidP="0030066D">
            <w:pPr>
              <w:jc w:val="center"/>
              <w:rPr>
                <w:b/>
                <w:color w:val="000000"/>
                <w:sz w:val="20"/>
                <w:szCs w:val="20"/>
                <w:lang w:val="ro-RO"/>
              </w:rPr>
            </w:pPr>
            <w:r w:rsidRPr="00BF454A">
              <w:rPr>
                <w:b/>
                <w:color w:val="000000"/>
                <w:sz w:val="20"/>
                <w:szCs w:val="20"/>
                <w:lang w:val="ro-RO"/>
              </w:rPr>
              <w:t>1.525.929</w:t>
            </w:r>
          </w:p>
        </w:tc>
        <w:tc>
          <w:tcPr>
            <w:tcW w:w="1537" w:type="dxa"/>
            <w:tcBorders>
              <w:top w:val="nil"/>
              <w:left w:val="nil"/>
              <w:bottom w:val="single" w:sz="4" w:space="0" w:color="auto"/>
              <w:right w:val="single" w:sz="4" w:space="0" w:color="auto"/>
            </w:tcBorders>
            <w:vAlign w:val="center"/>
          </w:tcPr>
          <w:p w:rsidR="002B762C" w:rsidRPr="00BF454A" w:rsidRDefault="002B762C" w:rsidP="0030066D">
            <w:pPr>
              <w:jc w:val="center"/>
              <w:rPr>
                <w:b/>
                <w:color w:val="000000"/>
                <w:sz w:val="20"/>
                <w:szCs w:val="20"/>
                <w:lang w:val="ro-RO"/>
              </w:rPr>
            </w:pPr>
            <w:r w:rsidRPr="00BF454A">
              <w:rPr>
                <w:b/>
                <w:color w:val="000000"/>
                <w:sz w:val="20"/>
                <w:szCs w:val="20"/>
                <w:lang w:val="ro-RO"/>
              </w:rPr>
              <w:t>9.307.914</w:t>
            </w:r>
          </w:p>
        </w:tc>
        <w:tc>
          <w:tcPr>
            <w:tcW w:w="1318" w:type="dxa"/>
            <w:tcBorders>
              <w:top w:val="nil"/>
              <w:left w:val="nil"/>
              <w:bottom w:val="single" w:sz="4" w:space="0" w:color="auto"/>
              <w:right w:val="single" w:sz="4" w:space="0" w:color="auto"/>
            </w:tcBorders>
            <w:vAlign w:val="center"/>
          </w:tcPr>
          <w:p w:rsidR="002B762C" w:rsidRPr="00BF454A" w:rsidRDefault="002B762C" w:rsidP="0030066D">
            <w:pPr>
              <w:jc w:val="center"/>
              <w:rPr>
                <w:b/>
                <w:bCs/>
                <w:color w:val="000000"/>
                <w:sz w:val="20"/>
                <w:szCs w:val="20"/>
                <w:lang w:val="ro-RO"/>
              </w:rPr>
            </w:pPr>
            <w:r w:rsidRPr="00BF454A">
              <w:rPr>
                <w:b/>
                <w:bCs/>
                <w:color w:val="000000"/>
                <w:sz w:val="20"/>
                <w:szCs w:val="20"/>
                <w:lang w:val="ro-RO"/>
              </w:rPr>
              <w:t>10.833.843</w:t>
            </w:r>
          </w:p>
        </w:tc>
      </w:tr>
    </w:tbl>
    <w:p w:rsidR="002B762C" w:rsidRPr="00BF454A" w:rsidRDefault="002B762C" w:rsidP="002B7E09">
      <w:pPr>
        <w:pStyle w:val="NumberedParas"/>
        <w:numPr>
          <w:ilvl w:val="0"/>
          <w:numId w:val="0"/>
        </w:numPr>
        <w:ind w:left="851"/>
      </w:pPr>
    </w:p>
    <w:p w:rsidR="002B762C" w:rsidRPr="00BF454A" w:rsidRDefault="002B762C" w:rsidP="002B7E09">
      <w:pPr>
        <w:pStyle w:val="NumberedParas"/>
        <w:numPr>
          <w:ilvl w:val="0"/>
          <w:numId w:val="0"/>
        </w:numPr>
        <w:ind w:left="851"/>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62C">
      <w:pPr>
        <w:rPr>
          <w:lang w:val="ro-RO"/>
        </w:rPr>
      </w:pPr>
    </w:p>
    <w:p w:rsidR="002B762C" w:rsidRPr="00BF454A" w:rsidRDefault="002B762C" w:rsidP="002B7E09">
      <w:pPr>
        <w:pStyle w:val="NumberedParas"/>
        <w:numPr>
          <w:ilvl w:val="0"/>
          <w:numId w:val="0"/>
        </w:numPr>
      </w:pPr>
    </w:p>
    <w:p w:rsidR="002B762C" w:rsidRPr="004A64D9" w:rsidRDefault="002B762C" w:rsidP="002B7E09">
      <w:pPr>
        <w:pStyle w:val="NumberedParas"/>
        <w:numPr>
          <w:ilvl w:val="0"/>
          <w:numId w:val="0"/>
        </w:numPr>
        <w:ind w:left="567"/>
      </w:pPr>
      <w:r w:rsidRPr="004A64D9">
        <w:t>Sursa: Autoritatea Aeronautică Civilă</w:t>
      </w:r>
    </w:p>
    <w:p w:rsidR="002B762C" w:rsidRPr="00BF454A" w:rsidRDefault="002B762C" w:rsidP="002B7E09">
      <w:pPr>
        <w:pStyle w:val="NumberedParas"/>
      </w:pPr>
      <w:r w:rsidRPr="00BF454A">
        <w:t xml:space="preserve">Într-o țară cu dimensiunea și topografia României există potențialul ca sectorul de transport aerian să joace un rol din ce în ce mai important. Master Planul identifică o ierarhie de aeroporturi </w:t>
      </w:r>
      <w:r>
        <w:t xml:space="preserve">care pot </w:t>
      </w:r>
      <w:r w:rsidRPr="00BF454A">
        <w:t>oferi acces regional călătoriilor internaționale și conectivitate internă pentru arii de captare localizate.  Clasificarea</w:t>
      </w:r>
      <w:r>
        <w:t xml:space="preserve"> aeroporturilor</w:t>
      </w:r>
      <w:r w:rsidRPr="00BF454A">
        <w:t xml:space="preserve"> este următoarea:</w:t>
      </w:r>
    </w:p>
    <w:p w:rsidR="002B762C" w:rsidRPr="00BF454A" w:rsidRDefault="002B762C" w:rsidP="00573AD5">
      <w:pPr>
        <w:pStyle w:val="BulletLevel1"/>
        <w:numPr>
          <w:ilvl w:val="1"/>
          <w:numId w:val="65"/>
        </w:numPr>
        <w:spacing w:after="60"/>
        <w:ind w:left="1208" w:hanging="357"/>
      </w:pPr>
      <w:r w:rsidRPr="00BF454A">
        <w:t>Aeroport Internațional Major – aeroport cu rute internaționale deservite de operatori naționali, operatori low-cost și zboruri charter (peste 5 milioane de pasageri pe an).</w:t>
      </w:r>
    </w:p>
    <w:p w:rsidR="002B762C" w:rsidRPr="00BF454A" w:rsidRDefault="002B762C" w:rsidP="00573AD5">
      <w:pPr>
        <w:pStyle w:val="BulletLevel1"/>
        <w:numPr>
          <w:ilvl w:val="1"/>
          <w:numId w:val="65"/>
        </w:numPr>
        <w:spacing w:after="60"/>
        <w:ind w:left="1208" w:hanging="357"/>
      </w:pPr>
      <w:r w:rsidRPr="00BF454A">
        <w:t>Aeroport Hub Internațional – aeroporturi hub cu rute europene și regionale deservite de operatorii naționali, operatorii low cost și zboruri charter (între 1 milion și 5 milioane de pasageri pe an)</w:t>
      </w:r>
    </w:p>
    <w:p w:rsidR="002B762C" w:rsidRPr="00BF454A" w:rsidRDefault="002B762C" w:rsidP="00573AD5">
      <w:pPr>
        <w:pStyle w:val="BulletLevel1"/>
        <w:numPr>
          <w:ilvl w:val="1"/>
          <w:numId w:val="65"/>
        </w:numPr>
        <w:spacing w:after="60"/>
        <w:ind w:left="1208" w:hanging="357"/>
      </w:pPr>
      <w:r w:rsidRPr="00BF454A">
        <w:t xml:space="preserve">Aeroporturi regionale – aeroporturi deservite în cea mai mare parte de operatori low-cost și curse charter din România și țările vecine (între 30.000 și 1 milion pasageri pe an) </w:t>
      </w:r>
    </w:p>
    <w:p w:rsidR="002B762C" w:rsidRPr="00BF454A" w:rsidRDefault="002B762C" w:rsidP="00573AD5">
      <w:pPr>
        <w:pStyle w:val="BulletLevel1"/>
        <w:numPr>
          <w:ilvl w:val="1"/>
          <w:numId w:val="65"/>
        </w:numPr>
        <w:spacing w:after="60"/>
        <w:ind w:left="1208" w:hanging="357"/>
      </w:pPr>
      <w:r w:rsidRPr="00BF454A">
        <w:t>Aeroporturi regionale mici – aeroporturi care sunt în principal deservite de zboruri interne și zboruri charter (sub 30.000 de pasageri pe an).</w:t>
      </w:r>
    </w:p>
    <w:p w:rsidR="002B762C" w:rsidRPr="00BF454A" w:rsidRDefault="002B762C" w:rsidP="002B7E09">
      <w:pPr>
        <w:pStyle w:val="NumberedParas"/>
      </w:pPr>
      <w:r w:rsidRPr="00BF454A">
        <w:t>Mai multe de</w:t>
      </w:r>
      <w:r>
        <w:t>talii se pot găsi în Capitolul 7.</w:t>
      </w:r>
    </w:p>
    <w:p w:rsidR="002B762C" w:rsidRPr="00BF454A" w:rsidRDefault="002B762C" w:rsidP="002B7E09">
      <w:pPr>
        <w:pStyle w:val="NumberedParas"/>
      </w:pPr>
      <w:r w:rsidRPr="00BF454A">
        <w:t xml:space="preserve">Există un număr de probleme care trebuie abordate pentru a asigura creșterea continuă și competitivitatea sectorului. Acestea sunt: </w:t>
      </w:r>
    </w:p>
    <w:p w:rsidR="002B762C" w:rsidRPr="00BF454A" w:rsidRDefault="002B762C" w:rsidP="00573AD5">
      <w:pPr>
        <w:pStyle w:val="BulletLevel1"/>
        <w:numPr>
          <w:ilvl w:val="1"/>
          <w:numId w:val="65"/>
        </w:numPr>
        <w:spacing w:after="60"/>
        <w:ind w:left="1208" w:hanging="357"/>
      </w:pPr>
      <w:r w:rsidRPr="00BF454A">
        <w:t>Modernizarea sistemelor de navigație și sistemelor de degivrare pentru a permite operarea pe tot parcursul anului, exceptând perioadele cu condiții meteo extreme;</w:t>
      </w:r>
    </w:p>
    <w:p w:rsidR="002B762C" w:rsidRPr="00BF454A" w:rsidRDefault="002B762C" w:rsidP="00573AD5">
      <w:pPr>
        <w:pStyle w:val="BulletLevel1"/>
        <w:numPr>
          <w:ilvl w:val="1"/>
          <w:numId w:val="65"/>
        </w:numPr>
        <w:spacing w:after="60"/>
        <w:ind w:left="1208" w:hanging="357"/>
      </w:pPr>
      <w:r>
        <w:t>Extinderea</w:t>
      </w:r>
      <w:r w:rsidRPr="00BF454A">
        <w:t xml:space="preserve"> și întărirea pistelor pentru a permite aeroporturilor să opereze toate tipurile de aeronave folosite de obicei de operatorii europeni și pentru a își îndeplini rolurile desemnate;</w:t>
      </w:r>
    </w:p>
    <w:p w:rsidR="002B762C" w:rsidRPr="00BF454A" w:rsidRDefault="002B762C" w:rsidP="00573AD5">
      <w:pPr>
        <w:pStyle w:val="BulletLevel1"/>
        <w:numPr>
          <w:ilvl w:val="1"/>
          <w:numId w:val="65"/>
        </w:numPr>
        <w:spacing w:after="60"/>
        <w:ind w:left="1208" w:hanging="357"/>
      </w:pPr>
      <w:r w:rsidRPr="00BF454A">
        <w:t>Creșterea capacității căilor de rulare și a platformelor de staționare acolo unde există un nivel suficient al cererii;</w:t>
      </w:r>
    </w:p>
    <w:p w:rsidR="002B762C" w:rsidRPr="00BF454A" w:rsidRDefault="002B762C" w:rsidP="00573AD5">
      <w:pPr>
        <w:pStyle w:val="BulletLevel1"/>
        <w:numPr>
          <w:ilvl w:val="1"/>
          <w:numId w:val="65"/>
        </w:numPr>
        <w:spacing w:after="60"/>
        <w:ind w:left="1208" w:hanging="357"/>
      </w:pPr>
      <w:r w:rsidRPr="00BF454A">
        <w:t>Creșterea capacității terminalelor de pasageri pentru a face față cererii prognozate;</w:t>
      </w:r>
    </w:p>
    <w:p w:rsidR="002B762C" w:rsidRPr="00BF454A" w:rsidRDefault="002B762C" w:rsidP="00573AD5">
      <w:pPr>
        <w:pStyle w:val="BulletLevel1"/>
        <w:numPr>
          <w:ilvl w:val="1"/>
          <w:numId w:val="65"/>
        </w:numPr>
        <w:spacing w:after="60"/>
        <w:ind w:left="1208" w:hanging="357"/>
      </w:pPr>
      <w:r w:rsidRPr="00BF454A">
        <w:t>Îmbunătățirea accesului de suprafață (legături fixe de transport public, cum ar fi metrou sau tren) acolo unde cererea este suficientă pentru a justifica aceste proiecte și;</w:t>
      </w:r>
    </w:p>
    <w:p w:rsidR="002B762C" w:rsidRPr="00BF454A" w:rsidRDefault="002B762C" w:rsidP="00573AD5">
      <w:pPr>
        <w:pStyle w:val="BulletLevel1"/>
        <w:numPr>
          <w:ilvl w:val="1"/>
          <w:numId w:val="65"/>
        </w:numPr>
        <w:spacing w:after="60"/>
        <w:ind w:left="1208" w:hanging="357"/>
      </w:pPr>
      <w:r w:rsidRPr="00BF454A">
        <w:t>Evaluări mai detaliate ale cererii de terminale cargo, în special la aeroporturile regionale.</w:t>
      </w:r>
    </w:p>
    <w:p w:rsidR="002B762C" w:rsidRPr="00BF454A" w:rsidRDefault="002B762C" w:rsidP="002B7E09">
      <w:pPr>
        <w:pStyle w:val="NumberedParas"/>
      </w:pPr>
      <w:r w:rsidRPr="00BF454A">
        <w:t>Sectorul aerian diferă de alte moduri de transport prin faptul că cererea este puternic dependentă de facilitățile terminalului și de servicii</w:t>
      </w:r>
      <w:r>
        <w:t>le oferite</w:t>
      </w:r>
      <w:r w:rsidRPr="00BF454A">
        <w:t>. Un aeroport fără zboruri adec</w:t>
      </w:r>
      <w:r>
        <w:t>vate nu generează trafic aerian</w:t>
      </w:r>
      <w:r w:rsidRPr="00BF454A">
        <w:t xml:space="preserve"> iar o linie aeriană </w:t>
      </w:r>
      <w:r>
        <w:t>nu va începe să opereze zboruri</w:t>
      </w:r>
      <w:r w:rsidRPr="00BF454A">
        <w:t xml:space="preserve"> dacă nu sunt disponibile la sol facilitățile necesare. Această realitate are două consecințe practice în ce privește Master Planul:</w:t>
      </w:r>
    </w:p>
    <w:p w:rsidR="002B762C" w:rsidRPr="00BF454A" w:rsidRDefault="002B762C" w:rsidP="00573AD5">
      <w:pPr>
        <w:pStyle w:val="BulletLevel1"/>
        <w:numPr>
          <w:ilvl w:val="1"/>
          <w:numId w:val="65"/>
        </w:numPr>
        <w:spacing w:after="60"/>
        <w:ind w:left="1208" w:hanging="357"/>
      </w:pPr>
      <w:r w:rsidRPr="00BF454A">
        <w:t>Prognozele noastre referitoare la traficul aerian de pasageri sunt evaluări ale cererii potențiale dacă aeroportul poate atrage servicii, în special zboruri internaționale, adecvate clasei sale și</w:t>
      </w:r>
    </w:p>
    <w:p w:rsidR="002B762C" w:rsidRPr="00BF454A" w:rsidRDefault="002B762C" w:rsidP="00573AD5">
      <w:pPr>
        <w:pStyle w:val="BulletLevel1"/>
        <w:numPr>
          <w:ilvl w:val="1"/>
          <w:numId w:val="65"/>
        </w:numPr>
        <w:spacing w:after="60"/>
        <w:ind w:left="1208" w:hanging="357"/>
      </w:pPr>
      <w:r w:rsidRPr="00BF454A">
        <w:t xml:space="preserve">Recomandările de investiții în creșterea capacității sunt condiționate de existența acordurilor între aeroporturi și operatori pentru suplimentarea numărului de zboruri, dacă aeroportul oferă facilitățile necesare. Recunoaștem problemele practice ale unei astfel de politici dar Master Planul nu poate sprijini investiții speculative. </w:t>
      </w:r>
    </w:p>
    <w:p w:rsidR="002B762C" w:rsidRPr="00BF454A" w:rsidRDefault="002B762C" w:rsidP="002B762C">
      <w:pPr>
        <w:pStyle w:val="Hdg3"/>
      </w:pPr>
      <w:bookmarkStart w:id="600" w:name="_Toc411530359"/>
      <w:bookmarkStart w:id="601" w:name="_Toc411956603"/>
      <w:r w:rsidRPr="00BF454A">
        <w:t>Transport</w:t>
      </w:r>
      <w:bookmarkEnd w:id="600"/>
      <w:r w:rsidRPr="00BF454A">
        <w:t xml:space="preserve"> Intermodal</w:t>
      </w:r>
      <w:bookmarkEnd w:id="601"/>
    </w:p>
    <w:p w:rsidR="002B762C" w:rsidRPr="00BF454A" w:rsidRDefault="002B762C" w:rsidP="002B7E09">
      <w:pPr>
        <w:pStyle w:val="NumberedParas"/>
      </w:pPr>
      <w:r w:rsidRPr="00BF454A">
        <w:t xml:space="preserve">Transportul intermodal, prin care înțelegem rutier/feroviar și naval/feroviar în care cea mai mare parte a transportului se efectuează în sistem feroviar, reprezintă viitorul pentru transportul feroviar de mărfuri. Din 1960 a existat o tendință globală de creștere a containerizării bunurilor. Containerele sunt unități utilizate într-un format standard care permit companiilor globale de transport (și a celorlalte companii transportatoare) să își planifice încărcăturile transportate într-un mod eficient și eficace. De asemenea, înseamnă că echipamentul de manevrare este același iar costurile sunt cu mult mai mici decât cele pentru metodele tradiționale. Containerizarea reduce șansele de furt deoarece containerele sunt sigilate la sursă, </w:t>
      </w:r>
      <w:r>
        <w:t>reducând</w:t>
      </w:r>
      <w:r w:rsidRPr="00BF454A">
        <w:t xml:space="preserve"> astfel și costurile de asigurare. Aceasta înseamnă că timpul de întoarcere a vaselor și tre</w:t>
      </w:r>
      <w:r>
        <w:t xml:space="preserve">nurilor încărcate se reduce cu </w:t>
      </w:r>
      <w:r w:rsidRPr="00BF454A">
        <w:t xml:space="preserve">mai mult de jumătate iar costurile de transport se reduc semnificativ. Containerele se pot folosi pentru transportul celor mai multe tipuri de mărfuri inclusiv produse și lichide refrigerate. </w:t>
      </w:r>
    </w:p>
    <w:p w:rsidR="002B762C" w:rsidRPr="00BF454A" w:rsidRDefault="002B762C" w:rsidP="002B7E09">
      <w:pPr>
        <w:pStyle w:val="NumberedParas"/>
      </w:pPr>
      <w:r w:rsidRPr="00BF454A">
        <w:t>Cu toate acestea, gradul de containerizare înregistrat de transporturile d</w:t>
      </w:r>
      <w:r>
        <w:t>in România este mult sub nivelul</w:t>
      </w:r>
      <w:r w:rsidRPr="00BF454A">
        <w:t xml:space="preserve"> multor altor țări europene (deși este mai mare decât în țara vecină Bulgaria). Datele din Tabelul 2.3 arată un grad de containerizare mare în special în Italia, Turcia, Austria și Germania, Bulgaria și România fiind destul de în urmă. Volumul și procentul acestui tip de transport în Austria </w:t>
      </w:r>
      <w:r>
        <w:t xml:space="preserve">se cifrează la valori mari și </w:t>
      </w:r>
      <w:r w:rsidRPr="00BF454A">
        <w:t xml:space="preserve">datorită efectului Alpilor, </w:t>
      </w:r>
      <w:r>
        <w:t xml:space="preserve">unde, </w:t>
      </w:r>
      <w:r w:rsidRPr="00BF454A">
        <w:t>pe anumite rute</w:t>
      </w:r>
      <w:r>
        <w:t>,</w:t>
      </w:r>
      <w:r w:rsidRPr="00BF454A">
        <w:t xml:space="preserve"> </w:t>
      </w:r>
      <w:r>
        <w:t>este</w:t>
      </w:r>
      <w:r w:rsidRPr="00BF454A">
        <w:t xml:space="preserve"> obligatoriu să se folosească serviciile feroviare, </w:t>
      </w:r>
      <w:r>
        <w:t>apărând concomitent și</w:t>
      </w:r>
      <w:r w:rsidRPr="00BF454A">
        <w:t xml:space="preserve"> un volum considerabil de trafic de tranzit. Doar dimensiunea în sine a României și potențialul de trafic de tranzit sugerează faptul că transportul intermodal ar trebui să aibă un viitor promițător.</w:t>
      </w:r>
    </w:p>
    <w:p w:rsidR="002B762C" w:rsidRPr="00BF454A" w:rsidRDefault="002B762C" w:rsidP="002B7E09">
      <w:pPr>
        <w:pStyle w:val="NumberedParas"/>
      </w:pPr>
      <w:r w:rsidRPr="00BF454A">
        <w:t>Volumul scăzut al containerizării din România se datorează unui număr de factori. Aceștia includ practicile de lucru istorice, forța de muncă relativ ieftină, lipsa investițiilor în terminale intermodale, inclusiv echipamentele hidraulice aferente acestora și stocarea securizată, lipsa lanțurilor moderne de distribuție, lipsa vagoanelor moderne destinate operării eficiente a containerelor și timpi de parcurs foarte mari și nefiabili pe calea ferată.</w:t>
      </w:r>
    </w:p>
    <w:p w:rsidR="002B762C" w:rsidRPr="00BF454A" w:rsidRDefault="002B762C" w:rsidP="002B7E09">
      <w:pPr>
        <w:pStyle w:val="NumberedParas"/>
      </w:pPr>
      <w:r w:rsidRPr="00BF454A">
        <w:t>Propunerile din Master Plan abordează aceste probleme în mai multe feluri. Am identificat locațiile unde terminalele intermodale se vor bucura de succes în atragerea unui volum de mărfuri viabil de peste 7.500 TEU pe an până în anul 2030. Odată înființată această rețea, suntem siguri că prognozele noastre se vor dovedi sub nivelul real al cererii, dat fiind faptul că în Romania transportul intermodal reprezintă, în esență, un nou mod de transport și astfel procesul de prognozare este nesigur. În capitolul 8 al Master Planului prezentăm volumele potențiale care depășesc substanțial nivelul de bază al prognozelor noastre.</w:t>
      </w:r>
    </w:p>
    <w:p w:rsidR="002B762C" w:rsidRPr="00BF454A" w:rsidRDefault="002B762C" w:rsidP="002B7E09">
      <w:pPr>
        <w:pStyle w:val="NumberedParas"/>
      </w:pPr>
      <w:r w:rsidRPr="00BF454A">
        <w:t xml:space="preserve">Aceste terminale vor asigura o rețea de terminale intermodale pe toată suprafața României. Există patru terminale tri-modale majore localizate la Constanța și principalele porturi fluviale, șase terminale existente care sunt operate cu succes și 10 noi terminale care ar putea fi renovări ale terminalelor existente sau, cel mai probabil, construcții noi cu facilități moderne.  Unele dintre acestea ar putea fi integrate în dezvoltări comerciale cum ar fi </w:t>
      </w:r>
      <w:r w:rsidRPr="00BF454A">
        <w:rPr>
          <w:i/>
        </w:rPr>
        <w:t xml:space="preserve">sate de mărfuri </w:t>
      </w:r>
      <w:r w:rsidRPr="00BF454A">
        <w:t>sau alte f</w:t>
      </w:r>
      <w:r>
        <w:t>aci</w:t>
      </w:r>
      <w:r w:rsidRPr="00BF454A">
        <w:t>li</w:t>
      </w:r>
      <w:r>
        <w:t>t</w:t>
      </w:r>
      <w:r w:rsidRPr="00BF454A">
        <w:t xml:space="preserve">ăți de stocare și distribuție, </w:t>
      </w:r>
      <w:r>
        <w:t xml:space="preserve">unități </w:t>
      </w:r>
      <w:r w:rsidRPr="00BF454A">
        <w:t>pentru servicii oferite companiilor, activităților și vehiculelor de transport,  dar am evaluat doar elementele intermodale.</w:t>
      </w:r>
    </w:p>
    <w:p w:rsidR="002B762C" w:rsidRPr="00BF454A" w:rsidRDefault="002B762C" w:rsidP="002B7E09">
      <w:pPr>
        <w:pStyle w:val="NumberedParas"/>
      </w:pPr>
      <w:r w:rsidRPr="00BF454A">
        <w:t>Operarea terminalelor intermodale este strâns legată de industria logistică, 100% privatizată. După consultarea operatorilor existenți și potențiali de facilități intermodale recomandarea noastră este ca terminalele intermodale să fie proiectate, construite și operate de sectorul privat pentru a își putea exploata pe deplin potențialul.</w:t>
      </w:r>
      <w:r>
        <w:t xml:space="preserve"> Cu toate acestea, așa cum subl</w:t>
      </w:r>
      <w:r w:rsidRPr="00BF454A">
        <w:t>in</w:t>
      </w:r>
      <w:r>
        <w:t>i</w:t>
      </w:r>
      <w:r w:rsidRPr="00BF454A">
        <w:t>em, operarea terminalelor intermodale este de fapt o industrie de start-up în România și în multe cazuri va fi nevoie de o cantitate mică de investiții publice.</w:t>
      </w:r>
    </w:p>
    <w:p w:rsidR="002B762C" w:rsidRPr="00BF454A" w:rsidRDefault="002B762C" w:rsidP="002B7E09">
      <w:pPr>
        <w:pStyle w:val="NumberedParas"/>
      </w:pPr>
      <w:r w:rsidRPr="00BF454A">
        <w:t>Recomandăm ca, la nivel minim, sectorul public să contribuie la planificarea autorizațiilor, achizițiilor de teren și conexiunilor la rețeaua rutieră și feroviară națională și locală.</w:t>
      </w:r>
    </w:p>
    <w:p w:rsidR="002B762C" w:rsidRPr="00BF454A" w:rsidRDefault="002B762C" w:rsidP="002B7E09">
      <w:pPr>
        <w:pStyle w:val="NumberedParas"/>
      </w:pPr>
      <w:r w:rsidRPr="00BF454A">
        <w:t>Propunerile de reabilitare din sectorul feroviar descrise mai sus vor avea, de asemenea, efecte benefice asupra transportului de marfă deoarece reabilitare</w:t>
      </w:r>
      <w:r>
        <w:t>a</w:t>
      </w:r>
      <w:r w:rsidRPr="00BF454A">
        <w:t xml:space="preserve"> va include sisteme de semnalizare, frânare regenerativă și creșteri ale greutății pe osie până la 22,5 tone, reprezentând standardul european. În ceea ce privește trenurile complete de containere în particular, recomandăm și creșterea vitezei limită la 120 km/h și schimbarea protocolurilor de control al trenurilor astfel încât acestor trenuri să li se ofere o mai mare prioritate. </w:t>
      </w:r>
    </w:p>
    <w:p w:rsidR="002B762C" w:rsidRPr="00BF454A" w:rsidRDefault="002B762C" w:rsidP="002B762C">
      <w:pPr>
        <w:rPr>
          <w:lang w:val="ro-RO"/>
        </w:rPr>
      </w:pPr>
    </w:p>
    <w:p w:rsidR="002B762C" w:rsidRPr="00BF454A" w:rsidRDefault="002B762C" w:rsidP="002B762C">
      <w:pPr>
        <w:pStyle w:val="Hdg2"/>
        <w:tabs>
          <w:tab w:val="clear" w:pos="2280"/>
          <w:tab w:val="num" w:pos="1288"/>
        </w:tabs>
      </w:pPr>
      <w:bookmarkStart w:id="602" w:name="_Toc411956605"/>
      <w:bookmarkStart w:id="603" w:name="_Toc413060356"/>
      <w:r w:rsidRPr="00BF454A">
        <w:t xml:space="preserve">Obiective </w:t>
      </w:r>
      <w:bookmarkEnd w:id="602"/>
      <w:r>
        <w:t>generale</w:t>
      </w:r>
      <w:bookmarkEnd w:id="603"/>
    </w:p>
    <w:p w:rsidR="002B762C" w:rsidRPr="00BF454A" w:rsidRDefault="002B762C" w:rsidP="002B7E09">
      <w:pPr>
        <w:pStyle w:val="NumberedParas"/>
      </w:pPr>
      <w:r w:rsidRPr="00BF454A">
        <w:t>Au fost definite o serie de obiective strategice care au ghidat definirea intervențiile propuse în cadrul Master Planului. Aceste obiective au rezultat din analiza următoarelor documente naționale și europene:</w:t>
      </w:r>
    </w:p>
    <w:p w:rsidR="002B762C" w:rsidRPr="00BF454A" w:rsidRDefault="002B762C" w:rsidP="00573AD5">
      <w:pPr>
        <w:pStyle w:val="BulletLevel1"/>
        <w:numPr>
          <w:ilvl w:val="1"/>
          <w:numId w:val="65"/>
        </w:numPr>
        <w:spacing w:after="60"/>
        <w:ind w:left="1208" w:hanging="357"/>
      </w:pPr>
      <w:r w:rsidRPr="00BF454A">
        <w:t>Obiectivele din cadrul Caietului de Sarcini (ToR)</w:t>
      </w:r>
    </w:p>
    <w:p w:rsidR="002B762C" w:rsidRPr="00BF454A" w:rsidRDefault="002B762C" w:rsidP="00573AD5">
      <w:pPr>
        <w:pStyle w:val="BulletLevel1"/>
        <w:numPr>
          <w:ilvl w:val="1"/>
          <w:numId w:val="65"/>
        </w:numPr>
        <w:spacing w:after="60"/>
        <w:ind w:left="1208" w:hanging="357"/>
      </w:pPr>
      <w:r w:rsidRPr="00BF454A">
        <w:t>Misiune: Cuvântul introductiv al Ministrului din cadrul Planului Strategic al Ministerului Transporturilor  și infrastructurii</w:t>
      </w:r>
      <w:r w:rsidRPr="00BF454A">
        <w:rPr>
          <w:rStyle w:val="FootnoteReference"/>
        </w:rPr>
        <w:footnoteReference w:id="44"/>
      </w:r>
    </w:p>
    <w:p w:rsidR="002B762C" w:rsidRPr="00BF454A" w:rsidRDefault="002B762C" w:rsidP="00573AD5">
      <w:pPr>
        <w:pStyle w:val="BulletLevel1"/>
        <w:numPr>
          <w:ilvl w:val="1"/>
          <w:numId w:val="65"/>
        </w:numPr>
        <w:spacing w:after="60"/>
        <w:ind w:left="1208" w:hanging="357"/>
      </w:pPr>
      <w:r w:rsidRPr="00BF454A">
        <w:t xml:space="preserve">Cartea Albă a Transporturilor UE 2011 </w:t>
      </w:r>
    </w:p>
    <w:p w:rsidR="002B762C" w:rsidRPr="00BF454A" w:rsidRDefault="002B762C" w:rsidP="00573AD5">
      <w:pPr>
        <w:pStyle w:val="BulletLevel1"/>
        <w:numPr>
          <w:ilvl w:val="1"/>
          <w:numId w:val="65"/>
        </w:numPr>
        <w:spacing w:after="60"/>
        <w:ind w:left="1208" w:hanging="357"/>
      </w:pPr>
      <w:r w:rsidRPr="00BF454A">
        <w:t>Documentul strategic al Guvernului României privind politicile de transport – Program de guvernare 2013 -2016, Secțiunea Transport</w:t>
      </w:r>
    </w:p>
    <w:p w:rsidR="002B762C" w:rsidRPr="00BF454A" w:rsidRDefault="002B762C" w:rsidP="00573AD5">
      <w:pPr>
        <w:pStyle w:val="BulletLevel1"/>
        <w:numPr>
          <w:ilvl w:val="1"/>
          <w:numId w:val="65"/>
        </w:numPr>
        <w:spacing w:after="60"/>
        <w:ind w:left="1208" w:hanging="357"/>
      </w:pPr>
      <w:r w:rsidRPr="00BF454A">
        <w:t>Acordul de Parteneriat 2014 – 2020 (a se consulta paginile 176 – 177)</w:t>
      </w:r>
    </w:p>
    <w:p w:rsidR="002B762C" w:rsidRPr="00BF454A" w:rsidRDefault="002B762C" w:rsidP="00573AD5">
      <w:pPr>
        <w:pStyle w:val="BulletLevel1"/>
        <w:numPr>
          <w:ilvl w:val="1"/>
          <w:numId w:val="65"/>
        </w:numPr>
        <w:spacing w:after="60"/>
        <w:ind w:left="1208" w:hanging="357"/>
      </w:pPr>
      <w:r w:rsidRPr="00BF454A">
        <w:t xml:space="preserve">Raportul privind condițiile existente, AECOM </w:t>
      </w:r>
    </w:p>
    <w:p w:rsidR="002B762C" w:rsidRPr="00BF454A" w:rsidRDefault="002B762C" w:rsidP="00573AD5">
      <w:pPr>
        <w:pStyle w:val="BulletLevel1"/>
        <w:numPr>
          <w:ilvl w:val="1"/>
          <w:numId w:val="65"/>
        </w:numPr>
        <w:spacing w:after="60"/>
        <w:ind w:left="1208" w:hanging="357"/>
      </w:pPr>
      <w:r w:rsidRPr="00BF454A">
        <w:t xml:space="preserve">Planul de Amenajare a Teritoriului Național – Secțiunea 1 – Căi de comunicații </w:t>
      </w:r>
    </w:p>
    <w:p w:rsidR="002B762C" w:rsidRPr="00BF454A" w:rsidRDefault="002B762C" w:rsidP="00573AD5">
      <w:pPr>
        <w:pStyle w:val="BulletLevel1"/>
        <w:numPr>
          <w:ilvl w:val="1"/>
          <w:numId w:val="65"/>
        </w:numPr>
        <w:spacing w:after="60"/>
        <w:ind w:left="1208" w:hanging="357"/>
        <w:rPr>
          <w:rFonts w:ascii="Times New Roman" w:hAnsi="Times New Roman"/>
          <w:sz w:val="24"/>
          <w:szCs w:val="24"/>
        </w:rPr>
      </w:pPr>
      <w:r w:rsidRPr="00BF454A">
        <w:t>Rețelele UE de bază pentru sectorul rutier și feroviar</w:t>
      </w:r>
    </w:p>
    <w:p w:rsidR="002B762C" w:rsidRPr="00BF454A" w:rsidRDefault="002B762C" w:rsidP="002B7E09">
      <w:pPr>
        <w:pStyle w:val="NumberedParas"/>
      </w:pPr>
      <w:r w:rsidRPr="00BF454A">
        <w:t>Pe baza acestor documente au fost identificate următoarele teme generale și obiective strategice:</w:t>
      </w:r>
    </w:p>
    <w:p w:rsidR="002B762C" w:rsidRPr="00BF454A" w:rsidRDefault="002B762C" w:rsidP="00573AD5">
      <w:pPr>
        <w:pStyle w:val="BulletLevel1"/>
        <w:numPr>
          <w:ilvl w:val="1"/>
          <w:numId w:val="65"/>
        </w:numPr>
        <w:spacing w:after="60"/>
        <w:ind w:left="1208" w:hanging="357"/>
      </w:pPr>
      <w:r w:rsidRPr="00BF454A">
        <w:rPr>
          <w:b/>
        </w:rPr>
        <w:t>Eficiența economică</w:t>
      </w:r>
      <w:r w:rsidRPr="00BF454A">
        <w:t>:</w:t>
      </w:r>
      <w:r w:rsidRPr="00BF454A">
        <w:rPr>
          <w:b/>
        </w:rPr>
        <w:t xml:space="preserve"> </w:t>
      </w:r>
      <w:r w:rsidRPr="00BF454A">
        <w:t>sistemul de transport trebuie să fie eficient în ce privește operațiunile de transport și utilizatorii acestuia. În mod</w:t>
      </w:r>
      <w:r w:rsidRPr="00BF454A">
        <w:rPr>
          <w:b/>
        </w:rPr>
        <w:t xml:space="preserve"> </w:t>
      </w:r>
      <w:r w:rsidRPr="00BF454A">
        <w:t xml:space="preserve">specific, beneficiile sistemului de transport ar trebui să depășească costurile. Acest obiectiv măsoară beneficiul oferit utilizatorilor și furnizorilor de servicii din sistemul de transport iar măsurile cantitative ale acestuia sunt: Raportul Beneficiu Cost (RBC), Valoarea Actualizată Netă (VAN) și Rata Internă de Rentabilitate Economică (RIRE). </w:t>
      </w:r>
    </w:p>
    <w:p w:rsidR="002B762C" w:rsidRPr="00BF454A" w:rsidRDefault="002B762C" w:rsidP="00573AD5">
      <w:pPr>
        <w:pStyle w:val="BulletLevel1"/>
        <w:numPr>
          <w:ilvl w:val="1"/>
          <w:numId w:val="65"/>
        </w:numPr>
        <w:spacing w:after="60"/>
        <w:ind w:left="1208" w:hanging="357"/>
      </w:pPr>
      <w:r w:rsidRPr="00BF454A">
        <w:rPr>
          <w:b/>
        </w:rPr>
        <w:t>Sustenabilitate</w:t>
      </w:r>
      <w:r w:rsidRPr="00BF454A">
        <w:t>: acest concept include sustenabilitatea financiară, economică și de mediu. Modurile de transport așa numite durabile – feroviar, transport cu autobuzul și transport naval -  care sunt mai eficiente energetic și cu un grad mai scăzut de emisii ar trebui dezvoltate în mod prioritar. În cadrul evaluării economice costu</w:t>
      </w:r>
      <w:r>
        <w:t>rilor operaționale și emisiilor li se atribuie valori  monetare</w:t>
      </w:r>
      <w:r w:rsidRPr="00BF454A">
        <w:t xml:space="preserve"> însă înscrierea Sustenabilității ca obiectiv separat respectă atât intențiile Guvernului României și ale Uniunii Europene cât și preocupările generațiilor viitoare. </w:t>
      </w:r>
    </w:p>
    <w:p w:rsidR="002B762C" w:rsidRPr="00BF454A" w:rsidRDefault="002B762C" w:rsidP="00573AD5">
      <w:pPr>
        <w:pStyle w:val="BulletLevel1"/>
        <w:numPr>
          <w:ilvl w:val="1"/>
          <w:numId w:val="65"/>
        </w:numPr>
        <w:spacing w:after="60"/>
        <w:ind w:left="1208" w:hanging="357"/>
      </w:pPr>
      <w:r w:rsidRPr="00BF454A">
        <w:rPr>
          <w:b/>
        </w:rPr>
        <w:t xml:space="preserve">Siguranța: </w:t>
      </w:r>
      <w:r w:rsidRPr="00BF454A">
        <w:t>investițiile în transporturi ar trebui să producă un sistem de transport mai sigur. Costul economic al accidentelor este transformat în valori monetare în cadrul evaluării economice dar, deoarece unul din obiectivele principale ale Guvernului, ale UE și ale Caietului de Sarcini este reprezentat de reducerea accidentelor din sectorul transporturilor, siguranța trebuie să rămână un obiectiv distinct.</w:t>
      </w:r>
    </w:p>
    <w:p w:rsidR="002B762C" w:rsidRPr="00BF454A" w:rsidRDefault="002B762C" w:rsidP="00573AD5">
      <w:pPr>
        <w:pStyle w:val="BulletLevel1"/>
        <w:numPr>
          <w:ilvl w:val="1"/>
          <w:numId w:val="65"/>
        </w:numPr>
        <w:spacing w:after="60"/>
        <w:ind w:left="1208" w:hanging="357"/>
      </w:pPr>
      <w:r w:rsidRPr="00BF454A">
        <w:rPr>
          <w:b/>
        </w:rPr>
        <w:t>Impactul asupra mediului</w:t>
      </w:r>
      <w:r w:rsidRPr="00BF454A">
        <w:t>: sistemul de transport nu trebuie să aibă un impact negativ asupra mediului.</w:t>
      </w:r>
    </w:p>
    <w:p w:rsidR="002B762C" w:rsidRPr="00BF454A" w:rsidRDefault="002B762C" w:rsidP="00573AD5">
      <w:pPr>
        <w:pStyle w:val="BulletLevel1"/>
        <w:numPr>
          <w:ilvl w:val="1"/>
          <w:numId w:val="65"/>
        </w:numPr>
        <w:spacing w:after="60"/>
        <w:ind w:left="1208" w:hanging="357"/>
      </w:pPr>
      <w:r w:rsidRPr="00BF454A">
        <w:rPr>
          <w:b/>
        </w:rPr>
        <w:t>Dezvoltarea economică</w:t>
      </w:r>
      <w:r w:rsidRPr="00BF454A">
        <w:t>. Sistemul de transport trebuie configurat astfel încât să permită dezvoltarea economică atât la nivel național cât și la nivel regional. Investiția ar trebui, de asemenea, să favorizeze echitatea față de cetățenii României.</w:t>
      </w:r>
    </w:p>
    <w:p w:rsidR="002B762C" w:rsidRPr="00BF454A" w:rsidRDefault="002B762C" w:rsidP="00573AD5">
      <w:pPr>
        <w:pStyle w:val="BulletLevel1"/>
        <w:numPr>
          <w:ilvl w:val="1"/>
          <w:numId w:val="65"/>
        </w:numPr>
        <w:spacing w:after="60"/>
        <w:ind w:left="1208" w:hanging="357"/>
      </w:pPr>
      <w:r w:rsidRPr="00BF454A">
        <w:rPr>
          <w:b/>
        </w:rPr>
        <w:t>Finanțare</w:t>
      </w:r>
      <w:r w:rsidRPr="00BF454A">
        <w:t>: există un deficit substanțial de finanțare a transporturilor în România. La nivelul proiectelor disponibilitatea fondurilor europene prin intermediul Fondurilor Structurale (FC, FEDR, Connecting Europe Facility (CEF) și PPP) vor afecta oportunitatea implementării acestora dar și prioritizarea lor. Programul general va trebui să se încadreze în limita unor estimări realiste a fondurilor naționale și internaționale disponibile pe perioada planificată</w:t>
      </w:r>
    </w:p>
    <w:p w:rsidR="002B762C" w:rsidRPr="00BF454A" w:rsidRDefault="002B762C" w:rsidP="002B7E09">
      <w:pPr>
        <w:pStyle w:val="NumberedParas"/>
      </w:pPr>
      <w:r w:rsidRPr="00BF454A">
        <w:t>În continuarea acestor obiective generale, au fost definite obiective operaționale specifice fiecărui mod de transport, pe baza unei analize individuale a problemelor din fiecare sector. Au fost organizate consultări extinse cu factorii de interes din sectoarele public și privat, ca parte din analiza problemelor.</w:t>
      </w:r>
    </w:p>
    <w:p w:rsidR="002B762C" w:rsidRPr="00BF454A" w:rsidRDefault="002B762C" w:rsidP="002B762C">
      <w:pPr>
        <w:pStyle w:val="Hdg3"/>
      </w:pPr>
      <w:r w:rsidRPr="00BF454A">
        <w:t>Obiective operaționale</w:t>
      </w:r>
    </w:p>
    <w:p w:rsidR="002B762C" w:rsidRPr="00BF454A" w:rsidRDefault="002B762C" w:rsidP="002B7E09">
      <w:pPr>
        <w:pStyle w:val="NumberedParas"/>
      </w:pPr>
      <w:r w:rsidRPr="00BF454A">
        <w:t>Obiectivele operaționale au fost obținute dintr-o analiză detaliată a problemelor fiecărui mod de transport. În cadrul analizei problemelor a fost acordată atenție modului în care fiecare problemă are o cauză fundamentală, localizată geografic acolo unde este posibil. Obiectivele operaționale sunt, prin urmare, specifice fiecărei probleme dar au fost grupate în cadrul obiectivelor generale descrise anterior.</w:t>
      </w:r>
    </w:p>
    <w:p w:rsidR="002B762C" w:rsidRPr="00BF454A" w:rsidRDefault="002B762C" w:rsidP="002B7E09">
      <w:pPr>
        <w:pStyle w:val="NumberedParas"/>
      </w:pPr>
      <w:r w:rsidRPr="00BF454A">
        <w:t xml:space="preserve">Obiectivele operaționale sunt definite în cadrul capitolelor </w:t>
      </w:r>
      <w:r>
        <w:t>dedicate fiecărui</w:t>
      </w:r>
      <w:r w:rsidRPr="00BF454A">
        <w:t xml:space="preserve"> mod de transport (capitolele 4-8 din cadrul Raportului privind Master Planul) și în notele tehnice privind Problemele/</w:t>
      </w:r>
      <w:r>
        <w:t xml:space="preserve"> </w:t>
      </w:r>
      <w:r w:rsidRPr="00BF454A">
        <w:t>Obiectivele/</w:t>
      </w:r>
      <w:r>
        <w:t xml:space="preserve"> </w:t>
      </w:r>
      <w:r w:rsidRPr="00BF454A">
        <w:t>Intervențiile.</w:t>
      </w:r>
    </w:p>
    <w:p w:rsidR="002B762C" w:rsidRPr="00BF454A" w:rsidRDefault="002B762C" w:rsidP="002B762C">
      <w:pPr>
        <w:rPr>
          <w:lang w:val="ro-RO"/>
        </w:rPr>
      </w:pPr>
    </w:p>
    <w:p w:rsidR="002B762C" w:rsidRPr="00BF454A" w:rsidRDefault="002B762C" w:rsidP="002B762C">
      <w:pPr>
        <w:pStyle w:val="Hdg2"/>
        <w:tabs>
          <w:tab w:val="clear" w:pos="2280"/>
          <w:tab w:val="num" w:pos="1288"/>
        </w:tabs>
      </w:pPr>
      <w:bookmarkStart w:id="604" w:name="_Toc411956606"/>
      <w:bookmarkStart w:id="605" w:name="_Toc413060357"/>
      <w:r w:rsidRPr="00BF454A">
        <w:t>Intervenții</w:t>
      </w:r>
      <w:bookmarkEnd w:id="604"/>
      <w:bookmarkEnd w:id="605"/>
    </w:p>
    <w:p w:rsidR="002B762C" w:rsidRPr="00BF454A" w:rsidRDefault="002B762C" w:rsidP="002B7E09">
      <w:pPr>
        <w:pStyle w:val="NumberedParas"/>
      </w:pPr>
      <w:r w:rsidRPr="00BF454A">
        <w:t>Definirea i</w:t>
      </w:r>
      <w:r>
        <w:t>ntervențiilor succede identificării</w:t>
      </w:r>
      <w:r w:rsidRPr="00BF454A">
        <w:t xml:space="preserve"> obiectivelor operaționale. Această procedură asigură faptul că există o conexiune clară și observabilă între obiectivele generale, problemele identificate, obiectivele operaționale corespondente precum și intervențiile în sine. Această abordare asigură și faptul că intervențiile se adresează unor probleme reale, legate de transport. Utilizarea Modelului Național face ca să existe o bază cantitativă pentru definirea problemelor, a obiectivelor și intervențiilor.</w:t>
      </w:r>
    </w:p>
    <w:p w:rsidR="002B762C" w:rsidRPr="00BF454A" w:rsidRDefault="002B762C" w:rsidP="002B7E09">
      <w:pPr>
        <w:pStyle w:val="NumberedParas"/>
      </w:pPr>
      <w:r w:rsidRPr="00BF454A">
        <w:t>Am invitat Ministerul Transporturilor și beneficiarii să trimită propunerile privind proiectele din sfera lor de responsabilitate. Valoarea totală a intervențiilor propuse, care includ în special proiecte de infrastructură nouă, a fost de 74,8 miliarde euro. Fondurile totale disponibile pentru proiecte de infrastructură sunt de 9,5 miliarde euro până în anul 2020 și de 24,7 miliarde euro până în anul 2030. Prin urmare, fondurile totale disponibile reprezintă mai puțin de jumătate din aspirațiile beneficiarilor.</w:t>
      </w:r>
    </w:p>
    <w:p w:rsidR="002B762C" w:rsidRPr="00BF454A" w:rsidRDefault="002B762C" w:rsidP="002B7E09">
      <w:pPr>
        <w:pStyle w:val="NumberedParas"/>
      </w:pPr>
      <w:r w:rsidRPr="00BF454A">
        <w:t>Master Planul nu poate genera finanțări suplimentare dar poate oferi garanția că, în cazul în care fondurile sunt limitate, finanțarea disponibilă va fi repartizată acelor domenii care oferă cele mai mari beneficii economice. Echipa AECOM, în colaborare cu Ministerul Transporturilor și JASPERS a identificat o serie de intervenții care includ, dar care nu se limitează la, intervenții în infrastructură. În anumite cazuri acestea corespund cu proiectele propuse de beneficiari, dar în multe cazuri proiectele sunt diferite ca și specific sau ca anvergură, cu scopul de a se adresa problemelor specifice sau cererii prognozate.</w:t>
      </w:r>
    </w:p>
    <w:p w:rsidR="002B762C" w:rsidRPr="00BF454A" w:rsidRDefault="002B762C" w:rsidP="002B7E09">
      <w:pPr>
        <w:pStyle w:val="NumberedParas"/>
      </w:pPr>
      <w:r w:rsidRPr="00BF454A">
        <w:t>Analiza condițiilor existente și viitoare au evidențiat o serie de deficiențe în ceea ce privește întreținerea și reparațiile rețelelor feroviare și rutiere. Strategia generală include două direcții de acțiune:</w:t>
      </w:r>
    </w:p>
    <w:p w:rsidR="002B762C" w:rsidRPr="00BF454A" w:rsidRDefault="002B762C" w:rsidP="00573AD5">
      <w:pPr>
        <w:pStyle w:val="BulletLevel1"/>
        <w:numPr>
          <w:ilvl w:val="1"/>
          <w:numId w:val="65"/>
        </w:numPr>
        <w:spacing w:after="60"/>
        <w:ind w:left="1208" w:hanging="357"/>
      </w:pPr>
      <w:r w:rsidRPr="00BF454A">
        <w:t>Protecția activelor existente prin asigurarea unei finanțări pe termen lung a unui regim superior de întreținere și reparații. Beneficiarii acestei măsuri vor fi toți cetățenii României (dar și vizitatorii) care utilizează sistemele de transport din țară; și</w:t>
      </w:r>
    </w:p>
    <w:p w:rsidR="002B762C" w:rsidRPr="00BF454A" w:rsidRDefault="002B762C" w:rsidP="00573AD5">
      <w:pPr>
        <w:pStyle w:val="BulletLevel1"/>
        <w:numPr>
          <w:ilvl w:val="1"/>
          <w:numId w:val="65"/>
        </w:numPr>
        <w:spacing w:after="60"/>
        <w:ind w:left="1208" w:hanging="357"/>
      </w:pPr>
      <w:r w:rsidRPr="00BF454A">
        <w:t>Îmbunătățiri ale infrastructurii, care oferă cea mai bună valoarea a banilor și care îndeplinesc obiectivele operaționale.</w:t>
      </w:r>
    </w:p>
    <w:p w:rsidR="002B762C" w:rsidRPr="00BF454A" w:rsidRDefault="002B762C" w:rsidP="002B762C">
      <w:pPr>
        <w:pStyle w:val="Hdg2"/>
        <w:tabs>
          <w:tab w:val="clear" w:pos="2280"/>
          <w:tab w:val="num" w:pos="1288"/>
        </w:tabs>
      </w:pPr>
      <w:bookmarkStart w:id="606" w:name="_Toc411347916"/>
      <w:bookmarkStart w:id="607" w:name="_Toc411347950"/>
      <w:bookmarkStart w:id="608" w:name="_Toc411348008"/>
      <w:bookmarkStart w:id="609" w:name="_Toc411515738"/>
      <w:bookmarkStart w:id="610" w:name="_Toc411516076"/>
      <w:bookmarkStart w:id="611" w:name="_Toc411348197"/>
      <w:bookmarkStart w:id="612" w:name="_Toc411348339"/>
      <w:bookmarkStart w:id="613" w:name="_Toc411518112"/>
      <w:bookmarkStart w:id="614" w:name="_Toc411956607"/>
      <w:bookmarkStart w:id="615" w:name="_Toc413060358"/>
      <w:bookmarkEnd w:id="606"/>
      <w:bookmarkEnd w:id="607"/>
      <w:bookmarkEnd w:id="608"/>
      <w:bookmarkEnd w:id="609"/>
      <w:bookmarkEnd w:id="610"/>
      <w:bookmarkEnd w:id="611"/>
      <w:bookmarkEnd w:id="612"/>
      <w:bookmarkEnd w:id="613"/>
      <w:r w:rsidRPr="00BF454A">
        <w:t>Testarea proiectelor</w:t>
      </w:r>
      <w:bookmarkEnd w:id="614"/>
      <w:bookmarkEnd w:id="615"/>
    </w:p>
    <w:p w:rsidR="002B762C" w:rsidRPr="00BF454A" w:rsidRDefault="002B762C" w:rsidP="002B7E09">
      <w:pPr>
        <w:pStyle w:val="NumberedParas"/>
      </w:pPr>
      <w:r w:rsidRPr="00BF454A">
        <w:t xml:space="preserve">Intervențiile din sectorul feroviar, rutier, naval și intermodal au fost testate cu ajutorul Modelului Național. Modelul este descris în detaliu în cadrul Raportului Privind Elaborarea Modelului, dar există o serie de caracteristici importante ale modelului care trebuie să fie pe deplin înțelese în momentul interpretării rezultatelor. </w:t>
      </w:r>
    </w:p>
    <w:p w:rsidR="002B762C" w:rsidRPr="00BF454A" w:rsidRDefault="002B762C" w:rsidP="002B7E09">
      <w:pPr>
        <w:pStyle w:val="NumberedParas"/>
      </w:pPr>
      <w:r w:rsidRPr="00BF454A">
        <w:t>Modelul utilizează procesul consacrat în patru etape, care include:</w:t>
      </w:r>
    </w:p>
    <w:p w:rsidR="002B762C" w:rsidRPr="00BF454A" w:rsidRDefault="002B762C" w:rsidP="00573AD5">
      <w:pPr>
        <w:pStyle w:val="BulletLevel1"/>
        <w:numPr>
          <w:ilvl w:val="1"/>
          <w:numId w:val="65"/>
        </w:numPr>
        <w:spacing w:after="60"/>
        <w:ind w:left="1208" w:hanging="357"/>
      </w:pPr>
      <w:r w:rsidRPr="00BF454A">
        <w:t>Etapa 1: Producția și atracția de călătorii: estimarea numărului total de călătorii-pasager sau tone marfă, generate și atrase de fiecare zonă în parte;</w:t>
      </w:r>
    </w:p>
    <w:p w:rsidR="002B762C" w:rsidRPr="00BF454A" w:rsidRDefault="002B762C" w:rsidP="00573AD5">
      <w:pPr>
        <w:pStyle w:val="BulletLevel1"/>
        <w:numPr>
          <w:ilvl w:val="1"/>
          <w:numId w:val="65"/>
        </w:numPr>
        <w:spacing w:after="60"/>
        <w:ind w:left="1208" w:hanging="357"/>
      </w:pPr>
      <w:r w:rsidRPr="00BF454A">
        <w:t>Etapa 2: Distribuția călătoriilor-pasager  și tonelor marfă între zone;</w:t>
      </w:r>
    </w:p>
    <w:p w:rsidR="002B762C" w:rsidRPr="00BF454A" w:rsidRDefault="002B762C" w:rsidP="00573AD5">
      <w:pPr>
        <w:pStyle w:val="BulletLevel1"/>
        <w:numPr>
          <w:ilvl w:val="1"/>
          <w:numId w:val="65"/>
        </w:numPr>
        <w:spacing w:after="60"/>
        <w:ind w:left="1208" w:hanging="357"/>
      </w:pPr>
      <w:r w:rsidRPr="00BF454A">
        <w:t xml:space="preserve">Etapa 3: Opțiunile existente pentru călătoriile-pasager și tonele marfă între zone; </w:t>
      </w:r>
    </w:p>
    <w:p w:rsidR="002B762C" w:rsidRPr="00BF454A" w:rsidRDefault="002B762C" w:rsidP="00573AD5">
      <w:pPr>
        <w:pStyle w:val="BulletLevel1"/>
        <w:numPr>
          <w:ilvl w:val="1"/>
          <w:numId w:val="65"/>
        </w:numPr>
        <w:spacing w:after="60"/>
        <w:ind w:left="1208" w:hanging="357"/>
      </w:pPr>
      <w:r>
        <w:t xml:space="preserve">Etapa </w:t>
      </w:r>
      <w:r w:rsidRPr="00BF454A">
        <w:t xml:space="preserve">3: Ruta aleasă între zone pentru fiecare deplasare de la zona la zonă a pasagerilor și mărfii, pe fiecare mod de transport. </w:t>
      </w:r>
    </w:p>
    <w:p w:rsidR="002B762C" w:rsidRPr="00BF454A" w:rsidRDefault="002B762C" w:rsidP="002B7E09">
      <w:pPr>
        <w:pStyle w:val="NumberedParas"/>
      </w:pPr>
      <w:r w:rsidRPr="00BF454A">
        <w:t>Relații</w:t>
      </w:r>
      <w:r>
        <w:t xml:space="preserve">le matematice și </w:t>
      </w:r>
      <w:r w:rsidRPr="00BF454A">
        <w:t>calibra</w:t>
      </w:r>
      <w:r>
        <w:t>r</w:t>
      </w:r>
      <w:r w:rsidRPr="00BF454A">
        <w:t>e</w:t>
      </w:r>
      <w:r>
        <w:t>a</w:t>
      </w:r>
      <w:r w:rsidRPr="00BF454A">
        <w:t xml:space="preserve"> conform datelor observate, determin</w:t>
      </w:r>
      <w:r>
        <w:t>a</w:t>
      </w:r>
      <w:r w:rsidRPr="00BF454A">
        <w:t xml:space="preserve"> felul în care modelul îndeplinește funcțiile aferente fiecărei etape din cele patru enunțate mai sus. </w:t>
      </w:r>
    </w:p>
    <w:p w:rsidR="002B762C" w:rsidRPr="00BF454A" w:rsidRDefault="002B762C" w:rsidP="002B7E09">
      <w:pPr>
        <w:pStyle w:val="NumberedParas"/>
      </w:pPr>
      <w:r w:rsidRPr="00BF454A">
        <w:t xml:space="preserve">Modelul este foarte complex –  rulările complete pentru cei trei ani de prognoză (2020, 2030 și 2040) durează aproximativ 30 de ore – dar este important de înțeles modul în care intervențiile afectează rezultatele modelului. În general, factorul determinant al schimbării în distribuția traficului, alegerea modului de transport și alegerea rutei este schimbarea costului călătoriei, fie în termenii timpului de parcurs (deoarece timpul înseamnă bani) sau </w:t>
      </w:r>
      <w:r>
        <w:t>în termenii valorii monetare</w:t>
      </w:r>
      <w:r w:rsidRPr="00BF454A">
        <w:t xml:space="preserve"> a călătoriei exprimată prin prețurile călătoriilor, costurile de operare a vehiculelor, tarifele utilizate și costurile de manipulare a mărfii. Mai jos prezentăm diferite exemple. În aceste exemple, cuvântul „trafic” este folosit în mod generic: cuprinde toate modurile de transport cât și transportul de pasageri și de marfă.</w:t>
      </w:r>
    </w:p>
    <w:p w:rsidR="002B762C" w:rsidRPr="00BF454A" w:rsidRDefault="002B762C" w:rsidP="002B7E09">
      <w:pPr>
        <w:pStyle w:val="NumberedParas"/>
      </w:pPr>
      <w:r w:rsidRPr="00BF454A">
        <w:t>O îmbunătățire adusă infrastructurii rutiere sau timpului de parcurs și frecvenței trenurilor din sistemul feroviar va produce o schimbare în distribuția traficului, deoarece călătoriile dintre orașele mari și mici deservite de noul drum sau de noile servicii feroviare se vor realiza mai ușor iar aceste localități vor fi accesibile unor zone mai largi. În plus, va apărea și o schimbare a alegerii modale deoarece unul din moduri, fie cel rutier fie cel feroviar, în cazul acestui exemplu, va deveni relativ mai atractiv. Răspunsul final va fi o schimbare în alegerea rutei deoarece ruta îmbunătățită va oferi călătorii mai rapide și o capacitate mai mare. Nu doar traficul înregistrat pe drumurile și în trenurile existe</w:t>
      </w:r>
      <w:r>
        <w:t>nte pe acel</w:t>
      </w:r>
      <w:r w:rsidRPr="00BF454A">
        <w:t xml:space="preserve">ași coridor se va  transfera către ruta îmbunătățită, dar va apărea și trafic transferat de la coridoarele/rutele mai îndepărtate. Aceasta înseamnă că traficul pe o rută nouă sau îmbunătățită semnificativ va fi mult mai mare decât traficul existent pe ruta imediat paralelă. </w:t>
      </w:r>
    </w:p>
    <w:p w:rsidR="002B762C" w:rsidRPr="00BF454A" w:rsidRDefault="002B762C" w:rsidP="002B7E09">
      <w:pPr>
        <w:pStyle w:val="NumberedParas"/>
      </w:pPr>
      <w:r w:rsidRPr="00BF454A">
        <w:t xml:space="preserve">Un terminal intermodal îmbunătățit sau nou (sau o rețea de terminale, deoarece trebuie să existe facilități la ambele capete ale călătoriei) va atrage trafic containerizat suplimentar datorită costurilor reduse de manevrare a mărfii. Dacă este combinat cu trenuri mai rapide de containere, traficul suplimentar se va întări. Va exista un transfer de trafic dinspre modul rutier spre modul feroviar prin intermediul mecanismului de alegere modală și vor apărea unele schimbări în distribuția traficului de marfă, deși nu la fel de puternice ca în cazul transportului de pasageri. </w:t>
      </w:r>
    </w:p>
    <w:p w:rsidR="002B762C" w:rsidRPr="00BF454A" w:rsidRDefault="002B762C" w:rsidP="002B7E09">
      <w:pPr>
        <w:pStyle w:val="NumberedParas"/>
      </w:pPr>
      <w:r w:rsidRPr="00BF454A">
        <w:t xml:space="preserve">Aceste mecanisme se aplică într-un mod similar tuturor modurilor de transport. Este important de notat că procesul este, în esență, unul neutru în ce privește operarea; mecanismele de distribuție, alegere modală și alegere a rutei </w:t>
      </w:r>
      <w:r>
        <w:t xml:space="preserve">fiind relații </w:t>
      </w:r>
      <w:r w:rsidRPr="00BF454A">
        <w:t xml:space="preserve">matematice </w:t>
      </w:r>
      <w:r>
        <w:t>bazate</w:t>
      </w:r>
      <w:r w:rsidRPr="00BF454A">
        <w:t xml:space="preserve"> pe comportamentul observat. În al doilea rând modificările volumului de trafic din sistemul rutier, feroviar, naval și intermodal reprezintă date de ieșire din Modelul Național și nu date de intrare pentru acesta. Nu pot exista astfel ținte sau rezultate preconcepute în cadrul acestui proces. </w:t>
      </w:r>
    </w:p>
    <w:p w:rsidR="002B762C" w:rsidRPr="00BF454A" w:rsidRDefault="002B762C" w:rsidP="002B7E09">
      <w:pPr>
        <w:pStyle w:val="NumberedParas"/>
      </w:pPr>
      <w:r w:rsidRPr="00BF454A">
        <w:t xml:space="preserve">Un număr mare de proiecte a fost testat cu ajutorul Modelului Național. Tabloul de mai jos ilustrează numărul aproximativ de proiecte testate. Multe proiecte au fost testate de mai multe ori ca urmare a variațiilor apărute în specificațiile proiectelor sau în combinație cu alte proiecte, astfel totalurile de mai jos sunt exprimate în mod conservator.  </w:t>
      </w:r>
    </w:p>
    <w:tbl>
      <w:tblPr>
        <w:tblStyle w:val="TableClassic1"/>
        <w:tblW w:w="8080" w:type="dxa"/>
        <w:tblInd w:w="1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560"/>
        <w:gridCol w:w="1559"/>
        <w:gridCol w:w="1559"/>
        <w:gridCol w:w="1701"/>
      </w:tblGrid>
      <w:tr w:rsidR="002B762C" w:rsidRPr="00BF454A" w:rsidTr="003006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bottom w:val="none" w:sz="0" w:space="0" w:color="auto"/>
              <w:right w:val="none" w:sz="0" w:space="0" w:color="auto"/>
            </w:tcBorders>
            <w:shd w:val="clear" w:color="auto" w:fill="B8CCE4" w:themeFill="accent1" w:themeFillTint="66"/>
            <w:vAlign w:val="center"/>
          </w:tcPr>
          <w:p w:rsidR="002B762C" w:rsidRPr="00BF454A" w:rsidRDefault="002B762C" w:rsidP="0030066D">
            <w:pPr>
              <w:pStyle w:val="Body"/>
              <w:spacing w:before="120" w:after="120"/>
              <w:ind w:left="0"/>
              <w:jc w:val="center"/>
              <w:rPr>
                <w:b/>
                <w:lang w:val="ro-RO"/>
              </w:rPr>
            </w:pPr>
            <w:r w:rsidRPr="00BF454A">
              <w:rPr>
                <w:b/>
                <w:lang w:val="ro-RO"/>
              </w:rPr>
              <w:t>Mod</w:t>
            </w:r>
          </w:p>
        </w:tc>
        <w:tc>
          <w:tcPr>
            <w:tcW w:w="1560" w:type="dxa"/>
            <w:tcBorders>
              <w:bottom w:val="none" w:sz="0" w:space="0" w:color="auto"/>
            </w:tcBorders>
            <w:shd w:val="clear" w:color="auto" w:fill="B8CCE4" w:themeFill="accent1" w:themeFillTint="66"/>
            <w:vAlign w:val="center"/>
          </w:tcPr>
          <w:p w:rsidR="002B762C" w:rsidRPr="00BF454A" w:rsidRDefault="002B762C" w:rsidP="0030066D">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b/>
                <w:lang w:val="ro-RO"/>
              </w:rPr>
            </w:pPr>
            <w:r w:rsidRPr="00BF454A">
              <w:rPr>
                <w:b/>
                <w:lang w:val="ro-RO"/>
              </w:rPr>
              <w:t>Rutier</w:t>
            </w:r>
          </w:p>
        </w:tc>
        <w:tc>
          <w:tcPr>
            <w:tcW w:w="1559" w:type="dxa"/>
            <w:tcBorders>
              <w:bottom w:val="none" w:sz="0" w:space="0" w:color="auto"/>
            </w:tcBorders>
            <w:shd w:val="clear" w:color="auto" w:fill="B8CCE4" w:themeFill="accent1" w:themeFillTint="66"/>
            <w:vAlign w:val="center"/>
          </w:tcPr>
          <w:p w:rsidR="002B762C" w:rsidRPr="00BF454A" w:rsidRDefault="002B762C" w:rsidP="0030066D">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b/>
                <w:lang w:val="ro-RO"/>
              </w:rPr>
            </w:pPr>
            <w:r w:rsidRPr="00BF454A">
              <w:rPr>
                <w:b/>
                <w:lang w:val="ro-RO"/>
              </w:rPr>
              <w:t>Feroviar</w:t>
            </w:r>
          </w:p>
        </w:tc>
        <w:tc>
          <w:tcPr>
            <w:tcW w:w="1559" w:type="dxa"/>
            <w:tcBorders>
              <w:bottom w:val="none" w:sz="0" w:space="0" w:color="auto"/>
            </w:tcBorders>
            <w:shd w:val="clear" w:color="auto" w:fill="B8CCE4" w:themeFill="accent1" w:themeFillTint="66"/>
            <w:vAlign w:val="center"/>
          </w:tcPr>
          <w:p w:rsidR="002B762C" w:rsidRPr="00BF454A" w:rsidRDefault="002B762C" w:rsidP="0030066D">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b/>
                <w:lang w:val="ro-RO"/>
              </w:rPr>
            </w:pPr>
            <w:r w:rsidRPr="00BF454A">
              <w:rPr>
                <w:b/>
                <w:lang w:val="ro-RO"/>
              </w:rPr>
              <w:t>Naval</w:t>
            </w:r>
          </w:p>
        </w:tc>
        <w:tc>
          <w:tcPr>
            <w:tcW w:w="1701" w:type="dxa"/>
            <w:tcBorders>
              <w:bottom w:val="none" w:sz="0" w:space="0" w:color="auto"/>
            </w:tcBorders>
            <w:shd w:val="clear" w:color="auto" w:fill="B8CCE4" w:themeFill="accent1" w:themeFillTint="66"/>
            <w:vAlign w:val="center"/>
          </w:tcPr>
          <w:p w:rsidR="002B762C" w:rsidRPr="00BF454A" w:rsidRDefault="002B762C" w:rsidP="0030066D">
            <w:pPr>
              <w:pStyle w:val="Body"/>
              <w:spacing w:before="120" w:after="120"/>
              <w:ind w:left="0"/>
              <w:jc w:val="center"/>
              <w:cnfStyle w:val="100000000000" w:firstRow="1" w:lastRow="0" w:firstColumn="0" w:lastColumn="0" w:oddVBand="0" w:evenVBand="0" w:oddHBand="0" w:evenHBand="0" w:firstRowFirstColumn="0" w:firstRowLastColumn="0" w:lastRowFirstColumn="0" w:lastRowLastColumn="0"/>
              <w:rPr>
                <w:b/>
                <w:lang w:val="ro-RO"/>
              </w:rPr>
            </w:pPr>
            <w:r w:rsidRPr="00BF454A">
              <w:rPr>
                <w:b/>
                <w:lang w:val="ro-RO"/>
              </w:rPr>
              <w:t>Intermodal</w:t>
            </w:r>
          </w:p>
        </w:tc>
      </w:tr>
      <w:tr w:rsidR="002B762C" w:rsidRPr="00BF454A" w:rsidTr="0030066D">
        <w:trPr>
          <w:trHeight w:val="577"/>
        </w:trPr>
        <w:tc>
          <w:tcPr>
            <w:cnfStyle w:val="001000000000" w:firstRow="0" w:lastRow="0" w:firstColumn="1" w:lastColumn="0" w:oddVBand="0" w:evenVBand="0" w:oddHBand="0" w:evenHBand="0" w:firstRowFirstColumn="0" w:firstRowLastColumn="0" w:lastRowFirstColumn="0" w:lastRowLastColumn="0"/>
            <w:tcW w:w="1701" w:type="dxa"/>
            <w:tcBorders>
              <w:right w:val="none" w:sz="0" w:space="0" w:color="auto"/>
            </w:tcBorders>
            <w:vAlign w:val="center"/>
          </w:tcPr>
          <w:p w:rsidR="002B762C" w:rsidRPr="00BF454A" w:rsidRDefault="002B762C" w:rsidP="0030066D">
            <w:pPr>
              <w:pStyle w:val="Body"/>
              <w:spacing w:before="120" w:after="120"/>
              <w:ind w:left="0"/>
              <w:jc w:val="center"/>
              <w:rPr>
                <w:i w:val="0"/>
                <w:lang w:val="ro-RO"/>
              </w:rPr>
            </w:pPr>
            <w:r w:rsidRPr="00BF454A">
              <w:rPr>
                <w:i w:val="0"/>
                <w:lang w:val="ro-RO"/>
              </w:rPr>
              <w:t>Număr de proiecte</w:t>
            </w:r>
          </w:p>
        </w:tc>
        <w:tc>
          <w:tcPr>
            <w:tcW w:w="1560" w:type="dxa"/>
            <w:vAlign w:val="center"/>
          </w:tcPr>
          <w:p w:rsidR="002B762C" w:rsidRPr="00BF454A" w:rsidRDefault="002B762C" w:rsidP="0030066D">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92</w:t>
            </w:r>
          </w:p>
        </w:tc>
        <w:tc>
          <w:tcPr>
            <w:tcW w:w="1559" w:type="dxa"/>
            <w:vAlign w:val="center"/>
          </w:tcPr>
          <w:p w:rsidR="002B762C" w:rsidRPr="00BF454A" w:rsidRDefault="002B762C" w:rsidP="0030066D">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34</w:t>
            </w:r>
          </w:p>
        </w:tc>
        <w:tc>
          <w:tcPr>
            <w:tcW w:w="1559" w:type="dxa"/>
            <w:vAlign w:val="center"/>
          </w:tcPr>
          <w:p w:rsidR="002B762C" w:rsidRPr="00BF454A" w:rsidRDefault="002B762C" w:rsidP="0030066D">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12</w:t>
            </w:r>
          </w:p>
        </w:tc>
        <w:tc>
          <w:tcPr>
            <w:tcW w:w="1701" w:type="dxa"/>
            <w:vAlign w:val="center"/>
          </w:tcPr>
          <w:p w:rsidR="002B762C" w:rsidRPr="00BF454A" w:rsidRDefault="002B762C" w:rsidP="0030066D">
            <w:pPr>
              <w:pStyle w:val="Body"/>
              <w:spacing w:before="120" w:after="120"/>
              <w:ind w:left="0"/>
              <w:jc w:val="center"/>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13</w:t>
            </w:r>
          </w:p>
        </w:tc>
      </w:tr>
    </w:tbl>
    <w:p w:rsidR="002B762C" w:rsidRPr="00BF454A" w:rsidRDefault="002B762C" w:rsidP="002B7E09">
      <w:pPr>
        <w:pStyle w:val="NumberedParas"/>
        <w:rPr>
          <w:i/>
        </w:rPr>
      </w:pPr>
      <w:r w:rsidRPr="00BF454A">
        <w:t xml:space="preserve">Proiectele feroviare au cuprins trei elemente, reabilitarea infrastructurii pe ruta completă de lungă distanță, grafice de mers revizuite și material rulant nou, deci fiecare proiect feroviar reprezintă, în sine, o serie de intervenții individuale ce formează </w:t>
      </w:r>
      <w:r>
        <w:t>o s</w:t>
      </w:r>
      <w:r w:rsidRPr="00BF454A">
        <w:t xml:space="preserve">trategie </w:t>
      </w:r>
      <w:r>
        <w:t xml:space="preserve">completă </w:t>
      </w:r>
      <w:r w:rsidRPr="00BF454A">
        <w:t xml:space="preserve">a </w:t>
      </w:r>
      <w:r>
        <w:t>r</w:t>
      </w:r>
      <w:r w:rsidRPr="00BF454A">
        <w:t xml:space="preserve">utei. </w:t>
      </w:r>
    </w:p>
    <w:p w:rsidR="002B762C" w:rsidRPr="00BF454A" w:rsidRDefault="002B762C" w:rsidP="002B7E09">
      <w:pPr>
        <w:pStyle w:val="NumberedParas"/>
      </w:pPr>
      <w:r w:rsidRPr="00BF454A">
        <w:t>Proiectele din sectorul aerian nu au fost testate cu ajutorul Modelului Național ci cu un model de transport aerian elaborat în special pentru acest scop, care reflectă traficul suplimentar care ar apărea dacă aeroportul ar atrage servicii suplimentare și dacă și-ar îmbunătăți propriile facilități. Modelul utilizează o combinație de arii de captare nesuprapuse și rate de călătorii asociate diferitelor tipuri de zboruri pentru prognozarea traficului de pasageri. Cu toate acestea, modelul aerian nu folosește date din Modelul Național de Transport în analiza ACB.</w:t>
      </w:r>
    </w:p>
    <w:p w:rsidR="002B762C" w:rsidRPr="00BF454A" w:rsidRDefault="002B762C" w:rsidP="002B7E09">
      <w:pPr>
        <w:pStyle w:val="NumberedParas"/>
      </w:pPr>
      <w:r w:rsidRPr="00BF454A">
        <w:t>Așa cum s-a prezentat în secțiunea 10.2 și s-a descris în detaliu în cadrul Capitolului 4 și a Raportului Privind Elaborarea Modelului, siguranța rutieră reprezintă o problemă serioasă în România. A fost dezvoltat un model dedicat, care a identificat punctele din rețeaua de drumuri naționale care înregistrează cele mai multe ac</w:t>
      </w:r>
      <w:r>
        <w:t>cidente, care a</w:t>
      </w:r>
      <w:r w:rsidRPr="00BF454A">
        <w:t xml:space="preserve"> identificat cauzele acestora și a propus cele mai potrivite soluții dintr-o listă de intervenții de siguranță consacrate. Modelul efectuează de asemenea și Analiza Cost-Beneficiu. Cu ajutorul acestui model au fost identificate 138 de puncte problematice.</w:t>
      </w:r>
    </w:p>
    <w:p w:rsidR="002B762C" w:rsidRPr="00BF454A" w:rsidRDefault="002B762C" w:rsidP="002B762C">
      <w:pPr>
        <w:rPr>
          <w:lang w:val="ro-RO"/>
        </w:rPr>
      </w:pPr>
    </w:p>
    <w:p w:rsidR="002B762C" w:rsidRDefault="002B762C" w:rsidP="002B762C">
      <w:pPr>
        <w:rPr>
          <w:lang w:val="ro-RO"/>
        </w:rPr>
      </w:pPr>
      <w:r>
        <w:rPr>
          <w:lang w:val="ro-RO"/>
        </w:rPr>
        <w:br w:type="page"/>
      </w:r>
    </w:p>
    <w:p w:rsidR="002B762C" w:rsidRPr="00BF454A" w:rsidRDefault="002B762C" w:rsidP="002B762C">
      <w:pPr>
        <w:rPr>
          <w:lang w:val="ro-RO"/>
        </w:rPr>
      </w:pPr>
    </w:p>
    <w:p w:rsidR="002B762C" w:rsidRPr="00BF454A" w:rsidRDefault="002B762C" w:rsidP="002B762C">
      <w:pPr>
        <w:pStyle w:val="Hdg2"/>
        <w:tabs>
          <w:tab w:val="clear" w:pos="2280"/>
          <w:tab w:val="num" w:pos="1288"/>
        </w:tabs>
      </w:pPr>
      <w:bookmarkStart w:id="616" w:name="_Toc411956608"/>
      <w:bookmarkStart w:id="617" w:name="_Toc413060359"/>
      <w:r w:rsidRPr="00BF454A">
        <w:t>Evaluarea Proiectelor. Rolul ACB și al AMC</w:t>
      </w:r>
      <w:bookmarkEnd w:id="616"/>
      <w:bookmarkEnd w:id="617"/>
    </w:p>
    <w:p w:rsidR="002B762C" w:rsidRPr="00BF454A" w:rsidRDefault="002B762C" w:rsidP="002B7E09">
      <w:pPr>
        <w:pStyle w:val="NumberedParas"/>
      </w:pPr>
      <w:r w:rsidRPr="00BF454A">
        <w:t>Așa cum este descris în Ghidul Național de Evaluare a Proiectelor, Volumul 1 și în secțiunea 2.6 din Raportul privind Master Planul, proiectele au fost ierarhizate în prima fază în funcție de performanța lor economică.</w:t>
      </w:r>
    </w:p>
    <w:p w:rsidR="002B762C" w:rsidRPr="00BF454A" w:rsidRDefault="002B762C" w:rsidP="002B7E09">
      <w:pPr>
        <w:pStyle w:val="NumberedParas"/>
      </w:pPr>
      <w:r w:rsidRPr="00BF454A">
        <w:t xml:space="preserve">Pentru proiectele rutiere, acesta a fost un proces în două etape: mai întâi proiectele individuale ce îndeplinesc obiectivele operaționale au fost evaluate utilizând ACB iar, în a doua etapă, proiectele individuale au fost combinate în două strategii alternative denumite „Nivelul 1”, care oferă o coerență a rețelei; acestea au făcut din nou obiectul testării cu ACB, iar strategia optimă a făcut mai departe obiectul AMC. Ulterior, au fost identificate probleme ulterioare implementării Strategiei de Nivel 1, ceea ce a condus la identificarea proiectelor de „Nivel 2” care se adresează acestor probleme reziduale. </w:t>
      </w:r>
    </w:p>
    <w:p w:rsidR="002B762C" w:rsidRPr="00BF454A" w:rsidRDefault="002B762C" w:rsidP="002B7E09">
      <w:pPr>
        <w:pStyle w:val="NumberedParas"/>
      </w:pPr>
      <w:bookmarkStart w:id="618" w:name="_Toc397058256"/>
      <w:r w:rsidRPr="00BF454A">
        <w:t>Strict vorbind, criteriul ACB de acceptare a proiectelor a fost ca rata internă de rentabilitate RIRE să fie mai mare de 5% (rata de actualizare) și, similar, ca raportul beneficii-costuri RBC să fie supraunitar. Cu toate acestea, aceste criterii au fost relaxate pentru proiectele feroviare din următoarele considerente:</w:t>
      </w:r>
    </w:p>
    <w:p w:rsidR="002B762C" w:rsidRPr="00BF454A" w:rsidRDefault="002B762C" w:rsidP="00573AD5">
      <w:pPr>
        <w:pStyle w:val="BulletLevel1"/>
        <w:numPr>
          <w:ilvl w:val="1"/>
          <w:numId w:val="65"/>
        </w:numPr>
        <w:spacing w:after="60"/>
        <w:ind w:left="1208" w:hanging="357"/>
      </w:pPr>
      <w:r w:rsidRPr="00BF454A">
        <w:t>Așa cum am arătat mai înainte, transport</w:t>
      </w:r>
      <w:r>
        <w:t>ul</w:t>
      </w:r>
      <w:r w:rsidRPr="00BF454A">
        <w:t xml:space="preserve"> feroviar de pasageri s-a aflat într-o perioadă continuă de declin, având ca rezultat imediat situația în care traficul feroviar existent nu este întotdeauna suficient pentru a justifica investițiile semnificative necesare</w:t>
      </w:r>
      <w:r>
        <w:t xml:space="preserve"> pentru îmbunătățirea condițiilor</w:t>
      </w:r>
      <w:r w:rsidRPr="00BF454A">
        <w:t xml:space="preserve"> rețelei feroviar</w:t>
      </w:r>
      <w:r>
        <w:t>e</w:t>
      </w:r>
      <w:r w:rsidRPr="00BF454A">
        <w:t>. Dacă aceste criterii ACB ar fi aplicate în mod strict, atunci această stare de fapt s-ar accentua, proiectele feroviare fiind respinse din start în favoarea celor rutiere, ceea ce va prelungi stare de declin în care se află sistemul feroviar din România având ca efect final situația în care calea ferată va înceta să mai joace un rol strategic la nivel național;</w:t>
      </w:r>
    </w:p>
    <w:p w:rsidR="002B762C" w:rsidRPr="00BF454A" w:rsidRDefault="002B762C" w:rsidP="00573AD5">
      <w:pPr>
        <w:pStyle w:val="BulletLevel1"/>
        <w:numPr>
          <w:ilvl w:val="1"/>
          <w:numId w:val="65"/>
        </w:numPr>
        <w:spacing w:after="60"/>
        <w:ind w:left="1208" w:hanging="357"/>
      </w:pPr>
      <w:r w:rsidRPr="00BF454A">
        <w:t>Datorită sub-finanțării cronice a căii ferate de-a lungul unei perioadei lungi de timp, ordinul de mărime al investițiile necesare în calea ferată este mult mai ridicat decât în cazul unui program de investiții la un ritm firesc; acest lucru determină costurile mari de construcție, ceea ce reduce nivel indicatorilor RIRE și RBC; și</w:t>
      </w:r>
    </w:p>
    <w:p w:rsidR="002B762C" w:rsidRPr="00BF454A" w:rsidRDefault="002B762C" w:rsidP="00573AD5">
      <w:pPr>
        <w:pStyle w:val="BulletLevel1"/>
        <w:numPr>
          <w:ilvl w:val="1"/>
          <w:numId w:val="65"/>
        </w:numPr>
        <w:spacing w:after="60"/>
        <w:ind w:left="1208" w:hanging="357"/>
      </w:pPr>
      <w:r w:rsidRPr="00BF454A">
        <w:t>Infrastructura feroviară trebuie construită la standarde tehnice și de siguranță specifice; gradientul poate fi semnificativ, vitezele ridicate implică o curbură orizontală medie fără pante semnificative iar reglementări</w:t>
      </w:r>
      <w:r>
        <w:t>le</w:t>
      </w:r>
      <w:r w:rsidRPr="00BF454A">
        <w:t xml:space="preserve"> europene pentru rețeaua TEN-T centrală prevăd viteze minime ale liniilor. Prin urmare, există posibilități limitate de a reduce costurile cu scopul îmbunătățirii indicatorilor de rentabilitate economică.</w:t>
      </w:r>
    </w:p>
    <w:p w:rsidR="002B762C" w:rsidRPr="00BF454A" w:rsidRDefault="002B762C" w:rsidP="002B7E09">
      <w:pPr>
        <w:pStyle w:val="NumberedParas"/>
      </w:pPr>
      <w:r w:rsidRPr="00BF454A">
        <w:t>Urmare a testării proiectelor cu ajutorul analizei cost-beneficiu, proiectele au fost grupate în două scenarii cu ajutorul analizei multi-criteriale (AMC). Aceste două scenarii au următoarele caracteristici:</w:t>
      </w:r>
    </w:p>
    <w:p w:rsidR="002B762C" w:rsidRPr="00BF454A" w:rsidRDefault="002B762C" w:rsidP="00573AD5">
      <w:pPr>
        <w:pStyle w:val="BulletLevel1"/>
        <w:numPr>
          <w:ilvl w:val="1"/>
          <w:numId w:val="65"/>
        </w:numPr>
        <w:spacing w:after="60"/>
        <w:ind w:left="1208" w:hanging="357"/>
      </w:pPr>
      <w:r w:rsidRPr="00BF454A">
        <w:rPr>
          <w:b/>
        </w:rPr>
        <w:t>Scenariul de Sustenabilitate Economică (“ES”):</w:t>
      </w:r>
      <w:r w:rsidRPr="00BF454A">
        <w:t xml:space="preserve"> acest scenariu pune accent pe proiectele care au performanțe economice bune, în condițiile în care ponderea criteriului economic este de 70%, iar pentru apartenența la rețeaua TEN-T se acordă o pondere de 30%.</w:t>
      </w:r>
    </w:p>
    <w:p w:rsidR="002B762C" w:rsidRPr="00BF454A" w:rsidRDefault="002B762C" w:rsidP="00573AD5">
      <w:pPr>
        <w:pStyle w:val="BulletLevel1"/>
        <w:numPr>
          <w:ilvl w:val="1"/>
          <w:numId w:val="65"/>
        </w:numPr>
        <w:spacing w:after="60"/>
        <w:ind w:left="1208" w:hanging="357"/>
      </w:pPr>
      <w:r w:rsidRPr="00BF454A">
        <w:rPr>
          <w:b/>
        </w:rPr>
        <w:t>Scenariul de Sustenabilitate Economică și de Mediu (“EES”):</w:t>
      </w:r>
      <w:r w:rsidRPr="00BF454A">
        <w:t xml:space="preserve"> scenariul aduce criterii suplimentare corespondente impacturilor fizice de mediu, în special asupra siturilor Natura 2000, în condițiile în care criteriului economic i se acordă o pondere mai redusă. Ponderea criteriului economic a fost redusă la 50%, impactul fizic asupra mediului are o pondere de 20%, iar apartenența la rețeaua TEN-T are o pondere de 20%. Suplimentar, a mai fost introdus un criteriu privind dezvoltarea economică echilibrată, cu o pondere de 10%. Acest din urmă criteriu oferă anumite avantaje proiectelor care contribuie la dezvoltarea economică a regiunilor izolate ale României și reduse disparitățile între regiuni.</w:t>
      </w:r>
    </w:p>
    <w:p w:rsidR="002B762C" w:rsidRPr="00BF454A" w:rsidRDefault="002B762C" w:rsidP="002B7E09">
      <w:pPr>
        <w:pStyle w:val="NumberedParas"/>
      </w:pPr>
      <w:r w:rsidRPr="00BF454A">
        <w:t>Criteriile utilizate, ce au fost discutate și aprobate de către MT, JASPERS și CE, precum și ponderile fiecărui criteriu sunt prezentate în continuare.</w:t>
      </w:r>
    </w:p>
    <w:p w:rsidR="002B762C" w:rsidRPr="00BF454A" w:rsidRDefault="002B762C" w:rsidP="002B762C">
      <w:pPr>
        <w:pStyle w:val="Body"/>
        <w:spacing w:before="120" w:after="120"/>
        <w:ind w:left="851"/>
        <w:rPr>
          <w:b/>
          <w:i w:val="0"/>
          <w:lang w:val="ro-RO"/>
        </w:rPr>
      </w:pPr>
      <w:r w:rsidRPr="00BF454A">
        <w:rPr>
          <w:b/>
          <w:i w:val="0"/>
          <w:lang w:val="ro-RO"/>
        </w:rPr>
        <w:t xml:space="preserve">Tabelul </w:t>
      </w:r>
      <w:r>
        <w:rPr>
          <w:b/>
          <w:i w:val="0"/>
          <w:lang w:val="ro-RO"/>
        </w:rPr>
        <w:t>10</w:t>
      </w:r>
      <w:r w:rsidRPr="00BF454A">
        <w:rPr>
          <w:b/>
          <w:i w:val="0"/>
          <w:lang w:val="ro-RO"/>
        </w:rPr>
        <w:t>.</w:t>
      </w:r>
      <w:r>
        <w:rPr>
          <w:b/>
          <w:i w:val="0"/>
          <w:lang w:val="ro-RO"/>
        </w:rPr>
        <w:t>3</w:t>
      </w:r>
      <w:r w:rsidRPr="00BF454A">
        <w:rPr>
          <w:b/>
          <w:i w:val="0"/>
          <w:lang w:val="ro-RO"/>
        </w:rPr>
        <w:t xml:space="preserve"> Criterii și ponderi de evaluare pentru Scenariile ES și EES</w:t>
      </w:r>
    </w:p>
    <w:tbl>
      <w:tblPr>
        <w:tblStyle w:val="TableGrid"/>
        <w:tblW w:w="3694" w:type="pct"/>
        <w:tblInd w:w="567" w:type="dxa"/>
        <w:tblLook w:val="04A0" w:firstRow="1" w:lastRow="0" w:firstColumn="1" w:lastColumn="0" w:noHBand="0" w:noVBand="1"/>
      </w:tblPr>
      <w:tblGrid>
        <w:gridCol w:w="4134"/>
        <w:gridCol w:w="1789"/>
        <w:gridCol w:w="1840"/>
      </w:tblGrid>
      <w:tr w:rsidR="002B762C" w:rsidRPr="00BF454A" w:rsidTr="0030066D">
        <w:trPr>
          <w:trHeight w:val="539"/>
        </w:trPr>
        <w:tc>
          <w:tcPr>
            <w:tcW w:w="2663" w:type="pct"/>
            <w:shd w:val="clear" w:color="auto" w:fill="B8CCE4" w:themeFill="accent1" w:themeFillTint="66"/>
            <w:vAlign w:val="center"/>
          </w:tcPr>
          <w:p w:rsidR="002B762C" w:rsidRPr="00BF454A" w:rsidRDefault="002B762C" w:rsidP="0030066D">
            <w:pPr>
              <w:spacing w:line="276" w:lineRule="auto"/>
              <w:contextualSpacing/>
              <w:rPr>
                <w:rFonts w:cs="Arial"/>
                <w:b/>
                <w:color w:val="000000"/>
                <w:sz w:val="20"/>
                <w:szCs w:val="20"/>
                <w:lang w:val="ro-RO"/>
              </w:rPr>
            </w:pPr>
            <w:r w:rsidRPr="00BF454A">
              <w:rPr>
                <w:rFonts w:cs="Arial"/>
                <w:b/>
                <w:color w:val="000000"/>
                <w:sz w:val="20"/>
                <w:szCs w:val="20"/>
                <w:lang w:val="ro-RO"/>
              </w:rPr>
              <w:t>Criterii</w:t>
            </w:r>
          </w:p>
        </w:tc>
        <w:tc>
          <w:tcPr>
            <w:tcW w:w="1152" w:type="pct"/>
            <w:shd w:val="clear" w:color="auto" w:fill="B8CCE4" w:themeFill="accent1" w:themeFillTint="66"/>
            <w:vAlign w:val="center"/>
          </w:tcPr>
          <w:p w:rsidR="002B762C" w:rsidRPr="00BF454A" w:rsidRDefault="002B762C" w:rsidP="0030066D">
            <w:pPr>
              <w:spacing w:line="276" w:lineRule="auto"/>
              <w:contextualSpacing/>
              <w:jc w:val="center"/>
              <w:rPr>
                <w:rFonts w:cs="Arial"/>
                <w:b/>
                <w:color w:val="000000"/>
                <w:sz w:val="20"/>
                <w:szCs w:val="20"/>
                <w:lang w:val="ro-RO"/>
              </w:rPr>
            </w:pPr>
            <w:r w:rsidRPr="00BF454A">
              <w:rPr>
                <w:rFonts w:cs="Arial"/>
                <w:b/>
                <w:color w:val="000000"/>
                <w:sz w:val="20"/>
                <w:szCs w:val="20"/>
                <w:lang w:val="ro-RO"/>
              </w:rPr>
              <w:t>ES</w:t>
            </w:r>
          </w:p>
        </w:tc>
        <w:tc>
          <w:tcPr>
            <w:tcW w:w="1185" w:type="pct"/>
            <w:shd w:val="clear" w:color="auto" w:fill="B8CCE4" w:themeFill="accent1" w:themeFillTint="66"/>
            <w:vAlign w:val="center"/>
          </w:tcPr>
          <w:p w:rsidR="002B762C" w:rsidRPr="00BF454A" w:rsidRDefault="002B762C" w:rsidP="0030066D">
            <w:pPr>
              <w:spacing w:line="276" w:lineRule="auto"/>
              <w:contextualSpacing/>
              <w:jc w:val="center"/>
              <w:rPr>
                <w:rFonts w:cs="Arial"/>
                <w:b/>
                <w:color w:val="000000"/>
                <w:sz w:val="20"/>
                <w:szCs w:val="20"/>
                <w:lang w:val="ro-RO"/>
              </w:rPr>
            </w:pPr>
            <w:r w:rsidRPr="00BF454A">
              <w:rPr>
                <w:rFonts w:cs="Arial"/>
                <w:b/>
                <w:color w:val="000000"/>
                <w:sz w:val="20"/>
                <w:szCs w:val="20"/>
                <w:lang w:val="ro-RO"/>
              </w:rPr>
              <w:t>EES</w:t>
            </w:r>
          </w:p>
        </w:tc>
      </w:tr>
      <w:tr w:rsidR="002B762C" w:rsidRPr="00BF454A" w:rsidTr="0030066D">
        <w:trPr>
          <w:trHeight w:hRule="exact" w:val="567"/>
        </w:trPr>
        <w:tc>
          <w:tcPr>
            <w:tcW w:w="2663" w:type="pct"/>
            <w:vAlign w:val="center"/>
          </w:tcPr>
          <w:p w:rsidR="002B762C" w:rsidRPr="00BF454A" w:rsidRDefault="002B762C" w:rsidP="0030066D">
            <w:pPr>
              <w:rPr>
                <w:rFonts w:cs="Arial"/>
                <w:color w:val="000000"/>
                <w:sz w:val="20"/>
                <w:szCs w:val="20"/>
                <w:lang w:val="ro-RO"/>
              </w:rPr>
            </w:pPr>
            <w:r w:rsidRPr="00BF454A">
              <w:rPr>
                <w:rFonts w:cs="Arial"/>
                <w:color w:val="000000"/>
                <w:sz w:val="20"/>
                <w:szCs w:val="20"/>
                <w:lang w:val="ro-RO"/>
              </w:rPr>
              <w:t>Eficiență economică</w:t>
            </w:r>
          </w:p>
        </w:tc>
        <w:tc>
          <w:tcPr>
            <w:tcW w:w="1152"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70%</w:t>
            </w:r>
          </w:p>
        </w:tc>
        <w:tc>
          <w:tcPr>
            <w:tcW w:w="1185"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50%</w:t>
            </w:r>
          </w:p>
        </w:tc>
      </w:tr>
      <w:tr w:rsidR="002B762C" w:rsidRPr="00BF454A" w:rsidTr="0030066D">
        <w:trPr>
          <w:trHeight w:hRule="exact" w:val="567"/>
        </w:trPr>
        <w:tc>
          <w:tcPr>
            <w:tcW w:w="2663" w:type="pct"/>
            <w:vAlign w:val="center"/>
          </w:tcPr>
          <w:p w:rsidR="002B762C" w:rsidRPr="00BF454A" w:rsidRDefault="002B762C" w:rsidP="0030066D">
            <w:pPr>
              <w:rPr>
                <w:rFonts w:cs="Arial"/>
                <w:color w:val="000000"/>
                <w:sz w:val="20"/>
                <w:szCs w:val="20"/>
                <w:lang w:val="ro-RO"/>
              </w:rPr>
            </w:pPr>
            <w:r w:rsidRPr="00BF454A">
              <w:rPr>
                <w:rFonts w:cs="Arial"/>
                <w:color w:val="000000"/>
                <w:sz w:val="20"/>
                <w:szCs w:val="20"/>
                <w:lang w:val="ro-RO"/>
              </w:rPr>
              <w:t>Integrare Trans-Europeană/Politica TEN-T</w:t>
            </w:r>
          </w:p>
        </w:tc>
        <w:tc>
          <w:tcPr>
            <w:tcW w:w="1152"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30%</w:t>
            </w:r>
          </w:p>
        </w:tc>
        <w:tc>
          <w:tcPr>
            <w:tcW w:w="1185"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20%</w:t>
            </w:r>
          </w:p>
        </w:tc>
      </w:tr>
      <w:tr w:rsidR="002B762C" w:rsidRPr="00BF454A" w:rsidTr="0030066D">
        <w:trPr>
          <w:trHeight w:hRule="exact" w:val="567"/>
        </w:trPr>
        <w:tc>
          <w:tcPr>
            <w:tcW w:w="2663" w:type="pct"/>
            <w:vAlign w:val="center"/>
          </w:tcPr>
          <w:p w:rsidR="002B762C" w:rsidRPr="00BF454A" w:rsidRDefault="002B762C" w:rsidP="0030066D">
            <w:pPr>
              <w:rPr>
                <w:rFonts w:cs="Arial"/>
                <w:color w:val="000000"/>
                <w:sz w:val="20"/>
                <w:szCs w:val="20"/>
                <w:lang w:val="ro-RO"/>
              </w:rPr>
            </w:pPr>
            <w:r w:rsidRPr="00BF454A">
              <w:rPr>
                <w:rFonts w:cs="Arial"/>
                <w:color w:val="000000"/>
                <w:sz w:val="20"/>
                <w:szCs w:val="20"/>
                <w:lang w:val="ro-RO"/>
              </w:rPr>
              <w:t>Impact de mediu</w:t>
            </w:r>
          </w:p>
        </w:tc>
        <w:tc>
          <w:tcPr>
            <w:tcW w:w="1152"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w:t>
            </w:r>
          </w:p>
        </w:tc>
        <w:tc>
          <w:tcPr>
            <w:tcW w:w="1185"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20%</w:t>
            </w:r>
          </w:p>
        </w:tc>
      </w:tr>
      <w:tr w:rsidR="002B762C" w:rsidRPr="00BF454A" w:rsidTr="0030066D">
        <w:trPr>
          <w:trHeight w:hRule="exact" w:val="567"/>
        </w:trPr>
        <w:tc>
          <w:tcPr>
            <w:tcW w:w="2663" w:type="pct"/>
            <w:vAlign w:val="center"/>
          </w:tcPr>
          <w:p w:rsidR="002B762C" w:rsidRPr="00BF454A" w:rsidRDefault="002B762C" w:rsidP="0030066D">
            <w:pPr>
              <w:rPr>
                <w:rFonts w:cs="Arial"/>
                <w:color w:val="000000"/>
                <w:sz w:val="20"/>
                <w:szCs w:val="20"/>
                <w:lang w:val="ro-RO"/>
              </w:rPr>
            </w:pPr>
            <w:r w:rsidRPr="00BF454A">
              <w:rPr>
                <w:rFonts w:cs="Arial"/>
                <w:color w:val="000000"/>
                <w:sz w:val="20"/>
                <w:szCs w:val="20"/>
                <w:lang w:val="ro-RO"/>
              </w:rPr>
              <w:t>Sustenabilitate</w:t>
            </w:r>
          </w:p>
        </w:tc>
        <w:tc>
          <w:tcPr>
            <w:tcW w:w="2337" w:type="pct"/>
            <w:gridSpan w:val="2"/>
            <w:vAlign w:val="center"/>
          </w:tcPr>
          <w:p w:rsidR="002B762C" w:rsidRPr="00BF454A" w:rsidRDefault="002B762C" w:rsidP="0030066D">
            <w:pPr>
              <w:jc w:val="center"/>
              <w:rPr>
                <w:sz w:val="20"/>
                <w:szCs w:val="20"/>
                <w:lang w:val="ro-RO"/>
              </w:rPr>
            </w:pPr>
            <w:r w:rsidRPr="00BF454A">
              <w:rPr>
                <w:sz w:val="20"/>
                <w:szCs w:val="20"/>
                <w:lang w:val="ro-RO"/>
              </w:rPr>
              <w:t>Nu are un punctaj acordat dar se ia în considerare prin distribuția modală</w:t>
            </w:r>
          </w:p>
        </w:tc>
      </w:tr>
      <w:tr w:rsidR="002B762C" w:rsidRPr="00BF454A" w:rsidTr="0030066D">
        <w:trPr>
          <w:trHeight w:hRule="exact" w:val="567"/>
        </w:trPr>
        <w:tc>
          <w:tcPr>
            <w:tcW w:w="2663" w:type="pct"/>
            <w:vAlign w:val="center"/>
          </w:tcPr>
          <w:p w:rsidR="002B762C" w:rsidRPr="00BF454A" w:rsidRDefault="002B762C" w:rsidP="0030066D">
            <w:pPr>
              <w:rPr>
                <w:rFonts w:cs="Arial"/>
                <w:color w:val="000000"/>
                <w:sz w:val="20"/>
                <w:szCs w:val="20"/>
                <w:lang w:val="ro-RO"/>
              </w:rPr>
            </w:pPr>
            <w:r w:rsidRPr="00BF454A">
              <w:rPr>
                <w:rFonts w:cs="Arial"/>
                <w:color w:val="000000"/>
                <w:sz w:val="20"/>
                <w:szCs w:val="20"/>
                <w:lang w:val="ro-RO"/>
              </w:rPr>
              <w:t>Dezvoltare economică echilibrată</w:t>
            </w:r>
          </w:p>
        </w:tc>
        <w:tc>
          <w:tcPr>
            <w:tcW w:w="1152"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w:t>
            </w:r>
          </w:p>
        </w:tc>
        <w:tc>
          <w:tcPr>
            <w:tcW w:w="1185" w:type="pct"/>
            <w:vAlign w:val="center"/>
          </w:tcPr>
          <w:p w:rsidR="002B762C" w:rsidRPr="00BF454A" w:rsidRDefault="002B762C" w:rsidP="0030066D">
            <w:pPr>
              <w:spacing w:line="276" w:lineRule="auto"/>
              <w:contextualSpacing/>
              <w:jc w:val="center"/>
              <w:rPr>
                <w:sz w:val="20"/>
                <w:szCs w:val="20"/>
                <w:lang w:val="ro-RO"/>
              </w:rPr>
            </w:pPr>
            <w:r w:rsidRPr="00BF454A">
              <w:rPr>
                <w:sz w:val="20"/>
                <w:szCs w:val="20"/>
                <w:lang w:val="ro-RO"/>
              </w:rPr>
              <w:t>10%</w:t>
            </w:r>
          </w:p>
        </w:tc>
      </w:tr>
    </w:tbl>
    <w:p w:rsidR="002B762C" w:rsidRPr="008E7DDF" w:rsidRDefault="002B762C" w:rsidP="002B7E09">
      <w:pPr>
        <w:pStyle w:val="NumberedParas"/>
        <w:numPr>
          <w:ilvl w:val="0"/>
          <w:numId w:val="0"/>
        </w:numPr>
        <w:ind w:left="1248"/>
      </w:pPr>
      <w:r w:rsidRPr="008E7DDF">
        <w:t>Sursa: AECOM, MT, JASPERS și CE</w:t>
      </w:r>
    </w:p>
    <w:p w:rsidR="002B762C" w:rsidRPr="00BF454A" w:rsidRDefault="002B762C" w:rsidP="002B7E09">
      <w:pPr>
        <w:pStyle w:val="NumberedParas"/>
      </w:pPr>
      <w:r w:rsidRPr="00BF454A">
        <w:t xml:space="preserve">Evaluarea eficienței economice include beneficiile din reducerea numărului de accidente și modificări </w:t>
      </w:r>
      <w:r>
        <w:t xml:space="preserve">ale gradului de </w:t>
      </w:r>
      <w:r w:rsidRPr="00BF454A">
        <w:t>emisii și poluarea aerului, prin urmare există evaluări implicite ale unor impacturi asupra mediului în cadrul analizei cost-beneficiu.</w:t>
      </w:r>
    </w:p>
    <w:p w:rsidR="002B762C" w:rsidRPr="00BF454A" w:rsidRDefault="002B762C" w:rsidP="002B7E09">
      <w:pPr>
        <w:pStyle w:val="NumberedParas"/>
      </w:pPr>
      <w:r w:rsidRPr="00BF454A">
        <w:t xml:space="preserve">Modul de calcul al scorurilor pentru fiecare criteriu este prezentat în tabelele </w:t>
      </w:r>
      <w:r>
        <w:t>10</w:t>
      </w:r>
      <w:r w:rsidRPr="00BF454A">
        <w:t>.</w:t>
      </w:r>
      <w:r>
        <w:t>4</w:t>
      </w:r>
      <w:r w:rsidRPr="00BF454A">
        <w:t>-</w:t>
      </w:r>
      <w:r>
        <w:t>5</w:t>
      </w:r>
      <w:r w:rsidRPr="00BF454A">
        <w:t xml:space="preserve"> de mai jos, pentru scenariile ES și EES.</w:t>
      </w:r>
    </w:p>
    <w:p w:rsidR="002B762C" w:rsidRPr="00BF454A" w:rsidRDefault="002B762C" w:rsidP="002B762C">
      <w:pPr>
        <w:pStyle w:val="Body"/>
        <w:spacing w:before="120" w:after="120"/>
        <w:ind w:left="851"/>
        <w:rPr>
          <w:rFonts w:cs="Arial"/>
          <w:b/>
          <w:i w:val="0"/>
          <w:lang w:val="ro-RO"/>
        </w:rPr>
      </w:pPr>
      <w:r w:rsidRPr="00BF454A">
        <w:rPr>
          <w:rFonts w:cs="Arial"/>
          <w:b/>
          <w:i w:val="0"/>
          <w:lang w:val="ro-RO"/>
        </w:rPr>
        <w:t xml:space="preserve">Tabelul </w:t>
      </w:r>
      <w:r>
        <w:rPr>
          <w:rFonts w:cs="Arial"/>
          <w:b/>
          <w:i w:val="0"/>
          <w:lang w:val="ro-RO"/>
        </w:rPr>
        <w:t>10</w:t>
      </w:r>
      <w:r w:rsidRPr="00BF454A">
        <w:rPr>
          <w:rFonts w:cs="Arial"/>
          <w:b/>
          <w:i w:val="0"/>
          <w:lang w:val="ro-RO"/>
        </w:rPr>
        <w:t>.</w:t>
      </w:r>
      <w:r>
        <w:rPr>
          <w:rFonts w:cs="Arial"/>
          <w:b/>
          <w:i w:val="0"/>
          <w:lang w:val="ro-RO"/>
        </w:rPr>
        <w:t>4</w:t>
      </w:r>
      <w:r w:rsidRPr="00BF454A">
        <w:rPr>
          <w:rFonts w:cs="Arial"/>
          <w:b/>
          <w:i w:val="0"/>
          <w:lang w:val="ro-RO"/>
        </w:rPr>
        <w:t xml:space="preserve"> Punctajele proiectelor din cadrul Scenariului ES</w:t>
      </w:r>
    </w:p>
    <w:tbl>
      <w:tblPr>
        <w:tblW w:w="5000" w:type="pct"/>
        <w:tblLook w:val="04A0" w:firstRow="1" w:lastRow="0" w:firstColumn="1" w:lastColumn="0" w:noHBand="0" w:noVBand="1"/>
      </w:tblPr>
      <w:tblGrid>
        <w:gridCol w:w="564"/>
        <w:gridCol w:w="1790"/>
        <w:gridCol w:w="1538"/>
        <w:gridCol w:w="1301"/>
        <w:gridCol w:w="1183"/>
        <w:gridCol w:w="1893"/>
        <w:gridCol w:w="2238"/>
      </w:tblGrid>
      <w:tr w:rsidR="002B762C" w:rsidRPr="00BF454A" w:rsidTr="0030066D">
        <w:trPr>
          <w:trHeight w:val="1002"/>
        </w:trPr>
        <w:tc>
          <w:tcPr>
            <w:tcW w:w="268" w:type="pct"/>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Nr.</w:t>
            </w:r>
          </w:p>
        </w:tc>
        <w:tc>
          <w:tcPr>
            <w:tcW w:w="852" w:type="pct"/>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Obiectiv General Master Plan</w:t>
            </w:r>
          </w:p>
        </w:tc>
        <w:tc>
          <w:tcPr>
            <w:tcW w:w="732" w:type="pct"/>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Criterii</w:t>
            </w:r>
          </w:p>
        </w:tc>
        <w:tc>
          <w:tcPr>
            <w:tcW w:w="619" w:type="pct"/>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Indicator/ Referință</w:t>
            </w:r>
          </w:p>
        </w:tc>
        <w:tc>
          <w:tcPr>
            <w:tcW w:w="563" w:type="pct"/>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Pondere</w:t>
            </w:r>
          </w:p>
        </w:tc>
        <w:tc>
          <w:tcPr>
            <w:tcW w:w="901" w:type="pct"/>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Criterii de punctare</w:t>
            </w:r>
          </w:p>
        </w:tc>
        <w:tc>
          <w:tcPr>
            <w:tcW w:w="1065" w:type="pct"/>
            <w:tcBorders>
              <w:top w:val="single" w:sz="8" w:space="0" w:color="auto"/>
              <w:left w:val="nil"/>
              <w:bottom w:val="nil"/>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Punctaje</w:t>
            </w:r>
          </w:p>
          <w:p w:rsidR="002B762C" w:rsidRPr="00BF454A" w:rsidRDefault="002B762C" w:rsidP="0030066D">
            <w:pPr>
              <w:jc w:val="center"/>
              <w:rPr>
                <w:rFonts w:cs="Arial"/>
                <w:b/>
                <w:bCs/>
                <w:sz w:val="20"/>
                <w:szCs w:val="20"/>
                <w:lang w:val="ro-RO"/>
              </w:rPr>
            </w:pPr>
            <w:r w:rsidRPr="00BF454A">
              <w:rPr>
                <w:rFonts w:cs="Arial"/>
                <w:b/>
                <w:bCs/>
                <w:sz w:val="20"/>
                <w:szCs w:val="20"/>
                <w:lang w:val="ro-RO"/>
              </w:rPr>
              <w:t>(puncte)</w:t>
            </w:r>
          </w:p>
        </w:tc>
      </w:tr>
      <w:tr w:rsidR="002B762C" w:rsidRPr="00BF454A" w:rsidTr="0030066D">
        <w:trPr>
          <w:trHeight w:val="402"/>
        </w:trPr>
        <w:tc>
          <w:tcPr>
            <w:tcW w:w="268" w:type="pct"/>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A</w:t>
            </w:r>
          </w:p>
        </w:tc>
        <w:tc>
          <w:tcPr>
            <w:tcW w:w="85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Eficiență economică</w:t>
            </w:r>
          </w:p>
        </w:tc>
        <w:tc>
          <w:tcPr>
            <w:tcW w:w="732"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Performanță economică</w:t>
            </w:r>
          </w:p>
        </w:tc>
        <w:tc>
          <w:tcPr>
            <w:tcW w:w="619"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RIRE</w:t>
            </w:r>
          </w:p>
        </w:tc>
        <w:tc>
          <w:tcPr>
            <w:tcW w:w="563" w:type="pct"/>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70%</w:t>
            </w:r>
          </w:p>
        </w:tc>
        <w:tc>
          <w:tcPr>
            <w:tcW w:w="901" w:type="pct"/>
            <w:tcBorders>
              <w:top w:val="single" w:sz="8" w:space="0" w:color="auto"/>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5%</w:t>
            </w:r>
          </w:p>
        </w:tc>
        <w:tc>
          <w:tcPr>
            <w:tcW w:w="1065" w:type="pct"/>
            <w:tcBorders>
              <w:top w:val="single" w:sz="8" w:space="0" w:color="auto"/>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r>
      <w:tr w:rsidR="002B762C" w:rsidRPr="00BF454A" w:rsidTr="0030066D">
        <w:trPr>
          <w:trHeight w:val="402"/>
        </w:trPr>
        <w:tc>
          <w:tcPr>
            <w:tcW w:w="268" w:type="pct"/>
            <w:vMerge/>
            <w:tcBorders>
              <w:top w:val="single" w:sz="8" w:space="0" w:color="auto"/>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852"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732"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619"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563"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901" w:type="pct"/>
            <w:tcBorders>
              <w:top w:val="nil"/>
              <w:left w:val="nil"/>
              <w:bottom w:val="nil"/>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RIRE maxim</w:t>
            </w:r>
          </w:p>
        </w:tc>
        <w:tc>
          <w:tcPr>
            <w:tcW w:w="1065" w:type="pct"/>
            <w:tcBorders>
              <w:top w:val="nil"/>
              <w:left w:val="nil"/>
              <w:bottom w:val="nil"/>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100</w:t>
            </w:r>
          </w:p>
        </w:tc>
      </w:tr>
      <w:tr w:rsidR="002B762C" w:rsidRPr="00BF454A" w:rsidTr="0030066D">
        <w:trPr>
          <w:trHeight w:val="402"/>
        </w:trPr>
        <w:tc>
          <w:tcPr>
            <w:tcW w:w="268" w:type="pct"/>
            <w:vMerge/>
            <w:tcBorders>
              <w:top w:val="single" w:sz="8" w:space="0" w:color="auto"/>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852"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732"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619"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563" w:type="pct"/>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901" w:type="pct"/>
            <w:tcBorders>
              <w:top w:val="single" w:sz="4" w:space="0" w:color="auto"/>
              <w:left w:val="nil"/>
              <w:bottom w:val="single" w:sz="8"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&gt; 5% &lt;  RIRE cea mai mare%</w:t>
            </w:r>
          </w:p>
        </w:tc>
        <w:tc>
          <w:tcPr>
            <w:tcW w:w="1065" w:type="pct"/>
            <w:tcBorders>
              <w:top w:val="single" w:sz="4" w:space="0" w:color="auto"/>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Proporțional din  100 = cea mai mare RIRE</w:t>
            </w:r>
          </w:p>
        </w:tc>
      </w:tr>
      <w:tr w:rsidR="002B762C" w:rsidRPr="00BF454A" w:rsidTr="0030066D">
        <w:trPr>
          <w:trHeight w:val="402"/>
        </w:trPr>
        <w:tc>
          <w:tcPr>
            <w:tcW w:w="268" w:type="pct"/>
            <w:vMerge w:val="restart"/>
            <w:tcBorders>
              <w:top w:val="nil"/>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B</w:t>
            </w:r>
          </w:p>
        </w:tc>
        <w:tc>
          <w:tcPr>
            <w:tcW w:w="85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Integrare Trans-Europeană</w:t>
            </w:r>
          </w:p>
        </w:tc>
        <w:tc>
          <w:tcPr>
            <w:tcW w:w="732" w:type="pct"/>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Relația cu Rețeaua TEN-T</w:t>
            </w:r>
          </w:p>
        </w:tc>
        <w:tc>
          <w:tcPr>
            <w:tcW w:w="619" w:type="pct"/>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xml:space="preserve">Reguli TEN-T </w:t>
            </w:r>
          </w:p>
        </w:tc>
        <w:tc>
          <w:tcPr>
            <w:tcW w:w="563" w:type="pct"/>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30%</w:t>
            </w:r>
          </w:p>
        </w:tc>
        <w:tc>
          <w:tcPr>
            <w:tcW w:w="901" w:type="pct"/>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Segment Core TEN-T </w:t>
            </w:r>
          </w:p>
        </w:tc>
        <w:tc>
          <w:tcPr>
            <w:tcW w:w="1065" w:type="pct"/>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100</w:t>
            </w:r>
          </w:p>
        </w:tc>
      </w:tr>
      <w:tr w:rsidR="002B762C" w:rsidRPr="00BF454A" w:rsidTr="0030066D">
        <w:trPr>
          <w:trHeight w:val="402"/>
        </w:trPr>
        <w:tc>
          <w:tcPr>
            <w:tcW w:w="268" w:type="pct"/>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852"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732"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619"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563"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901" w:type="pct"/>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Segment TEN-T Comprehensive </w:t>
            </w:r>
          </w:p>
        </w:tc>
        <w:tc>
          <w:tcPr>
            <w:tcW w:w="1065" w:type="pct"/>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30</w:t>
            </w:r>
          </w:p>
        </w:tc>
      </w:tr>
      <w:tr w:rsidR="002B762C" w:rsidRPr="00BF454A" w:rsidTr="0030066D">
        <w:trPr>
          <w:trHeight w:val="402"/>
        </w:trPr>
        <w:tc>
          <w:tcPr>
            <w:tcW w:w="268" w:type="pct"/>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852"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732"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619"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563" w:type="pct"/>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901" w:type="pct"/>
            <w:tcBorders>
              <w:top w:val="nil"/>
              <w:left w:val="nil"/>
              <w:bottom w:val="single" w:sz="8"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Alte segmente </w:t>
            </w:r>
          </w:p>
        </w:tc>
        <w:tc>
          <w:tcPr>
            <w:tcW w:w="1065" w:type="pct"/>
            <w:tcBorders>
              <w:top w:val="nil"/>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r>
      <w:tr w:rsidR="002B762C" w:rsidRPr="00BF454A" w:rsidTr="0030066D">
        <w:trPr>
          <w:trHeight w:val="402"/>
        </w:trPr>
        <w:tc>
          <w:tcPr>
            <w:tcW w:w="268" w:type="pct"/>
            <w:tcBorders>
              <w:top w:val="nil"/>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C</w:t>
            </w:r>
          </w:p>
        </w:tc>
        <w:tc>
          <w:tcPr>
            <w:tcW w:w="852" w:type="pc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Sustenabilitate</w:t>
            </w:r>
          </w:p>
        </w:tc>
        <w:tc>
          <w:tcPr>
            <w:tcW w:w="732" w:type="pc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Contribuția la moduri de transport mai curate</w:t>
            </w:r>
          </w:p>
        </w:tc>
        <w:tc>
          <w:tcPr>
            <w:tcW w:w="619" w:type="pc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Cartea albă</w:t>
            </w:r>
          </w:p>
        </w:tc>
        <w:tc>
          <w:tcPr>
            <w:tcW w:w="2529" w:type="pct"/>
            <w:gridSpan w:val="3"/>
            <w:tcBorders>
              <w:top w:val="single" w:sz="8" w:space="0" w:color="auto"/>
              <w:left w:val="single" w:sz="4" w:space="0" w:color="auto"/>
              <w:bottom w:val="single" w:sz="8" w:space="0" w:color="000000"/>
              <w:right w:val="single" w:sz="8" w:space="0" w:color="000000"/>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Nu i s-a acordat punctaj în cadrul AMC dar se ia în considerare prin pre-alocarea fondurilor pe sectoare: în acest scenariu: 51% rutier, 44% feroviar 5% naval, căi navigabile interioare, intermodal și aerian</w:t>
            </w:r>
          </w:p>
        </w:tc>
      </w:tr>
    </w:tbl>
    <w:p w:rsidR="002B762C" w:rsidRPr="008E7DDF" w:rsidRDefault="002B762C" w:rsidP="002B7E09">
      <w:pPr>
        <w:pStyle w:val="NumberedParas"/>
        <w:numPr>
          <w:ilvl w:val="0"/>
          <w:numId w:val="0"/>
        </w:numPr>
        <w:ind w:left="1248"/>
      </w:pPr>
      <w:r w:rsidRPr="008E7DDF">
        <w:t>Sursa: AECOM, MT, JASPERS și CE</w:t>
      </w:r>
    </w:p>
    <w:p w:rsidR="002B762C" w:rsidRPr="00BF454A" w:rsidRDefault="002B762C" w:rsidP="002B762C">
      <w:pPr>
        <w:rPr>
          <w:b/>
          <w:i/>
          <w:sz w:val="22"/>
          <w:szCs w:val="22"/>
          <w:lang w:val="ro-RO"/>
        </w:rPr>
      </w:pPr>
      <w:r w:rsidRPr="00BF454A">
        <w:rPr>
          <w:b/>
          <w:lang w:val="ro-RO"/>
        </w:rPr>
        <w:br w:type="page"/>
      </w:r>
    </w:p>
    <w:p w:rsidR="002B762C" w:rsidRPr="00BF454A" w:rsidRDefault="002B762C" w:rsidP="002B762C">
      <w:pPr>
        <w:pStyle w:val="Body"/>
        <w:spacing w:before="120" w:after="120"/>
        <w:ind w:left="851"/>
        <w:rPr>
          <w:rFonts w:cs="Arial"/>
          <w:b/>
          <w:i w:val="0"/>
          <w:lang w:val="ro-RO"/>
        </w:rPr>
      </w:pPr>
      <w:r w:rsidRPr="00BF454A">
        <w:rPr>
          <w:rFonts w:cs="Arial"/>
          <w:b/>
          <w:i w:val="0"/>
          <w:lang w:val="ro-RO"/>
        </w:rPr>
        <w:t xml:space="preserve">Tabelul </w:t>
      </w:r>
      <w:r>
        <w:rPr>
          <w:rFonts w:cs="Arial"/>
          <w:b/>
          <w:i w:val="0"/>
          <w:lang w:val="ro-RO"/>
        </w:rPr>
        <w:t>10</w:t>
      </w:r>
      <w:r w:rsidRPr="00BF454A">
        <w:rPr>
          <w:rFonts w:cs="Arial"/>
          <w:b/>
          <w:i w:val="0"/>
          <w:lang w:val="ro-RO"/>
        </w:rPr>
        <w:t>.</w:t>
      </w:r>
      <w:r>
        <w:rPr>
          <w:rFonts w:cs="Arial"/>
          <w:b/>
          <w:i w:val="0"/>
          <w:lang w:val="ro-RO"/>
        </w:rPr>
        <w:t>5</w:t>
      </w:r>
      <w:r w:rsidRPr="00BF454A">
        <w:rPr>
          <w:rFonts w:cs="Arial"/>
          <w:b/>
          <w:i w:val="0"/>
          <w:lang w:val="ro-RO"/>
        </w:rPr>
        <w:t xml:space="preserve">  Punctajele proiectelor din cadrul scenariului EES</w:t>
      </w:r>
    </w:p>
    <w:tbl>
      <w:tblPr>
        <w:tblW w:w="0" w:type="auto"/>
        <w:tblLook w:val="04A0" w:firstRow="1" w:lastRow="0" w:firstColumn="1" w:lastColumn="0" w:noHBand="0" w:noVBand="1"/>
      </w:tblPr>
      <w:tblGrid>
        <w:gridCol w:w="494"/>
        <w:gridCol w:w="1703"/>
        <w:gridCol w:w="1919"/>
        <w:gridCol w:w="1480"/>
        <w:gridCol w:w="1017"/>
        <w:gridCol w:w="2320"/>
        <w:gridCol w:w="1574"/>
      </w:tblGrid>
      <w:tr w:rsidR="002B762C" w:rsidRPr="00BF454A" w:rsidTr="0030066D">
        <w:trPr>
          <w:trHeight w:val="1002"/>
          <w:tblHeader/>
        </w:trPr>
        <w:tc>
          <w:tcPr>
            <w:tcW w:w="0" w:type="auto"/>
            <w:tcBorders>
              <w:top w:val="single" w:sz="8" w:space="0" w:color="auto"/>
              <w:left w:val="single" w:sz="8" w:space="0" w:color="auto"/>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Nr.</w:t>
            </w:r>
          </w:p>
        </w:tc>
        <w:tc>
          <w:tcPr>
            <w:tcW w:w="0" w:type="auto"/>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Obiectiv General Master Plan</w:t>
            </w:r>
          </w:p>
        </w:tc>
        <w:tc>
          <w:tcPr>
            <w:tcW w:w="0" w:type="auto"/>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Criterii</w:t>
            </w:r>
          </w:p>
        </w:tc>
        <w:tc>
          <w:tcPr>
            <w:tcW w:w="0" w:type="auto"/>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Indicator/ Referință</w:t>
            </w:r>
          </w:p>
        </w:tc>
        <w:tc>
          <w:tcPr>
            <w:tcW w:w="0" w:type="auto"/>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Pondere</w:t>
            </w:r>
          </w:p>
        </w:tc>
        <w:tc>
          <w:tcPr>
            <w:tcW w:w="0" w:type="auto"/>
            <w:tcBorders>
              <w:top w:val="single" w:sz="8" w:space="0" w:color="auto"/>
              <w:left w:val="nil"/>
              <w:bottom w:val="nil"/>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Criterii de punctare</w:t>
            </w:r>
          </w:p>
        </w:tc>
        <w:tc>
          <w:tcPr>
            <w:tcW w:w="0" w:type="auto"/>
            <w:tcBorders>
              <w:top w:val="single" w:sz="8" w:space="0" w:color="auto"/>
              <w:left w:val="nil"/>
              <w:bottom w:val="nil"/>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Punctaje</w:t>
            </w:r>
          </w:p>
          <w:p w:rsidR="002B762C" w:rsidRPr="00BF454A" w:rsidRDefault="002B762C" w:rsidP="0030066D">
            <w:pPr>
              <w:jc w:val="center"/>
              <w:rPr>
                <w:rFonts w:cs="Arial"/>
                <w:b/>
                <w:bCs/>
                <w:sz w:val="20"/>
                <w:szCs w:val="20"/>
                <w:lang w:val="ro-RO"/>
              </w:rPr>
            </w:pPr>
            <w:r w:rsidRPr="00BF454A">
              <w:rPr>
                <w:rFonts w:cs="Arial"/>
                <w:b/>
                <w:bCs/>
                <w:sz w:val="20"/>
                <w:szCs w:val="20"/>
                <w:lang w:val="ro-RO"/>
              </w:rPr>
              <w:t>(puncte)</w:t>
            </w:r>
          </w:p>
        </w:tc>
      </w:tr>
      <w:tr w:rsidR="002B762C" w:rsidRPr="00BF454A" w:rsidTr="0030066D">
        <w:trPr>
          <w:trHeight w:val="402"/>
        </w:trPr>
        <w:tc>
          <w:tcPr>
            <w:tcW w:w="0" w:type="auto"/>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A</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Eficiență economică</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Performanță economică</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RIRE</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50%</w:t>
            </w:r>
          </w:p>
        </w:tc>
        <w:tc>
          <w:tcPr>
            <w:tcW w:w="0" w:type="auto"/>
            <w:tcBorders>
              <w:top w:val="single" w:sz="8" w:space="0" w:color="auto"/>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5%</w:t>
            </w:r>
          </w:p>
        </w:tc>
        <w:tc>
          <w:tcPr>
            <w:tcW w:w="0" w:type="auto"/>
            <w:tcBorders>
              <w:top w:val="single" w:sz="8" w:space="0" w:color="auto"/>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r>
      <w:tr w:rsidR="002B762C" w:rsidRPr="00BF454A" w:rsidTr="0030066D">
        <w:trPr>
          <w:trHeight w:val="402"/>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nil"/>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RIRE Maxim</w:t>
            </w:r>
          </w:p>
        </w:tc>
        <w:tc>
          <w:tcPr>
            <w:tcW w:w="0" w:type="auto"/>
            <w:tcBorders>
              <w:top w:val="nil"/>
              <w:left w:val="nil"/>
              <w:bottom w:val="nil"/>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100</w:t>
            </w:r>
          </w:p>
        </w:tc>
      </w:tr>
      <w:tr w:rsidR="002B762C" w:rsidRPr="00BF454A" w:rsidTr="0030066D">
        <w:trPr>
          <w:trHeight w:val="402"/>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single" w:sz="4" w:space="0" w:color="auto"/>
              <w:left w:val="nil"/>
              <w:bottom w:val="single" w:sz="8"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&gt; 5% &lt; RIRE cel mai mare%</w:t>
            </w:r>
          </w:p>
        </w:tc>
        <w:tc>
          <w:tcPr>
            <w:tcW w:w="0" w:type="auto"/>
            <w:tcBorders>
              <w:top w:val="single" w:sz="4" w:space="0" w:color="auto"/>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Proporțional din 100 = cel mai mare RIRE</w:t>
            </w:r>
          </w:p>
        </w:tc>
      </w:tr>
      <w:tr w:rsidR="002B762C" w:rsidRPr="00BF454A" w:rsidTr="0030066D">
        <w:trPr>
          <w:trHeight w:val="402"/>
        </w:trPr>
        <w:tc>
          <w:tcPr>
            <w:tcW w:w="0" w:type="auto"/>
            <w:vMerge w:val="restart"/>
            <w:tcBorders>
              <w:top w:val="nil"/>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B</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Integrare Trans-Europeană</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Relația cu Rețeaua TEN-T</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xml:space="preserve">Reguli TEN-T </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20%</w:t>
            </w:r>
          </w:p>
        </w:tc>
        <w:tc>
          <w:tcPr>
            <w:tcW w:w="0" w:type="auto"/>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&gt; 5% &lt;  RIRE cea mai mare%</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Segment Core TEN-T </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nil"/>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Segment TEN-T Comprehensive </w:t>
            </w:r>
          </w:p>
        </w:tc>
        <w:tc>
          <w:tcPr>
            <w:tcW w:w="0" w:type="auto"/>
            <w:tcBorders>
              <w:top w:val="nil"/>
              <w:left w:val="nil"/>
              <w:bottom w:val="nil"/>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single" w:sz="4" w:space="0" w:color="auto"/>
              <w:left w:val="nil"/>
              <w:bottom w:val="single" w:sz="8"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Alte segmente </w:t>
            </w:r>
          </w:p>
        </w:tc>
        <w:tc>
          <w:tcPr>
            <w:tcW w:w="0" w:type="auto"/>
            <w:tcBorders>
              <w:top w:val="single" w:sz="4" w:space="0" w:color="auto"/>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r>
      <w:tr w:rsidR="002B762C" w:rsidRPr="00BF454A" w:rsidTr="0030066D">
        <w:trPr>
          <w:trHeight w:val="402"/>
        </w:trPr>
        <w:tc>
          <w:tcPr>
            <w:tcW w:w="0" w:type="auto"/>
            <w:vMerge w:val="restart"/>
            <w:tcBorders>
              <w:top w:val="nil"/>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C</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Impactul de mediu</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Impact potențial asupra mediului  (in particular on NATURA mp2000 sites)</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SEA</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20%</w:t>
            </w:r>
          </w:p>
        </w:tc>
        <w:tc>
          <w:tcPr>
            <w:tcW w:w="0" w:type="auto"/>
            <w:tcBorders>
              <w:top w:val="nil"/>
              <w:left w:val="single" w:sz="4"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Foarte mare </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Mare</w:t>
            </w:r>
          </w:p>
        </w:tc>
        <w:tc>
          <w:tcPr>
            <w:tcW w:w="0" w:type="auto"/>
            <w:tcBorders>
              <w:top w:val="single" w:sz="4" w:space="0" w:color="auto"/>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-80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Moderat</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Mic</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-30</w:t>
            </w:r>
          </w:p>
        </w:tc>
      </w:tr>
      <w:tr w:rsidR="002B762C" w:rsidRPr="00BF454A" w:rsidTr="0030066D">
        <w:trPr>
          <w:trHeight w:val="4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8"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Nici unul</w:t>
            </w:r>
          </w:p>
        </w:tc>
        <w:tc>
          <w:tcPr>
            <w:tcW w:w="0" w:type="auto"/>
            <w:tcBorders>
              <w:top w:val="nil"/>
              <w:left w:val="single" w:sz="4" w:space="0" w:color="auto"/>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r>
      <w:tr w:rsidR="002B762C" w:rsidRPr="00BF454A" w:rsidTr="0030066D">
        <w:trPr>
          <w:trHeight w:val="509"/>
        </w:trPr>
        <w:tc>
          <w:tcPr>
            <w:tcW w:w="0" w:type="auto"/>
            <w:vMerge w:val="restart"/>
            <w:tcBorders>
              <w:top w:val="nil"/>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D</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Sustenabilitate</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Contribuție la moduri de transport curate</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Cartea albă</w:t>
            </w:r>
          </w:p>
        </w:tc>
        <w:tc>
          <w:tcPr>
            <w:tcW w:w="0" w:type="auto"/>
            <w:gridSpan w:val="3"/>
            <w:vMerge w:val="restart"/>
            <w:tcBorders>
              <w:top w:val="single" w:sz="8" w:space="0" w:color="auto"/>
              <w:left w:val="single" w:sz="4" w:space="0" w:color="auto"/>
              <w:bottom w:val="single" w:sz="8" w:space="0" w:color="000000"/>
              <w:right w:val="single" w:sz="8" w:space="0" w:color="000000"/>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xml:space="preserve">Nu i s-a acordat punctaj în cadrul AMC dar se ia în considerare prin pre-alocarea fondurilor pe sectoare/moduri: </w:t>
            </w:r>
            <w:r w:rsidRPr="00BF454A">
              <w:rPr>
                <w:rFonts w:cs="Arial"/>
                <w:color w:val="000000"/>
                <w:sz w:val="20"/>
                <w:szCs w:val="20"/>
                <w:lang w:val="ro-RO"/>
              </w:rPr>
              <w:br/>
              <w:t>în acest scenariu 51% rutier, 44% feroviar și 5% naval, căi navigabile interioare, intermodal și aerian</w:t>
            </w:r>
          </w:p>
        </w:tc>
      </w:tr>
      <w:tr w:rsidR="002B762C" w:rsidRPr="00BF454A" w:rsidTr="0030066D">
        <w:trPr>
          <w:trHeight w:val="509"/>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gridSpan w:val="3"/>
            <w:vMerge/>
            <w:tcBorders>
              <w:top w:val="single" w:sz="8" w:space="0" w:color="auto"/>
              <w:left w:val="single" w:sz="4" w:space="0" w:color="auto"/>
              <w:bottom w:val="single" w:sz="8" w:space="0" w:color="000000"/>
              <w:right w:val="single" w:sz="8" w:space="0" w:color="000000"/>
            </w:tcBorders>
            <w:vAlign w:val="center"/>
            <w:hideMark/>
          </w:tcPr>
          <w:p w:rsidR="002B762C" w:rsidRPr="00BF454A" w:rsidRDefault="002B762C" w:rsidP="0030066D">
            <w:pPr>
              <w:rPr>
                <w:rFonts w:cs="Arial"/>
                <w:color w:val="000000"/>
                <w:sz w:val="20"/>
                <w:szCs w:val="20"/>
                <w:lang w:val="ro-RO"/>
              </w:rPr>
            </w:pPr>
          </w:p>
        </w:tc>
      </w:tr>
      <w:tr w:rsidR="002B762C" w:rsidRPr="00BF454A" w:rsidTr="0030066D">
        <w:trPr>
          <w:trHeight w:val="702"/>
        </w:trPr>
        <w:tc>
          <w:tcPr>
            <w:tcW w:w="0" w:type="auto"/>
            <w:vMerge w:val="restart"/>
            <w:tcBorders>
              <w:top w:val="nil"/>
              <w:left w:val="single" w:sz="8"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E</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Dezvoltare economică echilibrată</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Creșterea accesibilității zonelor mai greu accesibile</w:t>
            </w:r>
          </w:p>
        </w:tc>
        <w:tc>
          <w:tcPr>
            <w:tcW w:w="0" w:type="auto"/>
            <w:vMerge w:val="restart"/>
            <w:tcBorders>
              <w:top w:val="nil"/>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xml:space="preserve">Hărți accesibilitate MPGT </w:t>
            </w:r>
          </w:p>
        </w:tc>
        <w:tc>
          <w:tcPr>
            <w:tcW w:w="0" w:type="auto"/>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w:t>
            </w:r>
          </w:p>
        </w:tc>
        <w:tc>
          <w:tcPr>
            <w:tcW w:w="0" w:type="auto"/>
            <w:tcBorders>
              <w:top w:val="single" w:sz="8" w:space="0" w:color="auto"/>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Îmbunătățire segment către zonă cu slabă accesibilitate atât pe piețe interne cât și externe </w:t>
            </w:r>
          </w:p>
        </w:tc>
        <w:tc>
          <w:tcPr>
            <w:tcW w:w="0" w:type="auto"/>
            <w:tcBorders>
              <w:top w:val="single" w:sz="8" w:space="0" w:color="auto"/>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100</w:t>
            </w:r>
          </w:p>
        </w:tc>
      </w:tr>
      <w:tr w:rsidR="002B762C" w:rsidRPr="00BF454A" w:rsidTr="0030066D">
        <w:trPr>
          <w:trHeight w:val="7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xml:space="preserve">Îmbunătățire segment către zonă cu slabă accesibilitate pe piețe externe </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70</w:t>
            </w:r>
          </w:p>
        </w:tc>
      </w:tr>
      <w:tr w:rsidR="002B762C" w:rsidRPr="00BF454A" w:rsidTr="0030066D">
        <w:trPr>
          <w:trHeight w:val="7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Îmbunătățire segment către zonă cu slabă accesibilitate pe piețe interne</w:t>
            </w:r>
          </w:p>
        </w:tc>
        <w:tc>
          <w:tcPr>
            <w:tcW w:w="0" w:type="auto"/>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50</w:t>
            </w:r>
          </w:p>
        </w:tc>
      </w:tr>
      <w:tr w:rsidR="002B762C" w:rsidRPr="00BF454A" w:rsidTr="0030066D">
        <w:trPr>
          <w:trHeight w:val="702"/>
        </w:trPr>
        <w:tc>
          <w:tcPr>
            <w:tcW w:w="0" w:type="auto"/>
            <w:vMerge/>
            <w:tcBorders>
              <w:top w:val="nil"/>
              <w:left w:val="single" w:sz="8"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nil"/>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rsidR="002B762C" w:rsidRPr="00BF454A" w:rsidRDefault="002B762C" w:rsidP="0030066D">
            <w:pPr>
              <w:rPr>
                <w:rFonts w:cs="Arial"/>
                <w:color w:val="000000"/>
                <w:sz w:val="20"/>
                <w:szCs w:val="20"/>
                <w:lang w:val="ro-RO"/>
              </w:rPr>
            </w:pPr>
          </w:p>
        </w:tc>
        <w:tc>
          <w:tcPr>
            <w:tcW w:w="0" w:type="auto"/>
            <w:tcBorders>
              <w:top w:val="nil"/>
              <w:left w:val="nil"/>
              <w:bottom w:val="single" w:sz="8"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Segmente către zone cu bună accesibilitate</w:t>
            </w:r>
          </w:p>
        </w:tc>
        <w:tc>
          <w:tcPr>
            <w:tcW w:w="0" w:type="auto"/>
            <w:tcBorders>
              <w:top w:val="nil"/>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r>
    </w:tbl>
    <w:p w:rsidR="002B762C" w:rsidRPr="008E7DDF" w:rsidRDefault="002B762C" w:rsidP="002B7E09">
      <w:pPr>
        <w:pStyle w:val="NumberedParas"/>
        <w:numPr>
          <w:ilvl w:val="0"/>
          <w:numId w:val="0"/>
        </w:numPr>
        <w:ind w:left="1248"/>
      </w:pPr>
      <w:r w:rsidRPr="008E7DDF">
        <w:t>Sursa: AECOM, MT, JASPERS și CE</w:t>
      </w:r>
    </w:p>
    <w:p w:rsidR="002B762C" w:rsidRPr="00BF454A" w:rsidRDefault="002B762C" w:rsidP="002B7E09">
      <w:pPr>
        <w:pStyle w:val="NumberedParas"/>
      </w:pPr>
      <w:r w:rsidRPr="00BF454A">
        <w:t>Trebuie clarificat rolul analizei multi-criteriale (AMC) în cadrul strategiei de implementare. Procedura AMC oferă ierarhizarea proiectelor în ordinea punctajelor, ce reflectă potențialul lor pentru dezvoltarea economică și socială a României. Cu toate acestea, din motive practice cum ar fi maturitatea proiectelor (ce include influența unor factori cum ar fi disponibilitatea Studiilor de Fezabilitate, studiile de mediu, susținerea politică națională și locală) dar și disponibilitatea fondurilor (cum ar fi fondul de coeziune, care este alocat, conform recomandărilor CE, doar pentru proiectele localizate pe rețeaua TEN-T centrală) strategia de implementare va include o altă ordine a proiectelor, diferită de cea dată de AMC. Cu alte cuvinte, procedura AMC determină ce proiecte trebuie incluse în strategia recomandată, în condițiile în care strategia generală va rămâne aceeași.</w:t>
      </w:r>
    </w:p>
    <w:p w:rsidR="002B762C" w:rsidRPr="00BF454A" w:rsidRDefault="002B762C" w:rsidP="002B7E09">
      <w:pPr>
        <w:pStyle w:val="NumberedParas"/>
      </w:pPr>
      <w:r>
        <w:t>Capitolul 10.7</w:t>
      </w:r>
      <w:r w:rsidRPr="00BF454A">
        <w:t xml:space="preserve"> prezintă rezultatele procedurii AMC precum și proiectele incluse în scenariile ES și EES.</w:t>
      </w:r>
    </w:p>
    <w:p w:rsidR="002B762C" w:rsidRPr="00BF454A" w:rsidRDefault="002B762C" w:rsidP="002B7E09">
      <w:pPr>
        <w:pStyle w:val="NumberedParas"/>
        <w:numPr>
          <w:ilvl w:val="0"/>
          <w:numId w:val="0"/>
        </w:numPr>
        <w:ind w:left="851"/>
      </w:pPr>
    </w:p>
    <w:p w:rsidR="002B762C" w:rsidRPr="00BF454A" w:rsidRDefault="002B762C" w:rsidP="002B762C">
      <w:pPr>
        <w:pStyle w:val="Hdg2"/>
        <w:tabs>
          <w:tab w:val="clear" w:pos="2280"/>
          <w:tab w:val="num" w:pos="1288"/>
        </w:tabs>
      </w:pPr>
      <w:bookmarkStart w:id="619" w:name="_Toc411927783"/>
      <w:bookmarkStart w:id="620" w:name="_Toc411956609"/>
      <w:bookmarkStart w:id="621" w:name="_Toc413060360"/>
      <w:r w:rsidRPr="00BF454A">
        <w:t>Scenariile ES și EES</w:t>
      </w:r>
      <w:bookmarkEnd w:id="619"/>
      <w:bookmarkEnd w:id="620"/>
      <w:bookmarkEnd w:id="621"/>
      <w:r w:rsidRPr="00BF454A">
        <w:t xml:space="preserve"> </w:t>
      </w:r>
      <w:bookmarkStart w:id="622" w:name="_Toc411518115"/>
      <w:bookmarkEnd w:id="622"/>
    </w:p>
    <w:p w:rsidR="002B762C" w:rsidRPr="00BF454A" w:rsidRDefault="002B762C" w:rsidP="002B762C">
      <w:pPr>
        <w:pStyle w:val="Hdg3"/>
      </w:pPr>
      <w:bookmarkStart w:id="623" w:name="_Toc411347772"/>
      <w:bookmarkStart w:id="624" w:name="_Toc411347921"/>
      <w:bookmarkStart w:id="625" w:name="_Toc411347955"/>
      <w:bookmarkStart w:id="626" w:name="_Toc411348013"/>
      <w:bookmarkStart w:id="627" w:name="_Toc411348201"/>
      <w:bookmarkStart w:id="628" w:name="_Toc411348343"/>
      <w:bookmarkStart w:id="629" w:name="_Toc411515383"/>
      <w:bookmarkStart w:id="630" w:name="_Toc411515502"/>
      <w:bookmarkStart w:id="631" w:name="_Toc411515743"/>
      <w:bookmarkStart w:id="632" w:name="_Toc411516081"/>
      <w:bookmarkStart w:id="633" w:name="_Toc411927784"/>
      <w:bookmarkStart w:id="634" w:name="_Toc411956610"/>
      <w:bookmarkEnd w:id="623"/>
      <w:bookmarkEnd w:id="624"/>
      <w:bookmarkEnd w:id="625"/>
      <w:bookmarkEnd w:id="626"/>
      <w:bookmarkEnd w:id="627"/>
      <w:bookmarkEnd w:id="628"/>
      <w:bookmarkEnd w:id="629"/>
      <w:bookmarkEnd w:id="630"/>
      <w:bookmarkEnd w:id="631"/>
      <w:bookmarkEnd w:id="632"/>
      <w:r w:rsidRPr="00BF454A">
        <w:t>Introducere</w:t>
      </w:r>
      <w:bookmarkEnd w:id="633"/>
      <w:bookmarkEnd w:id="634"/>
    </w:p>
    <w:p w:rsidR="002B762C" w:rsidRPr="00BF454A" w:rsidRDefault="002B762C" w:rsidP="002B7E09">
      <w:pPr>
        <w:pStyle w:val="NumberedParas"/>
      </w:pPr>
      <w:r w:rsidRPr="00BF454A">
        <w:t xml:space="preserve">Această secțiune prezintă rezultatele obținute în urma aplicării procedurilor de punctare și ponderare </w:t>
      </w:r>
      <w:r w:rsidRPr="008E7DDF">
        <w:t>din</w:t>
      </w:r>
      <w:r w:rsidRPr="00BF454A">
        <w:t xml:space="preserve"> cadrul Analizei Multi-Criteriale descrise în capitolul precedent. De remarcat faptul că sursa costurilor pentru proiectele rutiere și feroviare </w:t>
      </w:r>
      <w:r>
        <w:t>este reprezentată de</w:t>
      </w:r>
      <w:r w:rsidRPr="00BF454A">
        <w:t xml:space="preserve"> estimările AECOM care au fost ajustate de către Ministerul Transporturilor ulter</w:t>
      </w:r>
      <w:r>
        <w:t>ior elaborării Master Planului.</w:t>
      </w:r>
    </w:p>
    <w:p w:rsidR="002B762C" w:rsidRPr="00BF454A" w:rsidRDefault="002B762C" w:rsidP="002B762C">
      <w:pPr>
        <w:pStyle w:val="Hdg3"/>
      </w:pPr>
      <w:bookmarkStart w:id="635" w:name="_Toc411927785"/>
      <w:bookmarkStart w:id="636" w:name="_Toc411956611"/>
      <w:r w:rsidRPr="00BF454A">
        <w:t>Scenariul sustenabilității economice (“ES”)</w:t>
      </w:r>
      <w:bookmarkEnd w:id="635"/>
      <w:bookmarkEnd w:id="636"/>
    </w:p>
    <w:p w:rsidR="002B762C" w:rsidRPr="00BF454A" w:rsidRDefault="002B762C" w:rsidP="002B7E09">
      <w:pPr>
        <w:pStyle w:val="NumberedParas"/>
      </w:pPr>
      <w:r w:rsidRPr="00BF454A">
        <w:t xml:space="preserve">Această secțiune descrie proiectele incluse în scenariul ES în urma aplicării AMC. Tabelul </w:t>
      </w:r>
      <w:r>
        <w:t>10</w:t>
      </w:r>
      <w:r w:rsidRPr="00BF454A">
        <w:t>.</w:t>
      </w:r>
      <w:r>
        <w:t>6</w:t>
      </w:r>
      <w:r w:rsidRPr="00BF454A">
        <w:t xml:space="preserve"> prezintă proiectele rutiere din scenariul ES potrivit punctajelor obținute </w:t>
      </w:r>
      <w:r>
        <w:t>în urma</w:t>
      </w:r>
      <w:r w:rsidRPr="00BF454A">
        <w:t xml:space="preserve"> AMC.</w:t>
      </w:r>
    </w:p>
    <w:p w:rsidR="002B762C" w:rsidRDefault="002B762C" w:rsidP="002B762C">
      <w:pPr>
        <w:rPr>
          <w:b/>
          <w:sz w:val="22"/>
          <w:szCs w:val="22"/>
          <w:lang w:val="ro-RO"/>
        </w:rPr>
      </w:pPr>
      <w:r>
        <w:rPr>
          <w:b/>
          <w:i/>
          <w:lang w:val="ro-RO"/>
        </w:rPr>
        <w:br w:type="page"/>
      </w:r>
    </w:p>
    <w:p w:rsidR="002B762C" w:rsidRPr="00BF454A" w:rsidRDefault="002B762C" w:rsidP="002B762C">
      <w:pPr>
        <w:pStyle w:val="Body"/>
        <w:spacing w:before="120" w:after="0"/>
        <w:rPr>
          <w:lang w:val="ro-RO"/>
        </w:rPr>
      </w:pPr>
      <w:r>
        <w:rPr>
          <w:b/>
          <w:i w:val="0"/>
          <w:lang w:val="ro-RO"/>
        </w:rPr>
        <w:t>Tabelul</w:t>
      </w:r>
      <w:r w:rsidRPr="00BF454A">
        <w:rPr>
          <w:b/>
          <w:i w:val="0"/>
          <w:lang w:val="ro-RO"/>
        </w:rPr>
        <w:t xml:space="preserve"> </w:t>
      </w:r>
      <w:r>
        <w:rPr>
          <w:b/>
          <w:i w:val="0"/>
          <w:lang w:val="ro-RO"/>
        </w:rPr>
        <w:t>10</w:t>
      </w:r>
      <w:r w:rsidRPr="00BF454A">
        <w:rPr>
          <w:b/>
          <w:i w:val="0"/>
          <w:lang w:val="ro-RO"/>
        </w:rPr>
        <w:t>.</w:t>
      </w:r>
      <w:r>
        <w:rPr>
          <w:b/>
          <w:i w:val="0"/>
          <w:lang w:val="ro-RO"/>
        </w:rPr>
        <w:t>6</w:t>
      </w:r>
      <w:r w:rsidRPr="00BF454A">
        <w:rPr>
          <w:b/>
          <w:i w:val="0"/>
          <w:lang w:val="ro-RO"/>
        </w:rPr>
        <w:t xml:space="preserve">  </w:t>
      </w:r>
      <w:r>
        <w:rPr>
          <w:b/>
          <w:i w:val="0"/>
          <w:lang w:val="ro-RO"/>
        </w:rPr>
        <w:t>Proiecte de transport rutier incluse în</w:t>
      </w:r>
      <w:r w:rsidRPr="00BF454A">
        <w:rPr>
          <w:b/>
          <w:i w:val="0"/>
          <w:lang w:val="ro-RO"/>
        </w:rPr>
        <w:t xml:space="preserve"> </w:t>
      </w:r>
      <w:r>
        <w:rPr>
          <w:b/>
          <w:i w:val="0"/>
          <w:lang w:val="ro-RO"/>
        </w:rPr>
        <w:t xml:space="preserve">scenariul </w:t>
      </w:r>
      <w:r w:rsidRPr="00BF454A">
        <w:rPr>
          <w:b/>
          <w:i w:val="0"/>
          <w:lang w:val="ro-RO"/>
        </w:rPr>
        <w:t xml:space="preserve">ES </w:t>
      </w:r>
    </w:p>
    <w:p w:rsidR="002B762C" w:rsidRPr="00BF454A" w:rsidRDefault="002B762C" w:rsidP="002B762C">
      <w:pPr>
        <w:pStyle w:val="Body"/>
        <w:rPr>
          <w:lang w:val="ro-RO"/>
        </w:rPr>
      </w:pPr>
      <w:r w:rsidRPr="008822F3">
        <w:rPr>
          <w:noProof/>
          <w:lang w:val="ro-RO" w:eastAsia="ro-RO"/>
        </w:rPr>
        <w:drawing>
          <wp:inline distT="0" distB="0" distL="0" distR="0">
            <wp:extent cx="4897281" cy="85153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906447" cy="8531287"/>
                    </a:xfrm>
                    <a:prstGeom prst="rect">
                      <a:avLst/>
                    </a:prstGeom>
                    <a:noFill/>
                    <a:ln>
                      <a:noFill/>
                    </a:ln>
                  </pic:spPr>
                </pic:pic>
              </a:graphicData>
            </a:graphic>
          </wp:inline>
        </w:drawing>
      </w:r>
    </w:p>
    <w:p w:rsidR="002B762C" w:rsidRPr="00BF454A" w:rsidRDefault="002B762C" w:rsidP="002B762C">
      <w:pPr>
        <w:ind w:left="567"/>
        <w:rPr>
          <w:lang w:val="ro-RO"/>
        </w:rPr>
      </w:pPr>
      <w:r>
        <w:rPr>
          <w:i/>
          <w:lang w:val="ro-RO"/>
        </w:rPr>
        <w:t>Sursa</w:t>
      </w:r>
      <w:r w:rsidRPr="00BF454A">
        <w:rPr>
          <w:i/>
          <w:lang w:val="ro-RO"/>
        </w:rPr>
        <w:t xml:space="preserve">: </w:t>
      </w:r>
      <w:r>
        <w:rPr>
          <w:i/>
          <w:lang w:val="ro-RO"/>
        </w:rPr>
        <w:t>Punctaj AMC, MPGT AECOM, costuri provenite de la MT</w:t>
      </w:r>
    </w:p>
    <w:p w:rsidR="002B762C" w:rsidRPr="00BF454A" w:rsidRDefault="002B762C" w:rsidP="002B7E09">
      <w:pPr>
        <w:pStyle w:val="NumberedParas"/>
      </w:pPr>
      <w:r>
        <w:t>Tabelul</w:t>
      </w:r>
      <w:r w:rsidRPr="00BF454A">
        <w:t xml:space="preserve"> </w:t>
      </w:r>
      <w:r>
        <w:t>10</w:t>
      </w:r>
      <w:r w:rsidRPr="00BF454A">
        <w:t>.</w:t>
      </w:r>
      <w:r>
        <w:t>7</w:t>
      </w:r>
      <w:r w:rsidRPr="00BF454A">
        <w:t xml:space="preserve"> </w:t>
      </w:r>
      <w:r>
        <w:t>prezintă proiectele rutiere din scenariul EES potrivit punctajelor obținute în urma AMC.</w:t>
      </w:r>
    </w:p>
    <w:p w:rsidR="002B762C" w:rsidRPr="00BF454A" w:rsidRDefault="002B762C" w:rsidP="002B762C">
      <w:pPr>
        <w:pStyle w:val="Body"/>
        <w:spacing w:before="120" w:after="120"/>
        <w:rPr>
          <w:b/>
          <w:i w:val="0"/>
          <w:lang w:val="ro-RO"/>
        </w:rPr>
      </w:pPr>
      <w:r>
        <w:rPr>
          <w:b/>
          <w:i w:val="0"/>
          <w:lang w:val="ro-RO"/>
        </w:rPr>
        <w:t>Tabelul</w:t>
      </w:r>
      <w:r w:rsidRPr="00BF454A">
        <w:rPr>
          <w:b/>
          <w:i w:val="0"/>
          <w:lang w:val="ro-RO"/>
        </w:rPr>
        <w:t xml:space="preserve"> </w:t>
      </w:r>
      <w:r>
        <w:rPr>
          <w:b/>
          <w:i w:val="0"/>
          <w:lang w:val="ro-RO"/>
        </w:rPr>
        <w:t>10</w:t>
      </w:r>
      <w:r w:rsidRPr="00BF454A">
        <w:rPr>
          <w:b/>
          <w:i w:val="0"/>
          <w:lang w:val="ro-RO"/>
        </w:rPr>
        <w:t>.</w:t>
      </w:r>
      <w:r>
        <w:rPr>
          <w:b/>
          <w:i w:val="0"/>
          <w:lang w:val="ro-RO"/>
        </w:rPr>
        <w:t>7</w:t>
      </w:r>
      <w:r w:rsidRPr="00BF454A">
        <w:rPr>
          <w:b/>
          <w:i w:val="0"/>
          <w:lang w:val="ro-RO"/>
        </w:rPr>
        <w:t xml:space="preserve">  </w:t>
      </w:r>
      <w:r>
        <w:rPr>
          <w:b/>
          <w:i w:val="0"/>
          <w:lang w:val="ro-RO"/>
        </w:rPr>
        <w:t xml:space="preserve">Proiecte de transport rutier incluse în scenariul </w:t>
      </w:r>
      <w:r w:rsidRPr="00BF454A">
        <w:rPr>
          <w:b/>
          <w:i w:val="0"/>
          <w:lang w:val="ro-RO"/>
        </w:rPr>
        <w:t xml:space="preserve">EES </w:t>
      </w:r>
    </w:p>
    <w:p w:rsidR="002B762C" w:rsidRPr="00BF454A" w:rsidRDefault="002B762C" w:rsidP="002B762C">
      <w:pPr>
        <w:pStyle w:val="Body"/>
        <w:rPr>
          <w:lang w:val="ro-RO"/>
        </w:rPr>
      </w:pPr>
      <w:r w:rsidRPr="008822F3">
        <w:rPr>
          <w:noProof/>
          <w:lang w:val="ro-RO" w:eastAsia="ro-RO"/>
        </w:rPr>
        <w:drawing>
          <wp:inline distT="0" distB="0" distL="0" distR="0">
            <wp:extent cx="4360440" cy="7581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368984" cy="7596757"/>
                    </a:xfrm>
                    <a:prstGeom prst="rect">
                      <a:avLst/>
                    </a:prstGeom>
                    <a:noFill/>
                    <a:ln>
                      <a:noFill/>
                    </a:ln>
                  </pic:spPr>
                </pic:pic>
              </a:graphicData>
            </a:graphic>
          </wp:inline>
        </w:drawing>
      </w:r>
    </w:p>
    <w:p w:rsidR="002B762C" w:rsidRPr="00BF454A" w:rsidRDefault="002B762C" w:rsidP="002B762C">
      <w:pPr>
        <w:ind w:left="567"/>
        <w:rPr>
          <w:lang w:val="ro-RO"/>
        </w:rPr>
      </w:pPr>
      <w:r>
        <w:rPr>
          <w:i/>
          <w:lang w:val="ro-RO"/>
        </w:rPr>
        <w:t>Sursa</w:t>
      </w:r>
      <w:r w:rsidRPr="00BF454A">
        <w:rPr>
          <w:i/>
          <w:lang w:val="ro-RO"/>
        </w:rPr>
        <w:t xml:space="preserve">: </w:t>
      </w:r>
      <w:r>
        <w:rPr>
          <w:i/>
          <w:lang w:val="ro-RO"/>
        </w:rPr>
        <w:t>Punctaj AMC, MPGT AECOM, costuri provenite de la MT</w:t>
      </w:r>
      <w:r w:rsidRPr="00BF454A" w:rsidDel="00E60716">
        <w:rPr>
          <w:i/>
          <w:lang w:val="ro-RO"/>
        </w:rPr>
        <w:t xml:space="preserve"> </w:t>
      </w:r>
    </w:p>
    <w:p w:rsidR="002B762C" w:rsidRPr="00BF454A" w:rsidRDefault="002B762C" w:rsidP="002B7E09">
      <w:pPr>
        <w:pStyle w:val="NumberedParas"/>
      </w:pPr>
      <w:r w:rsidRPr="00BF454A">
        <w:t xml:space="preserve">Unele dintre rutele de ocolire identificate fac parte din structura proiectelor </w:t>
      </w:r>
      <w:r>
        <w:t xml:space="preserve">mai mari </w:t>
      </w:r>
      <w:r w:rsidRPr="00BF454A">
        <w:t xml:space="preserve">de Nivel 1 sau Nivel 2. Decizia de transformare a acestora în proiecte separate va fi determinată în cadrul Strategiei de Implementare care va examina oportunitățile de finanțare și maturitatea fiecărui proiect. Dacă proiectul mai cuprinzător de Nivel 1 sau 2 pare fezabil la o etapă inițială a planului de implementare, atunci nu va fi nevoie de un proiect separat </w:t>
      </w:r>
      <w:r>
        <w:t>pentru ruta</w:t>
      </w:r>
      <w:r w:rsidRPr="00BF454A">
        <w:t xml:space="preserve"> de ocolire. O analiză a raportului beneficiu-cost bazată pe durata de viață prognozată pentru ruta </w:t>
      </w:r>
      <w:r>
        <w:t xml:space="preserve">de ocolire </w:t>
      </w:r>
      <w:r w:rsidRPr="00BF454A">
        <w:t>ca entitate individuală va determina soluția cea mai adecvată.</w:t>
      </w:r>
    </w:p>
    <w:p w:rsidR="002B762C" w:rsidRPr="00BF454A" w:rsidRDefault="002B762C" w:rsidP="002B7E09">
      <w:pPr>
        <w:pStyle w:val="NumberedParas"/>
      </w:pPr>
      <w:r w:rsidRPr="00BF454A">
        <w:t xml:space="preserve">Tabelele </w:t>
      </w:r>
      <w:r>
        <w:t>10</w:t>
      </w:r>
      <w:r w:rsidRPr="00BF454A">
        <w:t>.</w:t>
      </w:r>
      <w:r>
        <w:t>8</w:t>
      </w:r>
      <w:r w:rsidRPr="00BF454A">
        <w:t>-</w:t>
      </w:r>
      <w:r>
        <w:t>9</w:t>
      </w:r>
      <w:r w:rsidRPr="00BF454A">
        <w:t xml:space="preserve">  prezintă proiectele feroviare din cadrul Scenariului ES și EES potrivit punctajului obținut în </w:t>
      </w:r>
      <w:r>
        <w:t>urma</w:t>
      </w:r>
      <w:r w:rsidRPr="00BF454A">
        <w:t xml:space="preserve"> AMC. </w:t>
      </w:r>
    </w:p>
    <w:p w:rsidR="002B762C" w:rsidRPr="00BF454A" w:rsidRDefault="002B762C" w:rsidP="002B762C">
      <w:pPr>
        <w:pStyle w:val="Body"/>
        <w:spacing w:before="120" w:after="120"/>
        <w:rPr>
          <w:b/>
          <w:i w:val="0"/>
          <w:lang w:val="ro-RO"/>
        </w:rPr>
      </w:pPr>
      <w:r>
        <w:rPr>
          <w:b/>
          <w:i w:val="0"/>
          <w:lang w:val="ro-RO"/>
        </w:rPr>
        <w:t>Tabelul 10</w:t>
      </w:r>
      <w:r w:rsidRPr="00BF454A">
        <w:rPr>
          <w:b/>
          <w:i w:val="0"/>
          <w:lang w:val="ro-RO"/>
        </w:rPr>
        <w:t>.</w:t>
      </w:r>
      <w:r>
        <w:rPr>
          <w:b/>
          <w:i w:val="0"/>
          <w:lang w:val="ro-RO"/>
        </w:rPr>
        <w:t>8</w:t>
      </w:r>
      <w:r w:rsidRPr="00BF454A">
        <w:rPr>
          <w:b/>
          <w:i w:val="0"/>
          <w:lang w:val="ro-RO"/>
        </w:rPr>
        <w:t xml:space="preserve"> </w:t>
      </w:r>
      <w:r>
        <w:rPr>
          <w:b/>
          <w:i w:val="0"/>
          <w:lang w:val="ro-RO"/>
        </w:rPr>
        <w:t>Proiecte de transport feroviar incluse în scenariul</w:t>
      </w:r>
      <w:r w:rsidRPr="00BF454A">
        <w:rPr>
          <w:b/>
          <w:i w:val="0"/>
          <w:lang w:val="ro-RO"/>
        </w:rPr>
        <w:t xml:space="preserve"> ES </w:t>
      </w:r>
    </w:p>
    <w:p w:rsidR="002B762C" w:rsidRDefault="002B762C" w:rsidP="002B762C">
      <w:pPr>
        <w:pStyle w:val="Body"/>
        <w:rPr>
          <w:sz w:val="18"/>
          <w:szCs w:val="18"/>
          <w:lang w:val="ro-RO"/>
        </w:rPr>
      </w:pPr>
      <w:r w:rsidRPr="007D2E06">
        <w:rPr>
          <w:noProof/>
          <w:lang w:val="ro-RO" w:eastAsia="ro-RO"/>
        </w:rPr>
        <w:drawing>
          <wp:inline distT="0" distB="0" distL="0" distR="0">
            <wp:extent cx="6400800" cy="412106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6400883" cy="4121122"/>
                    </a:xfrm>
                    <a:prstGeom prst="rect">
                      <a:avLst/>
                    </a:prstGeom>
                    <a:noFill/>
                    <a:ln>
                      <a:noFill/>
                    </a:ln>
                  </pic:spPr>
                </pic:pic>
              </a:graphicData>
            </a:graphic>
          </wp:inline>
        </w:drawing>
      </w:r>
    </w:p>
    <w:p w:rsidR="002B762C" w:rsidRPr="00BF454A" w:rsidRDefault="002B762C" w:rsidP="002B762C">
      <w:pPr>
        <w:pStyle w:val="Body"/>
        <w:rPr>
          <w:lang w:val="ro-RO"/>
        </w:rPr>
      </w:pPr>
      <w:r>
        <w:rPr>
          <w:sz w:val="18"/>
          <w:szCs w:val="18"/>
          <w:lang w:val="ro-RO"/>
        </w:rPr>
        <w:t>Sursa</w:t>
      </w:r>
      <w:r w:rsidRPr="00BF454A">
        <w:rPr>
          <w:sz w:val="18"/>
          <w:szCs w:val="18"/>
          <w:lang w:val="ro-RO"/>
        </w:rPr>
        <w:t xml:space="preserve">: </w:t>
      </w:r>
      <w:r>
        <w:rPr>
          <w:sz w:val="18"/>
          <w:szCs w:val="18"/>
          <w:lang w:val="ro-RO"/>
        </w:rPr>
        <w:t>Punctaj AMC, MPGT AECOM, costuri provenite de la MT</w:t>
      </w:r>
    </w:p>
    <w:p w:rsidR="002B762C" w:rsidRDefault="002B762C" w:rsidP="002B762C">
      <w:pPr>
        <w:rPr>
          <w:b/>
          <w:sz w:val="22"/>
          <w:szCs w:val="22"/>
          <w:lang w:val="ro-RO"/>
        </w:rPr>
      </w:pPr>
      <w:r>
        <w:rPr>
          <w:b/>
          <w:i/>
          <w:lang w:val="ro-RO"/>
        </w:rPr>
        <w:br w:type="page"/>
      </w:r>
    </w:p>
    <w:p w:rsidR="002B762C" w:rsidRPr="00BF454A" w:rsidRDefault="002B762C" w:rsidP="002B762C">
      <w:pPr>
        <w:pStyle w:val="Body"/>
        <w:spacing w:before="120" w:after="120"/>
        <w:rPr>
          <w:b/>
          <w:lang w:val="ro-RO"/>
        </w:rPr>
      </w:pPr>
      <w:r>
        <w:rPr>
          <w:b/>
          <w:i w:val="0"/>
          <w:lang w:val="ro-RO"/>
        </w:rPr>
        <w:t>Tabelul 10</w:t>
      </w:r>
      <w:r w:rsidRPr="00BF454A">
        <w:rPr>
          <w:b/>
          <w:i w:val="0"/>
          <w:lang w:val="ro-RO"/>
        </w:rPr>
        <w:t>.</w:t>
      </w:r>
      <w:r>
        <w:rPr>
          <w:b/>
          <w:i w:val="0"/>
          <w:lang w:val="ro-RO"/>
        </w:rPr>
        <w:t>9</w:t>
      </w:r>
      <w:r w:rsidRPr="00BF454A">
        <w:rPr>
          <w:b/>
          <w:i w:val="0"/>
          <w:lang w:val="ro-RO"/>
        </w:rPr>
        <w:t xml:space="preserve">  </w:t>
      </w:r>
      <w:r>
        <w:rPr>
          <w:b/>
          <w:i w:val="0"/>
          <w:lang w:val="ro-RO"/>
        </w:rPr>
        <w:t xml:space="preserve">Proiecte de transport feroviar incluse în scenariul </w:t>
      </w:r>
      <w:r w:rsidRPr="00BF454A">
        <w:rPr>
          <w:b/>
          <w:i w:val="0"/>
          <w:lang w:val="ro-RO"/>
        </w:rPr>
        <w:t xml:space="preserve">EES </w:t>
      </w:r>
    </w:p>
    <w:p w:rsidR="002B762C" w:rsidRPr="00BF454A" w:rsidRDefault="002B762C" w:rsidP="002B762C">
      <w:pPr>
        <w:pStyle w:val="Body"/>
        <w:rPr>
          <w:b/>
          <w:lang w:val="ro-RO"/>
        </w:rPr>
      </w:pPr>
      <w:r w:rsidRPr="007D2E06">
        <w:rPr>
          <w:noProof/>
          <w:lang w:val="ro-RO" w:eastAsia="ro-RO"/>
        </w:rPr>
        <w:drawing>
          <wp:inline distT="0" distB="0" distL="0" distR="0">
            <wp:extent cx="6209731" cy="39980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215377" cy="4001686"/>
                    </a:xfrm>
                    <a:prstGeom prst="rect">
                      <a:avLst/>
                    </a:prstGeom>
                    <a:noFill/>
                    <a:ln>
                      <a:noFill/>
                    </a:ln>
                  </pic:spPr>
                </pic:pic>
              </a:graphicData>
            </a:graphic>
          </wp:inline>
        </w:drawing>
      </w:r>
    </w:p>
    <w:p w:rsidR="002B762C" w:rsidRPr="00BF454A" w:rsidRDefault="002B762C" w:rsidP="002B762C">
      <w:pPr>
        <w:ind w:left="567"/>
        <w:rPr>
          <w:i/>
          <w:lang w:val="ro-RO"/>
        </w:rPr>
      </w:pPr>
      <w:r>
        <w:rPr>
          <w:i/>
          <w:lang w:val="ro-RO"/>
        </w:rPr>
        <w:t>Sursa</w:t>
      </w:r>
      <w:r w:rsidRPr="00BF454A">
        <w:rPr>
          <w:i/>
          <w:lang w:val="ro-RO"/>
        </w:rPr>
        <w:t xml:space="preserve">: </w:t>
      </w:r>
      <w:r>
        <w:rPr>
          <w:i/>
          <w:lang w:val="ro-RO"/>
        </w:rPr>
        <w:t>Punctaj AMC, MPGT AECOM, costuri provenite de la MT</w:t>
      </w:r>
    </w:p>
    <w:p w:rsidR="002B762C" w:rsidRPr="00BF454A" w:rsidRDefault="002B762C" w:rsidP="002B7E09">
      <w:pPr>
        <w:pStyle w:val="NumberedParas"/>
      </w:pPr>
      <w:r>
        <w:t>Tabelul 10</w:t>
      </w:r>
      <w:r w:rsidRPr="00BF454A">
        <w:t>.</w:t>
      </w:r>
      <w:r>
        <w:t>10</w:t>
      </w:r>
      <w:r w:rsidRPr="00BF454A">
        <w:t xml:space="preserve"> prezintă proiectele navale din cadrul scenariului ES și EES potrivit punctajului obținut în </w:t>
      </w:r>
      <w:r>
        <w:t>urma</w:t>
      </w:r>
      <w:r w:rsidRPr="00BF454A">
        <w:t xml:space="preserve"> AMC.</w:t>
      </w:r>
    </w:p>
    <w:p w:rsidR="002B762C" w:rsidRDefault="002B762C" w:rsidP="002B762C">
      <w:pPr>
        <w:pStyle w:val="Body"/>
        <w:rPr>
          <w:lang w:val="ro-RO"/>
        </w:rPr>
      </w:pPr>
    </w:p>
    <w:p w:rsidR="002B762C" w:rsidRDefault="002B762C" w:rsidP="002B762C">
      <w:pPr>
        <w:rPr>
          <w:b/>
          <w:sz w:val="22"/>
          <w:szCs w:val="22"/>
          <w:lang w:val="ro-RO"/>
        </w:rPr>
      </w:pPr>
      <w:r>
        <w:rPr>
          <w:b/>
          <w:i/>
          <w:lang w:val="ro-RO"/>
        </w:rPr>
        <w:br w:type="page"/>
      </w:r>
    </w:p>
    <w:p w:rsidR="002B762C" w:rsidRPr="00BF454A" w:rsidRDefault="002B762C" w:rsidP="002B762C">
      <w:pPr>
        <w:pStyle w:val="Body"/>
        <w:spacing w:before="120" w:after="120"/>
        <w:rPr>
          <w:b/>
          <w:i w:val="0"/>
          <w:lang w:val="ro-RO"/>
        </w:rPr>
      </w:pPr>
      <w:r>
        <w:rPr>
          <w:b/>
          <w:i w:val="0"/>
          <w:lang w:val="ro-RO"/>
        </w:rPr>
        <w:t>Tabelul</w:t>
      </w:r>
      <w:r w:rsidRPr="00BF454A">
        <w:rPr>
          <w:b/>
          <w:i w:val="0"/>
          <w:lang w:val="ro-RO"/>
        </w:rPr>
        <w:t xml:space="preserve"> </w:t>
      </w:r>
      <w:r>
        <w:rPr>
          <w:b/>
          <w:i w:val="0"/>
          <w:lang w:val="ro-RO"/>
        </w:rPr>
        <w:t>10</w:t>
      </w:r>
      <w:r w:rsidRPr="00BF454A">
        <w:rPr>
          <w:b/>
          <w:i w:val="0"/>
          <w:lang w:val="ro-RO"/>
        </w:rPr>
        <w:t>.</w:t>
      </w:r>
      <w:r>
        <w:rPr>
          <w:b/>
          <w:i w:val="0"/>
          <w:lang w:val="ro-RO"/>
        </w:rPr>
        <w:t>10</w:t>
      </w:r>
      <w:r w:rsidRPr="00BF454A">
        <w:rPr>
          <w:b/>
          <w:i w:val="0"/>
          <w:lang w:val="ro-RO"/>
        </w:rPr>
        <w:t xml:space="preserve"> </w:t>
      </w:r>
      <w:r>
        <w:rPr>
          <w:b/>
          <w:i w:val="0"/>
          <w:lang w:val="ro-RO"/>
        </w:rPr>
        <w:t xml:space="preserve">Proiecte de transport naval incluse în scenariile ES și EES </w:t>
      </w:r>
    </w:p>
    <w:p w:rsidR="002B762C" w:rsidRPr="00BF454A" w:rsidRDefault="002B762C" w:rsidP="002B762C">
      <w:pPr>
        <w:pStyle w:val="Body"/>
        <w:rPr>
          <w:lang w:val="ro-RO"/>
        </w:rPr>
      </w:pPr>
      <w:r w:rsidRPr="00BF454A">
        <w:rPr>
          <w:i w:val="0"/>
          <w:noProof/>
          <w:lang w:val="ro-RO" w:eastAsia="ro-RO"/>
        </w:rPr>
        <w:drawing>
          <wp:inline distT="0" distB="0" distL="0" distR="0">
            <wp:extent cx="6464410" cy="396717"/>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6530213" cy="400755"/>
                    </a:xfrm>
                    <a:prstGeom prst="rect">
                      <a:avLst/>
                    </a:prstGeom>
                    <a:noFill/>
                    <a:ln>
                      <a:noFill/>
                    </a:ln>
                  </pic:spPr>
                </pic:pic>
              </a:graphicData>
            </a:graphic>
          </wp:inline>
        </w:drawing>
      </w:r>
      <w:r w:rsidRPr="00BF454A">
        <w:rPr>
          <w:noProof/>
          <w:lang w:val="ro-RO" w:eastAsia="ro-RO"/>
        </w:rPr>
        <w:drawing>
          <wp:inline distT="0" distB="0" distL="0" distR="0">
            <wp:extent cx="6464410" cy="333491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6464149" cy="3334776"/>
                    </a:xfrm>
                    <a:prstGeom prst="rect">
                      <a:avLst/>
                    </a:prstGeom>
                    <a:noFill/>
                    <a:ln>
                      <a:noFill/>
                    </a:ln>
                  </pic:spPr>
                </pic:pic>
              </a:graphicData>
            </a:graphic>
          </wp:inline>
        </w:drawing>
      </w:r>
    </w:p>
    <w:p w:rsidR="002B762C" w:rsidRPr="00BF454A" w:rsidRDefault="002B762C" w:rsidP="002B762C">
      <w:pPr>
        <w:pStyle w:val="Body"/>
        <w:rPr>
          <w:i w:val="0"/>
          <w:sz w:val="18"/>
          <w:szCs w:val="18"/>
          <w:lang w:val="ro-RO"/>
        </w:rPr>
      </w:pPr>
      <w:r>
        <w:rPr>
          <w:sz w:val="18"/>
          <w:szCs w:val="18"/>
          <w:lang w:val="ro-RO"/>
        </w:rPr>
        <w:t>Sursa</w:t>
      </w:r>
      <w:r w:rsidRPr="00BF454A">
        <w:rPr>
          <w:sz w:val="18"/>
          <w:szCs w:val="18"/>
          <w:lang w:val="ro-RO"/>
        </w:rPr>
        <w:t xml:space="preserve">: </w:t>
      </w:r>
      <w:r>
        <w:rPr>
          <w:sz w:val="18"/>
          <w:szCs w:val="18"/>
          <w:lang w:val="ro-RO"/>
        </w:rPr>
        <w:t>Punctaj AMC, MPGT AECOM</w:t>
      </w:r>
    </w:p>
    <w:p w:rsidR="002B762C" w:rsidRPr="00BF454A" w:rsidRDefault="002B762C" w:rsidP="002B7E09">
      <w:pPr>
        <w:pStyle w:val="NumberedParas"/>
      </w:pPr>
      <w:r w:rsidRPr="00BF454A">
        <w:t>Pentru Canalul București-Dunăre s-ar fi putut începe construcția în perioada 2020 – 2030. Cu toate acestea</w:t>
      </w:r>
      <w:r>
        <w:t>,</w:t>
      </w:r>
      <w:r w:rsidRPr="00BF454A">
        <w:t xml:space="preserve"> suntem reticenți în a recomanda acest proiect în acest moment, dintr-o serie de motive:</w:t>
      </w:r>
    </w:p>
    <w:p w:rsidR="002B762C" w:rsidRPr="00F63931" w:rsidRDefault="002B762C" w:rsidP="00573AD5">
      <w:pPr>
        <w:pStyle w:val="BulletLevel1"/>
        <w:numPr>
          <w:ilvl w:val="1"/>
          <w:numId w:val="65"/>
        </w:numPr>
        <w:spacing w:after="60"/>
        <w:ind w:left="1208" w:hanging="357"/>
      </w:pPr>
      <w:r w:rsidRPr="00BF454A">
        <w:t xml:space="preserve">Capitala </w:t>
      </w:r>
      <w:r w:rsidRPr="00F63931">
        <w:t>București este deja bine conectată la partea de est și vest a țării prin rețeaua rutieră și fer oviară iar unul din principalele obiective ale Master Planului este revigorarea sistemului feroviar. Testarea cu ajutorul Modelului Național a arătat că acest proiect va avea un impact advers major asupra coridorului feroviar Constanța – București – Craiova – Ungaria.</w:t>
      </w:r>
    </w:p>
    <w:p w:rsidR="002B762C" w:rsidRPr="00F63931" w:rsidRDefault="002B762C" w:rsidP="00573AD5">
      <w:pPr>
        <w:pStyle w:val="BulletLevel1"/>
        <w:numPr>
          <w:ilvl w:val="1"/>
          <w:numId w:val="65"/>
        </w:numPr>
        <w:spacing w:after="60"/>
        <w:ind w:left="1208" w:hanging="357"/>
      </w:pPr>
      <w:r w:rsidRPr="00F63931">
        <w:t>Propunerile de îmbunătățiri ale portului Giurgiu și Oltenița au arătat o valoare economică foarte bună, cu un RIRE de 24% și respective 30% pentru investiții modeste de 4,3 milioane de Euro și respective 5,6 milioane de Euro. Dacă s-ar implementa proiectul Canal București – Dunăre, acesta ar pune în pericol investițiile menționate mai sus.</w:t>
      </w:r>
    </w:p>
    <w:p w:rsidR="002B762C" w:rsidRPr="00BF454A" w:rsidRDefault="002B762C" w:rsidP="00573AD5">
      <w:pPr>
        <w:pStyle w:val="BulletLevel1"/>
        <w:numPr>
          <w:ilvl w:val="1"/>
          <w:numId w:val="65"/>
        </w:numPr>
        <w:spacing w:after="60"/>
        <w:ind w:left="1208" w:hanging="357"/>
      </w:pPr>
      <w:r w:rsidRPr="00F63931">
        <w:t>Canalul este costisitor și are o viabilitate economică minimă. Are un cost estimat de 1,5 miliarde de Euro</w:t>
      </w:r>
      <w:r w:rsidRPr="00BF454A">
        <w:t xml:space="preserve"> și RIRE de doar 4,7%.</w:t>
      </w:r>
    </w:p>
    <w:p w:rsidR="002B762C" w:rsidRPr="00BF454A" w:rsidRDefault="002B762C" w:rsidP="002B7E09">
      <w:pPr>
        <w:pStyle w:val="NumberedParas"/>
      </w:pPr>
      <w:r w:rsidRPr="00BF454A">
        <w:t xml:space="preserve">Din aceste motive recomandăm ca viabilitatea Canalului să fie reexaminată după orizontul de timp 2020, când impactul îmbunătățirilor din sectorul naval și feroviar va deveni mai clar. </w:t>
      </w:r>
    </w:p>
    <w:p w:rsidR="002B762C" w:rsidRPr="00BF454A" w:rsidRDefault="002B762C" w:rsidP="002B7E09">
      <w:pPr>
        <w:pStyle w:val="NumberedParas"/>
        <w:rPr>
          <w:i/>
        </w:rPr>
      </w:pPr>
      <w:r w:rsidRPr="00BF454A">
        <w:t xml:space="preserve">Tabelele </w:t>
      </w:r>
      <w:r>
        <w:t>10</w:t>
      </w:r>
      <w:r w:rsidRPr="00BF454A">
        <w:t>.</w:t>
      </w:r>
      <w:r>
        <w:t>11</w:t>
      </w:r>
      <w:r w:rsidRPr="00BF454A">
        <w:t xml:space="preserve"> și </w:t>
      </w:r>
      <w:r>
        <w:t>10.12</w:t>
      </w:r>
      <w:r w:rsidRPr="00BF454A">
        <w:t xml:space="preserve"> prezintă proiectele de transport aerian din scenariile ES și EES potrivit punctajelor obținute în </w:t>
      </w:r>
      <w:r>
        <w:t>urma</w:t>
      </w:r>
      <w:r w:rsidRPr="00BF454A">
        <w:t xml:space="preserve"> AMC.</w:t>
      </w:r>
    </w:p>
    <w:p w:rsidR="002B762C" w:rsidRDefault="002B762C" w:rsidP="002B7E09">
      <w:pPr>
        <w:pStyle w:val="NumberedParas"/>
        <w:numPr>
          <w:ilvl w:val="0"/>
          <w:numId w:val="0"/>
        </w:numPr>
        <w:ind w:left="851"/>
      </w:pPr>
      <w:r w:rsidRPr="00BF454A">
        <w:t xml:space="preserve"> </w:t>
      </w:r>
    </w:p>
    <w:p w:rsidR="002B762C" w:rsidRDefault="002B762C" w:rsidP="002B762C">
      <w:pPr>
        <w:pStyle w:val="Body"/>
        <w:rPr>
          <w:lang w:val="ro-RO"/>
        </w:rPr>
      </w:pPr>
      <w:r>
        <w:br w:type="page"/>
      </w:r>
    </w:p>
    <w:p w:rsidR="002B762C" w:rsidRPr="00571014" w:rsidRDefault="002B762C" w:rsidP="002B7E09">
      <w:pPr>
        <w:pStyle w:val="NumberedParas"/>
        <w:numPr>
          <w:ilvl w:val="0"/>
          <w:numId w:val="0"/>
        </w:numPr>
        <w:ind w:left="851"/>
      </w:pPr>
      <w:r w:rsidRPr="00571014">
        <w:t>Tabelul 10.11  Proiecte de transport aerian incluse în scenariul ES</w:t>
      </w:r>
    </w:p>
    <w:p w:rsidR="002B762C" w:rsidRPr="00BF454A" w:rsidRDefault="002B762C" w:rsidP="002B762C">
      <w:pPr>
        <w:pStyle w:val="Body"/>
        <w:rPr>
          <w:lang w:val="ro-RO"/>
        </w:rPr>
      </w:pPr>
      <w:r w:rsidRPr="00BF454A">
        <w:rPr>
          <w:i w:val="0"/>
          <w:noProof/>
          <w:lang w:val="ro-RO" w:eastAsia="ro-RO"/>
        </w:rPr>
        <w:drawing>
          <wp:inline distT="0" distB="0" distL="0" distR="0">
            <wp:extent cx="6534785" cy="42548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BF454A">
        <w:rPr>
          <w:noProof/>
          <w:lang w:val="ro-RO" w:eastAsia="ro-RO"/>
        </w:rPr>
        <w:drawing>
          <wp:inline distT="0" distB="0" distL="0" distR="0">
            <wp:extent cx="6545993" cy="274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546629" cy="2743467"/>
                    </a:xfrm>
                    <a:prstGeom prst="rect">
                      <a:avLst/>
                    </a:prstGeom>
                    <a:noFill/>
                    <a:ln>
                      <a:noFill/>
                    </a:ln>
                  </pic:spPr>
                </pic:pic>
              </a:graphicData>
            </a:graphic>
          </wp:inline>
        </w:drawing>
      </w:r>
    </w:p>
    <w:p w:rsidR="002B762C" w:rsidRPr="00BF454A" w:rsidRDefault="002B762C" w:rsidP="002B762C">
      <w:pPr>
        <w:pStyle w:val="Body"/>
        <w:rPr>
          <w:sz w:val="18"/>
          <w:szCs w:val="18"/>
          <w:lang w:val="ro-RO"/>
        </w:rPr>
      </w:pPr>
      <w:r>
        <w:rPr>
          <w:sz w:val="18"/>
          <w:szCs w:val="18"/>
          <w:lang w:val="ro-RO"/>
        </w:rPr>
        <w:t>Sursa</w:t>
      </w:r>
      <w:r w:rsidRPr="00BF454A">
        <w:rPr>
          <w:sz w:val="18"/>
          <w:szCs w:val="18"/>
          <w:lang w:val="ro-RO"/>
        </w:rPr>
        <w:t xml:space="preserve">: </w:t>
      </w:r>
      <w:r>
        <w:rPr>
          <w:sz w:val="18"/>
          <w:szCs w:val="18"/>
          <w:lang w:val="ro-RO"/>
        </w:rPr>
        <w:t>Punctaj AMC, MPGT AECOM</w:t>
      </w:r>
    </w:p>
    <w:p w:rsidR="002B762C" w:rsidRPr="00BF454A" w:rsidRDefault="002B762C" w:rsidP="002B762C">
      <w:pPr>
        <w:pStyle w:val="Body"/>
        <w:rPr>
          <w:sz w:val="18"/>
          <w:szCs w:val="18"/>
          <w:lang w:val="ro-RO"/>
        </w:rPr>
      </w:pPr>
    </w:p>
    <w:p w:rsidR="002B762C" w:rsidRPr="00BF454A" w:rsidRDefault="002B762C" w:rsidP="002B762C">
      <w:pPr>
        <w:pStyle w:val="Body"/>
        <w:spacing w:before="120" w:after="120"/>
        <w:rPr>
          <w:b/>
          <w:i w:val="0"/>
          <w:lang w:val="ro-RO"/>
        </w:rPr>
      </w:pPr>
      <w:r>
        <w:rPr>
          <w:b/>
          <w:i w:val="0"/>
          <w:lang w:val="ro-RO"/>
        </w:rPr>
        <w:t>Tabelul</w:t>
      </w:r>
      <w:r w:rsidRPr="00BF454A">
        <w:rPr>
          <w:b/>
          <w:i w:val="0"/>
          <w:lang w:val="ro-RO"/>
        </w:rPr>
        <w:t xml:space="preserve"> </w:t>
      </w:r>
      <w:r>
        <w:rPr>
          <w:b/>
          <w:i w:val="0"/>
          <w:lang w:val="ro-RO"/>
        </w:rPr>
        <w:t>10</w:t>
      </w:r>
      <w:r w:rsidRPr="00BF454A">
        <w:rPr>
          <w:b/>
          <w:i w:val="0"/>
          <w:lang w:val="ro-RO"/>
        </w:rPr>
        <w:t>.</w:t>
      </w:r>
      <w:r>
        <w:rPr>
          <w:b/>
          <w:i w:val="0"/>
          <w:lang w:val="ro-RO"/>
        </w:rPr>
        <w:t>12</w:t>
      </w:r>
      <w:r w:rsidRPr="00BF454A">
        <w:rPr>
          <w:b/>
          <w:i w:val="0"/>
          <w:lang w:val="ro-RO"/>
        </w:rPr>
        <w:t xml:space="preserve">  </w:t>
      </w:r>
      <w:r>
        <w:rPr>
          <w:b/>
          <w:i w:val="0"/>
          <w:lang w:val="ro-RO"/>
        </w:rPr>
        <w:t xml:space="preserve">Proiecte de transport aerian incluse în scenariul EES </w:t>
      </w:r>
    </w:p>
    <w:p w:rsidR="002B762C" w:rsidRPr="00BF454A" w:rsidRDefault="002B762C" w:rsidP="002B762C">
      <w:pPr>
        <w:pStyle w:val="Body"/>
        <w:rPr>
          <w:lang w:val="ro-RO"/>
        </w:rPr>
      </w:pPr>
      <w:r w:rsidRPr="00BF454A">
        <w:rPr>
          <w:noProof/>
          <w:lang w:val="ro-RO" w:eastAsia="ro-RO"/>
        </w:rPr>
        <w:drawing>
          <wp:inline distT="0" distB="0" distL="0" distR="0">
            <wp:extent cx="6534785" cy="42548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BF454A">
        <w:rPr>
          <w:noProof/>
          <w:lang w:val="ro-RO" w:eastAsia="ro-RO"/>
        </w:rPr>
        <w:drawing>
          <wp:inline distT="0" distB="0" distL="0" distR="0">
            <wp:extent cx="6419850" cy="269033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420474" cy="2690599"/>
                    </a:xfrm>
                    <a:prstGeom prst="rect">
                      <a:avLst/>
                    </a:prstGeom>
                    <a:noFill/>
                    <a:ln>
                      <a:noFill/>
                    </a:ln>
                  </pic:spPr>
                </pic:pic>
              </a:graphicData>
            </a:graphic>
          </wp:inline>
        </w:drawing>
      </w:r>
    </w:p>
    <w:p w:rsidR="002B762C" w:rsidRPr="00BF454A" w:rsidRDefault="002B762C" w:rsidP="002B762C">
      <w:pPr>
        <w:pStyle w:val="Body"/>
        <w:rPr>
          <w:lang w:val="ro-RO"/>
        </w:rPr>
        <w:sectPr w:rsidR="002B762C" w:rsidRPr="00BF454A" w:rsidSect="00933C17">
          <w:headerReference w:type="default" r:id="rId354"/>
          <w:pgSz w:w="11907" w:h="16840" w:code="9"/>
          <w:pgMar w:top="1418" w:right="709" w:bottom="1418" w:left="907" w:header="357" w:footer="567" w:gutter="0"/>
          <w:cols w:space="187"/>
          <w:docGrid w:linePitch="360"/>
        </w:sectPr>
      </w:pPr>
    </w:p>
    <w:p w:rsidR="002B762C" w:rsidRPr="00BF454A" w:rsidRDefault="002B762C" w:rsidP="002B7E09">
      <w:pPr>
        <w:pStyle w:val="NumberedParas"/>
        <w:rPr>
          <w:b/>
          <w:i/>
        </w:rPr>
      </w:pPr>
      <w:r w:rsidRPr="00BF454A">
        <w:t>Propunerile din sectorul transportului intermodal pentru orizonturile de timp 2020 și 20</w:t>
      </w:r>
      <w:r>
        <w:t>30 sunt prezentate în Tabelele 10</w:t>
      </w:r>
      <w:r w:rsidRPr="00BF454A">
        <w:t>.</w:t>
      </w:r>
      <w:r>
        <w:t>13</w:t>
      </w:r>
      <w:r w:rsidRPr="00BF454A">
        <w:t xml:space="preserve"> și </w:t>
      </w:r>
      <w:r>
        <w:t>10</w:t>
      </w:r>
      <w:r w:rsidRPr="00BF454A">
        <w:t>.</w:t>
      </w:r>
      <w:r>
        <w:t>14</w:t>
      </w:r>
      <w:r w:rsidRPr="00BF454A">
        <w:t xml:space="preserve"> pentru scenariile ES și respectiv EES.  </w:t>
      </w:r>
    </w:p>
    <w:p w:rsidR="002B762C" w:rsidRPr="00F63931" w:rsidRDefault="002B762C" w:rsidP="002B7E09">
      <w:pPr>
        <w:pStyle w:val="NumberedParas"/>
        <w:numPr>
          <w:ilvl w:val="0"/>
          <w:numId w:val="0"/>
        </w:numPr>
        <w:ind w:left="567"/>
      </w:pPr>
      <w:r w:rsidRPr="00F63931">
        <w:t xml:space="preserve">Tabelul </w:t>
      </w:r>
      <w:r>
        <w:t>10</w:t>
      </w:r>
      <w:r w:rsidRPr="00F63931">
        <w:t>.</w:t>
      </w:r>
      <w:r>
        <w:t>13</w:t>
      </w:r>
      <w:r w:rsidRPr="00F63931">
        <w:t xml:space="preserve">  Proiecte de transport intermodal incluse în scenariul ES </w:t>
      </w:r>
    </w:p>
    <w:p w:rsidR="002B762C" w:rsidRPr="00BF454A" w:rsidRDefault="002B762C" w:rsidP="002B762C">
      <w:pPr>
        <w:pStyle w:val="Body"/>
        <w:rPr>
          <w:lang w:val="ro-RO"/>
        </w:rPr>
      </w:pPr>
      <w:r w:rsidRPr="00BF454A">
        <w:rPr>
          <w:i w:val="0"/>
          <w:noProof/>
          <w:lang w:val="ro-RO" w:eastAsia="ro-RO"/>
        </w:rPr>
        <w:drawing>
          <wp:inline distT="0" distB="0" distL="0" distR="0">
            <wp:extent cx="6534785" cy="42548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BF454A">
        <w:rPr>
          <w:noProof/>
          <w:lang w:val="ro-RO" w:eastAsia="ro-RO"/>
        </w:rPr>
        <w:drawing>
          <wp:inline distT="0" distB="0" distL="0" distR="0">
            <wp:extent cx="6534785" cy="2530854"/>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534785" cy="2530854"/>
                    </a:xfrm>
                    <a:prstGeom prst="rect">
                      <a:avLst/>
                    </a:prstGeom>
                    <a:noFill/>
                    <a:ln>
                      <a:noFill/>
                    </a:ln>
                  </pic:spPr>
                </pic:pic>
              </a:graphicData>
            </a:graphic>
          </wp:inline>
        </w:drawing>
      </w:r>
    </w:p>
    <w:p w:rsidR="002B762C" w:rsidRPr="00BF454A" w:rsidRDefault="002B762C" w:rsidP="002B762C">
      <w:pPr>
        <w:pStyle w:val="Body"/>
        <w:spacing w:before="120" w:after="120"/>
        <w:rPr>
          <w:sz w:val="18"/>
          <w:szCs w:val="18"/>
          <w:lang w:val="ro-RO"/>
        </w:rPr>
      </w:pPr>
      <w:r>
        <w:rPr>
          <w:sz w:val="18"/>
          <w:szCs w:val="18"/>
          <w:lang w:val="ro-RO"/>
        </w:rPr>
        <w:t>Sursa</w:t>
      </w:r>
      <w:r w:rsidRPr="00BF454A">
        <w:rPr>
          <w:sz w:val="18"/>
          <w:szCs w:val="18"/>
          <w:lang w:val="ro-RO"/>
        </w:rPr>
        <w:t xml:space="preserve">: </w:t>
      </w:r>
      <w:r>
        <w:rPr>
          <w:sz w:val="18"/>
          <w:szCs w:val="18"/>
          <w:lang w:val="ro-RO"/>
        </w:rPr>
        <w:t>Punctaj AMC, MPGT AECOM</w:t>
      </w:r>
    </w:p>
    <w:p w:rsidR="002B762C" w:rsidRPr="00914595" w:rsidRDefault="002B762C" w:rsidP="002B762C">
      <w:pPr>
        <w:pStyle w:val="Body"/>
        <w:spacing w:before="120" w:after="120"/>
        <w:rPr>
          <w:b/>
          <w:i w:val="0"/>
          <w:lang w:val="ro-RO"/>
        </w:rPr>
      </w:pPr>
      <w:r w:rsidRPr="00914595">
        <w:rPr>
          <w:b/>
          <w:i w:val="0"/>
          <w:lang w:val="ro-RO"/>
        </w:rPr>
        <w:t xml:space="preserve">Tabelul </w:t>
      </w:r>
      <w:r>
        <w:rPr>
          <w:b/>
          <w:i w:val="0"/>
          <w:lang w:val="ro-RO"/>
        </w:rPr>
        <w:t>10</w:t>
      </w:r>
      <w:r w:rsidRPr="00914595">
        <w:rPr>
          <w:b/>
          <w:i w:val="0"/>
          <w:lang w:val="ro-RO"/>
        </w:rPr>
        <w:t>.</w:t>
      </w:r>
      <w:r>
        <w:rPr>
          <w:b/>
          <w:i w:val="0"/>
          <w:lang w:val="ro-RO"/>
        </w:rPr>
        <w:t>14</w:t>
      </w:r>
      <w:r w:rsidRPr="00914595">
        <w:rPr>
          <w:b/>
          <w:i w:val="0"/>
          <w:lang w:val="ro-RO"/>
        </w:rPr>
        <w:t xml:space="preserve">  </w:t>
      </w:r>
      <w:r w:rsidRPr="00914595">
        <w:rPr>
          <w:b/>
          <w:i w:val="0"/>
        </w:rPr>
        <w:t>Proiecte de transport intermodal incluse în scenariul EES</w:t>
      </w:r>
    </w:p>
    <w:p w:rsidR="002B762C" w:rsidRPr="00BF454A" w:rsidRDefault="002B762C" w:rsidP="002B762C">
      <w:pPr>
        <w:pStyle w:val="Body"/>
        <w:rPr>
          <w:b/>
          <w:i w:val="0"/>
          <w:lang w:val="ro-RO"/>
        </w:rPr>
      </w:pPr>
      <w:r w:rsidRPr="00BF454A">
        <w:rPr>
          <w:noProof/>
          <w:lang w:val="ro-RO" w:eastAsia="ro-RO"/>
        </w:rPr>
        <w:drawing>
          <wp:inline distT="0" distB="0" distL="0" distR="0">
            <wp:extent cx="6534785" cy="42548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6534785" cy="425489"/>
                    </a:xfrm>
                    <a:prstGeom prst="rect">
                      <a:avLst/>
                    </a:prstGeom>
                    <a:noFill/>
                    <a:ln>
                      <a:noFill/>
                    </a:ln>
                  </pic:spPr>
                </pic:pic>
              </a:graphicData>
            </a:graphic>
          </wp:inline>
        </w:drawing>
      </w:r>
      <w:r w:rsidRPr="00BF454A">
        <w:rPr>
          <w:noProof/>
          <w:lang w:val="ro-RO" w:eastAsia="ro-RO"/>
        </w:rPr>
        <w:drawing>
          <wp:inline distT="0" distB="0" distL="0" distR="0">
            <wp:extent cx="6534785" cy="2530854"/>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534785" cy="2530854"/>
                    </a:xfrm>
                    <a:prstGeom prst="rect">
                      <a:avLst/>
                    </a:prstGeom>
                    <a:noFill/>
                    <a:ln>
                      <a:noFill/>
                    </a:ln>
                  </pic:spPr>
                </pic:pic>
              </a:graphicData>
            </a:graphic>
          </wp:inline>
        </w:drawing>
      </w:r>
    </w:p>
    <w:p w:rsidR="002B762C" w:rsidRPr="00BF454A" w:rsidRDefault="002B762C" w:rsidP="002B762C">
      <w:pPr>
        <w:pStyle w:val="Body"/>
        <w:spacing w:before="120" w:after="120"/>
        <w:rPr>
          <w:lang w:val="ro-RO"/>
        </w:rPr>
      </w:pPr>
      <w:r>
        <w:rPr>
          <w:sz w:val="18"/>
          <w:szCs w:val="18"/>
          <w:lang w:val="ro-RO"/>
        </w:rPr>
        <w:t>Sursa</w:t>
      </w:r>
      <w:r w:rsidRPr="00BF454A">
        <w:rPr>
          <w:sz w:val="18"/>
          <w:szCs w:val="18"/>
          <w:lang w:val="ro-RO"/>
        </w:rPr>
        <w:t xml:space="preserve">: </w:t>
      </w:r>
      <w:r>
        <w:rPr>
          <w:sz w:val="18"/>
          <w:szCs w:val="18"/>
          <w:lang w:val="ro-RO"/>
        </w:rPr>
        <w:t>Punctaj AMC, MPGT AECOM</w:t>
      </w:r>
    </w:p>
    <w:p w:rsidR="002B762C" w:rsidRPr="00BF454A" w:rsidRDefault="002B762C" w:rsidP="002B7E09">
      <w:pPr>
        <w:pStyle w:val="NumberedParas"/>
      </w:pPr>
      <w:r w:rsidRPr="00BF454A">
        <w:t>Fiecare dintre aceste scenarii va include intervenții de reabilitare și modernizare a drumurilor naționale. Secțiunile rutiere selectate vor fi modernizate folosind bugetul rezervat pentru reparații capitale și inclus în analiza finanțării. Reabilitarea acestor drumuri nu are ca rezultat creșterea capacității sau a conectivității ci reprezintă mai degrabă un program structurat de întreținere pentru a evita apariția deteriorărilor grave ale stării acestora. Proiectele au fost prioritizate folosind o combinație între nivelul cererii și starea suprafețelor carosabile. Proiectele prioritare rezultate din acest proces sunt prezentate în lista din Tabelul 6.10.</w:t>
      </w:r>
    </w:p>
    <w:p w:rsidR="002B762C" w:rsidRPr="00BF454A" w:rsidRDefault="002B762C" w:rsidP="002B762C">
      <w:pPr>
        <w:pStyle w:val="Body"/>
        <w:spacing w:before="120" w:after="120"/>
        <w:rPr>
          <w:lang w:val="ro-RO"/>
        </w:rPr>
      </w:pPr>
      <w:r>
        <w:rPr>
          <w:b/>
          <w:i w:val="0"/>
          <w:lang w:val="ro-RO"/>
        </w:rPr>
        <w:t>Tabelul 10</w:t>
      </w:r>
      <w:r w:rsidRPr="00BF454A">
        <w:rPr>
          <w:b/>
          <w:i w:val="0"/>
          <w:lang w:val="ro-RO"/>
        </w:rPr>
        <w:t>.1</w:t>
      </w:r>
      <w:r>
        <w:rPr>
          <w:b/>
          <w:i w:val="0"/>
          <w:lang w:val="ro-RO"/>
        </w:rPr>
        <w:t>5</w:t>
      </w:r>
      <w:r w:rsidRPr="00BF454A">
        <w:rPr>
          <w:b/>
          <w:i w:val="0"/>
          <w:lang w:val="ro-RO"/>
        </w:rPr>
        <w:t xml:space="preserve">  </w:t>
      </w:r>
      <w:r>
        <w:rPr>
          <w:b/>
          <w:i w:val="0"/>
          <w:lang w:val="ro-RO"/>
        </w:rPr>
        <w:t>Reabilitarea și modernizarea drumurilor naționale</w:t>
      </w:r>
    </w:p>
    <w:p w:rsidR="002B762C" w:rsidRPr="00BF454A" w:rsidRDefault="002B762C" w:rsidP="002B762C">
      <w:pPr>
        <w:pStyle w:val="Body"/>
        <w:rPr>
          <w:lang w:val="ro-RO"/>
        </w:rPr>
      </w:pPr>
      <w:r w:rsidRPr="00F52C38">
        <w:rPr>
          <w:noProof/>
          <w:lang w:val="ro-RO" w:eastAsia="ro-RO"/>
        </w:rPr>
        <w:drawing>
          <wp:inline distT="0" distB="0" distL="0" distR="0">
            <wp:extent cx="6245524" cy="526867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241668" cy="5265418"/>
                    </a:xfrm>
                    <a:prstGeom prst="rect">
                      <a:avLst/>
                    </a:prstGeom>
                    <a:noFill/>
                    <a:ln>
                      <a:noFill/>
                    </a:ln>
                  </pic:spPr>
                </pic:pic>
              </a:graphicData>
            </a:graphic>
          </wp:inline>
        </w:drawing>
      </w:r>
    </w:p>
    <w:p w:rsidR="002B762C" w:rsidRPr="00BF454A" w:rsidRDefault="002B762C" w:rsidP="002B762C">
      <w:pPr>
        <w:pStyle w:val="Body"/>
        <w:spacing w:before="120" w:after="120"/>
        <w:rPr>
          <w:sz w:val="18"/>
          <w:szCs w:val="18"/>
          <w:lang w:val="ro-RO"/>
        </w:rPr>
      </w:pPr>
      <w:r>
        <w:rPr>
          <w:sz w:val="18"/>
          <w:szCs w:val="18"/>
          <w:lang w:val="ro-RO"/>
        </w:rPr>
        <w:t>Sursa</w:t>
      </w:r>
      <w:r w:rsidRPr="00BF454A">
        <w:rPr>
          <w:sz w:val="18"/>
          <w:szCs w:val="18"/>
          <w:lang w:val="ro-RO"/>
        </w:rPr>
        <w:t>: AECOM and MT Analysis</w:t>
      </w:r>
    </w:p>
    <w:p w:rsidR="002B762C" w:rsidRPr="00BF454A" w:rsidRDefault="002B762C" w:rsidP="002B762C">
      <w:pPr>
        <w:pStyle w:val="Hdg3"/>
      </w:pPr>
      <w:bookmarkStart w:id="637" w:name="_Toc411927786"/>
      <w:bookmarkStart w:id="638" w:name="_Toc411956612"/>
      <w:r w:rsidRPr="00BF454A">
        <w:t>Evaluarea Scenariilor ES și EES</w:t>
      </w:r>
      <w:bookmarkEnd w:id="637"/>
      <w:bookmarkEnd w:id="638"/>
      <w:r w:rsidRPr="00BF454A">
        <w:t xml:space="preserve"> </w:t>
      </w:r>
    </w:p>
    <w:p w:rsidR="002B762C" w:rsidRPr="00BF454A" w:rsidRDefault="002B762C" w:rsidP="002B7E09">
      <w:pPr>
        <w:pStyle w:val="NumberedParas"/>
      </w:pPr>
      <w:r w:rsidRPr="00BF454A">
        <w:t>Etapa finală a procesului de evaluare este reprezentată de comparația dintre scenariile ES și EES.</w:t>
      </w:r>
    </w:p>
    <w:p w:rsidR="002B762C" w:rsidRPr="00BF454A" w:rsidRDefault="002B762C" w:rsidP="002B7E09">
      <w:pPr>
        <w:pStyle w:val="NumberedParas"/>
      </w:pPr>
      <w:r w:rsidRPr="00BF454A">
        <w:t>Proiectele au fost prioritizate în două scenarii de dezvoltare, după cum urmează:</w:t>
      </w:r>
    </w:p>
    <w:p w:rsidR="002B762C" w:rsidRPr="00BF454A" w:rsidRDefault="002B762C" w:rsidP="00573AD5">
      <w:pPr>
        <w:pStyle w:val="BulletLevel1"/>
        <w:numPr>
          <w:ilvl w:val="1"/>
          <w:numId w:val="65"/>
        </w:numPr>
        <w:spacing w:after="60"/>
        <w:ind w:left="1208" w:hanging="357"/>
      </w:pPr>
      <w:r w:rsidRPr="00BF454A">
        <w:t>Un scenariu de sustenabilitate economică (ES);</w:t>
      </w:r>
    </w:p>
    <w:p w:rsidR="002B762C" w:rsidRPr="00BF454A" w:rsidRDefault="002B762C" w:rsidP="00573AD5">
      <w:pPr>
        <w:pStyle w:val="BulletLevel1"/>
        <w:numPr>
          <w:ilvl w:val="1"/>
          <w:numId w:val="65"/>
        </w:numPr>
        <w:spacing w:after="60"/>
        <w:ind w:left="1208" w:hanging="357"/>
      </w:pPr>
      <w:r w:rsidRPr="00BF454A">
        <w:t>Un scenariu de sustenabilitate economică și de mediu (EES);</w:t>
      </w:r>
    </w:p>
    <w:p w:rsidR="002B762C" w:rsidRPr="00BF454A" w:rsidRDefault="002B762C" w:rsidP="002B7E09">
      <w:pPr>
        <w:pStyle w:val="NumberedParas"/>
      </w:pPr>
      <w:r w:rsidRPr="00BF454A">
        <w:t xml:space="preserve">Proiectele prioritizate pentru fiecare mod de transport au fost combinate în aceste două scenarii. Scenariile au fost testate cu ajutorul Modelului Național pentru a se identifica scenariul care generează cele mai bune rezultate de eficiență economică. </w:t>
      </w:r>
    </w:p>
    <w:p w:rsidR="002B762C" w:rsidRPr="00BF454A" w:rsidRDefault="002B762C" w:rsidP="002B7E09">
      <w:pPr>
        <w:pStyle w:val="NumberedParas"/>
      </w:pPr>
      <w:r>
        <w:t>Proiectele prioritizate pentru fiecare mod de transport au fost combinate în aceste două scenarii. Scenariile au fost testate cu ajutorul Modelului Național de Transport pentru a fi identificate acele proiecte care generează cele mai bune rezultate de eficiență economică.</w:t>
      </w:r>
    </w:p>
    <w:p w:rsidR="002B762C" w:rsidRPr="00BF454A" w:rsidRDefault="002B762C" w:rsidP="002B762C"/>
    <w:p w:rsidR="002B762C" w:rsidRPr="00BF454A" w:rsidRDefault="002B762C" w:rsidP="002B762C">
      <w:pPr>
        <w:pStyle w:val="Hdg3"/>
      </w:pPr>
      <w:bookmarkStart w:id="639" w:name="_Toc411927787"/>
      <w:bookmarkStart w:id="640" w:name="_Toc411956613"/>
      <w:r w:rsidRPr="00BF454A">
        <w:t>Indicatori economici</w:t>
      </w:r>
      <w:bookmarkEnd w:id="639"/>
      <w:bookmarkEnd w:id="640"/>
      <w:r w:rsidRPr="00BF454A">
        <w:t xml:space="preserve"> </w:t>
      </w:r>
    </w:p>
    <w:p w:rsidR="002B762C" w:rsidRPr="00BF454A" w:rsidRDefault="002B762C" w:rsidP="002B7E09">
      <w:pPr>
        <w:pStyle w:val="NumberedParas"/>
      </w:pPr>
      <w:r w:rsidRPr="00BF454A">
        <w:t xml:space="preserve">Tabelele </w:t>
      </w:r>
      <w:r>
        <w:t>10</w:t>
      </w:r>
      <w:r w:rsidRPr="00BF454A">
        <w:t>.</w:t>
      </w:r>
      <w:r>
        <w:t>16</w:t>
      </w:r>
      <w:r w:rsidRPr="00BF454A">
        <w:t xml:space="preserve"> prezintă indicatorii cheie de performanță economică pentru scenariile ES și EES.</w:t>
      </w:r>
    </w:p>
    <w:p w:rsidR="002B762C" w:rsidRPr="00BF454A" w:rsidRDefault="002B762C" w:rsidP="002B762C">
      <w:pPr>
        <w:pStyle w:val="Body"/>
        <w:spacing w:before="120" w:after="120"/>
        <w:rPr>
          <w:b/>
          <w:i w:val="0"/>
          <w:lang w:val="ro-RO"/>
        </w:rPr>
      </w:pPr>
      <w:r>
        <w:rPr>
          <w:b/>
          <w:i w:val="0"/>
          <w:lang w:val="ro-RO"/>
        </w:rPr>
        <w:t>Tabelul</w:t>
      </w:r>
      <w:r w:rsidRPr="00BF454A">
        <w:rPr>
          <w:b/>
          <w:i w:val="0"/>
          <w:lang w:val="ro-RO"/>
        </w:rPr>
        <w:t xml:space="preserve"> </w:t>
      </w:r>
      <w:r>
        <w:rPr>
          <w:b/>
          <w:i w:val="0"/>
          <w:lang w:val="ro-RO"/>
        </w:rPr>
        <w:t>10</w:t>
      </w:r>
      <w:r w:rsidRPr="00BF454A">
        <w:rPr>
          <w:b/>
          <w:i w:val="0"/>
          <w:lang w:val="ro-RO"/>
        </w:rPr>
        <w:t>.1</w:t>
      </w:r>
      <w:r>
        <w:rPr>
          <w:b/>
          <w:i w:val="0"/>
          <w:lang w:val="ro-RO"/>
        </w:rPr>
        <w:t>6</w:t>
      </w:r>
      <w:r w:rsidRPr="00BF454A">
        <w:rPr>
          <w:b/>
          <w:i w:val="0"/>
          <w:lang w:val="ro-RO"/>
        </w:rPr>
        <w:t xml:space="preserve">  </w:t>
      </w:r>
      <w:r>
        <w:rPr>
          <w:b/>
          <w:i w:val="0"/>
          <w:lang w:val="ro-RO"/>
        </w:rPr>
        <w:t>Indicatori de eficiență economică, scenariile ES și EES</w:t>
      </w:r>
    </w:p>
    <w:tbl>
      <w:tblPr>
        <w:tblW w:w="10584" w:type="dxa"/>
        <w:tblInd w:w="-23" w:type="dxa"/>
        <w:tblLook w:val="04A0" w:firstRow="1" w:lastRow="0" w:firstColumn="1" w:lastColumn="0" w:noHBand="0" w:noVBand="1"/>
      </w:tblPr>
      <w:tblGrid>
        <w:gridCol w:w="2541"/>
        <w:gridCol w:w="1843"/>
        <w:gridCol w:w="1028"/>
        <w:gridCol w:w="1687"/>
        <w:gridCol w:w="1028"/>
        <w:gridCol w:w="1262"/>
        <w:gridCol w:w="1195"/>
      </w:tblGrid>
      <w:tr w:rsidR="002B762C" w:rsidRPr="00BF454A" w:rsidTr="0030066D">
        <w:trPr>
          <w:trHeight w:val="315"/>
        </w:trPr>
        <w:tc>
          <w:tcPr>
            <w:tcW w:w="2541" w:type="dxa"/>
            <w:tcBorders>
              <w:top w:val="single" w:sz="8" w:space="0" w:color="auto"/>
              <w:left w:val="single" w:sz="8" w:space="0" w:color="auto"/>
              <w:bottom w:val="double" w:sz="6" w:space="0" w:color="auto"/>
              <w:right w:val="nil"/>
            </w:tcBorders>
            <w:shd w:val="clear" w:color="auto" w:fill="B6DDE8"/>
            <w:noWrap/>
            <w:vAlign w:val="bottom"/>
            <w:hideMark/>
          </w:tcPr>
          <w:p w:rsidR="002B762C" w:rsidRPr="00BF454A" w:rsidRDefault="002B762C" w:rsidP="0030066D">
            <w:pPr>
              <w:rPr>
                <w:rFonts w:cs="Arial"/>
                <w:b/>
                <w:bCs/>
                <w:sz w:val="20"/>
                <w:szCs w:val="20"/>
                <w:lang w:val="ro-RO"/>
              </w:rPr>
            </w:pPr>
            <w:r>
              <w:rPr>
                <w:rFonts w:cs="Arial"/>
                <w:b/>
                <w:bCs/>
                <w:sz w:val="20"/>
                <w:szCs w:val="20"/>
                <w:lang w:val="ro-RO"/>
              </w:rPr>
              <w:t>Categorii</w:t>
            </w:r>
          </w:p>
        </w:tc>
        <w:tc>
          <w:tcPr>
            <w:tcW w:w="2871" w:type="dxa"/>
            <w:gridSpan w:val="2"/>
            <w:tcBorders>
              <w:top w:val="single" w:sz="8" w:space="0" w:color="auto"/>
              <w:left w:val="single" w:sz="8" w:space="0" w:color="auto"/>
              <w:bottom w:val="double" w:sz="6" w:space="0" w:color="auto"/>
              <w:right w:val="single" w:sz="8" w:space="0" w:color="000000"/>
            </w:tcBorders>
            <w:shd w:val="clear" w:color="auto" w:fill="B6DDE8"/>
            <w:noWrap/>
            <w:vAlign w:val="bottom"/>
            <w:hideMark/>
          </w:tcPr>
          <w:p w:rsidR="002B762C" w:rsidRPr="00BF454A" w:rsidRDefault="002B762C" w:rsidP="0030066D">
            <w:pPr>
              <w:jc w:val="center"/>
              <w:rPr>
                <w:rFonts w:cs="Arial"/>
                <w:b/>
                <w:bCs/>
                <w:sz w:val="20"/>
                <w:szCs w:val="20"/>
                <w:lang w:val="ro-RO"/>
              </w:rPr>
            </w:pPr>
            <w:r>
              <w:rPr>
                <w:rFonts w:cs="Arial"/>
                <w:b/>
                <w:bCs/>
                <w:sz w:val="20"/>
                <w:szCs w:val="20"/>
                <w:lang w:val="ro-RO"/>
              </w:rPr>
              <w:t>Strategie EES</w:t>
            </w:r>
          </w:p>
        </w:tc>
        <w:tc>
          <w:tcPr>
            <w:tcW w:w="2715" w:type="dxa"/>
            <w:gridSpan w:val="2"/>
            <w:tcBorders>
              <w:top w:val="single" w:sz="8" w:space="0" w:color="auto"/>
              <w:left w:val="nil"/>
              <w:bottom w:val="double" w:sz="6" w:space="0" w:color="auto"/>
              <w:right w:val="single" w:sz="8" w:space="0" w:color="000000"/>
            </w:tcBorders>
            <w:shd w:val="clear" w:color="auto" w:fill="B6DDE8"/>
            <w:noWrap/>
            <w:vAlign w:val="bottom"/>
            <w:hideMark/>
          </w:tcPr>
          <w:p w:rsidR="002B762C" w:rsidRPr="00BF454A" w:rsidRDefault="002B762C" w:rsidP="0030066D">
            <w:pPr>
              <w:jc w:val="center"/>
              <w:rPr>
                <w:rFonts w:cs="Arial"/>
                <w:b/>
                <w:bCs/>
                <w:sz w:val="20"/>
                <w:szCs w:val="20"/>
                <w:lang w:val="ro-RO"/>
              </w:rPr>
            </w:pPr>
            <w:r>
              <w:rPr>
                <w:rFonts w:cs="Arial"/>
                <w:b/>
                <w:bCs/>
                <w:sz w:val="20"/>
                <w:szCs w:val="20"/>
                <w:lang w:val="ro-RO"/>
              </w:rPr>
              <w:t>Strategie ES</w:t>
            </w:r>
          </w:p>
        </w:tc>
        <w:tc>
          <w:tcPr>
            <w:tcW w:w="2457" w:type="dxa"/>
            <w:gridSpan w:val="2"/>
            <w:tcBorders>
              <w:top w:val="single" w:sz="8" w:space="0" w:color="auto"/>
              <w:left w:val="nil"/>
              <w:bottom w:val="double" w:sz="6" w:space="0" w:color="auto"/>
              <w:right w:val="single" w:sz="8" w:space="0" w:color="000000"/>
            </w:tcBorders>
            <w:shd w:val="clear" w:color="auto" w:fill="B6DDE8"/>
            <w:noWrap/>
            <w:vAlign w:val="bottom"/>
            <w:hideMark/>
          </w:tcPr>
          <w:p w:rsidR="002B762C" w:rsidRPr="00BF454A" w:rsidRDefault="002B762C" w:rsidP="0030066D">
            <w:pPr>
              <w:jc w:val="center"/>
              <w:rPr>
                <w:rFonts w:cs="Arial"/>
                <w:b/>
                <w:bCs/>
                <w:sz w:val="20"/>
                <w:szCs w:val="20"/>
                <w:lang w:val="ro-RO"/>
              </w:rPr>
            </w:pPr>
            <w:r>
              <w:rPr>
                <w:rFonts w:cs="Arial"/>
                <w:b/>
                <w:bCs/>
                <w:sz w:val="20"/>
                <w:szCs w:val="20"/>
                <w:lang w:val="ro-RO"/>
              </w:rPr>
              <w:t>Diferență</w:t>
            </w:r>
            <w:r w:rsidRPr="00BF454A">
              <w:rPr>
                <w:rFonts w:cs="Arial"/>
                <w:b/>
                <w:bCs/>
                <w:sz w:val="20"/>
                <w:szCs w:val="20"/>
                <w:lang w:val="ro-RO"/>
              </w:rPr>
              <w:t xml:space="preserve"> (EES - ES)</w:t>
            </w:r>
          </w:p>
        </w:tc>
      </w:tr>
      <w:tr w:rsidR="002B762C" w:rsidRPr="00BF454A" w:rsidTr="0030066D">
        <w:trPr>
          <w:trHeight w:val="315"/>
        </w:trPr>
        <w:tc>
          <w:tcPr>
            <w:tcW w:w="2541" w:type="dxa"/>
            <w:tcBorders>
              <w:top w:val="nil"/>
              <w:left w:val="single" w:sz="8" w:space="0" w:color="auto"/>
              <w:bottom w:val="single" w:sz="4" w:space="0" w:color="auto"/>
              <w:right w:val="nil"/>
            </w:tcBorders>
            <w:shd w:val="clear" w:color="auto" w:fill="FFFFFF"/>
            <w:noWrap/>
            <w:vAlign w:val="bottom"/>
            <w:hideMark/>
          </w:tcPr>
          <w:p w:rsidR="002B762C" w:rsidRPr="00BF454A" w:rsidRDefault="002B762C" w:rsidP="0030066D">
            <w:pPr>
              <w:rPr>
                <w:rFonts w:cs="Arial"/>
                <w:sz w:val="20"/>
                <w:szCs w:val="20"/>
                <w:lang w:val="ro-RO"/>
              </w:rPr>
            </w:pPr>
            <w:r>
              <w:rPr>
                <w:rFonts w:cs="Arial"/>
                <w:sz w:val="20"/>
                <w:szCs w:val="20"/>
                <w:lang w:val="ro-RO"/>
              </w:rPr>
              <w:t>Costuri neactualizate</w:t>
            </w:r>
            <w:r w:rsidRPr="00BF454A">
              <w:rPr>
                <w:rFonts w:cs="Arial"/>
                <w:sz w:val="20"/>
                <w:szCs w:val="20"/>
                <w:lang w:val="ro-RO"/>
              </w:rPr>
              <w:t xml:space="preserve"> (</w:t>
            </w:r>
            <w:r>
              <w:rPr>
                <w:rFonts w:cs="Arial"/>
                <w:sz w:val="20"/>
                <w:szCs w:val="20"/>
                <w:lang w:val="ro-RO"/>
              </w:rPr>
              <w:t>mi euro, prețuri 2010</w:t>
            </w:r>
            <w:r w:rsidRPr="00BF454A">
              <w:rPr>
                <w:rFonts w:cs="Arial"/>
                <w:sz w:val="20"/>
                <w:szCs w:val="20"/>
                <w:lang w:val="ro-RO"/>
              </w:rPr>
              <w:t>)</w:t>
            </w:r>
          </w:p>
        </w:tc>
        <w:tc>
          <w:tcPr>
            <w:tcW w:w="2871" w:type="dxa"/>
            <w:gridSpan w:val="2"/>
            <w:tcBorders>
              <w:top w:val="double" w:sz="6" w:space="0" w:color="auto"/>
              <w:left w:val="single" w:sz="8" w:space="0" w:color="auto"/>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31,550.65</w:t>
            </w:r>
          </w:p>
        </w:tc>
        <w:tc>
          <w:tcPr>
            <w:tcW w:w="2715" w:type="dxa"/>
            <w:gridSpan w:val="2"/>
            <w:tcBorders>
              <w:top w:val="double" w:sz="6" w:space="0" w:color="auto"/>
              <w:left w:val="nil"/>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32,441.85</w:t>
            </w:r>
          </w:p>
        </w:tc>
        <w:tc>
          <w:tcPr>
            <w:tcW w:w="2457" w:type="dxa"/>
            <w:gridSpan w:val="2"/>
            <w:tcBorders>
              <w:top w:val="double" w:sz="6" w:space="0" w:color="auto"/>
              <w:left w:val="nil"/>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-891.19</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FFFFFF"/>
            <w:noWrap/>
            <w:vAlign w:val="bottom"/>
            <w:hideMark/>
          </w:tcPr>
          <w:p w:rsidR="002B762C" w:rsidRPr="00BF454A" w:rsidRDefault="002B762C" w:rsidP="0030066D">
            <w:pPr>
              <w:rPr>
                <w:rFonts w:cs="Arial"/>
                <w:sz w:val="20"/>
                <w:szCs w:val="20"/>
                <w:lang w:val="ro-RO"/>
              </w:rPr>
            </w:pPr>
            <w:r w:rsidRPr="00BF454A">
              <w:rPr>
                <w:rFonts w:cs="Arial"/>
                <w:sz w:val="20"/>
                <w:szCs w:val="20"/>
                <w:lang w:val="ro-RO"/>
              </w:rPr>
              <w:t>CAPEX (</w:t>
            </w:r>
            <w:r>
              <w:rPr>
                <w:rFonts w:cs="Arial"/>
                <w:sz w:val="20"/>
                <w:szCs w:val="20"/>
                <w:lang w:val="ro-RO"/>
              </w:rPr>
              <w:t>mil euro</w:t>
            </w:r>
            <w:r w:rsidRPr="00BF454A">
              <w:rPr>
                <w:rFonts w:cs="Arial"/>
                <w:sz w:val="20"/>
                <w:szCs w:val="20"/>
                <w:lang w:val="ro-RO"/>
              </w:rPr>
              <w:t>)</w:t>
            </w:r>
          </w:p>
        </w:tc>
        <w:tc>
          <w:tcPr>
            <w:tcW w:w="2871" w:type="dxa"/>
            <w:gridSpan w:val="2"/>
            <w:tcBorders>
              <w:top w:val="single" w:sz="4" w:space="0" w:color="auto"/>
              <w:left w:val="single" w:sz="8" w:space="0" w:color="auto"/>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31,290.57</w:t>
            </w:r>
          </w:p>
        </w:tc>
        <w:tc>
          <w:tcPr>
            <w:tcW w:w="2715"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32,181.76</w:t>
            </w:r>
          </w:p>
        </w:tc>
        <w:tc>
          <w:tcPr>
            <w:tcW w:w="2457"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-891.19</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FFFFFF"/>
            <w:noWrap/>
            <w:vAlign w:val="bottom"/>
            <w:hideMark/>
          </w:tcPr>
          <w:p w:rsidR="002B762C" w:rsidRPr="00BF454A" w:rsidRDefault="002B762C" w:rsidP="0030066D">
            <w:pPr>
              <w:rPr>
                <w:rFonts w:cs="Arial"/>
                <w:sz w:val="20"/>
                <w:szCs w:val="20"/>
                <w:lang w:val="ro-RO"/>
              </w:rPr>
            </w:pPr>
            <w:r w:rsidRPr="00BF454A">
              <w:rPr>
                <w:rFonts w:cs="Arial"/>
                <w:sz w:val="20"/>
                <w:szCs w:val="20"/>
                <w:lang w:val="ro-RO"/>
              </w:rPr>
              <w:t>OPEX (</w:t>
            </w:r>
            <w:r>
              <w:rPr>
                <w:rFonts w:cs="Arial"/>
                <w:sz w:val="20"/>
                <w:szCs w:val="20"/>
                <w:lang w:val="ro-RO"/>
              </w:rPr>
              <w:t>mil euro</w:t>
            </w:r>
            <w:r w:rsidRPr="00BF454A">
              <w:rPr>
                <w:rFonts w:cs="Arial"/>
                <w:sz w:val="20"/>
                <w:szCs w:val="20"/>
                <w:lang w:val="ro-RO"/>
              </w:rPr>
              <w:t>)</w:t>
            </w:r>
          </w:p>
        </w:tc>
        <w:tc>
          <w:tcPr>
            <w:tcW w:w="2871" w:type="dxa"/>
            <w:gridSpan w:val="2"/>
            <w:tcBorders>
              <w:top w:val="single" w:sz="4" w:space="0" w:color="auto"/>
              <w:left w:val="single" w:sz="8" w:space="0" w:color="auto"/>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260.08</w:t>
            </w:r>
          </w:p>
        </w:tc>
        <w:tc>
          <w:tcPr>
            <w:tcW w:w="2715"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260.08</w:t>
            </w:r>
          </w:p>
        </w:tc>
        <w:tc>
          <w:tcPr>
            <w:tcW w:w="2457" w:type="dxa"/>
            <w:gridSpan w:val="2"/>
            <w:tcBorders>
              <w:top w:val="single" w:sz="4" w:space="0" w:color="auto"/>
              <w:left w:val="nil"/>
              <w:bottom w:val="single" w:sz="4"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0.00</w:t>
            </w:r>
          </w:p>
        </w:tc>
      </w:tr>
      <w:tr w:rsidR="002B762C" w:rsidRPr="00BF454A" w:rsidTr="0030066D">
        <w:trPr>
          <w:trHeight w:val="315"/>
        </w:trPr>
        <w:tc>
          <w:tcPr>
            <w:tcW w:w="2541" w:type="dxa"/>
            <w:tcBorders>
              <w:top w:val="nil"/>
              <w:left w:val="single" w:sz="8" w:space="0" w:color="auto"/>
              <w:bottom w:val="single" w:sz="8" w:space="0" w:color="auto"/>
              <w:right w:val="nil"/>
            </w:tcBorders>
            <w:shd w:val="clear" w:color="auto" w:fill="FFFFFF"/>
            <w:noWrap/>
            <w:vAlign w:val="bottom"/>
            <w:hideMark/>
          </w:tcPr>
          <w:p w:rsidR="002B762C" w:rsidRPr="00BF454A" w:rsidRDefault="002B762C" w:rsidP="0030066D">
            <w:pPr>
              <w:rPr>
                <w:rFonts w:cs="Arial"/>
                <w:sz w:val="20"/>
                <w:szCs w:val="20"/>
                <w:lang w:val="ro-RO"/>
              </w:rPr>
            </w:pPr>
            <w:r>
              <w:rPr>
                <w:rFonts w:cs="Arial"/>
                <w:sz w:val="20"/>
                <w:szCs w:val="20"/>
                <w:lang w:val="ro-RO"/>
              </w:rPr>
              <w:t>Anul de actualizare</w:t>
            </w:r>
          </w:p>
        </w:tc>
        <w:tc>
          <w:tcPr>
            <w:tcW w:w="2871" w:type="dxa"/>
            <w:gridSpan w:val="2"/>
            <w:tcBorders>
              <w:top w:val="single" w:sz="4" w:space="0" w:color="auto"/>
              <w:left w:val="single" w:sz="8" w:space="0" w:color="auto"/>
              <w:bottom w:val="single" w:sz="8"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2010</w:t>
            </w:r>
          </w:p>
        </w:tc>
        <w:tc>
          <w:tcPr>
            <w:tcW w:w="2715" w:type="dxa"/>
            <w:gridSpan w:val="2"/>
            <w:tcBorders>
              <w:top w:val="single" w:sz="4" w:space="0" w:color="auto"/>
              <w:left w:val="nil"/>
              <w:bottom w:val="single" w:sz="8"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2010</w:t>
            </w:r>
          </w:p>
        </w:tc>
        <w:tc>
          <w:tcPr>
            <w:tcW w:w="2457" w:type="dxa"/>
            <w:gridSpan w:val="2"/>
            <w:tcBorders>
              <w:top w:val="single" w:sz="4" w:space="0" w:color="auto"/>
              <w:left w:val="nil"/>
              <w:bottom w:val="single" w:sz="8" w:space="0" w:color="auto"/>
              <w:right w:val="single" w:sz="8" w:space="0" w:color="000000"/>
            </w:tcBorders>
            <w:shd w:val="clear" w:color="auto" w:fill="FFFFFF"/>
            <w:noWrap/>
            <w:vAlign w:val="bottom"/>
            <w:hideMark/>
          </w:tcPr>
          <w:p w:rsidR="002B762C" w:rsidRPr="00BF454A" w:rsidRDefault="002B762C" w:rsidP="0030066D">
            <w:pPr>
              <w:jc w:val="center"/>
              <w:rPr>
                <w:rFonts w:cs="Arial"/>
                <w:sz w:val="20"/>
                <w:szCs w:val="20"/>
                <w:lang w:val="ro-RO"/>
              </w:rPr>
            </w:pPr>
            <w:r w:rsidRPr="00BF454A">
              <w:rPr>
                <w:rFonts w:cs="Arial"/>
                <w:sz w:val="20"/>
                <w:szCs w:val="20"/>
                <w:lang w:val="ro-RO"/>
              </w:rPr>
              <w:t> -</w:t>
            </w:r>
          </w:p>
        </w:tc>
      </w:tr>
      <w:tr w:rsidR="002B762C" w:rsidRPr="00BF454A" w:rsidTr="0030066D">
        <w:trPr>
          <w:trHeight w:val="315"/>
        </w:trPr>
        <w:tc>
          <w:tcPr>
            <w:tcW w:w="2541" w:type="dxa"/>
            <w:noWrap/>
            <w:vAlign w:val="bottom"/>
            <w:hideMark/>
          </w:tcPr>
          <w:p w:rsidR="002B762C" w:rsidRPr="00BF454A" w:rsidRDefault="002B762C" w:rsidP="0030066D">
            <w:pPr>
              <w:rPr>
                <w:rFonts w:cs="Arial"/>
                <w:sz w:val="20"/>
                <w:szCs w:val="20"/>
                <w:lang w:val="ro-RO"/>
              </w:rPr>
            </w:pPr>
          </w:p>
        </w:tc>
        <w:tc>
          <w:tcPr>
            <w:tcW w:w="1843" w:type="dxa"/>
            <w:noWrap/>
            <w:vAlign w:val="bottom"/>
            <w:hideMark/>
          </w:tcPr>
          <w:p w:rsidR="002B762C" w:rsidRPr="00BF454A" w:rsidRDefault="002B762C" w:rsidP="0030066D">
            <w:pPr>
              <w:rPr>
                <w:rFonts w:cs="Arial"/>
                <w:sz w:val="20"/>
                <w:szCs w:val="20"/>
                <w:lang w:val="ro-RO"/>
              </w:rPr>
            </w:pPr>
          </w:p>
        </w:tc>
        <w:tc>
          <w:tcPr>
            <w:tcW w:w="1028" w:type="dxa"/>
            <w:noWrap/>
            <w:vAlign w:val="bottom"/>
            <w:hideMark/>
          </w:tcPr>
          <w:p w:rsidR="002B762C" w:rsidRPr="00BF454A" w:rsidRDefault="002B762C" w:rsidP="0030066D">
            <w:pPr>
              <w:rPr>
                <w:rFonts w:cs="Arial"/>
                <w:sz w:val="20"/>
                <w:szCs w:val="20"/>
                <w:lang w:val="ro-RO"/>
              </w:rPr>
            </w:pPr>
          </w:p>
        </w:tc>
        <w:tc>
          <w:tcPr>
            <w:tcW w:w="1687" w:type="dxa"/>
            <w:noWrap/>
            <w:vAlign w:val="bottom"/>
            <w:hideMark/>
          </w:tcPr>
          <w:p w:rsidR="002B762C" w:rsidRPr="00BF454A" w:rsidRDefault="002B762C" w:rsidP="0030066D">
            <w:pPr>
              <w:rPr>
                <w:rFonts w:cs="Arial"/>
                <w:sz w:val="20"/>
                <w:szCs w:val="20"/>
                <w:lang w:val="ro-RO"/>
              </w:rPr>
            </w:pPr>
          </w:p>
        </w:tc>
        <w:tc>
          <w:tcPr>
            <w:tcW w:w="1028" w:type="dxa"/>
            <w:noWrap/>
            <w:vAlign w:val="bottom"/>
            <w:hideMark/>
          </w:tcPr>
          <w:p w:rsidR="002B762C" w:rsidRPr="00BF454A" w:rsidRDefault="002B762C" w:rsidP="0030066D">
            <w:pPr>
              <w:rPr>
                <w:rFonts w:cs="Arial"/>
                <w:sz w:val="20"/>
                <w:szCs w:val="20"/>
                <w:lang w:val="ro-RO"/>
              </w:rPr>
            </w:pPr>
          </w:p>
        </w:tc>
        <w:tc>
          <w:tcPr>
            <w:tcW w:w="1262" w:type="dxa"/>
            <w:noWrap/>
            <w:vAlign w:val="bottom"/>
            <w:hideMark/>
          </w:tcPr>
          <w:p w:rsidR="002B762C" w:rsidRPr="00BF454A" w:rsidRDefault="002B762C" w:rsidP="0030066D">
            <w:pPr>
              <w:rPr>
                <w:rFonts w:cs="Arial"/>
                <w:sz w:val="20"/>
                <w:szCs w:val="20"/>
                <w:lang w:val="ro-RO"/>
              </w:rPr>
            </w:pPr>
          </w:p>
        </w:tc>
        <w:tc>
          <w:tcPr>
            <w:tcW w:w="1195" w:type="dxa"/>
            <w:noWrap/>
            <w:vAlign w:val="bottom"/>
            <w:hideMark/>
          </w:tcPr>
          <w:p w:rsidR="002B762C" w:rsidRPr="00BF454A" w:rsidRDefault="002B762C" w:rsidP="0030066D">
            <w:pPr>
              <w:rPr>
                <w:rFonts w:cs="Arial"/>
                <w:sz w:val="20"/>
                <w:szCs w:val="20"/>
                <w:lang w:val="ro-RO"/>
              </w:rPr>
            </w:pPr>
          </w:p>
        </w:tc>
      </w:tr>
      <w:tr w:rsidR="002B762C" w:rsidRPr="00BF454A" w:rsidTr="0030066D">
        <w:trPr>
          <w:trHeight w:val="1020"/>
        </w:trPr>
        <w:tc>
          <w:tcPr>
            <w:tcW w:w="2541" w:type="dxa"/>
            <w:noWrap/>
            <w:vAlign w:val="bottom"/>
            <w:hideMark/>
          </w:tcPr>
          <w:p w:rsidR="002B762C" w:rsidRPr="00BF454A" w:rsidRDefault="002B762C" w:rsidP="0030066D">
            <w:pPr>
              <w:rPr>
                <w:rFonts w:cs="Arial"/>
                <w:sz w:val="20"/>
                <w:szCs w:val="20"/>
                <w:lang w:val="ro-RO"/>
              </w:rPr>
            </w:pPr>
          </w:p>
        </w:tc>
        <w:tc>
          <w:tcPr>
            <w:tcW w:w="1843" w:type="dxa"/>
            <w:tcBorders>
              <w:top w:val="single" w:sz="8" w:space="0" w:color="auto"/>
              <w:left w:val="single" w:sz="8" w:space="0" w:color="auto"/>
              <w:bottom w:val="single" w:sz="4" w:space="0" w:color="auto"/>
              <w:right w:val="single" w:sz="4" w:space="0" w:color="auto"/>
            </w:tcBorders>
            <w:shd w:val="clear" w:color="auto" w:fill="FFFFFF"/>
            <w:vAlign w:val="center"/>
            <w:hideMark/>
          </w:tcPr>
          <w:p w:rsidR="002B762C" w:rsidRPr="00BF454A" w:rsidRDefault="002B762C" w:rsidP="0030066D">
            <w:pPr>
              <w:jc w:val="center"/>
              <w:rPr>
                <w:rFonts w:cs="Arial"/>
                <w:b/>
                <w:bCs/>
                <w:sz w:val="20"/>
                <w:szCs w:val="20"/>
                <w:lang w:val="ro-RO"/>
              </w:rPr>
            </w:pPr>
            <w:r>
              <w:rPr>
                <w:rFonts w:cs="Arial"/>
                <w:b/>
                <w:bCs/>
                <w:sz w:val="20"/>
                <w:szCs w:val="20"/>
                <w:lang w:val="ro-RO"/>
              </w:rPr>
              <w:t>Costuri sau beneficii incrementale actualizate (mil euro)</w:t>
            </w:r>
          </w:p>
        </w:tc>
        <w:tc>
          <w:tcPr>
            <w:tcW w:w="1028" w:type="dxa"/>
            <w:tcBorders>
              <w:top w:val="single" w:sz="8" w:space="0" w:color="auto"/>
              <w:left w:val="nil"/>
              <w:bottom w:val="single" w:sz="4" w:space="0" w:color="auto"/>
              <w:right w:val="single" w:sz="8" w:space="0" w:color="auto"/>
            </w:tcBorders>
            <w:shd w:val="clear" w:color="auto" w:fill="FFFFFF"/>
            <w:vAlign w:val="center"/>
            <w:hideMark/>
          </w:tcPr>
          <w:p w:rsidR="002B762C" w:rsidRPr="00BF454A" w:rsidRDefault="002B762C" w:rsidP="0030066D">
            <w:pPr>
              <w:jc w:val="center"/>
              <w:rPr>
                <w:rFonts w:cs="Arial"/>
                <w:b/>
                <w:bCs/>
                <w:sz w:val="20"/>
                <w:szCs w:val="20"/>
                <w:lang w:val="ro-RO"/>
              </w:rPr>
            </w:pPr>
            <w:r>
              <w:rPr>
                <w:rFonts w:cs="Arial"/>
                <w:b/>
                <w:bCs/>
                <w:sz w:val="20"/>
                <w:szCs w:val="20"/>
                <w:lang w:val="ro-RO"/>
              </w:rPr>
              <w:t>Pondere in total costuri/ beneficii</w:t>
            </w:r>
          </w:p>
        </w:tc>
        <w:tc>
          <w:tcPr>
            <w:tcW w:w="1687" w:type="dxa"/>
            <w:tcBorders>
              <w:top w:val="single" w:sz="8" w:space="0" w:color="auto"/>
              <w:left w:val="nil"/>
              <w:bottom w:val="single" w:sz="4" w:space="0" w:color="auto"/>
              <w:right w:val="single" w:sz="4" w:space="0" w:color="auto"/>
            </w:tcBorders>
            <w:shd w:val="clear" w:color="auto" w:fill="FFFFFF"/>
            <w:vAlign w:val="center"/>
            <w:hideMark/>
          </w:tcPr>
          <w:p w:rsidR="002B762C" w:rsidRPr="00BF454A" w:rsidRDefault="002B762C" w:rsidP="0030066D">
            <w:pPr>
              <w:jc w:val="center"/>
              <w:rPr>
                <w:rFonts w:cs="Arial"/>
                <w:b/>
                <w:bCs/>
                <w:sz w:val="20"/>
                <w:szCs w:val="20"/>
                <w:lang w:val="ro-RO"/>
              </w:rPr>
            </w:pPr>
            <w:r>
              <w:rPr>
                <w:rFonts w:cs="Arial"/>
                <w:b/>
                <w:bCs/>
                <w:sz w:val="20"/>
                <w:szCs w:val="20"/>
                <w:lang w:val="ro-RO"/>
              </w:rPr>
              <w:t>Costuri sau beneficii incrementale actualizate (mil euro)</w:t>
            </w:r>
          </w:p>
        </w:tc>
        <w:tc>
          <w:tcPr>
            <w:tcW w:w="1028" w:type="dxa"/>
            <w:tcBorders>
              <w:top w:val="single" w:sz="8" w:space="0" w:color="auto"/>
              <w:left w:val="nil"/>
              <w:bottom w:val="single" w:sz="4" w:space="0" w:color="auto"/>
              <w:right w:val="single" w:sz="8" w:space="0" w:color="auto"/>
            </w:tcBorders>
            <w:shd w:val="clear" w:color="auto" w:fill="FFFFFF"/>
            <w:vAlign w:val="center"/>
            <w:hideMark/>
          </w:tcPr>
          <w:p w:rsidR="002B762C" w:rsidRPr="00BF454A" w:rsidRDefault="002B762C" w:rsidP="0030066D">
            <w:pPr>
              <w:jc w:val="center"/>
              <w:rPr>
                <w:rFonts w:cs="Arial"/>
                <w:b/>
                <w:bCs/>
                <w:sz w:val="20"/>
                <w:szCs w:val="20"/>
                <w:lang w:val="ro-RO"/>
              </w:rPr>
            </w:pPr>
            <w:r>
              <w:rPr>
                <w:rFonts w:cs="Arial"/>
                <w:b/>
                <w:bCs/>
                <w:sz w:val="20"/>
                <w:szCs w:val="20"/>
                <w:lang w:val="ro-RO"/>
              </w:rPr>
              <w:t>Pondere in total costuri/ beneficii</w:t>
            </w:r>
          </w:p>
        </w:tc>
        <w:tc>
          <w:tcPr>
            <w:tcW w:w="1262" w:type="dxa"/>
            <w:tcBorders>
              <w:top w:val="single" w:sz="8" w:space="0" w:color="auto"/>
              <w:left w:val="nil"/>
              <w:bottom w:val="single" w:sz="4" w:space="0" w:color="auto"/>
              <w:right w:val="single" w:sz="4" w:space="0" w:color="auto"/>
            </w:tcBorders>
            <w:shd w:val="clear" w:color="auto" w:fill="FFFFFF"/>
            <w:vAlign w:val="center"/>
            <w:hideMark/>
          </w:tcPr>
          <w:p w:rsidR="002B762C" w:rsidRPr="00BF454A" w:rsidRDefault="002B762C" w:rsidP="0030066D">
            <w:pPr>
              <w:jc w:val="center"/>
              <w:rPr>
                <w:rFonts w:cs="Arial"/>
                <w:b/>
                <w:bCs/>
                <w:sz w:val="20"/>
                <w:szCs w:val="20"/>
                <w:lang w:val="ro-RO"/>
              </w:rPr>
            </w:pPr>
            <w:r>
              <w:rPr>
                <w:rFonts w:cs="Arial"/>
                <w:b/>
                <w:bCs/>
                <w:sz w:val="20"/>
                <w:szCs w:val="20"/>
                <w:lang w:val="ro-RO"/>
              </w:rPr>
              <w:t>Diferență absolută</w:t>
            </w:r>
          </w:p>
        </w:tc>
        <w:tc>
          <w:tcPr>
            <w:tcW w:w="1195" w:type="dxa"/>
            <w:tcBorders>
              <w:top w:val="single" w:sz="8" w:space="0" w:color="auto"/>
              <w:left w:val="nil"/>
              <w:bottom w:val="single" w:sz="4" w:space="0" w:color="auto"/>
              <w:right w:val="single" w:sz="8" w:space="0" w:color="auto"/>
            </w:tcBorders>
            <w:shd w:val="clear" w:color="auto" w:fill="FFFFFF"/>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 xml:space="preserve">% </w:t>
            </w:r>
            <w:r>
              <w:rPr>
                <w:rFonts w:cs="Arial"/>
                <w:b/>
                <w:bCs/>
                <w:sz w:val="20"/>
                <w:szCs w:val="20"/>
                <w:lang w:val="ro-RO"/>
              </w:rPr>
              <w:t>în total beneficii/ costuri</w:t>
            </w: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C0C0C0"/>
            <w:noWrap/>
            <w:vAlign w:val="center"/>
            <w:hideMark/>
          </w:tcPr>
          <w:p w:rsidR="002B762C" w:rsidRPr="00BF454A" w:rsidRDefault="002B762C" w:rsidP="0030066D">
            <w:pPr>
              <w:rPr>
                <w:rFonts w:cs="Arial"/>
                <w:b/>
                <w:bCs/>
                <w:sz w:val="20"/>
                <w:szCs w:val="20"/>
                <w:lang w:val="ro-RO"/>
              </w:rPr>
            </w:pPr>
            <w:r>
              <w:rPr>
                <w:rFonts w:cs="Arial"/>
                <w:b/>
                <w:bCs/>
                <w:sz w:val="20"/>
                <w:szCs w:val="20"/>
                <w:lang w:val="ro-RO"/>
              </w:rPr>
              <w:t>Cost la nivelul administratorului</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BF454A" w:rsidRDefault="002B762C" w:rsidP="0030066D">
            <w:pPr>
              <w:rPr>
                <w:rFonts w:cs="Arial"/>
                <w:sz w:val="20"/>
                <w:szCs w:val="20"/>
                <w:lang w:val="ro-RO"/>
              </w:rPr>
            </w:pPr>
            <w:r w:rsidRPr="00BF454A">
              <w:rPr>
                <w:rFonts w:cs="Arial"/>
                <w:sz w:val="20"/>
                <w:szCs w:val="20"/>
                <w:lang w:val="ro-RO"/>
              </w:rPr>
              <w:t>CAPEX</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18,503.78</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100%</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18,980.22</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100%</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-476.44</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100%</w:t>
            </w: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BF454A" w:rsidRDefault="002B762C" w:rsidP="0030066D">
            <w:pPr>
              <w:rPr>
                <w:rFonts w:cs="Arial"/>
                <w:sz w:val="20"/>
                <w:szCs w:val="20"/>
                <w:lang w:val="ro-RO"/>
              </w:rPr>
            </w:pPr>
            <w:r w:rsidRPr="00BF454A">
              <w:rPr>
                <w:rFonts w:cs="Arial"/>
                <w:sz w:val="20"/>
                <w:szCs w:val="20"/>
                <w:lang w:val="ro-RO"/>
              </w:rPr>
              <w:t>OPEX</w:t>
            </w:r>
          </w:p>
        </w:tc>
        <w:tc>
          <w:tcPr>
            <w:tcW w:w="1843" w:type="dxa"/>
            <w:tcBorders>
              <w:top w:val="nil"/>
              <w:left w:val="single" w:sz="8" w:space="0" w:color="auto"/>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40.55</w:t>
            </w:r>
          </w:p>
        </w:tc>
        <w:tc>
          <w:tcPr>
            <w:tcW w:w="1028"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c>
          <w:tcPr>
            <w:tcW w:w="1687" w:type="dxa"/>
            <w:tcBorders>
              <w:top w:val="nil"/>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40.55</w:t>
            </w:r>
          </w:p>
        </w:tc>
        <w:tc>
          <w:tcPr>
            <w:tcW w:w="1028"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c>
          <w:tcPr>
            <w:tcW w:w="1262" w:type="dxa"/>
            <w:tcBorders>
              <w:top w:val="nil"/>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0.00</w:t>
            </w:r>
          </w:p>
        </w:tc>
        <w:tc>
          <w:tcPr>
            <w:tcW w:w="1195"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C0C0C0"/>
            <w:noWrap/>
            <w:vAlign w:val="center"/>
            <w:hideMark/>
          </w:tcPr>
          <w:p w:rsidR="002B762C" w:rsidRPr="00BF454A" w:rsidRDefault="002B762C" w:rsidP="0030066D">
            <w:pPr>
              <w:rPr>
                <w:rFonts w:cs="Arial"/>
                <w:b/>
                <w:bCs/>
                <w:sz w:val="20"/>
                <w:szCs w:val="20"/>
                <w:lang w:val="ro-RO"/>
              </w:rPr>
            </w:pPr>
            <w:r w:rsidRPr="00BF454A">
              <w:rPr>
                <w:rFonts w:cs="Arial"/>
                <w:b/>
                <w:bCs/>
                <w:sz w:val="20"/>
                <w:szCs w:val="20"/>
                <w:lang w:val="ro-RO"/>
              </w:rPr>
              <w:t xml:space="preserve">Cost </w:t>
            </w:r>
            <w:r>
              <w:rPr>
                <w:rFonts w:cs="Arial"/>
                <w:b/>
                <w:bCs/>
                <w:sz w:val="20"/>
                <w:szCs w:val="20"/>
                <w:lang w:val="ro-RO"/>
              </w:rPr>
              <w:t>pentru operator</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BF454A" w:rsidRDefault="002B762C" w:rsidP="0030066D">
            <w:pPr>
              <w:rPr>
                <w:rFonts w:cs="Arial"/>
                <w:sz w:val="20"/>
                <w:szCs w:val="20"/>
                <w:lang w:val="ro-RO"/>
              </w:rPr>
            </w:pPr>
            <w:r w:rsidRPr="00BF454A">
              <w:rPr>
                <w:rFonts w:cs="Arial"/>
                <w:sz w:val="20"/>
                <w:szCs w:val="20"/>
                <w:lang w:val="ro-RO"/>
              </w:rPr>
              <w:t>CAPEX</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0.00</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0.00</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0.00</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BF454A" w:rsidRDefault="002B762C" w:rsidP="0030066D">
            <w:pPr>
              <w:rPr>
                <w:rFonts w:cs="Arial"/>
                <w:sz w:val="20"/>
                <w:szCs w:val="20"/>
                <w:lang w:val="ro-RO"/>
              </w:rPr>
            </w:pPr>
            <w:r w:rsidRPr="00BF454A">
              <w:rPr>
                <w:rFonts w:cs="Arial"/>
                <w:sz w:val="20"/>
                <w:szCs w:val="20"/>
                <w:lang w:val="ro-RO"/>
              </w:rPr>
              <w:t>OPEX</w:t>
            </w:r>
          </w:p>
        </w:tc>
        <w:tc>
          <w:tcPr>
            <w:tcW w:w="1843" w:type="dxa"/>
            <w:tcBorders>
              <w:top w:val="nil"/>
              <w:left w:val="single" w:sz="8" w:space="0" w:color="auto"/>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17.84</w:t>
            </w:r>
          </w:p>
        </w:tc>
        <w:tc>
          <w:tcPr>
            <w:tcW w:w="1028"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c>
          <w:tcPr>
            <w:tcW w:w="1687" w:type="dxa"/>
            <w:tcBorders>
              <w:top w:val="nil"/>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17.84</w:t>
            </w:r>
          </w:p>
        </w:tc>
        <w:tc>
          <w:tcPr>
            <w:tcW w:w="1028"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c>
          <w:tcPr>
            <w:tcW w:w="1262" w:type="dxa"/>
            <w:tcBorders>
              <w:top w:val="nil"/>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0.00</w:t>
            </w:r>
          </w:p>
        </w:tc>
        <w:tc>
          <w:tcPr>
            <w:tcW w:w="1195"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C0C0C0"/>
            <w:noWrap/>
            <w:vAlign w:val="center"/>
            <w:hideMark/>
          </w:tcPr>
          <w:p w:rsidR="002B762C" w:rsidRPr="000052B2" w:rsidRDefault="002B762C" w:rsidP="0030066D">
            <w:pPr>
              <w:rPr>
                <w:lang w:val="en-US"/>
              </w:rPr>
            </w:pPr>
            <w:r w:rsidRPr="000052B2">
              <w:rPr>
                <w:b/>
                <w:bCs/>
                <w:sz w:val="21"/>
                <w:szCs w:val="21"/>
                <w:lang w:val="ro-RO"/>
              </w:rPr>
              <w:t>Beneficii pentru utilizatori</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sz w:val="21"/>
                <w:szCs w:val="21"/>
                <w:lang w:val="ro-RO"/>
              </w:rPr>
              <w:t>Valoarea timpului</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30,346.49</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60.75%</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28,671.32</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59.28%</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1,675.17</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105.98%</w:t>
            </w: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sz w:val="21"/>
                <w:szCs w:val="21"/>
                <w:lang w:val="ro-RO"/>
              </w:rPr>
              <w:t>Costuri de operare ale vehiculelor</w:t>
            </w:r>
          </w:p>
        </w:tc>
        <w:tc>
          <w:tcPr>
            <w:tcW w:w="1843"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815.36</w:t>
            </w:r>
          </w:p>
        </w:tc>
        <w:tc>
          <w:tcPr>
            <w:tcW w:w="1028"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1.63%</w:t>
            </w:r>
          </w:p>
        </w:tc>
        <w:tc>
          <w:tcPr>
            <w:tcW w:w="1687" w:type="dxa"/>
            <w:tcBorders>
              <w:top w:val="nil"/>
              <w:left w:val="nil"/>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1,349.44</w:t>
            </w:r>
          </w:p>
        </w:tc>
        <w:tc>
          <w:tcPr>
            <w:tcW w:w="1028"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2.79%</w:t>
            </w:r>
          </w:p>
        </w:tc>
        <w:tc>
          <w:tcPr>
            <w:tcW w:w="1262" w:type="dxa"/>
            <w:tcBorders>
              <w:top w:val="nil"/>
              <w:left w:val="nil"/>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-534.09</w:t>
            </w:r>
          </w:p>
        </w:tc>
        <w:tc>
          <w:tcPr>
            <w:tcW w:w="1195" w:type="dxa"/>
            <w:tcBorders>
              <w:top w:val="nil"/>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-33.79%</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C0C0C0"/>
            <w:noWrap/>
            <w:vAlign w:val="center"/>
            <w:hideMark/>
          </w:tcPr>
          <w:p w:rsidR="002B762C" w:rsidRPr="000052B2" w:rsidRDefault="002B762C" w:rsidP="0030066D">
            <w:pPr>
              <w:rPr>
                <w:lang w:val="en-US"/>
              </w:rPr>
            </w:pPr>
            <w:r w:rsidRPr="000052B2">
              <w:rPr>
                <w:b/>
                <w:bCs/>
                <w:sz w:val="21"/>
                <w:szCs w:val="21"/>
                <w:lang w:val="ro-RO"/>
              </w:rPr>
              <w:t>Impacturi externe</w:t>
            </w:r>
          </w:p>
        </w:tc>
        <w:tc>
          <w:tcPr>
            <w:tcW w:w="1843"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687"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028"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c>
          <w:tcPr>
            <w:tcW w:w="1262" w:type="dxa"/>
            <w:tcBorders>
              <w:top w:val="single" w:sz="4" w:space="0" w:color="auto"/>
              <w:left w:val="single" w:sz="8" w:space="0" w:color="auto"/>
              <w:bottom w:val="single" w:sz="4" w:space="0" w:color="auto"/>
              <w:right w:val="single" w:sz="4" w:space="0" w:color="auto"/>
            </w:tcBorders>
            <w:shd w:val="clear" w:color="auto" w:fill="C0C0C0"/>
            <w:vAlign w:val="center"/>
            <w:hideMark/>
          </w:tcPr>
          <w:p w:rsidR="002B762C" w:rsidRPr="00BF454A" w:rsidRDefault="002B762C" w:rsidP="0030066D">
            <w:pPr>
              <w:ind w:firstLineChars="200" w:firstLine="402"/>
              <w:jc w:val="center"/>
              <w:rPr>
                <w:rFonts w:cs="Arial"/>
                <w:b/>
                <w:bCs/>
                <w:sz w:val="20"/>
                <w:szCs w:val="20"/>
                <w:lang w:val="ro-RO"/>
              </w:rPr>
            </w:pPr>
          </w:p>
        </w:tc>
        <w:tc>
          <w:tcPr>
            <w:tcW w:w="1195" w:type="dxa"/>
            <w:tcBorders>
              <w:top w:val="single" w:sz="4" w:space="0" w:color="auto"/>
              <w:left w:val="single" w:sz="4" w:space="0" w:color="auto"/>
              <w:bottom w:val="single" w:sz="4" w:space="0" w:color="auto"/>
              <w:right w:val="single" w:sz="8" w:space="0" w:color="auto"/>
            </w:tcBorders>
            <w:shd w:val="clear" w:color="auto" w:fill="C0C0C0"/>
            <w:vAlign w:val="center"/>
            <w:hideMark/>
          </w:tcPr>
          <w:p w:rsidR="002B762C" w:rsidRPr="00BF454A" w:rsidRDefault="002B762C" w:rsidP="0030066D">
            <w:pPr>
              <w:jc w:val="center"/>
              <w:rPr>
                <w:rFonts w:cs="Arial"/>
                <w:b/>
                <w:bCs/>
                <w:sz w:val="20"/>
                <w:szCs w:val="20"/>
                <w:lang w:val="ro-RO"/>
              </w:rPr>
            </w:pP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sz w:val="21"/>
                <w:szCs w:val="21"/>
                <w:lang w:val="ro-RO"/>
              </w:rPr>
              <w:t>Accidente (siguranță)</w:t>
            </w:r>
          </w:p>
        </w:tc>
        <w:tc>
          <w:tcPr>
            <w:tcW w:w="1843"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12,932.99</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25.89%</w:t>
            </w:r>
          </w:p>
        </w:tc>
        <w:tc>
          <w:tcPr>
            <w:tcW w:w="1687"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12,570.52</w:t>
            </w:r>
          </w:p>
        </w:tc>
        <w:tc>
          <w:tcPr>
            <w:tcW w:w="1028"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25.99%</w:t>
            </w:r>
          </w:p>
        </w:tc>
        <w:tc>
          <w:tcPr>
            <w:tcW w:w="1262" w:type="dxa"/>
            <w:tcBorders>
              <w:top w:val="single" w:sz="4" w:space="0" w:color="auto"/>
              <w:left w:val="nil"/>
              <w:bottom w:val="single" w:sz="4" w:space="0" w:color="auto"/>
              <w:right w:val="single" w:sz="4" w:space="0" w:color="auto"/>
            </w:tcBorders>
            <w:shd w:val="clear" w:color="auto" w:fill="FFFFFF"/>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362.47</w:t>
            </w:r>
          </w:p>
        </w:tc>
        <w:tc>
          <w:tcPr>
            <w:tcW w:w="1195" w:type="dxa"/>
            <w:tcBorders>
              <w:top w:val="single" w:sz="4" w:space="0" w:color="auto"/>
              <w:left w:val="nil"/>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22.93%</w:t>
            </w:r>
          </w:p>
        </w:tc>
      </w:tr>
      <w:tr w:rsidR="002B762C" w:rsidRPr="00BF454A" w:rsidTr="0030066D">
        <w:trPr>
          <w:trHeight w:val="300"/>
        </w:trPr>
        <w:tc>
          <w:tcPr>
            <w:tcW w:w="2541" w:type="dxa"/>
            <w:tcBorders>
              <w:top w:val="single" w:sz="4" w:space="0" w:color="auto"/>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sz w:val="21"/>
                <w:szCs w:val="21"/>
                <w:lang w:val="ro-RO"/>
              </w:rPr>
              <w:t>Zgomot</w:t>
            </w:r>
          </w:p>
        </w:tc>
        <w:tc>
          <w:tcPr>
            <w:tcW w:w="1843"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359.53</w:t>
            </w:r>
          </w:p>
        </w:tc>
        <w:tc>
          <w:tcPr>
            <w:tcW w:w="1028" w:type="dxa"/>
            <w:tcBorders>
              <w:top w:val="nil"/>
              <w:left w:val="single" w:sz="4" w:space="0" w:color="auto"/>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0.72%</w:t>
            </w:r>
          </w:p>
        </w:tc>
        <w:tc>
          <w:tcPr>
            <w:tcW w:w="1687"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360.25</w:t>
            </w:r>
          </w:p>
        </w:tc>
        <w:tc>
          <w:tcPr>
            <w:tcW w:w="1028" w:type="dxa"/>
            <w:tcBorders>
              <w:top w:val="nil"/>
              <w:left w:val="single" w:sz="4" w:space="0" w:color="auto"/>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0.74%</w:t>
            </w:r>
          </w:p>
        </w:tc>
        <w:tc>
          <w:tcPr>
            <w:tcW w:w="1262"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-0.72</w:t>
            </w:r>
          </w:p>
        </w:tc>
        <w:tc>
          <w:tcPr>
            <w:tcW w:w="1195" w:type="dxa"/>
            <w:tcBorders>
              <w:top w:val="nil"/>
              <w:left w:val="single" w:sz="4" w:space="0" w:color="auto"/>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-0.05%</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sz w:val="21"/>
                <w:szCs w:val="21"/>
                <w:lang w:val="ro-RO"/>
              </w:rPr>
              <w:t>Poluarea aerului</w:t>
            </w:r>
          </w:p>
        </w:tc>
        <w:tc>
          <w:tcPr>
            <w:tcW w:w="1843"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6,425.50</w:t>
            </w:r>
          </w:p>
        </w:tc>
        <w:tc>
          <w:tcPr>
            <w:tcW w:w="1028" w:type="dxa"/>
            <w:tcBorders>
              <w:top w:val="nil"/>
              <w:left w:val="single" w:sz="4" w:space="0" w:color="auto"/>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12.86%</w:t>
            </w:r>
          </w:p>
        </w:tc>
        <w:tc>
          <w:tcPr>
            <w:tcW w:w="1687"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6,160.33</w:t>
            </w:r>
          </w:p>
        </w:tc>
        <w:tc>
          <w:tcPr>
            <w:tcW w:w="1028" w:type="dxa"/>
            <w:tcBorders>
              <w:top w:val="nil"/>
              <w:left w:val="single" w:sz="4" w:space="0" w:color="auto"/>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12.74%</w:t>
            </w:r>
          </w:p>
        </w:tc>
        <w:tc>
          <w:tcPr>
            <w:tcW w:w="1262" w:type="dxa"/>
            <w:tcBorders>
              <w:top w:val="nil"/>
              <w:left w:val="single" w:sz="8" w:space="0" w:color="auto"/>
              <w:bottom w:val="single" w:sz="4" w:space="0" w:color="auto"/>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265.18</w:t>
            </w:r>
          </w:p>
        </w:tc>
        <w:tc>
          <w:tcPr>
            <w:tcW w:w="1195" w:type="dxa"/>
            <w:tcBorders>
              <w:top w:val="nil"/>
              <w:left w:val="single" w:sz="4" w:space="0" w:color="auto"/>
              <w:bottom w:val="single" w:sz="4" w:space="0" w:color="auto"/>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16.78%</w:t>
            </w:r>
          </w:p>
        </w:tc>
      </w:tr>
      <w:tr w:rsidR="002B762C" w:rsidRPr="00BF454A" w:rsidTr="0030066D">
        <w:trPr>
          <w:trHeight w:val="315"/>
        </w:trPr>
        <w:tc>
          <w:tcPr>
            <w:tcW w:w="2541" w:type="dxa"/>
            <w:tcBorders>
              <w:top w:val="nil"/>
              <w:left w:val="single" w:sz="8" w:space="0" w:color="auto"/>
              <w:bottom w:val="nil"/>
              <w:right w:val="nil"/>
            </w:tcBorders>
            <w:shd w:val="clear" w:color="auto" w:fill="FFFFFF"/>
            <w:noWrap/>
            <w:vAlign w:val="center"/>
            <w:hideMark/>
          </w:tcPr>
          <w:p w:rsidR="002B762C" w:rsidRPr="000052B2" w:rsidRDefault="002B762C" w:rsidP="0030066D">
            <w:pPr>
              <w:rPr>
                <w:lang w:val="en-US"/>
              </w:rPr>
            </w:pPr>
            <w:r w:rsidRPr="000052B2">
              <w:rPr>
                <w:sz w:val="21"/>
                <w:szCs w:val="21"/>
                <w:lang w:val="ro-RO"/>
              </w:rPr>
              <w:t>Schimbări climatice</w:t>
            </w:r>
          </w:p>
        </w:tc>
        <w:tc>
          <w:tcPr>
            <w:tcW w:w="1843" w:type="dxa"/>
            <w:tcBorders>
              <w:top w:val="nil"/>
              <w:left w:val="single" w:sz="8" w:space="0" w:color="auto"/>
              <w:bottom w:val="nil"/>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-912.19</w:t>
            </w:r>
          </w:p>
        </w:tc>
        <w:tc>
          <w:tcPr>
            <w:tcW w:w="1028" w:type="dxa"/>
            <w:tcBorders>
              <w:top w:val="nil"/>
              <w:left w:val="nil"/>
              <w:bottom w:val="nil"/>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-1.83%</w:t>
            </w:r>
          </w:p>
        </w:tc>
        <w:tc>
          <w:tcPr>
            <w:tcW w:w="1687" w:type="dxa"/>
            <w:tcBorders>
              <w:top w:val="nil"/>
              <w:left w:val="nil"/>
              <w:bottom w:val="nil"/>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-724.82</w:t>
            </w:r>
          </w:p>
        </w:tc>
        <w:tc>
          <w:tcPr>
            <w:tcW w:w="1028" w:type="dxa"/>
            <w:tcBorders>
              <w:top w:val="nil"/>
              <w:left w:val="nil"/>
              <w:bottom w:val="nil"/>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-1.50%</w:t>
            </w:r>
          </w:p>
        </w:tc>
        <w:tc>
          <w:tcPr>
            <w:tcW w:w="1262" w:type="dxa"/>
            <w:tcBorders>
              <w:top w:val="nil"/>
              <w:left w:val="nil"/>
              <w:bottom w:val="nil"/>
              <w:right w:val="single" w:sz="4" w:space="0" w:color="auto"/>
            </w:tcBorders>
            <w:noWrap/>
            <w:vAlign w:val="center"/>
            <w:hideMark/>
          </w:tcPr>
          <w:p w:rsidR="002B762C" w:rsidRPr="00BF454A" w:rsidRDefault="002B762C" w:rsidP="0030066D">
            <w:pPr>
              <w:ind w:firstLineChars="200" w:firstLine="400"/>
              <w:jc w:val="center"/>
              <w:rPr>
                <w:rFonts w:cs="Arial"/>
                <w:sz w:val="20"/>
                <w:szCs w:val="20"/>
                <w:lang w:val="ro-RO"/>
              </w:rPr>
            </w:pPr>
            <w:r w:rsidRPr="00BF454A">
              <w:rPr>
                <w:rFonts w:cs="Arial"/>
                <w:sz w:val="20"/>
                <w:szCs w:val="20"/>
                <w:lang w:val="ro-RO"/>
              </w:rPr>
              <w:t>-187.37</w:t>
            </w:r>
          </w:p>
        </w:tc>
        <w:tc>
          <w:tcPr>
            <w:tcW w:w="1195" w:type="dxa"/>
            <w:tcBorders>
              <w:top w:val="nil"/>
              <w:left w:val="nil"/>
              <w:bottom w:val="nil"/>
              <w:right w:val="single" w:sz="8" w:space="0" w:color="auto"/>
            </w:tcBorders>
            <w:shd w:val="clear" w:color="auto" w:fill="FFFFFF"/>
            <w:noWrap/>
            <w:vAlign w:val="center"/>
            <w:hideMark/>
          </w:tcPr>
          <w:p w:rsidR="002B762C" w:rsidRPr="00BF454A" w:rsidRDefault="002B762C" w:rsidP="0030066D">
            <w:pPr>
              <w:jc w:val="center"/>
              <w:rPr>
                <w:rFonts w:cs="Arial"/>
                <w:sz w:val="20"/>
                <w:szCs w:val="20"/>
                <w:lang w:val="ro-RO"/>
              </w:rPr>
            </w:pPr>
            <w:r w:rsidRPr="00BF454A">
              <w:rPr>
                <w:rFonts w:cs="Arial"/>
                <w:sz w:val="20"/>
                <w:szCs w:val="20"/>
                <w:lang w:val="ro-RO"/>
              </w:rPr>
              <w:t>-11.85%</w:t>
            </w:r>
          </w:p>
        </w:tc>
      </w:tr>
      <w:tr w:rsidR="002B762C" w:rsidRPr="00BF454A" w:rsidTr="0030066D">
        <w:trPr>
          <w:trHeight w:val="300"/>
        </w:trPr>
        <w:tc>
          <w:tcPr>
            <w:tcW w:w="2541" w:type="dxa"/>
            <w:tcBorders>
              <w:top w:val="single" w:sz="8" w:space="0" w:color="auto"/>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b/>
                <w:bCs/>
                <w:sz w:val="21"/>
                <w:szCs w:val="21"/>
                <w:lang w:val="ro-RO"/>
              </w:rPr>
              <w:t>Valoarea prezentă a costurilor</w:t>
            </w:r>
          </w:p>
        </w:tc>
        <w:tc>
          <w:tcPr>
            <w:tcW w:w="2871" w:type="dxa"/>
            <w:gridSpan w:val="2"/>
            <w:tcBorders>
              <w:top w:val="single" w:sz="8"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18,544.33</w:t>
            </w:r>
          </w:p>
        </w:tc>
        <w:tc>
          <w:tcPr>
            <w:tcW w:w="2715" w:type="dxa"/>
            <w:gridSpan w:val="2"/>
            <w:tcBorders>
              <w:top w:val="single" w:sz="8" w:space="0" w:color="auto"/>
              <w:left w:val="nil"/>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19,020.76</w:t>
            </w:r>
          </w:p>
        </w:tc>
        <w:tc>
          <w:tcPr>
            <w:tcW w:w="2457" w:type="dxa"/>
            <w:gridSpan w:val="2"/>
            <w:tcBorders>
              <w:top w:val="single" w:sz="8" w:space="0" w:color="auto"/>
              <w:left w:val="nil"/>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-476.44</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2B762C" w:rsidRPr="000052B2" w:rsidRDefault="002B762C" w:rsidP="0030066D">
            <w:pPr>
              <w:rPr>
                <w:lang w:val="en-US"/>
              </w:rPr>
            </w:pPr>
            <w:r w:rsidRPr="000052B2">
              <w:rPr>
                <w:b/>
                <w:bCs/>
                <w:sz w:val="21"/>
                <w:szCs w:val="21"/>
                <w:lang w:val="ro-RO"/>
              </w:rPr>
              <w:t>Valoarea prezentă a beneficiilor</w:t>
            </w:r>
          </w:p>
        </w:tc>
        <w:tc>
          <w:tcPr>
            <w:tcW w:w="2871"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49,950.45</w:t>
            </w:r>
          </w:p>
        </w:tc>
        <w:tc>
          <w:tcPr>
            <w:tcW w:w="2715"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48,369.81</w:t>
            </w:r>
          </w:p>
        </w:tc>
        <w:tc>
          <w:tcPr>
            <w:tcW w:w="2457"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1,580.64</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2B762C" w:rsidRPr="00BF454A" w:rsidRDefault="002B762C" w:rsidP="0030066D">
            <w:pPr>
              <w:rPr>
                <w:rFonts w:cs="Arial"/>
                <w:b/>
                <w:bCs/>
                <w:sz w:val="20"/>
                <w:szCs w:val="20"/>
                <w:lang w:val="ro-RO"/>
              </w:rPr>
            </w:pPr>
            <w:r>
              <w:rPr>
                <w:rFonts w:cs="Arial"/>
                <w:b/>
                <w:bCs/>
                <w:sz w:val="20"/>
                <w:szCs w:val="20"/>
                <w:lang w:val="ro-RO"/>
              </w:rPr>
              <w:t>Valoarea netă prezentă</w:t>
            </w:r>
            <w:r w:rsidRPr="00BF454A">
              <w:rPr>
                <w:rFonts w:cs="Arial"/>
                <w:b/>
                <w:bCs/>
                <w:sz w:val="20"/>
                <w:szCs w:val="20"/>
                <w:lang w:val="ro-RO"/>
              </w:rPr>
              <w:t xml:space="preserve"> (NPV)</w:t>
            </w:r>
          </w:p>
        </w:tc>
        <w:tc>
          <w:tcPr>
            <w:tcW w:w="2871"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31,406.12</w:t>
            </w:r>
          </w:p>
        </w:tc>
        <w:tc>
          <w:tcPr>
            <w:tcW w:w="2715"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29,349.04</w:t>
            </w:r>
          </w:p>
        </w:tc>
        <w:tc>
          <w:tcPr>
            <w:tcW w:w="2457"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2,057.07</w:t>
            </w:r>
          </w:p>
        </w:tc>
      </w:tr>
      <w:tr w:rsidR="002B762C" w:rsidRPr="00BF454A" w:rsidTr="0030066D">
        <w:trPr>
          <w:trHeight w:val="300"/>
        </w:trPr>
        <w:tc>
          <w:tcPr>
            <w:tcW w:w="2541" w:type="dxa"/>
            <w:tcBorders>
              <w:top w:val="nil"/>
              <w:left w:val="single" w:sz="8" w:space="0" w:color="auto"/>
              <w:bottom w:val="single" w:sz="4" w:space="0" w:color="auto"/>
              <w:right w:val="nil"/>
            </w:tcBorders>
            <w:shd w:val="clear" w:color="auto" w:fill="FFFFFF"/>
            <w:noWrap/>
            <w:vAlign w:val="center"/>
            <w:hideMark/>
          </w:tcPr>
          <w:p w:rsidR="002B762C" w:rsidRPr="00BF454A" w:rsidRDefault="002B762C" w:rsidP="0030066D">
            <w:pPr>
              <w:rPr>
                <w:rFonts w:cs="Arial"/>
                <w:b/>
                <w:bCs/>
                <w:sz w:val="20"/>
                <w:szCs w:val="20"/>
                <w:lang w:val="ro-RO"/>
              </w:rPr>
            </w:pPr>
            <w:r w:rsidRPr="00BF454A">
              <w:rPr>
                <w:rFonts w:cs="Arial"/>
                <w:b/>
                <w:bCs/>
                <w:sz w:val="20"/>
                <w:szCs w:val="20"/>
                <w:lang w:val="ro-RO"/>
              </w:rPr>
              <w:t>EIRR</w:t>
            </w:r>
          </w:p>
        </w:tc>
        <w:tc>
          <w:tcPr>
            <w:tcW w:w="2871"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10.86%</w:t>
            </w:r>
          </w:p>
        </w:tc>
        <w:tc>
          <w:tcPr>
            <w:tcW w:w="2715"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10.50%</w:t>
            </w:r>
          </w:p>
        </w:tc>
        <w:tc>
          <w:tcPr>
            <w:tcW w:w="2457" w:type="dxa"/>
            <w:gridSpan w:val="2"/>
            <w:tcBorders>
              <w:top w:val="single" w:sz="4" w:space="0" w:color="auto"/>
              <w:left w:val="single" w:sz="8" w:space="0" w:color="auto"/>
              <w:bottom w:val="single" w:sz="4"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0.36%</w:t>
            </w:r>
          </w:p>
        </w:tc>
      </w:tr>
      <w:tr w:rsidR="002B762C" w:rsidRPr="00BF454A" w:rsidTr="0030066D">
        <w:trPr>
          <w:trHeight w:val="315"/>
        </w:trPr>
        <w:tc>
          <w:tcPr>
            <w:tcW w:w="2541" w:type="dxa"/>
            <w:tcBorders>
              <w:top w:val="nil"/>
              <w:left w:val="single" w:sz="8" w:space="0" w:color="auto"/>
              <w:bottom w:val="single" w:sz="8" w:space="0" w:color="auto"/>
              <w:right w:val="nil"/>
            </w:tcBorders>
            <w:shd w:val="clear" w:color="auto" w:fill="FFFFFF"/>
            <w:noWrap/>
            <w:vAlign w:val="center"/>
            <w:hideMark/>
          </w:tcPr>
          <w:p w:rsidR="002B762C" w:rsidRPr="00BF454A" w:rsidRDefault="002B762C" w:rsidP="0030066D">
            <w:pPr>
              <w:rPr>
                <w:rFonts w:cs="Arial"/>
                <w:b/>
                <w:bCs/>
                <w:sz w:val="20"/>
                <w:szCs w:val="20"/>
                <w:lang w:val="ro-RO"/>
              </w:rPr>
            </w:pPr>
            <w:r>
              <w:rPr>
                <w:rFonts w:cs="Arial"/>
                <w:b/>
                <w:bCs/>
                <w:sz w:val="20"/>
                <w:szCs w:val="20"/>
                <w:lang w:val="ro-RO"/>
              </w:rPr>
              <w:t>Raportul beneficii/costuri</w:t>
            </w:r>
          </w:p>
        </w:tc>
        <w:tc>
          <w:tcPr>
            <w:tcW w:w="2871" w:type="dxa"/>
            <w:gridSpan w:val="2"/>
            <w:tcBorders>
              <w:top w:val="single" w:sz="4" w:space="0" w:color="auto"/>
              <w:left w:val="single" w:sz="8" w:space="0" w:color="auto"/>
              <w:bottom w:val="single" w:sz="8"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2.69</w:t>
            </w:r>
          </w:p>
        </w:tc>
        <w:tc>
          <w:tcPr>
            <w:tcW w:w="2715" w:type="dxa"/>
            <w:gridSpan w:val="2"/>
            <w:tcBorders>
              <w:top w:val="single" w:sz="4" w:space="0" w:color="auto"/>
              <w:left w:val="nil"/>
              <w:bottom w:val="single" w:sz="8"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2.54</w:t>
            </w:r>
          </w:p>
        </w:tc>
        <w:tc>
          <w:tcPr>
            <w:tcW w:w="2457" w:type="dxa"/>
            <w:gridSpan w:val="2"/>
            <w:tcBorders>
              <w:top w:val="single" w:sz="4" w:space="0" w:color="auto"/>
              <w:left w:val="nil"/>
              <w:bottom w:val="single" w:sz="8" w:space="0" w:color="auto"/>
              <w:right w:val="single" w:sz="8" w:space="0" w:color="000000"/>
            </w:tcBorders>
            <w:shd w:val="clear" w:color="auto" w:fill="FFFFFF"/>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0.15</w:t>
            </w:r>
          </w:p>
        </w:tc>
      </w:tr>
    </w:tbl>
    <w:p w:rsidR="002B762C" w:rsidRPr="004A64D9" w:rsidRDefault="002B762C" w:rsidP="002B762C">
      <w:pPr>
        <w:pStyle w:val="Body"/>
        <w:spacing w:before="120" w:after="120"/>
        <w:ind w:left="-142"/>
        <w:rPr>
          <w:sz w:val="18"/>
          <w:szCs w:val="18"/>
          <w:lang w:val="ro-RO"/>
        </w:rPr>
      </w:pPr>
      <w:r w:rsidRPr="004A64D9">
        <w:rPr>
          <w:sz w:val="18"/>
          <w:szCs w:val="18"/>
          <w:lang w:val="ro-RO"/>
        </w:rPr>
        <w:t>Sursă: Modelul Național de Transport, CBA tool, AECOM</w:t>
      </w:r>
    </w:p>
    <w:p w:rsidR="002B762C" w:rsidRPr="00BF454A" w:rsidRDefault="002B762C" w:rsidP="002B7E09">
      <w:pPr>
        <w:pStyle w:val="NumberedParas"/>
      </w:pPr>
      <w:r w:rsidRPr="00BF454A">
        <w:t>Scopul fundamental al Master Planului este acela de a contribui la creșterea economică a României. Beneficiile neactualizate ale Master Planului ajung la o valoare totală de aproximativ 179 de miliarde de Euro, care echivalează cu aproximativ 2% din PIB-ul României în perioada 2020 -2050.</w:t>
      </w:r>
    </w:p>
    <w:p w:rsidR="002B762C" w:rsidRPr="00BF454A" w:rsidRDefault="002B762C" w:rsidP="002B7E09">
      <w:pPr>
        <w:pStyle w:val="NumberedParas"/>
        <w:rPr>
          <w:b/>
        </w:rPr>
      </w:pPr>
      <w:r w:rsidRPr="00BF454A">
        <w:t>Cele două scenarii au fost de asemenea comparate folosind criterii mai cuprinzătoare, care au inclus aspecte de mediu (impactul fizic), aspecte ale politicilor de transport TEN-T și accesibilitate.</w:t>
      </w:r>
    </w:p>
    <w:p w:rsidR="002B762C" w:rsidRPr="00BF454A" w:rsidRDefault="002B762C" w:rsidP="002B762C">
      <w:pPr>
        <w:pStyle w:val="Body"/>
        <w:spacing w:before="120" w:after="120"/>
        <w:ind w:left="851"/>
        <w:rPr>
          <w:lang w:val="ro-RO"/>
        </w:rPr>
      </w:pPr>
      <w:r w:rsidRPr="008822F3">
        <w:rPr>
          <w:b/>
          <w:i w:val="0"/>
          <w:lang w:val="ro-RO"/>
        </w:rPr>
        <w:t xml:space="preserve">Tabelul </w:t>
      </w:r>
      <w:r>
        <w:rPr>
          <w:b/>
          <w:i w:val="0"/>
          <w:lang w:val="ro-RO"/>
        </w:rPr>
        <w:t>10</w:t>
      </w:r>
      <w:r w:rsidRPr="008822F3">
        <w:rPr>
          <w:b/>
          <w:i w:val="0"/>
          <w:lang w:val="ro-RO"/>
        </w:rPr>
        <w:t>.1</w:t>
      </w:r>
      <w:r>
        <w:rPr>
          <w:b/>
          <w:i w:val="0"/>
          <w:lang w:val="ro-RO"/>
        </w:rPr>
        <w:t>7</w:t>
      </w:r>
      <w:r w:rsidRPr="008822F3">
        <w:rPr>
          <w:b/>
          <w:i w:val="0"/>
          <w:lang w:val="ro-RO"/>
        </w:rPr>
        <w:t xml:space="preserve">  Scenariile ES și EES: Tabelul de Evaluare a Strategiilor </w:t>
      </w:r>
    </w:p>
    <w:p w:rsidR="002B762C" w:rsidRPr="00BF454A" w:rsidRDefault="002B762C" w:rsidP="002B762C">
      <w:pPr>
        <w:pStyle w:val="Body"/>
        <w:ind w:left="851"/>
        <w:rPr>
          <w:sz w:val="18"/>
          <w:szCs w:val="18"/>
          <w:lang w:val="ro-RO"/>
        </w:rPr>
      </w:pPr>
      <w:r w:rsidRPr="0019327C">
        <w:rPr>
          <w:noProof/>
          <w:lang w:val="ro-RO" w:eastAsia="ro-RO"/>
        </w:rPr>
        <w:drawing>
          <wp:inline distT="0" distB="0" distL="0" distR="0">
            <wp:extent cx="5580993" cy="624489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591315" cy="6256448"/>
                    </a:xfrm>
                    <a:prstGeom prst="rect">
                      <a:avLst/>
                    </a:prstGeom>
                    <a:noFill/>
                    <a:ln>
                      <a:noFill/>
                    </a:ln>
                  </pic:spPr>
                </pic:pic>
              </a:graphicData>
            </a:graphic>
          </wp:inline>
        </w:drawing>
      </w:r>
    </w:p>
    <w:p w:rsidR="002B762C" w:rsidRDefault="002B762C" w:rsidP="002B7E09">
      <w:pPr>
        <w:pStyle w:val="NumberedParas"/>
        <w:numPr>
          <w:ilvl w:val="0"/>
          <w:numId w:val="0"/>
        </w:numPr>
        <w:ind w:left="851"/>
      </w:pPr>
      <w:r w:rsidRPr="00BF454A">
        <w:t>Concluzia este că scenariul de sustenabilitate economică și de mediu a obținut rezultate mai bune și că această strategie ar trebui să reprezinte planul pe termen lung al României.</w:t>
      </w:r>
    </w:p>
    <w:p w:rsidR="002B762C" w:rsidRPr="00BF454A" w:rsidRDefault="002B762C" w:rsidP="002B762C">
      <w:pPr>
        <w:rPr>
          <w:lang w:val="ro-RO"/>
        </w:rPr>
      </w:pPr>
    </w:p>
    <w:p w:rsidR="002B762C" w:rsidRPr="00BF454A" w:rsidRDefault="002B762C" w:rsidP="002B762C">
      <w:pPr>
        <w:pStyle w:val="Hdg2"/>
        <w:tabs>
          <w:tab w:val="clear" w:pos="2280"/>
          <w:tab w:val="num" w:pos="1288"/>
        </w:tabs>
      </w:pPr>
      <w:bookmarkStart w:id="641" w:name="_Toc411956614"/>
      <w:bookmarkStart w:id="642" w:name="_Toc413060361"/>
      <w:r w:rsidRPr="00BF454A">
        <w:t>Analiza finanțării</w:t>
      </w:r>
      <w:bookmarkEnd w:id="641"/>
      <w:bookmarkEnd w:id="642"/>
    </w:p>
    <w:p w:rsidR="002B762C" w:rsidRPr="00BF454A" w:rsidRDefault="002B762C" w:rsidP="002B7E09">
      <w:pPr>
        <w:pStyle w:val="NumberedParas"/>
      </w:pPr>
      <w:r w:rsidRPr="00BF454A">
        <w:t xml:space="preserve">În vreme ce procesul de analiză a problemelor, identificare a obiectivelor și definire a intervențiilor precum și etapele ulterioare de testare și evaluare a proiectelor oferă o </w:t>
      </w:r>
      <w:r>
        <w:t>ierarhizare</w:t>
      </w:r>
      <w:r w:rsidRPr="00BF454A">
        <w:t xml:space="preserve"> a acestor proiecte în funcție de performanța acestora, acest proces nu generează, în schimb, fonduri necesare implementării proiectelor. Este responsabilitatea Guvernului de a aloca fonduri diverselor sectoare pentru care este responsabil și este responsabilitatea Ministerelor de resort, printre care Ministerul Transporturilor de a aloca aceste fonduri în mod corespunzător. Prin urmare, unul dintre rolurile Master Planului va fi acela de a asigura alocarea adecvată a fondurilor disponibile, către acele proiecte care oferă beneficiile maxim posibile.</w:t>
      </w:r>
    </w:p>
    <w:p w:rsidR="002B762C" w:rsidRPr="00BF454A" w:rsidRDefault="002B762C" w:rsidP="002B7E09">
      <w:pPr>
        <w:pStyle w:val="NumberedParas"/>
      </w:pPr>
      <w:r w:rsidRPr="00BF454A">
        <w:t xml:space="preserve">Planul financiar se bazează pe ipoteza în care un anumit procent din PIB este alocat întreținerii și investițiilor de capital. Se cunoaște faptul că vor exista și alte cheltuieli guvernamentale ce vor fi alocate altor categorii, dar acestea vor fi, </w:t>
      </w:r>
      <w:r>
        <w:t>în</w:t>
      </w:r>
      <w:r w:rsidRPr="00BF454A">
        <w:t xml:space="preserve"> principiu, regulile jocului după care proiectele din Master Plan vor fi implementate. Aceste două elemente formează mare parte din fondurile alocate de către Guvern.</w:t>
      </w:r>
    </w:p>
    <w:p w:rsidR="002B762C" w:rsidRPr="00BF454A" w:rsidRDefault="002B762C" w:rsidP="002B7E09">
      <w:pPr>
        <w:pStyle w:val="NumberedParas"/>
      </w:pPr>
      <w:r w:rsidRPr="00BF454A">
        <w:t>Și așa-numitele măsuri “soft” vor necesita o anumită finanțare pentru a fi implementate, dar costurile asociate acestora sunt, în general, mici iar aceste măsuri se vor putea auto-finanța, în orice caz.</w:t>
      </w:r>
    </w:p>
    <w:p w:rsidR="002B762C" w:rsidRPr="00BF454A" w:rsidRDefault="002B762C" w:rsidP="002B7E09">
      <w:pPr>
        <w:pStyle w:val="NumberedParas"/>
      </w:pPr>
      <w:r w:rsidRPr="00BF454A">
        <w:t>Pentru a putea diminua incertitudinile legate de finanțarea pe termen lung a listei de proiecte din Master Plan, este necesar un angajament guvernamental cu privire la alocarea unui anumit procent din PIB pentru sectorul de transport, acțiune văzută de către Comisia Europeană ca o condiționalitate ex-ante pentru aprobarea Master Planului și, mai departe, a Programului Operațional Infrastructură mare (POIM) pentru perioada 2014-2020.</w:t>
      </w:r>
    </w:p>
    <w:p w:rsidR="002B762C" w:rsidRPr="00BF454A" w:rsidRDefault="002B762C" w:rsidP="002B7E09">
      <w:pPr>
        <w:pStyle w:val="NumberedParas"/>
      </w:pPr>
      <w:r w:rsidRPr="00BF454A">
        <w:t>Ca o măsură imediată față de această cerință, Guvernul României a emis o decizie în Decembrie 2013 cu privire la alocarea a 2% din PIB pentru finanțarea sectorului de transport.</w:t>
      </w:r>
      <w:r w:rsidRPr="00BF454A">
        <w:rPr>
          <w:vertAlign w:val="superscript"/>
        </w:rPr>
        <w:footnoteReference w:id="45"/>
      </w:r>
      <w:r w:rsidRPr="00BF454A">
        <w:t>. Se specifică în mod clar că acest buget va fi alocat doar pentru investiții și întreținere a infrastructurii de transport, pentru toate modurile.</w:t>
      </w:r>
    </w:p>
    <w:p w:rsidR="002B762C" w:rsidRPr="00BF454A" w:rsidRDefault="002B762C" w:rsidP="002B7E09">
      <w:pPr>
        <w:pStyle w:val="NumberedParas"/>
      </w:pPr>
      <w:r w:rsidRPr="00BF454A">
        <w:t>În plus față de aceste condiționalități, Comisia Europeană a precizat că Master Planul trebuie să fie dezvoltat pe baza unei abordări ier</w:t>
      </w:r>
      <w:r>
        <w:t>arhi</w:t>
      </w:r>
      <w:r w:rsidRPr="00BF454A">
        <w:t>ce, prin care alocări finantare pentru finanțarea elementelor de bază cum ar fi întreținerea să fie asigurate cu prioritate. Fondurile rămase (după ce aceste angajamente prioritare au fost asigurate) vor fi utilizate pentru investiții. Urmărind aceste cerințe, AECOM a dezvoltat un plan financiar care determină finanțarea disponibilă pentru proiectele incluse în Master Plan ce vor fi implementate până la momentele 2020 și 2030. Ipotezele de bază și metodologia considerate la elaborarea acestei analize sunt descrise în continuare.</w:t>
      </w:r>
    </w:p>
    <w:p w:rsidR="002B762C" w:rsidRPr="00BF454A" w:rsidRDefault="002B762C" w:rsidP="002B7E09">
      <w:pPr>
        <w:pStyle w:val="NumberedParas"/>
      </w:pPr>
      <w:r w:rsidRPr="00BF454A">
        <w:t>Unul dintre aspectele prioritare ale ipotezelor cu privire la planul financiar din Master Plan a fost acela că fondurile europene (Fondul de Coeziune, Fondul European de Dezvoltare Regională și fondurile asociate CEF) sunt incluse în alocarea de 2% din PIB. Acest lucru înseamnă că există o corelație directă între contribuția națională necesară susținerii proiectelor finanțate din fonduri europene și bugetele rămase disponibile.</w:t>
      </w:r>
    </w:p>
    <w:p w:rsidR="002B762C" w:rsidRPr="00BF454A" w:rsidRDefault="002B762C" w:rsidP="002B7E09">
      <w:pPr>
        <w:pStyle w:val="NumberedParas"/>
        <w:rPr>
          <w:rFonts w:cs="Arial"/>
          <w:b/>
        </w:rPr>
      </w:pPr>
      <w:r w:rsidRPr="00BF454A">
        <w:t xml:space="preserve">Urmând această metodologie și pe baza estimărilor cheltuielilor în avans ce trebuie angajate (în special cu întreținerea, reparațiile capitale și reabilitarea rețelelor rutiere și feroviare) se obțin bugetele totale disponibile pentru investiții în sectorul de transport, pe moduri, pentru orizonturile 2020 și 2030. Tabelul </w:t>
      </w:r>
      <w:r>
        <w:t>10</w:t>
      </w:r>
      <w:r w:rsidRPr="00BF454A">
        <w:t>.1</w:t>
      </w:r>
      <w:r>
        <w:t>8</w:t>
      </w:r>
      <w:r w:rsidRPr="00BF454A">
        <w:t xml:space="preserve"> prezintă cei mai importanți indicatori din cadrul planului financiar.</w:t>
      </w:r>
    </w:p>
    <w:p w:rsidR="002B762C" w:rsidRPr="00BF454A" w:rsidRDefault="002B762C" w:rsidP="002B762C">
      <w:pPr>
        <w:rPr>
          <w:rFonts w:cs="Arial"/>
          <w:b/>
          <w:sz w:val="22"/>
          <w:lang w:val="ro-RO"/>
        </w:rPr>
      </w:pPr>
      <w:r w:rsidRPr="00BF454A">
        <w:rPr>
          <w:rFonts w:cs="Arial"/>
          <w:b/>
          <w:sz w:val="22"/>
          <w:lang w:val="ro-RO"/>
        </w:rPr>
        <w:t xml:space="preserve">Tabelul </w:t>
      </w:r>
      <w:r>
        <w:rPr>
          <w:rFonts w:cs="Arial"/>
          <w:b/>
          <w:sz w:val="22"/>
          <w:lang w:val="ro-RO"/>
        </w:rPr>
        <w:t>10</w:t>
      </w:r>
      <w:r w:rsidRPr="00BF454A">
        <w:rPr>
          <w:rFonts w:cs="Arial"/>
          <w:b/>
          <w:sz w:val="22"/>
          <w:lang w:val="ro-RO"/>
        </w:rPr>
        <w:t>.1</w:t>
      </w:r>
      <w:r>
        <w:rPr>
          <w:rFonts w:cs="Arial"/>
          <w:b/>
          <w:sz w:val="22"/>
          <w:lang w:val="ro-RO"/>
        </w:rPr>
        <w:t>8</w:t>
      </w:r>
      <w:r w:rsidRPr="00BF454A">
        <w:rPr>
          <w:rFonts w:cs="Arial"/>
          <w:b/>
          <w:sz w:val="22"/>
          <w:lang w:val="ro-RO"/>
        </w:rPr>
        <w:t xml:space="preserve"> Distribuția alocărilor financiare pentru transport în perioadele 2014-2020 și 2021-2030 (milioane euro, prețuri fixe 2014)</w:t>
      </w:r>
    </w:p>
    <w:tbl>
      <w:tblPr>
        <w:tblW w:w="0" w:type="auto"/>
        <w:tblLook w:val="04A0" w:firstRow="1" w:lastRow="0" w:firstColumn="1" w:lastColumn="0" w:noHBand="0" w:noVBand="1"/>
      </w:tblPr>
      <w:tblGrid>
        <w:gridCol w:w="2943"/>
        <w:gridCol w:w="709"/>
        <w:gridCol w:w="1203"/>
        <w:gridCol w:w="272"/>
        <w:gridCol w:w="828"/>
        <w:gridCol w:w="784"/>
        <w:gridCol w:w="272"/>
        <w:gridCol w:w="828"/>
        <w:gridCol w:w="784"/>
        <w:gridCol w:w="272"/>
        <w:gridCol w:w="828"/>
        <w:gridCol w:w="784"/>
      </w:tblGrid>
      <w:tr w:rsidR="002B762C" w:rsidRPr="00BF454A" w:rsidTr="0030066D">
        <w:trPr>
          <w:trHeight w:val="600"/>
        </w:trPr>
        <w:tc>
          <w:tcPr>
            <w:tcW w:w="2943" w:type="dxa"/>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709" w:type="dxa"/>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1203" w:type="dxa"/>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2014-2020</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2021-2030</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rsidR="002B762C" w:rsidRPr="00BF454A" w:rsidRDefault="002B762C" w:rsidP="0030066D">
            <w:pPr>
              <w:jc w:val="center"/>
              <w:rPr>
                <w:rFonts w:cs="Arial"/>
                <w:b/>
                <w:bCs/>
                <w:sz w:val="20"/>
                <w:szCs w:val="20"/>
                <w:lang w:val="ro-RO"/>
              </w:rPr>
            </w:pPr>
            <w:r w:rsidRPr="00BF454A">
              <w:rPr>
                <w:rFonts w:cs="Arial"/>
                <w:b/>
                <w:bCs/>
                <w:sz w:val="20"/>
                <w:szCs w:val="20"/>
                <w:lang w:val="ro-RO"/>
              </w:rPr>
              <w:t>2014-2030</w:t>
            </w:r>
          </w:p>
        </w:tc>
      </w:tr>
      <w:tr w:rsidR="002B762C" w:rsidRPr="00BF454A" w:rsidTr="0030066D">
        <w:trPr>
          <w:trHeight w:val="600"/>
        </w:trPr>
        <w:tc>
          <w:tcPr>
            <w:tcW w:w="294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2% din PIB disponibil pentru sectorul de transport</w:t>
            </w:r>
          </w:p>
        </w:tc>
        <w:tc>
          <w:tcPr>
            <w:tcW w:w="709" w:type="dxa"/>
            <w:tcBorders>
              <w:top w:val="single" w:sz="8" w:space="0" w:color="auto"/>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A</w:t>
            </w:r>
          </w:p>
        </w:tc>
        <w:tc>
          <w:tcPr>
            <w:tcW w:w="1203" w:type="dxa"/>
            <w:tcBorders>
              <w:top w:val="single" w:sz="8" w:space="0" w:color="auto"/>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22,599</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43,216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65,815</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Întreținere și reparații capitale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B1</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7,260</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32.1%</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20,650</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47.8%</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27,910</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42.4%</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Reabilitarea rețelei rutiere viabile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B2</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4,578</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20.3%</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0.0%</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4,578</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7.0%</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Fonduri publice disponibile pentru investiții, inclusiv contribuția EU și cea națională, din care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C</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=A-B1-B2</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10,761</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47.6%</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22,566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52.2%</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33,327</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50.6%</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Contribuția UE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C1</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6,332</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9,046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15,379</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Contribuția națională</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C2</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1,923</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2,747</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4,669</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Indicator de sustenabilitate/Fonduri naționale nete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D</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=C-C1-C2</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2,506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10,773</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13,279</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Proiecte fazate și Metroul București</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E</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1,911</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3,200</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5,111</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Disponibil pentru proiecte MPGT (total inclusiv fonduri UE și naționale)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F</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=C-E</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8,850</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39.2%</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19,366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44.8%</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28,216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42.9%</w:t>
            </w:r>
          </w:p>
        </w:tc>
      </w:tr>
      <w:tr w:rsidR="002B762C" w:rsidRPr="00BF454A" w:rsidTr="0030066D">
        <w:trPr>
          <w:trHeight w:val="600"/>
        </w:trPr>
        <w:tc>
          <w:tcPr>
            <w:tcW w:w="2943" w:type="dxa"/>
            <w:tcBorders>
              <w:top w:val="nil"/>
              <w:left w:val="single" w:sz="8" w:space="0" w:color="auto"/>
              <w:bottom w:val="single" w:sz="8"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 xml:space="preserve">+ 30% Overcommitment </w:t>
            </w:r>
          </w:p>
        </w:tc>
        <w:tc>
          <w:tcPr>
            <w:tcW w:w="709" w:type="dxa"/>
            <w:tcBorders>
              <w:top w:val="nil"/>
              <w:left w:val="nil"/>
              <w:bottom w:val="single" w:sz="8"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G</w:t>
            </w:r>
          </w:p>
        </w:tc>
        <w:tc>
          <w:tcPr>
            <w:tcW w:w="1203" w:type="dxa"/>
            <w:tcBorders>
              <w:top w:val="nil"/>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=F*1.3</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11,505</w:t>
            </w:r>
          </w:p>
        </w:tc>
        <w:tc>
          <w:tcPr>
            <w:tcW w:w="0" w:type="auto"/>
            <w:tcBorders>
              <w:top w:val="nil"/>
              <w:left w:val="nil"/>
              <w:bottom w:val="single" w:sz="8"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25,176</w:t>
            </w:r>
          </w:p>
        </w:tc>
        <w:tc>
          <w:tcPr>
            <w:tcW w:w="0" w:type="auto"/>
            <w:tcBorders>
              <w:top w:val="nil"/>
              <w:left w:val="nil"/>
              <w:bottom w:val="single" w:sz="8"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36,680</w:t>
            </w:r>
          </w:p>
        </w:tc>
        <w:tc>
          <w:tcPr>
            <w:tcW w:w="0" w:type="auto"/>
            <w:tcBorders>
              <w:top w:val="nil"/>
              <w:left w:val="nil"/>
              <w:bottom w:val="single" w:sz="8"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r>
      <w:tr w:rsidR="002B762C" w:rsidRPr="00BF454A" w:rsidTr="0030066D">
        <w:trPr>
          <w:trHeight w:val="199"/>
        </w:trPr>
        <w:tc>
          <w:tcPr>
            <w:tcW w:w="2943" w:type="dxa"/>
            <w:tcBorders>
              <w:top w:val="nil"/>
              <w:left w:val="nil"/>
              <w:bottom w:val="nil"/>
              <w:right w:val="nil"/>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 </w:t>
            </w:r>
          </w:p>
        </w:tc>
        <w:tc>
          <w:tcPr>
            <w:tcW w:w="709" w:type="dxa"/>
            <w:tcBorders>
              <w:top w:val="nil"/>
              <w:left w:val="nil"/>
              <w:bottom w:val="nil"/>
              <w:right w:val="nil"/>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1203" w:type="dxa"/>
            <w:tcBorders>
              <w:top w:val="nil"/>
              <w:left w:val="nil"/>
              <w:bottom w:val="nil"/>
              <w:right w:val="nil"/>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 </w:t>
            </w:r>
          </w:p>
        </w:tc>
      </w:tr>
      <w:tr w:rsidR="002B762C" w:rsidRPr="00BF454A" w:rsidTr="0030066D">
        <w:trPr>
          <w:trHeight w:val="600"/>
        </w:trPr>
        <w:tc>
          <w:tcPr>
            <w:tcW w:w="2943"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Rutier</w:t>
            </w:r>
          </w:p>
        </w:tc>
        <w:tc>
          <w:tcPr>
            <w:tcW w:w="709" w:type="dxa"/>
            <w:tcBorders>
              <w:top w:val="single" w:sz="8" w:space="0" w:color="auto"/>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1203" w:type="dxa"/>
            <w:tcBorders>
              <w:top w:val="single" w:sz="8" w:space="0" w:color="auto"/>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5,867</w:t>
            </w:r>
          </w:p>
        </w:tc>
        <w:tc>
          <w:tcPr>
            <w:tcW w:w="0" w:type="auto"/>
            <w:tcBorders>
              <w:top w:val="single" w:sz="8" w:space="0" w:color="auto"/>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i/>
                <w:iCs/>
                <w:color w:val="000000"/>
                <w:sz w:val="20"/>
                <w:szCs w:val="20"/>
                <w:lang w:val="ro-RO"/>
              </w:rPr>
            </w:pPr>
            <w:r w:rsidRPr="00BF454A">
              <w:rPr>
                <w:rFonts w:cs="Arial"/>
                <w:b/>
                <w:bCs/>
                <w:i/>
                <w:iCs/>
                <w:color w:val="000000"/>
                <w:sz w:val="20"/>
                <w:szCs w:val="20"/>
                <w:lang w:val="ro-RO"/>
              </w:rPr>
              <w:t>51%</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12,840</w:t>
            </w:r>
          </w:p>
        </w:tc>
        <w:tc>
          <w:tcPr>
            <w:tcW w:w="0" w:type="auto"/>
            <w:tcBorders>
              <w:top w:val="single" w:sz="8" w:space="0" w:color="auto"/>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i/>
                <w:iCs/>
                <w:color w:val="000000"/>
                <w:sz w:val="20"/>
                <w:szCs w:val="20"/>
                <w:lang w:val="ro-RO"/>
              </w:rPr>
            </w:pPr>
            <w:r w:rsidRPr="00BF454A">
              <w:rPr>
                <w:rFonts w:cs="Arial"/>
                <w:b/>
                <w:bCs/>
                <w:i/>
                <w:iCs/>
                <w:color w:val="000000"/>
                <w:sz w:val="20"/>
                <w:szCs w:val="20"/>
                <w:lang w:val="ro-RO"/>
              </w:rPr>
              <w:t>51%</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18,707</w:t>
            </w:r>
          </w:p>
        </w:tc>
        <w:tc>
          <w:tcPr>
            <w:tcW w:w="0" w:type="auto"/>
            <w:tcBorders>
              <w:top w:val="single" w:sz="8" w:space="0" w:color="auto"/>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i/>
                <w:iCs/>
                <w:color w:val="000000"/>
                <w:sz w:val="20"/>
                <w:szCs w:val="20"/>
                <w:lang w:val="ro-RO"/>
              </w:rPr>
            </w:pPr>
            <w:r w:rsidRPr="00BF454A">
              <w:rPr>
                <w:rFonts w:cs="Arial"/>
                <w:b/>
                <w:bCs/>
                <w:i/>
                <w:iCs/>
                <w:color w:val="000000"/>
                <w:sz w:val="20"/>
                <w:szCs w:val="20"/>
                <w:lang w:val="ro-RO"/>
              </w:rPr>
              <w:t>51%</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Feroviar</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5,062</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i/>
                <w:iCs/>
                <w:color w:val="000000"/>
                <w:sz w:val="20"/>
                <w:szCs w:val="20"/>
                <w:lang w:val="ro-RO"/>
              </w:rPr>
            </w:pPr>
            <w:r w:rsidRPr="00BF454A">
              <w:rPr>
                <w:rFonts w:cs="Arial"/>
                <w:b/>
                <w:bCs/>
                <w:i/>
                <w:iCs/>
                <w:color w:val="000000"/>
                <w:sz w:val="20"/>
                <w:szCs w:val="20"/>
                <w:lang w:val="ro-RO"/>
              </w:rPr>
              <w:t>44%</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11,077</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i/>
                <w:iCs/>
                <w:color w:val="000000"/>
                <w:sz w:val="20"/>
                <w:szCs w:val="20"/>
                <w:lang w:val="ro-RO"/>
              </w:rPr>
            </w:pPr>
            <w:r w:rsidRPr="00BF454A">
              <w:rPr>
                <w:rFonts w:cs="Arial"/>
                <w:b/>
                <w:bCs/>
                <w:i/>
                <w:iCs/>
                <w:color w:val="000000"/>
                <w:sz w:val="20"/>
                <w:szCs w:val="20"/>
                <w:lang w:val="ro-RO"/>
              </w:rPr>
              <w:t>44%</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16,139</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b/>
                <w:bCs/>
                <w:i/>
                <w:iCs/>
                <w:color w:val="000000"/>
                <w:sz w:val="20"/>
                <w:szCs w:val="20"/>
                <w:lang w:val="ro-RO"/>
              </w:rPr>
            </w:pPr>
            <w:r w:rsidRPr="00BF454A">
              <w:rPr>
                <w:rFonts w:cs="Arial"/>
                <w:b/>
                <w:bCs/>
                <w:i/>
                <w:iCs/>
                <w:color w:val="000000"/>
                <w:sz w:val="20"/>
                <w:szCs w:val="20"/>
                <w:lang w:val="ro-RO"/>
              </w:rPr>
              <w:t>44%</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Porturi, căi navigabile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324</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56%</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732</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66%</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1,056</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58%</w:t>
            </w:r>
          </w:p>
        </w:tc>
      </w:tr>
      <w:tr w:rsidR="002B762C" w:rsidRPr="00BF454A" w:rsidTr="0030066D">
        <w:trPr>
          <w:trHeight w:val="600"/>
        </w:trPr>
        <w:tc>
          <w:tcPr>
            <w:tcW w:w="2943" w:type="dxa"/>
            <w:tcBorders>
              <w:top w:val="nil"/>
              <w:left w:val="single" w:sz="8" w:space="0" w:color="auto"/>
              <w:bottom w:val="single" w:sz="4"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Aviație</w:t>
            </w:r>
          </w:p>
        </w:tc>
        <w:tc>
          <w:tcPr>
            <w:tcW w:w="709" w:type="dxa"/>
            <w:tcBorders>
              <w:top w:val="nil"/>
              <w:left w:val="nil"/>
              <w:bottom w:val="single" w:sz="4"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1203" w:type="dxa"/>
            <w:tcBorders>
              <w:top w:val="nil"/>
              <w:left w:val="nil"/>
              <w:bottom w:val="single" w:sz="4"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188</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33%</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357</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28%</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545</w:t>
            </w:r>
          </w:p>
        </w:tc>
        <w:tc>
          <w:tcPr>
            <w:tcW w:w="0" w:type="auto"/>
            <w:tcBorders>
              <w:top w:val="nil"/>
              <w:left w:val="nil"/>
              <w:bottom w:val="single" w:sz="4"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30%</w:t>
            </w:r>
          </w:p>
        </w:tc>
      </w:tr>
      <w:tr w:rsidR="002B762C" w:rsidRPr="00BF454A" w:rsidTr="0030066D">
        <w:trPr>
          <w:trHeight w:val="600"/>
        </w:trPr>
        <w:tc>
          <w:tcPr>
            <w:tcW w:w="2943" w:type="dxa"/>
            <w:tcBorders>
              <w:top w:val="nil"/>
              <w:left w:val="single" w:sz="8" w:space="0" w:color="auto"/>
              <w:bottom w:val="single" w:sz="8" w:space="0" w:color="auto"/>
              <w:right w:val="single" w:sz="4" w:space="0" w:color="auto"/>
            </w:tcBorders>
            <w:shd w:val="clear" w:color="000000" w:fill="FFFFFF"/>
            <w:vAlign w:val="center"/>
            <w:hideMark/>
          </w:tcPr>
          <w:p w:rsidR="002B762C" w:rsidRPr="00BF454A" w:rsidRDefault="002B762C" w:rsidP="0030066D">
            <w:pPr>
              <w:rPr>
                <w:rFonts w:cs="Arial"/>
                <w:b/>
                <w:bCs/>
                <w:color w:val="000000"/>
                <w:sz w:val="20"/>
                <w:szCs w:val="20"/>
                <w:lang w:val="ro-RO"/>
              </w:rPr>
            </w:pPr>
            <w:r w:rsidRPr="00BF454A">
              <w:rPr>
                <w:rFonts w:cs="Arial"/>
                <w:b/>
                <w:bCs/>
                <w:color w:val="000000"/>
                <w:sz w:val="20"/>
                <w:szCs w:val="20"/>
                <w:lang w:val="ro-RO"/>
              </w:rPr>
              <w:t>Intermodal</w:t>
            </w:r>
          </w:p>
        </w:tc>
        <w:tc>
          <w:tcPr>
            <w:tcW w:w="709" w:type="dxa"/>
            <w:tcBorders>
              <w:top w:val="nil"/>
              <w:left w:val="nil"/>
              <w:bottom w:val="single" w:sz="8" w:space="0" w:color="auto"/>
              <w:right w:val="single" w:sz="4"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1203" w:type="dxa"/>
            <w:tcBorders>
              <w:top w:val="nil"/>
              <w:left w:val="nil"/>
              <w:bottom w:val="single" w:sz="8" w:space="0" w:color="auto"/>
              <w:right w:val="single" w:sz="8" w:space="0" w:color="auto"/>
            </w:tcBorders>
            <w:shd w:val="clear" w:color="000000" w:fill="FFFFFF"/>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 </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63</w:t>
            </w:r>
          </w:p>
        </w:tc>
        <w:tc>
          <w:tcPr>
            <w:tcW w:w="0" w:type="auto"/>
            <w:tcBorders>
              <w:top w:val="nil"/>
              <w:left w:val="nil"/>
              <w:bottom w:val="single" w:sz="8"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11%</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170</w:t>
            </w:r>
          </w:p>
        </w:tc>
        <w:tc>
          <w:tcPr>
            <w:tcW w:w="0" w:type="auto"/>
            <w:tcBorders>
              <w:top w:val="nil"/>
              <w:left w:val="nil"/>
              <w:bottom w:val="single" w:sz="8"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14%</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rPr>
                <w:rFonts w:cs="Arial"/>
                <w:color w:val="000000"/>
                <w:sz w:val="20"/>
                <w:szCs w:val="20"/>
                <w:lang w:val="ro-RO"/>
              </w:rPr>
            </w:pPr>
            <w:r w:rsidRPr="00BF454A">
              <w:rPr>
                <w:rFonts w:cs="Arial"/>
                <w:color w:val="000000"/>
                <w:sz w:val="20"/>
                <w:szCs w:val="20"/>
                <w:lang w:val="ro-RO"/>
              </w:rPr>
              <w:t> </w:t>
            </w:r>
          </w:p>
        </w:tc>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0"/>
                <w:szCs w:val="20"/>
                <w:lang w:val="ro-RO"/>
              </w:rPr>
            </w:pPr>
            <w:r w:rsidRPr="00BF454A">
              <w:rPr>
                <w:rFonts w:cs="Arial"/>
                <w:b/>
                <w:bCs/>
                <w:color w:val="000000"/>
                <w:sz w:val="20"/>
                <w:szCs w:val="20"/>
                <w:lang w:val="ro-RO"/>
              </w:rPr>
              <w:t>233</w:t>
            </w:r>
          </w:p>
        </w:tc>
        <w:tc>
          <w:tcPr>
            <w:tcW w:w="0" w:type="auto"/>
            <w:tcBorders>
              <w:top w:val="nil"/>
              <w:left w:val="nil"/>
              <w:bottom w:val="single" w:sz="8" w:space="0" w:color="auto"/>
              <w:right w:val="single" w:sz="8" w:space="0" w:color="auto"/>
            </w:tcBorders>
            <w:shd w:val="clear" w:color="000000" w:fill="FFFFFF"/>
            <w:noWrap/>
            <w:vAlign w:val="center"/>
            <w:hideMark/>
          </w:tcPr>
          <w:p w:rsidR="002B762C" w:rsidRPr="00BF454A" w:rsidRDefault="002B762C" w:rsidP="0030066D">
            <w:pPr>
              <w:jc w:val="center"/>
              <w:rPr>
                <w:rFonts w:cs="Arial"/>
                <w:color w:val="000000"/>
                <w:sz w:val="20"/>
                <w:szCs w:val="20"/>
                <w:lang w:val="ro-RO"/>
              </w:rPr>
            </w:pPr>
            <w:r w:rsidRPr="00BF454A">
              <w:rPr>
                <w:rFonts w:cs="Arial"/>
                <w:color w:val="000000"/>
                <w:sz w:val="20"/>
                <w:szCs w:val="20"/>
                <w:lang w:val="ro-RO"/>
              </w:rPr>
              <w:t>13%</w:t>
            </w:r>
          </w:p>
        </w:tc>
      </w:tr>
    </w:tbl>
    <w:p w:rsidR="002B762C" w:rsidRPr="00BF454A" w:rsidRDefault="002B762C" w:rsidP="002B762C">
      <w:pPr>
        <w:rPr>
          <w:i/>
          <w:lang w:val="ro-RO"/>
        </w:rPr>
      </w:pPr>
      <w:r w:rsidRPr="00BF454A">
        <w:rPr>
          <w:i/>
          <w:lang w:val="ro-RO"/>
        </w:rPr>
        <w:t>Sursa: Plan financiar GTMP</w:t>
      </w:r>
    </w:p>
    <w:p w:rsidR="002B762C" w:rsidRPr="00BF454A" w:rsidRDefault="002B762C" w:rsidP="002B7E09">
      <w:pPr>
        <w:pStyle w:val="NumberedParas"/>
      </w:pPr>
      <w:r w:rsidRPr="00BF454A">
        <w:t>Unul dintre cei mai importanți indicatori din cadrul planului financiar este linia D, Indicatorul de Sustenabilitate. Acesta arată fondurile naționale disponibile după deducerea pre-alocărilor cu întreținerea, reparațiile capitale și reabilitările și după eliminarea fondurilor europene și a co-finanțării naționale necesare pentru promovarea proiectelor finanțate din fonduri europene. Acestea reprezintă fondurile naționale nete disponibile pentru susținerea proiectelor care sunt o prioritate pe termen scurt (2020) dar care:</w:t>
      </w:r>
    </w:p>
    <w:p w:rsidR="002B762C" w:rsidRPr="00BF454A" w:rsidRDefault="002B762C" w:rsidP="00573AD5">
      <w:pPr>
        <w:pStyle w:val="BulletLevel1"/>
        <w:numPr>
          <w:ilvl w:val="0"/>
          <w:numId w:val="66"/>
        </w:numPr>
        <w:spacing w:after="60"/>
      </w:pPr>
      <w:r w:rsidRPr="00BF454A">
        <w:t>nu sunt eligibile pentru finanțare UE; sau</w:t>
      </w:r>
    </w:p>
    <w:p w:rsidR="002B762C" w:rsidRPr="00BF454A" w:rsidRDefault="002B762C" w:rsidP="00573AD5">
      <w:pPr>
        <w:pStyle w:val="BulletLevel1"/>
        <w:numPr>
          <w:ilvl w:val="0"/>
          <w:numId w:val="66"/>
        </w:numPr>
        <w:spacing w:after="60"/>
      </w:pPr>
      <w:r w:rsidRPr="00BF454A">
        <w:t>sunt eligibile pentru finanțare europeană dar, datorită constrângerilor bugetare sau a depășirilor de buget nu pot fi promovate pe termen scurt exclusiv din fonduri europene.</w:t>
      </w:r>
    </w:p>
    <w:p w:rsidR="002B762C" w:rsidRPr="00BF454A" w:rsidRDefault="002B762C" w:rsidP="002B7E09">
      <w:pPr>
        <w:pStyle w:val="NumberedParas"/>
      </w:pPr>
      <w:r w:rsidRPr="00BF454A">
        <w:t>Bugetul total disponibil pentru promovarea proiectelor din Master Planul la nivelul anilor 2020 și 2030 include două surse de finanțare principale:</w:t>
      </w:r>
    </w:p>
    <w:p w:rsidR="002B762C" w:rsidRPr="00BF454A" w:rsidRDefault="002B762C" w:rsidP="00573AD5">
      <w:pPr>
        <w:pStyle w:val="BulletLevel1"/>
        <w:numPr>
          <w:ilvl w:val="1"/>
          <w:numId w:val="65"/>
        </w:numPr>
        <w:spacing w:after="60"/>
        <w:ind w:left="1208" w:hanging="357"/>
      </w:pPr>
      <w:r w:rsidRPr="00BF454A">
        <w:t>Fonduri UE (FC, FEDR și CEF); și</w:t>
      </w:r>
    </w:p>
    <w:p w:rsidR="002B762C" w:rsidRPr="00BF454A" w:rsidRDefault="002B762C" w:rsidP="00573AD5">
      <w:pPr>
        <w:pStyle w:val="BulletLevel1"/>
        <w:numPr>
          <w:ilvl w:val="1"/>
          <w:numId w:val="65"/>
        </w:numPr>
        <w:spacing w:after="60"/>
        <w:ind w:left="1208" w:hanging="357"/>
      </w:pPr>
      <w:r w:rsidRPr="00BF454A">
        <w:t>Fonduri publice naționale pentru acoperirea co-finanțării și susținerea proiectelor finanțate doar din surse publice.</w:t>
      </w:r>
    </w:p>
    <w:p w:rsidR="002B762C" w:rsidRPr="00BF454A" w:rsidRDefault="002B762C" w:rsidP="002B7E09">
      <w:pPr>
        <w:pStyle w:val="NumberedParas"/>
      </w:pPr>
      <w:r w:rsidRPr="00BF454A">
        <w:t xml:space="preserve">Bugetele totale pe surse de finanțare sunt ilustrate în Tabelul </w:t>
      </w:r>
      <w:r>
        <w:t>10</w:t>
      </w:r>
      <w:r w:rsidRPr="00BF454A">
        <w:t>.</w:t>
      </w:r>
      <w:r>
        <w:t>19</w:t>
      </w:r>
      <w:r w:rsidRPr="00BF454A">
        <w:t>.</w:t>
      </w:r>
    </w:p>
    <w:p w:rsidR="002B762C" w:rsidRPr="00BF454A" w:rsidRDefault="002B762C" w:rsidP="002B762C">
      <w:pPr>
        <w:spacing w:before="120" w:after="120"/>
        <w:rPr>
          <w:b/>
          <w:sz w:val="22"/>
          <w:lang w:val="ro-RO"/>
        </w:rPr>
      </w:pPr>
      <w:r w:rsidRPr="00BF454A">
        <w:rPr>
          <w:b/>
          <w:sz w:val="22"/>
          <w:lang w:val="ro-RO"/>
        </w:rPr>
        <w:t xml:space="preserve">Tabelul </w:t>
      </w:r>
      <w:r>
        <w:rPr>
          <w:b/>
          <w:sz w:val="22"/>
          <w:lang w:val="ro-RO"/>
        </w:rPr>
        <w:t>10</w:t>
      </w:r>
      <w:r w:rsidRPr="00BF454A">
        <w:rPr>
          <w:b/>
          <w:sz w:val="22"/>
          <w:lang w:val="ro-RO"/>
        </w:rPr>
        <w:t>.</w:t>
      </w:r>
      <w:r>
        <w:rPr>
          <w:b/>
          <w:sz w:val="22"/>
          <w:lang w:val="ro-RO"/>
        </w:rPr>
        <w:t>19</w:t>
      </w:r>
      <w:r w:rsidRPr="00BF454A">
        <w:rPr>
          <w:b/>
          <w:sz w:val="22"/>
          <w:lang w:val="ro-RO"/>
        </w:rPr>
        <w:t xml:space="preserve"> Bugetele disponibile pentru finanțarea proiectelor din Master Plan detaliate pe surse de finanțare (mil euro, prețuri fixe 2014)</w:t>
      </w:r>
    </w:p>
    <w:tbl>
      <w:tblPr>
        <w:tblW w:w="0" w:type="auto"/>
        <w:tblLook w:val="04A0" w:firstRow="1" w:lastRow="0" w:firstColumn="1" w:lastColumn="0" w:noHBand="0" w:noVBand="1"/>
      </w:tblPr>
      <w:tblGrid>
        <w:gridCol w:w="7471"/>
        <w:gridCol w:w="1012"/>
        <w:gridCol w:w="1012"/>
        <w:gridCol w:w="1012"/>
      </w:tblGrid>
      <w:tr w:rsidR="002B762C" w:rsidRPr="00BF454A" w:rsidTr="0030066D">
        <w:trPr>
          <w:trHeight w:val="300"/>
        </w:trPr>
        <w:tc>
          <w:tcPr>
            <w:tcW w:w="0" w:type="auto"/>
            <w:tcBorders>
              <w:top w:val="single" w:sz="4" w:space="0" w:color="auto"/>
              <w:left w:val="single" w:sz="4" w:space="0" w:color="auto"/>
              <w:bottom w:val="nil"/>
              <w:right w:val="nil"/>
            </w:tcBorders>
            <w:shd w:val="clear" w:color="000000" w:fill="B8CCE4"/>
            <w:noWrap/>
            <w:vAlign w:val="center"/>
            <w:hideMark/>
          </w:tcPr>
          <w:p w:rsidR="002B762C" w:rsidRPr="00BF454A" w:rsidRDefault="002B762C" w:rsidP="0030066D">
            <w:pPr>
              <w:rPr>
                <w:rFonts w:cs="Arial"/>
                <w:b/>
                <w:bCs/>
                <w:color w:val="000000"/>
                <w:sz w:val="22"/>
                <w:szCs w:val="22"/>
                <w:lang w:val="ro-RO"/>
              </w:rPr>
            </w:pPr>
            <w:r w:rsidRPr="00BF454A">
              <w:rPr>
                <w:rFonts w:cs="Arial"/>
                <w:b/>
                <w:bCs/>
                <w:color w:val="000000"/>
                <w:sz w:val="22"/>
                <w:szCs w:val="22"/>
                <w:lang w:val="ro-RO"/>
              </w:rPr>
              <w:t>Surse de finanțare</w:t>
            </w:r>
          </w:p>
        </w:tc>
        <w:tc>
          <w:tcPr>
            <w:tcW w:w="0" w:type="auto"/>
            <w:tcBorders>
              <w:top w:val="single" w:sz="4" w:space="0" w:color="auto"/>
              <w:left w:val="single" w:sz="4" w:space="0" w:color="auto"/>
              <w:bottom w:val="nil"/>
              <w:right w:val="nil"/>
            </w:tcBorders>
            <w:shd w:val="clear" w:color="000000" w:fill="B8CCE4"/>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2014-2020</w:t>
            </w:r>
          </w:p>
        </w:tc>
        <w:tc>
          <w:tcPr>
            <w:tcW w:w="0" w:type="auto"/>
            <w:tcBorders>
              <w:top w:val="single" w:sz="4" w:space="0" w:color="auto"/>
              <w:left w:val="nil"/>
              <w:bottom w:val="nil"/>
              <w:right w:val="nil"/>
            </w:tcBorders>
            <w:shd w:val="clear" w:color="000000" w:fill="B8CCE4"/>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2021-2030</w:t>
            </w:r>
          </w:p>
        </w:tc>
        <w:tc>
          <w:tcPr>
            <w:tcW w:w="0" w:type="auto"/>
            <w:tcBorders>
              <w:top w:val="single" w:sz="4" w:space="0" w:color="auto"/>
              <w:left w:val="nil"/>
              <w:bottom w:val="nil"/>
              <w:right w:val="single" w:sz="4" w:space="0" w:color="auto"/>
            </w:tcBorders>
            <w:shd w:val="clear" w:color="000000" w:fill="B8CCE4"/>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2014-2030</w:t>
            </w:r>
          </w:p>
        </w:tc>
      </w:tr>
      <w:tr w:rsidR="002B762C" w:rsidRPr="00BF454A" w:rsidTr="0030066D">
        <w:trPr>
          <w:trHeight w:val="300"/>
        </w:trPr>
        <w:tc>
          <w:tcPr>
            <w:tcW w:w="0" w:type="auto"/>
            <w:tcBorders>
              <w:top w:val="nil"/>
              <w:left w:val="single" w:sz="4" w:space="0" w:color="auto"/>
              <w:bottom w:val="nil"/>
              <w:right w:val="nil"/>
            </w:tcBorders>
            <w:shd w:val="clear" w:color="000000" w:fill="FFFFFF"/>
            <w:noWrap/>
            <w:vAlign w:val="center"/>
            <w:hideMark/>
          </w:tcPr>
          <w:p w:rsidR="002B762C" w:rsidRPr="00BF454A" w:rsidRDefault="002B762C" w:rsidP="002B762C">
            <w:pPr>
              <w:pStyle w:val="ListParagraph"/>
              <w:numPr>
                <w:ilvl w:val="1"/>
                <w:numId w:val="47"/>
              </w:numPr>
              <w:tabs>
                <w:tab w:val="clear" w:pos="1440"/>
              </w:tabs>
              <w:ind w:left="426"/>
              <w:rPr>
                <w:b/>
                <w:bCs/>
                <w:color w:val="000000"/>
                <w:sz w:val="22"/>
                <w:szCs w:val="22"/>
                <w:lang w:val="ro-RO"/>
              </w:rPr>
            </w:pPr>
            <w:r w:rsidRPr="00BF454A">
              <w:rPr>
                <w:b/>
                <w:bCs/>
                <w:color w:val="000000"/>
                <w:sz w:val="22"/>
                <w:szCs w:val="22"/>
                <w:lang w:val="ro-RO"/>
              </w:rPr>
              <w:t>Buget total disponibil, din care</w:t>
            </w:r>
          </w:p>
        </w:tc>
        <w:tc>
          <w:tcPr>
            <w:tcW w:w="0" w:type="auto"/>
            <w:tcBorders>
              <w:top w:val="single" w:sz="4" w:space="0" w:color="auto"/>
              <w:left w:val="single" w:sz="4" w:space="0" w:color="auto"/>
              <w:bottom w:val="single" w:sz="4" w:space="0" w:color="auto"/>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11,505</w:t>
            </w:r>
          </w:p>
        </w:tc>
        <w:tc>
          <w:tcPr>
            <w:tcW w:w="0" w:type="auto"/>
            <w:tcBorders>
              <w:top w:val="single" w:sz="4" w:space="0" w:color="auto"/>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25,176</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36,680</w:t>
            </w:r>
          </w:p>
        </w:tc>
      </w:tr>
      <w:tr w:rsidR="002B762C" w:rsidRPr="00BF454A" w:rsidTr="0030066D">
        <w:trPr>
          <w:trHeight w:val="300"/>
        </w:trPr>
        <w:tc>
          <w:tcPr>
            <w:tcW w:w="0" w:type="auto"/>
            <w:tcBorders>
              <w:top w:val="single" w:sz="4" w:space="0" w:color="auto"/>
              <w:left w:val="single" w:sz="4" w:space="0" w:color="auto"/>
              <w:bottom w:val="nil"/>
              <w:right w:val="single" w:sz="4" w:space="0" w:color="auto"/>
            </w:tcBorders>
            <w:shd w:val="clear" w:color="000000" w:fill="FFFFFF"/>
            <w:noWrap/>
            <w:vAlign w:val="center"/>
            <w:hideMark/>
          </w:tcPr>
          <w:p w:rsidR="002B762C" w:rsidRPr="00BF454A" w:rsidRDefault="002B762C" w:rsidP="002B762C">
            <w:pPr>
              <w:pStyle w:val="ListParagraph"/>
              <w:numPr>
                <w:ilvl w:val="1"/>
                <w:numId w:val="47"/>
              </w:numPr>
              <w:tabs>
                <w:tab w:val="clear" w:pos="1440"/>
              </w:tabs>
              <w:ind w:left="426"/>
              <w:rPr>
                <w:b/>
                <w:bCs/>
                <w:color w:val="000000"/>
                <w:sz w:val="22"/>
                <w:szCs w:val="22"/>
                <w:lang w:val="ro-RO"/>
              </w:rPr>
            </w:pPr>
            <w:r w:rsidRPr="00BF454A">
              <w:rPr>
                <w:b/>
                <w:bCs/>
                <w:color w:val="000000"/>
                <w:sz w:val="22"/>
                <w:szCs w:val="22"/>
                <w:lang w:val="ro-RO"/>
              </w:rPr>
              <w:t>Contribuția UE</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6,332</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9,046</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15,379</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Fondul de Coeziune - FC</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3,404</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4,863</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8,267</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Fondul European de Dezvoltare Regională - FEDR</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1,200</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1,714</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2,914</w:t>
            </w:r>
          </w:p>
        </w:tc>
      </w:tr>
      <w:tr w:rsidR="002B762C" w:rsidRPr="00BF454A" w:rsidTr="0030066D">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Facilitatea Conectarea Europei - CEF</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1,728</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2,469</w:t>
            </w:r>
          </w:p>
        </w:tc>
        <w:tc>
          <w:tcPr>
            <w:tcW w:w="0" w:type="auto"/>
            <w:tcBorders>
              <w:top w:val="nil"/>
              <w:left w:val="nil"/>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4,197</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2B762C">
            <w:pPr>
              <w:pStyle w:val="ListParagraph"/>
              <w:numPr>
                <w:ilvl w:val="1"/>
                <w:numId w:val="47"/>
              </w:numPr>
              <w:tabs>
                <w:tab w:val="clear" w:pos="1440"/>
              </w:tabs>
              <w:ind w:left="426"/>
              <w:rPr>
                <w:b/>
                <w:bCs/>
                <w:color w:val="000000"/>
                <w:sz w:val="22"/>
                <w:szCs w:val="22"/>
                <w:lang w:val="ro-RO"/>
              </w:rPr>
            </w:pPr>
            <w:r w:rsidRPr="00BF454A">
              <w:rPr>
                <w:b/>
                <w:bCs/>
                <w:color w:val="000000"/>
                <w:sz w:val="22"/>
                <w:szCs w:val="22"/>
                <w:lang w:val="ro-RO"/>
              </w:rPr>
              <w:t>Co-finanțarea națională</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2,111</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3,015</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5,126</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Fondul de Coeziune - FC</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1,135</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1,621</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2,756</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Fondul European de Dezvoltare Regională - FEDR</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400</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571</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971</w:t>
            </w:r>
          </w:p>
        </w:tc>
      </w:tr>
      <w:tr w:rsidR="002B762C" w:rsidRPr="00BF454A" w:rsidTr="0030066D">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Facilitatea Conectarea Europei - CEF</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576</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823</w:t>
            </w:r>
          </w:p>
        </w:tc>
        <w:tc>
          <w:tcPr>
            <w:tcW w:w="0" w:type="auto"/>
            <w:tcBorders>
              <w:top w:val="nil"/>
              <w:left w:val="nil"/>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1,399</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2B762C">
            <w:pPr>
              <w:pStyle w:val="ListParagraph"/>
              <w:numPr>
                <w:ilvl w:val="1"/>
                <w:numId w:val="47"/>
              </w:numPr>
              <w:tabs>
                <w:tab w:val="clear" w:pos="1440"/>
              </w:tabs>
              <w:ind w:left="426"/>
              <w:rPr>
                <w:b/>
                <w:bCs/>
                <w:color w:val="000000"/>
                <w:sz w:val="22"/>
                <w:szCs w:val="22"/>
                <w:lang w:val="ro-RO"/>
              </w:rPr>
            </w:pPr>
            <w:r w:rsidRPr="00BF454A">
              <w:rPr>
                <w:b/>
                <w:bCs/>
                <w:color w:val="000000"/>
                <w:sz w:val="22"/>
                <w:szCs w:val="22"/>
                <w:lang w:val="ro-RO"/>
              </w:rPr>
              <w:t>Buget total pentru proiectele finanțate din fonduri UE (=1+2, UE + contribuția națională)</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8,443</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12,062</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20,505</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Fondul de Coeziune - FC</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4,539</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6,484</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11,023</w:t>
            </w:r>
          </w:p>
        </w:tc>
      </w:tr>
      <w:tr w:rsidR="002B762C" w:rsidRPr="00BF454A" w:rsidTr="0030066D">
        <w:trPr>
          <w:trHeight w:val="300"/>
        </w:trPr>
        <w:tc>
          <w:tcPr>
            <w:tcW w:w="0" w:type="auto"/>
            <w:tcBorders>
              <w:top w:val="nil"/>
              <w:left w:val="single" w:sz="4" w:space="0" w:color="auto"/>
              <w:bottom w:val="nil"/>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Fondul European de Dezvoltare Regională - FEDR</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1,600</w:t>
            </w:r>
          </w:p>
        </w:tc>
        <w:tc>
          <w:tcPr>
            <w:tcW w:w="0" w:type="auto"/>
            <w:tcBorders>
              <w:top w:val="nil"/>
              <w:left w:val="nil"/>
              <w:bottom w:val="nil"/>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2,286</w:t>
            </w:r>
          </w:p>
        </w:tc>
        <w:tc>
          <w:tcPr>
            <w:tcW w:w="0" w:type="auto"/>
            <w:tcBorders>
              <w:top w:val="nil"/>
              <w:left w:val="nil"/>
              <w:bottom w:val="nil"/>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3,886</w:t>
            </w:r>
          </w:p>
        </w:tc>
      </w:tr>
      <w:tr w:rsidR="002B762C" w:rsidRPr="00BF454A" w:rsidTr="0030066D">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2B762C" w:rsidRPr="00BF454A" w:rsidRDefault="002B762C" w:rsidP="0030066D">
            <w:pPr>
              <w:jc w:val="right"/>
              <w:rPr>
                <w:rFonts w:cs="Arial"/>
                <w:color w:val="000000"/>
                <w:sz w:val="22"/>
                <w:szCs w:val="22"/>
                <w:lang w:val="ro-RO"/>
              </w:rPr>
            </w:pPr>
            <w:r w:rsidRPr="00BF454A">
              <w:rPr>
                <w:rFonts w:cs="Arial"/>
                <w:color w:val="000000"/>
                <w:sz w:val="22"/>
                <w:szCs w:val="22"/>
                <w:lang w:val="ro-RO"/>
              </w:rPr>
              <w:t>Facilitatea Conectarea Europei - CEF</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2,304</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3,292</w:t>
            </w:r>
          </w:p>
        </w:tc>
        <w:tc>
          <w:tcPr>
            <w:tcW w:w="0" w:type="auto"/>
            <w:tcBorders>
              <w:top w:val="nil"/>
              <w:left w:val="nil"/>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5,596</w:t>
            </w:r>
          </w:p>
        </w:tc>
      </w:tr>
      <w:tr w:rsidR="002B762C" w:rsidRPr="00BF454A" w:rsidTr="0030066D">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2B762C" w:rsidRPr="00BF454A" w:rsidRDefault="002B762C" w:rsidP="002B762C">
            <w:pPr>
              <w:pStyle w:val="ListParagraph"/>
              <w:numPr>
                <w:ilvl w:val="1"/>
                <w:numId w:val="47"/>
              </w:numPr>
              <w:tabs>
                <w:tab w:val="clear" w:pos="1440"/>
              </w:tabs>
              <w:ind w:left="426"/>
              <w:rPr>
                <w:b/>
                <w:bCs/>
                <w:color w:val="000000"/>
                <w:sz w:val="22"/>
                <w:szCs w:val="22"/>
                <w:lang w:val="ro-RO"/>
              </w:rPr>
            </w:pPr>
            <w:r w:rsidRPr="00BF454A">
              <w:rPr>
                <w:b/>
                <w:bCs/>
                <w:color w:val="000000"/>
                <w:sz w:val="22"/>
                <w:szCs w:val="22"/>
                <w:lang w:val="ro-RO"/>
              </w:rPr>
              <w:t>Buget Național(=1-4)</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3,061</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13,114</w:t>
            </w:r>
          </w:p>
        </w:tc>
        <w:tc>
          <w:tcPr>
            <w:tcW w:w="0" w:type="auto"/>
            <w:tcBorders>
              <w:top w:val="nil"/>
              <w:left w:val="nil"/>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16,175</w:t>
            </w:r>
          </w:p>
        </w:tc>
      </w:tr>
      <w:tr w:rsidR="002B762C" w:rsidRPr="00BF454A" w:rsidTr="0030066D">
        <w:trPr>
          <w:trHeight w:val="300"/>
        </w:trPr>
        <w:tc>
          <w:tcPr>
            <w:tcW w:w="0" w:type="auto"/>
            <w:tcBorders>
              <w:top w:val="nil"/>
              <w:left w:val="single" w:sz="4" w:space="0" w:color="auto"/>
              <w:bottom w:val="single" w:sz="4" w:space="0" w:color="auto"/>
              <w:right w:val="nil"/>
            </w:tcBorders>
            <w:shd w:val="clear" w:color="000000" w:fill="FFFFFF"/>
            <w:noWrap/>
            <w:vAlign w:val="center"/>
            <w:hideMark/>
          </w:tcPr>
          <w:p w:rsidR="002B762C" w:rsidRPr="00BF454A" w:rsidRDefault="002B762C" w:rsidP="002B762C">
            <w:pPr>
              <w:pStyle w:val="ListParagraph"/>
              <w:numPr>
                <w:ilvl w:val="1"/>
                <w:numId w:val="47"/>
              </w:numPr>
              <w:tabs>
                <w:tab w:val="clear" w:pos="1440"/>
              </w:tabs>
              <w:ind w:left="426"/>
              <w:rPr>
                <w:b/>
                <w:bCs/>
                <w:color w:val="000000"/>
                <w:sz w:val="22"/>
                <w:szCs w:val="22"/>
                <w:lang w:val="ro-RO"/>
              </w:rPr>
            </w:pPr>
            <w:r w:rsidRPr="00BF454A">
              <w:rPr>
                <w:b/>
                <w:bCs/>
                <w:color w:val="000000"/>
                <w:sz w:val="22"/>
                <w:szCs w:val="22"/>
                <w:lang w:val="ro-RO"/>
              </w:rPr>
              <w:t>Fonduri naționale totale (=3+5)</w:t>
            </w:r>
          </w:p>
        </w:tc>
        <w:tc>
          <w:tcPr>
            <w:tcW w:w="0" w:type="auto"/>
            <w:tcBorders>
              <w:top w:val="nil"/>
              <w:left w:val="single" w:sz="4" w:space="0" w:color="auto"/>
              <w:bottom w:val="single" w:sz="4" w:space="0" w:color="auto"/>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5,172</w:t>
            </w:r>
          </w:p>
        </w:tc>
        <w:tc>
          <w:tcPr>
            <w:tcW w:w="0" w:type="auto"/>
            <w:tcBorders>
              <w:top w:val="nil"/>
              <w:left w:val="nil"/>
              <w:bottom w:val="single" w:sz="4" w:space="0" w:color="auto"/>
              <w:right w:val="nil"/>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16,129</w:t>
            </w:r>
          </w:p>
        </w:tc>
        <w:tc>
          <w:tcPr>
            <w:tcW w:w="0" w:type="auto"/>
            <w:tcBorders>
              <w:top w:val="nil"/>
              <w:left w:val="nil"/>
              <w:bottom w:val="single" w:sz="4" w:space="0" w:color="auto"/>
              <w:right w:val="single" w:sz="4" w:space="0" w:color="auto"/>
            </w:tcBorders>
            <w:shd w:val="clear" w:color="000000" w:fill="FFFFFF"/>
            <w:noWrap/>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21,302</w:t>
            </w:r>
          </w:p>
        </w:tc>
      </w:tr>
    </w:tbl>
    <w:p w:rsidR="002B762C" w:rsidRPr="00BF454A" w:rsidRDefault="002B762C" w:rsidP="002B762C">
      <w:pPr>
        <w:rPr>
          <w:i/>
          <w:lang w:val="ro-RO"/>
        </w:rPr>
      </w:pPr>
      <w:r w:rsidRPr="00BF454A">
        <w:rPr>
          <w:i/>
          <w:lang w:val="ro-RO"/>
        </w:rPr>
        <w:t>Sursa: Plan financiar GTMP</w:t>
      </w:r>
    </w:p>
    <w:p w:rsidR="002B762C" w:rsidRPr="00BF454A" w:rsidRDefault="002B762C" w:rsidP="002B762C">
      <w:pPr>
        <w:rPr>
          <w:lang w:val="ro-RO"/>
        </w:rPr>
      </w:pPr>
    </w:p>
    <w:p w:rsidR="002B762C" w:rsidRPr="00BF454A" w:rsidRDefault="002B762C" w:rsidP="002B7E09">
      <w:pPr>
        <w:pStyle w:val="NumberedParas"/>
      </w:pPr>
      <w:r w:rsidRPr="00BF454A">
        <w:t>În medie, pentru prima perioadă de implementare 2014-2020, 1,3 miliarde euro sunt disponibili pe an, respectiv 1,9 miliarde în perioada 2021-2030. Sursele de finanțare pentru întregul buget de 36,7 miliarde euro al proiectelor din Master Plan pe perioada 2014-2030 sunt fonduri europene (42%) respectiv contribuția Bugetului Național (58%, incluzând co-finanțarea necesară pentru susținerea proiectelor europene).</w:t>
      </w:r>
    </w:p>
    <w:p w:rsidR="002B762C" w:rsidRPr="00BF454A" w:rsidRDefault="002B762C" w:rsidP="002B7E09">
      <w:pPr>
        <w:pStyle w:val="NumberedParas"/>
      </w:pPr>
      <w:r w:rsidRPr="00BF454A">
        <w:t xml:space="preserve">Pentru a estima impactul asupra listei de proiecte ce pot fi implementate în orizontul Master Planului (2014-2030), au fost analizate mai multe scenarii privind alocările bugetare din PIB, pentru susținerea sectorului de transport (Tabelul </w:t>
      </w:r>
      <w:r>
        <w:t>10</w:t>
      </w:r>
      <w:r w:rsidRPr="00BF454A">
        <w:t>.</w:t>
      </w:r>
      <w:r>
        <w:t>20</w:t>
      </w:r>
      <w:r w:rsidRPr="00BF454A">
        <w:t>).</w:t>
      </w:r>
    </w:p>
    <w:p w:rsidR="002B762C" w:rsidRPr="00BF454A" w:rsidRDefault="002B762C" w:rsidP="002B762C">
      <w:pPr>
        <w:rPr>
          <w:b/>
          <w:sz w:val="22"/>
          <w:lang w:val="ro-RO"/>
        </w:rPr>
      </w:pPr>
      <w:r w:rsidRPr="00BF454A">
        <w:rPr>
          <w:b/>
          <w:sz w:val="22"/>
          <w:lang w:val="ro-RO"/>
        </w:rPr>
        <w:br w:type="page"/>
      </w:r>
    </w:p>
    <w:p w:rsidR="002B762C" w:rsidRPr="00BF454A" w:rsidRDefault="002B762C" w:rsidP="002B762C">
      <w:pPr>
        <w:spacing w:before="120" w:after="120"/>
        <w:ind w:left="567"/>
        <w:rPr>
          <w:b/>
          <w:sz w:val="22"/>
          <w:lang w:val="ro-RO"/>
        </w:rPr>
      </w:pPr>
      <w:r w:rsidRPr="00BF454A">
        <w:rPr>
          <w:b/>
          <w:sz w:val="22"/>
          <w:lang w:val="ro-RO"/>
        </w:rPr>
        <w:t xml:space="preserve">Tabelul </w:t>
      </w:r>
      <w:r>
        <w:rPr>
          <w:b/>
          <w:sz w:val="22"/>
          <w:lang w:val="ro-RO"/>
        </w:rPr>
        <w:t>10</w:t>
      </w:r>
      <w:r w:rsidRPr="00BF454A">
        <w:rPr>
          <w:b/>
          <w:sz w:val="22"/>
          <w:lang w:val="ro-RO"/>
        </w:rPr>
        <w:t>.</w:t>
      </w:r>
      <w:r>
        <w:rPr>
          <w:b/>
          <w:sz w:val="22"/>
          <w:lang w:val="ro-RO"/>
        </w:rPr>
        <w:t>20</w:t>
      </w:r>
      <w:r w:rsidRPr="00BF454A">
        <w:rPr>
          <w:b/>
          <w:sz w:val="22"/>
          <w:lang w:val="ro-RO"/>
        </w:rPr>
        <w:t xml:space="preserve"> Bugetul disponibil pentru proiectele Master Plan ca funcție de % din PIB (mil euro)</w:t>
      </w:r>
    </w:p>
    <w:tbl>
      <w:tblPr>
        <w:tblW w:w="6440" w:type="dxa"/>
        <w:tblInd w:w="670" w:type="dxa"/>
        <w:tblLook w:val="04A0" w:firstRow="1" w:lastRow="0" w:firstColumn="1" w:lastColumn="0" w:noHBand="0" w:noVBand="1"/>
      </w:tblPr>
      <w:tblGrid>
        <w:gridCol w:w="1500"/>
        <w:gridCol w:w="1540"/>
        <w:gridCol w:w="1700"/>
        <w:gridCol w:w="1700"/>
      </w:tblGrid>
      <w:tr w:rsidR="002B762C" w:rsidRPr="00BF454A" w:rsidTr="0030066D">
        <w:trPr>
          <w:trHeight w:val="600"/>
        </w:trPr>
        <w:tc>
          <w:tcPr>
            <w:tcW w:w="150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Procent din PIB</w:t>
            </w:r>
          </w:p>
        </w:tc>
        <w:tc>
          <w:tcPr>
            <w:tcW w:w="15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2014-2020</w:t>
            </w:r>
          </w:p>
        </w:tc>
        <w:tc>
          <w:tcPr>
            <w:tcW w:w="170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2021-2030</w:t>
            </w:r>
          </w:p>
        </w:tc>
        <w:tc>
          <w:tcPr>
            <w:tcW w:w="170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B762C" w:rsidRPr="00BF454A" w:rsidRDefault="002B762C" w:rsidP="0030066D">
            <w:pPr>
              <w:jc w:val="center"/>
              <w:rPr>
                <w:rFonts w:cs="Arial"/>
                <w:b/>
                <w:bCs/>
                <w:color w:val="000000"/>
                <w:sz w:val="22"/>
                <w:szCs w:val="22"/>
                <w:lang w:val="ro-RO"/>
              </w:rPr>
            </w:pPr>
            <w:r w:rsidRPr="00BF454A">
              <w:rPr>
                <w:rFonts w:cs="Arial"/>
                <w:b/>
                <w:bCs/>
                <w:color w:val="000000"/>
                <w:sz w:val="22"/>
                <w:szCs w:val="22"/>
                <w:lang w:val="ro-RO"/>
              </w:rPr>
              <w:t>2014-2030</w:t>
            </w:r>
          </w:p>
        </w:tc>
      </w:tr>
      <w:tr w:rsidR="002B762C" w:rsidRPr="00BF454A" w:rsidTr="0030066D">
        <w:trPr>
          <w:trHeight w:val="3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2.00%</w:t>
            </w:r>
          </w:p>
        </w:tc>
        <w:tc>
          <w:tcPr>
            <w:tcW w:w="154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11,505</w:t>
            </w:r>
          </w:p>
        </w:tc>
        <w:tc>
          <w:tcPr>
            <w:tcW w:w="170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25,176</w:t>
            </w:r>
          </w:p>
        </w:tc>
        <w:tc>
          <w:tcPr>
            <w:tcW w:w="170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36,681</w:t>
            </w:r>
          </w:p>
        </w:tc>
      </w:tr>
      <w:tr w:rsidR="002B762C" w:rsidRPr="00BF454A" w:rsidTr="0030066D">
        <w:trPr>
          <w:trHeight w:val="3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2.25%</w:t>
            </w:r>
          </w:p>
        </w:tc>
        <w:tc>
          <w:tcPr>
            <w:tcW w:w="154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15,177</w:t>
            </w:r>
          </w:p>
        </w:tc>
        <w:tc>
          <w:tcPr>
            <w:tcW w:w="170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32,198</w:t>
            </w:r>
          </w:p>
        </w:tc>
        <w:tc>
          <w:tcPr>
            <w:tcW w:w="170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47,375</w:t>
            </w:r>
          </w:p>
        </w:tc>
      </w:tr>
      <w:tr w:rsidR="002B762C" w:rsidRPr="00BF454A" w:rsidTr="0030066D">
        <w:trPr>
          <w:trHeight w:val="3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2.50%</w:t>
            </w:r>
          </w:p>
        </w:tc>
        <w:tc>
          <w:tcPr>
            <w:tcW w:w="154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18,849</w:t>
            </w:r>
          </w:p>
        </w:tc>
        <w:tc>
          <w:tcPr>
            <w:tcW w:w="170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39,221</w:t>
            </w:r>
          </w:p>
        </w:tc>
        <w:tc>
          <w:tcPr>
            <w:tcW w:w="1700" w:type="dxa"/>
            <w:tcBorders>
              <w:top w:val="nil"/>
              <w:left w:val="nil"/>
              <w:bottom w:val="single" w:sz="4" w:space="0" w:color="auto"/>
              <w:right w:val="single" w:sz="4" w:space="0" w:color="auto"/>
            </w:tcBorders>
            <w:shd w:val="clear" w:color="auto" w:fill="auto"/>
            <w:vAlign w:val="center"/>
            <w:hideMark/>
          </w:tcPr>
          <w:p w:rsidR="002B762C" w:rsidRPr="00BF454A" w:rsidRDefault="002B762C" w:rsidP="0030066D">
            <w:pPr>
              <w:jc w:val="center"/>
              <w:rPr>
                <w:rFonts w:cs="Arial"/>
                <w:color w:val="000000"/>
                <w:sz w:val="22"/>
                <w:szCs w:val="22"/>
                <w:lang w:val="ro-RO"/>
              </w:rPr>
            </w:pPr>
            <w:r w:rsidRPr="00BF454A">
              <w:rPr>
                <w:rFonts w:cs="Arial"/>
                <w:color w:val="000000"/>
                <w:sz w:val="22"/>
                <w:szCs w:val="22"/>
                <w:lang w:val="ro-RO"/>
              </w:rPr>
              <w:t>58,070</w:t>
            </w:r>
          </w:p>
        </w:tc>
      </w:tr>
    </w:tbl>
    <w:p w:rsidR="002B762C" w:rsidRPr="00BF454A" w:rsidRDefault="002B762C" w:rsidP="002B762C">
      <w:pPr>
        <w:ind w:left="567"/>
        <w:rPr>
          <w:i/>
          <w:lang w:val="ro-RO"/>
        </w:rPr>
      </w:pPr>
      <w:r w:rsidRPr="00BF454A">
        <w:rPr>
          <w:i/>
          <w:lang w:val="ro-RO"/>
        </w:rPr>
        <w:t>Sursa: Plan financiar GTMP</w:t>
      </w:r>
    </w:p>
    <w:p w:rsidR="002B762C" w:rsidRPr="00BF454A" w:rsidRDefault="002B762C" w:rsidP="002B7E09">
      <w:pPr>
        <w:pStyle w:val="NumberedParas"/>
      </w:pPr>
      <w:r w:rsidRPr="00BF454A">
        <w:t>Costul total de investiție pentru toate proiectele identificate în Master Plan este de 45,3 miliarde euro, prețuri fixe 2014. O analiză se senzitivitate arată că o alocare anuală de 2,2% va fi suficientă pentru finanțarea întregii liste de intervenții identificate.</w:t>
      </w:r>
    </w:p>
    <w:p w:rsidR="002B762C" w:rsidRPr="00BF454A" w:rsidRDefault="002B762C" w:rsidP="002B762C">
      <w:pPr>
        <w:pStyle w:val="Hdg2"/>
        <w:tabs>
          <w:tab w:val="clear" w:pos="2280"/>
          <w:tab w:val="num" w:pos="1288"/>
        </w:tabs>
      </w:pPr>
      <w:bookmarkStart w:id="643" w:name="_Toc411956615"/>
      <w:bookmarkStart w:id="644" w:name="_Toc413060362"/>
      <w:r w:rsidRPr="00BF454A">
        <w:t>Consultări publice</w:t>
      </w:r>
      <w:bookmarkEnd w:id="643"/>
      <w:bookmarkEnd w:id="644"/>
    </w:p>
    <w:p w:rsidR="002B762C" w:rsidRPr="00BF454A" w:rsidRDefault="002B762C" w:rsidP="002B7E09">
      <w:pPr>
        <w:pStyle w:val="NumberedParas"/>
      </w:pPr>
      <w:r w:rsidRPr="00BF454A">
        <w:t>Rapoartele tehnice includ deja referințe către gama largă de consultări ce au avut loc în decursul elaborării Master Planului, în special în ceea ce privește definirea particularităților intervențiilor identificate.</w:t>
      </w:r>
    </w:p>
    <w:p w:rsidR="002B762C" w:rsidRPr="00BF454A" w:rsidRDefault="002B762C" w:rsidP="002B7E09">
      <w:pPr>
        <w:pStyle w:val="NumberedParas"/>
      </w:pPr>
      <w:r w:rsidRPr="00BF454A">
        <w:t>În urma publicării Raportului privind Master Plan la sfârșitul lunii August 2014, au fost organizate în lunile octombrie și noiembrie o serie de consultări publice la sediul Ministerului Transporturilor, ocazi</w:t>
      </w:r>
      <w:r>
        <w:t>e</w:t>
      </w:r>
      <w:r w:rsidRPr="00BF454A">
        <w:t xml:space="preserve"> cu care reprezentanții Ministerului au oferit prezentări tehnice, urmate de sesiuni de întrebări și răspunsuri. Fiecare sesiune a avut ca temă un anumit mod de transport, și anume rutier, feroviar, naval, aerian și intermodal. O gamă largă de autorități au fost reprezentate la discuții, incluzând reprezentanți ai industriei de specialitate, companii, consultanți, organizații reprezentative, asociații, jurnaliști dar și membri ai partidelor politice și ai societății civile.</w:t>
      </w:r>
    </w:p>
    <w:p w:rsidR="002B762C" w:rsidRPr="00BF454A" w:rsidRDefault="002B762C" w:rsidP="002B7E09">
      <w:pPr>
        <w:pStyle w:val="NumberedParas"/>
      </w:pPr>
      <w:r w:rsidRPr="00BF454A">
        <w:t xml:space="preserve">Au fost primite un număr total de 51 de interpelări. Acestea au fost analizate și, în cazul în care aspectele ridicate au fost considerate relevante, acestea au fost luate în considerare la finalizarea </w:t>
      </w:r>
      <w:r>
        <w:t>ultimei variante a Master Planului General de Transport</w:t>
      </w:r>
      <w:r w:rsidRPr="00BF454A">
        <w:t>.</w:t>
      </w:r>
    </w:p>
    <w:p w:rsidR="002B762C" w:rsidRPr="00BF454A" w:rsidRDefault="002B762C" w:rsidP="002B762C">
      <w:pPr>
        <w:rPr>
          <w:lang w:val="ro-RO"/>
        </w:rPr>
      </w:pPr>
    </w:p>
    <w:p w:rsidR="002B762C" w:rsidRPr="00BF454A" w:rsidRDefault="002B762C" w:rsidP="002B762C">
      <w:pPr>
        <w:pStyle w:val="Hdg2"/>
        <w:tabs>
          <w:tab w:val="clear" w:pos="2280"/>
          <w:tab w:val="num" w:pos="1288"/>
        </w:tabs>
      </w:pPr>
      <w:bookmarkStart w:id="645" w:name="_Toc411518122"/>
      <w:bookmarkStart w:id="646" w:name="_Toc411956616"/>
      <w:bookmarkStart w:id="647" w:name="_Toc413060363"/>
      <w:bookmarkEnd w:id="645"/>
      <w:r w:rsidRPr="00BF454A">
        <w:t>Analiza inter-sectorială</w:t>
      </w:r>
      <w:bookmarkEnd w:id="646"/>
      <w:bookmarkEnd w:id="647"/>
    </w:p>
    <w:p w:rsidR="002B762C" w:rsidRPr="00BF454A" w:rsidRDefault="002B762C" w:rsidP="002B7E09">
      <w:pPr>
        <w:pStyle w:val="NumberedParas"/>
      </w:pPr>
      <w:r w:rsidRPr="00BF454A">
        <w:t>Deși toate analizele din cadrul Master Planului au fost realizate la nivel multi-modal, mare parte din concluziile acestui raport și cele incluse în Raportul privind Master Planul pe termen scurt, mediu și lung au fost prezentate la nivelul fiecărui mod de transport. În cadrul acestei secțiuni am inclus principalele rezultate identificate la nivel inter-sectorial.</w:t>
      </w:r>
    </w:p>
    <w:p w:rsidR="002B762C" w:rsidRPr="00BF454A" w:rsidRDefault="002B762C" w:rsidP="002B762C">
      <w:pPr>
        <w:pStyle w:val="Hdg3"/>
      </w:pPr>
      <w:bookmarkStart w:id="648" w:name="_Toc411956617"/>
      <w:r w:rsidRPr="00BF454A">
        <w:t>Performanța operațională a Scenariului EES</w:t>
      </w:r>
      <w:bookmarkEnd w:id="648"/>
    </w:p>
    <w:p w:rsidR="002B762C" w:rsidRPr="00BF454A" w:rsidRDefault="002B762C" w:rsidP="002B7E09">
      <w:pPr>
        <w:pStyle w:val="NumberedParas"/>
      </w:pPr>
      <w:r w:rsidRPr="00BF454A">
        <w:t>Din MNT rezultă un volum mare de date care ilustrează modalitatea în care funcționează rețeaua de transport. Scenariul EES este comparat cu cel de Referință, care reprezintă situația care va exista în lipsa Master Planului, incluzând doar proiectele care au finanțarea asigurată. Aceasta reprezintă cea mai validă comparație deoarece ilustrează cu un grad mai mare de relevanță care sunt efectele implementării măsurilor din Master Plan, în comparație cu situația existentă.</w:t>
      </w:r>
    </w:p>
    <w:p w:rsidR="002B762C" w:rsidRPr="00BF454A" w:rsidRDefault="002B762C" w:rsidP="002B7E09">
      <w:pPr>
        <w:pStyle w:val="NumberedParas"/>
      </w:pPr>
      <w:r w:rsidRPr="00BF454A">
        <w:t>Sunt incluse și analize comparative față de Cazul de bază (2011), dar acestea includ modificări care apar la nivelul cererii de transport independent de implementarea proiectelor din Master Plan.</w:t>
      </w:r>
    </w:p>
    <w:p w:rsidR="002B762C" w:rsidRPr="00BF454A" w:rsidRDefault="002B762C" w:rsidP="002B7E09">
      <w:pPr>
        <w:pStyle w:val="NumberedParas"/>
      </w:pPr>
      <w:r w:rsidRPr="00BF454A">
        <w:t xml:space="preserve">Figura </w:t>
      </w:r>
      <w:r>
        <w:t>10</w:t>
      </w:r>
      <w:r w:rsidRPr="00BF454A">
        <w:t>.1 ilustrează modificările prognozate pentru transportul de pasageri la nivelul anilor 2020 și 2030.</w:t>
      </w:r>
    </w:p>
    <w:tbl>
      <w:tblPr>
        <w:tblStyle w:val="TableGrid"/>
        <w:tblpPr w:leftFromText="180" w:rightFromText="180"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54"/>
      </w:tblGrid>
      <w:tr w:rsidR="002B762C" w:rsidRPr="00BF454A" w:rsidTr="0030066D">
        <w:trPr>
          <w:trHeight w:val="4396"/>
        </w:trPr>
        <w:tc>
          <w:tcPr>
            <w:tcW w:w="5041" w:type="dxa"/>
          </w:tcPr>
          <w:p w:rsidR="002B762C" w:rsidRPr="00BF454A" w:rsidRDefault="002B762C" w:rsidP="0030066D">
            <w:pPr>
              <w:spacing w:before="120" w:after="120" w:line="276" w:lineRule="auto"/>
              <w:rPr>
                <w:sz w:val="22"/>
                <w:szCs w:val="22"/>
                <w:lang w:val="ro-RO"/>
              </w:rPr>
            </w:pPr>
            <w:r w:rsidRPr="00BF454A">
              <w:rPr>
                <w:noProof/>
                <w:sz w:val="22"/>
                <w:szCs w:val="22"/>
                <w:lang w:val="ro-RO" w:eastAsia="ro-RO"/>
              </w:rPr>
              <w:drawing>
                <wp:inline distT="0" distB="0" distL="0" distR="0">
                  <wp:extent cx="3222000" cy="2757600"/>
                  <wp:effectExtent l="0" t="0" r="0" b="508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3222000" cy="2757600"/>
                          </a:xfrm>
                          <a:prstGeom prst="rect">
                            <a:avLst/>
                          </a:prstGeom>
                          <a:noFill/>
                          <a:ln>
                            <a:noFill/>
                          </a:ln>
                        </pic:spPr>
                      </pic:pic>
                    </a:graphicData>
                  </a:graphic>
                </wp:inline>
              </w:drawing>
            </w:r>
          </w:p>
        </w:tc>
        <w:tc>
          <w:tcPr>
            <w:tcW w:w="5041" w:type="dxa"/>
          </w:tcPr>
          <w:p w:rsidR="002B762C" w:rsidRPr="00BF454A" w:rsidRDefault="002B762C" w:rsidP="0030066D">
            <w:pPr>
              <w:spacing w:before="120" w:after="120" w:line="276" w:lineRule="auto"/>
              <w:rPr>
                <w:sz w:val="22"/>
                <w:szCs w:val="22"/>
                <w:lang w:val="ro-RO"/>
              </w:rPr>
            </w:pPr>
            <w:r w:rsidRPr="00BF454A">
              <w:rPr>
                <w:noProof/>
                <w:sz w:val="22"/>
                <w:szCs w:val="22"/>
                <w:lang w:val="ro-RO" w:eastAsia="ro-RO"/>
              </w:rPr>
              <w:drawing>
                <wp:inline distT="0" distB="0" distL="0" distR="0">
                  <wp:extent cx="3222000" cy="2757600"/>
                  <wp:effectExtent l="0" t="0" r="0" b="508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222000" cy="2757600"/>
                          </a:xfrm>
                          <a:prstGeom prst="rect">
                            <a:avLst/>
                          </a:prstGeom>
                          <a:noFill/>
                          <a:ln>
                            <a:noFill/>
                          </a:ln>
                        </pic:spPr>
                      </pic:pic>
                    </a:graphicData>
                  </a:graphic>
                </wp:inline>
              </w:drawing>
            </w:r>
          </w:p>
        </w:tc>
      </w:tr>
    </w:tbl>
    <w:p w:rsidR="002B762C" w:rsidRPr="00BF454A" w:rsidRDefault="002B762C" w:rsidP="002B762C">
      <w:pPr>
        <w:spacing w:before="120" w:after="120" w:line="276" w:lineRule="auto"/>
        <w:rPr>
          <w:i/>
          <w:lang w:val="ro-RO"/>
        </w:rPr>
      </w:pPr>
      <w:r w:rsidRPr="00BF454A">
        <w:rPr>
          <w:i/>
          <w:lang w:val="ro-RO"/>
        </w:rPr>
        <w:t>Sursa: Modelul Național de Transport, CBA Tool, AECOM</w:t>
      </w:r>
    </w:p>
    <w:p w:rsidR="002B762C" w:rsidRPr="00BF454A" w:rsidRDefault="002B762C" w:rsidP="002B762C">
      <w:pPr>
        <w:spacing w:before="120" w:after="120" w:line="276" w:lineRule="auto"/>
        <w:rPr>
          <w:b/>
          <w:sz w:val="22"/>
          <w:szCs w:val="22"/>
          <w:lang w:val="ro-RO"/>
        </w:rPr>
      </w:pPr>
      <w:r w:rsidRPr="00BF454A">
        <w:rPr>
          <w:rFonts w:cs="Arial"/>
          <w:b/>
          <w:sz w:val="22"/>
          <w:lang w:val="ro-RO"/>
        </w:rPr>
        <w:t xml:space="preserve">Figura </w:t>
      </w:r>
      <w:r>
        <w:rPr>
          <w:rFonts w:cs="Arial"/>
          <w:b/>
          <w:sz w:val="22"/>
          <w:lang w:val="ro-RO"/>
        </w:rPr>
        <w:t>10</w:t>
      </w:r>
      <w:r w:rsidRPr="00BF454A">
        <w:rPr>
          <w:rFonts w:cs="Arial"/>
          <w:b/>
          <w:sz w:val="22"/>
          <w:lang w:val="ro-RO"/>
        </w:rPr>
        <w:t>.1 Evoluția transportului de pasageri în anii 2020 și 2030 în scenariul EES vs. Scenariul de Referință</w:t>
      </w:r>
    </w:p>
    <w:p w:rsidR="002B762C" w:rsidRPr="00BF454A" w:rsidRDefault="002B762C" w:rsidP="002B7E09">
      <w:pPr>
        <w:pStyle w:val="NumberedParas"/>
      </w:pPr>
      <w:r w:rsidRPr="00BF454A">
        <w:t>Rezultatele arată faptul că, o dată cu investițiile în întreținere, în reabilitarea de linii și în modernizarea serviciile, pot fi atinse creșteri semnificative ale numărului de pasageri. Creșterea prognozată este de 42% pentru numărul de pasageri ai transportului feroviar și de 73% pentru pasageri-km până la momentul 2020, acești indicatori crescând la 88%, respectiv 110% până în anul 2030, moment în care întreaga strategia va fi fost deja implementată.</w:t>
      </w:r>
    </w:p>
    <w:p w:rsidR="002B762C" w:rsidRPr="00BF454A" w:rsidRDefault="002B762C" w:rsidP="002B7E09">
      <w:pPr>
        <w:pStyle w:val="NumberedParas"/>
      </w:pPr>
      <w:r w:rsidRPr="00BF454A">
        <w:t xml:space="preserve">În contrast, creșterile prognozate pentru transportul rutier sunt modeste, traficul de autoturisme și pasageri-km având creșteri reduse. Investițiile feroviare vor diminua cererea de călătorii cu autobuzul cu 11% și 17% la momentul anului de prognoză 2020, respectiv 2030. </w:t>
      </w:r>
    </w:p>
    <w:p w:rsidR="002B762C" w:rsidRPr="00BF454A" w:rsidRDefault="002B762C" w:rsidP="002B7E09">
      <w:pPr>
        <w:pStyle w:val="NumberedParas"/>
      </w:pPr>
      <w:r w:rsidRPr="00BF454A">
        <w:t>O caracteristică a impacturilor prognozate este creșterea distanțelor medii de parcurs – numărul de pasageri-km crește cu o rată superioară creșterii numărului de pasageri, acest lucru fiind de așteptat având în vedere timpii actuali de parcurs destul de reduși, conectivitate sporită între centrele urbane majore din România precum și serviciile mai convenabile ce vor fi asigurate prin intermediul intervențiilor propuse în Master Plan.</w:t>
      </w:r>
    </w:p>
    <w:p w:rsidR="002B762C" w:rsidRPr="00BF454A" w:rsidRDefault="002B762C" w:rsidP="002B7E09">
      <w:pPr>
        <w:pStyle w:val="NumberedParas"/>
        <w:rPr>
          <w:rFonts w:cs="Arial"/>
          <w:b/>
        </w:rPr>
      </w:pPr>
      <w:r w:rsidRPr="00BF454A">
        <w:t xml:space="preserve">Figura </w:t>
      </w:r>
      <w:r>
        <w:t>10</w:t>
      </w:r>
      <w:r w:rsidRPr="00BF454A">
        <w:t>.2 oferă informații similare pentru transportul de marfă.</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54"/>
      </w:tblGrid>
      <w:tr w:rsidR="002B762C" w:rsidRPr="00BF454A" w:rsidTr="0030066D">
        <w:trPr>
          <w:trHeight w:val="4435"/>
        </w:trPr>
        <w:tc>
          <w:tcPr>
            <w:tcW w:w="5041" w:type="dxa"/>
          </w:tcPr>
          <w:p w:rsidR="002B762C" w:rsidRPr="00BF454A" w:rsidRDefault="002B762C" w:rsidP="0030066D">
            <w:pPr>
              <w:spacing w:before="120" w:after="120" w:line="276" w:lineRule="auto"/>
              <w:rPr>
                <w:sz w:val="22"/>
                <w:szCs w:val="22"/>
                <w:lang w:val="ro-RO"/>
              </w:rPr>
            </w:pPr>
            <w:r w:rsidRPr="00BF454A">
              <w:rPr>
                <w:noProof/>
                <w:sz w:val="22"/>
                <w:szCs w:val="22"/>
                <w:lang w:val="ro-RO" w:eastAsia="ro-RO"/>
              </w:rPr>
              <w:drawing>
                <wp:inline distT="0" distB="0" distL="0" distR="0">
                  <wp:extent cx="3222000" cy="2757600"/>
                  <wp:effectExtent l="0" t="0" r="0" b="508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222000" cy="2757600"/>
                          </a:xfrm>
                          <a:prstGeom prst="rect">
                            <a:avLst/>
                          </a:prstGeom>
                          <a:noFill/>
                          <a:ln>
                            <a:noFill/>
                          </a:ln>
                        </pic:spPr>
                      </pic:pic>
                    </a:graphicData>
                  </a:graphic>
                </wp:inline>
              </w:drawing>
            </w:r>
          </w:p>
        </w:tc>
        <w:tc>
          <w:tcPr>
            <w:tcW w:w="5041" w:type="dxa"/>
          </w:tcPr>
          <w:p w:rsidR="002B762C" w:rsidRPr="00BF454A" w:rsidRDefault="002B762C" w:rsidP="0030066D">
            <w:pPr>
              <w:spacing w:before="120" w:after="120" w:line="276" w:lineRule="auto"/>
              <w:rPr>
                <w:sz w:val="22"/>
                <w:szCs w:val="22"/>
                <w:lang w:val="ro-RO"/>
              </w:rPr>
            </w:pPr>
            <w:r w:rsidRPr="00BF454A">
              <w:rPr>
                <w:noProof/>
                <w:sz w:val="22"/>
                <w:szCs w:val="22"/>
                <w:lang w:val="ro-RO" w:eastAsia="ro-RO"/>
              </w:rPr>
              <w:drawing>
                <wp:inline distT="0" distB="0" distL="0" distR="0">
                  <wp:extent cx="3222000" cy="2757600"/>
                  <wp:effectExtent l="0" t="0" r="0" b="508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222000" cy="2757600"/>
                          </a:xfrm>
                          <a:prstGeom prst="rect">
                            <a:avLst/>
                          </a:prstGeom>
                          <a:noFill/>
                          <a:ln>
                            <a:noFill/>
                          </a:ln>
                        </pic:spPr>
                      </pic:pic>
                    </a:graphicData>
                  </a:graphic>
                </wp:inline>
              </w:drawing>
            </w:r>
          </w:p>
        </w:tc>
      </w:tr>
    </w:tbl>
    <w:p w:rsidR="002B762C" w:rsidRPr="00BF454A" w:rsidRDefault="002B762C" w:rsidP="002B762C">
      <w:pPr>
        <w:spacing w:before="120" w:after="120" w:line="276" w:lineRule="auto"/>
        <w:rPr>
          <w:i/>
          <w:lang w:val="ro-RO"/>
        </w:rPr>
      </w:pPr>
      <w:r w:rsidRPr="00BF454A">
        <w:rPr>
          <w:i/>
          <w:lang w:val="ro-RO"/>
        </w:rPr>
        <w:t>Sursa: Modelul Național de Transport, CBA Tool, AECOM</w:t>
      </w:r>
    </w:p>
    <w:p w:rsidR="002B762C" w:rsidRPr="00BF454A" w:rsidRDefault="002B762C" w:rsidP="002B762C">
      <w:pPr>
        <w:spacing w:before="120" w:after="120" w:line="276" w:lineRule="auto"/>
        <w:rPr>
          <w:b/>
          <w:sz w:val="22"/>
          <w:szCs w:val="22"/>
          <w:lang w:val="ro-RO"/>
        </w:rPr>
      </w:pPr>
      <w:r w:rsidRPr="00BF454A">
        <w:rPr>
          <w:rFonts w:cs="Arial"/>
          <w:b/>
          <w:sz w:val="22"/>
          <w:lang w:val="ro-RO"/>
        </w:rPr>
        <w:t xml:space="preserve">Figura </w:t>
      </w:r>
      <w:r>
        <w:rPr>
          <w:rFonts w:cs="Arial"/>
          <w:b/>
          <w:sz w:val="22"/>
          <w:lang w:val="ro-RO"/>
        </w:rPr>
        <w:t>10</w:t>
      </w:r>
      <w:r w:rsidRPr="00BF454A">
        <w:rPr>
          <w:rFonts w:cs="Arial"/>
          <w:b/>
          <w:sz w:val="22"/>
          <w:lang w:val="ro-RO"/>
        </w:rPr>
        <w:t>.2 Evoluția transportului de marfă în anii 2020 și 2030 în scenariul EES vs. Scenariul de Referință</w:t>
      </w:r>
    </w:p>
    <w:p w:rsidR="002B762C" w:rsidRPr="00BF454A" w:rsidRDefault="002B762C" w:rsidP="002B7E09">
      <w:pPr>
        <w:pStyle w:val="NumberedParas"/>
      </w:pPr>
      <w:r w:rsidRPr="00BF454A">
        <w:t>Aceeași tendință este valabilă și pentru transportul de mărfuri, deși impactul este mai puțin important, din două motive. În primul rând, creșterea relativă a vitezelor trenurilor de marfă este mai redusă decât în cazul trenurilor de pasageri și, în al doilea rând, timpul de călătorie este doar una din componentele costului pentru deplasarea mărfurilor.</w:t>
      </w:r>
    </w:p>
    <w:p w:rsidR="002B762C" w:rsidRPr="00BF454A" w:rsidRDefault="002B762C" w:rsidP="002B7E09">
      <w:pPr>
        <w:pStyle w:val="NumberedParas"/>
      </w:pPr>
      <w:r w:rsidRPr="00BF454A">
        <w:t>Numărul de tone-km crește de aproximativ două ori mai mult decât numărul de tone operate. Cele mai mari creșteri ale numărului de tone și de tone-km se înregistrează din nou pentru transportul feroviar, pentru care este așteptată creșterea cu 6% în tone-km la nivelul anilor 2020 și 2030. Cantitatea de mărfuri transportate pe căile navigabile va crește urmare a investițiilor pentru creșterea navigabilității șenalului Dunării.</w:t>
      </w:r>
    </w:p>
    <w:p w:rsidR="002B762C" w:rsidRPr="00BF454A" w:rsidRDefault="002B762C" w:rsidP="002B7E09">
      <w:pPr>
        <w:pStyle w:val="NumberedParas"/>
        <w:rPr>
          <w:rFonts w:cs="Arial"/>
          <w:b/>
        </w:rPr>
      </w:pPr>
      <w:r w:rsidRPr="00BF454A">
        <w:t xml:space="preserve">Figura </w:t>
      </w:r>
      <w:r>
        <w:t>10</w:t>
      </w:r>
      <w:r w:rsidRPr="00BF454A">
        <w:t>.3 ilustrează modificările pentru cotele modale ale transporturilor.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54"/>
      </w:tblGrid>
      <w:tr w:rsidR="002B762C" w:rsidRPr="00BF454A" w:rsidTr="0030066D">
        <w:trPr>
          <w:trHeight w:val="4426"/>
        </w:trPr>
        <w:tc>
          <w:tcPr>
            <w:tcW w:w="5253" w:type="dxa"/>
          </w:tcPr>
          <w:p w:rsidR="002B762C" w:rsidRPr="00BF454A" w:rsidRDefault="002B762C" w:rsidP="0030066D">
            <w:pPr>
              <w:spacing w:before="120" w:after="120" w:line="276" w:lineRule="auto"/>
              <w:rPr>
                <w:sz w:val="22"/>
                <w:szCs w:val="22"/>
                <w:lang w:val="ro-RO"/>
              </w:rPr>
            </w:pPr>
            <w:r w:rsidRPr="00BF454A">
              <w:rPr>
                <w:noProof/>
                <w:sz w:val="22"/>
                <w:szCs w:val="22"/>
                <w:lang w:val="ro-RO" w:eastAsia="ro-RO"/>
              </w:rPr>
              <w:drawing>
                <wp:inline distT="0" distB="0" distL="0" distR="0">
                  <wp:extent cx="3222000" cy="2757600"/>
                  <wp:effectExtent l="0" t="0" r="0" b="508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222000" cy="2757600"/>
                          </a:xfrm>
                          <a:prstGeom prst="rect">
                            <a:avLst/>
                          </a:prstGeom>
                          <a:noFill/>
                          <a:ln>
                            <a:noFill/>
                          </a:ln>
                        </pic:spPr>
                      </pic:pic>
                    </a:graphicData>
                  </a:graphic>
                </wp:inline>
              </w:drawing>
            </w:r>
          </w:p>
        </w:tc>
        <w:tc>
          <w:tcPr>
            <w:tcW w:w="5254" w:type="dxa"/>
          </w:tcPr>
          <w:p w:rsidR="002B762C" w:rsidRPr="00BF454A" w:rsidRDefault="002B762C" w:rsidP="0030066D">
            <w:pPr>
              <w:spacing w:before="120" w:after="120" w:line="276" w:lineRule="auto"/>
              <w:rPr>
                <w:sz w:val="22"/>
                <w:szCs w:val="22"/>
                <w:lang w:val="ro-RO"/>
              </w:rPr>
            </w:pPr>
            <w:r w:rsidRPr="00BF454A">
              <w:rPr>
                <w:noProof/>
                <w:sz w:val="22"/>
                <w:szCs w:val="22"/>
                <w:lang w:val="ro-RO" w:eastAsia="ro-RO"/>
              </w:rPr>
              <w:drawing>
                <wp:inline distT="0" distB="0" distL="0" distR="0">
                  <wp:extent cx="3222000" cy="2757600"/>
                  <wp:effectExtent l="0" t="0" r="0" b="508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222000" cy="2757600"/>
                          </a:xfrm>
                          <a:prstGeom prst="rect">
                            <a:avLst/>
                          </a:prstGeom>
                          <a:noFill/>
                          <a:ln>
                            <a:noFill/>
                          </a:ln>
                        </pic:spPr>
                      </pic:pic>
                    </a:graphicData>
                  </a:graphic>
                </wp:inline>
              </w:drawing>
            </w:r>
          </w:p>
        </w:tc>
      </w:tr>
    </w:tbl>
    <w:p w:rsidR="002B762C" w:rsidRPr="00BF454A" w:rsidRDefault="002B762C" w:rsidP="002B762C">
      <w:pPr>
        <w:spacing w:before="120" w:after="120" w:line="276" w:lineRule="auto"/>
        <w:rPr>
          <w:i/>
          <w:lang w:val="ro-RO"/>
        </w:rPr>
      </w:pPr>
      <w:r w:rsidRPr="00BF454A">
        <w:rPr>
          <w:i/>
          <w:lang w:val="ro-RO"/>
        </w:rPr>
        <w:t>Sursa: Modelul Național de Transport, CBA Tool, AECOM</w:t>
      </w:r>
    </w:p>
    <w:p w:rsidR="002B762C" w:rsidRPr="00BF454A" w:rsidRDefault="002B762C" w:rsidP="002B762C">
      <w:pPr>
        <w:spacing w:before="120" w:after="120" w:line="276" w:lineRule="auto"/>
        <w:rPr>
          <w:b/>
          <w:sz w:val="22"/>
          <w:szCs w:val="22"/>
          <w:lang w:val="ro-RO"/>
        </w:rPr>
      </w:pPr>
      <w:r w:rsidRPr="00BF454A">
        <w:rPr>
          <w:rFonts w:cs="Arial"/>
          <w:b/>
          <w:sz w:val="22"/>
          <w:lang w:val="ro-RO"/>
        </w:rPr>
        <w:t>Figura 9.3 Modificări ale cotelor de piață modale</w:t>
      </w:r>
    </w:p>
    <w:p w:rsidR="002B762C" w:rsidRPr="00BF454A" w:rsidRDefault="002B762C" w:rsidP="002B7E09">
      <w:pPr>
        <w:pStyle w:val="NumberedParas"/>
      </w:pPr>
      <w:r w:rsidRPr="00BF454A">
        <w:t>În acest caz, performanța căii ferate trebuie analizată având în vedere evoluția istorică a scăderii dramatice a cotei sale de piață. Conform prognozelor Modelului Național cota de piață a transportului feroviar poate fi menținută prin investiții, regim superior de întreținere și servicii îmbunătățite, chiar în condițiile extinderii pieței de transporturi în care gradul de motorizare crește semnificativ iar sectorul rutier beneficiază de investiții semnificative.</w:t>
      </w:r>
    </w:p>
    <w:p w:rsidR="002B762C" w:rsidRPr="00BF454A" w:rsidRDefault="002B762C" w:rsidP="002B7E09">
      <w:pPr>
        <w:pStyle w:val="NumberedParas"/>
      </w:pPr>
      <w:r w:rsidRPr="00BF454A">
        <w:t xml:space="preserve">Diferențele între anul de bază 2011 și anii de prognoză 2020 și 2030 în scenariul EES sunt ilustrate în Figura </w:t>
      </w:r>
      <w:r>
        <w:t>10</w:t>
      </w:r>
      <w:r w:rsidRPr="00BF454A">
        <w:t>.4 pentru transportul de pasageri și marfă.</w:t>
      </w:r>
    </w:p>
    <w:p w:rsidR="002B762C" w:rsidRPr="00BF454A" w:rsidRDefault="002B762C" w:rsidP="002B7E09">
      <w:pPr>
        <w:pStyle w:val="NumberedParas"/>
        <w:numPr>
          <w:ilvl w:val="0"/>
          <w:numId w:val="0"/>
        </w:numPr>
        <w:ind w:left="851"/>
      </w:pPr>
      <w:r w:rsidRPr="00BF454A">
        <w:rPr>
          <w:noProof/>
          <w:lang w:eastAsia="ro-RO"/>
        </w:rPr>
        <w:drawing>
          <wp:inline distT="0" distB="0" distL="0" distR="0">
            <wp:extent cx="5943600" cy="3121660"/>
            <wp:effectExtent l="0" t="0" r="0" b="254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cstate="print"/>
                    <a:stretch>
                      <a:fillRect/>
                    </a:stretch>
                  </pic:blipFill>
                  <pic:spPr>
                    <a:xfrm>
                      <a:off x="0" y="0"/>
                      <a:ext cx="5943600" cy="3121660"/>
                    </a:xfrm>
                    <a:prstGeom prst="rect">
                      <a:avLst/>
                    </a:prstGeom>
                  </pic:spPr>
                </pic:pic>
              </a:graphicData>
            </a:graphic>
          </wp:inline>
        </w:drawing>
      </w:r>
    </w:p>
    <w:p w:rsidR="002B762C" w:rsidRPr="00BF454A" w:rsidRDefault="002B762C" w:rsidP="002B762C">
      <w:pPr>
        <w:spacing w:before="120" w:after="120" w:line="276" w:lineRule="auto"/>
        <w:rPr>
          <w:i/>
          <w:lang w:val="ro-RO"/>
        </w:rPr>
      </w:pPr>
      <w:r w:rsidRPr="00BF454A">
        <w:rPr>
          <w:i/>
          <w:lang w:val="ro-RO"/>
        </w:rPr>
        <w:tab/>
        <w:t>Sursa: Modelul Național de Transport, CBA Tool, AECOM</w:t>
      </w:r>
    </w:p>
    <w:p w:rsidR="002B762C" w:rsidRPr="00BF454A" w:rsidRDefault="002B762C" w:rsidP="002B762C">
      <w:pPr>
        <w:pStyle w:val="Body"/>
        <w:spacing w:before="120" w:after="120"/>
        <w:ind w:left="993"/>
        <w:rPr>
          <w:b/>
          <w:i w:val="0"/>
          <w:lang w:val="ro-RO"/>
        </w:rPr>
      </w:pPr>
      <w:r w:rsidRPr="00BF454A">
        <w:rPr>
          <w:b/>
          <w:i w:val="0"/>
          <w:lang w:val="ro-RO"/>
        </w:rPr>
        <w:t xml:space="preserve">Figura </w:t>
      </w:r>
      <w:r>
        <w:rPr>
          <w:b/>
          <w:i w:val="0"/>
          <w:lang w:val="ro-RO"/>
        </w:rPr>
        <w:t>10</w:t>
      </w:r>
      <w:r w:rsidRPr="00BF454A">
        <w:rPr>
          <w:b/>
          <w:i w:val="0"/>
          <w:lang w:val="ro-RO"/>
        </w:rPr>
        <w:t>.4  Modificări ale cererii de pasageri și marfă, 2011-2020 Scenariul EES</w:t>
      </w:r>
    </w:p>
    <w:p w:rsidR="002B762C" w:rsidRPr="00BF454A" w:rsidRDefault="002B762C" w:rsidP="002B7E09">
      <w:pPr>
        <w:pStyle w:val="NumberedParas"/>
      </w:pPr>
      <w:r w:rsidRPr="00BF454A">
        <w:t>Aceste rezultate ilustrează, sub aspectul transportului de pasageri, creșteri ale numărului de pasageri și pasageri-km pentru toate modurile de transport. Comparând aceste rezultate cu scenariul de referință se poate observa faptul că creșterea numărului de pasageri pentru transportul rutier nu se datorează neapărat strategiei EES în sine (care conduce la reducerea numărului de pasageri) ci factorilor de bază cum sunt creșterea gradului de motorizare și finalizarea proiectelor de autostrăzi aflate în derulare.</w:t>
      </w:r>
    </w:p>
    <w:p w:rsidR="002B762C" w:rsidRPr="00BF454A" w:rsidRDefault="002B762C" w:rsidP="002B7E09">
      <w:pPr>
        <w:pStyle w:val="NumberedParas"/>
      </w:pPr>
      <w:r w:rsidRPr="00BF454A">
        <w:t>Ceea ce este cu adevărat impresionant este inversarea curbei declinului transportului feroviar. După mai mult de 20 de ani de declin prelungit, investițiile într-un regim de întreținere îmbunătățit, în proiectele de reabilitare și creșterea frecvențelor serviciilor vor conduce la inversarea curbei de declin, înregistrându-se o creștere de 27% a numărului de pasageri-km față de valoarea anului de bază 2011.</w:t>
      </w:r>
    </w:p>
    <w:p w:rsidR="002B762C" w:rsidRPr="00BF454A" w:rsidRDefault="002B762C" w:rsidP="002B7E09">
      <w:pPr>
        <w:pStyle w:val="NumberedParas"/>
      </w:pPr>
      <w:r w:rsidRPr="00BF454A">
        <w:t>Situația este una similară pentru anul 2030, cu creșteri pentru toate modurile de transport atât pentru pasageri cât și pentru marfă. Cauza creșterii traficul de marfă și pasageri este aceeași ca în anul 2020: creșterile sunt datorate unor cauze fundamentale și nu proiectelor din scenariul EES.</w:t>
      </w:r>
    </w:p>
    <w:p w:rsidR="002B762C" w:rsidRPr="00BF454A" w:rsidRDefault="002B762C" w:rsidP="002B7E09">
      <w:pPr>
        <w:pStyle w:val="NumberedParas"/>
      </w:pPr>
      <w:r w:rsidRPr="00BF454A">
        <w:t>Din nou, creșterea numărului de pasageri și pasageri-km sunt semnificative, arătând încă o dată că trendurile istorice ale transportului feroviar pot fi inversate urmare a unui program de  investiții adecvate.</w:t>
      </w:r>
    </w:p>
    <w:p w:rsidR="002B762C" w:rsidRPr="00BF454A" w:rsidRDefault="002B762C" w:rsidP="002B762C">
      <w:pPr>
        <w:pStyle w:val="Body"/>
        <w:ind w:left="851"/>
        <w:rPr>
          <w:lang w:val="ro-RO"/>
        </w:rPr>
      </w:pPr>
      <w:r w:rsidRPr="00BF454A">
        <w:rPr>
          <w:noProof/>
          <w:lang w:val="ro-RO" w:eastAsia="ro-RO"/>
        </w:rPr>
        <w:drawing>
          <wp:inline distT="0" distB="0" distL="0" distR="0">
            <wp:extent cx="5422900" cy="2887578"/>
            <wp:effectExtent l="0" t="0" r="6350" b="825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cstate="print"/>
                    <a:stretch>
                      <a:fillRect/>
                    </a:stretch>
                  </pic:blipFill>
                  <pic:spPr>
                    <a:xfrm>
                      <a:off x="0" y="0"/>
                      <a:ext cx="5427256" cy="2889897"/>
                    </a:xfrm>
                    <a:prstGeom prst="rect">
                      <a:avLst/>
                    </a:prstGeom>
                  </pic:spPr>
                </pic:pic>
              </a:graphicData>
            </a:graphic>
          </wp:inline>
        </w:drawing>
      </w:r>
    </w:p>
    <w:p w:rsidR="002B762C" w:rsidRPr="00BF454A" w:rsidRDefault="002B762C" w:rsidP="002B762C">
      <w:pPr>
        <w:spacing w:before="120" w:after="120" w:line="276" w:lineRule="auto"/>
        <w:rPr>
          <w:i/>
          <w:lang w:val="ro-RO"/>
        </w:rPr>
      </w:pPr>
      <w:r w:rsidRPr="00BF454A">
        <w:rPr>
          <w:i/>
          <w:lang w:val="ro-RO"/>
        </w:rPr>
        <w:tab/>
        <w:t>Sursa: Modelul Național de Transport, CBA Tool, AECOM</w:t>
      </w:r>
    </w:p>
    <w:p w:rsidR="002B762C" w:rsidRPr="00BF454A" w:rsidRDefault="002B762C" w:rsidP="002B762C">
      <w:pPr>
        <w:pStyle w:val="Body"/>
        <w:spacing w:before="120" w:after="120"/>
        <w:ind w:left="851"/>
        <w:jc w:val="left"/>
        <w:rPr>
          <w:b/>
          <w:i w:val="0"/>
          <w:lang w:val="ro-RO"/>
        </w:rPr>
      </w:pPr>
      <w:r w:rsidRPr="00BF454A">
        <w:rPr>
          <w:b/>
          <w:i w:val="0"/>
          <w:lang w:val="ro-RO"/>
        </w:rPr>
        <w:t xml:space="preserve">Figura </w:t>
      </w:r>
      <w:r>
        <w:rPr>
          <w:b/>
          <w:i w:val="0"/>
          <w:lang w:val="ro-RO"/>
        </w:rPr>
        <w:t>10</w:t>
      </w:r>
      <w:r w:rsidRPr="00BF454A">
        <w:rPr>
          <w:b/>
          <w:i w:val="0"/>
          <w:lang w:val="ro-RO"/>
        </w:rPr>
        <w:t>.5  Modificări ale cererii de transport pasageri și marfă</w:t>
      </w:r>
      <w:r>
        <w:rPr>
          <w:b/>
          <w:i w:val="0"/>
          <w:lang w:val="ro-RO"/>
        </w:rPr>
        <w:t xml:space="preserve"> </w:t>
      </w:r>
      <w:r w:rsidRPr="00BF454A">
        <w:rPr>
          <w:b/>
          <w:i w:val="0"/>
          <w:lang w:val="ro-RO"/>
        </w:rPr>
        <w:t>2011-2030, Strategia EES</w:t>
      </w:r>
    </w:p>
    <w:p w:rsidR="002B762C" w:rsidRPr="00BF454A" w:rsidRDefault="002B762C" w:rsidP="002B762C">
      <w:pPr>
        <w:rPr>
          <w:sz w:val="22"/>
          <w:szCs w:val="22"/>
          <w:lang w:val="ro-RO"/>
        </w:rPr>
      </w:pPr>
    </w:p>
    <w:p w:rsidR="002B762C" w:rsidRPr="00BF454A" w:rsidRDefault="002B762C" w:rsidP="002B762C">
      <w:pPr>
        <w:pStyle w:val="Hdg3"/>
      </w:pPr>
      <w:bookmarkStart w:id="649" w:name="_Toc411347782"/>
      <w:bookmarkStart w:id="650" w:name="_Toc411347931"/>
      <w:bookmarkStart w:id="651" w:name="_Toc411347965"/>
      <w:bookmarkStart w:id="652" w:name="_Toc411348023"/>
      <w:bookmarkStart w:id="653" w:name="_Toc411348211"/>
      <w:bookmarkStart w:id="654" w:name="_Toc411348353"/>
      <w:bookmarkStart w:id="655" w:name="_Toc411515393"/>
      <w:bookmarkStart w:id="656" w:name="_Toc411515512"/>
      <w:bookmarkStart w:id="657" w:name="_Toc411515753"/>
      <w:bookmarkStart w:id="658" w:name="_Toc411516091"/>
      <w:bookmarkStart w:id="659" w:name="_Toc411518086"/>
      <w:bookmarkStart w:id="660" w:name="_Toc411518124"/>
      <w:bookmarkStart w:id="661" w:name="_Toc411347783"/>
      <w:bookmarkStart w:id="662" w:name="_Toc411347932"/>
      <w:bookmarkStart w:id="663" w:name="_Toc411347966"/>
      <w:bookmarkStart w:id="664" w:name="_Toc411348024"/>
      <w:bookmarkStart w:id="665" w:name="_Toc411348212"/>
      <w:bookmarkStart w:id="666" w:name="_Toc411348354"/>
      <w:bookmarkStart w:id="667" w:name="_Toc411515394"/>
      <w:bookmarkStart w:id="668" w:name="_Toc411515513"/>
      <w:bookmarkStart w:id="669" w:name="_Toc411515754"/>
      <w:bookmarkStart w:id="670" w:name="_Toc411516092"/>
      <w:bookmarkStart w:id="671" w:name="_Toc411518087"/>
      <w:bookmarkStart w:id="672" w:name="_Toc411518125"/>
      <w:bookmarkStart w:id="673" w:name="_Toc41195661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r w:rsidRPr="00BF454A">
        <w:t>Alocarea resurselor pe moduri de transport: euro pe pasageri-km, euro pe tonă-km</w:t>
      </w:r>
      <w:bookmarkEnd w:id="673"/>
    </w:p>
    <w:p w:rsidR="002B762C" w:rsidRPr="00BF454A" w:rsidRDefault="002B762C" w:rsidP="002B7E09">
      <w:pPr>
        <w:pStyle w:val="NumberedParas"/>
      </w:pPr>
      <w:r w:rsidRPr="00BF454A">
        <w:t>Un indicator al contribuției fiecărui mod la nivelul sistemului de transport național este numărul de pasageri-km și tone-km. Am analizat investițiile în sectoarele rutier, feroviar și naval în relație cu contribuțiile acestora exprimate sub forma acestor indicatori. Rezultatele sunt prezentate în continuare:</w:t>
      </w:r>
    </w:p>
    <w:p w:rsidR="002B762C" w:rsidRPr="00BF454A" w:rsidRDefault="002B762C" w:rsidP="002B762C">
      <w:pPr>
        <w:pStyle w:val="Body"/>
        <w:spacing w:before="120" w:after="120"/>
        <w:rPr>
          <w:b/>
          <w:i w:val="0"/>
          <w:lang w:val="ro-RO"/>
        </w:rPr>
      </w:pPr>
      <w:r w:rsidRPr="00BF454A">
        <w:rPr>
          <w:b/>
          <w:i w:val="0"/>
          <w:lang w:val="ro-RO"/>
        </w:rPr>
        <w:t xml:space="preserve">Tabelul </w:t>
      </w:r>
      <w:r>
        <w:rPr>
          <w:b/>
          <w:i w:val="0"/>
          <w:lang w:val="ro-RO"/>
        </w:rPr>
        <w:t>10</w:t>
      </w:r>
      <w:r w:rsidRPr="00BF454A">
        <w:rPr>
          <w:b/>
          <w:i w:val="0"/>
          <w:lang w:val="ro-RO"/>
        </w:rPr>
        <w:t>.</w:t>
      </w:r>
      <w:r>
        <w:rPr>
          <w:b/>
          <w:i w:val="0"/>
          <w:lang w:val="ro-RO"/>
        </w:rPr>
        <w:t>2</w:t>
      </w:r>
      <w:r w:rsidRPr="00BF454A">
        <w:rPr>
          <w:b/>
          <w:i w:val="0"/>
          <w:lang w:val="ro-RO"/>
        </w:rPr>
        <w:t>1  Scenariul EES: cheltuielile unitare pe pasager-km și tonă-km</w:t>
      </w:r>
    </w:p>
    <w:tbl>
      <w:tblPr>
        <w:tblW w:w="9636" w:type="dxa"/>
        <w:tblInd w:w="567" w:type="dxa"/>
        <w:tblLayout w:type="fixed"/>
        <w:tblLook w:val="04A0" w:firstRow="1" w:lastRow="0" w:firstColumn="1" w:lastColumn="0" w:noHBand="0" w:noVBand="1"/>
      </w:tblPr>
      <w:tblGrid>
        <w:gridCol w:w="2000"/>
        <w:gridCol w:w="1760"/>
        <w:gridCol w:w="1600"/>
        <w:gridCol w:w="1601"/>
        <w:gridCol w:w="1399"/>
        <w:gridCol w:w="1276"/>
      </w:tblGrid>
      <w:tr w:rsidR="002B762C" w:rsidRPr="00BF454A" w:rsidTr="0030066D">
        <w:trPr>
          <w:trHeight w:val="915"/>
        </w:trPr>
        <w:tc>
          <w:tcPr>
            <w:tcW w:w="2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p>
        </w:tc>
        <w:tc>
          <w:tcPr>
            <w:tcW w:w="176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0"/>
                <w:szCs w:val="20"/>
                <w:lang w:val="ro-RO" w:eastAsia="en-GB"/>
              </w:rPr>
            </w:pPr>
            <w:r w:rsidRPr="00BF454A">
              <w:rPr>
                <w:rFonts w:cs="Arial"/>
                <w:b/>
                <w:color w:val="000000"/>
                <w:sz w:val="20"/>
                <w:szCs w:val="20"/>
                <w:lang w:val="ro-RO" w:eastAsia="en-GB"/>
              </w:rPr>
              <w:t>Cheltuieli în Master Plan (mil. euro)</w:t>
            </w:r>
          </w:p>
        </w:tc>
        <w:tc>
          <w:tcPr>
            <w:tcW w:w="1600"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0"/>
                <w:szCs w:val="20"/>
                <w:lang w:val="ro-RO" w:eastAsia="en-GB"/>
              </w:rPr>
            </w:pPr>
            <w:r w:rsidRPr="00BF454A">
              <w:rPr>
                <w:rFonts w:cs="Arial"/>
                <w:b/>
                <w:color w:val="000000"/>
                <w:sz w:val="20"/>
                <w:szCs w:val="20"/>
                <w:lang w:val="ro-RO" w:eastAsia="en-GB"/>
              </w:rPr>
              <w:t>Pasageri-km/zi</w:t>
            </w:r>
          </w:p>
        </w:tc>
        <w:tc>
          <w:tcPr>
            <w:tcW w:w="1601"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0"/>
                <w:szCs w:val="20"/>
                <w:lang w:val="ro-RO" w:eastAsia="en-GB"/>
              </w:rPr>
            </w:pPr>
            <w:r w:rsidRPr="00BF454A">
              <w:rPr>
                <w:rFonts w:cs="Arial"/>
                <w:b/>
                <w:color w:val="000000"/>
                <w:sz w:val="20"/>
                <w:szCs w:val="20"/>
                <w:lang w:val="ro-RO" w:eastAsia="en-GB"/>
              </w:rPr>
              <w:t>Tone-km/zi</w:t>
            </w:r>
          </w:p>
        </w:tc>
        <w:tc>
          <w:tcPr>
            <w:tcW w:w="1399"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0"/>
                <w:szCs w:val="20"/>
                <w:lang w:val="ro-RO" w:eastAsia="en-GB"/>
              </w:rPr>
            </w:pPr>
            <w:r w:rsidRPr="00BF454A">
              <w:rPr>
                <w:rFonts w:cs="Arial"/>
                <w:b/>
                <w:color w:val="000000"/>
                <w:sz w:val="20"/>
                <w:szCs w:val="20"/>
                <w:lang w:val="ro-RO" w:eastAsia="en-GB"/>
              </w:rPr>
              <w:t>€/pasageri-km/zi</w:t>
            </w:r>
          </w:p>
        </w:tc>
        <w:tc>
          <w:tcPr>
            <w:tcW w:w="1276" w:type="dxa"/>
            <w:tcBorders>
              <w:top w:val="single" w:sz="8" w:space="0" w:color="auto"/>
              <w:left w:val="nil"/>
              <w:bottom w:val="single" w:sz="8" w:space="0" w:color="auto"/>
              <w:right w:val="single" w:sz="8" w:space="0" w:color="auto"/>
            </w:tcBorders>
            <w:shd w:val="clear" w:color="auto" w:fill="B8CCE4" w:themeFill="accent1" w:themeFillTint="66"/>
            <w:vAlign w:val="center"/>
            <w:hideMark/>
          </w:tcPr>
          <w:p w:rsidR="002B762C" w:rsidRPr="00BF454A" w:rsidRDefault="002B762C" w:rsidP="0030066D">
            <w:pPr>
              <w:jc w:val="center"/>
              <w:rPr>
                <w:rFonts w:cs="Arial"/>
                <w:b/>
                <w:color w:val="000000"/>
                <w:sz w:val="20"/>
                <w:szCs w:val="20"/>
                <w:lang w:val="ro-RO" w:eastAsia="en-GB"/>
              </w:rPr>
            </w:pPr>
            <w:r w:rsidRPr="00BF454A">
              <w:rPr>
                <w:rFonts w:cs="Arial"/>
                <w:b/>
                <w:color w:val="000000"/>
                <w:sz w:val="20"/>
                <w:szCs w:val="20"/>
                <w:lang w:val="ro-RO" w:eastAsia="en-GB"/>
              </w:rPr>
              <w:t>€/tone-km/zi</w:t>
            </w:r>
          </w:p>
        </w:tc>
      </w:tr>
      <w:tr w:rsidR="002B762C" w:rsidRPr="00BF454A" w:rsidTr="0030066D">
        <w:trPr>
          <w:trHeight w:val="315"/>
        </w:trPr>
        <w:tc>
          <w:tcPr>
            <w:tcW w:w="2000" w:type="dxa"/>
            <w:tcBorders>
              <w:top w:val="nil"/>
              <w:left w:val="single" w:sz="8" w:space="0" w:color="auto"/>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Rutier</w:t>
            </w:r>
          </w:p>
        </w:tc>
        <w:tc>
          <w:tcPr>
            <w:tcW w:w="176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18,707</w:t>
            </w:r>
          </w:p>
        </w:tc>
        <w:tc>
          <w:tcPr>
            <w:tcW w:w="160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156,721,866</w:t>
            </w:r>
          </w:p>
        </w:tc>
        <w:tc>
          <w:tcPr>
            <w:tcW w:w="1601"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194,257,197</w:t>
            </w:r>
          </w:p>
        </w:tc>
        <w:tc>
          <w:tcPr>
            <w:tcW w:w="1399"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119</w:t>
            </w:r>
          </w:p>
        </w:tc>
        <w:tc>
          <w:tcPr>
            <w:tcW w:w="1276"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96</w:t>
            </w:r>
          </w:p>
        </w:tc>
      </w:tr>
      <w:tr w:rsidR="002B762C" w:rsidRPr="00BF454A" w:rsidTr="0030066D">
        <w:trPr>
          <w:trHeight w:val="315"/>
        </w:trPr>
        <w:tc>
          <w:tcPr>
            <w:tcW w:w="2000" w:type="dxa"/>
            <w:tcBorders>
              <w:top w:val="nil"/>
              <w:left w:val="single" w:sz="8" w:space="0" w:color="auto"/>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Feroviar + Intermodal</w:t>
            </w:r>
          </w:p>
        </w:tc>
        <w:tc>
          <w:tcPr>
            <w:tcW w:w="176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16,139</w:t>
            </w:r>
          </w:p>
        </w:tc>
        <w:tc>
          <w:tcPr>
            <w:tcW w:w="160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19,096,378</w:t>
            </w:r>
          </w:p>
        </w:tc>
        <w:tc>
          <w:tcPr>
            <w:tcW w:w="1601"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43,614,918</w:t>
            </w:r>
          </w:p>
        </w:tc>
        <w:tc>
          <w:tcPr>
            <w:tcW w:w="1399"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845</w:t>
            </w:r>
          </w:p>
        </w:tc>
        <w:tc>
          <w:tcPr>
            <w:tcW w:w="1276"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370</w:t>
            </w:r>
          </w:p>
        </w:tc>
      </w:tr>
      <w:tr w:rsidR="002B762C" w:rsidRPr="00BF454A" w:rsidTr="0030066D">
        <w:trPr>
          <w:trHeight w:val="315"/>
        </w:trPr>
        <w:tc>
          <w:tcPr>
            <w:tcW w:w="2000" w:type="dxa"/>
            <w:tcBorders>
              <w:top w:val="nil"/>
              <w:left w:val="single" w:sz="8" w:space="0" w:color="auto"/>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Naval</w:t>
            </w:r>
          </w:p>
        </w:tc>
        <w:tc>
          <w:tcPr>
            <w:tcW w:w="176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1,056</w:t>
            </w:r>
          </w:p>
        </w:tc>
        <w:tc>
          <w:tcPr>
            <w:tcW w:w="1600"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p>
        </w:tc>
        <w:tc>
          <w:tcPr>
            <w:tcW w:w="1601"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41,717,021</w:t>
            </w:r>
          </w:p>
        </w:tc>
        <w:tc>
          <w:tcPr>
            <w:tcW w:w="1399"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p>
        </w:tc>
        <w:tc>
          <w:tcPr>
            <w:tcW w:w="1276" w:type="dxa"/>
            <w:tcBorders>
              <w:top w:val="nil"/>
              <w:left w:val="nil"/>
              <w:bottom w:val="single" w:sz="8" w:space="0" w:color="auto"/>
              <w:right w:val="single" w:sz="8" w:space="0" w:color="auto"/>
            </w:tcBorders>
            <w:shd w:val="clear" w:color="auto" w:fill="auto"/>
            <w:noWrap/>
            <w:vAlign w:val="center"/>
            <w:hideMark/>
          </w:tcPr>
          <w:p w:rsidR="002B762C" w:rsidRPr="00BF454A" w:rsidRDefault="002B762C" w:rsidP="0030066D">
            <w:pPr>
              <w:jc w:val="center"/>
              <w:rPr>
                <w:rFonts w:cs="Arial"/>
                <w:color w:val="000000"/>
                <w:sz w:val="20"/>
                <w:szCs w:val="20"/>
                <w:lang w:val="ro-RO" w:eastAsia="en-GB"/>
              </w:rPr>
            </w:pPr>
            <w:r w:rsidRPr="00BF454A">
              <w:rPr>
                <w:rFonts w:cs="Arial"/>
                <w:color w:val="000000"/>
                <w:sz w:val="20"/>
                <w:szCs w:val="20"/>
                <w:lang w:val="ro-RO" w:eastAsia="en-GB"/>
              </w:rPr>
              <w:t>25</w:t>
            </w:r>
          </w:p>
        </w:tc>
      </w:tr>
    </w:tbl>
    <w:p w:rsidR="002B762C" w:rsidRPr="00BF454A" w:rsidRDefault="002B762C" w:rsidP="002B762C">
      <w:pPr>
        <w:pStyle w:val="Body"/>
        <w:spacing w:before="120" w:after="120"/>
        <w:rPr>
          <w:sz w:val="18"/>
          <w:szCs w:val="18"/>
          <w:lang w:val="ro-RO"/>
        </w:rPr>
      </w:pPr>
      <w:r w:rsidRPr="00BF454A">
        <w:rPr>
          <w:sz w:val="18"/>
          <w:szCs w:val="18"/>
          <w:lang w:val="ro-RO"/>
        </w:rPr>
        <w:t>Sursa: Analiza finanțării și Modelul Național</w:t>
      </w:r>
    </w:p>
    <w:p w:rsidR="002B762C" w:rsidRPr="00BF454A" w:rsidRDefault="002B762C" w:rsidP="002B7E09">
      <w:pPr>
        <w:pStyle w:val="NumberedParas"/>
      </w:pPr>
      <w:r w:rsidRPr="00BF454A">
        <w:t>Tabelul trebuie interpretat cu precauție. Cei doi indicatori nu oferă indicații privind fondurile pe care fiecare mod de transport trebuie să le primească. Proiectele fiecărui mod de transport sunt justificate într-o manieră logică și structurată, trecând de la identificarea problemelor la definirea intervențiilor și evaluarea acestora iar fiecare intervenție se poate susține la nivel individual. Rețelele rutieră și feroviară pornesc de la puncte de plecare fundamental diferite. Transportul naval este facilitate de disponibilitatea fluviului Dunărea, care este o resursă naturală și nu una antropică ca în cazul rețelelor rutieră și feroviară.</w:t>
      </w:r>
    </w:p>
    <w:p w:rsidR="002B762C" w:rsidRPr="00BF454A" w:rsidRDefault="002B762C" w:rsidP="002B7E09">
      <w:pPr>
        <w:pStyle w:val="NumberedParas"/>
      </w:pPr>
      <w:r w:rsidRPr="00BF454A">
        <w:t>Cu toate acestea, datele ilustrează intenția Master Planului de a inversa declinul sectorului feroviar și intenția de a revitaliza căile ferate din România, cu obiectivul final ca sistemul feroviar să joace din nou un rol important în cadrul sistemului național de transport și de a-i proteja viitorul.</w:t>
      </w:r>
    </w:p>
    <w:p w:rsidR="002B762C" w:rsidRPr="00BF454A" w:rsidRDefault="002B762C" w:rsidP="002B762C">
      <w:pPr>
        <w:pStyle w:val="Hdg3"/>
      </w:pPr>
      <w:bookmarkStart w:id="674" w:name="_Toc411884344"/>
      <w:bookmarkStart w:id="675" w:name="_Toc411956619"/>
      <w:r w:rsidRPr="00BF454A">
        <w:t>Taxarea vehiculelor grele de transport marfă (RUC)</w:t>
      </w:r>
      <w:bookmarkEnd w:id="674"/>
      <w:bookmarkEnd w:id="675"/>
    </w:p>
    <w:p w:rsidR="002B762C" w:rsidRPr="00BF454A" w:rsidRDefault="002B762C" w:rsidP="002B7E09">
      <w:pPr>
        <w:pStyle w:val="NumberedParas"/>
      </w:pPr>
      <w:r w:rsidRPr="00BF454A">
        <w:t>Un mijloc de creștere a veniturilor din rețeaua rutieră și astfel, a veniturilor Ministerului Transporturilor pentru a putea acoperi o parte a deficitului de infrastructură de transport din România, ar putea fi introducerea taxelor de utilizare a drumurilor. O astfel de politică ar fi consecventă cu reglementările incluse în Cartea Albă UE 2011.</w:t>
      </w:r>
    </w:p>
    <w:p w:rsidR="002B762C" w:rsidRPr="00BF454A" w:rsidRDefault="002B762C" w:rsidP="002B7E09">
      <w:pPr>
        <w:pStyle w:val="NumberedParas"/>
      </w:pPr>
      <w:r w:rsidRPr="00BF454A">
        <w:t>Există două principii care trebuie stabilite pentru proiectarea intervenției RUC:</w:t>
      </w:r>
    </w:p>
    <w:p w:rsidR="002B762C" w:rsidRPr="00BF454A" w:rsidRDefault="002B762C" w:rsidP="002B7E09">
      <w:pPr>
        <w:pStyle w:val="NumberedParas"/>
        <w:numPr>
          <w:ilvl w:val="0"/>
          <w:numId w:val="67"/>
        </w:numPr>
      </w:pPr>
      <w:r w:rsidRPr="00BF454A">
        <w:t>Care va fi justificarea pentru impunerea taxei? De exemplu, va contribui aceasta la costurile de mentenanță și de mediu și va înlocui alte taxe precum acciza la combustibil și rovignetele?</w:t>
      </w:r>
    </w:p>
    <w:p w:rsidR="002B762C" w:rsidRPr="00BF454A" w:rsidRDefault="002B762C" w:rsidP="002B7E09">
      <w:pPr>
        <w:pStyle w:val="NumberedParas"/>
        <w:numPr>
          <w:ilvl w:val="0"/>
          <w:numId w:val="67"/>
        </w:numPr>
      </w:pPr>
      <w:r w:rsidRPr="00BF454A">
        <w:t xml:space="preserve">Căror drumuri se vor aplica aceste taxe? Dacă taxa este aplicată doar în cazul autostrăzilor și drumurilor naționale, va exista un transfer de camioane grele (HGV) către drumurile județene, care sunt mai puțin potrivite pentru acest tip de trafic? </w:t>
      </w:r>
    </w:p>
    <w:p w:rsidR="002B762C" w:rsidRPr="00BF454A" w:rsidRDefault="002B762C" w:rsidP="002B7E09">
      <w:pPr>
        <w:pStyle w:val="NumberedParas"/>
        <w:numPr>
          <w:ilvl w:val="0"/>
          <w:numId w:val="67"/>
        </w:numPr>
      </w:pPr>
      <w:r w:rsidRPr="00BF454A">
        <w:t xml:space="preserve">Ce proporție a veniturilor se va aloca pentru cheltuielile aferente sistemului de transport? </w:t>
      </w:r>
    </w:p>
    <w:p w:rsidR="002B762C" w:rsidRPr="00BF454A" w:rsidRDefault="002B762C" w:rsidP="002B7E09">
      <w:pPr>
        <w:pStyle w:val="NumberedParas"/>
        <w:numPr>
          <w:ilvl w:val="0"/>
          <w:numId w:val="0"/>
        </w:numPr>
        <w:ind w:left="1248"/>
      </w:pPr>
      <w:r w:rsidRPr="00BF454A">
        <w:t>Intervenția, așa cum a fost testată de AECOM, are următoarele caracteristici:</w:t>
      </w:r>
    </w:p>
    <w:p w:rsidR="002B762C" w:rsidRPr="00BF454A" w:rsidRDefault="002B762C" w:rsidP="002B7E09">
      <w:pPr>
        <w:pStyle w:val="NumberedParas"/>
      </w:pPr>
      <w:r w:rsidRPr="00BF454A">
        <w:t xml:space="preserve">A fost utilizată o rată RUC de 0,66 lei (0,15 Euro) pe camion-km. Rata fost calculată astfel încât să ramburseze deficitul mediu anual al CNADNR înregistrat în perioada 2014 – 2020 și a impactului camioanelor grele supra mediului în 2020. De asemenea, include o marjă de 20% pentru acoperirea costurilor administrative și operaționale. S-a estimat că cei 20% alocați costurilor de administrare nu vor fi disponibili CNADNR pentru alte activități decât administrarea RUC. Astfel justificarea taxării este, în esență, o justificare de mediu iar taxa poate fi descrisă ca o ecotaxă. </w:t>
      </w:r>
    </w:p>
    <w:p w:rsidR="002B762C" w:rsidRPr="00BF454A" w:rsidRDefault="002B762C" w:rsidP="002B7E09">
      <w:pPr>
        <w:pStyle w:val="NumberedParas"/>
      </w:pPr>
      <w:r w:rsidRPr="00BF454A">
        <w:t>Pentru a evita redirecționarea traficului camioanelor grele către drumurile județele, taxa a fost aplicată tuturor tipurilor de drumuri. Aceasta implică faptul că tehnologia care trebuie folosită va trebui să fie  bazată pe un sistem GIS.</w:t>
      </w:r>
    </w:p>
    <w:p w:rsidR="002B762C" w:rsidRPr="00BF454A" w:rsidRDefault="002B762C" w:rsidP="002B7E09">
      <w:pPr>
        <w:pStyle w:val="NumberedParas"/>
      </w:pPr>
      <w:r w:rsidRPr="00BF454A">
        <w:t xml:space="preserve">Modul în care venitul va fi utilizat reprezintă o parte vitală a procesului de acceptare a acestei taxe din partea publicului și industriei de transport. În analiza care urmează am luat în discuție două scenarii, unul în care toate veniturile din această taxă, minus costurile de întreținere și reabilitare, sunt reținute de MT/CNADNR și celălalt, în care acciza la combustibil se varsă în veniturile generale din taxe ale guvernului, prin intermediul Ministerului Finanțelor. Acest ultim scenariu pare un rezultat cu o probabilitate de apariție mult mai mare.  </w:t>
      </w:r>
    </w:p>
    <w:p w:rsidR="002B762C" w:rsidRPr="00BF454A" w:rsidRDefault="002B762C" w:rsidP="002B7E09">
      <w:pPr>
        <w:pStyle w:val="NumberedParas"/>
      </w:pPr>
      <w:r w:rsidRPr="00BF454A">
        <w:t>Introducerea unei taxe de tip RUC pentru camioanele grele va avea ca rezultat o schimbare a veniturilor CNADNR. Această notă subliniază fluxurile de capital estimate (costuri și venituri) pe care le va înregistra CNADNR după 2020 în cazul introducerii RUC.</w:t>
      </w:r>
    </w:p>
    <w:p w:rsidR="002B762C" w:rsidRPr="00BF454A" w:rsidRDefault="002B762C" w:rsidP="002B7E09">
      <w:pPr>
        <w:pStyle w:val="NumberedParas"/>
      </w:pPr>
      <w:r w:rsidRPr="00BF454A">
        <w:t xml:space="preserve">Costurile anuale estimate a fi implicate de CNADNR au fost extrase din raportul privind recuperarea costurilor, elaborat pentru Banca Mondială în anul 2013. S-a asumat că în momentul introducerii RUC, sistemul existent de rovignete se va opri deci CNADNR nu va mai încasa venituri din rovignete.  </w:t>
      </w:r>
    </w:p>
    <w:p w:rsidR="002B762C" w:rsidRPr="00BF454A" w:rsidRDefault="002B762C" w:rsidP="002B7E09">
      <w:pPr>
        <w:pStyle w:val="NumberedParas"/>
        <w:numPr>
          <w:ilvl w:val="0"/>
          <w:numId w:val="0"/>
        </w:numPr>
        <w:ind w:left="851"/>
      </w:pPr>
      <w:r w:rsidRPr="00BF454A">
        <w:t xml:space="preserve">Pentru comparație, ratele din alte țări europene, la momentul iunie 2014 erau următoarele: </w:t>
      </w:r>
    </w:p>
    <w:tbl>
      <w:tblPr>
        <w:tblStyle w:val="TableClassic1"/>
        <w:tblW w:w="6804" w:type="dxa"/>
        <w:tblInd w:w="995" w:type="dxa"/>
        <w:tblLook w:val="04A0" w:firstRow="1" w:lastRow="0" w:firstColumn="1" w:lastColumn="0" w:noHBand="0" w:noVBand="1"/>
      </w:tblPr>
      <w:tblGrid>
        <w:gridCol w:w="3827"/>
        <w:gridCol w:w="2977"/>
      </w:tblGrid>
      <w:tr w:rsidR="002B762C" w:rsidRPr="00BF454A" w:rsidTr="003006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2B762C" w:rsidRPr="00BF454A" w:rsidRDefault="002B762C" w:rsidP="0030066D">
            <w:pPr>
              <w:pStyle w:val="Body"/>
              <w:spacing w:before="0" w:after="0"/>
              <w:ind w:left="0"/>
              <w:rPr>
                <w:b/>
                <w:lang w:val="ro-RO"/>
              </w:rPr>
            </w:pPr>
            <w:r w:rsidRPr="00BF454A">
              <w:rPr>
                <w:b/>
                <w:lang w:val="ro-RO"/>
              </w:rPr>
              <w:t>Țară</w:t>
            </w:r>
          </w:p>
        </w:tc>
        <w:tc>
          <w:tcPr>
            <w:tcW w:w="2977" w:type="dxa"/>
          </w:tcPr>
          <w:p w:rsidR="002B762C" w:rsidRPr="00BF454A" w:rsidRDefault="002B762C" w:rsidP="0030066D">
            <w:pPr>
              <w:pStyle w:val="Body"/>
              <w:spacing w:before="0" w:after="0"/>
              <w:ind w:left="0"/>
              <w:cnfStyle w:val="100000000000" w:firstRow="1" w:lastRow="0" w:firstColumn="0" w:lastColumn="0" w:oddVBand="0" w:evenVBand="0" w:oddHBand="0" w:evenHBand="0" w:firstRowFirstColumn="0" w:firstRowLastColumn="0" w:lastRowFirstColumn="0" w:lastRowLastColumn="0"/>
              <w:rPr>
                <w:b/>
                <w:lang w:val="ro-RO"/>
              </w:rPr>
            </w:pPr>
            <w:r w:rsidRPr="00BF454A">
              <w:rPr>
                <w:b/>
                <w:lang w:val="ro-RO"/>
              </w:rPr>
              <w:t>Rata/km</w:t>
            </w:r>
          </w:p>
        </w:tc>
      </w:tr>
      <w:tr w:rsidR="002B762C" w:rsidRPr="00BF454A" w:rsidTr="0030066D">
        <w:tc>
          <w:tcPr>
            <w:cnfStyle w:val="001000000000" w:firstRow="0" w:lastRow="0" w:firstColumn="1" w:lastColumn="0" w:oddVBand="0" w:evenVBand="0" w:oddHBand="0" w:evenHBand="0" w:firstRowFirstColumn="0" w:firstRowLastColumn="0" w:lastRowFirstColumn="0" w:lastRowLastColumn="0"/>
            <w:tcW w:w="3827" w:type="dxa"/>
          </w:tcPr>
          <w:p w:rsidR="002B762C" w:rsidRPr="00BF454A" w:rsidRDefault="002B762C" w:rsidP="0030066D">
            <w:pPr>
              <w:pStyle w:val="Body"/>
              <w:spacing w:before="0" w:after="0"/>
              <w:ind w:left="0"/>
              <w:rPr>
                <w:i w:val="0"/>
                <w:lang w:val="ro-RO"/>
              </w:rPr>
            </w:pPr>
            <w:r w:rsidRPr="00BF454A">
              <w:rPr>
                <w:i w:val="0"/>
                <w:lang w:val="ro-RO"/>
              </w:rPr>
              <w:t>Austria</w:t>
            </w:r>
          </w:p>
        </w:tc>
        <w:tc>
          <w:tcPr>
            <w:tcW w:w="2977" w:type="dxa"/>
          </w:tcPr>
          <w:p w:rsidR="002B762C" w:rsidRPr="00BF454A" w:rsidRDefault="002B762C" w:rsidP="0030066D">
            <w:pPr>
              <w:pStyle w:val="Body"/>
              <w:spacing w:before="0" w:after="0"/>
              <w:ind w:left="0"/>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0,16 – 0,44</w:t>
            </w:r>
          </w:p>
        </w:tc>
      </w:tr>
      <w:tr w:rsidR="002B762C" w:rsidRPr="00BF454A" w:rsidTr="0030066D">
        <w:tc>
          <w:tcPr>
            <w:cnfStyle w:val="001000000000" w:firstRow="0" w:lastRow="0" w:firstColumn="1" w:lastColumn="0" w:oddVBand="0" w:evenVBand="0" w:oddHBand="0" w:evenHBand="0" w:firstRowFirstColumn="0" w:firstRowLastColumn="0" w:lastRowFirstColumn="0" w:lastRowLastColumn="0"/>
            <w:tcW w:w="3827" w:type="dxa"/>
          </w:tcPr>
          <w:p w:rsidR="002B762C" w:rsidRPr="00BF454A" w:rsidRDefault="002B762C" w:rsidP="0030066D">
            <w:pPr>
              <w:pStyle w:val="Body"/>
              <w:spacing w:before="0" w:after="0"/>
              <w:ind w:left="0"/>
              <w:rPr>
                <w:i w:val="0"/>
                <w:lang w:val="ro-RO"/>
              </w:rPr>
            </w:pPr>
            <w:r w:rsidRPr="00BF454A">
              <w:rPr>
                <w:i w:val="0"/>
                <w:lang w:val="ro-RO"/>
              </w:rPr>
              <w:t>Polonia</w:t>
            </w:r>
          </w:p>
        </w:tc>
        <w:tc>
          <w:tcPr>
            <w:tcW w:w="2977" w:type="dxa"/>
          </w:tcPr>
          <w:p w:rsidR="002B762C" w:rsidRPr="00BF454A" w:rsidRDefault="002B762C" w:rsidP="0030066D">
            <w:pPr>
              <w:pStyle w:val="Body"/>
              <w:spacing w:before="0" w:after="0"/>
              <w:ind w:left="0"/>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0,20 – 0,40</w:t>
            </w:r>
          </w:p>
        </w:tc>
      </w:tr>
      <w:tr w:rsidR="002B762C" w:rsidRPr="00BF454A" w:rsidTr="0030066D">
        <w:tc>
          <w:tcPr>
            <w:cnfStyle w:val="001000000000" w:firstRow="0" w:lastRow="0" w:firstColumn="1" w:lastColumn="0" w:oddVBand="0" w:evenVBand="0" w:oddHBand="0" w:evenHBand="0" w:firstRowFirstColumn="0" w:firstRowLastColumn="0" w:lastRowFirstColumn="0" w:lastRowLastColumn="0"/>
            <w:tcW w:w="3827" w:type="dxa"/>
          </w:tcPr>
          <w:p w:rsidR="002B762C" w:rsidRPr="00BF454A" w:rsidRDefault="002B762C" w:rsidP="0030066D">
            <w:pPr>
              <w:pStyle w:val="Body"/>
              <w:spacing w:before="0" w:after="0"/>
              <w:ind w:left="0"/>
              <w:rPr>
                <w:i w:val="0"/>
                <w:lang w:val="ro-RO"/>
              </w:rPr>
            </w:pPr>
            <w:r w:rsidRPr="00BF454A">
              <w:rPr>
                <w:i w:val="0"/>
                <w:lang w:val="ro-RO"/>
              </w:rPr>
              <w:t>Germania</w:t>
            </w:r>
          </w:p>
        </w:tc>
        <w:tc>
          <w:tcPr>
            <w:tcW w:w="2977" w:type="dxa"/>
          </w:tcPr>
          <w:p w:rsidR="002B762C" w:rsidRPr="00BF454A" w:rsidRDefault="002B762C" w:rsidP="0030066D">
            <w:pPr>
              <w:pStyle w:val="Body"/>
              <w:spacing w:before="0" w:after="0"/>
              <w:ind w:left="0"/>
              <w:cnfStyle w:val="000000000000" w:firstRow="0" w:lastRow="0" w:firstColumn="0" w:lastColumn="0" w:oddVBand="0" w:evenVBand="0" w:oddHBand="0" w:evenHBand="0" w:firstRowFirstColumn="0" w:firstRowLastColumn="0" w:lastRowFirstColumn="0" w:lastRowLastColumn="0"/>
              <w:rPr>
                <w:i w:val="0"/>
                <w:lang w:val="ro-RO"/>
              </w:rPr>
            </w:pPr>
            <w:r w:rsidRPr="00BF454A">
              <w:rPr>
                <w:i w:val="0"/>
                <w:lang w:val="ro-RO"/>
              </w:rPr>
              <w:t>0,14 – 0,29</w:t>
            </w:r>
          </w:p>
        </w:tc>
      </w:tr>
    </w:tbl>
    <w:p w:rsidR="002B762C" w:rsidRPr="00BF454A" w:rsidRDefault="002B762C" w:rsidP="002B762C">
      <w:pPr>
        <w:ind w:left="1560"/>
        <w:rPr>
          <w:lang w:val="ro-RO"/>
        </w:rPr>
      </w:pPr>
      <w:r w:rsidRPr="00BF454A">
        <w:rPr>
          <w:i/>
          <w:lang w:val="ro-RO"/>
        </w:rPr>
        <w:t xml:space="preserve">Surse: </w:t>
      </w:r>
      <w:hyperlink r:id="rId368" w:history="1">
        <w:r w:rsidRPr="00BF454A">
          <w:rPr>
            <w:rStyle w:val="Hyperlink"/>
            <w:lang w:val="ro-RO"/>
          </w:rPr>
          <w:t>http://roadpricing.gw-world.com/en/RoadPricingAustria.aspx</w:t>
        </w:r>
      </w:hyperlink>
      <w:r w:rsidRPr="00BF454A">
        <w:rPr>
          <w:lang w:val="ro-RO"/>
        </w:rPr>
        <w:t xml:space="preserve">; </w:t>
      </w:r>
      <w:hyperlink r:id="rId369" w:history="1">
        <w:r w:rsidRPr="00BF454A">
          <w:rPr>
            <w:rStyle w:val="Hyperlink"/>
            <w:lang w:val="ro-RO"/>
          </w:rPr>
          <w:t>http://www.gddkia.gov.pl/en/1126/motorway-tolls</w:t>
        </w:r>
      </w:hyperlink>
    </w:p>
    <w:p w:rsidR="002B762C" w:rsidRPr="00BF454A" w:rsidRDefault="00966D0E" w:rsidP="002B762C">
      <w:pPr>
        <w:ind w:left="1560"/>
        <w:rPr>
          <w:lang w:val="ro-RO"/>
        </w:rPr>
      </w:pPr>
      <w:hyperlink r:id="rId370" w:history="1">
        <w:r w:rsidR="002B762C" w:rsidRPr="00BF454A">
          <w:rPr>
            <w:rStyle w:val="Hyperlink"/>
            <w:lang w:val="ro-RO"/>
          </w:rPr>
          <w:t>http://www.ages.de/en/hgv-toll-germany-tariffs.html</w:t>
        </w:r>
      </w:hyperlink>
    </w:p>
    <w:p w:rsidR="002B762C" w:rsidRPr="00BF454A" w:rsidRDefault="002B762C" w:rsidP="002B762C">
      <w:pPr>
        <w:pStyle w:val="Body"/>
        <w:ind w:left="851"/>
        <w:rPr>
          <w:i w:val="0"/>
          <w:lang w:val="ro-RO"/>
        </w:rPr>
      </w:pPr>
      <w:r w:rsidRPr="00BF454A">
        <w:rPr>
          <w:i w:val="0"/>
          <w:lang w:val="ro-RO"/>
        </w:rPr>
        <w:t>Ratele RUC din aceste țări variază în funcție de dimensiunea și greutatea vehiculelor și de categoria de emisii ale acestora, pentru a încuraja traficul vehiculelor cu un grad mai mic de emisii. Dacă în România s-ar introduce un sistem de taxare a camioanelor grele ar trebui operat un tarif similar.</w:t>
      </w:r>
    </w:p>
    <w:p w:rsidR="002B762C" w:rsidRPr="00BF454A" w:rsidRDefault="002B762C" w:rsidP="002B7E09">
      <w:pPr>
        <w:pStyle w:val="NumberedParas"/>
      </w:pPr>
      <w:r w:rsidRPr="00BF454A">
        <w:t>Cota care revine CNADNR din valoarea RUC a fost calculată pornind de la numărul de camion-kilometri pe rețeaua CNADNR. Se presupune că RUC generată pe rețeaua care nu aparține CNADNR va fi alocată în altă parte.</w:t>
      </w:r>
    </w:p>
    <w:p w:rsidR="002B762C" w:rsidRPr="00BF454A" w:rsidRDefault="002B762C" w:rsidP="002B7E09">
      <w:pPr>
        <w:pStyle w:val="NumberedParas"/>
      </w:pPr>
      <w:r w:rsidRPr="00BF454A">
        <w:t>Calcularea veniturilor din RUC și a veniturilor din acciza la combustibil iau în considerare faptul că odată ce RUC este implementată, numărul de camion-kilometri se va reduce față de cazul în care nu există această taxă („fără RUC”).</w:t>
      </w:r>
    </w:p>
    <w:p w:rsidR="002B762C" w:rsidRPr="00BF454A" w:rsidRDefault="002B762C" w:rsidP="002B7E09">
      <w:pPr>
        <w:pStyle w:val="NumberedParas"/>
      </w:pPr>
      <w:r w:rsidRPr="00BF454A">
        <w:t>Tabelul de mai jos prezintă costurile și veniturile anuale ale CNADNR în perioada 2020- 2030, în milioane de Euro.</w:t>
      </w:r>
    </w:p>
    <w:p w:rsidR="002B762C" w:rsidRPr="00BF454A" w:rsidRDefault="002B762C" w:rsidP="002B762C">
      <w:pPr>
        <w:pStyle w:val="Body"/>
        <w:spacing w:before="120" w:after="120"/>
        <w:rPr>
          <w:b/>
          <w:i w:val="0"/>
          <w:lang w:val="ro-RO"/>
        </w:rPr>
      </w:pPr>
      <w:r w:rsidRPr="00BF454A">
        <w:rPr>
          <w:b/>
          <w:i w:val="0"/>
          <w:lang w:val="ro-RO"/>
        </w:rPr>
        <w:t xml:space="preserve">Tabelul </w:t>
      </w:r>
      <w:r>
        <w:rPr>
          <w:b/>
          <w:i w:val="0"/>
          <w:lang w:val="ro-RO"/>
        </w:rPr>
        <w:t>10</w:t>
      </w:r>
      <w:r w:rsidRPr="00BF454A">
        <w:rPr>
          <w:b/>
          <w:i w:val="0"/>
          <w:lang w:val="ro-RO"/>
        </w:rPr>
        <w:t>.</w:t>
      </w:r>
      <w:r>
        <w:rPr>
          <w:b/>
          <w:i w:val="0"/>
          <w:lang w:val="ro-RO"/>
        </w:rPr>
        <w:t>18</w:t>
      </w:r>
      <w:r w:rsidRPr="00BF454A">
        <w:rPr>
          <w:b/>
          <w:i w:val="0"/>
          <w:lang w:val="ro-RO"/>
        </w:rPr>
        <w:t xml:space="preserve">  Venituri potențiale din taxarea camioanelor grele </w:t>
      </w:r>
    </w:p>
    <w:bookmarkStart w:id="676" w:name="_MON_1485621302"/>
    <w:bookmarkEnd w:id="676"/>
    <w:p w:rsidR="002B762C" w:rsidRPr="00BF454A" w:rsidRDefault="002B762C" w:rsidP="002B762C">
      <w:pPr>
        <w:pStyle w:val="Body"/>
        <w:rPr>
          <w:lang w:val="ro-RO"/>
        </w:rPr>
      </w:pPr>
      <w:r w:rsidRPr="00BF454A">
        <w:rPr>
          <w:lang w:val="ro-RO"/>
        </w:rPr>
        <w:object w:dxaOrig="12014" w:dyaOrig="6415">
          <v:shape id="_x0000_i1037" type="#_x0000_t75" style="width:471pt;height:253.5pt" o:ole="">
            <v:imagedata r:id="rId371" o:title=""/>
          </v:shape>
          <o:OLEObject Type="Embed" ProgID="Excel.Sheet.12" ShapeID="_x0000_i1037" DrawAspect="Content" ObjectID="_1491205393" r:id="rId372"/>
        </w:object>
      </w:r>
      <w:r w:rsidRPr="00BF454A">
        <w:rPr>
          <w:sz w:val="18"/>
          <w:szCs w:val="18"/>
          <w:lang w:val="ro-RO"/>
        </w:rPr>
        <w:t>Analiza AECOM folosind Studiul de recuperare a costurilor al Băncii Mondiale și Modelul Național de Transport</w:t>
      </w:r>
    </w:p>
    <w:p w:rsidR="002B762C" w:rsidRPr="00BF454A" w:rsidRDefault="002B762C" w:rsidP="002B7E09">
      <w:pPr>
        <w:pStyle w:val="NumberedParas"/>
      </w:pPr>
      <w:r w:rsidRPr="00BF454A">
        <w:t xml:space="preserve">În opinia noastră, cea mai realistă ipoteză privind surplusul potențial al CNADNR este cea cu cifra mai mică, de 1,9 miliarde de Euro pe perioada 2020 – 2030. Aceasta presupune ca venitul din accize să fie parte a venitului general din taxare al guvernului și care nu va fi disponibil CNADNR sau MT pentru finanțarea proiectelor de transport. </w:t>
      </w:r>
    </w:p>
    <w:p w:rsidR="002B762C" w:rsidRPr="00BF454A" w:rsidRDefault="002B762C" w:rsidP="002B7E09">
      <w:pPr>
        <w:pStyle w:val="NumberedParas"/>
      </w:pPr>
      <w:r w:rsidRPr="00BF454A">
        <w:t xml:space="preserve">Cu toate acestea, în acest moment, introducerea RUC nu este o recomandare a Master Planului. Prezentăm aici rezultatele pentru a arăta ce se poate obține prin intermediul acestei inițiative dar recunoaștem faptul că acesta este un aspect de politică controversat, care poate fi nepopular pentru industria de transport, deoarece duce la creșterea costurilor. Recent Franța a abandonat acest sistem (ecotaxa) ca urmare a opoziției puternice venite din partea industriei de transport, în ciuda sprijinului primit din partea tuturor partidelor. </w:t>
      </w:r>
    </w:p>
    <w:p w:rsidR="002B762C" w:rsidRPr="00BF454A" w:rsidRDefault="002B762C" w:rsidP="002B7E09">
      <w:pPr>
        <w:pStyle w:val="NumberedParas"/>
      </w:pPr>
      <w:r w:rsidRPr="00BF454A">
        <w:t xml:space="preserve">Un aspect particular se referă la utilizarea surplusului de venituri. Măsurile de tip RUC nu sunt niciodată populare dar se pot bucura de mai mult sprijin dacă </w:t>
      </w:r>
      <w:r>
        <w:t>surplusul de venit este alocat pentru investițiile</w:t>
      </w:r>
      <w:r w:rsidRPr="00BF454A">
        <w:t xml:space="preserve"> în transporturi (și în special pentru investițiile în transportul rutier).</w:t>
      </w:r>
    </w:p>
    <w:p w:rsidR="002B762C" w:rsidRPr="00BF454A" w:rsidRDefault="002B762C" w:rsidP="002B7E09">
      <w:pPr>
        <w:pStyle w:val="NumberedParas"/>
      </w:pPr>
      <w:r w:rsidRPr="00BF454A">
        <w:t>Cu toate acestea, măsura de taxare a camioanelor grele (HGV RUC) reprezintă o politică UE. Recomandăm așadar lansarea unui proiect de Asistență Tehnică pentru examinarea fezabilității unui astfel de proiect în România care să includă, de asemenea, și specificarea drumurilor care vor fi incluse în schemă, a tehnologiei ce va fi folosită, a modului în care surplusul de venituri va trebui cheltuit, experiența altor țări și consultări cu industria de transport.</w:t>
      </w:r>
    </w:p>
    <w:p w:rsidR="002B762C" w:rsidRPr="00BF454A" w:rsidRDefault="002B762C" w:rsidP="002B762C">
      <w:pPr>
        <w:rPr>
          <w:lang w:val="ro-RO"/>
        </w:rPr>
      </w:pPr>
    </w:p>
    <w:p w:rsidR="002B762C" w:rsidRPr="00BF454A" w:rsidRDefault="002B762C" w:rsidP="002B762C">
      <w:pPr>
        <w:pStyle w:val="Hdg3"/>
      </w:pPr>
      <w:bookmarkStart w:id="677" w:name="_Toc411956620"/>
      <w:r w:rsidRPr="00BF454A">
        <w:t>Analiza de accesibilitate</w:t>
      </w:r>
      <w:bookmarkEnd w:id="677"/>
    </w:p>
    <w:p w:rsidR="002B762C" w:rsidRPr="00BF454A" w:rsidRDefault="002B762C" w:rsidP="002B7E09">
      <w:pPr>
        <w:pStyle w:val="NumberedParas"/>
      </w:pPr>
      <w:r w:rsidRPr="00BF454A">
        <w:t>A fost elaborată o analiză suplimentară privind evaluarea accesibilității relative a principalelor aglomerări urbane prin luarea în considerare a accesului la oportunitățile de locuri de muncă.</w:t>
      </w:r>
    </w:p>
    <w:p w:rsidR="002B762C" w:rsidRPr="00BF454A" w:rsidRDefault="002B762C" w:rsidP="002B7E09">
      <w:pPr>
        <w:pStyle w:val="NumberedParas"/>
      </w:pPr>
      <w:r w:rsidRPr="00BF454A">
        <w:t>Formula de calcul a densității efective este:</w:t>
      </w:r>
    </w:p>
    <w:p w:rsidR="002B762C" w:rsidRPr="00BF454A" w:rsidRDefault="002B762C" w:rsidP="002B762C">
      <w:pPr>
        <w:pStyle w:val="Body"/>
        <w:rPr>
          <w:lang w:val="ro-RO"/>
        </w:rPr>
      </w:pPr>
      <m:oMathPara>
        <m:oMath>
          <m:r>
            <w:rPr>
              <w:rFonts w:ascii="Cambria Math" w:hAnsi="Cambria Math"/>
              <w:lang w:val="ro-RO"/>
            </w:rPr>
            <m:t xml:space="preserve">U = </m:t>
          </m:r>
          <m:nary>
            <m:naryPr>
              <m:chr m:val="∑"/>
              <m:limLoc m:val="undOvr"/>
              <m:ctrlPr>
                <w:rPr>
                  <w:rFonts w:ascii="Cambria Math" w:hAnsi="Cambria Math"/>
                  <w:lang w:val="ro-RO"/>
                </w:rPr>
              </m:ctrlPr>
            </m:naryPr>
            <m:sub>
              <m:r>
                <w:rPr>
                  <w:rFonts w:ascii="Cambria Math" w:hAnsi="Cambria Math"/>
                  <w:lang w:val="ro-RO"/>
                </w:rPr>
                <m:t>j</m:t>
              </m:r>
            </m:sub>
            <m:sup>
              <m:r>
                <w:rPr>
                  <w:rFonts w:ascii="Cambria Math" w:hAnsi="Cambria Math"/>
                  <w:lang w:val="ro-RO"/>
                </w:rPr>
                <m:t>i≠j</m:t>
              </m:r>
            </m:sup>
            <m:e>
              <m:d>
                <m:dPr>
                  <m:ctrlPr>
                    <w:rPr>
                      <w:rFonts w:ascii="Cambria Math" w:hAnsi="Cambria Math"/>
                      <w:lang w:val="ro-RO"/>
                    </w:rPr>
                  </m:ctrlPr>
                </m:dPr>
                <m:e>
                  <m:f>
                    <m:fPr>
                      <m:type m:val="skw"/>
                      <m:ctrlPr>
                        <w:rPr>
                          <w:rFonts w:ascii="Cambria Math" w:hAnsi="Cambria Math"/>
                          <w:lang w:val="ro-RO"/>
                        </w:rPr>
                      </m:ctrlPr>
                    </m:fPr>
                    <m:num>
                      <m:sSub>
                        <m:sSubPr>
                          <m:ctrlPr>
                            <w:rPr>
                              <w:rFonts w:ascii="Cambria Math" w:hAnsi="Cambria Math"/>
                              <w:lang w:val="ro-RO"/>
                            </w:rPr>
                          </m:ctrlPr>
                        </m:sSubPr>
                        <m:e>
                          <m:r>
                            <w:rPr>
                              <w:rFonts w:ascii="Cambria Math" w:hAnsi="Cambria Math"/>
                              <w:lang w:val="ro-RO"/>
                            </w:rPr>
                            <m:t>A</m:t>
                          </m:r>
                        </m:e>
                        <m:sub>
                          <m:r>
                            <w:rPr>
                              <w:rFonts w:ascii="Cambria Math" w:hAnsi="Cambria Math"/>
                              <w:lang w:val="ro-RO"/>
                            </w:rPr>
                            <m:t>j</m:t>
                          </m:r>
                        </m:sub>
                      </m:sSub>
                    </m:num>
                    <m:den>
                      <m:sSup>
                        <m:sSupPr>
                          <m:ctrlPr>
                            <w:rPr>
                              <w:rFonts w:ascii="Cambria Math" w:hAnsi="Cambria Math"/>
                              <w:lang w:val="ro-RO"/>
                            </w:rPr>
                          </m:ctrlPr>
                        </m:sSupPr>
                        <m:e>
                          <m:d>
                            <m:dPr>
                              <m:ctrlPr>
                                <w:rPr>
                                  <w:rFonts w:ascii="Cambria Math" w:hAnsi="Cambria Math"/>
                                  <w:lang w:val="ro-RO"/>
                                </w:rPr>
                              </m:ctrlPr>
                            </m:dPr>
                            <m:e>
                              <m:sSub>
                                <m:sSubPr>
                                  <m:ctrlPr>
                                    <w:rPr>
                                      <w:rFonts w:ascii="Cambria Math" w:hAnsi="Cambria Math"/>
                                      <w:lang w:val="ro-RO"/>
                                    </w:rPr>
                                  </m:ctrlPr>
                                </m:sSubPr>
                                <m:e>
                                  <m:r>
                                    <w:rPr>
                                      <w:rFonts w:ascii="Cambria Math" w:hAnsi="Cambria Math"/>
                                      <w:lang w:val="ro-RO"/>
                                    </w:rPr>
                                    <m:t>d</m:t>
                                  </m:r>
                                </m:e>
                                <m:sub>
                                  <m:r>
                                    <w:rPr>
                                      <w:rFonts w:ascii="Cambria Math" w:hAnsi="Cambria Math"/>
                                      <w:lang w:val="ro-RO"/>
                                    </w:rPr>
                                    <m:t>ij</m:t>
                                  </m:r>
                                </m:sub>
                              </m:sSub>
                            </m:e>
                          </m:d>
                        </m:e>
                        <m:sup>
                          <m:r>
                            <w:rPr>
                              <w:rFonts w:ascii="Cambria Math" w:hAnsi="Cambria Math"/>
                              <w:lang w:val="ro-RO"/>
                            </w:rPr>
                            <m:t>α</m:t>
                          </m:r>
                        </m:sup>
                      </m:sSup>
                    </m:den>
                  </m:f>
                </m:e>
              </m:d>
              <m:r>
                <w:rPr>
                  <w:rFonts w:ascii="Cambria Math" w:hAnsi="Cambria Math"/>
                  <w:lang w:val="ro-RO"/>
                </w:rPr>
                <m:t>+</m:t>
              </m:r>
              <m:f>
                <m:fPr>
                  <m:type m:val="skw"/>
                  <m:ctrlPr>
                    <w:rPr>
                      <w:rFonts w:ascii="Cambria Math" w:hAnsi="Cambria Math"/>
                      <w:lang w:val="ro-RO"/>
                    </w:rPr>
                  </m:ctrlPr>
                </m:fPr>
                <m:num>
                  <m:sSub>
                    <m:sSubPr>
                      <m:ctrlPr>
                        <w:rPr>
                          <w:rFonts w:ascii="Cambria Math" w:hAnsi="Cambria Math"/>
                          <w:lang w:val="ro-RO"/>
                        </w:rPr>
                      </m:ctrlPr>
                    </m:sSubPr>
                    <m:e>
                      <m:r>
                        <w:rPr>
                          <w:rFonts w:ascii="Cambria Math" w:hAnsi="Cambria Math"/>
                          <w:lang w:val="ro-RO"/>
                        </w:rPr>
                        <m:t>A</m:t>
                      </m:r>
                    </m:e>
                    <m:sub>
                      <m:r>
                        <w:rPr>
                          <w:rFonts w:ascii="Cambria Math" w:hAnsi="Cambria Math"/>
                          <w:lang w:val="ro-RO"/>
                        </w:rPr>
                        <m:t>j</m:t>
                      </m:r>
                    </m:sub>
                  </m:sSub>
                </m:num>
                <m:den>
                  <m:sSub>
                    <m:sSubPr>
                      <m:ctrlPr>
                        <w:rPr>
                          <w:rFonts w:ascii="Cambria Math" w:hAnsi="Cambria Math"/>
                          <w:lang w:val="ro-RO"/>
                        </w:rPr>
                      </m:ctrlPr>
                    </m:sSubPr>
                    <m:e>
                      <m:r>
                        <w:rPr>
                          <w:rFonts w:ascii="Cambria Math" w:hAnsi="Cambria Math"/>
                          <w:lang w:val="ro-RO"/>
                        </w:rPr>
                        <m:t>d</m:t>
                      </m:r>
                    </m:e>
                    <m:sub>
                      <m:r>
                        <w:rPr>
                          <w:rFonts w:ascii="Cambria Math" w:hAnsi="Cambria Math"/>
                          <w:lang w:val="ro-RO"/>
                        </w:rPr>
                        <m:t>i</m:t>
                      </m:r>
                    </m:sub>
                  </m:sSub>
                </m:den>
              </m:f>
            </m:e>
          </m:nary>
        </m:oMath>
      </m:oMathPara>
    </w:p>
    <w:p w:rsidR="002B762C" w:rsidRPr="00BF454A" w:rsidRDefault="002B762C" w:rsidP="002B762C">
      <w:pPr>
        <w:pStyle w:val="Body"/>
        <w:rPr>
          <w:i w:val="0"/>
          <w:lang w:val="ro-RO"/>
        </w:rPr>
      </w:pPr>
      <w:r w:rsidRPr="00BF454A">
        <w:rPr>
          <w:i w:val="0"/>
          <w:lang w:val="ro-RO"/>
        </w:rPr>
        <w:t>unde:</w:t>
      </w:r>
    </w:p>
    <w:p w:rsidR="002B762C" w:rsidRPr="00BF454A" w:rsidRDefault="002B762C" w:rsidP="002B762C">
      <w:pPr>
        <w:pStyle w:val="Body"/>
        <w:ind w:left="1134"/>
        <w:rPr>
          <w:i w:val="0"/>
          <w:lang w:val="ro-RO"/>
        </w:rPr>
      </w:pPr>
      <w:r w:rsidRPr="00BF454A">
        <w:rPr>
          <w:i w:val="0"/>
          <w:lang w:val="ro-RO"/>
        </w:rPr>
        <w:t>U =</w:t>
      </w:r>
      <w:r w:rsidRPr="00BF454A">
        <w:rPr>
          <w:i w:val="0"/>
          <w:lang w:val="ro-RO"/>
        </w:rPr>
        <w:tab/>
        <w:t>densitatea efectivă pentru o zonă particulară i</w:t>
      </w:r>
    </w:p>
    <w:p w:rsidR="002B762C" w:rsidRPr="00BF454A" w:rsidRDefault="002B762C" w:rsidP="002B762C">
      <w:pPr>
        <w:pStyle w:val="Body"/>
        <w:ind w:left="1134"/>
        <w:rPr>
          <w:i w:val="0"/>
          <w:lang w:val="ro-RO"/>
        </w:rPr>
      </w:pPr>
      <w:r w:rsidRPr="00BF454A">
        <w:rPr>
          <w:i w:val="0"/>
          <w:lang w:val="ro-RO"/>
        </w:rPr>
        <w:t>Aj =</w:t>
      </w:r>
      <w:r w:rsidRPr="00BF454A">
        <w:rPr>
          <w:i w:val="0"/>
          <w:lang w:val="ro-RO"/>
        </w:rPr>
        <w:tab/>
        <w:t>indicator de evaluare a activității economice pentru alte zone (am utilizat numărul de angajați);</w:t>
      </w:r>
    </w:p>
    <w:p w:rsidR="002B762C" w:rsidRPr="00BF454A" w:rsidRDefault="002B762C" w:rsidP="002B762C">
      <w:pPr>
        <w:pStyle w:val="Body"/>
        <w:ind w:left="1134"/>
        <w:rPr>
          <w:i w:val="0"/>
          <w:lang w:val="ro-RO"/>
        </w:rPr>
      </w:pPr>
      <w:r w:rsidRPr="00BF454A">
        <w:rPr>
          <w:i w:val="0"/>
          <w:lang w:val="ro-RO"/>
        </w:rPr>
        <w:t>dij =</w:t>
      </w:r>
      <w:r w:rsidRPr="00BF454A">
        <w:rPr>
          <w:i w:val="0"/>
          <w:lang w:val="ro-RO"/>
        </w:rPr>
        <w:tab/>
        <w:t>costul generalizat de călătorie între zona i și alte zone</w:t>
      </w:r>
    </w:p>
    <w:p w:rsidR="002B762C" w:rsidRPr="00BF454A" w:rsidRDefault="002B762C" w:rsidP="002B762C">
      <w:pPr>
        <w:pStyle w:val="Body"/>
        <w:ind w:left="1134"/>
        <w:rPr>
          <w:i w:val="0"/>
          <w:lang w:val="ro-RO"/>
        </w:rPr>
      </w:pPr>
      <w:r w:rsidRPr="00BF454A">
        <w:rPr>
          <w:i w:val="0"/>
          <w:lang w:val="ro-RO"/>
        </w:rPr>
        <w:t>Ai =</w:t>
      </w:r>
      <w:r w:rsidRPr="00BF454A">
        <w:rPr>
          <w:i w:val="0"/>
          <w:lang w:val="ro-RO"/>
        </w:rPr>
        <w:tab/>
        <w:t>indicator de evaluare a activității economice zona i (am utilizat numărul de angajați)</w:t>
      </w:r>
    </w:p>
    <w:p w:rsidR="002B762C" w:rsidRPr="00BF454A" w:rsidRDefault="002B762C" w:rsidP="002B762C">
      <w:pPr>
        <w:pStyle w:val="Body"/>
        <w:ind w:left="1134"/>
        <w:rPr>
          <w:i w:val="0"/>
          <w:lang w:val="ro-RO"/>
        </w:rPr>
      </w:pPr>
      <w:r w:rsidRPr="00BF454A">
        <w:rPr>
          <w:i w:val="0"/>
          <w:lang w:val="ro-RO"/>
        </w:rPr>
        <w:t>di  =</w:t>
      </w:r>
      <w:r w:rsidRPr="00BF454A">
        <w:rPr>
          <w:i w:val="0"/>
          <w:lang w:val="ro-RO"/>
        </w:rPr>
        <w:tab/>
        <w:t>cost generalizat tipic pentru o călătorie internă (am considerat 30 minute pentru toate zonele din România).</w:t>
      </w:r>
    </w:p>
    <w:p w:rsidR="002B762C" w:rsidRPr="00BF454A" w:rsidRDefault="002B762C" w:rsidP="002B762C">
      <w:pPr>
        <w:pStyle w:val="Body"/>
        <w:ind w:left="1134"/>
        <w:rPr>
          <w:i w:val="0"/>
          <w:lang w:val="ro-RO"/>
        </w:rPr>
      </w:pPr>
      <w:r w:rsidRPr="00BF454A">
        <w:rPr>
          <w:i w:val="0"/>
          <w:lang w:val="ro-RO"/>
        </w:rPr>
        <w:t>α   =</w:t>
      </w:r>
      <w:r w:rsidRPr="00BF454A">
        <w:rPr>
          <w:i w:val="0"/>
          <w:lang w:val="ro-RO"/>
        </w:rPr>
        <w:tab/>
        <w:t>1.0</w:t>
      </w:r>
    </w:p>
    <w:p w:rsidR="002B762C" w:rsidRPr="00BF454A" w:rsidRDefault="002B762C" w:rsidP="002B7E09">
      <w:pPr>
        <w:pStyle w:val="NumberedParas"/>
      </w:pPr>
      <w:r w:rsidRPr="00BF454A">
        <w:t>Unitatea de exprimare a valorilor efective ale densității este numărul de angajați pe minut. În contextul interpretării valorii absolute a densității efective a unei zone ce este cu adevărat important este diferența procentuală (%) a valorilor, fie între diferite regiuni în același an au între aceleași regiuni în scenarii diferite sau ani diferiți.</w:t>
      </w:r>
    </w:p>
    <w:p w:rsidR="002B762C" w:rsidRPr="00BF454A" w:rsidRDefault="002B762C" w:rsidP="002B7E09">
      <w:pPr>
        <w:pStyle w:val="NumberedParas"/>
      </w:pPr>
      <w:r w:rsidRPr="00BF454A">
        <w:t>Densitatea efectivă pentru o zonă se calculează prin analizarea fiecăreia dintre celelalte zone din model și prin calcularea numărului de angajați din zone divizat la costul generalizat (în minute) al deplasării de la zona de origine la celelalte zone. Aceasta generează o valoare pentru fiecare dintre celelalte zone. Valorile tuturor celorlalte zone sunt însumate și dau în final densitatea pentru zona originală. Acest proces este apoi repetat pentru fiecare zonă din model. Ulterior se selectează media ponderată a tuturor zonelor din fiecare județ și a tuturor zonelor din România. Calcularea densității efective se face cu o serie de matrice din cadrul modelului deoarece este nevoie de costul deplasărilor  dintre toate perechile O-D.</w:t>
      </w:r>
    </w:p>
    <w:p w:rsidR="002B762C" w:rsidRPr="00BF454A" w:rsidRDefault="002B762C" w:rsidP="002B7E09">
      <w:pPr>
        <w:pStyle w:val="NumberedParas"/>
      </w:pPr>
      <w:r w:rsidRPr="00BF454A">
        <w:t>Densitatea efectivă a unei zone este astfel mai mare pentru o zonă în care se poate călători către un număr mare de angajați din alte zone într-un timp scurt, și mai mică dacă se poate către un număr mai mic de angajați într-un timp mai lung</w:t>
      </w:r>
    </w:p>
    <w:p w:rsidR="002B762C" w:rsidRPr="00BF454A" w:rsidRDefault="002B762C" w:rsidP="002B7E09">
      <w:pPr>
        <w:pStyle w:val="NumberedParas"/>
      </w:pPr>
      <w:r w:rsidRPr="00BF454A">
        <w:t xml:space="preserve">Acest proces a luat în considerare costul generalizat al călătoriei pe rețeaua rutieră și numărul de angajați. </w:t>
      </w:r>
    </w:p>
    <w:p w:rsidR="002B762C" w:rsidRPr="00BF454A" w:rsidRDefault="002B762C" w:rsidP="002B7E09">
      <w:pPr>
        <w:pStyle w:val="NumberedParas"/>
      </w:pPr>
      <w:r w:rsidRPr="00BF454A">
        <w:t xml:space="preserve">Planșele de accesibilitate pentru deplasările interne în anul de bază și anul de prognoză 2030 sunt prezentate în Figurile </w:t>
      </w:r>
      <w:r>
        <w:t>10</w:t>
      </w:r>
      <w:r w:rsidRPr="00BF454A">
        <w:t>.</w:t>
      </w:r>
      <w:r>
        <w:t>6</w:t>
      </w:r>
      <w:r w:rsidRPr="00BF454A">
        <w:t>-</w:t>
      </w:r>
      <w:r>
        <w:t xml:space="preserve">7 </w:t>
      </w:r>
      <w:r w:rsidRPr="00BF454A">
        <w:t>de mai jos.</w:t>
      </w:r>
    </w:p>
    <w:p w:rsidR="002B762C" w:rsidRPr="00BF454A" w:rsidRDefault="002B762C" w:rsidP="002B762C">
      <w:pPr>
        <w:rPr>
          <w:sz w:val="22"/>
          <w:szCs w:val="22"/>
          <w:lang w:val="ro-RO"/>
        </w:rPr>
      </w:pPr>
      <w:r w:rsidRPr="00BF454A">
        <w:rPr>
          <w:noProof/>
          <w:sz w:val="22"/>
          <w:szCs w:val="22"/>
          <w:lang w:val="ro-RO" w:eastAsia="ro-RO"/>
        </w:rPr>
        <w:drawing>
          <wp:inline distT="0" distB="0" distL="0" distR="0">
            <wp:extent cx="5061098" cy="3530441"/>
            <wp:effectExtent l="0" t="0" r="635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065402" cy="3533443"/>
                    </a:xfrm>
                    <a:prstGeom prst="rect">
                      <a:avLst/>
                    </a:prstGeom>
                    <a:noFill/>
                    <a:ln w="9525">
                      <a:noFill/>
                      <a:miter lim="800000"/>
                      <a:headEnd/>
                      <a:tailEnd/>
                    </a:ln>
                  </pic:spPr>
                </pic:pic>
              </a:graphicData>
            </a:graphic>
          </wp:inline>
        </w:drawing>
      </w:r>
    </w:p>
    <w:p w:rsidR="002B762C" w:rsidRPr="00BF454A" w:rsidRDefault="002B762C" w:rsidP="002B762C">
      <w:pPr>
        <w:rPr>
          <w:b/>
          <w:sz w:val="22"/>
          <w:szCs w:val="22"/>
          <w:lang w:val="ro-RO"/>
        </w:rPr>
      </w:pPr>
      <w:r w:rsidRPr="00BF454A">
        <w:rPr>
          <w:b/>
          <w:sz w:val="22"/>
          <w:szCs w:val="22"/>
          <w:lang w:val="ro-RO"/>
        </w:rPr>
        <w:t xml:space="preserve">Figura </w:t>
      </w:r>
      <w:r>
        <w:rPr>
          <w:b/>
          <w:sz w:val="22"/>
          <w:szCs w:val="22"/>
          <w:lang w:val="ro-RO"/>
        </w:rPr>
        <w:t>10</w:t>
      </w:r>
      <w:r w:rsidRPr="00BF454A">
        <w:rPr>
          <w:b/>
          <w:sz w:val="22"/>
          <w:szCs w:val="22"/>
          <w:lang w:val="ro-RO"/>
        </w:rPr>
        <w:t>.</w:t>
      </w:r>
      <w:r>
        <w:rPr>
          <w:b/>
          <w:sz w:val="22"/>
          <w:szCs w:val="22"/>
          <w:lang w:val="ro-RO"/>
        </w:rPr>
        <w:t>6</w:t>
      </w:r>
      <w:r w:rsidRPr="00BF454A">
        <w:rPr>
          <w:b/>
          <w:sz w:val="22"/>
          <w:szCs w:val="22"/>
          <w:lang w:val="ro-RO"/>
        </w:rPr>
        <w:t xml:space="preserve"> Accesibilitatea in anul de baza, calatorii interne</w:t>
      </w:r>
    </w:p>
    <w:p w:rsidR="002B762C" w:rsidRPr="00BF454A" w:rsidRDefault="002B762C" w:rsidP="002B762C">
      <w:pPr>
        <w:rPr>
          <w:b/>
          <w:sz w:val="22"/>
          <w:szCs w:val="22"/>
          <w:lang w:val="ro-RO"/>
        </w:rPr>
      </w:pPr>
    </w:p>
    <w:p w:rsidR="002B762C" w:rsidRPr="00BF454A" w:rsidRDefault="002B762C" w:rsidP="002B762C">
      <w:pPr>
        <w:rPr>
          <w:sz w:val="22"/>
          <w:szCs w:val="22"/>
          <w:lang w:val="ro-RO"/>
        </w:rPr>
      </w:pPr>
      <w:r w:rsidRPr="00BF454A">
        <w:rPr>
          <w:noProof/>
          <w:sz w:val="22"/>
          <w:szCs w:val="22"/>
          <w:lang w:val="ro-RO" w:eastAsia="ro-RO"/>
        </w:rPr>
        <w:drawing>
          <wp:inline distT="0" distB="0" distL="0" distR="0">
            <wp:extent cx="5061098" cy="3530441"/>
            <wp:effectExtent l="0" t="0" r="635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065402" cy="3533443"/>
                    </a:xfrm>
                    <a:prstGeom prst="rect">
                      <a:avLst/>
                    </a:prstGeom>
                    <a:noFill/>
                    <a:ln w="9525">
                      <a:noFill/>
                      <a:miter lim="800000"/>
                      <a:headEnd/>
                      <a:tailEnd/>
                    </a:ln>
                  </pic:spPr>
                </pic:pic>
              </a:graphicData>
            </a:graphic>
          </wp:inline>
        </w:drawing>
      </w:r>
    </w:p>
    <w:p w:rsidR="002B762C" w:rsidRPr="00BF454A" w:rsidRDefault="002B762C" w:rsidP="002B762C">
      <w:pPr>
        <w:spacing w:before="120" w:line="276" w:lineRule="auto"/>
        <w:rPr>
          <w:b/>
          <w:sz w:val="22"/>
          <w:szCs w:val="22"/>
          <w:lang w:val="ro-RO"/>
        </w:rPr>
      </w:pPr>
      <w:r w:rsidRPr="00BF454A">
        <w:rPr>
          <w:b/>
          <w:sz w:val="22"/>
          <w:szCs w:val="22"/>
          <w:lang w:val="ro-RO"/>
        </w:rPr>
        <w:t xml:space="preserve">Figura </w:t>
      </w:r>
      <w:r>
        <w:rPr>
          <w:b/>
          <w:sz w:val="22"/>
          <w:szCs w:val="22"/>
          <w:lang w:val="ro-RO"/>
        </w:rPr>
        <w:t>10</w:t>
      </w:r>
      <w:r w:rsidRPr="00BF454A">
        <w:rPr>
          <w:b/>
          <w:sz w:val="22"/>
          <w:szCs w:val="22"/>
          <w:lang w:val="ro-RO"/>
        </w:rPr>
        <w:t>.</w:t>
      </w:r>
      <w:r>
        <w:rPr>
          <w:b/>
          <w:sz w:val="22"/>
          <w:szCs w:val="22"/>
          <w:lang w:val="ro-RO"/>
        </w:rPr>
        <w:t>7</w:t>
      </w:r>
      <w:r w:rsidRPr="00BF454A">
        <w:rPr>
          <w:b/>
          <w:sz w:val="22"/>
          <w:szCs w:val="22"/>
          <w:lang w:val="ro-RO"/>
        </w:rPr>
        <w:t xml:space="preserve"> Accesibilitatea in anul de prognoza 2030, calatorii interne</w:t>
      </w:r>
    </w:p>
    <w:p w:rsidR="002B762C" w:rsidRPr="00BF454A" w:rsidRDefault="002B762C" w:rsidP="002B762C">
      <w:pPr>
        <w:rPr>
          <w:b/>
          <w:sz w:val="22"/>
          <w:szCs w:val="22"/>
          <w:lang w:val="ro-RO"/>
        </w:rPr>
      </w:pPr>
    </w:p>
    <w:p w:rsidR="002B762C" w:rsidRPr="00BF454A" w:rsidRDefault="002B762C" w:rsidP="002B7E09">
      <w:pPr>
        <w:pStyle w:val="NumberedParas"/>
      </w:pPr>
      <w:r w:rsidRPr="00BF454A">
        <w:t>O comparație între cele două planșe arată ca accesibilitatea a crescut către zonele periferice ale României, cum ar fi zona de nord-est a țării, de-a lungul coridorului Buzău-Iași. Același lucru se poate observa și pentru zonele de nord-est în zona Cluj/Târgu Mureș, precum și în zona de vest, în vecinătatea municipiului Timișoara.</w:t>
      </w:r>
    </w:p>
    <w:p w:rsidR="002B762C" w:rsidRPr="00BF454A" w:rsidRDefault="002B762C" w:rsidP="002B7E09">
      <w:pPr>
        <w:pStyle w:val="NumberedParas"/>
      </w:pPr>
      <w:r w:rsidRPr="00BF454A">
        <w:t xml:space="preserve">Figurile </w:t>
      </w:r>
      <w:r>
        <w:t>10</w:t>
      </w:r>
      <w:r w:rsidRPr="00BF454A">
        <w:t>.</w:t>
      </w:r>
      <w:r>
        <w:t>8</w:t>
      </w:r>
      <w:r w:rsidRPr="00BF454A">
        <w:t xml:space="preserve"> și </w:t>
      </w:r>
      <w:r>
        <w:t>10</w:t>
      </w:r>
      <w:r w:rsidRPr="00BF454A">
        <w:t>.</w:t>
      </w:r>
      <w:r>
        <w:t>9</w:t>
      </w:r>
      <w:r w:rsidRPr="00BF454A">
        <w:t xml:space="preserve"> ilustrează accesibilitatea României către țările vecine, pentru anul de bază și Scenariul EES la nivelul anului 2030.</w:t>
      </w:r>
    </w:p>
    <w:p w:rsidR="002B762C" w:rsidRPr="00BF454A" w:rsidRDefault="002B762C" w:rsidP="002B762C">
      <w:pPr>
        <w:spacing w:before="120" w:line="276" w:lineRule="auto"/>
        <w:rPr>
          <w:sz w:val="22"/>
          <w:szCs w:val="22"/>
          <w:lang w:val="ro-RO"/>
        </w:rPr>
      </w:pPr>
      <w:r w:rsidRPr="00BF454A">
        <w:rPr>
          <w:noProof/>
          <w:sz w:val="22"/>
          <w:szCs w:val="22"/>
          <w:lang w:val="ro-RO" w:eastAsia="ro-RO"/>
        </w:rPr>
        <w:drawing>
          <wp:inline distT="0" distB="0" distL="0" distR="0">
            <wp:extent cx="4635795" cy="3233764"/>
            <wp:effectExtent l="0" t="0" r="0" b="5080"/>
            <wp:docPr id="543" name="Picture 331" descr="EffectiveDensity_Employment_RoadGC_Exter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iveDensity_Employment_RoadGC_External.png"/>
                    <pic:cNvPicPr/>
                  </pic:nvPicPr>
                  <pic:blipFill>
                    <a:blip r:embed="rId375" cstate="email">
                      <a:extLst>
                        <a:ext uri="{28A0092B-C50C-407E-A947-70E740481C1C}">
                          <a14:useLocalDpi xmlns:a14="http://schemas.microsoft.com/office/drawing/2010/main"/>
                        </a:ext>
                      </a:extLst>
                    </a:blip>
                    <a:stretch>
                      <a:fillRect/>
                    </a:stretch>
                  </pic:blipFill>
                  <pic:spPr>
                    <a:xfrm>
                      <a:off x="0" y="0"/>
                      <a:ext cx="4663894" cy="3253365"/>
                    </a:xfrm>
                    <a:prstGeom prst="rect">
                      <a:avLst/>
                    </a:prstGeom>
                  </pic:spPr>
                </pic:pic>
              </a:graphicData>
            </a:graphic>
          </wp:inline>
        </w:drawing>
      </w:r>
    </w:p>
    <w:p w:rsidR="002B762C" w:rsidRPr="00BF454A" w:rsidRDefault="002B762C" w:rsidP="002B762C">
      <w:pPr>
        <w:spacing w:before="120" w:line="276" w:lineRule="auto"/>
        <w:ind w:left="851"/>
        <w:rPr>
          <w:b/>
          <w:sz w:val="22"/>
          <w:szCs w:val="22"/>
          <w:lang w:val="ro-RO"/>
        </w:rPr>
      </w:pPr>
      <w:r w:rsidRPr="00BF454A">
        <w:rPr>
          <w:b/>
          <w:sz w:val="22"/>
          <w:szCs w:val="22"/>
          <w:lang w:val="ro-RO"/>
        </w:rPr>
        <w:t xml:space="preserve">Figura </w:t>
      </w:r>
      <w:r>
        <w:rPr>
          <w:b/>
          <w:sz w:val="22"/>
          <w:szCs w:val="22"/>
          <w:lang w:val="ro-RO"/>
        </w:rPr>
        <w:t>10</w:t>
      </w:r>
      <w:r w:rsidRPr="00BF454A">
        <w:rPr>
          <w:b/>
          <w:sz w:val="22"/>
          <w:szCs w:val="22"/>
          <w:lang w:val="ro-RO"/>
        </w:rPr>
        <w:t>.</w:t>
      </w:r>
      <w:r>
        <w:rPr>
          <w:b/>
          <w:sz w:val="22"/>
          <w:szCs w:val="22"/>
          <w:lang w:val="ro-RO"/>
        </w:rPr>
        <w:t>8</w:t>
      </w:r>
      <w:r w:rsidRPr="00BF454A">
        <w:rPr>
          <w:b/>
          <w:sz w:val="22"/>
          <w:szCs w:val="22"/>
          <w:lang w:val="ro-RO"/>
        </w:rPr>
        <w:t xml:space="preserve">  Accesibilitatea in anul de baza, calatorii internaționale</w:t>
      </w:r>
    </w:p>
    <w:p w:rsidR="002B762C" w:rsidRPr="00BF454A" w:rsidRDefault="002B762C" w:rsidP="002B762C">
      <w:pPr>
        <w:spacing w:before="120" w:line="276" w:lineRule="auto"/>
        <w:rPr>
          <w:sz w:val="22"/>
          <w:szCs w:val="22"/>
          <w:lang w:val="ro-RO"/>
        </w:rPr>
      </w:pPr>
      <w:r w:rsidRPr="00BF454A">
        <w:rPr>
          <w:noProof/>
          <w:sz w:val="22"/>
          <w:szCs w:val="22"/>
          <w:lang w:val="ro-RO" w:eastAsia="ro-RO"/>
        </w:rPr>
        <w:drawing>
          <wp:inline distT="0" distB="0" distL="0" distR="0">
            <wp:extent cx="4635795" cy="3233764"/>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4652126" cy="3245156"/>
                    </a:xfrm>
                    <a:prstGeom prst="rect">
                      <a:avLst/>
                    </a:prstGeom>
                    <a:noFill/>
                    <a:ln w="9525">
                      <a:noFill/>
                      <a:miter lim="800000"/>
                      <a:headEnd/>
                      <a:tailEnd/>
                    </a:ln>
                  </pic:spPr>
                </pic:pic>
              </a:graphicData>
            </a:graphic>
          </wp:inline>
        </w:drawing>
      </w:r>
    </w:p>
    <w:p w:rsidR="002B762C" w:rsidRPr="00BF454A" w:rsidRDefault="002B762C" w:rsidP="002B762C">
      <w:pPr>
        <w:spacing w:before="120" w:line="276" w:lineRule="auto"/>
        <w:ind w:left="851"/>
        <w:rPr>
          <w:b/>
          <w:sz w:val="22"/>
          <w:szCs w:val="22"/>
          <w:lang w:val="ro-RO"/>
        </w:rPr>
      </w:pPr>
      <w:r w:rsidRPr="00BF454A">
        <w:rPr>
          <w:b/>
          <w:sz w:val="22"/>
          <w:szCs w:val="22"/>
          <w:lang w:val="ro-RO"/>
        </w:rPr>
        <w:t xml:space="preserve">Figura </w:t>
      </w:r>
      <w:r>
        <w:rPr>
          <w:b/>
          <w:sz w:val="22"/>
          <w:szCs w:val="22"/>
          <w:lang w:val="ro-RO"/>
        </w:rPr>
        <w:t>10</w:t>
      </w:r>
      <w:r w:rsidRPr="00BF454A">
        <w:rPr>
          <w:b/>
          <w:sz w:val="22"/>
          <w:szCs w:val="22"/>
          <w:lang w:val="ro-RO"/>
        </w:rPr>
        <w:t>.</w:t>
      </w:r>
      <w:r>
        <w:rPr>
          <w:b/>
          <w:sz w:val="22"/>
          <w:szCs w:val="22"/>
          <w:lang w:val="ro-RO"/>
        </w:rPr>
        <w:t>9</w:t>
      </w:r>
      <w:r w:rsidRPr="00BF454A">
        <w:rPr>
          <w:b/>
          <w:sz w:val="22"/>
          <w:szCs w:val="22"/>
          <w:lang w:val="ro-RO"/>
        </w:rPr>
        <w:t xml:space="preserve">  Accesibilitatea in anul de baza, calatorii internaționale</w:t>
      </w:r>
    </w:p>
    <w:p w:rsidR="002B762C" w:rsidRDefault="002B762C" w:rsidP="002B7E09">
      <w:pPr>
        <w:pStyle w:val="NumberedParas"/>
      </w:pPr>
      <w:r w:rsidRPr="00BF454A">
        <w:t>Contrastul între anul de bază și 2030 este evident. Mare parte din zonele de vest și centrală ale României vor beneficia de creșteri importante ale accesibilității către piețele și oportunitățile de locuri de muncă externe, demonstrând succesul Master Planului în a ajuta România să-și îmbunătățească competitivitatea în cadrul piețelor regionale și europene.</w:t>
      </w:r>
    </w:p>
    <w:p w:rsidR="002B762C" w:rsidRPr="00BF454A" w:rsidRDefault="002B762C" w:rsidP="002B762C"/>
    <w:bookmarkEnd w:id="618"/>
    <w:p w:rsidR="00B4550A" w:rsidRDefault="00B4550A" w:rsidP="00B4550A">
      <w:pPr>
        <w:rPr>
          <w:lang w:val="ro-RO"/>
        </w:rPr>
      </w:pPr>
    </w:p>
    <w:p w:rsidR="002B762C" w:rsidRPr="00E0488D" w:rsidRDefault="002B762C" w:rsidP="00B4550A">
      <w:pPr>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377"/>
          <w:pgSz w:w="11907" w:h="16840" w:code="9"/>
          <w:pgMar w:top="1418" w:right="709" w:bottom="1418" w:left="907" w:header="357" w:footer="567" w:gutter="0"/>
          <w:cols w:space="187"/>
          <w:docGrid w:linePitch="360"/>
        </w:sectPr>
      </w:pPr>
    </w:p>
    <w:p w:rsidR="00B4550A" w:rsidRPr="00E0488D" w:rsidRDefault="00B4550A" w:rsidP="00B4550A">
      <w:pPr>
        <w:rPr>
          <w:b/>
          <w:lang w:val="ro-RO"/>
        </w:rPr>
        <w:sectPr w:rsidR="00B4550A" w:rsidRPr="00E0488D">
          <w:headerReference w:type="default" r:id="rId378"/>
          <w:footerReference w:type="default" r:id="rId379"/>
          <w:pgSz w:w="11907" w:h="16840" w:code="9"/>
          <w:pgMar w:top="-3640" w:right="709" w:bottom="1729" w:left="6146" w:header="357" w:footer="567" w:gutter="0"/>
          <w:cols w:space="720"/>
          <w:docGrid w:linePitch="360"/>
        </w:sectPr>
      </w:pPr>
    </w:p>
    <w:p w:rsidR="00B4550A" w:rsidRPr="00E0488D" w:rsidRDefault="00B4550A" w:rsidP="00B4550A">
      <w:pPr>
        <w:pStyle w:val="SecDivider0"/>
      </w:pPr>
      <w:r w:rsidRPr="00E0488D">
        <w:t>Anexe</w:t>
      </w:r>
    </w:p>
    <w:p w:rsidR="00B4550A" w:rsidRPr="00E0488D" w:rsidRDefault="00B4550A" w:rsidP="00B4550A">
      <w:pPr>
        <w:rPr>
          <w:lang w:val="ro-RO"/>
        </w:rPr>
      </w:pPr>
    </w:p>
    <w:p w:rsidR="00B4550A" w:rsidRPr="00E0488D" w:rsidRDefault="00B4550A" w:rsidP="00B4550A">
      <w:pPr>
        <w:rPr>
          <w:lang w:val="ro-RO"/>
        </w:rPr>
        <w:sectPr w:rsidR="00B4550A" w:rsidRPr="00E0488D" w:rsidSect="00E37C9E">
          <w:type w:val="continuous"/>
          <w:pgSz w:w="11907" w:h="16840" w:code="9"/>
          <w:pgMar w:top="-3640" w:right="709" w:bottom="1729" w:left="6146" w:header="357" w:footer="567" w:gutter="0"/>
          <w:cols w:space="720"/>
          <w:docGrid w:linePitch="360"/>
        </w:sectPr>
      </w:pPr>
    </w:p>
    <w:p w:rsidR="00B4550A" w:rsidRPr="00E0488D" w:rsidRDefault="00B4550A" w:rsidP="00B4550A">
      <w:pPr>
        <w:pStyle w:val="Hdg1"/>
        <w:framePr w:w="0" w:hRule="auto" w:wrap="auto" w:hAnchor="text" w:xAlign="left" w:yAlign="inline"/>
        <w:numPr>
          <w:ilvl w:val="0"/>
          <w:numId w:val="2"/>
        </w:numPr>
        <w:ind w:left="851" w:hanging="851"/>
      </w:pPr>
      <w:bookmarkStart w:id="678" w:name="_Toc413060364"/>
      <w:r w:rsidRPr="00E0488D">
        <w:t>Anexe</w:t>
      </w:r>
      <w:bookmarkEnd w:id="678"/>
    </w:p>
    <w:p w:rsidR="00B4550A" w:rsidRPr="00E0488D" w:rsidRDefault="00B4550A" w:rsidP="00B4550A">
      <w:pPr>
        <w:rPr>
          <w:lang w:val="ro-RO"/>
        </w:rPr>
      </w:pPr>
    </w:p>
    <w:p w:rsidR="00B4550A" w:rsidRPr="00E0488D" w:rsidRDefault="00B4550A" w:rsidP="00B4550A">
      <w:pPr>
        <w:rPr>
          <w:lang w:val="ro-RO"/>
        </w:rPr>
      </w:pPr>
    </w:p>
    <w:p w:rsidR="00B4550A" w:rsidRPr="00E0488D" w:rsidRDefault="00B4550A" w:rsidP="00B4550A">
      <w:pPr>
        <w:rPr>
          <w:lang w:val="ro-RO"/>
        </w:rPr>
        <w:sectPr w:rsidR="00B4550A" w:rsidRPr="00E0488D" w:rsidSect="00933C17">
          <w:headerReference w:type="default" r:id="rId380"/>
          <w:pgSz w:w="11907" w:h="16840" w:code="9"/>
          <w:pgMar w:top="1418" w:right="709" w:bottom="1418" w:left="907" w:header="357" w:footer="567" w:gutter="0"/>
          <w:cols w:space="187"/>
          <w:docGrid w:linePitch="360"/>
        </w:sectPr>
      </w:pPr>
    </w:p>
    <w:p w:rsidR="00B4550A" w:rsidRPr="00E0488D" w:rsidRDefault="00B4550A" w:rsidP="00B4550A">
      <w:pPr>
        <w:rPr>
          <w:lang w:val="ro-RO"/>
        </w:rPr>
      </w:pPr>
    </w:p>
    <w:p w:rsidR="00B4550A" w:rsidRPr="00E0488D" w:rsidRDefault="00B4550A" w:rsidP="00BD59B2">
      <w:pPr>
        <w:pStyle w:val="Hdg2"/>
      </w:pPr>
      <w:bookmarkStart w:id="679" w:name="_Toc413060365"/>
      <w:r w:rsidRPr="00E0488D">
        <w:t>Anexa A. Planul financiar MPGT</w:t>
      </w:r>
      <w:bookmarkEnd w:id="679"/>
    </w:p>
    <w:p w:rsidR="00B4550A" w:rsidRPr="00E0488D" w:rsidRDefault="00B4550A" w:rsidP="00B4550A">
      <w:pPr>
        <w:rPr>
          <w:lang w:val="ro-RO"/>
        </w:rPr>
      </w:pPr>
      <w:r w:rsidRPr="00E0488D">
        <w:rPr>
          <w:noProof/>
          <w:lang w:val="ro-RO" w:eastAsia="ro-RO"/>
        </w:rPr>
        <w:drawing>
          <wp:inline distT="0" distB="0" distL="0" distR="0">
            <wp:extent cx="13218795" cy="8181340"/>
            <wp:effectExtent l="0" t="0" r="1905" b="0"/>
            <wp:docPr id="884"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3218795" cy="8181340"/>
                    </a:xfrm>
                    <a:prstGeom prst="rect">
                      <a:avLst/>
                    </a:prstGeom>
                    <a:noFill/>
                    <a:ln>
                      <a:noFill/>
                    </a:ln>
                  </pic:spPr>
                </pic:pic>
              </a:graphicData>
            </a:graphic>
          </wp:inline>
        </w:drawing>
      </w:r>
    </w:p>
    <w:p w:rsidR="00B4550A" w:rsidRPr="00E0488D" w:rsidRDefault="00B4550A" w:rsidP="00B4550A">
      <w:pPr>
        <w:rPr>
          <w:lang w:val="ro-RO"/>
        </w:rPr>
      </w:pPr>
    </w:p>
    <w:p w:rsidR="00B4550A" w:rsidRPr="00E0488D" w:rsidRDefault="00B4550A" w:rsidP="00B4550A">
      <w:pPr>
        <w:rPr>
          <w:lang w:val="ro-RO"/>
        </w:rPr>
        <w:sectPr w:rsidR="00B4550A" w:rsidRPr="00E0488D" w:rsidSect="007C5361">
          <w:pgSz w:w="23814" w:h="16840" w:orient="landscape" w:code="8"/>
          <w:pgMar w:top="907" w:right="1418" w:bottom="709" w:left="1418" w:header="357" w:footer="567" w:gutter="0"/>
          <w:cols w:space="187"/>
          <w:docGrid w:linePitch="360"/>
        </w:sectPr>
      </w:pPr>
    </w:p>
    <w:p w:rsidR="00B4550A" w:rsidRPr="00E0488D" w:rsidRDefault="00B4550A" w:rsidP="00BD59B2">
      <w:pPr>
        <w:pStyle w:val="Hdg2"/>
      </w:pPr>
      <w:bookmarkStart w:id="680" w:name="_Toc413060366"/>
      <w:r w:rsidRPr="00E0488D">
        <w:t>Anexa B. Hărți TEN-T pentru România</w:t>
      </w:r>
      <w:bookmarkEnd w:id="680"/>
    </w:p>
    <w:p w:rsidR="00B4550A" w:rsidRPr="00E0488D" w:rsidRDefault="00B4550A" w:rsidP="00B4550A">
      <w:pPr>
        <w:rPr>
          <w:lang w:val="ro-RO"/>
        </w:rPr>
      </w:pPr>
    </w:p>
    <w:p w:rsidR="00B4550A" w:rsidRPr="00E0488D" w:rsidRDefault="00B4550A" w:rsidP="00B4550A">
      <w:pPr>
        <w:spacing w:line="276" w:lineRule="auto"/>
        <w:jc w:val="center"/>
        <w:rPr>
          <w:rFonts w:cs="Arial"/>
          <w:sz w:val="22"/>
          <w:szCs w:val="22"/>
          <w:lang w:val="ro-RO"/>
        </w:rPr>
      </w:pPr>
      <w:r w:rsidRPr="00E0488D">
        <w:rPr>
          <w:rFonts w:cs="Arial"/>
          <w:noProof/>
          <w:sz w:val="22"/>
          <w:szCs w:val="22"/>
          <w:lang w:val="ro-RO" w:eastAsia="ro-RO"/>
        </w:rPr>
        <w:drawing>
          <wp:inline distT="0" distB="0" distL="0" distR="0">
            <wp:extent cx="5544615" cy="6480720"/>
            <wp:effectExtent l="19050" t="0" r="0" b="0"/>
            <wp:docPr id="885" name="Picture 28"/>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82" cstate="email">
                      <a:extLst>
                        <a:ext uri="{28A0092B-C50C-407E-A947-70E740481C1C}">
                          <a14:useLocalDpi xmlns:a14="http://schemas.microsoft.com/office/drawing/2010/main"/>
                        </a:ext>
                      </a:extLst>
                    </a:blip>
                    <a:stretch>
                      <a:fillRect/>
                    </a:stretch>
                  </pic:blipFill>
                  <pic:spPr>
                    <a:xfrm>
                      <a:off x="0" y="0"/>
                      <a:ext cx="5544615" cy="6480720"/>
                    </a:xfrm>
                    <a:prstGeom prst="rect">
                      <a:avLst/>
                    </a:prstGeom>
                  </pic:spPr>
                </pic:pic>
              </a:graphicData>
            </a:graphic>
          </wp:inline>
        </w:drawing>
      </w:r>
    </w:p>
    <w:p w:rsidR="00B4550A" w:rsidRPr="00E0488D" w:rsidRDefault="00B4550A" w:rsidP="00B4550A">
      <w:pPr>
        <w:pStyle w:val="Body"/>
        <w:spacing w:before="120"/>
        <w:rPr>
          <w:rFonts w:cs="Arial"/>
          <w:b/>
          <w:bCs/>
          <w:i w:val="0"/>
          <w:kern w:val="28"/>
          <w:lang w:val="ro-RO"/>
        </w:rPr>
      </w:pPr>
      <w:r w:rsidRPr="00E0488D">
        <w:rPr>
          <w:rFonts w:cs="Arial"/>
          <w:b/>
          <w:bCs/>
          <w:i w:val="0"/>
          <w:kern w:val="28"/>
          <w:lang w:val="ro-RO"/>
        </w:rPr>
        <w:t>Figura B.1 Rețea TEN-T Core si Comprehensive pentru drumuri, porturi, terminale feroviare și aeroporturi</w:t>
      </w:r>
    </w:p>
    <w:p w:rsidR="00B4550A" w:rsidRPr="00E0488D" w:rsidRDefault="00B4550A" w:rsidP="00B4550A">
      <w:pPr>
        <w:pStyle w:val="Body"/>
        <w:spacing w:before="120"/>
        <w:rPr>
          <w:i w:val="0"/>
          <w:lang w:val="ro-RO"/>
        </w:rPr>
      </w:pPr>
      <w:r w:rsidRPr="00E0488D">
        <w:rPr>
          <w:lang w:val="ro-RO"/>
        </w:rPr>
        <w:t>Sursa: http://ec.europa.eu/transport/themes/infrastructure/revision-t_en.htm</w:t>
      </w:r>
    </w:p>
    <w:p w:rsidR="00B4550A" w:rsidRPr="00E0488D" w:rsidRDefault="00B4550A" w:rsidP="00B4550A">
      <w:pPr>
        <w:rPr>
          <w:lang w:val="ro-RO"/>
        </w:rPr>
      </w:pPr>
    </w:p>
    <w:p w:rsidR="00B4550A" w:rsidRPr="00E0488D" w:rsidRDefault="00B4550A" w:rsidP="00B4550A">
      <w:pPr>
        <w:rPr>
          <w:lang w:val="ro-RO"/>
        </w:rPr>
      </w:pPr>
      <w:r w:rsidRPr="00E0488D">
        <w:rPr>
          <w:lang w:val="ro-RO"/>
        </w:rPr>
        <w:br w:type="page"/>
      </w:r>
    </w:p>
    <w:p w:rsidR="00B4550A" w:rsidRPr="00E0488D" w:rsidRDefault="00B4550A" w:rsidP="00B4550A">
      <w:pPr>
        <w:rPr>
          <w:lang w:val="ro-RO"/>
        </w:rPr>
      </w:pPr>
    </w:p>
    <w:p w:rsidR="00B4550A" w:rsidRPr="00E0488D" w:rsidRDefault="00B4550A" w:rsidP="00B4550A">
      <w:pPr>
        <w:spacing w:line="276" w:lineRule="auto"/>
        <w:jc w:val="center"/>
        <w:rPr>
          <w:rFonts w:cs="Arial"/>
          <w:sz w:val="22"/>
          <w:szCs w:val="22"/>
          <w:lang w:val="ro-RO"/>
        </w:rPr>
      </w:pPr>
      <w:r w:rsidRPr="00E0488D">
        <w:rPr>
          <w:rFonts w:cs="Arial"/>
          <w:noProof/>
          <w:sz w:val="22"/>
          <w:szCs w:val="22"/>
          <w:lang w:val="ro-RO" w:eastAsia="ro-RO"/>
        </w:rPr>
        <w:drawing>
          <wp:inline distT="0" distB="0" distL="0" distR="0">
            <wp:extent cx="5251242" cy="6741368"/>
            <wp:effectExtent l="19050" t="0" r="6558" b="0"/>
            <wp:docPr id="886" name="Picture 29"/>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83" cstate="email">
                      <a:extLst>
                        <a:ext uri="{28A0092B-C50C-407E-A947-70E740481C1C}">
                          <a14:useLocalDpi xmlns:a14="http://schemas.microsoft.com/office/drawing/2010/main"/>
                        </a:ext>
                      </a:extLst>
                    </a:blip>
                    <a:stretch>
                      <a:fillRect/>
                    </a:stretch>
                  </pic:blipFill>
                  <pic:spPr>
                    <a:xfrm>
                      <a:off x="0" y="0"/>
                      <a:ext cx="5251242" cy="6741368"/>
                    </a:xfrm>
                    <a:prstGeom prst="rect">
                      <a:avLst/>
                    </a:prstGeom>
                  </pic:spPr>
                </pic:pic>
              </a:graphicData>
            </a:graphic>
          </wp:inline>
        </w:drawing>
      </w:r>
    </w:p>
    <w:p w:rsidR="00B4550A" w:rsidRPr="00E0488D" w:rsidRDefault="00B4550A" w:rsidP="00B4550A">
      <w:pPr>
        <w:pStyle w:val="Body"/>
        <w:spacing w:before="120"/>
        <w:rPr>
          <w:rFonts w:cs="Arial"/>
          <w:b/>
          <w:bCs/>
          <w:i w:val="0"/>
          <w:kern w:val="28"/>
          <w:lang w:val="ro-RO"/>
        </w:rPr>
      </w:pPr>
      <w:r w:rsidRPr="00E0488D">
        <w:rPr>
          <w:rFonts w:cs="Arial"/>
          <w:b/>
          <w:bCs/>
          <w:i w:val="0"/>
          <w:kern w:val="28"/>
          <w:lang w:val="ro-RO"/>
        </w:rPr>
        <w:t>Figura B.2 Rețea TEN-T Core si Comprehensive pentru linii feroviare de pasageri și aeroporturi</w:t>
      </w:r>
    </w:p>
    <w:p w:rsidR="00B4550A" w:rsidRPr="00E0488D" w:rsidRDefault="00B4550A" w:rsidP="00B4550A">
      <w:pPr>
        <w:pStyle w:val="Body"/>
        <w:spacing w:before="120"/>
        <w:rPr>
          <w:i w:val="0"/>
          <w:lang w:val="ro-RO"/>
        </w:rPr>
      </w:pPr>
      <w:r w:rsidRPr="00E0488D">
        <w:rPr>
          <w:lang w:val="ro-RO"/>
        </w:rPr>
        <w:t>Sursa: http://ec.europa.eu/transport/themes/infrastructure/revision-t_en.htm</w:t>
      </w:r>
    </w:p>
    <w:p w:rsidR="00B4550A" w:rsidRPr="00E0488D" w:rsidRDefault="00B4550A" w:rsidP="00B4550A">
      <w:pPr>
        <w:rPr>
          <w:lang w:val="ro-RO"/>
        </w:rPr>
      </w:pPr>
      <w:r w:rsidRPr="00E0488D">
        <w:rPr>
          <w:lang w:val="ro-RO"/>
        </w:rPr>
        <w:br w:type="page"/>
      </w:r>
    </w:p>
    <w:p w:rsidR="00B4550A" w:rsidRPr="00E0488D" w:rsidRDefault="00B4550A" w:rsidP="00BD59B2">
      <w:pPr>
        <w:pStyle w:val="Hdg2"/>
      </w:pPr>
      <w:bookmarkStart w:id="681" w:name="_Toc397068434"/>
      <w:bookmarkStart w:id="682" w:name="_Toc413060367"/>
      <w:r w:rsidRPr="00E0488D">
        <w:t xml:space="preserve">Anexa D. </w:t>
      </w:r>
      <w:bookmarkEnd w:id="681"/>
      <w:r w:rsidRPr="00E0488D">
        <w:t>Proiecte potențiale de electrificare</w:t>
      </w:r>
      <w:bookmarkEnd w:id="682"/>
    </w:p>
    <w:p w:rsidR="00B4550A" w:rsidRPr="00E0488D" w:rsidRDefault="00B4550A" w:rsidP="00B4550A">
      <w:pPr>
        <w:spacing w:line="276" w:lineRule="auto"/>
        <w:jc w:val="both"/>
        <w:rPr>
          <w:rFonts w:cs="Arial"/>
          <w:sz w:val="22"/>
          <w:szCs w:val="22"/>
          <w:lang w:val="ro-RO"/>
        </w:rPr>
      </w:pPr>
    </w:p>
    <w:p w:rsidR="00B4550A" w:rsidRPr="00E0488D" w:rsidRDefault="00B4550A" w:rsidP="00B4550A">
      <w:pPr>
        <w:rPr>
          <w:b/>
          <w:sz w:val="22"/>
          <w:szCs w:val="22"/>
          <w:lang w:val="ro-RO"/>
        </w:rPr>
      </w:pPr>
      <w:r w:rsidRPr="00E0488D">
        <w:rPr>
          <w:b/>
          <w:sz w:val="22"/>
          <w:szCs w:val="22"/>
          <w:lang w:val="ro-RO"/>
        </w:rPr>
        <w:t>Rezumat al frecvențelor zilnice actuale și propuse (pe un singur sens)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927"/>
        <w:gridCol w:w="778"/>
        <w:gridCol w:w="3396"/>
        <w:gridCol w:w="1168"/>
        <w:gridCol w:w="1034"/>
      </w:tblGrid>
      <w:tr w:rsidR="00B4550A" w:rsidRPr="00E0488D" w:rsidTr="003C7FC8">
        <w:trPr>
          <w:trHeight w:val="792"/>
        </w:trPr>
        <w:tc>
          <w:tcPr>
            <w:tcW w:w="1525" w:type="pct"/>
            <w:shd w:val="clear" w:color="auto" w:fill="B8CCE4" w:themeFill="accent1" w:themeFillTint="66"/>
            <w:vAlign w:val="center"/>
          </w:tcPr>
          <w:p w:rsidR="00B4550A" w:rsidRPr="00E0488D" w:rsidRDefault="00B4550A" w:rsidP="003C7FC8">
            <w:pPr>
              <w:rPr>
                <w:b/>
                <w:sz w:val="20"/>
                <w:szCs w:val="20"/>
                <w:lang w:val="ro-RO"/>
              </w:rPr>
            </w:pPr>
            <w:r w:rsidRPr="00E0488D">
              <w:rPr>
                <w:b/>
                <w:sz w:val="20"/>
                <w:szCs w:val="20"/>
                <w:lang w:val="ro-RO"/>
              </w:rPr>
              <w:t>Secțiune</w:t>
            </w:r>
          </w:p>
        </w:tc>
        <w:tc>
          <w:tcPr>
            <w:tcW w:w="441" w:type="pct"/>
            <w:shd w:val="clear" w:color="auto" w:fill="B8CCE4" w:themeFill="accent1" w:themeFillTint="66"/>
            <w:vAlign w:val="center"/>
          </w:tcPr>
          <w:p w:rsidR="00B4550A" w:rsidRPr="00E0488D" w:rsidRDefault="00B4550A" w:rsidP="003C7FC8">
            <w:pPr>
              <w:jc w:val="center"/>
              <w:rPr>
                <w:b/>
                <w:sz w:val="20"/>
                <w:szCs w:val="20"/>
                <w:lang w:val="ro-RO"/>
              </w:rPr>
            </w:pPr>
            <w:r w:rsidRPr="00E0488D">
              <w:rPr>
                <w:b/>
                <w:sz w:val="20"/>
                <w:szCs w:val="20"/>
                <w:lang w:val="ro-RO"/>
              </w:rPr>
              <w:t>Actual</w:t>
            </w:r>
          </w:p>
        </w:tc>
        <w:tc>
          <w:tcPr>
            <w:tcW w:w="370" w:type="pct"/>
            <w:shd w:val="clear" w:color="auto" w:fill="B8CCE4" w:themeFill="accent1" w:themeFillTint="66"/>
            <w:vAlign w:val="center"/>
          </w:tcPr>
          <w:p w:rsidR="00B4550A" w:rsidRPr="00E0488D" w:rsidRDefault="00B4550A" w:rsidP="003C7FC8">
            <w:pPr>
              <w:jc w:val="center"/>
              <w:rPr>
                <w:b/>
                <w:sz w:val="20"/>
                <w:szCs w:val="20"/>
                <w:lang w:val="ro-RO"/>
              </w:rPr>
            </w:pPr>
            <w:r w:rsidRPr="00E0488D">
              <w:rPr>
                <w:b/>
                <w:sz w:val="20"/>
                <w:szCs w:val="20"/>
                <w:lang w:val="ro-RO"/>
              </w:rPr>
              <w:t>Viitor</w:t>
            </w:r>
          </w:p>
        </w:tc>
        <w:tc>
          <w:tcPr>
            <w:tcW w:w="1616" w:type="pct"/>
            <w:shd w:val="clear" w:color="auto" w:fill="B8CCE4" w:themeFill="accent1" w:themeFillTint="66"/>
            <w:vAlign w:val="center"/>
          </w:tcPr>
          <w:p w:rsidR="00B4550A" w:rsidRPr="00E0488D" w:rsidRDefault="00B4550A" w:rsidP="003C7FC8">
            <w:pPr>
              <w:rPr>
                <w:b/>
                <w:sz w:val="20"/>
                <w:szCs w:val="20"/>
                <w:lang w:val="ro-RO"/>
              </w:rPr>
            </w:pPr>
            <w:r w:rsidRPr="00E0488D">
              <w:rPr>
                <w:b/>
                <w:sz w:val="20"/>
                <w:szCs w:val="20"/>
                <w:lang w:val="ro-RO"/>
              </w:rPr>
              <w:t>Secțiune</w:t>
            </w:r>
          </w:p>
        </w:tc>
        <w:tc>
          <w:tcPr>
            <w:tcW w:w="556" w:type="pct"/>
            <w:shd w:val="clear" w:color="auto" w:fill="B8CCE4" w:themeFill="accent1" w:themeFillTint="66"/>
            <w:vAlign w:val="center"/>
          </w:tcPr>
          <w:p w:rsidR="00B4550A" w:rsidRPr="00E0488D" w:rsidRDefault="00B4550A" w:rsidP="003C7FC8">
            <w:pPr>
              <w:jc w:val="center"/>
              <w:rPr>
                <w:b/>
                <w:sz w:val="20"/>
                <w:szCs w:val="20"/>
                <w:lang w:val="ro-RO"/>
              </w:rPr>
            </w:pPr>
            <w:r w:rsidRPr="00E0488D">
              <w:rPr>
                <w:b/>
                <w:sz w:val="20"/>
                <w:szCs w:val="20"/>
                <w:lang w:val="ro-RO"/>
              </w:rPr>
              <w:t>Actual</w:t>
            </w:r>
          </w:p>
        </w:tc>
        <w:tc>
          <w:tcPr>
            <w:tcW w:w="492" w:type="pct"/>
            <w:shd w:val="clear" w:color="auto" w:fill="B8CCE4" w:themeFill="accent1" w:themeFillTint="66"/>
            <w:vAlign w:val="center"/>
          </w:tcPr>
          <w:p w:rsidR="00B4550A" w:rsidRPr="00E0488D" w:rsidRDefault="00B4550A" w:rsidP="003C7FC8">
            <w:pPr>
              <w:jc w:val="center"/>
              <w:rPr>
                <w:b/>
                <w:sz w:val="20"/>
                <w:szCs w:val="20"/>
                <w:lang w:val="ro-RO"/>
              </w:rPr>
            </w:pPr>
            <w:r w:rsidRPr="00E0488D">
              <w:rPr>
                <w:b/>
                <w:sz w:val="20"/>
                <w:szCs w:val="20"/>
                <w:lang w:val="ro-RO"/>
              </w:rPr>
              <w:t>Viitor</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Galati – Barlad – Crasna – Iasi - Husi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Brasov – Sibiu – Alba Iulia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14</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17</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Veresti – Botosani – Dangeni - Iasi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4-9</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4-9</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Blaj – Tarnaveni</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11</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11</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Darmanesti – Dornesti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Tarnaveni – Praid</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Dornesti – Nisipitu</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Razboleni – Targu Mares – Deda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13</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13</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Bicaz – Bacau</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Razboleni – Sarmasu – Sieu Magherus</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7</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7</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Roman – Buhaiesti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Deva – Arad via Santana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Ploiesti – Urziceni – Giurgeni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Santana – Oradea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12</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19</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Bucharest – Urziceni – Faurei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Oradea – Cluj Napoca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23</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27</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Faurei – Tecuci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Oradea – Satu Mare</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Ploiesti – Slanic</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3</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3</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Satu Mare – Baia Mare</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14</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Ploiesti – Maneciu</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Baia Mare – Dej</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11</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19</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Bucharest – Pitesti</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16</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22</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Jibou – Saculeni</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Pitesti – Curtea de Arges</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Satu Mare – Bixad</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Pitesti – Argesel</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Jibou – Carei</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Pitesti – Rosiori de Vede</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Timisoara – Resita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11</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11</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Pitesti – Craiova</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Timsisoara – Jimbola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3</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3</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Rosiori de Vede – Zimnices</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Timisoara – Sannicolau Mare</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Rosiori de Vede – Turnu Magurele</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Salva – Valea Viseului</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Corabia – Caracal</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6</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Medgidic – Tulcea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Caracal – Sibiu</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10</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13</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Medgidic – Negru Voda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Craiova – Calafat</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4</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Eforie – Mangalia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7</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7</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Bucharest – Oltenita</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2</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Videle – Giurgiu</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7</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7</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Buzau – Neholasu</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Caransebes – Subcetate</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5</w:t>
            </w:r>
          </w:p>
        </w:tc>
      </w:tr>
      <w:tr w:rsidR="00B4550A" w:rsidRPr="00E0488D" w:rsidTr="003C7FC8">
        <w:tc>
          <w:tcPr>
            <w:tcW w:w="1525"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Sibiu – Copsa Mica</w:t>
            </w:r>
          </w:p>
        </w:tc>
        <w:tc>
          <w:tcPr>
            <w:tcW w:w="441"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13</w:t>
            </w:r>
          </w:p>
        </w:tc>
        <w:tc>
          <w:tcPr>
            <w:tcW w:w="370"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13</w:t>
            </w:r>
          </w:p>
        </w:tc>
        <w:tc>
          <w:tcPr>
            <w:tcW w:w="1616" w:type="pct"/>
            <w:shd w:val="clear" w:color="auto" w:fill="auto"/>
            <w:vAlign w:val="center"/>
          </w:tcPr>
          <w:p w:rsidR="00B4550A" w:rsidRPr="00E0488D" w:rsidRDefault="00B4550A" w:rsidP="003C7FC8">
            <w:pPr>
              <w:spacing w:after="120"/>
              <w:rPr>
                <w:sz w:val="20"/>
                <w:szCs w:val="20"/>
                <w:lang w:val="ro-RO"/>
              </w:rPr>
            </w:pPr>
            <w:r w:rsidRPr="00E0488D">
              <w:rPr>
                <w:sz w:val="20"/>
                <w:szCs w:val="20"/>
                <w:lang w:val="ro-RO"/>
              </w:rPr>
              <w:t>Lugoj – Illa</w:t>
            </w:r>
          </w:p>
        </w:tc>
        <w:tc>
          <w:tcPr>
            <w:tcW w:w="556"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c>
          <w:tcPr>
            <w:tcW w:w="492" w:type="pct"/>
            <w:shd w:val="clear" w:color="auto" w:fill="auto"/>
            <w:vAlign w:val="center"/>
          </w:tcPr>
          <w:p w:rsidR="00B4550A" w:rsidRPr="00E0488D" w:rsidRDefault="00B4550A" w:rsidP="003C7FC8">
            <w:pPr>
              <w:spacing w:after="120"/>
              <w:jc w:val="center"/>
              <w:rPr>
                <w:sz w:val="20"/>
                <w:szCs w:val="20"/>
                <w:lang w:val="ro-RO"/>
              </w:rPr>
            </w:pPr>
            <w:r w:rsidRPr="00E0488D">
              <w:rPr>
                <w:sz w:val="20"/>
                <w:szCs w:val="20"/>
                <w:lang w:val="ro-RO"/>
              </w:rPr>
              <w:t>9</w:t>
            </w:r>
          </w:p>
        </w:tc>
      </w:tr>
    </w:tbl>
    <w:p w:rsidR="00B4550A" w:rsidRPr="00E0488D" w:rsidRDefault="00B4550A" w:rsidP="00B4550A">
      <w:pPr>
        <w:pStyle w:val="Body"/>
        <w:ind w:left="0"/>
        <w:rPr>
          <w:i w:val="0"/>
          <w:lang w:val="ro-RO"/>
        </w:rPr>
      </w:pPr>
    </w:p>
    <w:p w:rsidR="00B4550A" w:rsidRPr="00E0488D" w:rsidRDefault="00B4550A" w:rsidP="00B4550A">
      <w:pPr>
        <w:rPr>
          <w:sz w:val="22"/>
          <w:szCs w:val="22"/>
          <w:lang w:val="ro-RO"/>
        </w:rPr>
      </w:pPr>
      <w:r w:rsidRPr="00E0488D">
        <w:rPr>
          <w:i/>
          <w:lang w:val="ro-RO"/>
        </w:rPr>
        <w:br w:type="page"/>
      </w:r>
    </w:p>
    <w:p w:rsidR="00B4550A" w:rsidRPr="00E0488D" w:rsidRDefault="00B4550A" w:rsidP="00BD59B2">
      <w:pPr>
        <w:pStyle w:val="Hdg2"/>
      </w:pPr>
      <w:bookmarkStart w:id="683" w:name="_Toc413060368"/>
      <w:r w:rsidRPr="00E0488D">
        <w:t>Anexa E. Lista proiectelor incluse în Scenariul de Referință</w:t>
      </w:r>
      <w:bookmarkEnd w:id="683"/>
    </w:p>
    <w:tbl>
      <w:tblPr>
        <w:tblW w:w="0" w:type="auto"/>
        <w:tblInd w:w="103" w:type="dxa"/>
        <w:tblLook w:val="04A0" w:firstRow="1" w:lastRow="0" w:firstColumn="1" w:lastColumn="0" w:noHBand="0" w:noVBand="1"/>
      </w:tblPr>
      <w:tblGrid>
        <w:gridCol w:w="8652"/>
        <w:gridCol w:w="1752"/>
      </w:tblGrid>
      <w:tr w:rsidR="00B4550A" w:rsidRPr="00E0488D" w:rsidTr="003C7FC8">
        <w:trPr>
          <w:trHeight w:val="960"/>
          <w:tblHeader/>
        </w:trPr>
        <w:tc>
          <w:tcPr>
            <w:tcW w:w="865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4550A" w:rsidRPr="00E0488D" w:rsidRDefault="00B4550A" w:rsidP="003C7FC8">
            <w:pPr>
              <w:rPr>
                <w:rFonts w:cs="Arial"/>
                <w:b/>
                <w:color w:val="000000"/>
                <w:sz w:val="20"/>
                <w:szCs w:val="20"/>
                <w:lang w:val="ro-RO"/>
              </w:rPr>
            </w:pPr>
            <w:r w:rsidRPr="00E0488D">
              <w:rPr>
                <w:rFonts w:cs="Arial"/>
                <w:b/>
                <w:color w:val="000000"/>
                <w:sz w:val="20"/>
                <w:szCs w:val="20"/>
                <w:lang w:val="ro-RO"/>
              </w:rPr>
              <w:t>Titlul Proiectului</w:t>
            </w:r>
          </w:p>
        </w:tc>
        <w:tc>
          <w:tcPr>
            <w:tcW w:w="1752"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4550A" w:rsidRPr="00E0488D" w:rsidRDefault="00B4550A" w:rsidP="003C7FC8">
            <w:pPr>
              <w:jc w:val="center"/>
              <w:rPr>
                <w:rFonts w:cs="Arial"/>
                <w:b/>
                <w:color w:val="000000"/>
                <w:sz w:val="20"/>
                <w:szCs w:val="20"/>
                <w:lang w:val="ro-RO"/>
              </w:rPr>
            </w:pPr>
            <w:r w:rsidRPr="00E0488D">
              <w:rPr>
                <w:rFonts w:cs="Arial"/>
                <w:b/>
                <w:color w:val="000000"/>
                <w:sz w:val="20"/>
                <w:szCs w:val="20"/>
                <w:lang w:val="ro-RO"/>
              </w:rPr>
              <w:t>Cost de investitie neactualizate (milioane EURO, preturi 2012)</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 suprafața de mișcare și balizaj, turn de control si amenajarea terenului în vederea amplasării sistemului de navigație tip ILS în Aeroportul Suceava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31.897</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Reabilitarea platforme de staționare aeronave în Aeroportul M. Kogălniceanu Constanța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31.151</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Front de asteptare pentru desfacere/refacere convoaie la confluenta canalelor navigabile Dunare-Marea Neagra si Poarta Alba-Midia Navodari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14.111</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Prelungirea Digului de larg al Portului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133.287</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Extinderea spre sud a danei de gabare în Portul Constanța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4.664</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Reabilitarea şi modernizarea infrastructurii portuare în portul Olteniţa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4.596</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infrastructura portuara : Cheu dana 23 si 25 partial din portul Braila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7.812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Complex administrare cai navigabile Giurgiu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2.596</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NEWADA duo</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0.238</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CO-WANDA: Convenția pentru managementul apei uzate pentru navigația pe Dunăre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6.3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Master Plan al Portului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2.033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Dahar - Dezvoltarea porturilor interioare dunărene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0.145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GIFT- Coridoare verzi de transport intermodal de mărfuri în Europa de Sud Est</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0.242</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infrastructurii portuare prin asigurarea creşterii adâncimilor şenalelor şi bazinelor şi a siguranţei navigaţiei în Portul Constanţa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37.535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Dezvoltarea capacitatii feroviare in sectorul fluvio-maritim al Portului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16.858</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pentru poduri, podete si tuneluri de cale ferata - Sucursala Regionala de Cai Ferate Craiova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18.239</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poduri, podete si tuneluri de cale ferata - Sucursala Regionala de Cai Ferate Cluj</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26.579</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pentru poduri, podete si tuneluri de cale ferata - Sucursala Regionala de Cai Ferate Brasov</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11.155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poduri, podete si tuneluri de cale ferata - Sucursala Regionala de Cai Ferate Bucuresti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17.657</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pentru poduri, podete si tuneluri de cale ferata - Sucursala Regionala de Cai Ferate Iasi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9.566</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pentru poduri, podete si tuneluri de cale ferata - Sucursala Regionala de Cai Ferate Timisoara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8.91</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poduri, podete si tuneluri de cale ferata - Sucursala Regionala de Cai Ferate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2.371</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Lucrari de reabilitare a podurilor de cale ferata peste Dunare - km 152+149 si km 165+817, linia CF Bucuresti - Constanta - Sucursala Regionala de Cai Ferate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40.592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trecerilor la nivel cu calea ferată - Etapa 1 (112 treceri)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20.077</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Reparații curente la infrastructura feroviara publică - perioada 2013-2020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558</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Reparații capitale (RK) la infrastructura feroviara publică - perioada 2013-2016</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73.615</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Reabilitarea liniei CF Bucuresti-Constanta.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904.389</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Reabilitarea liniei de cale ferata , componenta a Coridorului IV Pan – European, pentru circulatia trenurilor cu viteza maxima de 160 km/h, tronsonul  Sighisoara - Coslariu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944.826</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Reabilitarea liniei de cale ferata Brasov – Simeria, componenta a Coridorului IV Pan – European, pentru circulatia trenurilor cu viteza maxima de 160 km/h, tronsonul Coslariu – Simeria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663.06</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liniei CF Frontiera-Curtici-Arad-Simeria, Tronson 1: Frontiera-Arad-km 614</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282.713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Electrificarea liniei de cale ferată Doaga-Tecuci-Barboşi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57.227</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Elaborarea hărţilor strategice de zgomot şi planurilor de acţiune, pentru căile ferate principale cu un trafic mai mare de 30.000 treceri de trenuri/an – etapa 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61.826</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unor staţii de cale ferată din România - staţiile CF Slatina, Râmnicu Vâlcea, Reşiţa Sud</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18.525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unor statii de cale ferata din Romania - Statiile CF Bistrita, Zalau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28.4</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staţiilor de cale ferată Giurgiu Oraş, Slobozia Veche şi Călăraşi Sud</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18.102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staţiilor de cale ferată Sfântu Gheorghe, Târgu Mureş</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22.322</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unor staţii de cale ferată din România - staţia de cale ferată Piteşti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15.584</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unor staţii de cale ferată din România - staţiile CF Piatra Neamţ, Botoşani, Vaslui, Brăila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29.398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statiei cf Focsani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2.517</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Sistem de detectare a cutiilor de osii supraîncălzite şi a frânelor strânse - 21 locatii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12.694</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Proiect pilot operational pentru o aplicatie ECTS/ERTMS nivel 2 pe tronsonul CF Ramificatia Buciumeni-Semnal intrare Brazi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45.125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instalaţiilor de centralizare electromecanică pe secţia de circulaţieCEM 11 Statii Bucuresti- Craiova  ETAPA II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35.985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instalaţiilor de centralizare electromecanică pe secţia de circulaţieCEM 16 Statii Brasov,Cluj, Craiova, Timisoara ETAPA II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68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 xml:space="preserve"> Centralizare electronică în staţia CF Videle </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9.581</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 pe DN 2E km 57+400 la Clit</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0.298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 pe DN 61 km 74+015, peste raul Arges, la Ionesti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7.035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 pe DN54 km 67+774 peste raul Sai si varianta noua de traseu DN54 km 65+950 - km 70+600, la Turnu Magurele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5.753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Drum de legatura DN66A, km 47+600 - km 66+204, Campu lui Neag-Cerna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54.221</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Pasaj denivelat pe centura de ocolire Arad (DN7 km 540+248 ) peste CF Arad - Bucuresti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10.575</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Pasaj denivelat pe varianta de ocolire Arad peste liniile CF Brad - CF Curtici - DJ709B</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10.663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 DN 72, Gaiesti - Ploiesti km 0+000 - km 76+180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56.451</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centurii rutiere a municipiului Bucuresti intre A1 - DN7 si DN2 - A2</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121.873</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Obiectul 1 al obiectivului de investitie: Pod rutier la km 0+540 peste Canalul Dunare-Marea Neagra si lucrarile aferente infrastructurii rutiere si de acces in Portul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30.887</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Bretea rutiera de conectare cu DN39 - Obiectul 2 al obiectivului de investitie: Pod rutier la km 0+540 peste Canalul Dunare-Marea Neagra si lucrarile aferente infrastructurii rutiere si de acces in Portul Constanta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5.961</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Alesd Sud si Nord</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76.65</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Alexandria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41.619</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Bacau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231.539</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Brasov</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85</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Caracal</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12.5</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Carei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19.543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Cluj-Napoca Est</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132.228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Craiova Sud</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31.833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Autostrada Deva-Orastie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296.852</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a Municipiului Iasi - Etapa I - Varianta Sud Obiect 4: Varianta trafic usor ( Sector km 0+000 - km 8+175 ) si Penetratie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24.316</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Autostrada Lugoj-Deva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1136.3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Mihailesti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8.708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Autostrada Nadlac-Arad</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307.673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Drum de centura in municipiul Oradea - etapa a II -a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52.934</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Autostrada Orastie-Sibiu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600.18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Sacuieni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12.083</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Satu Mare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139.646</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Autostrada Sebes-Turda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811.122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Stei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113.592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Suceava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68.689</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Targu Jiu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88.284</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Targu Mures</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72.566</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Varianta de ocolire Tecuci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18.883</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Drumuri de acces la Ecluza Agigea si la portul fluvio-maritim Agigea CDMN, mal stang, intre km 61+800 si 63+500, L=1.700 m</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1.668</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Deviere DN 29D km 18+500 - km 20+816, Consolidarea si refacerea corpului drumului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7.669</w:t>
            </w:r>
          </w:p>
        </w:tc>
      </w:tr>
      <w:tr w:rsidR="00B4550A" w:rsidRPr="00E0488D" w:rsidTr="003C7FC8">
        <w:trPr>
          <w:trHeight w:val="96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Fluidizarea traficului pe DN1 intre km 8+100 - km 17+100 si Centura rutiera in zona de nord a municipiului Bucuresti - Obiect 7 - Completarea centurii rutiere a municipiului Bucuresti prin construirea sectorului cuprins intre DN7 - DN 1A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44.66</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DN66 Filiasi - Petrosani, km 0+000 - km 131+000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127.412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 76, Deva - Oradea, km 0+000 - km 184+390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223.488</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 DN 2N km 52+860 - km 60+000 Jitia - Biscoa si pod nou peste raul Ramnicu Sarat la km 53+300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5.218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 DN5, sectorul Bucuresti - Adunatii Copaceni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22.417</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 2D Focsani - Ojdula km 0+000 - km 118+893</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179.071</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Penetratie A3 Mun Bucuresti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89</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DN24 limita Galati/Vaslui-Crasna si DN24B Crasna-Albita</w:t>
            </w:r>
          </w:p>
        </w:tc>
        <w:tc>
          <w:tcPr>
            <w:tcW w:w="175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107.424</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Lot 1: km 51+000 (de la limita de județ Galați si Vaslui –DN 24 km 90+000</w:t>
            </w:r>
          </w:p>
        </w:tc>
        <w:tc>
          <w:tcPr>
            <w:tcW w:w="1752" w:type="dxa"/>
            <w:vMerge/>
            <w:tcBorders>
              <w:top w:val="nil"/>
              <w:left w:val="single" w:sz="4" w:space="0" w:color="auto"/>
              <w:bottom w:val="single" w:sz="4" w:space="0" w:color="auto"/>
              <w:right w:val="single" w:sz="4" w:space="0" w:color="auto"/>
            </w:tcBorders>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Lot 2: DN 24 km 90+000 – DN 24 km 105+070 (localitatea Crasna) si DN 24B km 22+000</w:t>
            </w:r>
          </w:p>
        </w:tc>
        <w:tc>
          <w:tcPr>
            <w:tcW w:w="1752" w:type="dxa"/>
            <w:vMerge/>
            <w:tcBorders>
              <w:top w:val="nil"/>
              <w:left w:val="single" w:sz="4" w:space="0" w:color="auto"/>
              <w:bottom w:val="single" w:sz="4" w:space="0" w:color="auto"/>
              <w:right w:val="single" w:sz="4" w:space="0" w:color="auto"/>
            </w:tcBorders>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Lot 3: DN 24B km 22+000 – DN 24B km 47+881 (vama Albita</w:t>
            </w:r>
          </w:p>
        </w:tc>
        <w:tc>
          <w:tcPr>
            <w:tcW w:w="1752" w:type="dxa"/>
            <w:vMerge/>
            <w:tcBorders>
              <w:top w:val="nil"/>
              <w:left w:val="single" w:sz="4" w:space="0" w:color="auto"/>
              <w:bottom w:val="single" w:sz="4" w:space="0" w:color="auto"/>
              <w:right w:val="single" w:sz="4" w:space="0" w:color="auto"/>
            </w:tcBorders>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 6 Alexandria Craiova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171.338</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DN66 Filiasi - Petrosani, km 0+000 - km 131+000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127.412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 56, CRAIOVA - CALAFAT, KM 0+000 - KM 87+047</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111.72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Reabilitare DN 1H Zalau - Alesd, km 0+000 - km 69+334</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32.951</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Separator de sensuri pe DN cu patru benzi de circualatie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29.032</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infrastructurii privind siguranta circulatiei pe DN1 in sate liniare si puncte negre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37.984</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Iris Europe 3</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1.077</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Front de asteptare pentru desfacere/refacere convoaie la confluenta canalelor navigabile Dunare-Marea Neagra si Poarta Alba-Midia Navodari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2.702</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Modernizarea sistemului de gospodarire calitativa a apei din canalele navigabile, prin montarea de statii automate de monitorizare a calitatii apei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3.562</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 xml:space="preserve"> Modernizare ecluze. Echipamente si instalatii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175.639</w:t>
            </w: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Sistem de preluare şi prelucrare reziduuri de la nave şi intervenţie în caz de poluare pe sectorul Dunării administrat de CN APDF SA Giurgiu</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8.634</w:t>
            </w:r>
          </w:p>
        </w:tc>
      </w:tr>
      <w:tr w:rsidR="00B4550A" w:rsidRPr="00E0488D" w:rsidTr="003C7FC8">
        <w:trPr>
          <w:trHeight w:val="72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Monitorizarea impactului asupra mediului a lucrărilor de îmbunătăţire a condiţiilor de navigaţie pe Dunăre între Călăraşi şi Brăila, km 375-km 175-Etapa II.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1.4</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Aparari de maluri pe Canalul Sulina - Etapa 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76</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Imbunatatirea conditiilor de navigatie pe sectorul Calarasi-Braila</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r w:rsidRPr="00E0488D">
              <w:rPr>
                <w:rFonts w:cs="Arial"/>
                <w:color w:val="000000"/>
                <w:sz w:val="20"/>
                <w:szCs w:val="20"/>
                <w:lang w:val="ro-RO"/>
              </w:rPr>
              <w:t>38.671</w:t>
            </w: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Cheu vertical dana 31 din Portul Bazin Docuri Galati</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48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Realizarea unui sistem de sprijin pentru lucrarile hidrografice pe Dunare in scopul asigurarii adancimilor minime de navigatie</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 Giurgiu peste Dunare pe DN5 km 64+884</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Podul rutier peste Olt la Slatina, pe DN6, km 48+570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Podul rutier peste Oituz la poiana Sarata, pe DN 11 km 90+450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Podul rutier la Arginesti peste Jiu pe DN6 km 268+371</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r w:rsidR="00B4550A" w:rsidRPr="00E0488D" w:rsidTr="003C7FC8">
        <w:trPr>
          <w:trHeight w:val="300"/>
        </w:trPr>
        <w:tc>
          <w:tcPr>
            <w:tcW w:w="8652" w:type="dxa"/>
            <w:tcBorders>
              <w:top w:val="nil"/>
              <w:left w:val="single" w:sz="4" w:space="0" w:color="auto"/>
              <w:bottom w:val="single" w:sz="4" w:space="0" w:color="auto"/>
              <w:right w:val="single" w:sz="4" w:space="0" w:color="auto"/>
            </w:tcBorders>
            <w:shd w:val="clear" w:color="auto" w:fill="auto"/>
            <w:vAlign w:val="center"/>
            <w:hideMark/>
          </w:tcPr>
          <w:p w:rsidR="00B4550A" w:rsidRPr="00E0488D" w:rsidRDefault="00B4550A" w:rsidP="003C7FC8">
            <w:pPr>
              <w:rPr>
                <w:rFonts w:cs="Arial"/>
                <w:color w:val="000000"/>
                <w:sz w:val="20"/>
                <w:szCs w:val="20"/>
                <w:lang w:val="ro-RO"/>
              </w:rPr>
            </w:pPr>
            <w:r w:rsidRPr="00E0488D">
              <w:rPr>
                <w:rFonts w:cs="Arial"/>
                <w:color w:val="000000"/>
                <w:sz w:val="20"/>
                <w:szCs w:val="20"/>
                <w:lang w:val="ro-RO"/>
              </w:rPr>
              <w:t>Podul nou de la Cosmesti peste Siret pe DN24 km 7+620</w:t>
            </w:r>
          </w:p>
        </w:tc>
        <w:tc>
          <w:tcPr>
            <w:tcW w:w="1752" w:type="dxa"/>
            <w:tcBorders>
              <w:top w:val="nil"/>
              <w:left w:val="nil"/>
              <w:bottom w:val="single" w:sz="4" w:space="0" w:color="auto"/>
              <w:right w:val="single" w:sz="4" w:space="0" w:color="auto"/>
            </w:tcBorders>
            <w:shd w:val="clear" w:color="auto" w:fill="auto"/>
            <w:noWrap/>
            <w:vAlign w:val="center"/>
            <w:hideMark/>
          </w:tcPr>
          <w:p w:rsidR="00B4550A" w:rsidRPr="00E0488D" w:rsidRDefault="00B4550A" w:rsidP="003C7FC8">
            <w:pPr>
              <w:jc w:val="center"/>
              <w:rPr>
                <w:rFonts w:cs="Arial"/>
                <w:color w:val="000000"/>
                <w:sz w:val="20"/>
                <w:szCs w:val="20"/>
                <w:lang w:val="ro-RO"/>
              </w:rPr>
            </w:pPr>
          </w:p>
        </w:tc>
      </w:tr>
    </w:tbl>
    <w:p w:rsidR="00B4550A" w:rsidRPr="00E0488D" w:rsidRDefault="00B4550A" w:rsidP="00B4550A">
      <w:pPr>
        <w:pStyle w:val="Body"/>
        <w:ind w:left="0"/>
        <w:rPr>
          <w:i w:val="0"/>
          <w:lang w:val="ro-RO"/>
        </w:rPr>
      </w:pPr>
    </w:p>
    <w:p w:rsidR="00B4550A" w:rsidRPr="00E0488D" w:rsidRDefault="00B4550A" w:rsidP="00B4550A">
      <w:pPr>
        <w:pStyle w:val="Body"/>
        <w:ind w:left="0"/>
        <w:rPr>
          <w:i w:val="0"/>
          <w:lang w:val="ro-RO"/>
        </w:rPr>
        <w:sectPr w:rsidR="00B4550A" w:rsidRPr="00E0488D" w:rsidSect="001852F7">
          <w:headerReference w:type="default" r:id="rId384"/>
          <w:pgSz w:w="11907" w:h="16840" w:code="9"/>
          <w:pgMar w:top="1418" w:right="709" w:bottom="1418" w:left="907" w:header="357" w:footer="567" w:gutter="0"/>
          <w:cols w:space="187"/>
          <w:docGrid w:linePitch="360"/>
        </w:sectPr>
      </w:pPr>
    </w:p>
    <w:p w:rsidR="00B4550A" w:rsidRPr="00E0488D" w:rsidRDefault="00B4550A" w:rsidP="00B4550A">
      <w:pPr>
        <w:pStyle w:val="Body"/>
        <w:ind w:left="0"/>
        <w:rPr>
          <w:b/>
          <w:i w:val="0"/>
          <w:lang w:val="ro-RO"/>
        </w:rPr>
      </w:pPr>
      <w:r w:rsidRPr="00E0488D">
        <w:rPr>
          <w:b/>
          <w:i w:val="0"/>
          <w:lang w:val="ro-RO"/>
        </w:rPr>
        <w:t>Locațiile proiectelor incluse în Scenariul de Referință</w:t>
      </w:r>
    </w:p>
    <w:p w:rsidR="00873570" w:rsidRPr="00E0488D" w:rsidRDefault="00B4550A" w:rsidP="00BC2B57">
      <w:pPr>
        <w:pStyle w:val="Body"/>
        <w:ind w:left="0"/>
        <w:rPr>
          <w:lang w:val="ro-RO"/>
        </w:rPr>
      </w:pPr>
      <w:r w:rsidRPr="00E0488D">
        <w:rPr>
          <w:noProof/>
          <w:lang w:val="ro-RO" w:eastAsia="ro-RO"/>
        </w:rPr>
        <w:drawing>
          <wp:inline distT="0" distB="0" distL="0" distR="0">
            <wp:extent cx="8505825" cy="6017895"/>
            <wp:effectExtent l="19050" t="0" r="9525" b="0"/>
            <wp:docPr id="937" name="Picture 81" descr="MP_ref_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P_ref_case.png"/>
                    <pic:cNvPicPr>
                      <a:picLocks noChangeAspect="1" noChangeArrowheads="1"/>
                    </pic:cNvPicPr>
                  </pic:nvPicPr>
                  <pic:blipFill>
                    <a:blip r:embed="rId385" cstate="print"/>
                    <a:srcRect/>
                    <a:stretch>
                      <a:fillRect/>
                    </a:stretch>
                  </pic:blipFill>
                  <pic:spPr bwMode="auto">
                    <a:xfrm>
                      <a:off x="0" y="0"/>
                      <a:ext cx="8505825" cy="6017895"/>
                    </a:xfrm>
                    <a:prstGeom prst="rect">
                      <a:avLst/>
                    </a:prstGeom>
                    <a:noFill/>
                    <a:ln w="9525">
                      <a:noFill/>
                      <a:miter lim="800000"/>
                      <a:headEnd/>
                      <a:tailEnd/>
                    </a:ln>
                  </pic:spPr>
                </pic:pic>
              </a:graphicData>
            </a:graphic>
          </wp:inline>
        </w:drawing>
      </w:r>
    </w:p>
    <w:sectPr w:rsidR="00873570" w:rsidRPr="00E0488D" w:rsidSect="00BC2B57">
      <w:headerReference w:type="default" r:id="rId386"/>
      <w:pgSz w:w="16840" w:h="11907" w:orient="landscape" w:code="9"/>
      <w:pgMar w:top="907" w:right="1418" w:bottom="709" w:left="1418" w:header="357" w:footer="567" w:gutter="0"/>
      <w:cols w:space="18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544B" w:rsidRDefault="001F544B">
      <w:r>
        <w:separator/>
      </w:r>
    </w:p>
  </w:endnote>
  <w:endnote w:type="continuationSeparator" w:id="0">
    <w:p w:rsidR="001F544B" w:rsidRDefault="001F54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EUAlbertina">
    <w:altName w:val="EU Albertin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EE"/>
    <w:family w:val="roman"/>
    <w:pitch w:val="variable"/>
    <w:sig w:usb0="E00002FF" w:usb1="420024FF" w:usb2="00000000" w:usb3="00000000" w:csb0="0000019F" w:csb1="00000000"/>
  </w:font>
  <w:font w:name="Arial Bold">
    <w:panose1 w:val="020B0704020202020204"/>
    <w:charset w:val="00"/>
    <w:family w:val="auto"/>
    <w:pitch w:val="variable"/>
    <w:sig w:usb0="E0002AFF" w:usb1="C0007843" w:usb2="00000009" w:usb3="00000000" w:csb0="000001FF" w:csb1="00000000"/>
  </w:font>
  <w:font w:name="Calibri math">
    <w:altName w:val="Times New Roman"/>
    <w:panose1 w:val="00000000000000000000"/>
    <w:charset w:val="00"/>
    <w:family w:val="roman"/>
    <w:notTrueType/>
    <w:pitch w:val="default"/>
  </w:font>
  <w:font w:name="ArialMT">
    <w:altName w:val="Arial"/>
    <w:panose1 w:val="00000000000000000000"/>
    <w:charset w:val="00"/>
    <w:family w:val="swiss"/>
    <w:notTrueType/>
    <w:pitch w:val="default"/>
    <w:sig w:usb0="00000007" w:usb1="00000000" w:usb2="00000000" w:usb3="00000000" w:csb0="00000003" w:csb1="00000000"/>
  </w:font>
  <w:font w:name="Gill Sans MT">
    <w:panose1 w:val="020B0502020104020203"/>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02C" w:rsidRDefault="007A102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spacing w:line="240" w:lineRule="atLea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02C" w:rsidRDefault="007A102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spacing w:line="240" w:lineRule="atLeas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Footer"/>
      <w:rPr>
        <w:sz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544B" w:rsidRDefault="001F544B">
      <w:r>
        <w:separator/>
      </w:r>
    </w:p>
  </w:footnote>
  <w:footnote w:type="continuationSeparator" w:id="0">
    <w:p w:rsidR="001F544B" w:rsidRDefault="001F544B">
      <w:r>
        <w:continuationSeparator/>
      </w:r>
    </w:p>
  </w:footnote>
  <w:footnote w:id="1">
    <w:p w:rsidR="001F544B" w:rsidRDefault="001F544B" w:rsidP="00B4550A">
      <w:pPr>
        <w:pStyle w:val="FootnoteText"/>
      </w:pPr>
      <w:r>
        <w:rPr>
          <w:rStyle w:val="FootnoteReference"/>
        </w:rPr>
        <w:footnoteRef/>
      </w:r>
      <w:r>
        <w:t xml:space="preserve"> </w:t>
      </w:r>
      <w:r>
        <w:rPr>
          <w:i/>
          <w:sz w:val="18"/>
          <w:szCs w:val="18"/>
        </w:rPr>
        <w:t>A se consulta recomandările Comisiei Europene din 27/09/2013 și 11/12/2013</w:t>
      </w:r>
    </w:p>
  </w:footnote>
  <w:footnote w:id="2">
    <w:p w:rsidR="001F544B" w:rsidRPr="00B55FCE" w:rsidRDefault="001F544B" w:rsidP="00B4550A">
      <w:pPr>
        <w:pStyle w:val="FootnoteText"/>
        <w:rPr>
          <w:i/>
          <w:sz w:val="18"/>
          <w:szCs w:val="18"/>
          <w:lang w:val="ro-RO"/>
        </w:rPr>
      </w:pPr>
      <w:r>
        <w:rPr>
          <w:rStyle w:val="FootnoteReference"/>
        </w:rPr>
        <w:footnoteRef/>
      </w:r>
      <w:r w:rsidRPr="00B55FCE">
        <w:rPr>
          <w:i/>
          <w:sz w:val="18"/>
          <w:szCs w:val="18"/>
          <w:lang w:val="ro-RO"/>
        </w:rPr>
        <w:t xml:space="preserve">Pentru mai multe detalii consultați Ghidul </w:t>
      </w:r>
      <w:r>
        <w:rPr>
          <w:i/>
          <w:sz w:val="18"/>
          <w:szCs w:val="18"/>
          <w:lang w:val="ro-RO"/>
        </w:rPr>
        <w:t>n</w:t>
      </w:r>
      <w:r w:rsidRPr="00B55FCE">
        <w:rPr>
          <w:i/>
          <w:sz w:val="18"/>
          <w:szCs w:val="18"/>
          <w:lang w:val="ro-RO"/>
        </w:rPr>
        <w:t>ațional pentru evaluarea proiectelor de transport, Volumul 2, Anexa A: Ghid pentru elaborarea Analizei Cost-Beneficiu Economic</w:t>
      </w:r>
      <w:r>
        <w:rPr>
          <w:i/>
          <w:sz w:val="18"/>
          <w:szCs w:val="18"/>
          <w:lang w:val="ro-RO"/>
        </w:rPr>
        <w:t>e</w:t>
      </w:r>
      <w:r w:rsidRPr="00B55FCE">
        <w:rPr>
          <w:i/>
          <w:sz w:val="18"/>
          <w:szCs w:val="18"/>
          <w:lang w:val="ro-RO"/>
        </w:rPr>
        <w:t xml:space="preserve"> și Financiar</w:t>
      </w:r>
      <w:r>
        <w:rPr>
          <w:i/>
          <w:sz w:val="18"/>
          <w:szCs w:val="18"/>
          <w:lang w:val="ro-RO"/>
        </w:rPr>
        <w:t>e</w:t>
      </w:r>
      <w:r w:rsidRPr="00B55FCE">
        <w:rPr>
          <w:i/>
          <w:sz w:val="18"/>
          <w:szCs w:val="18"/>
          <w:lang w:val="ro-RO"/>
        </w:rPr>
        <w:t xml:space="preserve"> </w:t>
      </w:r>
      <w:r>
        <w:rPr>
          <w:i/>
          <w:sz w:val="18"/>
          <w:szCs w:val="18"/>
          <w:lang w:val="ro-RO"/>
        </w:rPr>
        <w:t>și a Analizei de Risc</w:t>
      </w:r>
      <w:r w:rsidRPr="00B55FCE">
        <w:rPr>
          <w:i/>
          <w:sz w:val="18"/>
          <w:szCs w:val="18"/>
          <w:lang w:val="ro-RO"/>
        </w:rPr>
        <w:t>.</w:t>
      </w:r>
    </w:p>
  </w:footnote>
  <w:footnote w:id="3">
    <w:p w:rsidR="001F544B" w:rsidRPr="001C50C1" w:rsidRDefault="001F544B" w:rsidP="00B4550A">
      <w:pPr>
        <w:pStyle w:val="FootnoteText"/>
        <w:rPr>
          <w:bCs/>
          <w:i/>
          <w:color w:val="000000"/>
          <w:sz w:val="18"/>
          <w:szCs w:val="18"/>
        </w:rPr>
      </w:pPr>
      <w:r>
        <w:rPr>
          <w:rStyle w:val="FootnoteReference"/>
        </w:rPr>
        <w:footnoteRef/>
      </w:r>
      <w:r>
        <w:t xml:space="preserve"> </w:t>
      </w:r>
      <w:r w:rsidRPr="001C50C1">
        <w:rPr>
          <w:bCs/>
          <w:i/>
          <w:color w:val="000000"/>
          <w:sz w:val="18"/>
          <w:szCs w:val="18"/>
        </w:rPr>
        <w:t xml:space="preserve">Ibid </w:t>
      </w:r>
      <w:r>
        <w:rPr>
          <w:bCs/>
          <w:i/>
          <w:color w:val="000000"/>
          <w:sz w:val="18"/>
          <w:szCs w:val="18"/>
        </w:rPr>
        <w:t>Capitolul 7 pentru detalii referitoare la criteriile de evaluare a programelor și proiectelor</w:t>
      </w:r>
      <w:r w:rsidRPr="001C50C1">
        <w:rPr>
          <w:bCs/>
          <w:i/>
          <w:color w:val="000000"/>
          <w:sz w:val="18"/>
          <w:szCs w:val="18"/>
        </w:rPr>
        <w:t>.</w:t>
      </w:r>
    </w:p>
  </w:footnote>
  <w:footnote w:id="4">
    <w:p w:rsidR="001F544B" w:rsidRPr="002E31B4" w:rsidRDefault="001F544B" w:rsidP="00B4550A">
      <w:pPr>
        <w:pStyle w:val="FootnoteText"/>
        <w:rPr>
          <w:lang w:val="ro-RO"/>
        </w:rPr>
      </w:pPr>
      <w:r w:rsidRPr="002E31B4">
        <w:rPr>
          <w:rStyle w:val="FootnoteReference"/>
          <w:lang w:val="ro-RO"/>
        </w:rPr>
        <w:footnoteRef/>
      </w:r>
      <w:r w:rsidRPr="002E31B4">
        <w:rPr>
          <w:lang w:val="ro-RO"/>
        </w:rPr>
        <w:t xml:space="preserve">Asistență pentru Ministerul Transporturilor și Infrastructurii pentru întărirea  planificării strategice în sectorul transporturilor, Raport asupra planificării strategice. Vol 2: Planul Strategic privind Ministerul Transporturilor și Infrastructurii , Versiune Finală , Banca Mondială, Decembrie 2012. </w:t>
      </w:r>
    </w:p>
  </w:footnote>
  <w:footnote w:id="5">
    <w:p w:rsidR="001F544B" w:rsidRPr="00D6289F" w:rsidRDefault="001F544B" w:rsidP="00B4550A">
      <w:pPr>
        <w:pStyle w:val="FootnoteText"/>
        <w:rPr>
          <w:lang w:val="ro-RO"/>
        </w:rPr>
      </w:pPr>
      <w:r>
        <w:rPr>
          <w:rStyle w:val="FootnoteReference"/>
        </w:rPr>
        <w:footnoteRef/>
      </w:r>
      <w:r w:rsidRPr="00961A52">
        <w:rPr>
          <w:lang w:val="ro-RO"/>
        </w:rPr>
        <w:t xml:space="preserve"> </w:t>
      </w:r>
      <w:r w:rsidRPr="00D6289F">
        <w:rPr>
          <w:sz w:val="22"/>
          <w:szCs w:val="22"/>
          <w:lang w:val="ro-RO" w:eastAsia="en-GB"/>
        </w:rPr>
        <w:t xml:space="preserve">COMISIA EUROPEANĂ, </w:t>
      </w:r>
      <w:r>
        <w:rPr>
          <w:sz w:val="22"/>
          <w:szCs w:val="22"/>
          <w:lang w:val="ro-RO" w:eastAsia="en-GB"/>
        </w:rPr>
        <w:t>DG -</w:t>
      </w:r>
      <w:r w:rsidRPr="00D6289F">
        <w:rPr>
          <w:sz w:val="22"/>
          <w:szCs w:val="22"/>
          <w:lang w:val="ro-RO" w:eastAsia="en-GB"/>
        </w:rPr>
        <w:t xml:space="preserve"> Politici Regionale și Urbane, DRAFT -</w:t>
      </w:r>
      <w:r w:rsidRPr="00D6289F">
        <w:rPr>
          <w:b/>
          <w:bCs/>
          <w:sz w:val="22"/>
          <w:szCs w:val="22"/>
          <w:lang w:val="ro-RO" w:eastAsia="en-GB"/>
        </w:rPr>
        <w:t xml:space="preserve">“Ghid privind </w:t>
      </w:r>
      <w:r>
        <w:rPr>
          <w:b/>
          <w:bCs/>
          <w:sz w:val="22"/>
          <w:szCs w:val="22"/>
          <w:lang w:val="ro-RO" w:eastAsia="en-GB"/>
        </w:rPr>
        <w:t>c</w:t>
      </w:r>
      <w:r w:rsidRPr="00D6289F">
        <w:rPr>
          <w:b/>
          <w:bCs/>
          <w:sz w:val="22"/>
          <w:szCs w:val="22"/>
          <w:lang w:val="ro-RO" w:eastAsia="en-GB"/>
        </w:rPr>
        <w:t xml:space="preserve">ondiționalitățile ex-ante pentru </w:t>
      </w:r>
      <w:r>
        <w:rPr>
          <w:b/>
          <w:bCs/>
          <w:sz w:val="22"/>
          <w:szCs w:val="22"/>
          <w:lang w:val="ro-RO" w:eastAsia="en-GB"/>
        </w:rPr>
        <w:t>accesarea fondurilor structurale și de i</w:t>
      </w:r>
      <w:r w:rsidRPr="00D6289F">
        <w:rPr>
          <w:b/>
          <w:bCs/>
          <w:sz w:val="22"/>
          <w:szCs w:val="22"/>
          <w:lang w:val="ro-RO" w:eastAsia="en-GB"/>
        </w:rPr>
        <w:t>nvestiții</w:t>
      </w:r>
      <w:r w:rsidRPr="002D72B7">
        <w:rPr>
          <w:b/>
          <w:bCs/>
          <w:sz w:val="22"/>
          <w:szCs w:val="22"/>
          <w:lang w:val="ro-RO" w:eastAsia="en-GB"/>
        </w:rPr>
        <w:t xml:space="preserve"> </w:t>
      </w:r>
      <w:r>
        <w:rPr>
          <w:b/>
          <w:bCs/>
          <w:sz w:val="22"/>
          <w:szCs w:val="22"/>
          <w:lang w:val="ro-RO" w:eastAsia="en-GB"/>
        </w:rPr>
        <w:t>e</w:t>
      </w:r>
      <w:r w:rsidRPr="00D6289F">
        <w:rPr>
          <w:b/>
          <w:bCs/>
          <w:sz w:val="22"/>
          <w:szCs w:val="22"/>
          <w:lang w:val="ro-RO" w:eastAsia="en-GB"/>
        </w:rPr>
        <w:t xml:space="preserve">uropene”, PARTEA II, </w:t>
      </w:r>
      <w:r w:rsidRPr="00D6289F">
        <w:rPr>
          <w:b/>
          <w:bCs/>
          <w:sz w:val="22"/>
          <w:szCs w:val="22"/>
          <w:lang w:val="ro-RO"/>
        </w:rPr>
        <w:t>“Criterii de îndeplinit”</w:t>
      </w:r>
    </w:p>
  </w:footnote>
  <w:footnote w:id="6">
    <w:p w:rsidR="001F544B" w:rsidRPr="00961A52" w:rsidRDefault="001F544B" w:rsidP="00B4550A">
      <w:pPr>
        <w:pStyle w:val="Referinta"/>
        <w:rPr>
          <w:lang w:val="ro-RO"/>
        </w:rPr>
      </w:pPr>
      <w:r w:rsidRPr="00066342">
        <w:rPr>
          <w:vertAlign w:val="superscript"/>
        </w:rPr>
        <w:footnoteRef/>
      </w:r>
      <w:r w:rsidRPr="00961A52">
        <w:rPr>
          <w:lang w:val="ro-RO"/>
        </w:rPr>
        <w:t xml:space="preserve"> http://ec.europa.eu/transport/themes/infrastructure/revision-t_en.htm</w:t>
      </w:r>
    </w:p>
  </w:footnote>
  <w:footnote w:id="7">
    <w:p w:rsidR="001F544B" w:rsidRPr="00961A52" w:rsidRDefault="001F544B" w:rsidP="00B4550A">
      <w:pPr>
        <w:pStyle w:val="Referinta"/>
        <w:rPr>
          <w:lang w:val="ro-RO"/>
        </w:rPr>
      </w:pPr>
      <w:r w:rsidRPr="00E0059F">
        <w:rPr>
          <w:sz w:val="20"/>
          <w:vertAlign w:val="superscript"/>
        </w:rPr>
        <w:footnoteRef/>
      </w:r>
      <w:r w:rsidRPr="00961A52">
        <w:rPr>
          <w:vertAlign w:val="superscript"/>
          <w:lang w:val="ro-RO"/>
        </w:rPr>
        <w:t xml:space="preserve"> </w:t>
      </w:r>
      <w:r w:rsidRPr="00961A52">
        <w:rPr>
          <w:lang w:val="ro-RO"/>
        </w:rPr>
        <w:t>http://ec.europa.eu/transport/themes/strategies/2011_white_paper_en.htm</w:t>
      </w:r>
    </w:p>
  </w:footnote>
  <w:footnote w:id="8">
    <w:p w:rsidR="001F544B" w:rsidRPr="00217ADE" w:rsidRDefault="001F544B" w:rsidP="00B4550A">
      <w:pPr>
        <w:pStyle w:val="Referinta"/>
        <w:rPr>
          <w:lang w:val="ro-RO"/>
        </w:rPr>
      </w:pPr>
      <w:r w:rsidRPr="00E0059F">
        <w:rPr>
          <w:sz w:val="20"/>
          <w:vertAlign w:val="superscript"/>
        </w:rPr>
        <w:footnoteRef/>
      </w:r>
      <w:r w:rsidRPr="00961A52">
        <w:rPr>
          <w:lang w:val="ro-RO"/>
        </w:rPr>
        <w:t xml:space="preserve"> http://www.drp.gov.ro/download.php?6b3a2e12faf92184a320aeeaa3f853cf</w:t>
      </w:r>
    </w:p>
  </w:footnote>
  <w:footnote w:id="9">
    <w:p w:rsidR="001F544B" w:rsidRPr="009B06CD" w:rsidRDefault="001F544B" w:rsidP="00B4550A">
      <w:pPr>
        <w:pStyle w:val="Referinta"/>
        <w:rPr>
          <w:lang w:val="ro-RO"/>
        </w:rPr>
      </w:pPr>
      <w:r>
        <w:rPr>
          <w:rStyle w:val="FootnoteReference"/>
        </w:rPr>
        <w:footnoteRef/>
      </w:r>
      <w:r w:rsidRPr="009B06CD">
        <w:rPr>
          <w:lang w:val="ro-RO"/>
        </w:rPr>
        <w:t xml:space="preserve"> http://www.mt.ro/strategie/plan_strategic/planul%20strategic%20integrat%20revizuit%202009.pdf</w:t>
      </w:r>
    </w:p>
  </w:footnote>
  <w:footnote w:id="10">
    <w:p w:rsidR="001F544B" w:rsidRPr="009B06CD" w:rsidRDefault="001F544B" w:rsidP="00B4550A">
      <w:pPr>
        <w:pStyle w:val="Referinta"/>
        <w:rPr>
          <w:lang w:val="ro-RO"/>
        </w:rPr>
      </w:pPr>
      <w:r>
        <w:rPr>
          <w:rStyle w:val="FootnoteReference"/>
        </w:rPr>
        <w:footnoteRef/>
      </w:r>
      <w:r w:rsidRPr="009B06CD">
        <w:rPr>
          <w:lang w:val="ro-RO"/>
        </w:rPr>
        <w:t>http://www.fonduri-ue.ro/res/filepicker_users/cd25a597fd-62/2014-2020/acord-parteneriat/Acord_de_parteneriat_01.10.2013.pdf</w:t>
      </w:r>
    </w:p>
  </w:footnote>
  <w:footnote w:id="11">
    <w:p w:rsidR="001F544B" w:rsidRPr="003F11ED" w:rsidRDefault="001F544B" w:rsidP="00B4550A">
      <w:pPr>
        <w:pStyle w:val="Referinta"/>
        <w:rPr>
          <w:sz w:val="20"/>
          <w:szCs w:val="20"/>
          <w:lang w:val="ro-RO"/>
        </w:rPr>
      </w:pPr>
      <w:r>
        <w:rPr>
          <w:rStyle w:val="FootnoteReference"/>
        </w:rPr>
        <w:footnoteRef/>
      </w:r>
      <w:r w:rsidRPr="009B06CD">
        <w:rPr>
          <w:lang w:val="ro-RO"/>
        </w:rPr>
        <w:t xml:space="preserve"> </w:t>
      </w:r>
      <w:r w:rsidRPr="003F11ED">
        <w:rPr>
          <w:rFonts w:cs="Arial"/>
          <w:sz w:val="20"/>
          <w:szCs w:val="20"/>
          <w:lang w:val="ro-RO"/>
        </w:rPr>
        <w:t>http://eur-lex.europa.eu/LexUriServ/LexUriServ.do?uri=COM:2006:0006:FIN:EN:PDF</w:t>
      </w:r>
    </w:p>
  </w:footnote>
  <w:footnote w:id="12">
    <w:p w:rsidR="001F544B" w:rsidRPr="003F11ED" w:rsidRDefault="001F544B" w:rsidP="00B4550A">
      <w:pPr>
        <w:pStyle w:val="Referinta"/>
        <w:rPr>
          <w:rFonts w:cs="Arial"/>
          <w:sz w:val="20"/>
          <w:szCs w:val="20"/>
          <w:lang w:val="ro-RO"/>
        </w:rPr>
      </w:pPr>
      <w:r w:rsidRPr="003F11ED">
        <w:rPr>
          <w:rStyle w:val="FootnoteReference"/>
          <w:rFonts w:cs="Arial"/>
          <w:sz w:val="20"/>
          <w:szCs w:val="20"/>
        </w:rPr>
        <w:footnoteRef/>
      </w:r>
      <w:r w:rsidRPr="003F11ED">
        <w:rPr>
          <w:rFonts w:cs="Arial"/>
          <w:sz w:val="20"/>
          <w:szCs w:val="20"/>
          <w:lang w:val="ro-RO"/>
        </w:rPr>
        <w:t xml:space="preserve"> Programul Operațional Sectorial deTransport 2007 – 2013 (revizia 2 - aprobat la 26.07.2013)  Ministerul transporturilor și infrastructurii. http://www.ampost.ro/fisiere/pagini_fisiere/RO-POST_revizia_2.pdf</w:t>
      </w:r>
    </w:p>
  </w:footnote>
  <w:footnote w:id="13">
    <w:p w:rsidR="001F544B" w:rsidRPr="003F11ED" w:rsidRDefault="001F544B" w:rsidP="00B4550A">
      <w:pPr>
        <w:pStyle w:val="Referinta"/>
        <w:rPr>
          <w:rFonts w:cs="Arial"/>
          <w:sz w:val="20"/>
          <w:szCs w:val="20"/>
          <w:lang w:val="ro-RO"/>
        </w:rPr>
      </w:pPr>
      <w:r w:rsidRPr="003F11ED">
        <w:rPr>
          <w:rStyle w:val="FootnoteReference"/>
          <w:sz w:val="20"/>
          <w:szCs w:val="20"/>
        </w:rPr>
        <w:footnoteRef/>
      </w:r>
      <w:r w:rsidRPr="003F11ED">
        <w:rPr>
          <w:sz w:val="20"/>
          <w:szCs w:val="20"/>
          <w:lang w:val="ro-RO"/>
        </w:rPr>
        <w:t xml:space="preserve"> </w:t>
      </w:r>
      <w:r w:rsidRPr="003F11ED">
        <w:rPr>
          <w:rFonts w:cs="Arial"/>
          <w:sz w:val="20"/>
          <w:szCs w:val="20"/>
          <w:lang w:val="ro-RO"/>
        </w:rPr>
        <w:t>http://eur-lex.europa.eu/LexUriServ/LexUriServ.do?uri=COM:2010:2020:FIN:RO:PDF</w:t>
      </w:r>
    </w:p>
  </w:footnote>
  <w:footnote w:id="14">
    <w:p w:rsidR="001F544B" w:rsidRPr="003F11ED" w:rsidRDefault="001F544B" w:rsidP="00B4550A">
      <w:pPr>
        <w:pStyle w:val="Referinta"/>
        <w:rPr>
          <w:rFonts w:cs="Arial"/>
          <w:sz w:val="20"/>
          <w:szCs w:val="20"/>
          <w:lang w:val="ro-RO"/>
        </w:rPr>
      </w:pPr>
      <w:r w:rsidRPr="003F11ED">
        <w:rPr>
          <w:rStyle w:val="FootnoteReference"/>
          <w:rFonts w:cs="Arial"/>
          <w:sz w:val="20"/>
          <w:szCs w:val="20"/>
        </w:rPr>
        <w:footnoteRef/>
      </w:r>
      <w:r w:rsidRPr="003F11ED">
        <w:rPr>
          <w:rFonts w:cs="Arial"/>
          <w:sz w:val="20"/>
          <w:szCs w:val="20"/>
          <w:lang w:val="ro-RO"/>
        </w:rPr>
        <w:t xml:space="preserve"> http://ec.europa.eu/regional_policy/sources/docgener/panorama/pdf/mag37/mag37_ro.pdf</w:t>
      </w:r>
    </w:p>
  </w:footnote>
  <w:footnote w:id="15">
    <w:p w:rsidR="001F544B" w:rsidRPr="003F11ED" w:rsidRDefault="001F544B" w:rsidP="00B4550A">
      <w:pPr>
        <w:pStyle w:val="Referinta"/>
        <w:rPr>
          <w:sz w:val="20"/>
          <w:szCs w:val="20"/>
          <w:lang w:val="ro-RO"/>
        </w:rPr>
      </w:pPr>
      <w:r w:rsidRPr="003F11ED">
        <w:rPr>
          <w:rStyle w:val="FootnoteReference"/>
          <w:sz w:val="20"/>
          <w:szCs w:val="20"/>
        </w:rPr>
        <w:footnoteRef/>
      </w:r>
      <w:r w:rsidRPr="003F11ED">
        <w:rPr>
          <w:sz w:val="20"/>
          <w:szCs w:val="20"/>
          <w:lang w:val="ro-RO"/>
        </w:rPr>
        <w:t xml:space="preserve"> </w:t>
      </w:r>
      <w:r w:rsidRPr="003F11ED">
        <w:rPr>
          <w:rFonts w:cs="Arial"/>
          <w:sz w:val="20"/>
          <w:szCs w:val="20"/>
          <w:lang w:val="ro-RO"/>
        </w:rPr>
        <w:t>http://eur-lex.europa.eu/LexUriServ/LexUriServ.do?uri=COM:2013:0216:FIN:RO:PDF</w:t>
      </w:r>
    </w:p>
  </w:footnote>
  <w:footnote w:id="16">
    <w:p w:rsidR="001F544B" w:rsidRPr="003F11ED" w:rsidRDefault="001F544B" w:rsidP="00B4550A">
      <w:pPr>
        <w:pStyle w:val="Referinta"/>
        <w:rPr>
          <w:sz w:val="20"/>
          <w:szCs w:val="20"/>
          <w:lang w:val="ro-RO"/>
        </w:rPr>
      </w:pPr>
      <w:r w:rsidRPr="003F11ED">
        <w:rPr>
          <w:rStyle w:val="FootnoteReference"/>
          <w:sz w:val="20"/>
          <w:szCs w:val="20"/>
        </w:rPr>
        <w:footnoteRef/>
      </w:r>
      <w:r w:rsidRPr="003F11ED">
        <w:rPr>
          <w:sz w:val="20"/>
          <w:szCs w:val="20"/>
          <w:lang w:val="ro-RO"/>
        </w:rPr>
        <w:t xml:space="preserve"> http://europa.eu/legislation_summaries/maritime_affairs_and_fisheries/fisheries_resources_and_environment/l28164_ro.htm</w:t>
      </w:r>
    </w:p>
  </w:footnote>
  <w:footnote w:id="17">
    <w:p w:rsidR="001F544B" w:rsidRPr="003F11ED" w:rsidRDefault="001F544B" w:rsidP="00B4550A">
      <w:pPr>
        <w:pStyle w:val="Referinta"/>
        <w:rPr>
          <w:sz w:val="20"/>
          <w:szCs w:val="20"/>
          <w:lang w:val="ro-RO"/>
        </w:rPr>
      </w:pPr>
      <w:r w:rsidRPr="003F11ED">
        <w:rPr>
          <w:sz w:val="20"/>
          <w:szCs w:val="20"/>
          <w:vertAlign w:val="superscript"/>
        </w:rPr>
        <w:footnoteRef/>
      </w:r>
      <w:r w:rsidRPr="003F11ED">
        <w:rPr>
          <w:sz w:val="20"/>
          <w:szCs w:val="20"/>
          <w:lang w:val="ro-RO"/>
        </w:rPr>
        <w:t>http://www.mt.ro/strategie/strategii%20sectoriale_acte%20normative/strategie%20dezvoltare%20durabila%20noua%20ultima%20forma.pdf</w:t>
      </w:r>
    </w:p>
  </w:footnote>
  <w:footnote w:id="18">
    <w:p w:rsidR="001F544B" w:rsidRPr="003F11ED" w:rsidRDefault="001F544B" w:rsidP="00B4550A">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w:t>
      </w:r>
      <w:hyperlink r:id="rId1" w:history="1">
        <w:r w:rsidRPr="003F11ED">
          <w:rPr>
            <w:rStyle w:val="Hyperlink"/>
            <w:rFonts w:cs="Arial"/>
            <w:sz w:val="20"/>
            <w:szCs w:val="20"/>
            <w:lang w:val="ro-RO"/>
          </w:rPr>
          <w:t>http://www.mt.ro/nou/_img/documente/strategie_de_transport_intermodal_text.pdf</w:t>
        </w:r>
      </w:hyperlink>
      <w:r w:rsidRPr="003F11ED">
        <w:rPr>
          <w:sz w:val="20"/>
          <w:szCs w:val="20"/>
          <w:lang w:val="ro-RO"/>
        </w:rPr>
        <w:t xml:space="preserve"> </w:t>
      </w:r>
    </w:p>
  </w:footnote>
  <w:footnote w:id="19">
    <w:p w:rsidR="001F544B" w:rsidRPr="003F11ED" w:rsidRDefault="001F544B" w:rsidP="00B4550A">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http://www.mmediu.ro/beta/wp-content/uploads/2012/10/2012-10-05-Strategia_NR-SC.pdf</w:t>
      </w:r>
    </w:p>
  </w:footnote>
  <w:footnote w:id="20">
    <w:p w:rsidR="001F544B" w:rsidRPr="003F11ED" w:rsidRDefault="001F544B" w:rsidP="00B4550A">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http://biodiversitate.mmediu.ro/implementation/legislaie/politici/strategia-nationala-si-planul-de-actiune-pentru-conservarea-biodiversitatii/anexa-strategia-nationala-si-planul-de-actiune-pentru-conservarea/snpacb.pdf/download</w:t>
      </w:r>
    </w:p>
  </w:footnote>
  <w:footnote w:id="21">
    <w:p w:rsidR="001F544B" w:rsidRPr="003F11ED" w:rsidRDefault="001F544B" w:rsidP="00B4550A">
      <w:pPr>
        <w:pStyle w:val="Referinta"/>
        <w:rPr>
          <w:sz w:val="20"/>
          <w:szCs w:val="20"/>
          <w:lang w:val="ro-RO"/>
        </w:rPr>
      </w:pPr>
      <w:r w:rsidRPr="003F11ED">
        <w:rPr>
          <w:rStyle w:val="FootnoteReference"/>
          <w:rFonts w:cs="Arial"/>
          <w:sz w:val="20"/>
          <w:szCs w:val="20"/>
        </w:rPr>
        <w:footnoteRef/>
      </w:r>
      <w:r w:rsidRPr="003F11ED">
        <w:rPr>
          <w:sz w:val="20"/>
          <w:szCs w:val="20"/>
          <w:lang w:val="ro-RO"/>
        </w:rPr>
        <w:t xml:space="preserve"> http://www.mt.ro/transparenta/2012/ianuarie/1_17%20Anexa1.pdf</w:t>
      </w:r>
    </w:p>
  </w:footnote>
  <w:footnote w:id="22">
    <w:p w:rsidR="001F544B" w:rsidRPr="003F11ED" w:rsidRDefault="001F544B" w:rsidP="00B4550A">
      <w:pPr>
        <w:pStyle w:val="Referinta"/>
        <w:rPr>
          <w:sz w:val="20"/>
          <w:szCs w:val="20"/>
          <w:lang w:val="ro-RO"/>
        </w:rPr>
      </w:pPr>
      <w:r w:rsidRPr="003F11ED">
        <w:rPr>
          <w:rStyle w:val="FootnoteReference"/>
          <w:sz w:val="20"/>
          <w:szCs w:val="20"/>
        </w:rPr>
        <w:footnoteRef/>
      </w:r>
      <w:r w:rsidRPr="003F11ED">
        <w:rPr>
          <w:sz w:val="20"/>
          <w:szCs w:val="20"/>
          <w:lang w:val="ro-RO"/>
        </w:rPr>
        <w:t xml:space="preserve"> http://ec.europa.eu/clima/policies/adaptation/what/docs/swd_2013_137_en.pdf</w:t>
      </w:r>
    </w:p>
  </w:footnote>
  <w:footnote w:id="23">
    <w:p w:rsidR="001F544B" w:rsidRPr="003F11ED" w:rsidRDefault="001F544B" w:rsidP="00B4550A">
      <w:pPr>
        <w:pStyle w:val="Referinta"/>
        <w:rPr>
          <w:sz w:val="20"/>
          <w:szCs w:val="20"/>
          <w:lang w:val="ro-RO"/>
        </w:rPr>
      </w:pPr>
      <w:r w:rsidRPr="003F11ED">
        <w:rPr>
          <w:rStyle w:val="FootnoteReference"/>
          <w:sz w:val="20"/>
          <w:szCs w:val="20"/>
        </w:rPr>
        <w:footnoteRef/>
      </w:r>
      <w:r w:rsidRPr="003F11ED">
        <w:rPr>
          <w:sz w:val="20"/>
          <w:szCs w:val="20"/>
          <w:lang w:val="ro-RO"/>
        </w:rPr>
        <w:t>www.icpdr.org</w:t>
      </w:r>
    </w:p>
  </w:footnote>
  <w:footnote w:id="24">
    <w:p w:rsidR="001F544B" w:rsidRDefault="001F544B" w:rsidP="00B4550A">
      <w:pPr>
        <w:pStyle w:val="FootnoteText"/>
      </w:pPr>
      <w:r>
        <w:rPr>
          <w:rStyle w:val="FootnoteReference"/>
        </w:rPr>
        <w:footnoteRef/>
      </w:r>
      <w:r>
        <w:t xml:space="preserve"> MPGT Ghid Național de Evaluare, Volumul 1 – Evaluarea și Prioritizarea Proiectelor care vor fi incluse în Master Plan.  </w:t>
      </w:r>
    </w:p>
  </w:footnote>
  <w:footnote w:id="25">
    <w:p w:rsidR="001F544B" w:rsidRDefault="001F544B" w:rsidP="00573AD5">
      <w:pPr>
        <w:pStyle w:val="FootnoteText"/>
      </w:pPr>
      <w:r>
        <w:rPr>
          <w:rStyle w:val="FootnoteReference"/>
        </w:rPr>
        <w:footnoteRef/>
      </w:r>
      <w:r>
        <w:t xml:space="preserve"> </w:t>
      </w:r>
      <w:r>
        <w:rPr>
          <w:i/>
          <w:sz w:val="16"/>
          <w:szCs w:val="16"/>
        </w:rPr>
        <w:t>Sursa</w:t>
      </w:r>
      <w:r w:rsidRPr="00C238CA">
        <w:rPr>
          <w:i/>
          <w:sz w:val="16"/>
          <w:szCs w:val="16"/>
        </w:rPr>
        <w:t xml:space="preserve">: </w:t>
      </w:r>
      <w:r>
        <w:rPr>
          <w:i/>
          <w:sz w:val="16"/>
          <w:szCs w:val="16"/>
        </w:rPr>
        <w:t>Comisia Europeană</w:t>
      </w:r>
      <w:r w:rsidRPr="00C238CA">
        <w:rPr>
          <w:i/>
          <w:sz w:val="16"/>
          <w:szCs w:val="16"/>
        </w:rPr>
        <w:t xml:space="preserve">, </w:t>
      </w:r>
      <w:r>
        <w:rPr>
          <w:i/>
          <w:sz w:val="16"/>
          <w:szCs w:val="16"/>
        </w:rPr>
        <w:t>Transportul EU în cifre – Ghid Statistic</w:t>
      </w:r>
      <w:r w:rsidRPr="00C238CA">
        <w:rPr>
          <w:i/>
          <w:sz w:val="16"/>
          <w:szCs w:val="16"/>
        </w:rPr>
        <w:t>, 2013</w:t>
      </w:r>
    </w:p>
  </w:footnote>
  <w:footnote w:id="26">
    <w:p w:rsidR="001F544B" w:rsidRPr="000C090E" w:rsidRDefault="001F544B" w:rsidP="00573AD5">
      <w:pPr>
        <w:pStyle w:val="FootnoteText"/>
        <w:rPr>
          <w:lang w:val="es-ES"/>
        </w:rPr>
      </w:pPr>
      <w:r>
        <w:rPr>
          <w:rStyle w:val="FootnoteReference"/>
        </w:rPr>
        <w:footnoteRef/>
      </w:r>
      <w:r w:rsidRPr="000C090E">
        <w:rPr>
          <w:lang w:val="es-ES"/>
        </w:rPr>
        <w:t xml:space="preserve"> Viteza maximă nu este disponibilă </w:t>
      </w:r>
      <w:r>
        <w:rPr>
          <w:lang w:val="es-ES"/>
        </w:rPr>
        <w:t>p</w:t>
      </w:r>
      <w:r w:rsidRPr="000C090E">
        <w:rPr>
          <w:lang w:val="es-ES"/>
        </w:rPr>
        <w:t xml:space="preserve">entru anumite legături, </w:t>
      </w:r>
      <w:r>
        <w:rPr>
          <w:lang w:val="es-ES"/>
        </w:rPr>
        <w:t>așadar</w:t>
      </w:r>
      <w:r w:rsidRPr="000C090E">
        <w:rPr>
          <w:lang w:val="es-ES"/>
        </w:rPr>
        <w:t xml:space="preserve"> acestea apar fără date</w:t>
      </w:r>
      <w:r>
        <w:rPr>
          <w:lang w:val="es-ES"/>
        </w:rPr>
        <w:t>.</w:t>
      </w:r>
      <w:r w:rsidRPr="000C090E">
        <w:rPr>
          <w:lang w:val="es-ES"/>
        </w:rPr>
        <w:t xml:space="preserve"> </w:t>
      </w:r>
    </w:p>
  </w:footnote>
  <w:footnote w:id="27">
    <w:p w:rsidR="001F544B" w:rsidRPr="00CA430F" w:rsidRDefault="001F544B" w:rsidP="00573AD5">
      <w:pPr>
        <w:pStyle w:val="FootnoteText"/>
        <w:rPr>
          <w:lang w:val="es-ES"/>
        </w:rPr>
      </w:pPr>
      <w:r>
        <w:rPr>
          <w:rStyle w:val="FootnoteReference"/>
        </w:rPr>
        <w:footnoteRef/>
      </w:r>
      <w:r w:rsidRPr="00CA430F">
        <w:rPr>
          <w:lang w:val="es-ES"/>
        </w:rPr>
        <w:t xml:space="preserve"> </w:t>
      </w:r>
      <w:r w:rsidRPr="00CA430F">
        <w:rPr>
          <w:sz w:val="16"/>
          <w:szCs w:val="16"/>
          <w:lang w:val="es-ES"/>
        </w:rPr>
        <w:t>IRG – Raportul</w:t>
      </w:r>
      <w:r>
        <w:rPr>
          <w:sz w:val="16"/>
          <w:szCs w:val="16"/>
          <w:lang w:val="es-ES"/>
        </w:rPr>
        <w:t xml:space="preserve"> de m</w:t>
      </w:r>
      <w:r w:rsidRPr="00CA430F">
        <w:rPr>
          <w:sz w:val="16"/>
          <w:szCs w:val="16"/>
          <w:lang w:val="es-ES"/>
        </w:rPr>
        <w:t xml:space="preserve">onitorizare a evoluției pieței feroviare, </w:t>
      </w:r>
      <w:r>
        <w:rPr>
          <w:sz w:val="16"/>
          <w:szCs w:val="16"/>
          <w:lang w:val="es-ES"/>
        </w:rPr>
        <w:t>februarie</w:t>
      </w:r>
      <w:r w:rsidRPr="00CA430F">
        <w:rPr>
          <w:sz w:val="16"/>
          <w:szCs w:val="16"/>
          <w:lang w:val="es-ES"/>
        </w:rPr>
        <w:t xml:space="preserve"> 2013</w:t>
      </w:r>
    </w:p>
  </w:footnote>
  <w:footnote w:id="28">
    <w:p w:rsidR="001F544B" w:rsidRPr="00961A52" w:rsidRDefault="001F544B" w:rsidP="00B4550A">
      <w:pPr>
        <w:pStyle w:val="FootnoteText"/>
        <w:rPr>
          <w:lang w:val="nl-BE"/>
        </w:rPr>
      </w:pPr>
      <w:r>
        <w:rPr>
          <w:rStyle w:val="FootnoteReference"/>
        </w:rPr>
        <w:footnoteRef/>
      </w:r>
      <w:r w:rsidRPr="00961A52">
        <w:rPr>
          <w:lang w:val="nl-BE"/>
        </w:rPr>
        <w:t xml:space="preserve"> </w:t>
      </w:r>
      <w:r w:rsidRPr="00CE7215">
        <w:rPr>
          <w:lang w:val="ro-RO"/>
        </w:rPr>
        <w:t>Dezvoltare etapizată care să țină cont de cerere și de alte proiecte dezvoltate în portul Galați</w:t>
      </w:r>
      <w:r w:rsidRPr="00961A52">
        <w:rPr>
          <w:lang w:val="nl-BE"/>
        </w:rPr>
        <w:t xml:space="preserve"> </w:t>
      </w:r>
    </w:p>
  </w:footnote>
  <w:footnote w:id="29">
    <w:p w:rsidR="001F544B" w:rsidRDefault="001F544B" w:rsidP="00B4550A">
      <w:pPr>
        <w:pStyle w:val="FootnoteText"/>
      </w:pPr>
      <w:r>
        <w:rPr>
          <w:rStyle w:val="FootnoteReference"/>
        </w:rPr>
        <w:footnoteRef/>
      </w:r>
      <w:r>
        <w:t xml:space="preserve"> </w:t>
      </w:r>
      <w:r w:rsidRPr="00BF696D">
        <w:rPr>
          <w:lang w:val="ro-RO"/>
        </w:rPr>
        <w:t>Modificările la nivel de tone menționate aici sunt pentru porturile din România. Porturile din alte țări beneficiază de o mai bună navigabilitate pe fluviul Dunărea, dar aceste porturi sunt în afara ariei de intere</w:t>
      </w:r>
      <w:r>
        <w:rPr>
          <w:lang w:val="ro-RO"/>
        </w:rPr>
        <w:t>s</w:t>
      </w:r>
      <w:r w:rsidRPr="00BF696D">
        <w:rPr>
          <w:lang w:val="ro-RO"/>
        </w:rPr>
        <w:t xml:space="preserve"> a acestui studiu.</w:t>
      </w:r>
      <w:r>
        <w:t xml:space="preserve"> </w:t>
      </w:r>
    </w:p>
    <w:p w:rsidR="001F544B" w:rsidRDefault="001F544B" w:rsidP="00B4550A">
      <w:pPr>
        <w:pStyle w:val="FootnoteText"/>
      </w:pPr>
    </w:p>
  </w:footnote>
  <w:footnote w:id="30">
    <w:p w:rsidR="001F544B" w:rsidRPr="00C00D5B" w:rsidRDefault="001F544B" w:rsidP="00B4550A">
      <w:pPr>
        <w:pStyle w:val="FootnoteText"/>
        <w:rPr>
          <w:lang w:val="ro-RO"/>
        </w:rPr>
      </w:pPr>
      <w:r w:rsidRPr="00C00D5B">
        <w:rPr>
          <w:rStyle w:val="FootnoteReference"/>
          <w:lang w:val="ro-RO"/>
        </w:rPr>
        <w:footnoteRef/>
      </w:r>
      <w:r w:rsidRPr="00C00D5B">
        <w:rPr>
          <w:lang w:val="ro-RO"/>
        </w:rPr>
        <w:t xml:space="preserve"> Considerat a fi de importanță </w:t>
      </w:r>
    </w:p>
  </w:footnote>
  <w:footnote w:id="31">
    <w:p w:rsidR="001F544B" w:rsidRDefault="001F544B" w:rsidP="00B4550A">
      <w:pPr>
        <w:pStyle w:val="FootnoteText"/>
      </w:pPr>
      <w:r w:rsidRPr="00C00D5B">
        <w:rPr>
          <w:rStyle w:val="FootnoteReference"/>
          <w:lang w:val="ro-RO"/>
        </w:rPr>
        <w:footnoteRef/>
      </w:r>
      <w:r w:rsidRPr="00C00D5B">
        <w:rPr>
          <w:lang w:val="ro-RO"/>
        </w:rPr>
        <w:t xml:space="preserve"> Dezvoltarea trebuie etapizată pentru a răspunde cererii și pentru a ține cont de alte proiecte de la Galați</w:t>
      </w:r>
      <w:r>
        <w:t xml:space="preserve"> </w:t>
      </w:r>
    </w:p>
  </w:footnote>
  <w:footnote w:id="32">
    <w:p w:rsidR="001F544B" w:rsidRDefault="001F544B" w:rsidP="00B4550A">
      <w:pPr>
        <w:pStyle w:val="FootnoteText"/>
      </w:pPr>
      <w:r>
        <w:rPr>
          <w:rStyle w:val="FootnoteReference"/>
        </w:rPr>
        <w:footnoteRef/>
      </w:r>
      <w:r>
        <w:t xml:space="preserve"> Autoritatea Aeronautică Civilă Română, Octombrie 2013</w:t>
      </w:r>
    </w:p>
  </w:footnote>
  <w:footnote w:id="33">
    <w:p w:rsidR="001F544B" w:rsidRPr="008D55A7" w:rsidRDefault="001F544B" w:rsidP="00BD59B2">
      <w:pPr>
        <w:pStyle w:val="FootnoteText"/>
        <w:rPr>
          <w:rFonts w:asciiTheme="minorHAnsi" w:hAnsiTheme="minorHAnsi"/>
          <w:sz w:val="16"/>
          <w:szCs w:val="16"/>
        </w:rPr>
      </w:pPr>
      <w:r w:rsidRPr="008D55A7">
        <w:rPr>
          <w:rStyle w:val="FootnoteReference"/>
          <w:rFonts w:asciiTheme="minorHAnsi" w:hAnsiTheme="minorHAnsi"/>
          <w:sz w:val="16"/>
          <w:szCs w:val="16"/>
        </w:rPr>
        <w:footnoteRef/>
      </w:r>
      <w:r w:rsidRPr="008D55A7">
        <w:rPr>
          <w:rFonts w:asciiTheme="minorHAnsi" w:hAnsiTheme="minorHAnsi"/>
          <w:sz w:val="16"/>
          <w:szCs w:val="16"/>
        </w:rPr>
        <w:t xml:space="preserve"> </w:t>
      </w:r>
      <w:r>
        <w:rPr>
          <w:rFonts w:asciiTheme="minorHAnsi" w:hAnsiTheme="minorHAnsi"/>
          <w:sz w:val="16"/>
          <w:szCs w:val="16"/>
          <w:lang w:eastAsia="en-GB"/>
        </w:rPr>
        <w:t>Sursa</w:t>
      </w:r>
      <w:r w:rsidRPr="008D55A7">
        <w:rPr>
          <w:rFonts w:asciiTheme="minorHAnsi" w:hAnsiTheme="minorHAnsi"/>
          <w:sz w:val="16"/>
          <w:szCs w:val="16"/>
          <w:lang w:eastAsia="en-GB"/>
        </w:rPr>
        <w:t>: Intermodal Strategy Romania 2020</w:t>
      </w:r>
    </w:p>
  </w:footnote>
  <w:footnote w:id="34">
    <w:p w:rsidR="001F544B" w:rsidRDefault="001F544B" w:rsidP="00BD59B2">
      <w:pPr>
        <w:pStyle w:val="FootnoteText"/>
      </w:pPr>
      <w:r w:rsidRPr="008D55A7">
        <w:rPr>
          <w:rStyle w:val="FootnoteReference"/>
          <w:rFonts w:asciiTheme="minorHAnsi" w:hAnsiTheme="minorHAnsi"/>
          <w:sz w:val="16"/>
          <w:szCs w:val="16"/>
        </w:rPr>
        <w:footnoteRef/>
      </w:r>
      <w:r w:rsidRPr="008D55A7">
        <w:rPr>
          <w:rFonts w:asciiTheme="minorHAnsi" w:hAnsiTheme="minorHAnsi"/>
          <w:sz w:val="16"/>
          <w:szCs w:val="16"/>
        </w:rPr>
        <w:t xml:space="preserve"> </w:t>
      </w:r>
      <w:r>
        <w:rPr>
          <w:rFonts w:asciiTheme="minorHAnsi" w:hAnsiTheme="minorHAnsi"/>
          <w:sz w:val="16"/>
          <w:szCs w:val="16"/>
          <w:lang w:eastAsia="en-GB"/>
        </w:rPr>
        <w:t>Sursa</w:t>
      </w:r>
      <w:r w:rsidRPr="008D55A7">
        <w:rPr>
          <w:rFonts w:asciiTheme="minorHAnsi" w:hAnsiTheme="minorHAnsi"/>
          <w:sz w:val="16"/>
          <w:szCs w:val="16"/>
          <w:lang w:eastAsia="en-GB"/>
        </w:rPr>
        <w:t>: DIOMIS – Evolution of intermodal rail/road traffic in Central and Eastern European Countries by 2020, UIC, March 2010</w:t>
      </w:r>
    </w:p>
  </w:footnote>
  <w:footnote w:id="35">
    <w:p w:rsidR="001F544B" w:rsidRPr="008D55A7" w:rsidRDefault="001F544B" w:rsidP="00BD59B2">
      <w:pPr>
        <w:pStyle w:val="FootnoteText"/>
        <w:rPr>
          <w:rFonts w:asciiTheme="minorHAnsi" w:hAnsiTheme="minorHAnsi"/>
          <w:sz w:val="16"/>
          <w:szCs w:val="16"/>
        </w:rPr>
      </w:pPr>
      <w:r w:rsidRPr="008D55A7">
        <w:rPr>
          <w:rStyle w:val="FootnoteReference"/>
          <w:rFonts w:asciiTheme="minorHAnsi" w:hAnsiTheme="minorHAnsi"/>
          <w:sz w:val="16"/>
          <w:szCs w:val="16"/>
        </w:rPr>
        <w:footnoteRef/>
      </w:r>
      <w:r>
        <w:rPr>
          <w:rFonts w:asciiTheme="minorHAnsi" w:hAnsiTheme="minorHAnsi"/>
          <w:sz w:val="16"/>
          <w:szCs w:val="16"/>
        </w:rPr>
        <w:t xml:space="preserve"> Sursa</w:t>
      </w:r>
      <w:r w:rsidRPr="008D55A7">
        <w:rPr>
          <w:rFonts w:asciiTheme="minorHAnsi" w:hAnsiTheme="minorHAnsi"/>
          <w:sz w:val="16"/>
          <w:szCs w:val="16"/>
        </w:rPr>
        <w:t xml:space="preserve">– </w:t>
      </w:r>
      <w:r>
        <w:rPr>
          <w:rFonts w:asciiTheme="minorHAnsi" w:hAnsiTheme="minorHAnsi"/>
          <w:sz w:val="16"/>
          <w:szCs w:val="16"/>
        </w:rPr>
        <w:t>Manualul Portului Constanța</w:t>
      </w:r>
    </w:p>
  </w:footnote>
  <w:footnote w:id="36">
    <w:p w:rsidR="001F544B" w:rsidRPr="00067AB2" w:rsidRDefault="001F544B" w:rsidP="00B4550A">
      <w:pPr>
        <w:pStyle w:val="FootnoteText"/>
        <w:rPr>
          <w:lang w:val="nl-BE"/>
        </w:rPr>
      </w:pPr>
      <w:r w:rsidRPr="00614B4D">
        <w:rPr>
          <w:vertAlign w:val="superscript"/>
        </w:rPr>
        <w:footnoteRef/>
      </w:r>
      <w:r w:rsidRPr="00067AB2">
        <w:rPr>
          <w:lang w:val="nl-BE"/>
        </w:rPr>
        <w:t xml:space="preserve"> Extrase din adresa DG Regio E2/RI/ds (2013) 3331276 din 27/09/2014</w:t>
      </w:r>
    </w:p>
  </w:footnote>
  <w:footnote w:id="37">
    <w:p w:rsidR="001F544B" w:rsidRPr="00EB283E" w:rsidRDefault="001F544B" w:rsidP="00B4550A">
      <w:pPr>
        <w:pStyle w:val="FootnoteText"/>
        <w:rPr>
          <w:lang w:val="en-US"/>
        </w:rPr>
      </w:pPr>
      <w:r>
        <w:rPr>
          <w:rStyle w:val="FootnoteReference"/>
        </w:rPr>
        <w:footnoteRef/>
      </w:r>
      <w:r>
        <w:t xml:space="preserve"> Scrisoarea Guvernului României nr. </w:t>
      </w:r>
      <w:r>
        <w:rPr>
          <w:lang w:val="en-US"/>
        </w:rPr>
        <w:t xml:space="preserve"> 57338 transmisă Comisiei Europene în 09/12/2013</w:t>
      </w:r>
    </w:p>
  </w:footnote>
  <w:footnote w:id="38">
    <w:p w:rsidR="001F544B" w:rsidRPr="00961A52" w:rsidRDefault="001F544B" w:rsidP="00B4550A">
      <w:pPr>
        <w:pStyle w:val="FootnoteText"/>
        <w:rPr>
          <w:lang w:val="nl-BE"/>
        </w:rPr>
      </w:pPr>
      <w:r>
        <w:rPr>
          <w:rStyle w:val="FootnoteReference"/>
        </w:rPr>
        <w:footnoteRef/>
      </w:r>
      <w:r w:rsidRPr="00961A52">
        <w:rPr>
          <w:lang w:val="nl-BE"/>
        </w:rPr>
        <w:t xml:space="preserve"> Adresa MT DG SMAE nr. 8179 din 11.03.2014</w:t>
      </w:r>
    </w:p>
  </w:footnote>
  <w:footnote w:id="39">
    <w:p w:rsidR="001F544B" w:rsidRPr="00961A52" w:rsidRDefault="001F544B" w:rsidP="00B4550A">
      <w:pPr>
        <w:pStyle w:val="FootnoteText"/>
        <w:rPr>
          <w:lang w:val="nl-BE"/>
        </w:rPr>
      </w:pPr>
      <w:r>
        <w:rPr>
          <w:rStyle w:val="FootnoteReference"/>
        </w:rPr>
        <w:footnoteRef/>
      </w:r>
      <w:r w:rsidRPr="00961A52">
        <w:rPr>
          <w:lang w:val="nl-BE"/>
        </w:rPr>
        <w:t xml:space="preserve"> AECOM a fost informat de către MT că contribuția națională pentru acoperire co-finanțării proiectelor finanțate din CF sau FEDR, ca parte a Programului Operațional Regional 2014-2020 este de 25% din costurile eligibile totale și de 15% pentru programele finanțate din CEF.</w:t>
      </w:r>
    </w:p>
  </w:footnote>
  <w:footnote w:id="40">
    <w:p w:rsidR="001F544B" w:rsidRPr="0097100F" w:rsidRDefault="001F544B" w:rsidP="00B4550A">
      <w:pPr>
        <w:pStyle w:val="FootnoteText"/>
        <w:rPr>
          <w:lang w:val="en-US"/>
        </w:rPr>
      </w:pPr>
      <w:r>
        <w:rPr>
          <w:rStyle w:val="FootnoteReference"/>
        </w:rPr>
        <w:footnoteRef/>
      </w:r>
      <w:r>
        <w:t xml:space="preserve"> Adresa </w:t>
      </w:r>
      <w:r>
        <w:rPr>
          <w:lang w:val="en-US"/>
        </w:rPr>
        <w:t>MT Nr. 26515 transmisă Ministerului Finanțelor în data de 11/06/2013</w:t>
      </w:r>
    </w:p>
  </w:footnote>
  <w:footnote w:id="41">
    <w:p w:rsidR="001F544B" w:rsidRPr="00D927E7" w:rsidRDefault="001F544B" w:rsidP="00B4550A">
      <w:pPr>
        <w:pStyle w:val="FootnoteText"/>
        <w:rPr>
          <w:lang w:val="en-US"/>
        </w:rPr>
      </w:pPr>
      <w:r>
        <w:rPr>
          <w:rStyle w:val="FootnoteReference"/>
        </w:rPr>
        <w:footnoteRef/>
      </w:r>
      <w:r>
        <w:t xml:space="preserve"> </w:t>
      </w:r>
      <w:r w:rsidRPr="00D927E7">
        <w:t>http://cnp.ro/user/repository/prognoza_macroeconomica_2014--2017.pdf</w:t>
      </w:r>
    </w:p>
  </w:footnote>
  <w:footnote w:id="42">
    <w:p w:rsidR="001F544B" w:rsidRDefault="001F544B" w:rsidP="002B762C">
      <w:pPr>
        <w:pStyle w:val="FootnoteText"/>
      </w:pPr>
      <w:r>
        <w:rPr>
          <w:rStyle w:val="FootnoteReference"/>
        </w:rPr>
        <w:footnoteRef/>
      </w:r>
      <w:r>
        <w:t xml:space="preserve"> </w:t>
      </w:r>
      <w:r w:rsidRPr="00FC4E5B">
        <w:rPr>
          <w:rFonts w:ascii="Arial" w:hAnsi="Arial" w:cs="Arial"/>
          <w:sz w:val="18"/>
          <w:szCs w:val="18"/>
        </w:rPr>
        <w:t>http://www.ampost.ro/pagini/master-plan-general-de-transport</w:t>
      </w:r>
    </w:p>
  </w:footnote>
  <w:footnote w:id="43">
    <w:p w:rsidR="001F544B" w:rsidRPr="0001704F" w:rsidRDefault="001F544B" w:rsidP="002B762C">
      <w:pPr>
        <w:pStyle w:val="FootnoteText"/>
        <w:rPr>
          <w:i/>
        </w:rPr>
      </w:pPr>
      <w:r w:rsidRPr="0001704F">
        <w:rPr>
          <w:rStyle w:val="FootnoteReference"/>
          <w:i/>
        </w:rPr>
        <w:footnoteRef/>
      </w:r>
      <w:r w:rsidRPr="0001704F">
        <w:rPr>
          <w:i/>
        </w:rPr>
        <w:t xml:space="preserve"> </w:t>
      </w:r>
      <w:r w:rsidRPr="0001704F">
        <w:rPr>
          <w:rFonts w:ascii="Arial" w:hAnsi="Arial" w:cs="Arial"/>
          <w:i/>
          <w:sz w:val="18"/>
          <w:szCs w:val="18"/>
        </w:rPr>
        <w:t>Cost Recovery in the Road and Rail Infrastructure Sectors in Romania, AECOM 2013 for the World Bank</w:t>
      </w:r>
    </w:p>
  </w:footnote>
  <w:footnote w:id="44">
    <w:p w:rsidR="001F544B" w:rsidRPr="002E31B4" w:rsidRDefault="001F544B" w:rsidP="002B762C">
      <w:pPr>
        <w:pStyle w:val="FootnoteText"/>
        <w:rPr>
          <w:lang w:val="ro-RO"/>
        </w:rPr>
      </w:pPr>
      <w:r w:rsidRPr="002E31B4">
        <w:rPr>
          <w:rStyle w:val="FootnoteReference"/>
          <w:lang w:val="ro-RO"/>
        </w:rPr>
        <w:footnoteRef/>
      </w:r>
      <w:r w:rsidRPr="002E31B4">
        <w:rPr>
          <w:lang w:val="ro-RO"/>
        </w:rPr>
        <w:t xml:space="preserve">Asistență pentru Ministerul Transporturilor și Infrastructurii pentru întărirea  planificării strategice în sectorul transporturilor, Raport asupra planificării strategice. Vol 2: Planul Strategic privind Ministerul Transporturilor și Infrastructurii , Versiune Finală , Banca Mondială, Decembrie 2012. </w:t>
      </w:r>
    </w:p>
  </w:footnote>
  <w:footnote w:id="45">
    <w:p w:rsidR="001F544B" w:rsidRPr="00EB283E" w:rsidRDefault="001F544B" w:rsidP="002B762C">
      <w:pPr>
        <w:pStyle w:val="FootnoteText"/>
        <w:rPr>
          <w:lang w:val="en-US"/>
        </w:rPr>
      </w:pPr>
      <w:r>
        <w:rPr>
          <w:rStyle w:val="FootnoteReference"/>
        </w:rPr>
        <w:footnoteRef/>
      </w:r>
      <w:r>
        <w:t xml:space="preserve"> Scrisoare Guvernului României trimisă Comisiei Europene în data de </w:t>
      </w:r>
      <w:r>
        <w:rPr>
          <w:lang w:val="en-US"/>
        </w:rPr>
        <w:t>09/12/2013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02C" w:rsidRDefault="007A102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sidR="00966D0E">
      <w:rPr>
        <w:bCs/>
        <w:noProof/>
      </w:rPr>
      <w:t>67</w:t>
    </w:r>
    <w:r w:rsidRPr="00BD6C66">
      <w:rPr>
        <w:bCs/>
      </w:rPr>
      <w:fldChar w:fldCharType="end"/>
    </w:r>
  </w:p>
  <w:p w:rsidR="001F544B" w:rsidRDefault="001F544B">
    <w:pPr>
      <w:pStyle w:val="Header"/>
      <w:rPr>
        <w:vanish/>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sidR="00966D0E">
      <w:rPr>
        <w:bCs/>
        <w:noProof/>
      </w:rPr>
      <w:t>93</w:t>
    </w:r>
    <w:r w:rsidRPr="00BD6C66">
      <w:rPr>
        <w:bCs/>
      </w:rPr>
      <w:fldChar w:fldCharType="end"/>
    </w:r>
  </w:p>
  <w:p w:rsidR="001F544B" w:rsidRDefault="001F544B">
    <w:pPr>
      <w:pStyle w:val="Header"/>
      <w:rPr>
        <w:vanish/>
      </w:rPr>
    </w:pPr>
  </w:p>
  <w:p w:rsidR="001F544B" w:rsidRDefault="001F544B"/>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5F6186">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sidR="00966D0E">
      <w:rPr>
        <w:rStyle w:val="PageNumber"/>
        <w:noProof/>
      </w:rPr>
      <w:t>197</w:t>
    </w:r>
    <w:r>
      <w:rPr>
        <w:rStyle w:val="PageNumber"/>
      </w:rPr>
      <w:fldChar w:fldCharType="end"/>
    </w:r>
  </w:p>
  <w:p w:rsidR="001F544B" w:rsidRDefault="001F544B">
    <w:pPr>
      <w:pStyle w:val="Header"/>
      <w:rPr>
        <w:vanish/>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5F6186">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sidR="00966D0E">
      <w:rPr>
        <w:rStyle w:val="PageNumber"/>
        <w:noProof/>
      </w:rPr>
      <w:t>201</w:t>
    </w:r>
    <w:r>
      <w:rPr>
        <w:rStyle w:val="PageNumber"/>
      </w:rPr>
      <w:fldChar w:fldCharType="end"/>
    </w:r>
  </w:p>
  <w:p w:rsidR="001F544B" w:rsidRDefault="001F544B">
    <w:pPr>
      <w:pStyle w:val="Header"/>
      <w:rPr>
        <w:vanish/>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5F6186">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sidR="00966D0E">
      <w:rPr>
        <w:rStyle w:val="PageNumber"/>
        <w:noProof/>
      </w:rPr>
      <w:t>240</w:t>
    </w:r>
    <w:r>
      <w:rPr>
        <w:rStyle w:val="PageNumber"/>
      </w:rPr>
      <w:fldChar w:fldCharType="end"/>
    </w:r>
  </w:p>
  <w:p w:rsidR="001F544B" w:rsidRDefault="001F544B">
    <w:pPr>
      <w:pStyle w:val="Header"/>
      <w:rPr>
        <w:vanis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291" w:type="dxa"/>
      <w:tblLayout w:type="fixed"/>
      <w:tblCellMar>
        <w:left w:w="0" w:type="dxa"/>
        <w:right w:w="0" w:type="dxa"/>
      </w:tblCellMar>
      <w:tblLook w:val="01E0" w:firstRow="1" w:lastRow="1" w:firstColumn="1" w:lastColumn="1" w:noHBand="0" w:noVBand="0"/>
    </w:tblPr>
    <w:tblGrid>
      <w:gridCol w:w="2155"/>
      <w:gridCol w:w="2937"/>
      <w:gridCol w:w="170"/>
      <w:gridCol w:w="3328"/>
      <w:gridCol w:w="170"/>
      <w:gridCol w:w="1531"/>
    </w:tblGrid>
    <w:tr w:rsidR="001F544B" w:rsidRPr="003C5D9B" w:rsidTr="00B12539">
      <w:tc>
        <w:tcPr>
          <w:tcW w:w="2155" w:type="dxa"/>
        </w:tcPr>
        <w:p w:rsidR="001F544B" w:rsidRPr="003C5D9B" w:rsidRDefault="001F544B" w:rsidP="00B12539">
          <w:pPr>
            <w:pStyle w:val="Header"/>
            <w:rPr>
              <w:szCs w:val="16"/>
              <w:lang w:val="ro-RO"/>
            </w:rPr>
          </w:pPr>
        </w:p>
      </w:tc>
      <w:tc>
        <w:tcPr>
          <w:tcW w:w="2937" w:type="dxa"/>
        </w:tcPr>
        <w:p w:rsidR="001F544B" w:rsidRPr="003C5D9B" w:rsidRDefault="001F544B" w:rsidP="00B12539">
          <w:pPr>
            <w:pStyle w:val="Header"/>
            <w:rPr>
              <w:b/>
              <w:sz w:val="24"/>
              <w:szCs w:val="24"/>
              <w:lang w:val="ro-RO"/>
            </w:rPr>
          </w:pPr>
          <w:r w:rsidRPr="003C5D9B">
            <w:rPr>
              <w:b/>
              <w:sz w:val="24"/>
              <w:szCs w:val="24"/>
              <w:lang w:val="ro-RO"/>
            </w:rPr>
            <w:t>Transportation</w:t>
          </w:r>
        </w:p>
      </w:tc>
      <w:tc>
        <w:tcPr>
          <w:tcW w:w="170" w:type="dxa"/>
        </w:tcPr>
        <w:p w:rsidR="001F544B" w:rsidRPr="003C5D9B" w:rsidRDefault="001F544B" w:rsidP="00B12539">
          <w:pPr>
            <w:pStyle w:val="Header"/>
            <w:rPr>
              <w:szCs w:val="16"/>
              <w:lang w:val="ro-RO"/>
            </w:rPr>
          </w:pPr>
        </w:p>
      </w:tc>
      <w:tc>
        <w:tcPr>
          <w:tcW w:w="3328" w:type="dxa"/>
        </w:tcPr>
        <w:p w:rsidR="001F544B" w:rsidRPr="003C5D9B" w:rsidRDefault="001F544B" w:rsidP="003C5D9B">
          <w:pPr>
            <w:pStyle w:val="Header"/>
            <w:rPr>
              <w:sz w:val="18"/>
              <w:szCs w:val="18"/>
              <w:lang w:val="ro-RO"/>
            </w:rPr>
          </w:pPr>
          <w:r w:rsidRPr="003C5D9B">
            <w:rPr>
              <w:sz w:val="18"/>
              <w:szCs w:val="18"/>
              <w:lang w:val="ro-RO"/>
            </w:rPr>
            <w:t>Guvernul României</w:t>
          </w:r>
        </w:p>
        <w:p w:rsidR="001F544B" w:rsidRPr="003C5D9B" w:rsidRDefault="001F544B" w:rsidP="003C5D9B">
          <w:pPr>
            <w:pStyle w:val="Header"/>
            <w:rPr>
              <w:sz w:val="18"/>
              <w:szCs w:val="18"/>
              <w:lang w:val="ro-RO"/>
            </w:rPr>
          </w:pPr>
          <w:r w:rsidRPr="003C5D9B">
            <w:rPr>
              <w:sz w:val="18"/>
              <w:szCs w:val="18"/>
              <w:lang w:val="ro-RO"/>
            </w:rPr>
            <w:t>Ministerul Transporturilor</w:t>
          </w:r>
        </w:p>
      </w:tc>
      <w:tc>
        <w:tcPr>
          <w:tcW w:w="170" w:type="dxa"/>
        </w:tcPr>
        <w:p w:rsidR="001F544B" w:rsidRPr="003C5D9B" w:rsidRDefault="001F544B" w:rsidP="00B12539">
          <w:pPr>
            <w:pStyle w:val="Header"/>
            <w:rPr>
              <w:szCs w:val="16"/>
              <w:lang w:val="ro-RO"/>
            </w:rPr>
          </w:pPr>
        </w:p>
      </w:tc>
      <w:tc>
        <w:tcPr>
          <w:tcW w:w="1531" w:type="dxa"/>
        </w:tcPr>
        <w:p w:rsidR="001F544B" w:rsidRPr="003C5D9B" w:rsidRDefault="007A102C" w:rsidP="00B12539">
          <w:pPr>
            <w:pStyle w:val="Header"/>
            <w:rPr>
              <w:sz w:val="18"/>
              <w:szCs w:val="18"/>
              <w:lang w:val="ro-RO"/>
            </w:rPr>
          </w:pPr>
          <w:r>
            <w:rPr>
              <w:sz w:val="18"/>
              <w:szCs w:val="18"/>
              <w:lang w:val="ro-RO"/>
            </w:rPr>
            <w:t>Februarie</w:t>
          </w:r>
          <w:r w:rsidR="001F544B" w:rsidRPr="003C5D9B">
            <w:rPr>
              <w:sz w:val="18"/>
              <w:szCs w:val="18"/>
              <w:lang w:val="ro-RO"/>
            </w:rPr>
            <w:t xml:space="preserve"> 201</w:t>
          </w:r>
          <w:r>
            <w:rPr>
              <w:sz w:val="18"/>
              <w:szCs w:val="18"/>
              <w:lang w:val="ro-RO"/>
            </w:rPr>
            <w:t>5</w:t>
          </w:r>
        </w:p>
      </w:tc>
    </w:tr>
  </w:tbl>
  <w:p w:rsidR="001F544B" w:rsidRPr="003C5D9B" w:rsidRDefault="001F544B" w:rsidP="00B12539">
    <w:pPr>
      <w:pStyle w:val="Header"/>
      <w:rPr>
        <w:lang w:val="ro-RO"/>
      </w:rPr>
    </w:pPr>
    <w:r w:rsidRPr="003C5D9B">
      <w:rPr>
        <w:noProof/>
        <w:sz w:val="20"/>
        <w:lang w:val="ro-RO" w:eastAsia="ro-RO"/>
      </w:rPr>
      <w:drawing>
        <wp:anchor distT="0" distB="0" distL="114300" distR="114300" simplePos="0" relativeHeight="251658752" behindDoc="1" locked="1" layoutInCell="1" allowOverlap="1">
          <wp:simplePos x="0" y="0"/>
          <wp:positionH relativeFrom="page">
            <wp:posOffset>-103505</wp:posOffset>
          </wp:positionH>
          <wp:positionV relativeFrom="page">
            <wp:posOffset>-286385</wp:posOffset>
          </wp:positionV>
          <wp:extent cx="1686560" cy="1104900"/>
          <wp:effectExtent l="19050" t="0" r="8890" b="0"/>
          <wp:wrapNone/>
          <wp:docPr id="938" name="Picture 24"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a:srcRect/>
                  <a:stretch>
                    <a:fillRect/>
                  </a:stretch>
                </pic:blipFill>
                <pic:spPr bwMode="auto">
                  <a:xfrm>
                    <a:off x="0" y="0"/>
                    <a:ext cx="1686560" cy="1104900"/>
                  </a:xfrm>
                  <a:prstGeom prst="rect">
                    <a:avLst/>
                  </a:prstGeom>
                  <a:noFill/>
                  <a:ln w="9525">
                    <a:noFill/>
                    <a:miter lim="800000"/>
                    <a:headEnd/>
                    <a:tailEnd/>
                  </a:ln>
                </pic:spPr>
              </pic:pic>
            </a:graphicData>
          </a:graphic>
        </wp:anchor>
      </w:drawing>
    </w:r>
  </w:p>
  <w:p w:rsidR="001F544B" w:rsidRPr="003C5D9B" w:rsidRDefault="001F544B" w:rsidP="00B12539">
    <w:pPr>
      <w:pStyle w:val="Header"/>
      <w:rPr>
        <w:vanish/>
        <w:lang w:val="ro-RO"/>
      </w:rPr>
    </w:pPr>
    <w:r w:rsidRPr="003C5D9B">
      <w:rPr>
        <w:noProof/>
        <w:sz w:val="20"/>
        <w:lang w:val="ro-RO" w:eastAsia="ro-RO"/>
      </w:rPr>
      <w:drawing>
        <wp:anchor distT="0" distB="0" distL="114300" distR="114300" simplePos="0" relativeHeight="251679232" behindDoc="1" locked="1" layoutInCell="1" allowOverlap="1">
          <wp:simplePos x="0" y="0"/>
          <wp:positionH relativeFrom="page">
            <wp:posOffset>7157720</wp:posOffset>
          </wp:positionH>
          <wp:positionV relativeFrom="page">
            <wp:posOffset>10290175</wp:posOffset>
          </wp:positionV>
          <wp:extent cx="177165" cy="179705"/>
          <wp:effectExtent l="19050" t="0" r="0" b="0"/>
          <wp:wrapNone/>
          <wp:docPr id="939"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2"/>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77184" behindDoc="1" locked="1" layoutInCell="1" allowOverlap="1">
          <wp:simplePos x="0" y="0"/>
          <wp:positionH relativeFrom="page">
            <wp:posOffset>231140</wp:posOffset>
          </wp:positionH>
          <wp:positionV relativeFrom="page">
            <wp:posOffset>10290175</wp:posOffset>
          </wp:positionV>
          <wp:extent cx="177165" cy="175895"/>
          <wp:effectExtent l="19050" t="0" r="0" b="0"/>
          <wp:wrapNone/>
          <wp:docPr id="940"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3"/>
                  <a:srcRect/>
                  <a:stretch>
                    <a:fillRect/>
                  </a:stretch>
                </pic:blipFill>
                <pic:spPr bwMode="auto">
                  <a:xfrm>
                    <a:off x="0" y="0"/>
                    <a:ext cx="177165"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75136" behindDoc="1" locked="1" layoutInCell="1" allowOverlap="1">
          <wp:simplePos x="0" y="0"/>
          <wp:positionH relativeFrom="page">
            <wp:posOffset>7157720</wp:posOffset>
          </wp:positionH>
          <wp:positionV relativeFrom="page">
            <wp:posOffset>7863205</wp:posOffset>
          </wp:positionV>
          <wp:extent cx="177800" cy="175895"/>
          <wp:effectExtent l="19050" t="0" r="0" b="0"/>
          <wp:wrapNone/>
          <wp:docPr id="941"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68992" behindDoc="1" locked="1" layoutInCell="1" allowOverlap="1">
          <wp:simplePos x="0" y="0"/>
          <wp:positionH relativeFrom="page">
            <wp:posOffset>226695</wp:posOffset>
          </wp:positionH>
          <wp:positionV relativeFrom="page">
            <wp:posOffset>7863205</wp:posOffset>
          </wp:positionV>
          <wp:extent cx="177165" cy="179705"/>
          <wp:effectExtent l="19050" t="0" r="0" b="0"/>
          <wp:wrapNone/>
          <wp:docPr id="942"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73088" behindDoc="1" locked="1" layoutInCell="1" allowOverlap="1">
          <wp:simplePos x="0" y="0"/>
          <wp:positionH relativeFrom="page">
            <wp:posOffset>7157720</wp:posOffset>
          </wp:positionH>
          <wp:positionV relativeFrom="page">
            <wp:posOffset>6012815</wp:posOffset>
          </wp:positionV>
          <wp:extent cx="177165" cy="175895"/>
          <wp:effectExtent l="19050" t="0" r="0" b="0"/>
          <wp:wrapNone/>
          <wp:docPr id="943"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165"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66944" behindDoc="1" locked="1" layoutInCell="1" allowOverlap="1">
          <wp:simplePos x="0" y="0"/>
          <wp:positionH relativeFrom="page">
            <wp:posOffset>227965</wp:posOffset>
          </wp:positionH>
          <wp:positionV relativeFrom="page">
            <wp:posOffset>6012815</wp:posOffset>
          </wp:positionV>
          <wp:extent cx="177165" cy="179705"/>
          <wp:effectExtent l="19050" t="0" r="0" b="0"/>
          <wp:wrapNone/>
          <wp:docPr id="944"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71040" behindDoc="1" locked="1" layoutInCell="1" allowOverlap="1">
          <wp:simplePos x="0" y="0"/>
          <wp:positionH relativeFrom="page">
            <wp:posOffset>7157720</wp:posOffset>
          </wp:positionH>
          <wp:positionV relativeFrom="page">
            <wp:posOffset>4162425</wp:posOffset>
          </wp:positionV>
          <wp:extent cx="177800" cy="175895"/>
          <wp:effectExtent l="19050" t="0" r="0" b="0"/>
          <wp:wrapNone/>
          <wp:docPr id="945"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64896" behindDoc="1" locked="1" layoutInCell="1" allowOverlap="1">
          <wp:simplePos x="0" y="0"/>
          <wp:positionH relativeFrom="page">
            <wp:posOffset>226695</wp:posOffset>
          </wp:positionH>
          <wp:positionV relativeFrom="page">
            <wp:posOffset>4162425</wp:posOffset>
          </wp:positionV>
          <wp:extent cx="177165" cy="179705"/>
          <wp:effectExtent l="19050" t="0" r="0" b="0"/>
          <wp:wrapNone/>
          <wp:docPr id="946"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62848" behindDoc="1" locked="1" layoutInCell="1" allowOverlap="1">
          <wp:simplePos x="0" y="0"/>
          <wp:positionH relativeFrom="page">
            <wp:posOffset>7157720</wp:posOffset>
          </wp:positionH>
          <wp:positionV relativeFrom="page">
            <wp:posOffset>2311400</wp:posOffset>
          </wp:positionV>
          <wp:extent cx="177800" cy="175895"/>
          <wp:effectExtent l="19050" t="0" r="0" b="0"/>
          <wp:wrapNone/>
          <wp:docPr id="947"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60800" behindDoc="1" locked="1" layoutInCell="1" allowOverlap="1">
          <wp:simplePos x="0" y="0"/>
          <wp:positionH relativeFrom="page">
            <wp:posOffset>226695</wp:posOffset>
          </wp:positionH>
          <wp:positionV relativeFrom="page">
            <wp:posOffset>2311400</wp:posOffset>
          </wp:positionV>
          <wp:extent cx="177800" cy="180340"/>
          <wp:effectExtent l="19050" t="0" r="0" b="0"/>
          <wp:wrapNone/>
          <wp:docPr id="948"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800" cy="180340"/>
                  </a:xfrm>
                  <a:prstGeom prst="rect">
                    <a:avLst/>
                  </a:prstGeom>
                  <a:noFill/>
                  <a:ln w="9525">
                    <a:noFill/>
                    <a:miter lim="800000"/>
                    <a:headEnd/>
                    <a:tailEnd/>
                  </a:ln>
                </pic:spPr>
              </pic:pic>
            </a:graphicData>
          </a:graphic>
        </wp:anchor>
      </w:drawing>
    </w:r>
  </w:p>
  <w:p w:rsidR="001F544B" w:rsidRPr="003C5D9B" w:rsidRDefault="001F544B" w:rsidP="00B12539">
    <w:pPr>
      <w:pStyle w:val="Header"/>
      <w:rPr>
        <w:szCs w:val="16"/>
        <w:lang w:val="ro-RO"/>
      </w:rPr>
    </w:pPr>
  </w:p>
  <w:p w:rsidR="001F544B" w:rsidRPr="003C5D9B" w:rsidRDefault="001F544B">
    <w:pPr>
      <w:pStyle w:val="Header"/>
      <w:ind w:left="-450"/>
      <w:jc w:val="center"/>
      <w:rPr>
        <w:lang w:val="ro-RO"/>
      </w:rPr>
    </w:pPr>
  </w:p>
  <w:p w:rsidR="001F544B" w:rsidRPr="003C5D9B" w:rsidRDefault="001F544B">
    <w:pPr>
      <w:pStyle w:val="Header"/>
      <w:rPr>
        <w:vanish/>
        <w:lang w:val="ro-RO"/>
      </w:rPr>
    </w:pPr>
    <w:r w:rsidRPr="003C5D9B">
      <w:rPr>
        <w:noProof/>
        <w:sz w:val="20"/>
        <w:lang w:val="ro-RO" w:eastAsia="ro-RO"/>
      </w:rPr>
      <w:drawing>
        <wp:anchor distT="0" distB="0" distL="114300" distR="114300" simplePos="0" relativeHeight="251656704" behindDoc="1" locked="1" layoutInCell="1" allowOverlap="1">
          <wp:simplePos x="0" y="0"/>
          <wp:positionH relativeFrom="page">
            <wp:posOffset>7157720</wp:posOffset>
          </wp:positionH>
          <wp:positionV relativeFrom="page">
            <wp:posOffset>10290175</wp:posOffset>
          </wp:positionV>
          <wp:extent cx="177165" cy="179705"/>
          <wp:effectExtent l="19050" t="0" r="0" b="0"/>
          <wp:wrapNone/>
          <wp:docPr id="949"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2"/>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54656" behindDoc="1" locked="1" layoutInCell="1" allowOverlap="1">
          <wp:simplePos x="0" y="0"/>
          <wp:positionH relativeFrom="page">
            <wp:posOffset>231140</wp:posOffset>
          </wp:positionH>
          <wp:positionV relativeFrom="page">
            <wp:posOffset>10290175</wp:posOffset>
          </wp:positionV>
          <wp:extent cx="177165" cy="175895"/>
          <wp:effectExtent l="19050" t="0" r="0" b="0"/>
          <wp:wrapNone/>
          <wp:docPr id="950"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3"/>
                  <a:srcRect/>
                  <a:stretch>
                    <a:fillRect/>
                  </a:stretch>
                </pic:blipFill>
                <pic:spPr bwMode="auto">
                  <a:xfrm>
                    <a:off x="0" y="0"/>
                    <a:ext cx="177165"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52608" behindDoc="1" locked="1" layoutInCell="1" allowOverlap="1">
          <wp:simplePos x="0" y="0"/>
          <wp:positionH relativeFrom="page">
            <wp:posOffset>7157720</wp:posOffset>
          </wp:positionH>
          <wp:positionV relativeFrom="page">
            <wp:posOffset>7863205</wp:posOffset>
          </wp:positionV>
          <wp:extent cx="177800" cy="175895"/>
          <wp:effectExtent l="19050" t="0" r="0" b="0"/>
          <wp:wrapNone/>
          <wp:docPr id="951"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46464" behindDoc="1" locked="1" layoutInCell="1" allowOverlap="1">
          <wp:simplePos x="0" y="0"/>
          <wp:positionH relativeFrom="page">
            <wp:posOffset>226695</wp:posOffset>
          </wp:positionH>
          <wp:positionV relativeFrom="page">
            <wp:posOffset>7863205</wp:posOffset>
          </wp:positionV>
          <wp:extent cx="177165" cy="179705"/>
          <wp:effectExtent l="19050" t="0" r="0" b="0"/>
          <wp:wrapNone/>
          <wp:docPr id="952"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50560" behindDoc="1" locked="1" layoutInCell="1" allowOverlap="1">
          <wp:simplePos x="0" y="0"/>
          <wp:positionH relativeFrom="page">
            <wp:posOffset>7157720</wp:posOffset>
          </wp:positionH>
          <wp:positionV relativeFrom="page">
            <wp:posOffset>6012815</wp:posOffset>
          </wp:positionV>
          <wp:extent cx="177165" cy="175895"/>
          <wp:effectExtent l="19050" t="0" r="0" b="0"/>
          <wp:wrapNone/>
          <wp:docPr id="953"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165"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44416" behindDoc="1" locked="1" layoutInCell="1" allowOverlap="1">
          <wp:simplePos x="0" y="0"/>
          <wp:positionH relativeFrom="page">
            <wp:posOffset>227965</wp:posOffset>
          </wp:positionH>
          <wp:positionV relativeFrom="page">
            <wp:posOffset>6012815</wp:posOffset>
          </wp:positionV>
          <wp:extent cx="177165" cy="179705"/>
          <wp:effectExtent l="19050" t="0" r="0" b="0"/>
          <wp:wrapNone/>
          <wp:docPr id="954"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48512" behindDoc="1" locked="1" layoutInCell="1" allowOverlap="1">
          <wp:simplePos x="0" y="0"/>
          <wp:positionH relativeFrom="page">
            <wp:posOffset>7157720</wp:posOffset>
          </wp:positionH>
          <wp:positionV relativeFrom="page">
            <wp:posOffset>4162425</wp:posOffset>
          </wp:positionV>
          <wp:extent cx="177800" cy="175895"/>
          <wp:effectExtent l="19050" t="0" r="0" b="0"/>
          <wp:wrapNone/>
          <wp:docPr id="955"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42368" behindDoc="1" locked="1" layoutInCell="1" allowOverlap="1">
          <wp:simplePos x="0" y="0"/>
          <wp:positionH relativeFrom="page">
            <wp:posOffset>226695</wp:posOffset>
          </wp:positionH>
          <wp:positionV relativeFrom="page">
            <wp:posOffset>4162425</wp:posOffset>
          </wp:positionV>
          <wp:extent cx="177165" cy="179705"/>
          <wp:effectExtent l="19050" t="0" r="0" b="0"/>
          <wp:wrapNone/>
          <wp:docPr id="956"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165" cy="17970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40320" behindDoc="1" locked="1" layoutInCell="1" allowOverlap="1">
          <wp:simplePos x="0" y="0"/>
          <wp:positionH relativeFrom="page">
            <wp:posOffset>7157720</wp:posOffset>
          </wp:positionH>
          <wp:positionV relativeFrom="page">
            <wp:posOffset>2311400</wp:posOffset>
          </wp:positionV>
          <wp:extent cx="177800" cy="175895"/>
          <wp:effectExtent l="19050" t="0" r="0" b="0"/>
          <wp:wrapNone/>
          <wp:docPr id="957" name="Picture 10" descr="H:\Home\waldronlm\GC&amp;M\new documents\templates\corner30 bottom 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Home\waldronlm\GC&amp;M\new documents\templates\corner30 bottom right.jpg"/>
                  <pic:cNvPicPr>
                    <a:picLocks noChangeAspect="1" noChangeArrowheads="1"/>
                  </pic:cNvPicPr>
                </pic:nvPicPr>
                <pic:blipFill>
                  <a:blip r:embed="rId4"/>
                  <a:srcRect/>
                  <a:stretch>
                    <a:fillRect/>
                  </a:stretch>
                </pic:blipFill>
                <pic:spPr bwMode="auto">
                  <a:xfrm>
                    <a:off x="0" y="0"/>
                    <a:ext cx="177800" cy="175895"/>
                  </a:xfrm>
                  <a:prstGeom prst="rect">
                    <a:avLst/>
                  </a:prstGeom>
                  <a:noFill/>
                  <a:ln w="9525">
                    <a:noFill/>
                    <a:miter lim="800000"/>
                    <a:headEnd/>
                    <a:tailEnd/>
                  </a:ln>
                </pic:spPr>
              </pic:pic>
            </a:graphicData>
          </a:graphic>
        </wp:anchor>
      </w:drawing>
    </w:r>
    <w:r w:rsidRPr="003C5D9B">
      <w:rPr>
        <w:noProof/>
        <w:sz w:val="20"/>
        <w:lang w:val="ro-RO" w:eastAsia="ro-RO"/>
      </w:rPr>
      <w:drawing>
        <wp:anchor distT="0" distB="0" distL="114300" distR="114300" simplePos="0" relativeHeight="251637248" behindDoc="1" locked="1" layoutInCell="1" allowOverlap="1">
          <wp:simplePos x="0" y="0"/>
          <wp:positionH relativeFrom="page">
            <wp:posOffset>226695</wp:posOffset>
          </wp:positionH>
          <wp:positionV relativeFrom="page">
            <wp:posOffset>2311400</wp:posOffset>
          </wp:positionV>
          <wp:extent cx="177800" cy="180340"/>
          <wp:effectExtent l="19050" t="0" r="0" b="0"/>
          <wp:wrapNone/>
          <wp:docPr id="958" name="Picture 3" descr="H:\Home\waldronlm\GC&amp;M\new documents\templates\corner30 bottom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Home\waldronlm\GC&amp;M\new documents\templates\corner30 bottom left.jpg"/>
                  <pic:cNvPicPr>
                    <a:picLocks noChangeAspect="1" noChangeArrowheads="1"/>
                  </pic:cNvPicPr>
                </pic:nvPicPr>
                <pic:blipFill>
                  <a:blip r:embed="rId5"/>
                  <a:srcRect/>
                  <a:stretch>
                    <a:fillRect/>
                  </a:stretch>
                </pic:blipFill>
                <pic:spPr bwMode="auto">
                  <a:xfrm>
                    <a:off x="0" y="0"/>
                    <a:ext cx="177800" cy="180340"/>
                  </a:xfrm>
                  <a:prstGeom prst="rect">
                    <a:avLst/>
                  </a:prstGeom>
                  <a:noFill/>
                  <a:ln w="9525">
                    <a:noFill/>
                    <a:miter lim="800000"/>
                    <a:headEnd/>
                    <a:tailEnd/>
                  </a:ln>
                </pic:spPr>
              </pic:pic>
            </a:graphicData>
          </a:graphic>
        </wp:anchor>
      </w:drawing>
    </w:r>
    <w:r w:rsidRPr="003C5D9B">
      <w:rPr>
        <w:lang w:val="ro-RO"/>
      </w:rPr>
      <w:tab/>
    </w:r>
  </w:p>
  <w:p w:rsidR="001F544B" w:rsidRPr="003C5D9B" w:rsidRDefault="001F544B">
    <w:pPr>
      <w:pStyle w:val="Header"/>
      <w:rPr>
        <w:vanish/>
        <w:lang w:val="ro-RO"/>
      </w:rPr>
    </w:pPr>
  </w:p>
  <w:p w:rsidR="001F544B" w:rsidRPr="003C5D9B" w:rsidRDefault="001F544B">
    <w:pPr>
      <w:pStyle w:val="Header"/>
      <w:rPr>
        <w:szCs w:val="16"/>
        <w:lang w:val="ro-RO"/>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sidR="00966D0E">
      <w:rPr>
        <w:bCs/>
        <w:noProof/>
      </w:rPr>
      <w:t>363</w:t>
    </w:r>
    <w:r w:rsidRPr="00BD6C66">
      <w:rPr>
        <w:bCs/>
      </w:rPr>
      <w:fldChar w:fldCharType="end"/>
    </w:r>
  </w:p>
  <w:p w:rsidR="001F544B" w:rsidRDefault="001F544B">
    <w:pPr>
      <w:pStyle w:val="Header"/>
      <w:rPr>
        <w:vanish/>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sidR="00966D0E">
      <w:rPr>
        <w:bCs/>
        <w:noProof/>
      </w:rPr>
      <w:t>365</w:t>
    </w:r>
    <w:r w:rsidRPr="00BD6C66">
      <w:rPr>
        <w:bCs/>
      </w:rPr>
      <w:fldChar w:fldCharType="end"/>
    </w:r>
  </w:p>
  <w:p w:rsidR="001F544B" w:rsidRDefault="001F544B">
    <w:pPr>
      <w:pStyle w:val="Header"/>
      <w:rPr>
        <w:vanish/>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sidR="00966D0E">
      <w:rPr>
        <w:bCs/>
        <w:noProof/>
      </w:rPr>
      <w:t>382</w:t>
    </w:r>
    <w:r w:rsidRPr="00BD6C66">
      <w:rPr>
        <w:bCs/>
      </w:rPr>
      <w:fldChar w:fldCharType="end"/>
    </w:r>
  </w:p>
  <w:p w:rsidR="001F544B" w:rsidRDefault="001F544B">
    <w:pPr>
      <w:pStyle w:val="Header"/>
      <w:rPr>
        <w:vanish/>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5F6186">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504</w:t>
    </w:r>
    <w:r>
      <w:rPr>
        <w:rStyle w:val="PageNumber"/>
      </w:rPr>
      <w:fldChar w:fldCharType="end"/>
    </w:r>
  </w:p>
  <w:p w:rsidR="001F544B" w:rsidRDefault="001F544B">
    <w:pPr>
      <w:pStyle w:val="Header"/>
      <w:rPr>
        <w:vanish/>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5F6186">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535</w:t>
    </w:r>
    <w:r>
      <w:rPr>
        <w:rStyle w:val="PageNumber"/>
      </w:rPr>
      <w:fldChar w:fldCharType="end"/>
    </w:r>
  </w:p>
  <w:p w:rsidR="001F544B" w:rsidRDefault="001F544B">
    <w:pPr>
      <w:pStyle w:val="Header"/>
      <w:rPr>
        <w:vanish/>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559</w:t>
    </w:r>
    <w:r w:rsidRPr="00BD6C66">
      <w:rPr>
        <w:bCs/>
      </w:rPr>
      <w:fldChar w:fldCharType="end"/>
    </w:r>
  </w:p>
  <w:p w:rsidR="001F544B" w:rsidRDefault="001F544B">
    <w:pPr>
      <w:pStyle w:val="Header"/>
      <w:rPr>
        <w:vanish/>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02C" w:rsidRDefault="007A102C">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567</w:t>
    </w:r>
    <w:r w:rsidRPr="00BD6C66">
      <w:rPr>
        <w:bCs/>
      </w:rPr>
      <w:fldChar w:fldCharType="end"/>
    </w:r>
  </w:p>
  <w:p w:rsidR="001F544B" w:rsidRDefault="001F544B">
    <w:pPr>
      <w:pStyle w:val="Header"/>
      <w:rPr>
        <w:vanish/>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3C5D9B">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568</w:t>
    </w:r>
    <w:r w:rsidRPr="00BD6C66">
      <w:rPr>
        <w:bCs/>
      </w:rPr>
      <w:fldChar w:fldCharType="end"/>
    </w:r>
  </w:p>
  <w:p w:rsidR="001F544B" w:rsidRDefault="001F544B">
    <w:pPr>
      <w:pStyle w:val="Header"/>
      <w:rPr>
        <w:vanish/>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30066D">
    <w:pPr>
      <w:pStyle w:val="Header"/>
      <w:rPr>
        <w:rStyle w:val="PageNumber"/>
      </w:rPr>
    </w:pPr>
    <w:r w:rsidRPr="004E1903">
      <w:rPr>
        <w:bCs/>
      </w:rPr>
      <w:t>AECOM</w:t>
    </w:r>
    <w:r>
      <w:rPr>
        <w:b/>
        <w:bCs/>
      </w:rPr>
      <w:t xml:space="preserve">                                                                                   </w:t>
    </w:r>
    <w:r>
      <w:t>Rezumat al întregului Proiect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575</w:t>
    </w:r>
    <w:r>
      <w:rPr>
        <w:rStyle w:val="PageNumber"/>
      </w:rPr>
      <w:fldChar w:fldCharType="end"/>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rPr>
        <w:rStyle w:val="PageNumber"/>
      </w:rPr>
    </w:pPr>
    <w:r>
      <w:rPr>
        <w:bCs/>
      </w:rPr>
      <w:t>A</w:t>
    </w:r>
    <w:r w:rsidRPr="004E1903">
      <w:rPr>
        <w:bCs/>
      </w:rPr>
      <w:t>ECOM</w:t>
    </w:r>
    <w:r>
      <w:rPr>
        <w:b/>
        <w:bCs/>
      </w:rPr>
      <w:tab/>
    </w:r>
    <w:fldSimple w:instr=" STYLEREF DocTitle \* MERGEFORMAT ">
      <w:r w:rsidRPr="00262136">
        <w:rPr>
          <w:b/>
          <w:bCs/>
          <w:noProof/>
          <w:lang w:val="en-US"/>
        </w:rPr>
        <w:t>Variantă finală revizuită a Raportului privind Master Planul pe</w:t>
      </w:r>
      <w:r>
        <w:rPr>
          <w:noProof/>
        </w:rPr>
        <w:t xml:space="preserve"> termen scurt, mediu și lung</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593</w:t>
    </w:r>
    <w:r>
      <w:rPr>
        <w:rStyle w:val="PageNumber"/>
      </w:rPr>
      <w:fldChar w:fldCharType="end"/>
    </w:r>
  </w:p>
  <w:p w:rsidR="001F544B" w:rsidRDefault="001F544B">
    <w:pPr>
      <w:pStyle w:val="Header"/>
    </w:pPr>
  </w:p>
  <w:p w:rsidR="001F544B" w:rsidRPr="00A279DC" w:rsidRDefault="001F544B">
    <w:pPr>
      <w:pStyle w:val="Header"/>
      <w:rPr>
        <w:vanish/>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611</w:t>
    </w:r>
    <w:r w:rsidRPr="00BD6C66">
      <w:rPr>
        <w:bCs/>
      </w:rPr>
      <w:fldChar w:fldCharType="end"/>
    </w:r>
  </w:p>
  <w:p w:rsidR="001F544B" w:rsidRDefault="001F544B">
    <w:pPr>
      <w:pStyle w:val="Header"/>
      <w:rPr>
        <w:vanish/>
      </w:rPr>
    </w:pPr>
  </w:p>
  <w:p w:rsidR="001F544B" w:rsidRDefault="001F544B"/>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Pr>
        <w:bCs/>
        <w:noProof/>
      </w:rPr>
      <w:t>614</w:t>
    </w:r>
    <w:r w:rsidRPr="00BD6C66">
      <w:rPr>
        <w:bCs/>
      </w:rPr>
      <w:fldChar w:fldCharType="end"/>
    </w:r>
  </w:p>
  <w:p w:rsidR="001F544B" w:rsidRDefault="001F544B">
    <w:pPr>
      <w:pStyle w:val="Header"/>
      <w:rPr>
        <w:vanish/>
      </w:rPr>
    </w:pPr>
  </w:p>
  <w:p w:rsidR="001F544B" w:rsidRDefault="001F544B"/>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290447" w:rsidRDefault="001F544B" w:rsidP="00E01E44">
    <w:pPr>
      <w:pStyle w:val="Header"/>
      <w:jc w:val="center"/>
      <w:rPr>
        <w:bCs/>
      </w:rPr>
    </w:pPr>
    <w:r w:rsidRPr="00290447">
      <w:rPr>
        <w:bCs/>
      </w:rPr>
      <w:t>AECOM</w:t>
    </w:r>
    <w:r w:rsidRPr="00290447">
      <w:rPr>
        <w:b/>
        <w:bCs/>
      </w:rPr>
      <w:t xml:space="preserve">                                                              </w:t>
    </w:r>
    <w:r w:rsidRPr="003C5D9B">
      <w:rPr>
        <w:lang w:val="ro-RO"/>
      </w:rPr>
      <w:t>Variantă finală revizuită a Raportului privind Master Planul pe termen scurt, mediu și lung</w:t>
    </w:r>
    <w:r w:rsidRPr="00290447">
      <w:rPr>
        <w:bCs/>
      </w:rPr>
      <w:tab/>
    </w:r>
    <w:r w:rsidRPr="00290447">
      <w:rPr>
        <w:bCs/>
      </w:rPr>
      <w:fldChar w:fldCharType="begin"/>
    </w:r>
    <w:r w:rsidRPr="00290447">
      <w:rPr>
        <w:bCs/>
      </w:rPr>
      <w:instrText xml:space="preserve"> PAGE </w:instrText>
    </w:r>
    <w:r w:rsidRPr="00290447">
      <w:rPr>
        <w:bCs/>
      </w:rPr>
      <w:fldChar w:fldCharType="separate"/>
    </w:r>
    <w:r>
      <w:rPr>
        <w:bCs/>
        <w:noProof/>
      </w:rPr>
      <w:t>621</w:t>
    </w:r>
    <w:r w:rsidRPr="00290447">
      <w:rPr>
        <w:bCs/>
      </w:rPr>
      <w:fldChar w:fldCharType="end"/>
    </w:r>
  </w:p>
  <w:p w:rsidR="001F544B" w:rsidRDefault="001F544B">
    <w:pPr>
      <w:pStyle w:val="Header"/>
      <w:rPr>
        <w:vanish/>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290447" w:rsidRDefault="001F544B" w:rsidP="00E01E44">
    <w:pPr>
      <w:pStyle w:val="Header"/>
      <w:jc w:val="center"/>
      <w:rPr>
        <w:bCs/>
      </w:rPr>
    </w:pPr>
    <w:r w:rsidRPr="00290447">
      <w:rPr>
        <w:bCs/>
      </w:rPr>
      <w:t>AECOM</w:t>
    </w:r>
    <w:r w:rsidRPr="00290447">
      <w:rPr>
        <w:b/>
        <w:bCs/>
      </w:rPr>
      <w:t xml:space="preserve">                                                              </w:t>
    </w:r>
    <w:r w:rsidRPr="003C5D9B">
      <w:rPr>
        <w:lang w:val="ro-RO"/>
      </w:rPr>
      <w:t>Variantă finală revizuită a Raportului privind Master Planul pe termen scurt, mediu și lung</w:t>
    </w:r>
    <w:r w:rsidRPr="00290447">
      <w:rPr>
        <w:bCs/>
      </w:rPr>
      <w:tab/>
    </w:r>
    <w:r w:rsidRPr="00290447">
      <w:rPr>
        <w:bCs/>
      </w:rPr>
      <w:fldChar w:fldCharType="begin"/>
    </w:r>
    <w:r w:rsidRPr="00290447">
      <w:rPr>
        <w:bCs/>
      </w:rPr>
      <w:instrText xml:space="preserve"> PAGE </w:instrText>
    </w:r>
    <w:r w:rsidRPr="00290447">
      <w:rPr>
        <w:bCs/>
      </w:rPr>
      <w:fldChar w:fldCharType="separate"/>
    </w:r>
    <w:r>
      <w:rPr>
        <w:bCs/>
        <w:noProof/>
      </w:rPr>
      <w:t>622</w:t>
    </w:r>
    <w:r w:rsidRPr="00290447">
      <w:rPr>
        <w:bCs/>
      </w:rPr>
      <w:fldChar w:fldCharType="end"/>
    </w:r>
  </w:p>
  <w:p w:rsidR="001F544B" w:rsidRDefault="001F544B">
    <w:pPr>
      <w:pStyle w:val="Header"/>
      <w:rPr>
        <w:vanish/>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ind w:left="-360"/>
    </w:pPr>
    <w:r>
      <w:rPr>
        <w:noProof/>
        <w:lang w:val="ro-RO" w:eastAsia="ro-RO"/>
      </w:rPr>
      <w:drawing>
        <wp:anchor distT="0" distB="0" distL="114300" distR="114300" simplePos="0" relativeHeight="251669504" behindDoc="0" locked="0" layoutInCell="1" allowOverlap="1">
          <wp:simplePos x="0" y="0"/>
          <wp:positionH relativeFrom="column">
            <wp:align>center</wp:align>
          </wp:positionH>
          <wp:positionV relativeFrom="paragraph">
            <wp:posOffset>114300</wp:posOffset>
          </wp:positionV>
          <wp:extent cx="6267450" cy="933450"/>
          <wp:effectExtent l="19050" t="0" r="0" b="0"/>
          <wp:wrapTopAndBottom/>
          <wp:docPr id="9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6274435" cy="929640"/>
                  </a:xfrm>
                  <a:prstGeom prst="rect">
                    <a:avLst/>
                  </a:prstGeom>
                  <a:noFill/>
                  <a:ln w="9525">
                    <a:noFill/>
                    <a:miter lim="800000"/>
                    <a:headEnd/>
                    <a:tailEnd/>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ind w:lef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rsidP="00183C0E">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sidR="00966D0E">
      <w:rPr>
        <w:rStyle w:val="PageNumber"/>
        <w:noProof/>
      </w:rPr>
      <w:t>10</w:t>
    </w:r>
    <w:r>
      <w:rPr>
        <w:rStyle w:val="PageNumber"/>
      </w:rPr>
      <w:fldChar w:fldCharType="end"/>
    </w:r>
  </w:p>
  <w:p w:rsidR="001F544B" w:rsidRDefault="001F544B">
    <w:pPr>
      <w:pStyle w:val="Header"/>
      <w:ind w:left="-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pPr>
      <w:pStyle w:val="Header"/>
      <w:rPr>
        <w:rStyle w:val="PageNumber"/>
      </w:rPr>
    </w:pPr>
    <w:r w:rsidRPr="004E1903">
      <w:rPr>
        <w:bCs/>
      </w:rPr>
      <w:t>AECOM</w:t>
    </w:r>
    <w:r>
      <w:rPr>
        <w:b/>
        <w:bCs/>
      </w:rPr>
      <w:t xml:space="preserve">                                                              </w:t>
    </w:r>
    <w:r w:rsidRPr="003C5D9B">
      <w:rPr>
        <w:lang w:val="ro-RO"/>
      </w:rPr>
      <w:t>Variantă finală revizuită a Raportului privind Master Planul pe termen scurt, mediu și lung</w:t>
    </w:r>
    <w:r>
      <w:tab/>
    </w:r>
    <w:r>
      <w:rPr>
        <w:rStyle w:val="PageNumber"/>
      </w:rPr>
      <w:fldChar w:fldCharType="begin"/>
    </w:r>
    <w:r>
      <w:rPr>
        <w:rStyle w:val="PageNumber"/>
      </w:rPr>
      <w:instrText xml:space="preserve"> PAGE </w:instrText>
    </w:r>
    <w:r>
      <w:rPr>
        <w:rStyle w:val="PageNumber"/>
      </w:rPr>
      <w:fldChar w:fldCharType="separate"/>
    </w:r>
    <w:r w:rsidR="00966D0E">
      <w:rPr>
        <w:rStyle w:val="PageNumber"/>
        <w:noProof/>
      </w:rPr>
      <w:t>11</w:t>
    </w:r>
    <w:r>
      <w:rPr>
        <w:rStyle w:val="PageNumbe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Default="001F544B"/>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44B" w:rsidRPr="00BD6C66" w:rsidRDefault="001F544B" w:rsidP="00BD6C66">
    <w:pPr>
      <w:pStyle w:val="Header"/>
      <w:rPr>
        <w:bCs/>
      </w:rPr>
    </w:pPr>
    <w:r w:rsidRPr="00BD6C66">
      <w:rPr>
        <w:bCs/>
      </w:rPr>
      <w:t>AECOM</w:t>
    </w:r>
    <w:r w:rsidRPr="00BD6C66">
      <w:rPr>
        <w:b/>
        <w:bCs/>
      </w:rPr>
      <w:t xml:space="preserve">                                                              </w:t>
    </w:r>
    <w:r w:rsidRPr="003C5D9B">
      <w:rPr>
        <w:lang w:val="ro-RO"/>
      </w:rPr>
      <w:t>Variantă finală revizuită a Raportului privind Master Planul pe termen scurt, mediu și lung</w:t>
    </w:r>
    <w:r w:rsidRPr="00BD6C66">
      <w:rPr>
        <w:bCs/>
      </w:rPr>
      <w:tab/>
    </w:r>
    <w:r w:rsidRPr="00BD6C66">
      <w:rPr>
        <w:bCs/>
      </w:rPr>
      <w:fldChar w:fldCharType="begin"/>
    </w:r>
    <w:r w:rsidRPr="00BD6C66">
      <w:rPr>
        <w:bCs/>
      </w:rPr>
      <w:instrText xml:space="preserve"> PAGE </w:instrText>
    </w:r>
    <w:r w:rsidRPr="00BD6C66">
      <w:rPr>
        <w:bCs/>
      </w:rPr>
      <w:fldChar w:fldCharType="separate"/>
    </w:r>
    <w:r w:rsidR="00966D0E">
      <w:rPr>
        <w:bCs/>
        <w:noProof/>
      </w:rPr>
      <w:t>14</w:t>
    </w:r>
    <w:r w:rsidRPr="00BD6C66">
      <w:rPr>
        <w:bCs/>
      </w:rPr>
      <w:fldChar w:fldCharType="end"/>
    </w:r>
  </w:p>
  <w:p w:rsidR="001F544B" w:rsidRDefault="001F544B">
    <w:pPr>
      <w:pStyle w:val="Header"/>
      <w:rPr>
        <w:vanish/>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896C458"/>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97E5D74"/>
    <w:lvl w:ilvl="0">
      <w:start w:val="1"/>
      <w:numFmt w:val="decimal"/>
      <w:pStyle w:val="ListNumber4"/>
      <w:lvlText w:val="%1."/>
      <w:lvlJc w:val="left"/>
      <w:pPr>
        <w:tabs>
          <w:tab w:val="num" w:pos="1209"/>
        </w:tabs>
        <w:ind w:left="1209" w:hanging="360"/>
      </w:pPr>
    </w:lvl>
  </w:abstractNum>
  <w:abstractNum w:abstractNumId="2">
    <w:nsid w:val="FFFFFF7F"/>
    <w:multiLevelType w:val="singleLevel"/>
    <w:tmpl w:val="8F600356"/>
    <w:lvl w:ilvl="0">
      <w:start w:val="1"/>
      <w:numFmt w:val="decimal"/>
      <w:pStyle w:val="ListNumber2"/>
      <w:lvlText w:val="%1."/>
      <w:lvlJc w:val="left"/>
      <w:pPr>
        <w:tabs>
          <w:tab w:val="num" w:pos="643"/>
        </w:tabs>
        <w:ind w:left="643" w:hanging="360"/>
      </w:pPr>
    </w:lvl>
  </w:abstractNum>
  <w:abstractNum w:abstractNumId="3">
    <w:nsid w:val="FFFFFF80"/>
    <w:multiLevelType w:val="singleLevel"/>
    <w:tmpl w:val="637E3ED2"/>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1"/>
    <w:multiLevelType w:val="singleLevel"/>
    <w:tmpl w:val="23DC28B0"/>
    <w:lvl w:ilvl="0">
      <w:start w:val="1"/>
      <w:numFmt w:val="bullet"/>
      <w:pStyle w:val="ListBullet4"/>
      <w:lvlText w:val=""/>
      <w:lvlJc w:val="left"/>
      <w:pPr>
        <w:tabs>
          <w:tab w:val="num" w:pos="1209"/>
        </w:tabs>
        <w:ind w:left="1209" w:hanging="360"/>
      </w:pPr>
      <w:rPr>
        <w:rFonts w:ascii="Symbol" w:hAnsi="Symbol" w:hint="default"/>
      </w:rPr>
    </w:lvl>
  </w:abstractNum>
  <w:abstractNum w:abstractNumId="5">
    <w:nsid w:val="FFFFFF82"/>
    <w:multiLevelType w:val="singleLevel"/>
    <w:tmpl w:val="69A2CB54"/>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EBF23356"/>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A4F28AEA"/>
    <w:lvl w:ilvl="0">
      <w:start w:val="1"/>
      <w:numFmt w:val="decimal"/>
      <w:pStyle w:val="ListNumber"/>
      <w:lvlText w:val="%1."/>
      <w:lvlJc w:val="left"/>
      <w:pPr>
        <w:tabs>
          <w:tab w:val="num" w:pos="360"/>
        </w:tabs>
        <w:ind w:left="360" w:hanging="360"/>
      </w:pPr>
    </w:lvl>
  </w:abstractNum>
  <w:abstractNum w:abstractNumId="8">
    <w:nsid w:val="FFFFFF89"/>
    <w:multiLevelType w:val="singleLevel"/>
    <w:tmpl w:val="852EAA82"/>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8F2E2F"/>
    <w:multiLevelType w:val="hybridMultilevel"/>
    <w:tmpl w:val="DF34594E"/>
    <w:lvl w:ilvl="0" w:tplc="B748D9EA">
      <w:start w:val="1"/>
      <w:numFmt w:val="bullet"/>
      <w:lvlText w:val=""/>
      <w:lvlJc w:val="left"/>
      <w:pPr>
        <w:ind w:left="720" w:hanging="360"/>
      </w:pPr>
      <w:rPr>
        <w:rFonts w:ascii="Symbol" w:hAnsi="Symbol" w:hint="default"/>
      </w:rPr>
    </w:lvl>
    <w:lvl w:ilvl="1" w:tplc="9FF6522C" w:tentative="1">
      <w:start w:val="1"/>
      <w:numFmt w:val="bullet"/>
      <w:lvlText w:val="o"/>
      <w:lvlJc w:val="left"/>
      <w:pPr>
        <w:ind w:left="1440" w:hanging="360"/>
      </w:pPr>
      <w:rPr>
        <w:rFonts w:ascii="Courier New" w:hAnsi="Courier New" w:cs="Courier New" w:hint="default"/>
      </w:rPr>
    </w:lvl>
    <w:lvl w:ilvl="2" w:tplc="BB2C165C" w:tentative="1">
      <w:start w:val="1"/>
      <w:numFmt w:val="bullet"/>
      <w:lvlText w:val=""/>
      <w:lvlJc w:val="left"/>
      <w:pPr>
        <w:ind w:left="2160" w:hanging="360"/>
      </w:pPr>
      <w:rPr>
        <w:rFonts w:ascii="Wingdings" w:hAnsi="Wingdings" w:hint="default"/>
      </w:rPr>
    </w:lvl>
    <w:lvl w:ilvl="3" w:tplc="268AC4C6" w:tentative="1">
      <w:start w:val="1"/>
      <w:numFmt w:val="bullet"/>
      <w:lvlText w:val=""/>
      <w:lvlJc w:val="left"/>
      <w:pPr>
        <w:ind w:left="2880" w:hanging="360"/>
      </w:pPr>
      <w:rPr>
        <w:rFonts w:ascii="Symbol" w:hAnsi="Symbol" w:hint="default"/>
      </w:rPr>
    </w:lvl>
    <w:lvl w:ilvl="4" w:tplc="56E2818A" w:tentative="1">
      <w:start w:val="1"/>
      <w:numFmt w:val="bullet"/>
      <w:lvlText w:val="o"/>
      <w:lvlJc w:val="left"/>
      <w:pPr>
        <w:ind w:left="3600" w:hanging="360"/>
      </w:pPr>
      <w:rPr>
        <w:rFonts w:ascii="Courier New" w:hAnsi="Courier New" w:cs="Courier New" w:hint="default"/>
      </w:rPr>
    </w:lvl>
    <w:lvl w:ilvl="5" w:tplc="0908BCBE" w:tentative="1">
      <w:start w:val="1"/>
      <w:numFmt w:val="bullet"/>
      <w:lvlText w:val=""/>
      <w:lvlJc w:val="left"/>
      <w:pPr>
        <w:ind w:left="4320" w:hanging="360"/>
      </w:pPr>
      <w:rPr>
        <w:rFonts w:ascii="Wingdings" w:hAnsi="Wingdings" w:hint="default"/>
      </w:rPr>
    </w:lvl>
    <w:lvl w:ilvl="6" w:tplc="4890109E" w:tentative="1">
      <w:start w:val="1"/>
      <w:numFmt w:val="bullet"/>
      <w:lvlText w:val=""/>
      <w:lvlJc w:val="left"/>
      <w:pPr>
        <w:ind w:left="5040" w:hanging="360"/>
      </w:pPr>
      <w:rPr>
        <w:rFonts w:ascii="Symbol" w:hAnsi="Symbol" w:hint="default"/>
      </w:rPr>
    </w:lvl>
    <w:lvl w:ilvl="7" w:tplc="C6203C22" w:tentative="1">
      <w:start w:val="1"/>
      <w:numFmt w:val="bullet"/>
      <w:lvlText w:val="o"/>
      <w:lvlJc w:val="left"/>
      <w:pPr>
        <w:ind w:left="5760" w:hanging="360"/>
      </w:pPr>
      <w:rPr>
        <w:rFonts w:ascii="Courier New" w:hAnsi="Courier New" w:cs="Courier New" w:hint="default"/>
      </w:rPr>
    </w:lvl>
    <w:lvl w:ilvl="8" w:tplc="2D58CEB0" w:tentative="1">
      <w:start w:val="1"/>
      <w:numFmt w:val="bullet"/>
      <w:lvlText w:val=""/>
      <w:lvlJc w:val="left"/>
      <w:pPr>
        <w:ind w:left="6480" w:hanging="360"/>
      </w:pPr>
      <w:rPr>
        <w:rFonts w:ascii="Wingdings" w:hAnsi="Wingdings" w:hint="default"/>
      </w:rPr>
    </w:lvl>
  </w:abstractNum>
  <w:abstractNum w:abstractNumId="10">
    <w:nsid w:val="04ED1F71"/>
    <w:multiLevelType w:val="hybridMultilevel"/>
    <w:tmpl w:val="B9E4D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AB97ED4"/>
    <w:multiLevelType w:val="singleLevel"/>
    <w:tmpl w:val="EA509A22"/>
    <w:lvl w:ilvl="0">
      <w:start w:val="1"/>
      <w:numFmt w:val="decimal"/>
      <w:pStyle w:val="SecDivider"/>
      <w:lvlText w:val="%1"/>
      <w:lvlJc w:val="left"/>
      <w:pPr>
        <w:tabs>
          <w:tab w:val="num" w:pos="567"/>
        </w:tabs>
        <w:ind w:left="567" w:hanging="567"/>
      </w:pPr>
    </w:lvl>
  </w:abstractNum>
  <w:abstractNum w:abstractNumId="12">
    <w:nsid w:val="0B736BEB"/>
    <w:multiLevelType w:val="hybridMultilevel"/>
    <w:tmpl w:val="D8303D1A"/>
    <w:lvl w:ilvl="0" w:tplc="08090017">
      <w:start w:val="1"/>
      <w:numFmt w:val="low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3">
    <w:nsid w:val="0DB453A6"/>
    <w:multiLevelType w:val="hybridMultilevel"/>
    <w:tmpl w:val="7EF88CF2"/>
    <w:lvl w:ilvl="0" w:tplc="66B8FA5E">
      <w:start w:val="1"/>
      <w:numFmt w:val="bullet"/>
      <w:pStyle w:val="Bullet"/>
      <w:lvlText w:val=""/>
      <w:lvlJc w:val="left"/>
      <w:pPr>
        <w:ind w:left="1551" w:hanging="360"/>
      </w:pPr>
      <w:rPr>
        <w:rFonts w:ascii="Symbol" w:hAnsi="Symbol" w:hint="default"/>
      </w:rPr>
    </w:lvl>
    <w:lvl w:ilvl="1" w:tplc="7AE41224">
      <w:start w:val="1"/>
      <w:numFmt w:val="decimal"/>
      <w:lvlText w:val="%2."/>
      <w:lvlJc w:val="left"/>
      <w:pPr>
        <w:tabs>
          <w:tab w:val="num" w:pos="2271"/>
        </w:tabs>
        <w:ind w:left="2271" w:hanging="360"/>
      </w:pPr>
    </w:lvl>
    <w:lvl w:ilvl="2" w:tplc="2E4C85A0">
      <w:start w:val="1"/>
      <w:numFmt w:val="decimal"/>
      <w:lvlText w:val="%3."/>
      <w:lvlJc w:val="left"/>
      <w:pPr>
        <w:tabs>
          <w:tab w:val="num" w:pos="2991"/>
        </w:tabs>
        <w:ind w:left="2991" w:hanging="360"/>
      </w:pPr>
    </w:lvl>
    <w:lvl w:ilvl="3" w:tplc="BDB66AEA">
      <w:start w:val="1"/>
      <w:numFmt w:val="decimal"/>
      <w:lvlText w:val="%4."/>
      <w:lvlJc w:val="left"/>
      <w:pPr>
        <w:tabs>
          <w:tab w:val="num" w:pos="3711"/>
        </w:tabs>
        <w:ind w:left="3711" w:hanging="360"/>
      </w:pPr>
    </w:lvl>
    <w:lvl w:ilvl="4" w:tplc="03BED4AA">
      <w:start w:val="1"/>
      <w:numFmt w:val="decimal"/>
      <w:lvlText w:val="%5."/>
      <w:lvlJc w:val="left"/>
      <w:pPr>
        <w:tabs>
          <w:tab w:val="num" w:pos="4431"/>
        </w:tabs>
        <w:ind w:left="4431" w:hanging="360"/>
      </w:pPr>
    </w:lvl>
    <w:lvl w:ilvl="5" w:tplc="3F2A965C">
      <w:start w:val="1"/>
      <w:numFmt w:val="decimal"/>
      <w:lvlText w:val="%6."/>
      <w:lvlJc w:val="left"/>
      <w:pPr>
        <w:tabs>
          <w:tab w:val="num" w:pos="5151"/>
        </w:tabs>
        <w:ind w:left="5151" w:hanging="360"/>
      </w:pPr>
    </w:lvl>
    <w:lvl w:ilvl="6" w:tplc="DBE80F38">
      <w:start w:val="1"/>
      <w:numFmt w:val="decimal"/>
      <w:lvlText w:val="%7."/>
      <w:lvlJc w:val="left"/>
      <w:pPr>
        <w:tabs>
          <w:tab w:val="num" w:pos="5871"/>
        </w:tabs>
        <w:ind w:left="5871" w:hanging="360"/>
      </w:pPr>
    </w:lvl>
    <w:lvl w:ilvl="7" w:tplc="3BAEFF0A">
      <w:start w:val="1"/>
      <w:numFmt w:val="decimal"/>
      <w:lvlText w:val="%8."/>
      <w:lvlJc w:val="left"/>
      <w:pPr>
        <w:tabs>
          <w:tab w:val="num" w:pos="6591"/>
        </w:tabs>
        <w:ind w:left="6591" w:hanging="360"/>
      </w:pPr>
    </w:lvl>
    <w:lvl w:ilvl="8" w:tplc="ABB26FEC">
      <w:start w:val="1"/>
      <w:numFmt w:val="decimal"/>
      <w:lvlText w:val="%9."/>
      <w:lvlJc w:val="left"/>
      <w:pPr>
        <w:tabs>
          <w:tab w:val="num" w:pos="7311"/>
        </w:tabs>
        <w:ind w:left="7311" w:hanging="360"/>
      </w:pPr>
    </w:lvl>
  </w:abstractNum>
  <w:abstractNum w:abstractNumId="14">
    <w:nsid w:val="0E865A1B"/>
    <w:multiLevelType w:val="multilevel"/>
    <w:tmpl w:val="C928AB32"/>
    <w:lvl w:ilvl="0">
      <w:start w:val="1"/>
      <w:numFmt w:val="decimal"/>
      <w:lvlText w:val="%1"/>
      <w:lvlJc w:val="left"/>
      <w:pPr>
        <w:tabs>
          <w:tab w:val="num" w:pos="680"/>
        </w:tabs>
        <w:ind w:left="680" w:hanging="680"/>
      </w:pPr>
      <w:rPr>
        <w:rFonts w:hint="default"/>
      </w:rPr>
    </w:lvl>
    <w:lvl w:ilvl="1">
      <w:start w:val="1"/>
      <w:numFmt w:val="decimal"/>
      <w:pStyle w:val="Hdg2"/>
      <w:lvlText w:val="%1.%2"/>
      <w:lvlJc w:val="left"/>
      <w:pPr>
        <w:tabs>
          <w:tab w:val="num" w:pos="2280"/>
        </w:tabs>
        <w:ind w:left="2240" w:hanging="680"/>
      </w:pPr>
      <w:rPr>
        <w:rFonts w:hint="default"/>
      </w:rPr>
    </w:lvl>
    <w:lvl w:ilvl="2">
      <w:start w:val="1"/>
      <w:numFmt w:val="decimal"/>
      <w:pStyle w:val="NumberedParas"/>
      <w:lvlText w:val="%1.%2.%3"/>
      <w:lvlJc w:val="left"/>
      <w:pPr>
        <w:tabs>
          <w:tab w:val="num" w:pos="1866"/>
        </w:tabs>
        <w:ind w:left="1106" w:hanging="68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pStyle w:val="Hdg4"/>
      <w:lvlText w:val="%1.%2.%3.%4"/>
      <w:lvlJc w:val="left"/>
      <w:pPr>
        <w:tabs>
          <w:tab w:val="num" w:pos="1800"/>
        </w:tabs>
        <w:ind w:left="680" w:hanging="680"/>
      </w:pPr>
      <w:rPr>
        <w:rFonts w:ascii="Arial Narrow" w:hAnsi="Arial Narrow"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5">
    <w:nsid w:val="12020462"/>
    <w:multiLevelType w:val="hybridMultilevel"/>
    <w:tmpl w:val="9668AA58"/>
    <w:lvl w:ilvl="0" w:tplc="51A484C8">
      <w:start w:val="1"/>
      <w:numFmt w:val="bullet"/>
      <w:lvlText w:val=""/>
      <w:lvlJc w:val="left"/>
      <w:pPr>
        <w:ind w:left="720" w:hanging="360"/>
      </w:pPr>
      <w:rPr>
        <w:rFonts w:ascii="Symbol" w:hAnsi="Symbol" w:hint="default"/>
      </w:rPr>
    </w:lvl>
    <w:lvl w:ilvl="1" w:tplc="56568B4E">
      <w:start w:val="1"/>
      <w:numFmt w:val="decimal"/>
      <w:lvlText w:val="%2."/>
      <w:lvlJc w:val="left"/>
      <w:pPr>
        <w:tabs>
          <w:tab w:val="num" w:pos="1440"/>
        </w:tabs>
        <w:ind w:left="1440" w:hanging="360"/>
      </w:pPr>
    </w:lvl>
    <w:lvl w:ilvl="2" w:tplc="B5D2B902">
      <w:start w:val="1"/>
      <w:numFmt w:val="decimal"/>
      <w:lvlText w:val="%3."/>
      <w:lvlJc w:val="left"/>
      <w:pPr>
        <w:tabs>
          <w:tab w:val="num" w:pos="2160"/>
        </w:tabs>
        <w:ind w:left="2160" w:hanging="360"/>
      </w:pPr>
    </w:lvl>
    <w:lvl w:ilvl="3" w:tplc="2FF641D2">
      <w:start w:val="1"/>
      <w:numFmt w:val="decimal"/>
      <w:lvlText w:val="%4."/>
      <w:lvlJc w:val="left"/>
      <w:pPr>
        <w:tabs>
          <w:tab w:val="num" w:pos="2880"/>
        </w:tabs>
        <w:ind w:left="2880" w:hanging="360"/>
      </w:pPr>
    </w:lvl>
    <w:lvl w:ilvl="4" w:tplc="712C3F12">
      <w:start w:val="1"/>
      <w:numFmt w:val="decimal"/>
      <w:lvlText w:val="%5."/>
      <w:lvlJc w:val="left"/>
      <w:pPr>
        <w:tabs>
          <w:tab w:val="num" w:pos="3600"/>
        </w:tabs>
        <w:ind w:left="3600" w:hanging="360"/>
      </w:pPr>
    </w:lvl>
    <w:lvl w:ilvl="5" w:tplc="E4960BE4">
      <w:start w:val="1"/>
      <w:numFmt w:val="decimal"/>
      <w:lvlText w:val="%6."/>
      <w:lvlJc w:val="left"/>
      <w:pPr>
        <w:tabs>
          <w:tab w:val="num" w:pos="4320"/>
        </w:tabs>
        <w:ind w:left="4320" w:hanging="360"/>
      </w:pPr>
    </w:lvl>
    <w:lvl w:ilvl="6" w:tplc="66EE0EB0">
      <w:start w:val="1"/>
      <w:numFmt w:val="decimal"/>
      <w:lvlText w:val="%7."/>
      <w:lvlJc w:val="left"/>
      <w:pPr>
        <w:tabs>
          <w:tab w:val="num" w:pos="5040"/>
        </w:tabs>
        <w:ind w:left="5040" w:hanging="360"/>
      </w:pPr>
    </w:lvl>
    <w:lvl w:ilvl="7" w:tplc="DDC67D98">
      <w:start w:val="1"/>
      <w:numFmt w:val="decimal"/>
      <w:lvlText w:val="%8."/>
      <w:lvlJc w:val="left"/>
      <w:pPr>
        <w:tabs>
          <w:tab w:val="num" w:pos="5760"/>
        </w:tabs>
        <w:ind w:left="5760" w:hanging="360"/>
      </w:pPr>
    </w:lvl>
    <w:lvl w:ilvl="8" w:tplc="B85ADD3A">
      <w:start w:val="1"/>
      <w:numFmt w:val="decimal"/>
      <w:lvlText w:val="%9."/>
      <w:lvlJc w:val="left"/>
      <w:pPr>
        <w:tabs>
          <w:tab w:val="num" w:pos="6480"/>
        </w:tabs>
        <w:ind w:left="6480" w:hanging="360"/>
      </w:pPr>
    </w:lvl>
  </w:abstractNum>
  <w:abstractNum w:abstractNumId="16">
    <w:nsid w:val="13DB6D11"/>
    <w:multiLevelType w:val="hybridMultilevel"/>
    <w:tmpl w:val="C51ECCC2"/>
    <w:lvl w:ilvl="0" w:tplc="676AD1A2">
      <w:start w:val="1"/>
      <w:numFmt w:val="bullet"/>
      <w:lvlText w:val=""/>
      <w:lvlJc w:val="left"/>
      <w:pPr>
        <w:ind w:left="720" w:hanging="360"/>
      </w:pPr>
      <w:rPr>
        <w:rFonts w:ascii="Symbol" w:hAnsi="Symbol" w:hint="default"/>
      </w:rPr>
    </w:lvl>
    <w:lvl w:ilvl="1" w:tplc="C1A8065C" w:tentative="1">
      <w:start w:val="1"/>
      <w:numFmt w:val="bullet"/>
      <w:lvlText w:val="o"/>
      <w:lvlJc w:val="left"/>
      <w:pPr>
        <w:ind w:left="1440" w:hanging="360"/>
      </w:pPr>
      <w:rPr>
        <w:rFonts w:ascii="Courier New" w:hAnsi="Courier New" w:cs="Courier New" w:hint="default"/>
      </w:rPr>
    </w:lvl>
    <w:lvl w:ilvl="2" w:tplc="46105F16" w:tentative="1">
      <w:start w:val="1"/>
      <w:numFmt w:val="bullet"/>
      <w:lvlText w:val=""/>
      <w:lvlJc w:val="left"/>
      <w:pPr>
        <w:ind w:left="2160" w:hanging="360"/>
      </w:pPr>
      <w:rPr>
        <w:rFonts w:ascii="Wingdings" w:hAnsi="Wingdings" w:hint="default"/>
      </w:rPr>
    </w:lvl>
    <w:lvl w:ilvl="3" w:tplc="45F65002" w:tentative="1">
      <w:start w:val="1"/>
      <w:numFmt w:val="bullet"/>
      <w:lvlText w:val=""/>
      <w:lvlJc w:val="left"/>
      <w:pPr>
        <w:ind w:left="2880" w:hanging="360"/>
      </w:pPr>
      <w:rPr>
        <w:rFonts w:ascii="Symbol" w:hAnsi="Symbol" w:hint="default"/>
      </w:rPr>
    </w:lvl>
    <w:lvl w:ilvl="4" w:tplc="BE7E9D1E" w:tentative="1">
      <w:start w:val="1"/>
      <w:numFmt w:val="bullet"/>
      <w:lvlText w:val="o"/>
      <w:lvlJc w:val="left"/>
      <w:pPr>
        <w:ind w:left="3600" w:hanging="360"/>
      </w:pPr>
      <w:rPr>
        <w:rFonts w:ascii="Courier New" w:hAnsi="Courier New" w:cs="Courier New" w:hint="default"/>
      </w:rPr>
    </w:lvl>
    <w:lvl w:ilvl="5" w:tplc="FA6A6E68" w:tentative="1">
      <w:start w:val="1"/>
      <w:numFmt w:val="bullet"/>
      <w:lvlText w:val=""/>
      <w:lvlJc w:val="left"/>
      <w:pPr>
        <w:ind w:left="4320" w:hanging="360"/>
      </w:pPr>
      <w:rPr>
        <w:rFonts w:ascii="Wingdings" w:hAnsi="Wingdings" w:hint="default"/>
      </w:rPr>
    </w:lvl>
    <w:lvl w:ilvl="6" w:tplc="0704A890" w:tentative="1">
      <w:start w:val="1"/>
      <w:numFmt w:val="bullet"/>
      <w:lvlText w:val=""/>
      <w:lvlJc w:val="left"/>
      <w:pPr>
        <w:ind w:left="5040" w:hanging="360"/>
      </w:pPr>
      <w:rPr>
        <w:rFonts w:ascii="Symbol" w:hAnsi="Symbol" w:hint="default"/>
      </w:rPr>
    </w:lvl>
    <w:lvl w:ilvl="7" w:tplc="4770F35E" w:tentative="1">
      <w:start w:val="1"/>
      <w:numFmt w:val="bullet"/>
      <w:lvlText w:val="o"/>
      <w:lvlJc w:val="left"/>
      <w:pPr>
        <w:ind w:left="5760" w:hanging="360"/>
      </w:pPr>
      <w:rPr>
        <w:rFonts w:ascii="Courier New" w:hAnsi="Courier New" w:cs="Courier New" w:hint="default"/>
      </w:rPr>
    </w:lvl>
    <w:lvl w:ilvl="8" w:tplc="1904F652" w:tentative="1">
      <w:start w:val="1"/>
      <w:numFmt w:val="bullet"/>
      <w:lvlText w:val=""/>
      <w:lvlJc w:val="left"/>
      <w:pPr>
        <w:ind w:left="6480" w:hanging="360"/>
      </w:pPr>
      <w:rPr>
        <w:rFonts w:ascii="Wingdings" w:hAnsi="Wingdings" w:hint="default"/>
      </w:rPr>
    </w:lvl>
  </w:abstractNum>
  <w:abstractNum w:abstractNumId="17">
    <w:nsid w:val="14913AEF"/>
    <w:multiLevelType w:val="hybridMultilevel"/>
    <w:tmpl w:val="4FBAF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63F3395"/>
    <w:multiLevelType w:val="hybridMultilevel"/>
    <w:tmpl w:val="50A67402"/>
    <w:lvl w:ilvl="0" w:tplc="08090001">
      <w:start w:val="1"/>
      <w:numFmt w:val="bullet"/>
      <w:pStyle w:val="BulletLevel2"/>
      <w:lvlText w:val="-"/>
      <w:lvlJc w:val="left"/>
      <w:pPr>
        <w:tabs>
          <w:tab w:val="num" w:pos="454"/>
        </w:tabs>
        <w:ind w:left="454" w:hanging="227"/>
      </w:pPr>
      <w:rPr>
        <w:rFont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nsid w:val="16697CA6"/>
    <w:multiLevelType w:val="hybridMultilevel"/>
    <w:tmpl w:val="0166E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36029E"/>
    <w:multiLevelType w:val="hybridMultilevel"/>
    <w:tmpl w:val="126C22A4"/>
    <w:lvl w:ilvl="0" w:tplc="2F46F716">
      <w:start w:val="1"/>
      <w:numFmt w:val="bullet"/>
      <w:lvlText w:val=""/>
      <w:lvlJc w:val="left"/>
      <w:pPr>
        <w:ind w:left="2149" w:hanging="360"/>
      </w:pPr>
      <w:rPr>
        <w:rFonts w:ascii="Symbol" w:hAnsi="Symbol" w:hint="default"/>
      </w:rPr>
    </w:lvl>
    <w:lvl w:ilvl="1" w:tplc="08090003" w:tentative="1">
      <w:start w:val="1"/>
      <w:numFmt w:val="bullet"/>
      <w:lvlText w:val="o"/>
      <w:lvlJc w:val="left"/>
      <w:pPr>
        <w:ind w:left="2869" w:hanging="360"/>
      </w:pPr>
      <w:rPr>
        <w:rFonts w:ascii="Courier New" w:hAnsi="Courier New" w:cs="Courier New" w:hint="default"/>
      </w:rPr>
    </w:lvl>
    <w:lvl w:ilvl="2" w:tplc="08090005" w:tentative="1">
      <w:start w:val="1"/>
      <w:numFmt w:val="bullet"/>
      <w:lvlText w:val=""/>
      <w:lvlJc w:val="left"/>
      <w:pPr>
        <w:ind w:left="3589" w:hanging="360"/>
      </w:pPr>
      <w:rPr>
        <w:rFonts w:ascii="Wingdings" w:hAnsi="Wingdings" w:hint="default"/>
      </w:rPr>
    </w:lvl>
    <w:lvl w:ilvl="3" w:tplc="08090001" w:tentative="1">
      <w:start w:val="1"/>
      <w:numFmt w:val="bullet"/>
      <w:lvlText w:val=""/>
      <w:lvlJc w:val="left"/>
      <w:pPr>
        <w:ind w:left="4309" w:hanging="360"/>
      </w:pPr>
      <w:rPr>
        <w:rFonts w:ascii="Symbol" w:hAnsi="Symbol" w:hint="default"/>
      </w:rPr>
    </w:lvl>
    <w:lvl w:ilvl="4" w:tplc="08090003" w:tentative="1">
      <w:start w:val="1"/>
      <w:numFmt w:val="bullet"/>
      <w:lvlText w:val="o"/>
      <w:lvlJc w:val="left"/>
      <w:pPr>
        <w:ind w:left="5029" w:hanging="360"/>
      </w:pPr>
      <w:rPr>
        <w:rFonts w:ascii="Courier New" w:hAnsi="Courier New" w:cs="Courier New" w:hint="default"/>
      </w:rPr>
    </w:lvl>
    <w:lvl w:ilvl="5" w:tplc="08090005" w:tentative="1">
      <w:start w:val="1"/>
      <w:numFmt w:val="bullet"/>
      <w:lvlText w:val=""/>
      <w:lvlJc w:val="left"/>
      <w:pPr>
        <w:ind w:left="5749" w:hanging="360"/>
      </w:pPr>
      <w:rPr>
        <w:rFonts w:ascii="Wingdings" w:hAnsi="Wingdings" w:hint="default"/>
      </w:rPr>
    </w:lvl>
    <w:lvl w:ilvl="6" w:tplc="08090001" w:tentative="1">
      <w:start w:val="1"/>
      <w:numFmt w:val="bullet"/>
      <w:lvlText w:val=""/>
      <w:lvlJc w:val="left"/>
      <w:pPr>
        <w:ind w:left="6469" w:hanging="360"/>
      </w:pPr>
      <w:rPr>
        <w:rFonts w:ascii="Symbol" w:hAnsi="Symbol" w:hint="default"/>
      </w:rPr>
    </w:lvl>
    <w:lvl w:ilvl="7" w:tplc="08090003" w:tentative="1">
      <w:start w:val="1"/>
      <w:numFmt w:val="bullet"/>
      <w:lvlText w:val="o"/>
      <w:lvlJc w:val="left"/>
      <w:pPr>
        <w:ind w:left="7189" w:hanging="360"/>
      </w:pPr>
      <w:rPr>
        <w:rFonts w:ascii="Courier New" w:hAnsi="Courier New" w:cs="Courier New" w:hint="default"/>
      </w:rPr>
    </w:lvl>
    <w:lvl w:ilvl="8" w:tplc="08090005" w:tentative="1">
      <w:start w:val="1"/>
      <w:numFmt w:val="bullet"/>
      <w:lvlText w:val=""/>
      <w:lvlJc w:val="left"/>
      <w:pPr>
        <w:ind w:left="7909" w:hanging="360"/>
      </w:pPr>
      <w:rPr>
        <w:rFonts w:ascii="Wingdings" w:hAnsi="Wingdings" w:hint="default"/>
      </w:rPr>
    </w:lvl>
  </w:abstractNum>
  <w:abstractNum w:abstractNumId="21">
    <w:nsid w:val="191F6C76"/>
    <w:multiLevelType w:val="hybridMultilevel"/>
    <w:tmpl w:val="34CE1ADA"/>
    <w:lvl w:ilvl="0" w:tplc="08090001">
      <w:start w:val="1"/>
      <w:numFmt w:val="bullet"/>
      <w:pStyle w:val="TN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CCA1ABF"/>
    <w:multiLevelType w:val="hybridMultilevel"/>
    <w:tmpl w:val="B3264C24"/>
    <w:lvl w:ilvl="0" w:tplc="08090001">
      <w:start w:val="1"/>
      <w:numFmt w:val="bullet"/>
      <w:lvlText w:val=""/>
      <w:lvlJc w:val="left"/>
      <w:pPr>
        <w:ind w:left="1931" w:hanging="360"/>
      </w:pPr>
      <w:rPr>
        <w:rFonts w:ascii="Symbol" w:hAnsi="Symbol"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23">
    <w:nsid w:val="1EFD19E8"/>
    <w:multiLevelType w:val="hybridMultilevel"/>
    <w:tmpl w:val="404E39F8"/>
    <w:lvl w:ilvl="0" w:tplc="04090001">
      <w:start w:val="1"/>
      <w:numFmt w:val="bullet"/>
      <w:lvlText w:val=""/>
      <w:lvlJc w:val="left"/>
      <w:pPr>
        <w:ind w:left="1400" w:hanging="360"/>
      </w:pPr>
      <w:rPr>
        <w:rFonts w:ascii="Wingdings" w:hAnsi="Wingdings" w:hint="default"/>
        <w:color w:val="auto"/>
        <w:sz w:val="24"/>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24">
    <w:nsid w:val="20673B3C"/>
    <w:multiLevelType w:val="hybridMultilevel"/>
    <w:tmpl w:val="63400858"/>
    <w:lvl w:ilvl="0" w:tplc="0809000F">
      <w:start w:val="1"/>
      <w:numFmt w:val="bullet"/>
      <w:lvlText w:val=""/>
      <w:lvlJc w:val="left"/>
      <w:pPr>
        <w:ind w:left="720" w:hanging="360"/>
      </w:pPr>
      <w:rPr>
        <w:rFonts w:ascii="Symbol" w:hAnsi="Symbol" w:hint="default"/>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25">
    <w:nsid w:val="231D4B4A"/>
    <w:multiLevelType w:val="hybridMultilevel"/>
    <w:tmpl w:val="2E1EB800"/>
    <w:lvl w:ilvl="0" w:tplc="04090003">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4E77545"/>
    <w:multiLevelType w:val="hybridMultilevel"/>
    <w:tmpl w:val="3CB08EFA"/>
    <w:lvl w:ilvl="0" w:tplc="95B862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8F3279C"/>
    <w:multiLevelType w:val="hybridMultilevel"/>
    <w:tmpl w:val="AAA40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DC80906"/>
    <w:multiLevelType w:val="hybridMultilevel"/>
    <w:tmpl w:val="C4DCA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2F4C2C4D"/>
    <w:multiLevelType w:val="hybridMultilevel"/>
    <w:tmpl w:val="85547470"/>
    <w:lvl w:ilvl="0" w:tplc="A0BAA9A8">
      <w:start w:val="1"/>
      <w:numFmt w:val="decimal"/>
      <w:pStyle w:val="TNHeading1"/>
      <w:lvlText w:val="%1."/>
      <w:lvlJc w:val="left"/>
      <w:pPr>
        <w:ind w:left="720" w:hanging="360"/>
      </w:pPr>
    </w:lvl>
    <w:lvl w:ilvl="1" w:tplc="402E9718" w:tentative="1">
      <w:start w:val="1"/>
      <w:numFmt w:val="lowerLetter"/>
      <w:lvlText w:val="%2."/>
      <w:lvlJc w:val="left"/>
      <w:pPr>
        <w:ind w:left="1440" w:hanging="360"/>
      </w:pPr>
    </w:lvl>
    <w:lvl w:ilvl="2" w:tplc="08C6EC50" w:tentative="1">
      <w:start w:val="1"/>
      <w:numFmt w:val="lowerRoman"/>
      <w:lvlText w:val="%3."/>
      <w:lvlJc w:val="right"/>
      <w:pPr>
        <w:ind w:left="2160" w:hanging="180"/>
      </w:pPr>
    </w:lvl>
    <w:lvl w:ilvl="3" w:tplc="5FE6766A" w:tentative="1">
      <w:start w:val="1"/>
      <w:numFmt w:val="decimal"/>
      <w:lvlText w:val="%4."/>
      <w:lvlJc w:val="left"/>
      <w:pPr>
        <w:ind w:left="2880" w:hanging="360"/>
      </w:pPr>
    </w:lvl>
    <w:lvl w:ilvl="4" w:tplc="47AE313A" w:tentative="1">
      <w:start w:val="1"/>
      <w:numFmt w:val="lowerLetter"/>
      <w:lvlText w:val="%5."/>
      <w:lvlJc w:val="left"/>
      <w:pPr>
        <w:ind w:left="3600" w:hanging="360"/>
      </w:pPr>
    </w:lvl>
    <w:lvl w:ilvl="5" w:tplc="FBD01E04" w:tentative="1">
      <w:start w:val="1"/>
      <w:numFmt w:val="lowerRoman"/>
      <w:lvlText w:val="%6."/>
      <w:lvlJc w:val="right"/>
      <w:pPr>
        <w:ind w:left="4320" w:hanging="180"/>
      </w:pPr>
    </w:lvl>
    <w:lvl w:ilvl="6" w:tplc="D69EE94E" w:tentative="1">
      <w:start w:val="1"/>
      <w:numFmt w:val="decimal"/>
      <w:lvlText w:val="%7."/>
      <w:lvlJc w:val="left"/>
      <w:pPr>
        <w:ind w:left="5040" w:hanging="360"/>
      </w:pPr>
    </w:lvl>
    <w:lvl w:ilvl="7" w:tplc="050E63AA" w:tentative="1">
      <w:start w:val="1"/>
      <w:numFmt w:val="lowerLetter"/>
      <w:lvlText w:val="%8."/>
      <w:lvlJc w:val="left"/>
      <w:pPr>
        <w:ind w:left="5760" w:hanging="360"/>
      </w:pPr>
    </w:lvl>
    <w:lvl w:ilvl="8" w:tplc="F592851E" w:tentative="1">
      <w:start w:val="1"/>
      <w:numFmt w:val="lowerRoman"/>
      <w:lvlText w:val="%9."/>
      <w:lvlJc w:val="right"/>
      <w:pPr>
        <w:ind w:left="6480" w:hanging="180"/>
      </w:pPr>
    </w:lvl>
  </w:abstractNum>
  <w:abstractNum w:abstractNumId="30">
    <w:nsid w:val="31596317"/>
    <w:multiLevelType w:val="hybridMultilevel"/>
    <w:tmpl w:val="BC300220"/>
    <w:lvl w:ilvl="0" w:tplc="04090001">
      <w:start w:val="1"/>
      <w:numFmt w:val="bullet"/>
      <w:lvlText w:val="o"/>
      <w:lvlJc w:val="left"/>
      <w:pPr>
        <w:ind w:left="433" w:hanging="433"/>
      </w:pPr>
      <w:rPr>
        <w:rFonts w:ascii="Courier New" w:hAnsi="Courier New" w:hint="default"/>
      </w:rPr>
    </w:lvl>
    <w:lvl w:ilvl="1" w:tplc="CD5CF958">
      <w:start w:val="1"/>
      <w:numFmt w:val="bullet"/>
      <w:pStyle w:val="BulletLevel1"/>
      <w:lvlText w:val="o"/>
      <w:lvlJc w:val="left"/>
      <w:pPr>
        <w:ind w:left="928" w:hanging="360"/>
      </w:pPr>
      <w:rPr>
        <w:rFonts w:ascii="Courier New" w:hAnsi="Courier New" w:cs="Courier New" w:hint="default"/>
      </w:rPr>
    </w:lvl>
    <w:lvl w:ilvl="2" w:tplc="04090005">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1">
    <w:nsid w:val="34B83E81"/>
    <w:multiLevelType w:val="hybridMultilevel"/>
    <w:tmpl w:val="2B585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4D91C88"/>
    <w:multiLevelType w:val="hybridMultilevel"/>
    <w:tmpl w:val="A63AAB2C"/>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3">
    <w:nsid w:val="37015407"/>
    <w:multiLevelType w:val="hybridMultilevel"/>
    <w:tmpl w:val="949CC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374F0FE0"/>
    <w:multiLevelType w:val="hybridMultilevel"/>
    <w:tmpl w:val="8034B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772410E"/>
    <w:multiLevelType w:val="hybridMultilevel"/>
    <w:tmpl w:val="B6C43524"/>
    <w:lvl w:ilvl="0" w:tplc="F800E17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8CB0C35"/>
    <w:multiLevelType w:val="hybridMultilevel"/>
    <w:tmpl w:val="EE980256"/>
    <w:lvl w:ilvl="0" w:tplc="B6FA2C56">
      <w:start w:val="1"/>
      <w:numFmt w:val="bullet"/>
      <w:lvlText w:val=""/>
      <w:lvlJc w:val="left"/>
      <w:pPr>
        <w:ind w:left="1920" w:hanging="360"/>
      </w:pPr>
      <w:rPr>
        <w:rFonts w:ascii="Symbol" w:hAnsi="Symbol" w:hint="default"/>
      </w:rPr>
    </w:lvl>
    <w:lvl w:ilvl="1" w:tplc="2C60E44E" w:tentative="1">
      <w:start w:val="1"/>
      <w:numFmt w:val="bullet"/>
      <w:lvlText w:val="o"/>
      <w:lvlJc w:val="left"/>
      <w:pPr>
        <w:ind w:left="2007" w:hanging="360"/>
      </w:pPr>
      <w:rPr>
        <w:rFonts w:ascii="Courier New" w:hAnsi="Courier New" w:cs="Courier New" w:hint="default"/>
      </w:rPr>
    </w:lvl>
    <w:lvl w:ilvl="2" w:tplc="0E60B61E" w:tentative="1">
      <w:start w:val="1"/>
      <w:numFmt w:val="bullet"/>
      <w:lvlText w:val=""/>
      <w:lvlJc w:val="left"/>
      <w:pPr>
        <w:ind w:left="2727" w:hanging="360"/>
      </w:pPr>
      <w:rPr>
        <w:rFonts w:ascii="Wingdings" w:hAnsi="Wingdings" w:hint="default"/>
      </w:rPr>
    </w:lvl>
    <w:lvl w:ilvl="3" w:tplc="4E6ABD60" w:tentative="1">
      <w:start w:val="1"/>
      <w:numFmt w:val="bullet"/>
      <w:lvlText w:val=""/>
      <w:lvlJc w:val="left"/>
      <w:pPr>
        <w:ind w:left="3447" w:hanging="360"/>
      </w:pPr>
      <w:rPr>
        <w:rFonts w:ascii="Symbol" w:hAnsi="Symbol" w:hint="default"/>
      </w:rPr>
    </w:lvl>
    <w:lvl w:ilvl="4" w:tplc="C1EC3712" w:tentative="1">
      <w:start w:val="1"/>
      <w:numFmt w:val="bullet"/>
      <w:lvlText w:val="o"/>
      <w:lvlJc w:val="left"/>
      <w:pPr>
        <w:ind w:left="4167" w:hanging="360"/>
      </w:pPr>
      <w:rPr>
        <w:rFonts w:ascii="Courier New" w:hAnsi="Courier New" w:cs="Courier New" w:hint="default"/>
      </w:rPr>
    </w:lvl>
    <w:lvl w:ilvl="5" w:tplc="377AC068" w:tentative="1">
      <w:start w:val="1"/>
      <w:numFmt w:val="bullet"/>
      <w:lvlText w:val=""/>
      <w:lvlJc w:val="left"/>
      <w:pPr>
        <w:ind w:left="4887" w:hanging="360"/>
      </w:pPr>
      <w:rPr>
        <w:rFonts w:ascii="Wingdings" w:hAnsi="Wingdings" w:hint="default"/>
      </w:rPr>
    </w:lvl>
    <w:lvl w:ilvl="6" w:tplc="EAA41F20" w:tentative="1">
      <w:start w:val="1"/>
      <w:numFmt w:val="bullet"/>
      <w:lvlText w:val=""/>
      <w:lvlJc w:val="left"/>
      <w:pPr>
        <w:ind w:left="5607" w:hanging="360"/>
      </w:pPr>
      <w:rPr>
        <w:rFonts w:ascii="Symbol" w:hAnsi="Symbol" w:hint="default"/>
      </w:rPr>
    </w:lvl>
    <w:lvl w:ilvl="7" w:tplc="7F4CF19A" w:tentative="1">
      <w:start w:val="1"/>
      <w:numFmt w:val="bullet"/>
      <w:lvlText w:val="o"/>
      <w:lvlJc w:val="left"/>
      <w:pPr>
        <w:ind w:left="6327" w:hanging="360"/>
      </w:pPr>
      <w:rPr>
        <w:rFonts w:ascii="Courier New" w:hAnsi="Courier New" w:cs="Courier New" w:hint="default"/>
      </w:rPr>
    </w:lvl>
    <w:lvl w:ilvl="8" w:tplc="67BC2CE2" w:tentative="1">
      <w:start w:val="1"/>
      <w:numFmt w:val="bullet"/>
      <w:lvlText w:val=""/>
      <w:lvlJc w:val="left"/>
      <w:pPr>
        <w:ind w:left="7047" w:hanging="360"/>
      </w:pPr>
      <w:rPr>
        <w:rFonts w:ascii="Wingdings" w:hAnsi="Wingdings" w:hint="default"/>
      </w:rPr>
    </w:lvl>
  </w:abstractNum>
  <w:abstractNum w:abstractNumId="37">
    <w:nsid w:val="39566096"/>
    <w:multiLevelType w:val="hybridMultilevel"/>
    <w:tmpl w:val="71961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3B2129CA"/>
    <w:multiLevelType w:val="hybridMultilevel"/>
    <w:tmpl w:val="E4DA13C4"/>
    <w:lvl w:ilvl="0" w:tplc="263422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DC57B2E"/>
    <w:multiLevelType w:val="hybridMultilevel"/>
    <w:tmpl w:val="6220FB92"/>
    <w:lvl w:ilvl="0" w:tplc="04090001">
      <w:start w:val="1"/>
      <w:numFmt w:val="bullet"/>
      <w:pStyle w:val="Bullet1"/>
      <w:lvlText w:val="-"/>
      <w:lvlJc w:val="left"/>
      <w:pPr>
        <w:ind w:left="360" w:hanging="360"/>
      </w:pPr>
      <w:rPr>
        <w:rFonts w:ascii="Arial"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3E4D3ED3"/>
    <w:multiLevelType w:val="hybridMultilevel"/>
    <w:tmpl w:val="CD3889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nsid w:val="425E490D"/>
    <w:multiLevelType w:val="hybridMultilevel"/>
    <w:tmpl w:val="921E27B6"/>
    <w:lvl w:ilvl="0" w:tplc="04090001">
      <w:start w:val="1"/>
      <w:numFmt w:val="decimal"/>
      <w:pStyle w:val="Style12"/>
      <w:lvlText w:val="%1.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2">
    <w:nsid w:val="4449569E"/>
    <w:multiLevelType w:val="hybridMultilevel"/>
    <w:tmpl w:val="68EA38F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nsid w:val="48146642"/>
    <w:multiLevelType w:val="hybridMultilevel"/>
    <w:tmpl w:val="986E4AE0"/>
    <w:lvl w:ilvl="0" w:tplc="299EF69A">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nsid w:val="48DD02B4"/>
    <w:multiLevelType w:val="hybridMultilevel"/>
    <w:tmpl w:val="E760D922"/>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5">
    <w:nsid w:val="4BAE0B31"/>
    <w:multiLevelType w:val="hybridMultilevel"/>
    <w:tmpl w:val="9A5E9AC8"/>
    <w:lvl w:ilvl="0" w:tplc="08090001">
      <w:start w:val="1"/>
      <w:numFmt w:val="upperLetter"/>
      <w:lvlText w:val="%1."/>
      <w:lvlJc w:val="left"/>
      <w:pPr>
        <w:ind w:left="927" w:hanging="360"/>
      </w:pPr>
      <w:rPr>
        <w:rFonts w:hint="default"/>
      </w:rPr>
    </w:lvl>
    <w:lvl w:ilvl="1" w:tplc="08090003" w:tentative="1">
      <w:start w:val="1"/>
      <w:numFmt w:val="lowerLetter"/>
      <w:lvlText w:val="%2."/>
      <w:lvlJc w:val="left"/>
      <w:pPr>
        <w:ind w:left="1647" w:hanging="360"/>
      </w:pPr>
    </w:lvl>
    <w:lvl w:ilvl="2" w:tplc="08090005" w:tentative="1">
      <w:start w:val="1"/>
      <w:numFmt w:val="lowerRoman"/>
      <w:lvlText w:val="%3."/>
      <w:lvlJc w:val="right"/>
      <w:pPr>
        <w:ind w:left="2367" w:hanging="180"/>
      </w:pPr>
    </w:lvl>
    <w:lvl w:ilvl="3" w:tplc="08090001" w:tentative="1">
      <w:start w:val="1"/>
      <w:numFmt w:val="decimal"/>
      <w:lvlText w:val="%4."/>
      <w:lvlJc w:val="left"/>
      <w:pPr>
        <w:ind w:left="3087" w:hanging="360"/>
      </w:pPr>
    </w:lvl>
    <w:lvl w:ilvl="4" w:tplc="08090003" w:tentative="1">
      <w:start w:val="1"/>
      <w:numFmt w:val="lowerLetter"/>
      <w:lvlText w:val="%5."/>
      <w:lvlJc w:val="left"/>
      <w:pPr>
        <w:ind w:left="3807" w:hanging="360"/>
      </w:pPr>
    </w:lvl>
    <w:lvl w:ilvl="5" w:tplc="08090005" w:tentative="1">
      <w:start w:val="1"/>
      <w:numFmt w:val="lowerRoman"/>
      <w:lvlText w:val="%6."/>
      <w:lvlJc w:val="right"/>
      <w:pPr>
        <w:ind w:left="4527" w:hanging="180"/>
      </w:pPr>
    </w:lvl>
    <w:lvl w:ilvl="6" w:tplc="08090001" w:tentative="1">
      <w:start w:val="1"/>
      <w:numFmt w:val="decimal"/>
      <w:lvlText w:val="%7."/>
      <w:lvlJc w:val="left"/>
      <w:pPr>
        <w:ind w:left="5247" w:hanging="360"/>
      </w:pPr>
    </w:lvl>
    <w:lvl w:ilvl="7" w:tplc="08090003" w:tentative="1">
      <w:start w:val="1"/>
      <w:numFmt w:val="lowerLetter"/>
      <w:lvlText w:val="%8."/>
      <w:lvlJc w:val="left"/>
      <w:pPr>
        <w:ind w:left="5967" w:hanging="360"/>
      </w:pPr>
    </w:lvl>
    <w:lvl w:ilvl="8" w:tplc="08090005" w:tentative="1">
      <w:start w:val="1"/>
      <w:numFmt w:val="lowerRoman"/>
      <w:lvlText w:val="%9."/>
      <w:lvlJc w:val="right"/>
      <w:pPr>
        <w:ind w:left="6687" w:hanging="180"/>
      </w:pPr>
    </w:lvl>
  </w:abstractNum>
  <w:abstractNum w:abstractNumId="46">
    <w:nsid w:val="4FA23CF4"/>
    <w:multiLevelType w:val="hybridMultilevel"/>
    <w:tmpl w:val="5CDCE846"/>
    <w:lvl w:ilvl="0" w:tplc="08090001">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51FE31EC"/>
    <w:multiLevelType w:val="hybridMultilevel"/>
    <w:tmpl w:val="F3209272"/>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8">
    <w:nsid w:val="54382A6B"/>
    <w:multiLevelType w:val="hybridMultilevel"/>
    <w:tmpl w:val="F8FA2710"/>
    <w:lvl w:ilvl="0" w:tplc="B962929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56A06EB8"/>
    <w:multiLevelType w:val="hybridMultilevel"/>
    <w:tmpl w:val="38ECFF5A"/>
    <w:lvl w:ilvl="0" w:tplc="04090005">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50">
    <w:nsid w:val="56DF71E7"/>
    <w:multiLevelType w:val="hybridMultilevel"/>
    <w:tmpl w:val="1BEA681C"/>
    <w:lvl w:ilvl="0" w:tplc="04090001">
      <w:start w:val="1"/>
      <w:numFmt w:val="decimal"/>
      <w:pStyle w:val="Style17"/>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1">
    <w:nsid w:val="592D5ABB"/>
    <w:multiLevelType w:val="hybridMultilevel"/>
    <w:tmpl w:val="FE3284E8"/>
    <w:lvl w:ilvl="0" w:tplc="DF403B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9C22834"/>
    <w:multiLevelType w:val="hybridMultilevel"/>
    <w:tmpl w:val="26AA8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AF06E83"/>
    <w:multiLevelType w:val="hybridMultilevel"/>
    <w:tmpl w:val="F37C773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54">
    <w:nsid w:val="5C462775"/>
    <w:multiLevelType w:val="hybridMultilevel"/>
    <w:tmpl w:val="F0768BEE"/>
    <w:lvl w:ilvl="0" w:tplc="9806A0C8">
      <w:start w:val="1"/>
      <w:numFmt w:val="lowerRoman"/>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D264C9A"/>
    <w:multiLevelType w:val="hybridMultilevel"/>
    <w:tmpl w:val="CEB46FF2"/>
    <w:lvl w:ilvl="0" w:tplc="82603CCC">
      <w:start w:val="1"/>
      <w:numFmt w:val="bullet"/>
      <w:lvlText w:val=""/>
      <w:lvlJc w:val="left"/>
      <w:pPr>
        <w:ind w:left="720" w:hanging="360"/>
      </w:pPr>
      <w:rPr>
        <w:rFonts w:ascii="Symbol" w:hAnsi="Symbol" w:hint="default"/>
      </w:rPr>
    </w:lvl>
    <w:lvl w:ilvl="1" w:tplc="D7D214FC" w:tentative="1">
      <w:start w:val="1"/>
      <w:numFmt w:val="bullet"/>
      <w:lvlText w:val="o"/>
      <w:lvlJc w:val="left"/>
      <w:pPr>
        <w:ind w:left="1440" w:hanging="360"/>
      </w:pPr>
      <w:rPr>
        <w:rFonts w:ascii="Courier New" w:hAnsi="Courier New" w:cs="Courier New" w:hint="default"/>
      </w:rPr>
    </w:lvl>
    <w:lvl w:ilvl="2" w:tplc="52A85FC0" w:tentative="1">
      <w:start w:val="1"/>
      <w:numFmt w:val="bullet"/>
      <w:lvlText w:val=""/>
      <w:lvlJc w:val="left"/>
      <w:pPr>
        <w:ind w:left="2160" w:hanging="360"/>
      </w:pPr>
      <w:rPr>
        <w:rFonts w:ascii="Wingdings" w:hAnsi="Wingdings" w:hint="default"/>
      </w:rPr>
    </w:lvl>
    <w:lvl w:ilvl="3" w:tplc="CD4ED274" w:tentative="1">
      <w:start w:val="1"/>
      <w:numFmt w:val="bullet"/>
      <w:lvlText w:val=""/>
      <w:lvlJc w:val="left"/>
      <w:pPr>
        <w:ind w:left="2880" w:hanging="360"/>
      </w:pPr>
      <w:rPr>
        <w:rFonts w:ascii="Symbol" w:hAnsi="Symbol" w:hint="default"/>
      </w:rPr>
    </w:lvl>
    <w:lvl w:ilvl="4" w:tplc="3522CA86" w:tentative="1">
      <w:start w:val="1"/>
      <w:numFmt w:val="bullet"/>
      <w:lvlText w:val="o"/>
      <w:lvlJc w:val="left"/>
      <w:pPr>
        <w:ind w:left="3600" w:hanging="360"/>
      </w:pPr>
      <w:rPr>
        <w:rFonts w:ascii="Courier New" w:hAnsi="Courier New" w:cs="Courier New" w:hint="default"/>
      </w:rPr>
    </w:lvl>
    <w:lvl w:ilvl="5" w:tplc="3104B0B2" w:tentative="1">
      <w:start w:val="1"/>
      <w:numFmt w:val="bullet"/>
      <w:lvlText w:val=""/>
      <w:lvlJc w:val="left"/>
      <w:pPr>
        <w:ind w:left="4320" w:hanging="360"/>
      </w:pPr>
      <w:rPr>
        <w:rFonts w:ascii="Wingdings" w:hAnsi="Wingdings" w:hint="default"/>
      </w:rPr>
    </w:lvl>
    <w:lvl w:ilvl="6" w:tplc="1CA43F54" w:tentative="1">
      <w:start w:val="1"/>
      <w:numFmt w:val="bullet"/>
      <w:lvlText w:val=""/>
      <w:lvlJc w:val="left"/>
      <w:pPr>
        <w:ind w:left="5040" w:hanging="360"/>
      </w:pPr>
      <w:rPr>
        <w:rFonts w:ascii="Symbol" w:hAnsi="Symbol" w:hint="default"/>
      </w:rPr>
    </w:lvl>
    <w:lvl w:ilvl="7" w:tplc="E4E02802" w:tentative="1">
      <w:start w:val="1"/>
      <w:numFmt w:val="bullet"/>
      <w:lvlText w:val="o"/>
      <w:lvlJc w:val="left"/>
      <w:pPr>
        <w:ind w:left="5760" w:hanging="360"/>
      </w:pPr>
      <w:rPr>
        <w:rFonts w:ascii="Courier New" w:hAnsi="Courier New" w:cs="Courier New" w:hint="default"/>
      </w:rPr>
    </w:lvl>
    <w:lvl w:ilvl="8" w:tplc="4B602B08" w:tentative="1">
      <w:start w:val="1"/>
      <w:numFmt w:val="bullet"/>
      <w:lvlText w:val=""/>
      <w:lvlJc w:val="left"/>
      <w:pPr>
        <w:ind w:left="6480" w:hanging="360"/>
      </w:pPr>
      <w:rPr>
        <w:rFonts w:ascii="Wingdings" w:hAnsi="Wingdings" w:hint="default"/>
      </w:rPr>
    </w:lvl>
  </w:abstractNum>
  <w:abstractNum w:abstractNumId="56">
    <w:nsid w:val="5EC61468"/>
    <w:multiLevelType w:val="hybridMultilevel"/>
    <w:tmpl w:val="3E32697C"/>
    <w:lvl w:ilvl="0" w:tplc="37366A58">
      <w:start w:val="1"/>
      <w:numFmt w:val="bullet"/>
      <w:lvlText w:val=""/>
      <w:lvlJc w:val="left"/>
      <w:pPr>
        <w:ind w:left="720" w:hanging="360"/>
      </w:pPr>
      <w:rPr>
        <w:rFonts w:ascii="Symbol" w:hAnsi="Symbol" w:hint="default"/>
      </w:rPr>
    </w:lvl>
    <w:lvl w:ilvl="1" w:tplc="50928370" w:tentative="1">
      <w:start w:val="1"/>
      <w:numFmt w:val="bullet"/>
      <w:lvlText w:val="o"/>
      <w:lvlJc w:val="left"/>
      <w:pPr>
        <w:ind w:left="1440" w:hanging="360"/>
      </w:pPr>
      <w:rPr>
        <w:rFonts w:ascii="Courier New" w:hAnsi="Courier New" w:cs="Courier New" w:hint="default"/>
      </w:rPr>
    </w:lvl>
    <w:lvl w:ilvl="2" w:tplc="FF2027E0" w:tentative="1">
      <w:start w:val="1"/>
      <w:numFmt w:val="bullet"/>
      <w:lvlText w:val=""/>
      <w:lvlJc w:val="left"/>
      <w:pPr>
        <w:ind w:left="2160" w:hanging="360"/>
      </w:pPr>
      <w:rPr>
        <w:rFonts w:ascii="Wingdings" w:hAnsi="Wingdings" w:hint="default"/>
      </w:rPr>
    </w:lvl>
    <w:lvl w:ilvl="3" w:tplc="1E087376" w:tentative="1">
      <w:start w:val="1"/>
      <w:numFmt w:val="bullet"/>
      <w:lvlText w:val=""/>
      <w:lvlJc w:val="left"/>
      <w:pPr>
        <w:ind w:left="2880" w:hanging="360"/>
      </w:pPr>
      <w:rPr>
        <w:rFonts w:ascii="Symbol" w:hAnsi="Symbol" w:hint="default"/>
      </w:rPr>
    </w:lvl>
    <w:lvl w:ilvl="4" w:tplc="14FC5AE6" w:tentative="1">
      <w:start w:val="1"/>
      <w:numFmt w:val="bullet"/>
      <w:lvlText w:val="o"/>
      <w:lvlJc w:val="left"/>
      <w:pPr>
        <w:ind w:left="3600" w:hanging="360"/>
      </w:pPr>
      <w:rPr>
        <w:rFonts w:ascii="Courier New" w:hAnsi="Courier New" w:cs="Courier New" w:hint="default"/>
      </w:rPr>
    </w:lvl>
    <w:lvl w:ilvl="5" w:tplc="A2D6896A" w:tentative="1">
      <w:start w:val="1"/>
      <w:numFmt w:val="bullet"/>
      <w:lvlText w:val=""/>
      <w:lvlJc w:val="left"/>
      <w:pPr>
        <w:ind w:left="4320" w:hanging="360"/>
      </w:pPr>
      <w:rPr>
        <w:rFonts w:ascii="Wingdings" w:hAnsi="Wingdings" w:hint="default"/>
      </w:rPr>
    </w:lvl>
    <w:lvl w:ilvl="6" w:tplc="266EAC8A" w:tentative="1">
      <w:start w:val="1"/>
      <w:numFmt w:val="bullet"/>
      <w:lvlText w:val=""/>
      <w:lvlJc w:val="left"/>
      <w:pPr>
        <w:ind w:left="5040" w:hanging="360"/>
      </w:pPr>
      <w:rPr>
        <w:rFonts w:ascii="Symbol" w:hAnsi="Symbol" w:hint="default"/>
      </w:rPr>
    </w:lvl>
    <w:lvl w:ilvl="7" w:tplc="A23420FE" w:tentative="1">
      <w:start w:val="1"/>
      <w:numFmt w:val="bullet"/>
      <w:lvlText w:val="o"/>
      <w:lvlJc w:val="left"/>
      <w:pPr>
        <w:ind w:left="5760" w:hanging="360"/>
      </w:pPr>
      <w:rPr>
        <w:rFonts w:ascii="Courier New" w:hAnsi="Courier New" w:cs="Courier New" w:hint="default"/>
      </w:rPr>
    </w:lvl>
    <w:lvl w:ilvl="8" w:tplc="1EA899F6" w:tentative="1">
      <w:start w:val="1"/>
      <w:numFmt w:val="bullet"/>
      <w:lvlText w:val=""/>
      <w:lvlJc w:val="left"/>
      <w:pPr>
        <w:ind w:left="6480" w:hanging="360"/>
      </w:pPr>
      <w:rPr>
        <w:rFonts w:ascii="Wingdings" w:hAnsi="Wingdings" w:hint="default"/>
      </w:rPr>
    </w:lvl>
  </w:abstractNum>
  <w:abstractNum w:abstractNumId="57">
    <w:nsid w:val="609878A1"/>
    <w:multiLevelType w:val="hybridMultilevel"/>
    <w:tmpl w:val="41B056F8"/>
    <w:lvl w:ilvl="0" w:tplc="C2BE97D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61FC561C"/>
    <w:multiLevelType w:val="multilevel"/>
    <w:tmpl w:val="450AE35C"/>
    <w:lvl w:ilvl="0">
      <w:start w:val="3"/>
      <w:numFmt w:val="decimal"/>
      <w:lvlText w:val="%1"/>
      <w:lvlJc w:val="left"/>
      <w:pPr>
        <w:ind w:left="525" w:hanging="525"/>
      </w:pPr>
      <w:rPr>
        <w:rFonts w:hint="default"/>
      </w:rPr>
    </w:lvl>
    <w:lvl w:ilvl="1">
      <w:start w:val="2"/>
      <w:numFmt w:val="decimal"/>
      <w:lvlText w:val="%1.%2"/>
      <w:lvlJc w:val="left"/>
      <w:pPr>
        <w:ind w:left="1215" w:hanging="525"/>
      </w:pPr>
      <w:rPr>
        <w:rFonts w:hint="default"/>
      </w:rPr>
    </w:lvl>
    <w:lvl w:ilvl="2">
      <w:start w:val="1"/>
      <w:numFmt w:val="decimal"/>
      <w:pStyle w:val="Style11"/>
      <w:lvlText w:val="%1.%2.%3"/>
      <w:lvlJc w:val="left"/>
      <w:pPr>
        <w:ind w:left="2100" w:hanging="720"/>
      </w:pPr>
      <w:rPr>
        <w:rFonts w:hint="default"/>
      </w:rPr>
    </w:lvl>
    <w:lvl w:ilvl="3">
      <w:start w:val="1"/>
      <w:numFmt w:val="decimal"/>
      <w:lvlText w:val="%1.%2.%3.%4"/>
      <w:lvlJc w:val="left"/>
      <w:pPr>
        <w:ind w:left="2790" w:hanging="720"/>
      </w:pPr>
      <w:rPr>
        <w:rFonts w:hint="default"/>
      </w:rPr>
    </w:lvl>
    <w:lvl w:ilvl="4">
      <w:start w:val="1"/>
      <w:numFmt w:val="decimal"/>
      <w:lvlText w:val="%1.%2.%3.%4.%5"/>
      <w:lvlJc w:val="left"/>
      <w:pPr>
        <w:ind w:left="3840" w:hanging="1080"/>
      </w:pPr>
      <w:rPr>
        <w:rFonts w:hint="default"/>
      </w:rPr>
    </w:lvl>
    <w:lvl w:ilvl="5">
      <w:start w:val="1"/>
      <w:numFmt w:val="decimal"/>
      <w:lvlText w:val="%1.%2.%3.%4.%5.%6"/>
      <w:lvlJc w:val="left"/>
      <w:pPr>
        <w:ind w:left="4890" w:hanging="1440"/>
      </w:pPr>
      <w:rPr>
        <w:rFonts w:hint="default"/>
      </w:rPr>
    </w:lvl>
    <w:lvl w:ilvl="6">
      <w:start w:val="1"/>
      <w:numFmt w:val="decimal"/>
      <w:lvlText w:val="%1.%2.%3.%4.%5.%6.%7"/>
      <w:lvlJc w:val="left"/>
      <w:pPr>
        <w:ind w:left="5580" w:hanging="1440"/>
      </w:pPr>
      <w:rPr>
        <w:rFonts w:hint="default"/>
      </w:rPr>
    </w:lvl>
    <w:lvl w:ilvl="7">
      <w:start w:val="1"/>
      <w:numFmt w:val="decimal"/>
      <w:lvlText w:val="%1.%2.%3.%4.%5.%6.%7.%8"/>
      <w:lvlJc w:val="left"/>
      <w:pPr>
        <w:ind w:left="6630" w:hanging="1800"/>
      </w:pPr>
      <w:rPr>
        <w:rFonts w:hint="default"/>
      </w:rPr>
    </w:lvl>
    <w:lvl w:ilvl="8">
      <w:start w:val="1"/>
      <w:numFmt w:val="decimal"/>
      <w:lvlText w:val="%1.%2.%3.%4.%5.%6.%7.%8.%9"/>
      <w:lvlJc w:val="left"/>
      <w:pPr>
        <w:ind w:left="7320" w:hanging="1800"/>
      </w:pPr>
      <w:rPr>
        <w:rFonts w:hint="default"/>
      </w:rPr>
    </w:lvl>
  </w:abstractNum>
  <w:abstractNum w:abstractNumId="59">
    <w:nsid w:val="62B92BDC"/>
    <w:multiLevelType w:val="hybridMultilevel"/>
    <w:tmpl w:val="A39C0620"/>
    <w:lvl w:ilvl="0" w:tplc="5F048E44">
      <w:start w:val="1"/>
      <w:numFmt w:val="bullet"/>
      <w:lvlText w:val=""/>
      <w:lvlJc w:val="left"/>
      <w:pPr>
        <w:ind w:left="720" w:hanging="360"/>
      </w:pPr>
      <w:rPr>
        <w:rFonts w:ascii="Symbol" w:hAnsi="Symbol" w:hint="default"/>
      </w:rPr>
    </w:lvl>
    <w:lvl w:ilvl="1" w:tplc="41EE92B4" w:tentative="1">
      <w:start w:val="1"/>
      <w:numFmt w:val="bullet"/>
      <w:lvlText w:val="o"/>
      <w:lvlJc w:val="left"/>
      <w:pPr>
        <w:ind w:left="1440" w:hanging="360"/>
      </w:pPr>
      <w:rPr>
        <w:rFonts w:ascii="Courier New" w:hAnsi="Courier New" w:cs="Courier New" w:hint="default"/>
      </w:rPr>
    </w:lvl>
    <w:lvl w:ilvl="2" w:tplc="92263134" w:tentative="1">
      <w:start w:val="1"/>
      <w:numFmt w:val="bullet"/>
      <w:lvlText w:val=""/>
      <w:lvlJc w:val="left"/>
      <w:pPr>
        <w:ind w:left="2160" w:hanging="360"/>
      </w:pPr>
      <w:rPr>
        <w:rFonts w:ascii="Wingdings" w:hAnsi="Wingdings" w:hint="default"/>
      </w:rPr>
    </w:lvl>
    <w:lvl w:ilvl="3" w:tplc="1856F20C" w:tentative="1">
      <w:start w:val="1"/>
      <w:numFmt w:val="bullet"/>
      <w:lvlText w:val=""/>
      <w:lvlJc w:val="left"/>
      <w:pPr>
        <w:ind w:left="2880" w:hanging="360"/>
      </w:pPr>
      <w:rPr>
        <w:rFonts w:ascii="Symbol" w:hAnsi="Symbol" w:hint="default"/>
      </w:rPr>
    </w:lvl>
    <w:lvl w:ilvl="4" w:tplc="5A386964" w:tentative="1">
      <w:start w:val="1"/>
      <w:numFmt w:val="bullet"/>
      <w:lvlText w:val="o"/>
      <w:lvlJc w:val="left"/>
      <w:pPr>
        <w:ind w:left="3600" w:hanging="360"/>
      </w:pPr>
      <w:rPr>
        <w:rFonts w:ascii="Courier New" w:hAnsi="Courier New" w:cs="Courier New" w:hint="default"/>
      </w:rPr>
    </w:lvl>
    <w:lvl w:ilvl="5" w:tplc="BD563602" w:tentative="1">
      <w:start w:val="1"/>
      <w:numFmt w:val="bullet"/>
      <w:lvlText w:val=""/>
      <w:lvlJc w:val="left"/>
      <w:pPr>
        <w:ind w:left="4320" w:hanging="360"/>
      </w:pPr>
      <w:rPr>
        <w:rFonts w:ascii="Wingdings" w:hAnsi="Wingdings" w:hint="default"/>
      </w:rPr>
    </w:lvl>
    <w:lvl w:ilvl="6" w:tplc="5A98E538" w:tentative="1">
      <w:start w:val="1"/>
      <w:numFmt w:val="bullet"/>
      <w:lvlText w:val=""/>
      <w:lvlJc w:val="left"/>
      <w:pPr>
        <w:ind w:left="5040" w:hanging="360"/>
      </w:pPr>
      <w:rPr>
        <w:rFonts w:ascii="Symbol" w:hAnsi="Symbol" w:hint="default"/>
      </w:rPr>
    </w:lvl>
    <w:lvl w:ilvl="7" w:tplc="52EC7E54" w:tentative="1">
      <w:start w:val="1"/>
      <w:numFmt w:val="bullet"/>
      <w:lvlText w:val="o"/>
      <w:lvlJc w:val="left"/>
      <w:pPr>
        <w:ind w:left="5760" w:hanging="360"/>
      </w:pPr>
      <w:rPr>
        <w:rFonts w:ascii="Courier New" w:hAnsi="Courier New" w:cs="Courier New" w:hint="default"/>
      </w:rPr>
    </w:lvl>
    <w:lvl w:ilvl="8" w:tplc="BAB671AA" w:tentative="1">
      <w:start w:val="1"/>
      <w:numFmt w:val="bullet"/>
      <w:lvlText w:val=""/>
      <w:lvlJc w:val="left"/>
      <w:pPr>
        <w:ind w:left="6480" w:hanging="360"/>
      </w:pPr>
      <w:rPr>
        <w:rFonts w:ascii="Wingdings" w:hAnsi="Wingdings" w:hint="default"/>
      </w:rPr>
    </w:lvl>
  </w:abstractNum>
  <w:abstractNum w:abstractNumId="60">
    <w:nsid w:val="6CCA495E"/>
    <w:multiLevelType w:val="hybridMultilevel"/>
    <w:tmpl w:val="9948CD34"/>
    <w:lvl w:ilvl="0" w:tplc="263422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D03517A"/>
    <w:multiLevelType w:val="hybridMultilevel"/>
    <w:tmpl w:val="1F52EC74"/>
    <w:lvl w:ilvl="0" w:tplc="4FE8FEC2">
      <w:start w:val="1"/>
      <w:numFmt w:val="lowerRoman"/>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62">
    <w:nsid w:val="71FE6A9E"/>
    <w:multiLevelType w:val="hybridMultilevel"/>
    <w:tmpl w:val="80DA9EB8"/>
    <w:lvl w:ilvl="0" w:tplc="D7A8FA0C">
      <w:start w:val="1"/>
      <w:numFmt w:val="lowerRoman"/>
      <w:lvlText w:val="(%1)"/>
      <w:lvlJc w:val="left"/>
      <w:pPr>
        <w:ind w:left="1287" w:hanging="720"/>
      </w:pPr>
      <w:rPr>
        <w:rFonts w:hint="default"/>
      </w:rPr>
    </w:lvl>
    <w:lvl w:ilvl="1" w:tplc="6168504A" w:tentative="1">
      <w:start w:val="1"/>
      <w:numFmt w:val="lowerLetter"/>
      <w:lvlText w:val="%2."/>
      <w:lvlJc w:val="left"/>
      <w:pPr>
        <w:ind w:left="1647" w:hanging="360"/>
      </w:pPr>
    </w:lvl>
    <w:lvl w:ilvl="2" w:tplc="75F0F77E" w:tentative="1">
      <w:start w:val="1"/>
      <w:numFmt w:val="lowerRoman"/>
      <w:lvlText w:val="%3."/>
      <w:lvlJc w:val="right"/>
      <w:pPr>
        <w:ind w:left="2367" w:hanging="180"/>
      </w:pPr>
    </w:lvl>
    <w:lvl w:ilvl="3" w:tplc="33B0721A" w:tentative="1">
      <w:start w:val="1"/>
      <w:numFmt w:val="decimal"/>
      <w:lvlText w:val="%4."/>
      <w:lvlJc w:val="left"/>
      <w:pPr>
        <w:ind w:left="3087" w:hanging="360"/>
      </w:pPr>
    </w:lvl>
    <w:lvl w:ilvl="4" w:tplc="D55A6E5C" w:tentative="1">
      <w:start w:val="1"/>
      <w:numFmt w:val="lowerLetter"/>
      <w:lvlText w:val="%5."/>
      <w:lvlJc w:val="left"/>
      <w:pPr>
        <w:ind w:left="3807" w:hanging="360"/>
      </w:pPr>
    </w:lvl>
    <w:lvl w:ilvl="5" w:tplc="4E64B872" w:tentative="1">
      <w:start w:val="1"/>
      <w:numFmt w:val="lowerRoman"/>
      <w:lvlText w:val="%6."/>
      <w:lvlJc w:val="right"/>
      <w:pPr>
        <w:ind w:left="4527" w:hanging="180"/>
      </w:pPr>
    </w:lvl>
    <w:lvl w:ilvl="6" w:tplc="A6C43ED4" w:tentative="1">
      <w:start w:val="1"/>
      <w:numFmt w:val="decimal"/>
      <w:lvlText w:val="%7."/>
      <w:lvlJc w:val="left"/>
      <w:pPr>
        <w:ind w:left="5247" w:hanging="360"/>
      </w:pPr>
    </w:lvl>
    <w:lvl w:ilvl="7" w:tplc="CA942004" w:tentative="1">
      <w:start w:val="1"/>
      <w:numFmt w:val="lowerLetter"/>
      <w:lvlText w:val="%8."/>
      <w:lvlJc w:val="left"/>
      <w:pPr>
        <w:ind w:left="5967" w:hanging="360"/>
      </w:pPr>
    </w:lvl>
    <w:lvl w:ilvl="8" w:tplc="B6960884" w:tentative="1">
      <w:start w:val="1"/>
      <w:numFmt w:val="lowerRoman"/>
      <w:lvlText w:val="%9."/>
      <w:lvlJc w:val="right"/>
      <w:pPr>
        <w:ind w:left="6687" w:hanging="180"/>
      </w:pPr>
    </w:lvl>
  </w:abstractNum>
  <w:abstractNum w:abstractNumId="63">
    <w:nsid w:val="76E638FC"/>
    <w:multiLevelType w:val="hybridMultilevel"/>
    <w:tmpl w:val="9B0A63CE"/>
    <w:lvl w:ilvl="0" w:tplc="E8C42E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0546D7"/>
    <w:multiLevelType w:val="hybridMultilevel"/>
    <w:tmpl w:val="88FA5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787451B"/>
    <w:multiLevelType w:val="hybridMultilevel"/>
    <w:tmpl w:val="C744394A"/>
    <w:lvl w:ilvl="0" w:tplc="39B65890">
      <w:start w:val="1"/>
      <w:numFmt w:val="bullet"/>
      <w:lvlText w:val=""/>
      <w:lvlJc w:val="left"/>
      <w:pPr>
        <w:ind w:left="720" w:hanging="360"/>
      </w:pPr>
      <w:rPr>
        <w:rFonts w:ascii="Symbol" w:hAnsi="Symbol" w:hint="default"/>
      </w:rPr>
    </w:lvl>
    <w:lvl w:ilvl="1" w:tplc="16E6E342">
      <w:start w:val="1"/>
      <w:numFmt w:val="bullet"/>
      <w:lvlText w:val=""/>
      <w:lvlJc w:val="left"/>
      <w:pPr>
        <w:ind w:left="1440" w:hanging="360"/>
      </w:pPr>
      <w:rPr>
        <w:rFonts w:ascii="Symbol" w:hAnsi="Symbol" w:hint="default"/>
      </w:rPr>
    </w:lvl>
    <w:lvl w:ilvl="2" w:tplc="13644B1E">
      <w:start w:val="1"/>
      <w:numFmt w:val="bullet"/>
      <w:lvlText w:val=""/>
      <w:lvlJc w:val="left"/>
      <w:pPr>
        <w:ind w:left="2160" w:hanging="360"/>
      </w:pPr>
      <w:rPr>
        <w:rFonts w:ascii="Wingdings" w:hAnsi="Wingdings" w:hint="default"/>
      </w:rPr>
    </w:lvl>
    <w:lvl w:ilvl="3" w:tplc="388C9B6A" w:tentative="1">
      <w:start w:val="1"/>
      <w:numFmt w:val="bullet"/>
      <w:lvlText w:val=""/>
      <w:lvlJc w:val="left"/>
      <w:pPr>
        <w:ind w:left="2880" w:hanging="360"/>
      </w:pPr>
      <w:rPr>
        <w:rFonts w:ascii="Symbol" w:hAnsi="Symbol" w:hint="default"/>
      </w:rPr>
    </w:lvl>
    <w:lvl w:ilvl="4" w:tplc="D60E8630" w:tentative="1">
      <w:start w:val="1"/>
      <w:numFmt w:val="bullet"/>
      <w:lvlText w:val="o"/>
      <w:lvlJc w:val="left"/>
      <w:pPr>
        <w:ind w:left="3600" w:hanging="360"/>
      </w:pPr>
      <w:rPr>
        <w:rFonts w:ascii="Courier New" w:hAnsi="Courier New" w:cs="Courier New" w:hint="default"/>
      </w:rPr>
    </w:lvl>
    <w:lvl w:ilvl="5" w:tplc="7EA4DEF2" w:tentative="1">
      <w:start w:val="1"/>
      <w:numFmt w:val="bullet"/>
      <w:lvlText w:val=""/>
      <w:lvlJc w:val="left"/>
      <w:pPr>
        <w:ind w:left="4320" w:hanging="360"/>
      </w:pPr>
      <w:rPr>
        <w:rFonts w:ascii="Wingdings" w:hAnsi="Wingdings" w:hint="default"/>
      </w:rPr>
    </w:lvl>
    <w:lvl w:ilvl="6" w:tplc="94366BE4" w:tentative="1">
      <w:start w:val="1"/>
      <w:numFmt w:val="bullet"/>
      <w:lvlText w:val=""/>
      <w:lvlJc w:val="left"/>
      <w:pPr>
        <w:ind w:left="5040" w:hanging="360"/>
      </w:pPr>
      <w:rPr>
        <w:rFonts w:ascii="Symbol" w:hAnsi="Symbol" w:hint="default"/>
      </w:rPr>
    </w:lvl>
    <w:lvl w:ilvl="7" w:tplc="94CCDA20" w:tentative="1">
      <w:start w:val="1"/>
      <w:numFmt w:val="bullet"/>
      <w:lvlText w:val="o"/>
      <w:lvlJc w:val="left"/>
      <w:pPr>
        <w:ind w:left="5760" w:hanging="360"/>
      </w:pPr>
      <w:rPr>
        <w:rFonts w:ascii="Courier New" w:hAnsi="Courier New" w:cs="Courier New" w:hint="default"/>
      </w:rPr>
    </w:lvl>
    <w:lvl w:ilvl="8" w:tplc="B9D21C8C" w:tentative="1">
      <w:start w:val="1"/>
      <w:numFmt w:val="bullet"/>
      <w:lvlText w:val=""/>
      <w:lvlJc w:val="left"/>
      <w:pPr>
        <w:ind w:left="6480" w:hanging="360"/>
      </w:pPr>
      <w:rPr>
        <w:rFonts w:ascii="Wingdings" w:hAnsi="Wingdings" w:hint="default"/>
      </w:rPr>
    </w:lvl>
  </w:abstractNum>
  <w:abstractNum w:abstractNumId="66">
    <w:nsid w:val="795B5AA3"/>
    <w:multiLevelType w:val="hybridMultilevel"/>
    <w:tmpl w:val="7A3A6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7AF139CB"/>
    <w:multiLevelType w:val="hybridMultilevel"/>
    <w:tmpl w:val="6A8C062A"/>
    <w:lvl w:ilvl="0" w:tplc="04090001">
      <w:start w:val="1"/>
      <w:numFmt w:val="bullet"/>
      <w:lvlText w:val="o"/>
      <w:lvlJc w:val="left"/>
      <w:pPr>
        <w:ind w:left="433" w:hanging="433"/>
      </w:pPr>
      <w:rPr>
        <w:rFonts w:ascii="Courier New" w:hAnsi="Courier New" w:hint="default"/>
      </w:rPr>
    </w:lvl>
    <w:lvl w:ilvl="1" w:tplc="BF000556">
      <w:start w:val="1"/>
      <w:numFmt w:val="bullet"/>
      <w:lvlText w:val=""/>
      <w:lvlJc w:val="left"/>
      <w:pPr>
        <w:ind w:left="1931" w:hanging="360"/>
      </w:pPr>
      <w:rPr>
        <w:rFonts w:ascii="Symbol" w:hAnsi="Symbol" w:hint="default"/>
      </w:rPr>
    </w:lvl>
    <w:lvl w:ilvl="2" w:tplc="04090005">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68">
    <w:nsid w:val="7F651BA3"/>
    <w:multiLevelType w:val="hybridMultilevel"/>
    <w:tmpl w:val="85FEE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18"/>
  </w:num>
  <w:num w:numId="4">
    <w:abstractNumId w:val="3"/>
  </w:num>
  <w:num w:numId="5">
    <w:abstractNumId w:val="8"/>
  </w:num>
  <w:num w:numId="6">
    <w:abstractNumId w:val="6"/>
  </w:num>
  <w:num w:numId="7">
    <w:abstractNumId w:val="5"/>
  </w:num>
  <w:num w:numId="8">
    <w:abstractNumId w:val="4"/>
  </w:num>
  <w:num w:numId="9">
    <w:abstractNumId w:val="7"/>
  </w:num>
  <w:num w:numId="10">
    <w:abstractNumId w:val="2"/>
  </w:num>
  <w:num w:numId="11">
    <w:abstractNumId w:val="1"/>
  </w:num>
  <w:num w:numId="12">
    <w:abstractNumId w:val="0"/>
  </w:num>
  <w:num w:numId="13">
    <w:abstractNumId w:val="39"/>
  </w:num>
  <w:num w:numId="14">
    <w:abstractNumId w:val="21"/>
  </w:num>
  <w:num w:numId="15">
    <w:abstractNumId w:val="29"/>
  </w:num>
  <w:num w:numId="16">
    <w:abstractNumId w:val="30"/>
  </w:num>
  <w:num w:numId="17">
    <w:abstractNumId w:val="22"/>
  </w:num>
  <w:num w:numId="18">
    <w:abstractNumId w:val="65"/>
  </w:num>
  <w:num w:numId="19">
    <w:abstractNumId w:val="64"/>
  </w:num>
  <w:num w:numId="20">
    <w:abstractNumId w:val="62"/>
  </w:num>
  <w:num w:numId="21">
    <w:abstractNumId w:val="51"/>
  </w:num>
  <w:num w:numId="22">
    <w:abstractNumId w:val="45"/>
  </w:num>
  <w:num w:numId="23">
    <w:abstractNumId w:val="58"/>
  </w:num>
  <w:num w:numId="24">
    <w:abstractNumId w:val="50"/>
  </w:num>
  <w:num w:numId="25">
    <w:abstractNumId w:val="41"/>
  </w:num>
  <w:num w:numId="2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37"/>
  </w:num>
  <w:num w:numId="29">
    <w:abstractNumId w:val="46"/>
  </w:num>
  <w:num w:numId="30">
    <w:abstractNumId w:val="9"/>
  </w:num>
  <w:num w:numId="31">
    <w:abstractNumId w:val="56"/>
  </w:num>
  <w:num w:numId="32">
    <w:abstractNumId w:val="28"/>
  </w:num>
  <w:num w:numId="33">
    <w:abstractNumId w:val="55"/>
  </w:num>
  <w:num w:numId="34">
    <w:abstractNumId w:val="16"/>
  </w:num>
  <w:num w:numId="35">
    <w:abstractNumId w:val="59"/>
  </w:num>
  <w:num w:numId="36">
    <w:abstractNumId w:val="19"/>
  </w:num>
  <w:num w:numId="37">
    <w:abstractNumId w:val="66"/>
  </w:num>
  <w:num w:numId="38">
    <w:abstractNumId w:val="27"/>
  </w:num>
  <w:num w:numId="39">
    <w:abstractNumId w:val="33"/>
  </w:num>
  <w:num w:numId="4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num>
  <w:num w:numId="49">
    <w:abstractNumId w:val="48"/>
  </w:num>
  <w:num w:numId="50">
    <w:abstractNumId w:val="68"/>
  </w:num>
  <w:num w:numId="51">
    <w:abstractNumId w:val="10"/>
  </w:num>
  <w:num w:numId="52">
    <w:abstractNumId w:val="20"/>
  </w:num>
  <w:num w:numId="53">
    <w:abstractNumId w:val="36"/>
  </w:num>
  <w:num w:numId="54">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2"/>
  </w:num>
  <w:num w:numId="56">
    <w:abstractNumId w:val="63"/>
  </w:num>
  <w:num w:numId="57">
    <w:abstractNumId w:val="54"/>
  </w:num>
  <w:num w:numId="58">
    <w:abstractNumId w:val="60"/>
  </w:num>
  <w:num w:numId="59">
    <w:abstractNumId w:val="38"/>
  </w:num>
  <w:num w:numId="60">
    <w:abstractNumId w:val="17"/>
  </w:num>
  <w:num w:numId="61">
    <w:abstractNumId w:val="31"/>
  </w:num>
  <w:num w:numId="62">
    <w:abstractNumId w:val="34"/>
  </w:num>
  <w:num w:numId="63">
    <w:abstractNumId w:val="57"/>
  </w:num>
  <w:num w:numId="64">
    <w:abstractNumId w:val="40"/>
  </w:num>
  <w:num w:numId="65">
    <w:abstractNumId w:val="67"/>
  </w:num>
  <w:num w:numId="66">
    <w:abstractNumId w:val="44"/>
  </w:num>
  <w:num w:numId="67">
    <w:abstractNumId w:val="12"/>
  </w:num>
  <w:num w:numId="68">
    <w:abstractNumId w:val="35"/>
  </w:num>
  <w:num w:numId="69">
    <w:abstractNumId w:val="26"/>
  </w:num>
  <w:num w:numId="70">
    <w:abstractNumId w:val="14"/>
    <w:lvlOverride w:ilvl="0">
      <w:startOverride w:val="5"/>
    </w:lvlOverride>
    <w:lvlOverride w:ilvl="1">
      <w:startOverride w:val="1"/>
    </w:lvlOverride>
    <w:lvlOverride w:ilvl="2">
      <w:startOverride w:val="2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
  </w:num>
  <w:num w:numId="72">
    <w:abstractNumId w:val="14"/>
  </w:num>
  <w:num w:numId="73">
    <w:abstractNumId w:val="14"/>
    <w:lvlOverride w:ilvl="0">
      <w:startOverride w:val="5"/>
    </w:lvlOverride>
    <w:lvlOverride w:ilvl="1">
      <w:startOverride w:val="1"/>
    </w:lvlOverride>
    <w:lvlOverride w:ilvl="2">
      <w:startOverride w:val="1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rawingGridHorizontalSpacing w:val="90"/>
  <w:displayHorizontalDrawingGridEvery w:val="2"/>
  <w:noPunctuationKerning/>
  <w:characterSpacingControl w:val="doNotCompress"/>
  <w:hdrShapeDefaults>
    <o:shapedefaults v:ext="edit" spidmax="99329">
      <o:colormru v:ext="edit" colors="#63c1df,#7ddc1e"/>
    </o:shapedefaults>
  </w:hdrShapeDefaults>
  <w:footnotePr>
    <w:footnote w:id="-1"/>
    <w:footnote w:id="0"/>
  </w:footnotePr>
  <w:endnotePr>
    <w:endnote w:id="-1"/>
    <w:endnote w:id="0"/>
  </w:endnotePr>
  <w:compat>
    <w:compatSetting w:name="compatibilityMode" w:uri="http://schemas.microsoft.com/office/word" w:val="12"/>
  </w:compat>
  <w:rsids>
    <w:rsidRoot w:val="00D22CE8"/>
    <w:rsid w:val="0000041C"/>
    <w:rsid w:val="00000465"/>
    <w:rsid w:val="00000908"/>
    <w:rsid w:val="000011D1"/>
    <w:rsid w:val="00001C2F"/>
    <w:rsid w:val="000023B5"/>
    <w:rsid w:val="00002DC2"/>
    <w:rsid w:val="0000353A"/>
    <w:rsid w:val="000037BB"/>
    <w:rsid w:val="00003A6E"/>
    <w:rsid w:val="00003DCF"/>
    <w:rsid w:val="00004029"/>
    <w:rsid w:val="00004657"/>
    <w:rsid w:val="00004CB9"/>
    <w:rsid w:val="00004EF9"/>
    <w:rsid w:val="00005AA0"/>
    <w:rsid w:val="00005CEE"/>
    <w:rsid w:val="00006982"/>
    <w:rsid w:val="000074C8"/>
    <w:rsid w:val="00007B9F"/>
    <w:rsid w:val="00010981"/>
    <w:rsid w:val="0001180B"/>
    <w:rsid w:val="00012FC8"/>
    <w:rsid w:val="00013B78"/>
    <w:rsid w:val="000151B9"/>
    <w:rsid w:val="000156F8"/>
    <w:rsid w:val="00015B86"/>
    <w:rsid w:val="0001625F"/>
    <w:rsid w:val="000164E2"/>
    <w:rsid w:val="00016653"/>
    <w:rsid w:val="00016C1F"/>
    <w:rsid w:val="0001754C"/>
    <w:rsid w:val="00017CA1"/>
    <w:rsid w:val="00020071"/>
    <w:rsid w:val="0002025A"/>
    <w:rsid w:val="00020CCF"/>
    <w:rsid w:val="000212E3"/>
    <w:rsid w:val="00022331"/>
    <w:rsid w:val="00022837"/>
    <w:rsid w:val="00022BD2"/>
    <w:rsid w:val="00022CB7"/>
    <w:rsid w:val="00022FFA"/>
    <w:rsid w:val="00023103"/>
    <w:rsid w:val="00023686"/>
    <w:rsid w:val="000241C8"/>
    <w:rsid w:val="0002439C"/>
    <w:rsid w:val="00024702"/>
    <w:rsid w:val="0002490A"/>
    <w:rsid w:val="000252F2"/>
    <w:rsid w:val="00025617"/>
    <w:rsid w:val="00027128"/>
    <w:rsid w:val="0002713A"/>
    <w:rsid w:val="00027169"/>
    <w:rsid w:val="000272EC"/>
    <w:rsid w:val="000279A9"/>
    <w:rsid w:val="00027D2B"/>
    <w:rsid w:val="00027D86"/>
    <w:rsid w:val="00030224"/>
    <w:rsid w:val="000302F5"/>
    <w:rsid w:val="00030794"/>
    <w:rsid w:val="00030A8B"/>
    <w:rsid w:val="00031CD2"/>
    <w:rsid w:val="00032006"/>
    <w:rsid w:val="00032890"/>
    <w:rsid w:val="00033147"/>
    <w:rsid w:val="000332E8"/>
    <w:rsid w:val="0003331C"/>
    <w:rsid w:val="00033A1B"/>
    <w:rsid w:val="0003450C"/>
    <w:rsid w:val="000345C5"/>
    <w:rsid w:val="000345D9"/>
    <w:rsid w:val="0003464C"/>
    <w:rsid w:val="00034E3E"/>
    <w:rsid w:val="00034FAE"/>
    <w:rsid w:val="0003518E"/>
    <w:rsid w:val="0003539F"/>
    <w:rsid w:val="0003590A"/>
    <w:rsid w:val="00035F29"/>
    <w:rsid w:val="00036281"/>
    <w:rsid w:val="00037E61"/>
    <w:rsid w:val="00037EB3"/>
    <w:rsid w:val="00040599"/>
    <w:rsid w:val="00040EC9"/>
    <w:rsid w:val="000423B6"/>
    <w:rsid w:val="00043373"/>
    <w:rsid w:val="000433E8"/>
    <w:rsid w:val="00043741"/>
    <w:rsid w:val="00044935"/>
    <w:rsid w:val="000449BE"/>
    <w:rsid w:val="000453B7"/>
    <w:rsid w:val="0004607D"/>
    <w:rsid w:val="00046635"/>
    <w:rsid w:val="00046C7B"/>
    <w:rsid w:val="00046D05"/>
    <w:rsid w:val="00046D7E"/>
    <w:rsid w:val="00047826"/>
    <w:rsid w:val="000502EE"/>
    <w:rsid w:val="00050585"/>
    <w:rsid w:val="00050A3F"/>
    <w:rsid w:val="00051131"/>
    <w:rsid w:val="0005170B"/>
    <w:rsid w:val="00051749"/>
    <w:rsid w:val="00051885"/>
    <w:rsid w:val="000523DE"/>
    <w:rsid w:val="0005387B"/>
    <w:rsid w:val="00053ABD"/>
    <w:rsid w:val="00053B41"/>
    <w:rsid w:val="00053C8B"/>
    <w:rsid w:val="00053D40"/>
    <w:rsid w:val="00053F44"/>
    <w:rsid w:val="00054D15"/>
    <w:rsid w:val="00055516"/>
    <w:rsid w:val="00055CD4"/>
    <w:rsid w:val="000562AC"/>
    <w:rsid w:val="00056944"/>
    <w:rsid w:val="00056D3C"/>
    <w:rsid w:val="00057AF9"/>
    <w:rsid w:val="000605FE"/>
    <w:rsid w:val="00060A0E"/>
    <w:rsid w:val="00060F63"/>
    <w:rsid w:val="00060FCB"/>
    <w:rsid w:val="00062EB2"/>
    <w:rsid w:val="00063ACB"/>
    <w:rsid w:val="00063AE8"/>
    <w:rsid w:val="0006427D"/>
    <w:rsid w:val="0006495B"/>
    <w:rsid w:val="00064A78"/>
    <w:rsid w:val="00064E2F"/>
    <w:rsid w:val="00064FFD"/>
    <w:rsid w:val="000650F4"/>
    <w:rsid w:val="00065516"/>
    <w:rsid w:val="00065A36"/>
    <w:rsid w:val="00066342"/>
    <w:rsid w:val="0006666D"/>
    <w:rsid w:val="00066A46"/>
    <w:rsid w:val="00066AA9"/>
    <w:rsid w:val="00066B8A"/>
    <w:rsid w:val="000700AC"/>
    <w:rsid w:val="00070208"/>
    <w:rsid w:val="0007037D"/>
    <w:rsid w:val="000707EB"/>
    <w:rsid w:val="00070810"/>
    <w:rsid w:val="00070986"/>
    <w:rsid w:val="00071DA8"/>
    <w:rsid w:val="000726E9"/>
    <w:rsid w:val="00072717"/>
    <w:rsid w:val="00072747"/>
    <w:rsid w:val="00072886"/>
    <w:rsid w:val="000737A8"/>
    <w:rsid w:val="000737D4"/>
    <w:rsid w:val="00073B53"/>
    <w:rsid w:val="0007448B"/>
    <w:rsid w:val="0007451C"/>
    <w:rsid w:val="0007468B"/>
    <w:rsid w:val="000746FD"/>
    <w:rsid w:val="00074766"/>
    <w:rsid w:val="00074975"/>
    <w:rsid w:val="00074BEA"/>
    <w:rsid w:val="00075FD4"/>
    <w:rsid w:val="000804DE"/>
    <w:rsid w:val="00080B8D"/>
    <w:rsid w:val="000810ED"/>
    <w:rsid w:val="00081428"/>
    <w:rsid w:val="00081C02"/>
    <w:rsid w:val="00081CCF"/>
    <w:rsid w:val="000827A3"/>
    <w:rsid w:val="00082AF7"/>
    <w:rsid w:val="00082D20"/>
    <w:rsid w:val="000839EA"/>
    <w:rsid w:val="00083A2F"/>
    <w:rsid w:val="000845C3"/>
    <w:rsid w:val="000846C9"/>
    <w:rsid w:val="00084C32"/>
    <w:rsid w:val="00084CC7"/>
    <w:rsid w:val="0008577B"/>
    <w:rsid w:val="00085EBF"/>
    <w:rsid w:val="0008647F"/>
    <w:rsid w:val="00086503"/>
    <w:rsid w:val="00086754"/>
    <w:rsid w:val="00086C0B"/>
    <w:rsid w:val="00086CA3"/>
    <w:rsid w:val="00086CFB"/>
    <w:rsid w:val="00086DB7"/>
    <w:rsid w:val="00086F4F"/>
    <w:rsid w:val="00087008"/>
    <w:rsid w:val="00090266"/>
    <w:rsid w:val="000902A7"/>
    <w:rsid w:val="000920BD"/>
    <w:rsid w:val="00092199"/>
    <w:rsid w:val="0009241B"/>
    <w:rsid w:val="00093356"/>
    <w:rsid w:val="00093F32"/>
    <w:rsid w:val="000943DD"/>
    <w:rsid w:val="000944F7"/>
    <w:rsid w:val="00095AE4"/>
    <w:rsid w:val="00096141"/>
    <w:rsid w:val="0009621B"/>
    <w:rsid w:val="0009759C"/>
    <w:rsid w:val="00097630"/>
    <w:rsid w:val="000977EE"/>
    <w:rsid w:val="00097EC1"/>
    <w:rsid w:val="000A02CA"/>
    <w:rsid w:val="000A0AC4"/>
    <w:rsid w:val="000A1C77"/>
    <w:rsid w:val="000A1CEF"/>
    <w:rsid w:val="000A1E47"/>
    <w:rsid w:val="000A2DCE"/>
    <w:rsid w:val="000A2EA7"/>
    <w:rsid w:val="000A3AD5"/>
    <w:rsid w:val="000A4357"/>
    <w:rsid w:val="000A4A25"/>
    <w:rsid w:val="000A4DA7"/>
    <w:rsid w:val="000A4EB4"/>
    <w:rsid w:val="000A5E9D"/>
    <w:rsid w:val="000A7049"/>
    <w:rsid w:val="000A739B"/>
    <w:rsid w:val="000A7981"/>
    <w:rsid w:val="000B0B75"/>
    <w:rsid w:val="000B0FF4"/>
    <w:rsid w:val="000B1610"/>
    <w:rsid w:val="000B16E3"/>
    <w:rsid w:val="000B196E"/>
    <w:rsid w:val="000B1A42"/>
    <w:rsid w:val="000B1F06"/>
    <w:rsid w:val="000B3620"/>
    <w:rsid w:val="000B3F3A"/>
    <w:rsid w:val="000B5539"/>
    <w:rsid w:val="000B686C"/>
    <w:rsid w:val="000B6899"/>
    <w:rsid w:val="000B6E92"/>
    <w:rsid w:val="000B7298"/>
    <w:rsid w:val="000B7979"/>
    <w:rsid w:val="000C190F"/>
    <w:rsid w:val="000C1E5A"/>
    <w:rsid w:val="000C263E"/>
    <w:rsid w:val="000C2FB6"/>
    <w:rsid w:val="000C328D"/>
    <w:rsid w:val="000C34E5"/>
    <w:rsid w:val="000C3A82"/>
    <w:rsid w:val="000C4055"/>
    <w:rsid w:val="000C409E"/>
    <w:rsid w:val="000C4431"/>
    <w:rsid w:val="000C4524"/>
    <w:rsid w:val="000C6316"/>
    <w:rsid w:val="000C65D4"/>
    <w:rsid w:val="000C6C14"/>
    <w:rsid w:val="000C7865"/>
    <w:rsid w:val="000D0299"/>
    <w:rsid w:val="000D03CB"/>
    <w:rsid w:val="000D0ABD"/>
    <w:rsid w:val="000D1456"/>
    <w:rsid w:val="000D1565"/>
    <w:rsid w:val="000D1732"/>
    <w:rsid w:val="000D18A1"/>
    <w:rsid w:val="000D1DDF"/>
    <w:rsid w:val="000D2790"/>
    <w:rsid w:val="000D27CD"/>
    <w:rsid w:val="000D2CC0"/>
    <w:rsid w:val="000D317C"/>
    <w:rsid w:val="000D44DC"/>
    <w:rsid w:val="000D45A4"/>
    <w:rsid w:val="000D45FB"/>
    <w:rsid w:val="000D47A7"/>
    <w:rsid w:val="000D5C6C"/>
    <w:rsid w:val="000D5F23"/>
    <w:rsid w:val="000D63BF"/>
    <w:rsid w:val="000D6F2B"/>
    <w:rsid w:val="000D76A6"/>
    <w:rsid w:val="000D775B"/>
    <w:rsid w:val="000D7A86"/>
    <w:rsid w:val="000D7B25"/>
    <w:rsid w:val="000E02F4"/>
    <w:rsid w:val="000E0793"/>
    <w:rsid w:val="000E11C3"/>
    <w:rsid w:val="000E1D94"/>
    <w:rsid w:val="000E25C8"/>
    <w:rsid w:val="000E2617"/>
    <w:rsid w:val="000E2BD3"/>
    <w:rsid w:val="000E2E37"/>
    <w:rsid w:val="000E2F4B"/>
    <w:rsid w:val="000E3F7C"/>
    <w:rsid w:val="000E42C4"/>
    <w:rsid w:val="000E42DA"/>
    <w:rsid w:val="000E47B7"/>
    <w:rsid w:val="000E4B20"/>
    <w:rsid w:val="000E5661"/>
    <w:rsid w:val="000E618C"/>
    <w:rsid w:val="000E69D4"/>
    <w:rsid w:val="000E6A9C"/>
    <w:rsid w:val="000E70C3"/>
    <w:rsid w:val="000E719E"/>
    <w:rsid w:val="000E7FA9"/>
    <w:rsid w:val="000F01AF"/>
    <w:rsid w:val="000F072D"/>
    <w:rsid w:val="000F08BB"/>
    <w:rsid w:val="000F0D6F"/>
    <w:rsid w:val="000F1991"/>
    <w:rsid w:val="000F240F"/>
    <w:rsid w:val="000F2DC6"/>
    <w:rsid w:val="000F3F60"/>
    <w:rsid w:val="000F4484"/>
    <w:rsid w:val="000F4524"/>
    <w:rsid w:val="000F4699"/>
    <w:rsid w:val="000F50C2"/>
    <w:rsid w:val="000F52C7"/>
    <w:rsid w:val="000F542D"/>
    <w:rsid w:val="000F6545"/>
    <w:rsid w:val="000F65F3"/>
    <w:rsid w:val="000F68E8"/>
    <w:rsid w:val="000F6DCA"/>
    <w:rsid w:val="000F70E4"/>
    <w:rsid w:val="000F73D3"/>
    <w:rsid w:val="000F7CED"/>
    <w:rsid w:val="000F7FA4"/>
    <w:rsid w:val="001003B6"/>
    <w:rsid w:val="00100900"/>
    <w:rsid w:val="00100C8D"/>
    <w:rsid w:val="00101D24"/>
    <w:rsid w:val="0010290A"/>
    <w:rsid w:val="00102AD3"/>
    <w:rsid w:val="001035A9"/>
    <w:rsid w:val="00103AAE"/>
    <w:rsid w:val="00103FBA"/>
    <w:rsid w:val="001040D3"/>
    <w:rsid w:val="001043D0"/>
    <w:rsid w:val="0010489E"/>
    <w:rsid w:val="001048CF"/>
    <w:rsid w:val="0010511A"/>
    <w:rsid w:val="0010645C"/>
    <w:rsid w:val="001065D4"/>
    <w:rsid w:val="00106999"/>
    <w:rsid w:val="00106F4A"/>
    <w:rsid w:val="00106FE4"/>
    <w:rsid w:val="001071D0"/>
    <w:rsid w:val="001074FA"/>
    <w:rsid w:val="00111041"/>
    <w:rsid w:val="00111080"/>
    <w:rsid w:val="001117BC"/>
    <w:rsid w:val="00111960"/>
    <w:rsid w:val="00111F33"/>
    <w:rsid w:val="0011276C"/>
    <w:rsid w:val="00113442"/>
    <w:rsid w:val="001134C7"/>
    <w:rsid w:val="001139DA"/>
    <w:rsid w:val="00113C3C"/>
    <w:rsid w:val="00114A8F"/>
    <w:rsid w:val="00115591"/>
    <w:rsid w:val="001156A0"/>
    <w:rsid w:val="00115B60"/>
    <w:rsid w:val="00116812"/>
    <w:rsid w:val="00116D03"/>
    <w:rsid w:val="00116DD6"/>
    <w:rsid w:val="00116F40"/>
    <w:rsid w:val="00117D64"/>
    <w:rsid w:val="00120389"/>
    <w:rsid w:val="001205D0"/>
    <w:rsid w:val="001206BC"/>
    <w:rsid w:val="001211EC"/>
    <w:rsid w:val="0012154E"/>
    <w:rsid w:val="00121A67"/>
    <w:rsid w:val="00121ABA"/>
    <w:rsid w:val="00121E15"/>
    <w:rsid w:val="00121EB1"/>
    <w:rsid w:val="00121FF5"/>
    <w:rsid w:val="0012211D"/>
    <w:rsid w:val="00122E05"/>
    <w:rsid w:val="001230DE"/>
    <w:rsid w:val="00123496"/>
    <w:rsid w:val="0012353B"/>
    <w:rsid w:val="0012353F"/>
    <w:rsid w:val="001237AD"/>
    <w:rsid w:val="001238D4"/>
    <w:rsid w:val="00123B45"/>
    <w:rsid w:val="00123EC2"/>
    <w:rsid w:val="0012418E"/>
    <w:rsid w:val="00124345"/>
    <w:rsid w:val="00124373"/>
    <w:rsid w:val="0012445A"/>
    <w:rsid w:val="00124639"/>
    <w:rsid w:val="0012488D"/>
    <w:rsid w:val="00124C91"/>
    <w:rsid w:val="001268CB"/>
    <w:rsid w:val="00126AB4"/>
    <w:rsid w:val="001277BA"/>
    <w:rsid w:val="00127949"/>
    <w:rsid w:val="0013006D"/>
    <w:rsid w:val="00130461"/>
    <w:rsid w:val="0013107F"/>
    <w:rsid w:val="00131640"/>
    <w:rsid w:val="001318AE"/>
    <w:rsid w:val="00131985"/>
    <w:rsid w:val="00132691"/>
    <w:rsid w:val="00132792"/>
    <w:rsid w:val="0013282C"/>
    <w:rsid w:val="00132AC0"/>
    <w:rsid w:val="00132E00"/>
    <w:rsid w:val="00132F9C"/>
    <w:rsid w:val="0013361A"/>
    <w:rsid w:val="00133845"/>
    <w:rsid w:val="00133A36"/>
    <w:rsid w:val="001341F0"/>
    <w:rsid w:val="001342A5"/>
    <w:rsid w:val="0013459C"/>
    <w:rsid w:val="00135680"/>
    <w:rsid w:val="001361AD"/>
    <w:rsid w:val="00136409"/>
    <w:rsid w:val="00136C96"/>
    <w:rsid w:val="001376F0"/>
    <w:rsid w:val="00137704"/>
    <w:rsid w:val="001379D0"/>
    <w:rsid w:val="001379DB"/>
    <w:rsid w:val="00137D3D"/>
    <w:rsid w:val="0014074E"/>
    <w:rsid w:val="00140ABE"/>
    <w:rsid w:val="00141207"/>
    <w:rsid w:val="001412A6"/>
    <w:rsid w:val="001419E9"/>
    <w:rsid w:val="00141AFC"/>
    <w:rsid w:val="001421E5"/>
    <w:rsid w:val="00142343"/>
    <w:rsid w:val="00142400"/>
    <w:rsid w:val="00142ECE"/>
    <w:rsid w:val="0014311B"/>
    <w:rsid w:val="0014352E"/>
    <w:rsid w:val="001436B5"/>
    <w:rsid w:val="001436BD"/>
    <w:rsid w:val="00144A88"/>
    <w:rsid w:val="00144AE5"/>
    <w:rsid w:val="001453E7"/>
    <w:rsid w:val="00146DA0"/>
    <w:rsid w:val="001471BE"/>
    <w:rsid w:val="00147246"/>
    <w:rsid w:val="0014753D"/>
    <w:rsid w:val="00147B0A"/>
    <w:rsid w:val="00147E34"/>
    <w:rsid w:val="001505AB"/>
    <w:rsid w:val="00150937"/>
    <w:rsid w:val="00150EF8"/>
    <w:rsid w:val="00152E53"/>
    <w:rsid w:val="00154069"/>
    <w:rsid w:val="001545D6"/>
    <w:rsid w:val="001546F4"/>
    <w:rsid w:val="001548C0"/>
    <w:rsid w:val="00154B42"/>
    <w:rsid w:val="00155154"/>
    <w:rsid w:val="0015566C"/>
    <w:rsid w:val="00156F6E"/>
    <w:rsid w:val="00157BC9"/>
    <w:rsid w:val="001605CF"/>
    <w:rsid w:val="00160730"/>
    <w:rsid w:val="0016213E"/>
    <w:rsid w:val="00163246"/>
    <w:rsid w:val="00163823"/>
    <w:rsid w:val="00163E2E"/>
    <w:rsid w:val="0016418E"/>
    <w:rsid w:val="00164618"/>
    <w:rsid w:val="001648D1"/>
    <w:rsid w:val="0016529A"/>
    <w:rsid w:val="00165378"/>
    <w:rsid w:val="001653E6"/>
    <w:rsid w:val="001662BF"/>
    <w:rsid w:val="00166499"/>
    <w:rsid w:val="00166DF9"/>
    <w:rsid w:val="00167269"/>
    <w:rsid w:val="00167E88"/>
    <w:rsid w:val="00167F0C"/>
    <w:rsid w:val="00170180"/>
    <w:rsid w:val="00170DC6"/>
    <w:rsid w:val="00171213"/>
    <w:rsid w:val="001713B7"/>
    <w:rsid w:val="00171657"/>
    <w:rsid w:val="00171C10"/>
    <w:rsid w:val="001720FA"/>
    <w:rsid w:val="00172578"/>
    <w:rsid w:val="00172B65"/>
    <w:rsid w:val="0017378C"/>
    <w:rsid w:val="00173DA9"/>
    <w:rsid w:val="0017437D"/>
    <w:rsid w:val="00174544"/>
    <w:rsid w:val="001745C6"/>
    <w:rsid w:val="0017464C"/>
    <w:rsid w:val="00175951"/>
    <w:rsid w:val="00175A23"/>
    <w:rsid w:val="00175DF9"/>
    <w:rsid w:val="00175EC1"/>
    <w:rsid w:val="001767FA"/>
    <w:rsid w:val="0017682E"/>
    <w:rsid w:val="00176D96"/>
    <w:rsid w:val="00176F08"/>
    <w:rsid w:val="001801F2"/>
    <w:rsid w:val="00180A6D"/>
    <w:rsid w:val="00180DEB"/>
    <w:rsid w:val="00181925"/>
    <w:rsid w:val="00181E57"/>
    <w:rsid w:val="001825E4"/>
    <w:rsid w:val="0018268E"/>
    <w:rsid w:val="001826CE"/>
    <w:rsid w:val="00182B59"/>
    <w:rsid w:val="00182F95"/>
    <w:rsid w:val="00183C0E"/>
    <w:rsid w:val="001847AF"/>
    <w:rsid w:val="0018508A"/>
    <w:rsid w:val="001852F7"/>
    <w:rsid w:val="001856D6"/>
    <w:rsid w:val="00185902"/>
    <w:rsid w:val="00185F7F"/>
    <w:rsid w:val="0018658C"/>
    <w:rsid w:val="00186857"/>
    <w:rsid w:val="001903F0"/>
    <w:rsid w:val="00190619"/>
    <w:rsid w:val="00190718"/>
    <w:rsid w:val="00190957"/>
    <w:rsid w:val="00190E6D"/>
    <w:rsid w:val="00191D63"/>
    <w:rsid w:val="00191E7E"/>
    <w:rsid w:val="0019351A"/>
    <w:rsid w:val="00193A63"/>
    <w:rsid w:val="00193BE2"/>
    <w:rsid w:val="00194205"/>
    <w:rsid w:val="00194879"/>
    <w:rsid w:val="00194CD7"/>
    <w:rsid w:val="00194D1C"/>
    <w:rsid w:val="00196209"/>
    <w:rsid w:val="00196465"/>
    <w:rsid w:val="0019685E"/>
    <w:rsid w:val="0019686E"/>
    <w:rsid w:val="001970D4"/>
    <w:rsid w:val="001975D9"/>
    <w:rsid w:val="001977BF"/>
    <w:rsid w:val="001A0089"/>
    <w:rsid w:val="001A0147"/>
    <w:rsid w:val="001A0485"/>
    <w:rsid w:val="001A059E"/>
    <w:rsid w:val="001A0982"/>
    <w:rsid w:val="001A1849"/>
    <w:rsid w:val="001A1BCE"/>
    <w:rsid w:val="001A2A99"/>
    <w:rsid w:val="001A2F4E"/>
    <w:rsid w:val="001A3731"/>
    <w:rsid w:val="001A376F"/>
    <w:rsid w:val="001A4CCE"/>
    <w:rsid w:val="001A4D6F"/>
    <w:rsid w:val="001A63E8"/>
    <w:rsid w:val="001A6A18"/>
    <w:rsid w:val="001B024D"/>
    <w:rsid w:val="001B0360"/>
    <w:rsid w:val="001B03D2"/>
    <w:rsid w:val="001B0EFE"/>
    <w:rsid w:val="001B115B"/>
    <w:rsid w:val="001B1396"/>
    <w:rsid w:val="001B1902"/>
    <w:rsid w:val="001B1CEB"/>
    <w:rsid w:val="001B2599"/>
    <w:rsid w:val="001B27BD"/>
    <w:rsid w:val="001B297A"/>
    <w:rsid w:val="001B333E"/>
    <w:rsid w:val="001B35C1"/>
    <w:rsid w:val="001B3735"/>
    <w:rsid w:val="001B4059"/>
    <w:rsid w:val="001B4B80"/>
    <w:rsid w:val="001B504B"/>
    <w:rsid w:val="001B5A29"/>
    <w:rsid w:val="001B68C3"/>
    <w:rsid w:val="001B6A6D"/>
    <w:rsid w:val="001B7BC7"/>
    <w:rsid w:val="001C0CEF"/>
    <w:rsid w:val="001C1121"/>
    <w:rsid w:val="001C1841"/>
    <w:rsid w:val="001C1F62"/>
    <w:rsid w:val="001C20E2"/>
    <w:rsid w:val="001C2655"/>
    <w:rsid w:val="001C2918"/>
    <w:rsid w:val="001C2CCD"/>
    <w:rsid w:val="001C39B7"/>
    <w:rsid w:val="001C3A18"/>
    <w:rsid w:val="001C3D46"/>
    <w:rsid w:val="001C4BF3"/>
    <w:rsid w:val="001C4CC7"/>
    <w:rsid w:val="001C5578"/>
    <w:rsid w:val="001C5C72"/>
    <w:rsid w:val="001C6C5F"/>
    <w:rsid w:val="001C7144"/>
    <w:rsid w:val="001C7398"/>
    <w:rsid w:val="001C75DD"/>
    <w:rsid w:val="001C76BC"/>
    <w:rsid w:val="001C7B2E"/>
    <w:rsid w:val="001D028A"/>
    <w:rsid w:val="001D09C0"/>
    <w:rsid w:val="001D09C1"/>
    <w:rsid w:val="001D0D5F"/>
    <w:rsid w:val="001D15BC"/>
    <w:rsid w:val="001D2470"/>
    <w:rsid w:val="001D2D54"/>
    <w:rsid w:val="001D31BE"/>
    <w:rsid w:val="001D33CE"/>
    <w:rsid w:val="001D3454"/>
    <w:rsid w:val="001D349F"/>
    <w:rsid w:val="001D3979"/>
    <w:rsid w:val="001D44F5"/>
    <w:rsid w:val="001D46D0"/>
    <w:rsid w:val="001D4BCC"/>
    <w:rsid w:val="001D5AE6"/>
    <w:rsid w:val="001D6657"/>
    <w:rsid w:val="001D7987"/>
    <w:rsid w:val="001D7EA6"/>
    <w:rsid w:val="001D7EB9"/>
    <w:rsid w:val="001D7F24"/>
    <w:rsid w:val="001E0A77"/>
    <w:rsid w:val="001E1503"/>
    <w:rsid w:val="001E1676"/>
    <w:rsid w:val="001E2614"/>
    <w:rsid w:val="001E2765"/>
    <w:rsid w:val="001E29DC"/>
    <w:rsid w:val="001E2B46"/>
    <w:rsid w:val="001E2D18"/>
    <w:rsid w:val="001E31AF"/>
    <w:rsid w:val="001E336B"/>
    <w:rsid w:val="001E36DF"/>
    <w:rsid w:val="001E394D"/>
    <w:rsid w:val="001E3B26"/>
    <w:rsid w:val="001E3DF6"/>
    <w:rsid w:val="001E484A"/>
    <w:rsid w:val="001E4DEA"/>
    <w:rsid w:val="001E4FE7"/>
    <w:rsid w:val="001E5191"/>
    <w:rsid w:val="001E5C63"/>
    <w:rsid w:val="001E62CD"/>
    <w:rsid w:val="001E6590"/>
    <w:rsid w:val="001E71F2"/>
    <w:rsid w:val="001E7AE4"/>
    <w:rsid w:val="001F1EDF"/>
    <w:rsid w:val="001F2194"/>
    <w:rsid w:val="001F22BE"/>
    <w:rsid w:val="001F230C"/>
    <w:rsid w:val="001F2417"/>
    <w:rsid w:val="001F3A52"/>
    <w:rsid w:val="001F3C61"/>
    <w:rsid w:val="001F3E53"/>
    <w:rsid w:val="001F440F"/>
    <w:rsid w:val="001F47C8"/>
    <w:rsid w:val="001F4A01"/>
    <w:rsid w:val="001F4E95"/>
    <w:rsid w:val="001F544B"/>
    <w:rsid w:val="001F5B4C"/>
    <w:rsid w:val="001F6315"/>
    <w:rsid w:val="001F7E6E"/>
    <w:rsid w:val="00200A40"/>
    <w:rsid w:val="00200A52"/>
    <w:rsid w:val="00201196"/>
    <w:rsid w:val="002013E4"/>
    <w:rsid w:val="00201692"/>
    <w:rsid w:val="002019E7"/>
    <w:rsid w:val="002024A2"/>
    <w:rsid w:val="00203095"/>
    <w:rsid w:val="002034ED"/>
    <w:rsid w:val="002037ED"/>
    <w:rsid w:val="00203812"/>
    <w:rsid w:val="00204050"/>
    <w:rsid w:val="00205103"/>
    <w:rsid w:val="00205860"/>
    <w:rsid w:val="0020592E"/>
    <w:rsid w:val="0020630D"/>
    <w:rsid w:val="002065E7"/>
    <w:rsid w:val="00206CFA"/>
    <w:rsid w:val="0020775D"/>
    <w:rsid w:val="00207803"/>
    <w:rsid w:val="00210053"/>
    <w:rsid w:val="00210338"/>
    <w:rsid w:val="0021037A"/>
    <w:rsid w:val="00210415"/>
    <w:rsid w:val="002105DF"/>
    <w:rsid w:val="00210B7F"/>
    <w:rsid w:val="00212A37"/>
    <w:rsid w:val="00213286"/>
    <w:rsid w:val="002136A0"/>
    <w:rsid w:val="002138FA"/>
    <w:rsid w:val="00214874"/>
    <w:rsid w:val="00214CAD"/>
    <w:rsid w:val="00215626"/>
    <w:rsid w:val="00215905"/>
    <w:rsid w:val="00215CA1"/>
    <w:rsid w:val="002168A5"/>
    <w:rsid w:val="00216BF1"/>
    <w:rsid w:val="00216E73"/>
    <w:rsid w:val="0022146E"/>
    <w:rsid w:val="00221979"/>
    <w:rsid w:val="00222A61"/>
    <w:rsid w:val="00222BD2"/>
    <w:rsid w:val="00222FA0"/>
    <w:rsid w:val="00223075"/>
    <w:rsid w:val="00223169"/>
    <w:rsid w:val="00223C15"/>
    <w:rsid w:val="00223CC4"/>
    <w:rsid w:val="00223F0B"/>
    <w:rsid w:val="00223F24"/>
    <w:rsid w:val="002240A3"/>
    <w:rsid w:val="0022412C"/>
    <w:rsid w:val="002242BC"/>
    <w:rsid w:val="00225120"/>
    <w:rsid w:val="00225605"/>
    <w:rsid w:val="00225665"/>
    <w:rsid w:val="00225CCD"/>
    <w:rsid w:val="00226206"/>
    <w:rsid w:val="002263E6"/>
    <w:rsid w:val="0022641A"/>
    <w:rsid w:val="0022690D"/>
    <w:rsid w:val="00226E62"/>
    <w:rsid w:val="0023054F"/>
    <w:rsid w:val="00230BB7"/>
    <w:rsid w:val="0023112D"/>
    <w:rsid w:val="00231585"/>
    <w:rsid w:val="002315B0"/>
    <w:rsid w:val="00231E93"/>
    <w:rsid w:val="002322C2"/>
    <w:rsid w:val="002329D1"/>
    <w:rsid w:val="00232CFA"/>
    <w:rsid w:val="00232D61"/>
    <w:rsid w:val="002336F4"/>
    <w:rsid w:val="0023429B"/>
    <w:rsid w:val="00235350"/>
    <w:rsid w:val="00235570"/>
    <w:rsid w:val="00235828"/>
    <w:rsid w:val="00235B51"/>
    <w:rsid w:val="00236348"/>
    <w:rsid w:val="002366CD"/>
    <w:rsid w:val="00240486"/>
    <w:rsid w:val="002404FC"/>
    <w:rsid w:val="00240595"/>
    <w:rsid w:val="00240F25"/>
    <w:rsid w:val="00241154"/>
    <w:rsid w:val="002411C2"/>
    <w:rsid w:val="002416B0"/>
    <w:rsid w:val="00241795"/>
    <w:rsid w:val="00241B1E"/>
    <w:rsid w:val="0024231D"/>
    <w:rsid w:val="0024411D"/>
    <w:rsid w:val="00244C85"/>
    <w:rsid w:val="00244C86"/>
    <w:rsid w:val="002459C0"/>
    <w:rsid w:val="00245A76"/>
    <w:rsid w:val="00245B19"/>
    <w:rsid w:val="002470EF"/>
    <w:rsid w:val="002477FD"/>
    <w:rsid w:val="002479D3"/>
    <w:rsid w:val="00247D6E"/>
    <w:rsid w:val="00247EED"/>
    <w:rsid w:val="002501F2"/>
    <w:rsid w:val="00250781"/>
    <w:rsid w:val="00250816"/>
    <w:rsid w:val="002510D7"/>
    <w:rsid w:val="002511D5"/>
    <w:rsid w:val="0025252B"/>
    <w:rsid w:val="00252A98"/>
    <w:rsid w:val="00253BF4"/>
    <w:rsid w:val="00253F7F"/>
    <w:rsid w:val="0025424A"/>
    <w:rsid w:val="00254269"/>
    <w:rsid w:val="00254D82"/>
    <w:rsid w:val="0025558C"/>
    <w:rsid w:val="00255661"/>
    <w:rsid w:val="002556BC"/>
    <w:rsid w:val="00255DCD"/>
    <w:rsid w:val="00256433"/>
    <w:rsid w:val="00256A8F"/>
    <w:rsid w:val="00256FF3"/>
    <w:rsid w:val="00257237"/>
    <w:rsid w:val="00257C2C"/>
    <w:rsid w:val="00260470"/>
    <w:rsid w:val="00260E44"/>
    <w:rsid w:val="00260FE4"/>
    <w:rsid w:val="00262078"/>
    <w:rsid w:val="00262136"/>
    <w:rsid w:val="00262E21"/>
    <w:rsid w:val="002630EE"/>
    <w:rsid w:val="00263449"/>
    <w:rsid w:val="002637B3"/>
    <w:rsid w:val="00263AD6"/>
    <w:rsid w:val="00264CEB"/>
    <w:rsid w:val="002652C4"/>
    <w:rsid w:val="0026608D"/>
    <w:rsid w:val="00266302"/>
    <w:rsid w:val="00266A60"/>
    <w:rsid w:val="00267220"/>
    <w:rsid w:val="00267AC7"/>
    <w:rsid w:val="002703F1"/>
    <w:rsid w:val="0027078F"/>
    <w:rsid w:val="00270E2C"/>
    <w:rsid w:val="0027124E"/>
    <w:rsid w:val="0027145E"/>
    <w:rsid w:val="00271570"/>
    <w:rsid w:val="00271B61"/>
    <w:rsid w:val="00272142"/>
    <w:rsid w:val="00272760"/>
    <w:rsid w:val="002728ED"/>
    <w:rsid w:val="002729EE"/>
    <w:rsid w:val="00272BA3"/>
    <w:rsid w:val="00272C34"/>
    <w:rsid w:val="00272D3B"/>
    <w:rsid w:val="00272D61"/>
    <w:rsid w:val="00272E17"/>
    <w:rsid w:val="002730AB"/>
    <w:rsid w:val="002733FD"/>
    <w:rsid w:val="00273F89"/>
    <w:rsid w:val="0027613D"/>
    <w:rsid w:val="0027621E"/>
    <w:rsid w:val="0027740F"/>
    <w:rsid w:val="002776D2"/>
    <w:rsid w:val="00277C1F"/>
    <w:rsid w:val="00277DCC"/>
    <w:rsid w:val="00277DD7"/>
    <w:rsid w:val="00280968"/>
    <w:rsid w:val="00281A1E"/>
    <w:rsid w:val="002826D3"/>
    <w:rsid w:val="00282864"/>
    <w:rsid w:val="002838E5"/>
    <w:rsid w:val="00283C25"/>
    <w:rsid w:val="00284366"/>
    <w:rsid w:val="0028436A"/>
    <w:rsid w:val="00284926"/>
    <w:rsid w:val="00284D05"/>
    <w:rsid w:val="00284E6D"/>
    <w:rsid w:val="002852F5"/>
    <w:rsid w:val="002855CE"/>
    <w:rsid w:val="00285F07"/>
    <w:rsid w:val="0028648A"/>
    <w:rsid w:val="00286521"/>
    <w:rsid w:val="002867A1"/>
    <w:rsid w:val="00286E6F"/>
    <w:rsid w:val="0028776E"/>
    <w:rsid w:val="00287B9C"/>
    <w:rsid w:val="00290447"/>
    <w:rsid w:val="00290E00"/>
    <w:rsid w:val="00291402"/>
    <w:rsid w:val="0029257A"/>
    <w:rsid w:val="00292AD5"/>
    <w:rsid w:val="00292E1E"/>
    <w:rsid w:val="00293D44"/>
    <w:rsid w:val="0029469F"/>
    <w:rsid w:val="002946F5"/>
    <w:rsid w:val="00294BD0"/>
    <w:rsid w:val="00296A4C"/>
    <w:rsid w:val="002977BE"/>
    <w:rsid w:val="00297D1E"/>
    <w:rsid w:val="00297DB5"/>
    <w:rsid w:val="002A01A2"/>
    <w:rsid w:val="002A041E"/>
    <w:rsid w:val="002A04DF"/>
    <w:rsid w:val="002A050B"/>
    <w:rsid w:val="002A0510"/>
    <w:rsid w:val="002A06A8"/>
    <w:rsid w:val="002A1911"/>
    <w:rsid w:val="002A193F"/>
    <w:rsid w:val="002A2DE9"/>
    <w:rsid w:val="002A3F02"/>
    <w:rsid w:val="002A4010"/>
    <w:rsid w:val="002A469F"/>
    <w:rsid w:val="002A53CA"/>
    <w:rsid w:val="002A57D0"/>
    <w:rsid w:val="002A5845"/>
    <w:rsid w:val="002A5C7B"/>
    <w:rsid w:val="002A6045"/>
    <w:rsid w:val="002A634C"/>
    <w:rsid w:val="002A6678"/>
    <w:rsid w:val="002A6723"/>
    <w:rsid w:val="002A71E7"/>
    <w:rsid w:val="002A7286"/>
    <w:rsid w:val="002A74AB"/>
    <w:rsid w:val="002A74F7"/>
    <w:rsid w:val="002A7F5B"/>
    <w:rsid w:val="002B0C91"/>
    <w:rsid w:val="002B1649"/>
    <w:rsid w:val="002B1841"/>
    <w:rsid w:val="002B1857"/>
    <w:rsid w:val="002B18DC"/>
    <w:rsid w:val="002B1FF1"/>
    <w:rsid w:val="002B2600"/>
    <w:rsid w:val="002B3187"/>
    <w:rsid w:val="002B3319"/>
    <w:rsid w:val="002B3B68"/>
    <w:rsid w:val="002B3E78"/>
    <w:rsid w:val="002B545A"/>
    <w:rsid w:val="002B5808"/>
    <w:rsid w:val="002B639D"/>
    <w:rsid w:val="002B687F"/>
    <w:rsid w:val="002B6DD0"/>
    <w:rsid w:val="002B7120"/>
    <w:rsid w:val="002B762C"/>
    <w:rsid w:val="002B7908"/>
    <w:rsid w:val="002B7CE7"/>
    <w:rsid w:val="002B7D36"/>
    <w:rsid w:val="002B7E09"/>
    <w:rsid w:val="002B7EC5"/>
    <w:rsid w:val="002C0114"/>
    <w:rsid w:val="002C0B41"/>
    <w:rsid w:val="002C0CE5"/>
    <w:rsid w:val="002C2AA2"/>
    <w:rsid w:val="002C2B37"/>
    <w:rsid w:val="002C3056"/>
    <w:rsid w:val="002C3338"/>
    <w:rsid w:val="002C33B7"/>
    <w:rsid w:val="002C34D9"/>
    <w:rsid w:val="002C367D"/>
    <w:rsid w:val="002C3833"/>
    <w:rsid w:val="002C3953"/>
    <w:rsid w:val="002C3970"/>
    <w:rsid w:val="002C4A8E"/>
    <w:rsid w:val="002C4FDB"/>
    <w:rsid w:val="002C5788"/>
    <w:rsid w:val="002C5CE9"/>
    <w:rsid w:val="002C5D60"/>
    <w:rsid w:val="002C6C9A"/>
    <w:rsid w:val="002C6C9D"/>
    <w:rsid w:val="002C70B8"/>
    <w:rsid w:val="002C70CC"/>
    <w:rsid w:val="002C7D88"/>
    <w:rsid w:val="002D0305"/>
    <w:rsid w:val="002D0546"/>
    <w:rsid w:val="002D1041"/>
    <w:rsid w:val="002D1042"/>
    <w:rsid w:val="002D1963"/>
    <w:rsid w:val="002D1B0D"/>
    <w:rsid w:val="002D1BC4"/>
    <w:rsid w:val="002D1EE3"/>
    <w:rsid w:val="002D28BA"/>
    <w:rsid w:val="002D2F5B"/>
    <w:rsid w:val="002D30EF"/>
    <w:rsid w:val="002D379C"/>
    <w:rsid w:val="002D3A8A"/>
    <w:rsid w:val="002D6371"/>
    <w:rsid w:val="002D663D"/>
    <w:rsid w:val="002D6A09"/>
    <w:rsid w:val="002D72B7"/>
    <w:rsid w:val="002D730F"/>
    <w:rsid w:val="002D76C2"/>
    <w:rsid w:val="002D79FA"/>
    <w:rsid w:val="002E05E9"/>
    <w:rsid w:val="002E0CDF"/>
    <w:rsid w:val="002E0D31"/>
    <w:rsid w:val="002E13F4"/>
    <w:rsid w:val="002E184F"/>
    <w:rsid w:val="002E1D60"/>
    <w:rsid w:val="002E2017"/>
    <w:rsid w:val="002E20B4"/>
    <w:rsid w:val="002E263A"/>
    <w:rsid w:val="002E26EE"/>
    <w:rsid w:val="002E2FF1"/>
    <w:rsid w:val="002E31B4"/>
    <w:rsid w:val="002E32EE"/>
    <w:rsid w:val="002E3429"/>
    <w:rsid w:val="002E35DA"/>
    <w:rsid w:val="002E4530"/>
    <w:rsid w:val="002E4795"/>
    <w:rsid w:val="002E4E54"/>
    <w:rsid w:val="002E563A"/>
    <w:rsid w:val="002E5ACA"/>
    <w:rsid w:val="002E5C1C"/>
    <w:rsid w:val="002E699C"/>
    <w:rsid w:val="002E6B50"/>
    <w:rsid w:val="002E71BD"/>
    <w:rsid w:val="002E71C8"/>
    <w:rsid w:val="002E7403"/>
    <w:rsid w:val="002E7698"/>
    <w:rsid w:val="002E774B"/>
    <w:rsid w:val="002E7D4A"/>
    <w:rsid w:val="002E7EBF"/>
    <w:rsid w:val="002F030B"/>
    <w:rsid w:val="002F091A"/>
    <w:rsid w:val="002F1C65"/>
    <w:rsid w:val="002F1F3A"/>
    <w:rsid w:val="002F26C2"/>
    <w:rsid w:val="002F2AF3"/>
    <w:rsid w:val="002F3431"/>
    <w:rsid w:val="002F36A1"/>
    <w:rsid w:val="002F4995"/>
    <w:rsid w:val="002F503C"/>
    <w:rsid w:val="002F55C6"/>
    <w:rsid w:val="002F5BAD"/>
    <w:rsid w:val="002F764E"/>
    <w:rsid w:val="002F770C"/>
    <w:rsid w:val="002F77BE"/>
    <w:rsid w:val="002F7A08"/>
    <w:rsid w:val="002F7D00"/>
    <w:rsid w:val="002F7F63"/>
    <w:rsid w:val="0030005E"/>
    <w:rsid w:val="0030011B"/>
    <w:rsid w:val="0030066D"/>
    <w:rsid w:val="00301134"/>
    <w:rsid w:val="0030172E"/>
    <w:rsid w:val="00301B10"/>
    <w:rsid w:val="0030267E"/>
    <w:rsid w:val="00302D11"/>
    <w:rsid w:val="00303183"/>
    <w:rsid w:val="00303233"/>
    <w:rsid w:val="00303455"/>
    <w:rsid w:val="00303623"/>
    <w:rsid w:val="00303828"/>
    <w:rsid w:val="00303832"/>
    <w:rsid w:val="00303FD1"/>
    <w:rsid w:val="00305009"/>
    <w:rsid w:val="00305B03"/>
    <w:rsid w:val="00310063"/>
    <w:rsid w:val="0031034E"/>
    <w:rsid w:val="0031044F"/>
    <w:rsid w:val="003104E3"/>
    <w:rsid w:val="00310DFD"/>
    <w:rsid w:val="00311396"/>
    <w:rsid w:val="00311808"/>
    <w:rsid w:val="00312144"/>
    <w:rsid w:val="0031259B"/>
    <w:rsid w:val="00312F7F"/>
    <w:rsid w:val="0031304F"/>
    <w:rsid w:val="0031338C"/>
    <w:rsid w:val="00313BD8"/>
    <w:rsid w:val="00313EA2"/>
    <w:rsid w:val="00314167"/>
    <w:rsid w:val="003148A3"/>
    <w:rsid w:val="003148E7"/>
    <w:rsid w:val="00315F71"/>
    <w:rsid w:val="003161B2"/>
    <w:rsid w:val="003162EF"/>
    <w:rsid w:val="00316532"/>
    <w:rsid w:val="003175C1"/>
    <w:rsid w:val="00317B8B"/>
    <w:rsid w:val="00320C09"/>
    <w:rsid w:val="00321173"/>
    <w:rsid w:val="0032155A"/>
    <w:rsid w:val="003215F1"/>
    <w:rsid w:val="00321EDB"/>
    <w:rsid w:val="0032295C"/>
    <w:rsid w:val="00322F3B"/>
    <w:rsid w:val="003235B6"/>
    <w:rsid w:val="00323A13"/>
    <w:rsid w:val="00323A92"/>
    <w:rsid w:val="003256E4"/>
    <w:rsid w:val="003259E9"/>
    <w:rsid w:val="00326A45"/>
    <w:rsid w:val="00326C79"/>
    <w:rsid w:val="00327319"/>
    <w:rsid w:val="00327570"/>
    <w:rsid w:val="00327582"/>
    <w:rsid w:val="00327878"/>
    <w:rsid w:val="00327F59"/>
    <w:rsid w:val="0033030A"/>
    <w:rsid w:val="003308A6"/>
    <w:rsid w:val="00330B28"/>
    <w:rsid w:val="00330C80"/>
    <w:rsid w:val="003310EB"/>
    <w:rsid w:val="00331249"/>
    <w:rsid w:val="003315B1"/>
    <w:rsid w:val="00332B5A"/>
    <w:rsid w:val="003330AA"/>
    <w:rsid w:val="00333E11"/>
    <w:rsid w:val="00334277"/>
    <w:rsid w:val="003347FD"/>
    <w:rsid w:val="003352CB"/>
    <w:rsid w:val="003354AD"/>
    <w:rsid w:val="003357DC"/>
    <w:rsid w:val="0033648A"/>
    <w:rsid w:val="00336E6E"/>
    <w:rsid w:val="0033767F"/>
    <w:rsid w:val="00337F98"/>
    <w:rsid w:val="00340A5C"/>
    <w:rsid w:val="00340DCD"/>
    <w:rsid w:val="003413CA"/>
    <w:rsid w:val="0034152B"/>
    <w:rsid w:val="0034199D"/>
    <w:rsid w:val="003420D8"/>
    <w:rsid w:val="003421B2"/>
    <w:rsid w:val="003427B6"/>
    <w:rsid w:val="00342E97"/>
    <w:rsid w:val="0034424A"/>
    <w:rsid w:val="003442D3"/>
    <w:rsid w:val="00344435"/>
    <w:rsid w:val="0034461D"/>
    <w:rsid w:val="0034469D"/>
    <w:rsid w:val="00344A82"/>
    <w:rsid w:val="00346551"/>
    <w:rsid w:val="00346877"/>
    <w:rsid w:val="00346BF2"/>
    <w:rsid w:val="00347503"/>
    <w:rsid w:val="003475A5"/>
    <w:rsid w:val="00347654"/>
    <w:rsid w:val="0034768B"/>
    <w:rsid w:val="003477EF"/>
    <w:rsid w:val="00347B2F"/>
    <w:rsid w:val="00350633"/>
    <w:rsid w:val="003509CC"/>
    <w:rsid w:val="00351437"/>
    <w:rsid w:val="003517A9"/>
    <w:rsid w:val="00352183"/>
    <w:rsid w:val="00353100"/>
    <w:rsid w:val="00353F3F"/>
    <w:rsid w:val="003541CA"/>
    <w:rsid w:val="00354F41"/>
    <w:rsid w:val="00355254"/>
    <w:rsid w:val="003556E7"/>
    <w:rsid w:val="00355B5F"/>
    <w:rsid w:val="00355BF6"/>
    <w:rsid w:val="003565E9"/>
    <w:rsid w:val="003575B9"/>
    <w:rsid w:val="003576AB"/>
    <w:rsid w:val="003603F2"/>
    <w:rsid w:val="0036061E"/>
    <w:rsid w:val="003607DF"/>
    <w:rsid w:val="00360AD7"/>
    <w:rsid w:val="00360D3E"/>
    <w:rsid w:val="00360E6A"/>
    <w:rsid w:val="00360FD7"/>
    <w:rsid w:val="00360FFF"/>
    <w:rsid w:val="00361407"/>
    <w:rsid w:val="00361844"/>
    <w:rsid w:val="00362172"/>
    <w:rsid w:val="0036322C"/>
    <w:rsid w:val="003634F2"/>
    <w:rsid w:val="00363565"/>
    <w:rsid w:val="00363B39"/>
    <w:rsid w:val="0036441D"/>
    <w:rsid w:val="00364AFA"/>
    <w:rsid w:val="00364CAD"/>
    <w:rsid w:val="00365B17"/>
    <w:rsid w:val="003661D6"/>
    <w:rsid w:val="00366AFD"/>
    <w:rsid w:val="00366DC8"/>
    <w:rsid w:val="003675AC"/>
    <w:rsid w:val="00367B9F"/>
    <w:rsid w:val="00367BDF"/>
    <w:rsid w:val="00370481"/>
    <w:rsid w:val="00371B2E"/>
    <w:rsid w:val="003725E3"/>
    <w:rsid w:val="00372713"/>
    <w:rsid w:val="00372C44"/>
    <w:rsid w:val="00373204"/>
    <w:rsid w:val="00373269"/>
    <w:rsid w:val="00374011"/>
    <w:rsid w:val="00374BE7"/>
    <w:rsid w:val="00374E41"/>
    <w:rsid w:val="0037599B"/>
    <w:rsid w:val="003759FB"/>
    <w:rsid w:val="00375ECE"/>
    <w:rsid w:val="00376DAB"/>
    <w:rsid w:val="003772BF"/>
    <w:rsid w:val="00377D02"/>
    <w:rsid w:val="00380098"/>
    <w:rsid w:val="00380C72"/>
    <w:rsid w:val="00381514"/>
    <w:rsid w:val="0038165B"/>
    <w:rsid w:val="003817CD"/>
    <w:rsid w:val="00381A2B"/>
    <w:rsid w:val="00382E09"/>
    <w:rsid w:val="00383CA3"/>
    <w:rsid w:val="00383DAB"/>
    <w:rsid w:val="003843BB"/>
    <w:rsid w:val="00384C5F"/>
    <w:rsid w:val="00384E90"/>
    <w:rsid w:val="003850BC"/>
    <w:rsid w:val="00386174"/>
    <w:rsid w:val="00386573"/>
    <w:rsid w:val="003867C1"/>
    <w:rsid w:val="00387697"/>
    <w:rsid w:val="00387777"/>
    <w:rsid w:val="00387B23"/>
    <w:rsid w:val="00387ECD"/>
    <w:rsid w:val="00390494"/>
    <w:rsid w:val="00390719"/>
    <w:rsid w:val="00390825"/>
    <w:rsid w:val="00390991"/>
    <w:rsid w:val="003918B3"/>
    <w:rsid w:val="00391A14"/>
    <w:rsid w:val="0039274F"/>
    <w:rsid w:val="00392D69"/>
    <w:rsid w:val="00393122"/>
    <w:rsid w:val="00393746"/>
    <w:rsid w:val="003939CB"/>
    <w:rsid w:val="00393CF4"/>
    <w:rsid w:val="003944FB"/>
    <w:rsid w:val="00394543"/>
    <w:rsid w:val="003950F6"/>
    <w:rsid w:val="0039518E"/>
    <w:rsid w:val="00395199"/>
    <w:rsid w:val="00395569"/>
    <w:rsid w:val="00395A9E"/>
    <w:rsid w:val="00396790"/>
    <w:rsid w:val="00396FAD"/>
    <w:rsid w:val="00397991"/>
    <w:rsid w:val="00397A7F"/>
    <w:rsid w:val="003A1128"/>
    <w:rsid w:val="003A1229"/>
    <w:rsid w:val="003A17CF"/>
    <w:rsid w:val="003A1A16"/>
    <w:rsid w:val="003A1CC0"/>
    <w:rsid w:val="003A307F"/>
    <w:rsid w:val="003A33B0"/>
    <w:rsid w:val="003A37B4"/>
    <w:rsid w:val="003A4143"/>
    <w:rsid w:val="003A4C26"/>
    <w:rsid w:val="003A4CC1"/>
    <w:rsid w:val="003A54E1"/>
    <w:rsid w:val="003A5765"/>
    <w:rsid w:val="003A59F6"/>
    <w:rsid w:val="003A5F05"/>
    <w:rsid w:val="003A6B41"/>
    <w:rsid w:val="003A6FC1"/>
    <w:rsid w:val="003A7283"/>
    <w:rsid w:val="003A7D54"/>
    <w:rsid w:val="003B0A53"/>
    <w:rsid w:val="003B0C8C"/>
    <w:rsid w:val="003B1A80"/>
    <w:rsid w:val="003B1AAE"/>
    <w:rsid w:val="003B207B"/>
    <w:rsid w:val="003B21C2"/>
    <w:rsid w:val="003B252B"/>
    <w:rsid w:val="003B3044"/>
    <w:rsid w:val="003B3092"/>
    <w:rsid w:val="003B39A9"/>
    <w:rsid w:val="003B3F8F"/>
    <w:rsid w:val="003B43C6"/>
    <w:rsid w:val="003B4C34"/>
    <w:rsid w:val="003B4D12"/>
    <w:rsid w:val="003B50F0"/>
    <w:rsid w:val="003B5193"/>
    <w:rsid w:val="003B56CF"/>
    <w:rsid w:val="003B5BB6"/>
    <w:rsid w:val="003B5DAA"/>
    <w:rsid w:val="003B6B60"/>
    <w:rsid w:val="003B6DBC"/>
    <w:rsid w:val="003B6F28"/>
    <w:rsid w:val="003B791F"/>
    <w:rsid w:val="003C12FC"/>
    <w:rsid w:val="003C1E12"/>
    <w:rsid w:val="003C249B"/>
    <w:rsid w:val="003C2CC1"/>
    <w:rsid w:val="003C2E38"/>
    <w:rsid w:val="003C2EF2"/>
    <w:rsid w:val="003C308B"/>
    <w:rsid w:val="003C3330"/>
    <w:rsid w:val="003C3757"/>
    <w:rsid w:val="003C3934"/>
    <w:rsid w:val="003C43AD"/>
    <w:rsid w:val="003C43EE"/>
    <w:rsid w:val="003C4E37"/>
    <w:rsid w:val="003C527C"/>
    <w:rsid w:val="003C5CBD"/>
    <w:rsid w:val="003C5CF6"/>
    <w:rsid w:val="003C5D9B"/>
    <w:rsid w:val="003C5E78"/>
    <w:rsid w:val="003C6345"/>
    <w:rsid w:val="003C6797"/>
    <w:rsid w:val="003C68E3"/>
    <w:rsid w:val="003C699F"/>
    <w:rsid w:val="003C6A8E"/>
    <w:rsid w:val="003C6AC4"/>
    <w:rsid w:val="003C6C1B"/>
    <w:rsid w:val="003C716A"/>
    <w:rsid w:val="003C7479"/>
    <w:rsid w:val="003C7C59"/>
    <w:rsid w:val="003C7E01"/>
    <w:rsid w:val="003C7FC8"/>
    <w:rsid w:val="003C7FCD"/>
    <w:rsid w:val="003D0494"/>
    <w:rsid w:val="003D0553"/>
    <w:rsid w:val="003D065E"/>
    <w:rsid w:val="003D08F3"/>
    <w:rsid w:val="003D0BEA"/>
    <w:rsid w:val="003D0F1E"/>
    <w:rsid w:val="003D12B2"/>
    <w:rsid w:val="003D1697"/>
    <w:rsid w:val="003D16DD"/>
    <w:rsid w:val="003D186D"/>
    <w:rsid w:val="003D22EE"/>
    <w:rsid w:val="003D3762"/>
    <w:rsid w:val="003D3DA5"/>
    <w:rsid w:val="003D4307"/>
    <w:rsid w:val="003D4E3C"/>
    <w:rsid w:val="003D4FBF"/>
    <w:rsid w:val="003D549D"/>
    <w:rsid w:val="003D5B03"/>
    <w:rsid w:val="003D5E0C"/>
    <w:rsid w:val="003D7077"/>
    <w:rsid w:val="003D71AD"/>
    <w:rsid w:val="003D7939"/>
    <w:rsid w:val="003D7B22"/>
    <w:rsid w:val="003D7CD6"/>
    <w:rsid w:val="003D7D8C"/>
    <w:rsid w:val="003E0038"/>
    <w:rsid w:val="003E00EE"/>
    <w:rsid w:val="003E19AF"/>
    <w:rsid w:val="003E2BA9"/>
    <w:rsid w:val="003E3675"/>
    <w:rsid w:val="003E3B6E"/>
    <w:rsid w:val="003E4375"/>
    <w:rsid w:val="003E4A22"/>
    <w:rsid w:val="003E4B2D"/>
    <w:rsid w:val="003E4FB7"/>
    <w:rsid w:val="003E5FDA"/>
    <w:rsid w:val="003E6226"/>
    <w:rsid w:val="003E70FA"/>
    <w:rsid w:val="003E7139"/>
    <w:rsid w:val="003E7511"/>
    <w:rsid w:val="003E78A0"/>
    <w:rsid w:val="003E7929"/>
    <w:rsid w:val="003E7ADF"/>
    <w:rsid w:val="003F0BCC"/>
    <w:rsid w:val="003F13DA"/>
    <w:rsid w:val="003F150B"/>
    <w:rsid w:val="003F19AF"/>
    <w:rsid w:val="003F1A56"/>
    <w:rsid w:val="003F2776"/>
    <w:rsid w:val="003F353F"/>
    <w:rsid w:val="003F3FC5"/>
    <w:rsid w:val="003F5046"/>
    <w:rsid w:val="003F5FCA"/>
    <w:rsid w:val="003F63E3"/>
    <w:rsid w:val="003F6741"/>
    <w:rsid w:val="003F6F63"/>
    <w:rsid w:val="003F734D"/>
    <w:rsid w:val="003F7896"/>
    <w:rsid w:val="003F7B82"/>
    <w:rsid w:val="003F7E10"/>
    <w:rsid w:val="003F7F35"/>
    <w:rsid w:val="004000F4"/>
    <w:rsid w:val="00400615"/>
    <w:rsid w:val="004009E6"/>
    <w:rsid w:val="0040102A"/>
    <w:rsid w:val="004016D7"/>
    <w:rsid w:val="004016EB"/>
    <w:rsid w:val="004017C9"/>
    <w:rsid w:val="00401D53"/>
    <w:rsid w:val="00402204"/>
    <w:rsid w:val="00402444"/>
    <w:rsid w:val="00402592"/>
    <w:rsid w:val="00402992"/>
    <w:rsid w:val="00403290"/>
    <w:rsid w:val="004035E5"/>
    <w:rsid w:val="00403B46"/>
    <w:rsid w:val="004044F4"/>
    <w:rsid w:val="00404523"/>
    <w:rsid w:val="00405EBE"/>
    <w:rsid w:val="00405F7C"/>
    <w:rsid w:val="00407EFB"/>
    <w:rsid w:val="00410866"/>
    <w:rsid w:val="004116C8"/>
    <w:rsid w:val="00411717"/>
    <w:rsid w:val="00411A85"/>
    <w:rsid w:val="00411BD2"/>
    <w:rsid w:val="00411FC4"/>
    <w:rsid w:val="00412A60"/>
    <w:rsid w:val="00413367"/>
    <w:rsid w:val="00413CBF"/>
    <w:rsid w:val="004145CB"/>
    <w:rsid w:val="00414827"/>
    <w:rsid w:val="00414E98"/>
    <w:rsid w:val="00414F2D"/>
    <w:rsid w:val="00414F60"/>
    <w:rsid w:val="00414F6D"/>
    <w:rsid w:val="00415C83"/>
    <w:rsid w:val="00416248"/>
    <w:rsid w:val="004166FF"/>
    <w:rsid w:val="00416C1D"/>
    <w:rsid w:val="00416FCD"/>
    <w:rsid w:val="00417187"/>
    <w:rsid w:val="00417B66"/>
    <w:rsid w:val="00417BE7"/>
    <w:rsid w:val="00417D23"/>
    <w:rsid w:val="004210A9"/>
    <w:rsid w:val="00421897"/>
    <w:rsid w:val="00422803"/>
    <w:rsid w:val="00422C66"/>
    <w:rsid w:val="00423CB4"/>
    <w:rsid w:val="00424440"/>
    <w:rsid w:val="00424A1E"/>
    <w:rsid w:val="00424AE3"/>
    <w:rsid w:val="00426039"/>
    <w:rsid w:val="004261DD"/>
    <w:rsid w:val="004268F2"/>
    <w:rsid w:val="00430343"/>
    <w:rsid w:val="004306C6"/>
    <w:rsid w:val="0043095B"/>
    <w:rsid w:val="00430ECE"/>
    <w:rsid w:val="00431E1F"/>
    <w:rsid w:val="00431F7C"/>
    <w:rsid w:val="00432017"/>
    <w:rsid w:val="004324AB"/>
    <w:rsid w:val="00433238"/>
    <w:rsid w:val="0043394F"/>
    <w:rsid w:val="00434067"/>
    <w:rsid w:val="00434074"/>
    <w:rsid w:val="004344F4"/>
    <w:rsid w:val="00435213"/>
    <w:rsid w:val="00435B17"/>
    <w:rsid w:val="00435B6E"/>
    <w:rsid w:val="00436ED3"/>
    <w:rsid w:val="00436F28"/>
    <w:rsid w:val="004400BC"/>
    <w:rsid w:val="00440AA8"/>
    <w:rsid w:val="0044114B"/>
    <w:rsid w:val="00442966"/>
    <w:rsid w:val="004429B4"/>
    <w:rsid w:val="00443515"/>
    <w:rsid w:val="004436FB"/>
    <w:rsid w:val="00443F48"/>
    <w:rsid w:val="00444513"/>
    <w:rsid w:val="00445BD2"/>
    <w:rsid w:val="00446351"/>
    <w:rsid w:val="00447397"/>
    <w:rsid w:val="0044752E"/>
    <w:rsid w:val="00447592"/>
    <w:rsid w:val="00450385"/>
    <w:rsid w:val="004507D9"/>
    <w:rsid w:val="0045095C"/>
    <w:rsid w:val="00450B56"/>
    <w:rsid w:val="00450C9F"/>
    <w:rsid w:val="00450D44"/>
    <w:rsid w:val="00450E0F"/>
    <w:rsid w:val="004523B2"/>
    <w:rsid w:val="00452E52"/>
    <w:rsid w:val="00452F8C"/>
    <w:rsid w:val="004532D5"/>
    <w:rsid w:val="00453DC5"/>
    <w:rsid w:val="00454372"/>
    <w:rsid w:val="00454E45"/>
    <w:rsid w:val="00454FF2"/>
    <w:rsid w:val="0045515B"/>
    <w:rsid w:val="004555D7"/>
    <w:rsid w:val="00455E90"/>
    <w:rsid w:val="0045713E"/>
    <w:rsid w:val="00457EBC"/>
    <w:rsid w:val="004602D5"/>
    <w:rsid w:val="004618BC"/>
    <w:rsid w:val="004619A5"/>
    <w:rsid w:val="00461DE3"/>
    <w:rsid w:val="00463540"/>
    <w:rsid w:val="00464B2A"/>
    <w:rsid w:val="00464F80"/>
    <w:rsid w:val="004659AB"/>
    <w:rsid w:val="004659EB"/>
    <w:rsid w:val="00466596"/>
    <w:rsid w:val="004665FB"/>
    <w:rsid w:val="00466956"/>
    <w:rsid w:val="004676A9"/>
    <w:rsid w:val="00467800"/>
    <w:rsid w:val="00467942"/>
    <w:rsid w:val="0047030B"/>
    <w:rsid w:val="00470BA4"/>
    <w:rsid w:val="00471129"/>
    <w:rsid w:val="00471287"/>
    <w:rsid w:val="00471438"/>
    <w:rsid w:val="00471717"/>
    <w:rsid w:val="004726DE"/>
    <w:rsid w:val="004727CF"/>
    <w:rsid w:val="00472BB3"/>
    <w:rsid w:val="0047371D"/>
    <w:rsid w:val="00473DCB"/>
    <w:rsid w:val="00473E62"/>
    <w:rsid w:val="0047459B"/>
    <w:rsid w:val="00475637"/>
    <w:rsid w:val="004761AD"/>
    <w:rsid w:val="00476AD7"/>
    <w:rsid w:val="00477151"/>
    <w:rsid w:val="0047749A"/>
    <w:rsid w:val="00477710"/>
    <w:rsid w:val="00477A95"/>
    <w:rsid w:val="00480083"/>
    <w:rsid w:val="004807AA"/>
    <w:rsid w:val="0048138C"/>
    <w:rsid w:val="00481724"/>
    <w:rsid w:val="00481781"/>
    <w:rsid w:val="00482459"/>
    <w:rsid w:val="00482D4F"/>
    <w:rsid w:val="00483D9F"/>
    <w:rsid w:val="00483F01"/>
    <w:rsid w:val="00484438"/>
    <w:rsid w:val="00484CF0"/>
    <w:rsid w:val="00484F2B"/>
    <w:rsid w:val="00485294"/>
    <w:rsid w:val="00485F16"/>
    <w:rsid w:val="00486390"/>
    <w:rsid w:val="00486526"/>
    <w:rsid w:val="00486B8F"/>
    <w:rsid w:val="0048749E"/>
    <w:rsid w:val="004876F7"/>
    <w:rsid w:val="004878AE"/>
    <w:rsid w:val="00490850"/>
    <w:rsid w:val="00490CCC"/>
    <w:rsid w:val="00490FB2"/>
    <w:rsid w:val="00491006"/>
    <w:rsid w:val="0049129B"/>
    <w:rsid w:val="0049209B"/>
    <w:rsid w:val="00493002"/>
    <w:rsid w:val="00493260"/>
    <w:rsid w:val="00494419"/>
    <w:rsid w:val="004945D6"/>
    <w:rsid w:val="00494918"/>
    <w:rsid w:val="00494B8B"/>
    <w:rsid w:val="00494E16"/>
    <w:rsid w:val="00495535"/>
    <w:rsid w:val="00495A31"/>
    <w:rsid w:val="004960A9"/>
    <w:rsid w:val="0049632F"/>
    <w:rsid w:val="004964E3"/>
    <w:rsid w:val="004967B6"/>
    <w:rsid w:val="00496800"/>
    <w:rsid w:val="00496F90"/>
    <w:rsid w:val="0049775B"/>
    <w:rsid w:val="00497CED"/>
    <w:rsid w:val="00497D59"/>
    <w:rsid w:val="004A0BAE"/>
    <w:rsid w:val="004A0C8A"/>
    <w:rsid w:val="004A100F"/>
    <w:rsid w:val="004A11BE"/>
    <w:rsid w:val="004A1800"/>
    <w:rsid w:val="004A1D8F"/>
    <w:rsid w:val="004A28FE"/>
    <w:rsid w:val="004A28FF"/>
    <w:rsid w:val="004A2A3D"/>
    <w:rsid w:val="004A2AD5"/>
    <w:rsid w:val="004A2D51"/>
    <w:rsid w:val="004A2D5A"/>
    <w:rsid w:val="004A42D8"/>
    <w:rsid w:val="004A45AB"/>
    <w:rsid w:val="004A60B7"/>
    <w:rsid w:val="004A61A7"/>
    <w:rsid w:val="004A6DAF"/>
    <w:rsid w:val="004A6E2D"/>
    <w:rsid w:val="004A6E61"/>
    <w:rsid w:val="004A7CDA"/>
    <w:rsid w:val="004B080F"/>
    <w:rsid w:val="004B0D9B"/>
    <w:rsid w:val="004B0DD7"/>
    <w:rsid w:val="004B0E87"/>
    <w:rsid w:val="004B24B4"/>
    <w:rsid w:val="004B2BA9"/>
    <w:rsid w:val="004B3312"/>
    <w:rsid w:val="004B3579"/>
    <w:rsid w:val="004B3603"/>
    <w:rsid w:val="004B4966"/>
    <w:rsid w:val="004B5A98"/>
    <w:rsid w:val="004B63BE"/>
    <w:rsid w:val="004B6735"/>
    <w:rsid w:val="004B6A8B"/>
    <w:rsid w:val="004B7397"/>
    <w:rsid w:val="004B7761"/>
    <w:rsid w:val="004B78BE"/>
    <w:rsid w:val="004B7E64"/>
    <w:rsid w:val="004C0656"/>
    <w:rsid w:val="004C0EB4"/>
    <w:rsid w:val="004C0F10"/>
    <w:rsid w:val="004C12DE"/>
    <w:rsid w:val="004C1475"/>
    <w:rsid w:val="004C1751"/>
    <w:rsid w:val="004C1939"/>
    <w:rsid w:val="004C2166"/>
    <w:rsid w:val="004C28E1"/>
    <w:rsid w:val="004C3C36"/>
    <w:rsid w:val="004C3E66"/>
    <w:rsid w:val="004C4DAB"/>
    <w:rsid w:val="004C4DE1"/>
    <w:rsid w:val="004C4E7A"/>
    <w:rsid w:val="004C52CC"/>
    <w:rsid w:val="004C5B65"/>
    <w:rsid w:val="004C684E"/>
    <w:rsid w:val="004C705A"/>
    <w:rsid w:val="004C72F0"/>
    <w:rsid w:val="004C7C0C"/>
    <w:rsid w:val="004D0D02"/>
    <w:rsid w:val="004D0E1E"/>
    <w:rsid w:val="004D147A"/>
    <w:rsid w:val="004D158A"/>
    <w:rsid w:val="004D173A"/>
    <w:rsid w:val="004D17A7"/>
    <w:rsid w:val="004D190B"/>
    <w:rsid w:val="004D21E0"/>
    <w:rsid w:val="004D24CC"/>
    <w:rsid w:val="004D2512"/>
    <w:rsid w:val="004D3969"/>
    <w:rsid w:val="004D3DAF"/>
    <w:rsid w:val="004D3F51"/>
    <w:rsid w:val="004D42C1"/>
    <w:rsid w:val="004D431C"/>
    <w:rsid w:val="004D4463"/>
    <w:rsid w:val="004D5265"/>
    <w:rsid w:val="004D5D58"/>
    <w:rsid w:val="004D65CF"/>
    <w:rsid w:val="004D6FBD"/>
    <w:rsid w:val="004D7B63"/>
    <w:rsid w:val="004D7C11"/>
    <w:rsid w:val="004D7C71"/>
    <w:rsid w:val="004E0D7F"/>
    <w:rsid w:val="004E12DB"/>
    <w:rsid w:val="004E1903"/>
    <w:rsid w:val="004E2855"/>
    <w:rsid w:val="004E33C4"/>
    <w:rsid w:val="004E3886"/>
    <w:rsid w:val="004E42C4"/>
    <w:rsid w:val="004E46A3"/>
    <w:rsid w:val="004E5723"/>
    <w:rsid w:val="004E5EA2"/>
    <w:rsid w:val="004E5F21"/>
    <w:rsid w:val="004E69FA"/>
    <w:rsid w:val="004E6F57"/>
    <w:rsid w:val="004E6F9E"/>
    <w:rsid w:val="004E6FC8"/>
    <w:rsid w:val="004E730E"/>
    <w:rsid w:val="004E7833"/>
    <w:rsid w:val="004F04DA"/>
    <w:rsid w:val="004F0992"/>
    <w:rsid w:val="004F0EB6"/>
    <w:rsid w:val="004F1142"/>
    <w:rsid w:val="004F11BF"/>
    <w:rsid w:val="004F14DF"/>
    <w:rsid w:val="004F201D"/>
    <w:rsid w:val="004F240A"/>
    <w:rsid w:val="004F2A1E"/>
    <w:rsid w:val="004F2CBF"/>
    <w:rsid w:val="004F2E3C"/>
    <w:rsid w:val="004F3676"/>
    <w:rsid w:val="004F3B77"/>
    <w:rsid w:val="004F3D28"/>
    <w:rsid w:val="004F44E3"/>
    <w:rsid w:val="004F540C"/>
    <w:rsid w:val="004F6C47"/>
    <w:rsid w:val="004F6E8F"/>
    <w:rsid w:val="004F76C8"/>
    <w:rsid w:val="005005D7"/>
    <w:rsid w:val="0050065A"/>
    <w:rsid w:val="00500A97"/>
    <w:rsid w:val="005019DC"/>
    <w:rsid w:val="005026B8"/>
    <w:rsid w:val="00502742"/>
    <w:rsid w:val="00502E16"/>
    <w:rsid w:val="005030A0"/>
    <w:rsid w:val="00503A44"/>
    <w:rsid w:val="00504622"/>
    <w:rsid w:val="005046FE"/>
    <w:rsid w:val="00504786"/>
    <w:rsid w:val="005048D1"/>
    <w:rsid w:val="00504C03"/>
    <w:rsid w:val="00505771"/>
    <w:rsid w:val="00505D39"/>
    <w:rsid w:val="005068D9"/>
    <w:rsid w:val="00506D9F"/>
    <w:rsid w:val="0050700F"/>
    <w:rsid w:val="00507897"/>
    <w:rsid w:val="00507F3F"/>
    <w:rsid w:val="0051031F"/>
    <w:rsid w:val="005104DC"/>
    <w:rsid w:val="00510C4C"/>
    <w:rsid w:val="00511679"/>
    <w:rsid w:val="00511BBC"/>
    <w:rsid w:val="005121FE"/>
    <w:rsid w:val="00512AB4"/>
    <w:rsid w:val="00513643"/>
    <w:rsid w:val="005139DE"/>
    <w:rsid w:val="0051441C"/>
    <w:rsid w:val="00514778"/>
    <w:rsid w:val="00514C68"/>
    <w:rsid w:val="00516019"/>
    <w:rsid w:val="005160CD"/>
    <w:rsid w:val="00516B9E"/>
    <w:rsid w:val="005171B0"/>
    <w:rsid w:val="005174D9"/>
    <w:rsid w:val="005178A9"/>
    <w:rsid w:val="00520202"/>
    <w:rsid w:val="0052294B"/>
    <w:rsid w:val="00522D86"/>
    <w:rsid w:val="00522D88"/>
    <w:rsid w:val="00522E56"/>
    <w:rsid w:val="0052310E"/>
    <w:rsid w:val="0052311B"/>
    <w:rsid w:val="00523243"/>
    <w:rsid w:val="00523F2E"/>
    <w:rsid w:val="00523FB9"/>
    <w:rsid w:val="005250DA"/>
    <w:rsid w:val="005254BC"/>
    <w:rsid w:val="00525964"/>
    <w:rsid w:val="00526255"/>
    <w:rsid w:val="00526355"/>
    <w:rsid w:val="005268D5"/>
    <w:rsid w:val="005275EA"/>
    <w:rsid w:val="005276F0"/>
    <w:rsid w:val="00527EF3"/>
    <w:rsid w:val="005307A4"/>
    <w:rsid w:val="00530AD9"/>
    <w:rsid w:val="00531354"/>
    <w:rsid w:val="00531B62"/>
    <w:rsid w:val="0053212A"/>
    <w:rsid w:val="00533406"/>
    <w:rsid w:val="0053364D"/>
    <w:rsid w:val="0053429B"/>
    <w:rsid w:val="00534C4A"/>
    <w:rsid w:val="00534D7A"/>
    <w:rsid w:val="00535A3D"/>
    <w:rsid w:val="005362DD"/>
    <w:rsid w:val="00536E0F"/>
    <w:rsid w:val="005371D9"/>
    <w:rsid w:val="00537B73"/>
    <w:rsid w:val="00537BEA"/>
    <w:rsid w:val="00541267"/>
    <w:rsid w:val="00541431"/>
    <w:rsid w:val="00541903"/>
    <w:rsid w:val="00541B5B"/>
    <w:rsid w:val="00541C13"/>
    <w:rsid w:val="005424F8"/>
    <w:rsid w:val="005426E1"/>
    <w:rsid w:val="00543A82"/>
    <w:rsid w:val="00544220"/>
    <w:rsid w:val="00544482"/>
    <w:rsid w:val="00545384"/>
    <w:rsid w:val="005463CA"/>
    <w:rsid w:val="00546A34"/>
    <w:rsid w:val="005471A0"/>
    <w:rsid w:val="0054738A"/>
    <w:rsid w:val="005473D5"/>
    <w:rsid w:val="005477D0"/>
    <w:rsid w:val="00550EE8"/>
    <w:rsid w:val="005510BD"/>
    <w:rsid w:val="0055373B"/>
    <w:rsid w:val="0055512D"/>
    <w:rsid w:val="0055537B"/>
    <w:rsid w:val="00556CBE"/>
    <w:rsid w:val="00560141"/>
    <w:rsid w:val="00560304"/>
    <w:rsid w:val="005611B8"/>
    <w:rsid w:val="00561CF9"/>
    <w:rsid w:val="00561EA4"/>
    <w:rsid w:val="005627CD"/>
    <w:rsid w:val="00563B15"/>
    <w:rsid w:val="00563BA3"/>
    <w:rsid w:val="005647A2"/>
    <w:rsid w:val="00564D92"/>
    <w:rsid w:val="00564F26"/>
    <w:rsid w:val="005653A8"/>
    <w:rsid w:val="00565486"/>
    <w:rsid w:val="0056555E"/>
    <w:rsid w:val="00565700"/>
    <w:rsid w:val="005659D2"/>
    <w:rsid w:val="005661E5"/>
    <w:rsid w:val="0056655E"/>
    <w:rsid w:val="005668FF"/>
    <w:rsid w:val="00566A0B"/>
    <w:rsid w:val="00570173"/>
    <w:rsid w:val="00570AB0"/>
    <w:rsid w:val="00570AD6"/>
    <w:rsid w:val="00570C95"/>
    <w:rsid w:val="005710C9"/>
    <w:rsid w:val="005715BC"/>
    <w:rsid w:val="00571AB5"/>
    <w:rsid w:val="00571F1F"/>
    <w:rsid w:val="005732B3"/>
    <w:rsid w:val="00573AD5"/>
    <w:rsid w:val="00573EEA"/>
    <w:rsid w:val="00573F04"/>
    <w:rsid w:val="00574113"/>
    <w:rsid w:val="005742D6"/>
    <w:rsid w:val="00574C02"/>
    <w:rsid w:val="00574C35"/>
    <w:rsid w:val="00574D10"/>
    <w:rsid w:val="00574E5D"/>
    <w:rsid w:val="005759C1"/>
    <w:rsid w:val="00575DBD"/>
    <w:rsid w:val="00576CF8"/>
    <w:rsid w:val="0058033A"/>
    <w:rsid w:val="00580BDC"/>
    <w:rsid w:val="00581594"/>
    <w:rsid w:val="00581632"/>
    <w:rsid w:val="00581AD0"/>
    <w:rsid w:val="00581D4E"/>
    <w:rsid w:val="00581DD1"/>
    <w:rsid w:val="005825AC"/>
    <w:rsid w:val="005831AF"/>
    <w:rsid w:val="00583205"/>
    <w:rsid w:val="00583E6D"/>
    <w:rsid w:val="00583F68"/>
    <w:rsid w:val="0058505E"/>
    <w:rsid w:val="00585338"/>
    <w:rsid w:val="0058543C"/>
    <w:rsid w:val="0058550B"/>
    <w:rsid w:val="00586044"/>
    <w:rsid w:val="00586BAE"/>
    <w:rsid w:val="00586E02"/>
    <w:rsid w:val="00586F23"/>
    <w:rsid w:val="00587770"/>
    <w:rsid w:val="0058791D"/>
    <w:rsid w:val="00587F25"/>
    <w:rsid w:val="005900C7"/>
    <w:rsid w:val="00590861"/>
    <w:rsid w:val="005912A7"/>
    <w:rsid w:val="0059176D"/>
    <w:rsid w:val="00591D98"/>
    <w:rsid w:val="00591E60"/>
    <w:rsid w:val="0059215B"/>
    <w:rsid w:val="005921F5"/>
    <w:rsid w:val="0059318A"/>
    <w:rsid w:val="00593CFC"/>
    <w:rsid w:val="005952BE"/>
    <w:rsid w:val="00595704"/>
    <w:rsid w:val="00595D23"/>
    <w:rsid w:val="005961B6"/>
    <w:rsid w:val="00596631"/>
    <w:rsid w:val="005975AA"/>
    <w:rsid w:val="00597668"/>
    <w:rsid w:val="0059785B"/>
    <w:rsid w:val="00597EA4"/>
    <w:rsid w:val="005A008F"/>
    <w:rsid w:val="005A016E"/>
    <w:rsid w:val="005A15F6"/>
    <w:rsid w:val="005A171D"/>
    <w:rsid w:val="005A1DBB"/>
    <w:rsid w:val="005A208E"/>
    <w:rsid w:val="005A2187"/>
    <w:rsid w:val="005A233F"/>
    <w:rsid w:val="005A23FD"/>
    <w:rsid w:val="005A30FF"/>
    <w:rsid w:val="005A341C"/>
    <w:rsid w:val="005A35B2"/>
    <w:rsid w:val="005A3AF3"/>
    <w:rsid w:val="005A4E29"/>
    <w:rsid w:val="005A663E"/>
    <w:rsid w:val="005A7A84"/>
    <w:rsid w:val="005A7C03"/>
    <w:rsid w:val="005A7E89"/>
    <w:rsid w:val="005B003D"/>
    <w:rsid w:val="005B0ABC"/>
    <w:rsid w:val="005B0EBA"/>
    <w:rsid w:val="005B1BFA"/>
    <w:rsid w:val="005B1D10"/>
    <w:rsid w:val="005B2160"/>
    <w:rsid w:val="005B3AA8"/>
    <w:rsid w:val="005B3BC4"/>
    <w:rsid w:val="005B3FB4"/>
    <w:rsid w:val="005B5637"/>
    <w:rsid w:val="005B57A1"/>
    <w:rsid w:val="005B6D82"/>
    <w:rsid w:val="005B7D76"/>
    <w:rsid w:val="005B7E9D"/>
    <w:rsid w:val="005B7FE0"/>
    <w:rsid w:val="005C00B5"/>
    <w:rsid w:val="005C0336"/>
    <w:rsid w:val="005C04B9"/>
    <w:rsid w:val="005C06D6"/>
    <w:rsid w:val="005C0BD4"/>
    <w:rsid w:val="005C1C85"/>
    <w:rsid w:val="005C260F"/>
    <w:rsid w:val="005C2648"/>
    <w:rsid w:val="005C2EB9"/>
    <w:rsid w:val="005C3E9C"/>
    <w:rsid w:val="005C4554"/>
    <w:rsid w:val="005C4DB7"/>
    <w:rsid w:val="005C4FAD"/>
    <w:rsid w:val="005C53D1"/>
    <w:rsid w:val="005C5524"/>
    <w:rsid w:val="005C5626"/>
    <w:rsid w:val="005C575F"/>
    <w:rsid w:val="005C59AB"/>
    <w:rsid w:val="005C5B90"/>
    <w:rsid w:val="005C6899"/>
    <w:rsid w:val="005C6CC9"/>
    <w:rsid w:val="005C6ED4"/>
    <w:rsid w:val="005D0FB4"/>
    <w:rsid w:val="005D1872"/>
    <w:rsid w:val="005D278C"/>
    <w:rsid w:val="005D27EB"/>
    <w:rsid w:val="005D2CD6"/>
    <w:rsid w:val="005D40B9"/>
    <w:rsid w:val="005D4157"/>
    <w:rsid w:val="005D4C6C"/>
    <w:rsid w:val="005D5C8A"/>
    <w:rsid w:val="005D65EA"/>
    <w:rsid w:val="005D6C97"/>
    <w:rsid w:val="005D7323"/>
    <w:rsid w:val="005D74DB"/>
    <w:rsid w:val="005D7F09"/>
    <w:rsid w:val="005E0815"/>
    <w:rsid w:val="005E09B8"/>
    <w:rsid w:val="005E0EC9"/>
    <w:rsid w:val="005E11ED"/>
    <w:rsid w:val="005E14E8"/>
    <w:rsid w:val="005E1925"/>
    <w:rsid w:val="005E1C6E"/>
    <w:rsid w:val="005E1F75"/>
    <w:rsid w:val="005E2457"/>
    <w:rsid w:val="005E247E"/>
    <w:rsid w:val="005E2D24"/>
    <w:rsid w:val="005E39B6"/>
    <w:rsid w:val="005E3D7E"/>
    <w:rsid w:val="005E4051"/>
    <w:rsid w:val="005E42B5"/>
    <w:rsid w:val="005E43D1"/>
    <w:rsid w:val="005E4B13"/>
    <w:rsid w:val="005E50B3"/>
    <w:rsid w:val="005E53C0"/>
    <w:rsid w:val="005E5A90"/>
    <w:rsid w:val="005E5C35"/>
    <w:rsid w:val="005E6DAE"/>
    <w:rsid w:val="005E6E55"/>
    <w:rsid w:val="005E70DE"/>
    <w:rsid w:val="005E72AA"/>
    <w:rsid w:val="005E7607"/>
    <w:rsid w:val="005E7DF0"/>
    <w:rsid w:val="005F0256"/>
    <w:rsid w:val="005F0A00"/>
    <w:rsid w:val="005F148B"/>
    <w:rsid w:val="005F14B1"/>
    <w:rsid w:val="005F26B4"/>
    <w:rsid w:val="005F27C3"/>
    <w:rsid w:val="005F2B05"/>
    <w:rsid w:val="005F2DFB"/>
    <w:rsid w:val="005F3DF0"/>
    <w:rsid w:val="005F53CF"/>
    <w:rsid w:val="005F6186"/>
    <w:rsid w:val="005F6962"/>
    <w:rsid w:val="005F6EF2"/>
    <w:rsid w:val="005F72F0"/>
    <w:rsid w:val="00601778"/>
    <w:rsid w:val="00602D42"/>
    <w:rsid w:val="006032FD"/>
    <w:rsid w:val="00603BBF"/>
    <w:rsid w:val="00603CBC"/>
    <w:rsid w:val="00603E6F"/>
    <w:rsid w:val="00603F47"/>
    <w:rsid w:val="00604286"/>
    <w:rsid w:val="00605502"/>
    <w:rsid w:val="006066DB"/>
    <w:rsid w:val="0060683C"/>
    <w:rsid w:val="0060695E"/>
    <w:rsid w:val="00606D2D"/>
    <w:rsid w:val="00607472"/>
    <w:rsid w:val="006077FF"/>
    <w:rsid w:val="006107CB"/>
    <w:rsid w:val="00610820"/>
    <w:rsid w:val="00611121"/>
    <w:rsid w:val="006119A4"/>
    <w:rsid w:val="00611EFF"/>
    <w:rsid w:val="00612235"/>
    <w:rsid w:val="00612440"/>
    <w:rsid w:val="00612653"/>
    <w:rsid w:val="006134F7"/>
    <w:rsid w:val="00613648"/>
    <w:rsid w:val="00613864"/>
    <w:rsid w:val="00613BBA"/>
    <w:rsid w:val="00613DB3"/>
    <w:rsid w:val="00614B4D"/>
    <w:rsid w:val="00614C13"/>
    <w:rsid w:val="00614D2B"/>
    <w:rsid w:val="006159AE"/>
    <w:rsid w:val="00615E4F"/>
    <w:rsid w:val="00617666"/>
    <w:rsid w:val="006201C1"/>
    <w:rsid w:val="00620318"/>
    <w:rsid w:val="006203FC"/>
    <w:rsid w:val="0062099B"/>
    <w:rsid w:val="006209A8"/>
    <w:rsid w:val="00620A27"/>
    <w:rsid w:val="00620E5C"/>
    <w:rsid w:val="00620F1B"/>
    <w:rsid w:val="006223D0"/>
    <w:rsid w:val="00622701"/>
    <w:rsid w:val="00622BA9"/>
    <w:rsid w:val="00622CB6"/>
    <w:rsid w:val="00623045"/>
    <w:rsid w:val="0062328E"/>
    <w:rsid w:val="00623327"/>
    <w:rsid w:val="00623B29"/>
    <w:rsid w:val="00623F14"/>
    <w:rsid w:val="0062501F"/>
    <w:rsid w:val="00625AD3"/>
    <w:rsid w:val="0062620B"/>
    <w:rsid w:val="00626266"/>
    <w:rsid w:val="006263F3"/>
    <w:rsid w:val="00626891"/>
    <w:rsid w:val="00627C5F"/>
    <w:rsid w:val="00627D06"/>
    <w:rsid w:val="00630CE5"/>
    <w:rsid w:val="00630D0E"/>
    <w:rsid w:val="0063121C"/>
    <w:rsid w:val="006324D8"/>
    <w:rsid w:val="00632EAB"/>
    <w:rsid w:val="0063380A"/>
    <w:rsid w:val="00633D25"/>
    <w:rsid w:val="006341A7"/>
    <w:rsid w:val="006345AC"/>
    <w:rsid w:val="00634635"/>
    <w:rsid w:val="00634B98"/>
    <w:rsid w:val="0063538E"/>
    <w:rsid w:val="006356B7"/>
    <w:rsid w:val="006357B7"/>
    <w:rsid w:val="00635A53"/>
    <w:rsid w:val="00635FF8"/>
    <w:rsid w:val="006364D6"/>
    <w:rsid w:val="00636E87"/>
    <w:rsid w:val="00636F90"/>
    <w:rsid w:val="00637E62"/>
    <w:rsid w:val="0064005C"/>
    <w:rsid w:val="0064063D"/>
    <w:rsid w:val="006408C0"/>
    <w:rsid w:val="00640C2D"/>
    <w:rsid w:val="00642180"/>
    <w:rsid w:val="006425A8"/>
    <w:rsid w:val="00642B34"/>
    <w:rsid w:val="00643931"/>
    <w:rsid w:val="0064402B"/>
    <w:rsid w:val="006460C4"/>
    <w:rsid w:val="0064624C"/>
    <w:rsid w:val="006463BB"/>
    <w:rsid w:val="006464C7"/>
    <w:rsid w:val="0064724D"/>
    <w:rsid w:val="00647780"/>
    <w:rsid w:val="00647FE9"/>
    <w:rsid w:val="00650546"/>
    <w:rsid w:val="00651587"/>
    <w:rsid w:val="006515B9"/>
    <w:rsid w:val="00652032"/>
    <w:rsid w:val="006521B1"/>
    <w:rsid w:val="00652E4E"/>
    <w:rsid w:val="00653229"/>
    <w:rsid w:val="0065337F"/>
    <w:rsid w:val="0065352C"/>
    <w:rsid w:val="006545C7"/>
    <w:rsid w:val="006547B0"/>
    <w:rsid w:val="006548C6"/>
    <w:rsid w:val="0065504E"/>
    <w:rsid w:val="00655B43"/>
    <w:rsid w:val="006566F8"/>
    <w:rsid w:val="006601AB"/>
    <w:rsid w:val="006609C9"/>
    <w:rsid w:val="006611DC"/>
    <w:rsid w:val="00661367"/>
    <w:rsid w:val="006619A6"/>
    <w:rsid w:val="006619C8"/>
    <w:rsid w:val="00661A77"/>
    <w:rsid w:val="00661E8E"/>
    <w:rsid w:val="00662702"/>
    <w:rsid w:val="00662A59"/>
    <w:rsid w:val="00662C43"/>
    <w:rsid w:val="006631D6"/>
    <w:rsid w:val="00664864"/>
    <w:rsid w:val="006649F9"/>
    <w:rsid w:val="00664B00"/>
    <w:rsid w:val="0066554E"/>
    <w:rsid w:val="0066583F"/>
    <w:rsid w:val="00665CFE"/>
    <w:rsid w:val="0066604E"/>
    <w:rsid w:val="006664EF"/>
    <w:rsid w:val="0066672C"/>
    <w:rsid w:val="00666804"/>
    <w:rsid w:val="00667561"/>
    <w:rsid w:val="00670B46"/>
    <w:rsid w:val="00671191"/>
    <w:rsid w:val="00672013"/>
    <w:rsid w:val="0067253A"/>
    <w:rsid w:val="00672808"/>
    <w:rsid w:val="00672CC5"/>
    <w:rsid w:val="0067364C"/>
    <w:rsid w:val="00673DE2"/>
    <w:rsid w:val="00674389"/>
    <w:rsid w:val="00674E81"/>
    <w:rsid w:val="00675A18"/>
    <w:rsid w:val="00675C48"/>
    <w:rsid w:val="0067618F"/>
    <w:rsid w:val="00676346"/>
    <w:rsid w:val="006765DD"/>
    <w:rsid w:val="006768B3"/>
    <w:rsid w:val="00677A62"/>
    <w:rsid w:val="0068028C"/>
    <w:rsid w:val="00680ABC"/>
    <w:rsid w:val="00680FC4"/>
    <w:rsid w:val="00681022"/>
    <w:rsid w:val="0068161F"/>
    <w:rsid w:val="00681A21"/>
    <w:rsid w:val="00681D68"/>
    <w:rsid w:val="00682597"/>
    <w:rsid w:val="006826B2"/>
    <w:rsid w:val="00682A9B"/>
    <w:rsid w:val="00682C1A"/>
    <w:rsid w:val="0068343A"/>
    <w:rsid w:val="00683E5F"/>
    <w:rsid w:val="0068464A"/>
    <w:rsid w:val="0068479A"/>
    <w:rsid w:val="00684FD6"/>
    <w:rsid w:val="006853AB"/>
    <w:rsid w:val="006856DA"/>
    <w:rsid w:val="00685A9D"/>
    <w:rsid w:val="00685DEA"/>
    <w:rsid w:val="006864CA"/>
    <w:rsid w:val="00686AD9"/>
    <w:rsid w:val="00686BC8"/>
    <w:rsid w:val="00686C14"/>
    <w:rsid w:val="00687448"/>
    <w:rsid w:val="00690F3E"/>
    <w:rsid w:val="006918E4"/>
    <w:rsid w:val="00691C21"/>
    <w:rsid w:val="006921BA"/>
    <w:rsid w:val="00692F29"/>
    <w:rsid w:val="00693414"/>
    <w:rsid w:val="00693705"/>
    <w:rsid w:val="00693C4B"/>
    <w:rsid w:val="00693CEB"/>
    <w:rsid w:val="006945A8"/>
    <w:rsid w:val="00694745"/>
    <w:rsid w:val="00694ED6"/>
    <w:rsid w:val="0069696B"/>
    <w:rsid w:val="00696C1B"/>
    <w:rsid w:val="00697F46"/>
    <w:rsid w:val="006A082F"/>
    <w:rsid w:val="006A0E5A"/>
    <w:rsid w:val="006A0E7C"/>
    <w:rsid w:val="006A11CD"/>
    <w:rsid w:val="006A1307"/>
    <w:rsid w:val="006A164D"/>
    <w:rsid w:val="006A17C3"/>
    <w:rsid w:val="006A1894"/>
    <w:rsid w:val="006A2075"/>
    <w:rsid w:val="006A20C0"/>
    <w:rsid w:val="006A23C4"/>
    <w:rsid w:val="006A2DE4"/>
    <w:rsid w:val="006A384E"/>
    <w:rsid w:val="006A3C1A"/>
    <w:rsid w:val="006A3F3E"/>
    <w:rsid w:val="006A3F53"/>
    <w:rsid w:val="006A4D44"/>
    <w:rsid w:val="006A4E2C"/>
    <w:rsid w:val="006A4F00"/>
    <w:rsid w:val="006A599E"/>
    <w:rsid w:val="006A5C2C"/>
    <w:rsid w:val="006A5D3F"/>
    <w:rsid w:val="006A62DB"/>
    <w:rsid w:val="006A65CC"/>
    <w:rsid w:val="006A6637"/>
    <w:rsid w:val="006A7087"/>
    <w:rsid w:val="006B0310"/>
    <w:rsid w:val="006B1385"/>
    <w:rsid w:val="006B1A9A"/>
    <w:rsid w:val="006B2142"/>
    <w:rsid w:val="006B2232"/>
    <w:rsid w:val="006B263F"/>
    <w:rsid w:val="006B2774"/>
    <w:rsid w:val="006B2B81"/>
    <w:rsid w:val="006B2D7E"/>
    <w:rsid w:val="006B2D82"/>
    <w:rsid w:val="006B2FB3"/>
    <w:rsid w:val="006B4126"/>
    <w:rsid w:val="006B4E68"/>
    <w:rsid w:val="006B5555"/>
    <w:rsid w:val="006B569D"/>
    <w:rsid w:val="006B590E"/>
    <w:rsid w:val="006B5FD1"/>
    <w:rsid w:val="006B624C"/>
    <w:rsid w:val="006B67BE"/>
    <w:rsid w:val="006B6A2F"/>
    <w:rsid w:val="006B6C51"/>
    <w:rsid w:val="006B74CE"/>
    <w:rsid w:val="006B7584"/>
    <w:rsid w:val="006B77AE"/>
    <w:rsid w:val="006B7808"/>
    <w:rsid w:val="006B7C3E"/>
    <w:rsid w:val="006C0272"/>
    <w:rsid w:val="006C05BD"/>
    <w:rsid w:val="006C0DA0"/>
    <w:rsid w:val="006C1809"/>
    <w:rsid w:val="006C19B5"/>
    <w:rsid w:val="006C251C"/>
    <w:rsid w:val="006C2EB0"/>
    <w:rsid w:val="006C36B4"/>
    <w:rsid w:val="006C39F3"/>
    <w:rsid w:val="006C3D8D"/>
    <w:rsid w:val="006C3F52"/>
    <w:rsid w:val="006C4940"/>
    <w:rsid w:val="006C49FB"/>
    <w:rsid w:val="006C4CFE"/>
    <w:rsid w:val="006C52DC"/>
    <w:rsid w:val="006C5D35"/>
    <w:rsid w:val="006C5E28"/>
    <w:rsid w:val="006C651A"/>
    <w:rsid w:val="006C6882"/>
    <w:rsid w:val="006C6A22"/>
    <w:rsid w:val="006C7D48"/>
    <w:rsid w:val="006D01D5"/>
    <w:rsid w:val="006D02A3"/>
    <w:rsid w:val="006D03BB"/>
    <w:rsid w:val="006D12BC"/>
    <w:rsid w:val="006D141F"/>
    <w:rsid w:val="006D16C6"/>
    <w:rsid w:val="006D19C3"/>
    <w:rsid w:val="006D1AC0"/>
    <w:rsid w:val="006D20F3"/>
    <w:rsid w:val="006D2EF9"/>
    <w:rsid w:val="006D3361"/>
    <w:rsid w:val="006D3582"/>
    <w:rsid w:val="006D3585"/>
    <w:rsid w:val="006D36A7"/>
    <w:rsid w:val="006D394A"/>
    <w:rsid w:val="006D3E6F"/>
    <w:rsid w:val="006D40EF"/>
    <w:rsid w:val="006D4432"/>
    <w:rsid w:val="006D491B"/>
    <w:rsid w:val="006D4B89"/>
    <w:rsid w:val="006D4D20"/>
    <w:rsid w:val="006D50FA"/>
    <w:rsid w:val="006D6BAA"/>
    <w:rsid w:val="006D7375"/>
    <w:rsid w:val="006D7D97"/>
    <w:rsid w:val="006D7ED5"/>
    <w:rsid w:val="006E0A21"/>
    <w:rsid w:val="006E200C"/>
    <w:rsid w:val="006E2BF2"/>
    <w:rsid w:val="006E2E34"/>
    <w:rsid w:val="006E2F15"/>
    <w:rsid w:val="006E3229"/>
    <w:rsid w:val="006E3BE3"/>
    <w:rsid w:val="006E41CD"/>
    <w:rsid w:val="006E45DB"/>
    <w:rsid w:val="006E4B42"/>
    <w:rsid w:val="006E5162"/>
    <w:rsid w:val="006E63C0"/>
    <w:rsid w:val="006E64A8"/>
    <w:rsid w:val="006E6F44"/>
    <w:rsid w:val="006F07FE"/>
    <w:rsid w:val="006F0918"/>
    <w:rsid w:val="006F0B66"/>
    <w:rsid w:val="006F17A0"/>
    <w:rsid w:val="006F17CC"/>
    <w:rsid w:val="006F1822"/>
    <w:rsid w:val="006F1B07"/>
    <w:rsid w:val="006F1FB9"/>
    <w:rsid w:val="006F227D"/>
    <w:rsid w:val="006F2282"/>
    <w:rsid w:val="006F2C6F"/>
    <w:rsid w:val="006F3065"/>
    <w:rsid w:val="006F3141"/>
    <w:rsid w:val="006F3682"/>
    <w:rsid w:val="006F36F1"/>
    <w:rsid w:val="006F3BCE"/>
    <w:rsid w:val="006F4993"/>
    <w:rsid w:val="006F5348"/>
    <w:rsid w:val="006F549C"/>
    <w:rsid w:val="006F58A2"/>
    <w:rsid w:val="006F5C29"/>
    <w:rsid w:val="006F5C34"/>
    <w:rsid w:val="006F5E66"/>
    <w:rsid w:val="006F6A65"/>
    <w:rsid w:val="006F6D06"/>
    <w:rsid w:val="006F7132"/>
    <w:rsid w:val="006F78B3"/>
    <w:rsid w:val="007005A9"/>
    <w:rsid w:val="0070064A"/>
    <w:rsid w:val="00700CED"/>
    <w:rsid w:val="00700F4F"/>
    <w:rsid w:val="007013C1"/>
    <w:rsid w:val="00701595"/>
    <w:rsid w:val="007015CF"/>
    <w:rsid w:val="00701D6D"/>
    <w:rsid w:val="00702F4F"/>
    <w:rsid w:val="007033CA"/>
    <w:rsid w:val="00703CE7"/>
    <w:rsid w:val="0070446A"/>
    <w:rsid w:val="00704552"/>
    <w:rsid w:val="00704D51"/>
    <w:rsid w:val="00704DCC"/>
    <w:rsid w:val="00705E1F"/>
    <w:rsid w:val="007060E5"/>
    <w:rsid w:val="00706288"/>
    <w:rsid w:val="00706D4F"/>
    <w:rsid w:val="0070720E"/>
    <w:rsid w:val="00707DB3"/>
    <w:rsid w:val="00707E2F"/>
    <w:rsid w:val="0071236F"/>
    <w:rsid w:val="007127A0"/>
    <w:rsid w:val="00713887"/>
    <w:rsid w:val="00713F9A"/>
    <w:rsid w:val="00714E26"/>
    <w:rsid w:val="00715181"/>
    <w:rsid w:val="00715256"/>
    <w:rsid w:val="007156E2"/>
    <w:rsid w:val="00715DF4"/>
    <w:rsid w:val="0071651C"/>
    <w:rsid w:val="00717255"/>
    <w:rsid w:val="0072046C"/>
    <w:rsid w:val="007206AF"/>
    <w:rsid w:val="00720AA9"/>
    <w:rsid w:val="007215AF"/>
    <w:rsid w:val="0072188F"/>
    <w:rsid w:val="00722040"/>
    <w:rsid w:val="00722269"/>
    <w:rsid w:val="00723860"/>
    <w:rsid w:val="007245F6"/>
    <w:rsid w:val="00724C48"/>
    <w:rsid w:val="00724CC4"/>
    <w:rsid w:val="007254A1"/>
    <w:rsid w:val="00725953"/>
    <w:rsid w:val="00725A00"/>
    <w:rsid w:val="00725A16"/>
    <w:rsid w:val="00725AFC"/>
    <w:rsid w:val="007265C1"/>
    <w:rsid w:val="007269FC"/>
    <w:rsid w:val="00726D1D"/>
    <w:rsid w:val="0072707B"/>
    <w:rsid w:val="007276B2"/>
    <w:rsid w:val="00730FF1"/>
    <w:rsid w:val="00731170"/>
    <w:rsid w:val="007313BD"/>
    <w:rsid w:val="007317A2"/>
    <w:rsid w:val="00731CEF"/>
    <w:rsid w:val="0073213D"/>
    <w:rsid w:val="00732C66"/>
    <w:rsid w:val="00732D5F"/>
    <w:rsid w:val="00733648"/>
    <w:rsid w:val="00733CF7"/>
    <w:rsid w:val="00734166"/>
    <w:rsid w:val="00734573"/>
    <w:rsid w:val="007346E8"/>
    <w:rsid w:val="00734F59"/>
    <w:rsid w:val="007352D1"/>
    <w:rsid w:val="007354AA"/>
    <w:rsid w:val="0073695A"/>
    <w:rsid w:val="00737271"/>
    <w:rsid w:val="00737514"/>
    <w:rsid w:val="00737AE5"/>
    <w:rsid w:val="00737E93"/>
    <w:rsid w:val="00740092"/>
    <w:rsid w:val="00741971"/>
    <w:rsid w:val="00742CB5"/>
    <w:rsid w:val="007430C9"/>
    <w:rsid w:val="00743C38"/>
    <w:rsid w:val="0074453B"/>
    <w:rsid w:val="00744D28"/>
    <w:rsid w:val="007452DE"/>
    <w:rsid w:val="0074594C"/>
    <w:rsid w:val="00745BBA"/>
    <w:rsid w:val="00745DDD"/>
    <w:rsid w:val="007463E3"/>
    <w:rsid w:val="00746600"/>
    <w:rsid w:val="00746A04"/>
    <w:rsid w:val="00746A30"/>
    <w:rsid w:val="007471BA"/>
    <w:rsid w:val="0075019A"/>
    <w:rsid w:val="00750252"/>
    <w:rsid w:val="00750957"/>
    <w:rsid w:val="00750C39"/>
    <w:rsid w:val="00751DE2"/>
    <w:rsid w:val="007522BD"/>
    <w:rsid w:val="007531C0"/>
    <w:rsid w:val="00753C1F"/>
    <w:rsid w:val="007541FB"/>
    <w:rsid w:val="0075443D"/>
    <w:rsid w:val="00754684"/>
    <w:rsid w:val="00754DDC"/>
    <w:rsid w:val="0075520D"/>
    <w:rsid w:val="007552D0"/>
    <w:rsid w:val="00756586"/>
    <w:rsid w:val="00757201"/>
    <w:rsid w:val="007572DC"/>
    <w:rsid w:val="007600C2"/>
    <w:rsid w:val="00760DC0"/>
    <w:rsid w:val="00760F6E"/>
    <w:rsid w:val="007617C1"/>
    <w:rsid w:val="00761917"/>
    <w:rsid w:val="007624B4"/>
    <w:rsid w:val="007625A3"/>
    <w:rsid w:val="00762D37"/>
    <w:rsid w:val="0076305A"/>
    <w:rsid w:val="0076347C"/>
    <w:rsid w:val="0076367C"/>
    <w:rsid w:val="007636F6"/>
    <w:rsid w:val="007640FB"/>
    <w:rsid w:val="00764393"/>
    <w:rsid w:val="00764CC6"/>
    <w:rsid w:val="007655D3"/>
    <w:rsid w:val="0076579A"/>
    <w:rsid w:val="00765CD6"/>
    <w:rsid w:val="007664B7"/>
    <w:rsid w:val="007667B6"/>
    <w:rsid w:val="00766DB6"/>
    <w:rsid w:val="00766E3F"/>
    <w:rsid w:val="00766FA5"/>
    <w:rsid w:val="00767488"/>
    <w:rsid w:val="007676C0"/>
    <w:rsid w:val="0077013B"/>
    <w:rsid w:val="00770231"/>
    <w:rsid w:val="00770C62"/>
    <w:rsid w:val="00770DA8"/>
    <w:rsid w:val="00771348"/>
    <w:rsid w:val="007716CF"/>
    <w:rsid w:val="007717BB"/>
    <w:rsid w:val="0077280C"/>
    <w:rsid w:val="00772B09"/>
    <w:rsid w:val="00772DA3"/>
    <w:rsid w:val="007731D8"/>
    <w:rsid w:val="007731EC"/>
    <w:rsid w:val="00773524"/>
    <w:rsid w:val="007746FC"/>
    <w:rsid w:val="00774B91"/>
    <w:rsid w:val="00774FFE"/>
    <w:rsid w:val="00775029"/>
    <w:rsid w:val="0077527F"/>
    <w:rsid w:val="0077581A"/>
    <w:rsid w:val="007759BC"/>
    <w:rsid w:val="00775FFE"/>
    <w:rsid w:val="007763CA"/>
    <w:rsid w:val="007763D4"/>
    <w:rsid w:val="00776E10"/>
    <w:rsid w:val="00776FB9"/>
    <w:rsid w:val="007776DD"/>
    <w:rsid w:val="00777A69"/>
    <w:rsid w:val="00777F23"/>
    <w:rsid w:val="0078013A"/>
    <w:rsid w:val="0078033F"/>
    <w:rsid w:val="007803F0"/>
    <w:rsid w:val="0078043B"/>
    <w:rsid w:val="007806F6"/>
    <w:rsid w:val="00780D51"/>
    <w:rsid w:val="00780FF1"/>
    <w:rsid w:val="00781598"/>
    <w:rsid w:val="00781DE5"/>
    <w:rsid w:val="00781F30"/>
    <w:rsid w:val="00782716"/>
    <w:rsid w:val="0078272C"/>
    <w:rsid w:val="007829B2"/>
    <w:rsid w:val="00782B45"/>
    <w:rsid w:val="00783E42"/>
    <w:rsid w:val="00785926"/>
    <w:rsid w:val="00785B16"/>
    <w:rsid w:val="00785FE9"/>
    <w:rsid w:val="0078676C"/>
    <w:rsid w:val="007871BB"/>
    <w:rsid w:val="00787353"/>
    <w:rsid w:val="00787670"/>
    <w:rsid w:val="007910F8"/>
    <w:rsid w:val="007917B1"/>
    <w:rsid w:val="00791AFB"/>
    <w:rsid w:val="007923EC"/>
    <w:rsid w:val="007924D1"/>
    <w:rsid w:val="007937C4"/>
    <w:rsid w:val="00793974"/>
    <w:rsid w:val="007946A6"/>
    <w:rsid w:val="00794C70"/>
    <w:rsid w:val="007954A8"/>
    <w:rsid w:val="00795F92"/>
    <w:rsid w:val="0079649F"/>
    <w:rsid w:val="00797DA6"/>
    <w:rsid w:val="007A02DC"/>
    <w:rsid w:val="007A0455"/>
    <w:rsid w:val="007A06E8"/>
    <w:rsid w:val="007A0772"/>
    <w:rsid w:val="007A0967"/>
    <w:rsid w:val="007A102C"/>
    <w:rsid w:val="007A1041"/>
    <w:rsid w:val="007A274A"/>
    <w:rsid w:val="007A2BF7"/>
    <w:rsid w:val="007A2E2A"/>
    <w:rsid w:val="007A3A30"/>
    <w:rsid w:val="007A3F69"/>
    <w:rsid w:val="007A3FC1"/>
    <w:rsid w:val="007A4096"/>
    <w:rsid w:val="007A41B9"/>
    <w:rsid w:val="007A45F2"/>
    <w:rsid w:val="007A4C88"/>
    <w:rsid w:val="007A5E11"/>
    <w:rsid w:val="007A5F6E"/>
    <w:rsid w:val="007A6235"/>
    <w:rsid w:val="007A6928"/>
    <w:rsid w:val="007A7638"/>
    <w:rsid w:val="007A7B09"/>
    <w:rsid w:val="007B0519"/>
    <w:rsid w:val="007B05C7"/>
    <w:rsid w:val="007B0A18"/>
    <w:rsid w:val="007B0D00"/>
    <w:rsid w:val="007B11D2"/>
    <w:rsid w:val="007B204F"/>
    <w:rsid w:val="007B223F"/>
    <w:rsid w:val="007B2412"/>
    <w:rsid w:val="007B25FB"/>
    <w:rsid w:val="007B270D"/>
    <w:rsid w:val="007B28C6"/>
    <w:rsid w:val="007B3538"/>
    <w:rsid w:val="007B3E0A"/>
    <w:rsid w:val="007B3F04"/>
    <w:rsid w:val="007B4495"/>
    <w:rsid w:val="007B4C1E"/>
    <w:rsid w:val="007B4F56"/>
    <w:rsid w:val="007B516E"/>
    <w:rsid w:val="007B5FEE"/>
    <w:rsid w:val="007B6531"/>
    <w:rsid w:val="007B794C"/>
    <w:rsid w:val="007B79B3"/>
    <w:rsid w:val="007B7AB5"/>
    <w:rsid w:val="007C014A"/>
    <w:rsid w:val="007C06AC"/>
    <w:rsid w:val="007C1637"/>
    <w:rsid w:val="007C1F17"/>
    <w:rsid w:val="007C2239"/>
    <w:rsid w:val="007C2A3F"/>
    <w:rsid w:val="007C2E89"/>
    <w:rsid w:val="007C2E95"/>
    <w:rsid w:val="007C3203"/>
    <w:rsid w:val="007C3373"/>
    <w:rsid w:val="007C386A"/>
    <w:rsid w:val="007C3CE9"/>
    <w:rsid w:val="007C42B9"/>
    <w:rsid w:val="007C4595"/>
    <w:rsid w:val="007C49C3"/>
    <w:rsid w:val="007C4A4C"/>
    <w:rsid w:val="007C51CB"/>
    <w:rsid w:val="007C5232"/>
    <w:rsid w:val="007C5361"/>
    <w:rsid w:val="007C57F5"/>
    <w:rsid w:val="007C5830"/>
    <w:rsid w:val="007C5D9C"/>
    <w:rsid w:val="007C5F9E"/>
    <w:rsid w:val="007C62D6"/>
    <w:rsid w:val="007C6590"/>
    <w:rsid w:val="007C6A94"/>
    <w:rsid w:val="007C7A7B"/>
    <w:rsid w:val="007D05DE"/>
    <w:rsid w:val="007D09C7"/>
    <w:rsid w:val="007D0C24"/>
    <w:rsid w:val="007D1D11"/>
    <w:rsid w:val="007D2D9D"/>
    <w:rsid w:val="007D2EB3"/>
    <w:rsid w:val="007D3AF7"/>
    <w:rsid w:val="007D3EC7"/>
    <w:rsid w:val="007D4D8E"/>
    <w:rsid w:val="007D50A4"/>
    <w:rsid w:val="007D616D"/>
    <w:rsid w:val="007D6298"/>
    <w:rsid w:val="007D6541"/>
    <w:rsid w:val="007D699F"/>
    <w:rsid w:val="007D6C30"/>
    <w:rsid w:val="007D6C87"/>
    <w:rsid w:val="007D6EF8"/>
    <w:rsid w:val="007D7440"/>
    <w:rsid w:val="007E00B3"/>
    <w:rsid w:val="007E0390"/>
    <w:rsid w:val="007E0514"/>
    <w:rsid w:val="007E0A7C"/>
    <w:rsid w:val="007E1942"/>
    <w:rsid w:val="007E1B1E"/>
    <w:rsid w:val="007E1E4D"/>
    <w:rsid w:val="007E1EAF"/>
    <w:rsid w:val="007E24B3"/>
    <w:rsid w:val="007E25B3"/>
    <w:rsid w:val="007E41CF"/>
    <w:rsid w:val="007E5002"/>
    <w:rsid w:val="007E5174"/>
    <w:rsid w:val="007E51F4"/>
    <w:rsid w:val="007E647B"/>
    <w:rsid w:val="007E64D2"/>
    <w:rsid w:val="007E6868"/>
    <w:rsid w:val="007E6884"/>
    <w:rsid w:val="007E6B78"/>
    <w:rsid w:val="007E6E0C"/>
    <w:rsid w:val="007E7D82"/>
    <w:rsid w:val="007F0243"/>
    <w:rsid w:val="007F07B5"/>
    <w:rsid w:val="007F0E4C"/>
    <w:rsid w:val="007F12BD"/>
    <w:rsid w:val="007F1A4C"/>
    <w:rsid w:val="007F221D"/>
    <w:rsid w:val="007F23CF"/>
    <w:rsid w:val="007F2CA1"/>
    <w:rsid w:val="007F3C99"/>
    <w:rsid w:val="007F4AC9"/>
    <w:rsid w:val="007F4B08"/>
    <w:rsid w:val="007F4B6E"/>
    <w:rsid w:val="007F567B"/>
    <w:rsid w:val="007F5E48"/>
    <w:rsid w:val="007F660B"/>
    <w:rsid w:val="007F6A1C"/>
    <w:rsid w:val="007F79B0"/>
    <w:rsid w:val="007F7C51"/>
    <w:rsid w:val="007F7CA9"/>
    <w:rsid w:val="008001C6"/>
    <w:rsid w:val="0080093D"/>
    <w:rsid w:val="00801481"/>
    <w:rsid w:val="008016FD"/>
    <w:rsid w:val="008017DF"/>
    <w:rsid w:val="00801A3B"/>
    <w:rsid w:val="00802061"/>
    <w:rsid w:val="00803022"/>
    <w:rsid w:val="00803416"/>
    <w:rsid w:val="00803D5A"/>
    <w:rsid w:val="00803D7E"/>
    <w:rsid w:val="00803EF5"/>
    <w:rsid w:val="0080433E"/>
    <w:rsid w:val="00804426"/>
    <w:rsid w:val="008048AC"/>
    <w:rsid w:val="00804AD3"/>
    <w:rsid w:val="008050A1"/>
    <w:rsid w:val="008062D1"/>
    <w:rsid w:val="0080656E"/>
    <w:rsid w:val="008066B6"/>
    <w:rsid w:val="00806844"/>
    <w:rsid w:val="008074FA"/>
    <w:rsid w:val="00807A1D"/>
    <w:rsid w:val="00807C21"/>
    <w:rsid w:val="008100D0"/>
    <w:rsid w:val="00810A98"/>
    <w:rsid w:val="008114DE"/>
    <w:rsid w:val="008117F5"/>
    <w:rsid w:val="00811A1B"/>
    <w:rsid w:val="00811A73"/>
    <w:rsid w:val="0081271B"/>
    <w:rsid w:val="0081325A"/>
    <w:rsid w:val="0081363F"/>
    <w:rsid w:val="00813761"/>
    <w:rsid w:val="0081384F"/>
    <w:rsid w:val="00813B39"/>
    <w:rsid w:val="00813C60"/>
    <w:rsid w:val="0081471B"/>
    <w:rsid w:val="00814F31"/>
    <w:rsid w:val="008150D0"/>
    <w:rsid w:val="0081529B"/>
    <w:rsid w:val="00816061"/>
    <w:rsid w:val="008160E8"/>
    <w:rsid w:val="00816D09"/>
    <w:rsid w:val="00816F63"/>
    <w:rsid w:val="00817C4A"/>
    <w:rsid w:val="00820237"/>
    <w:rsid w:val="00820585"/>
    <w:rsid w:val="00820978"/>
    <w:rsid w:val="008217C3"/>
    <w:rsid w:val="00821B89"/>
    <w:rsid w:val="008222D3"/>
    <w:rsid w:val="0082286C"/>
    <w:rsid w:val="00822F6D"/>
    <w:rsid w:val="00823B22"/>
    <w:rsid w:val="00823E99"/>
    <w:rsid w:val="00823EAD"/>
    <w:rsid w:val="00824217"/>
    <w:rsid w:val="00824E9E"/>
    <w:rsid w:val="00824EA2"/>
    <w:rsid w:val="008250B9"/>
    <w:rsid w:val="00825319"/>
    <w:rsid w:val="00825E64"/>
    <w:rsid w:val="008261C0"/>
    <w:rsid w:val="0082639E"/>
    <w:rsid w:val="00826908"/>
    <w:rsid w:val="00826AE9"/>
    <w:rsid w:val="00827422"/>
    <w:rsid w:val="00827B95"/>
    <w:rsid w:val="008301A4"/>
    <w:rsid w:val="008301C5"/>
    <w:rsid w:val="00830BA6"/>
    <w:rsid w:val="00830E9C"/>
    <w:rsid w:val="008312D4"/>
    <w:rsid w:val="00831544"/>
    <w:rsid w:val="00831827"/>
    <w:rsid w:val="00831EB9"/>
    <w:rsid w:val="00832421"/>
    <w:rsid w:val="00832979"/>
    <w:rsid w:val="00833DBA"/>
    <w:rsid w:val="00834C0F"/>
    <w:rsid w:val="00835308"/>
    <w:rsid w:val="0083546D"/>
    <w:rsid w:val="00835F86"/>
    <w:rsid w:val="008365AD"/>
    <w:rsid w:val="008376DD"/>
    <w:rsid w:val="00840C93"/>
    <w:rsid w:val="00840CCC"/>
    <w:rsid w:val="008413F8"/>
    <w:rsid w:val="00841B50"/>
    <w:rsid w:val="00842B66"/>
    <w:rsid w:val="00843667"/>
    <w:rsid w:val="008439E4"/>
    <w:rsid w:val="00843E02"/>
    <w:rsid w:val="00843F6A"/>
    <w:rsid w:val="00844518"/>
    <w:rsid w:val="008445B8"/>
    <w:rsid w:val="008445F8"/>
    <w:rsid w:val="00844803"/>
    <w:rsid w:val="00845372"/>
    <w:rsid w:val="008458ED"/>
    <w:rsid w:val="00845C33"/>
    <w:rsid w:val="00846C2F"/>
    <w:rsid w:val="00846F68"/>
    <w:rsid w:val="00847360"/>
    <w:rsid w:val="00847B30"/>
    <w:rsid w:val="00847CEF"/>
    <w:rsid w:val="00847E3A"/>
    <w:rsid w:val="0085002E"/>
    <w:rsid w:val="008505F4"/>
    <w:rsid w:val="0085062E"/>
    <w:rsid w:val="008509E4"/>
    <w:rsid w:val="008510F2"/>
    <w:rsid w:val="0085138D"/>
    <w:rsid w:val="008515D2"/>
    <w:rsid w:val="00851A2F"/>
    <w:rsid w:val="00852386"/>
    <w:rsid w:val="00853512"/>
    <w:rsid w:val="00853645"/>
    <w:rsid w:val="00853BEE"/>
    <w:rsid w:val="00854782"/>
    <w:rsid w:val="00854BCD"/>
    <w:rsid w:val="0085594F"/>
    <w:rsid w:val="00855B75"/>
    <w:rsid w:val="00856B69"/>
    <w:rsid w:val="00856C2C"/>
    <w:rsid w:val="008571D2"/>
    <w:rsid w:val="00857230"/>
    <w:rsid w:val="00857454"/>
    <w:rsid w:val="00857460"/>
    <w:rsid w:val="008577F2"/>
    <w:rsid w:val="008578E0"/>
    <w:rsid w:val="00857C8C"/>
    <w:rsid w:val="0086016C"/>
    <w:rsid w:val="00860177"/>
    <w:rsid w:val="008604BA"/>
    <w:rsid w:val="00861420"/>
    <w:rsid w:val="008643C7"/>
    <w:rsid w:val="00864A9F"/>
    <w:rsid w:val="0086543C"/>
    <w:rsid w:val="00865498"/>
    <w:rsid w:val="00865F48"/>
    <w:rsid w:val="0086620D"/>
    <w:rsid w:val="008665CB"/>
    <w:rsid w:val="00867A92"/>
    <w:rsid w:val="00867F0C"/>
    <w:rsid w:val="0087004B"/>
    <w:rsid w:val="008700DA"/>
    <w:rsid w:val="00870151"/>
    <w:rsid w:val="008705C5"/>
    <w:rsid w:val="00871132"/>
    <w:rsid w:val="00871B02"/>
    <w:rsid w:val="008726F5"/>
    <w:rsid w:val="0087277D"/>
    <w:rsid w:val="008729B0"/>
    <w:rsid w:val="00872BE2"/>
    <w:rsid w:val="00873570"/>
    <w:rsid w:val="00875292"/>
    <w:rsid w:val="00877F71"/>
    <w:rsid w:val="008800FC"/>
    <w:rsid w:val="0088013B"/>
    <w:rsid w:val="0088052B"/>
    <w:rsid w:val="008809AC"/>
    <w:rsid w:val="00880B9D"/>
    <w:rsid w:val="00880CE8"/>
    <w:rsid w:val="0088260C"/>
    <w:rsid w:val="00882CAF"/>
    <w:rsid w:val="00883410"/>
    <w:rsid w:val="00883E2C"/>
    <w:rsid w:val="00884618"/>
    <w:rsid w:val="008847B9"/>
    <w:rsid w:val="00884CE7"/>
    <w:rsid w:val="00884E4D"/>
    <w:rsid w:val="00885478"/>
    <w:rsid w:val="00885D99"/>
    <w:rsid w:val="008867F8"/>
    <w:rsid w:val="00886E3E"/>
    <w:rsid w:val="00886FDA"/>
    <w:rsid w:val="0088741E"/>
    <w:rsid w:val="0088757A"/>
    <w:rsid w:val="00887A9C"/>
    <w:rsid w:val="00887ADA"/>
    <w:rsid w:val="00887CAC"/>
    <w:rsid w:val="00887D8A"/>
    <w:rsid w:val="00890F7F"/>
    <w:rsid w:val="008926E7"/>
    <w:rsid w:val="008930D1"/>
    <w:rsid w:val="00893108"/>
    <w:rsid w:val="0089400B"/>
    <w:rsid w:val="0089415B"/>
    <w:rsid w:val="0089486B"/>
    <w:rsid w:val="008949A2"/>
    <w:rsid w:val="00894F9D"/>
    <w:rsid w:val="00894FAB"/>
    <w:rsid w:val="008954FE"/>
    <w:rsid w:val="00896CC4"/>
    <w:rsid w:val="008972C3"/>
    <w:rsid w:val="0089755A"/>
    <w:rsid w:val="00897C58"/>
    <w:rsid w:val="008A0040"/>
    <w:rsid w:val="008A016E"/>
    <w:rsid w:val="008A018E"/>
    <w:rsid w:val="008A0F79"/>
    <w:rsid w:val="008A1591"/>
    <w:rsid w:val="008A18DA"/>
    <w:rsid w:val="008A1F7D"/>
    <w:rsid w:val="008A23AC"/>
    <w:rsid w:val="008A2CF6"/>
    <w:rsid w:val="008A320E"/>
    <w:rsid w:val="008A3387"/>
    <w:rsid w:val="008A37B7"/>
    <w:rsid w:val="008A444B"/>
    <w:rsid w:val="008A4A4C"/>
    <w:rsid w:val="008A50A7"/>
    <w:rsid w:val="008A565A"/>
    <w:rsid w:val="008A5714"/>
    <w:rsid w:val="008A57D2"/>
    <w:rsid w:val="008A6D8B"/>
    <w:rsid w:val="008A6FE7"/>
    <w:rsid w:val="008A788F"/>
    <w:rsid w:val="008B0455"/>
    <w:rsid w:val="008B04C3"/>
    <w:rsid w:val="008B06FA"/>
    <w:rsid w:val="008B097B"/>
    <w:rsid w:val="008B0F72"/>
    <w:rsid w:val="008B1554"/>
    <w:rsid w:val="008B1716"/>
    <w:rsid w:val="008B1EF7"/>
    <w:rsid w:val="008B23BC"/>
    <w:rsid w:val="008B241F"/>
    <w:rsid w:val="008B276B"/>
    <w:rsid w:val="008B30D8"/>
    <w:rsid w:val="008B30F6"/>
    <w:rsid w:val="008B341B"/>
    <w:rsid w:val="008B35AF"/>
    <w:rsid w:val="008B35B2"/>
    <w:rsid w:val="008B532C"/>
    <w:rsid w:val="008B572C"/>
    <w:rsid w:val="008B5A0F"/>
    <w:rsid w:val="008B5A8E"/>
    <w:rsid w:val="008B6302"/>
    <w:rsid w:val="008B730D"/>
    <w:rsid w:val="008B7CC2"/>
    <w:rsid w:val="008B7EA6"/>
    <w:rsid w:val="008C0164"/>
    <w:rsid w:val="008C188E"/>
    <w:rsid w:val="008C1FDC"/>
    <w:rsid w:val="008C2559"/>
    <w:rsid w:val="008C26F1"/>
    <w:rsid w:val="008C2D63"/>
    <w:rsid w:val="008C2F1F"/>
    <w:rsid w:val="008C3813"/>
    <w:rsid w:val="008C3CB8"/>
    <w:rsid w:val="008C4C6E"/>
    <w:rsid w:val="008C54B2"/>
    <w:rsid w:val="008C58EA"/>
    <w:rsid w:val="008C68F0"/>
    <w:rsid w:val="008C71E8"/>
    <w:rsid w:val="008C7E01"/>
    <w:rsid w:val="008D0A19"/>
    <w:rsid w:val="008D0CD9"/>
    <w:rsid w:val="008D1593"/>
    <w:rsid w:val="008D2532"/>
    <w:rsid w:val="008D2B31"/>
    <w:rsid w:val="008D2E48"/>
    <w:rsid w:val="008D2F0C"/>
    <w:rsid w:val="008D3444"/>
    <w:rsid w:val="008D397B"/>
    <w:rsid w:val="008D3B12"/>
    <w:rsid w:val="008D3ECC"/>
    <w:rsid w:val="008D45D4"/>
    <w:rsid w:val="008D4B41"/>
    <w:rsid w:val="008D5934"/>
    <w:rsid w:val="008D5E44"/>
    <w:rsid w:val="008D6B26"/>
    <w:rsid w:val="008D7133"/>
    <w:rsid w:val="008D77B2"/>
    <w:rsid w:val="008E03B0"/>
    <w:rsid w:val="008E0503"/>
    <w:rsid w:val="008E0E74"/>
    <w:rsid w:val="008E1851"/>
    <w:rsid w:val="008E1DDC"/>
    <w:rsid w:val="008E2CFA"/>
    <w:rsid w:val="008E3549"/>
    <w:rsid w:val="008E360A"/>
    <w:rsid w:val="008E385A"/>
    <w:rsid w:val="008E3A85"/>
    <w:rsid w:val="008E3BAB"/>
    <w:rsid w:val="008E428F"/>
    <w:rsid w:val="008E43DE"/>
    <w:rsid w:val="008E4498"/>
    <w:rsid w:val="008E4755"/>
    <w:rsid w:val="008E48EE"/>
    <w:rsid w:val="008E514D"/>
    <w:rsid w:val="008E5CF9"/>
    <w:rsid w:val="008E627F"/>
    <w:rsid w:val="008E633D"/>
    <w:rsid w:val="008E6BB6"/>
    <w:rsid w:val="008E77BB"/>
    <w:rsid w:val="008E783F"/>
    <w:rsid w:val="008F00B2"/>
    <w:rsid w:val="008F0332"/>
    <w:rsid w:val="008F04A3"/>
    <w:rsid w:val="008F0A48"/>
    <w:rsid w:val="008F0F53"/>
    <w:rsid w:val="008F1964"/>
    <w:rsid w:val="008F22B7"/>
    <w:rsid w:val="008F33CA"/>
    <w:rsid w:val="008F3589"/>
    <w:rsid w:val="008F399B"/>
    <w:rsid w:val="008F3ED0"/>
    <w:rsid w:val="008F40CA"/>
    <w:rsid w:val="008F4AD7"/>
    <w:rsid w:val="008F59FB"/>
    <w:rsid w:val="008F5DD3"/>
    <w:rsid w:val="008F5E3D"/>
    <w:rsid w:val="008F6043"/>
    <w:rsid w:val="008F64AF"/>
    <w:rsid w:val="008F66D7"/>
    <w:rsid w:val="008F66F2"/>
    <w:rsid w:val="008F6AC6"/>
    <w:rsid w:val="008F6B7A"/>
    <w:rsid w:val="008F6C65"/>
    <w:rsid w:val="008F6E2F"/>
    <w:rsid w:val="008F7AE7"/>
    <w:rsid w:val="008F7EA8"/>
    <w:rsid w:val="008F7ED9"/>
    <w:rsid w:val="00900D34"/>
    <w:rsid w:val="00900FAA"/>
    <w:rsid w:val="00901139"/>
    <w:rsid w:val="009011B9"/>
    <w:rsid w:val="00902188"/>
    <w:rsid w:val="0090315A"/>
    <w:rsid w:val="00903328"/>
    <w:rsid w:val="009034A2"/>
    <w:rsid w:val="00903960"/>
    <w:rsid w:val="00903BC5"/>
    <w:rsid w:val="00904628"/>
    <w:rsid w:val="00904B91"/>
    <w:rsid w:val="009051A3"/>
    <w:rsid w:val="00905362"/>
    <w:rsid w:val="00905FE4"/>
    <w:rsid w:val="00906511"/>
    <w:rsid w:val="00906550"/>
    <w:rsid w:val="009073B1"/>
    <w:rsid w:val="009074ED"/>
    <w:rsid w:val="00907719"/>
    <w:rsid w:val="0090772F"/>
    <w:rsid w:val="00907AF5"/>
    <w:rsid w:val="00907D30"/>
    <w:rsid w:val="00907E19"/>
    <w:rsid w:val="009107C2"/>
    <w:rsid w:val="00910938"/>
    <w:rsid w:val="009109A3"/>
    <w:rsid w:val="00910FE4"/>
    <w:rsid w:val="009110DD"/>
    <w:rsid w:val="00911BA8"/>
    <w:rsid w:val="00911C01"/>
    <w:rsid w:val="00911FFA"/>
    <w:rsid w:val="009121A7"/>
    <w:rsid w:val="0091240F"/>
    <w:rsid w:val="00912E51"/>
    <w:rsid w:val="00913ADA"/>
    <w:rsid w:val="009140A3"/>
    <w:rsid w:val="00914F8F"/>
    <w:rsid w:val="00915275"/>
    <w:rsid w:val="00915642"/>
    <w:rsid w:val="00915675"/>
    <w:rsid w:val="009156D9"/>
    <w:rsid w:val="00915DAE"/>
    <w:rsid w:val="00916E39"/>
    <w:rsid w:val="009171BF"/>
    <w:rsid w:val="009176A5"/>
    <w:rsid w:val="00917A3A"/>
    <w:rsid w:val="00920E27"/>
    <w:rsid w:val="0092139E"/>
    <w:rsid w:val="00921F9C"/>
    <w:rsid w:val="009220E5"/>
    <w:rsid w:val="0092249B"/>
    <w:rsid w:val="00922FDD"/>
    <w:rsid w:val="00924294"/>
    <w:rsid w:val="009242B5"/>
    <w:rsid w:val="00924439"/>
    <w:rsid w:val="00924B14"/>
    <w:rsid w:val="00925E59"/>
    <w:rsid w:val="009263A4"/>
    <w:rsid w:val="00926456"/>
    <w:rsid w:val="0092655D"/>
    <w:rsid w:val="00926A0C"/>
    <w:rsid w:val="00926AA6"/>
    <w:rsid w:val="00926AF4"/>
    <w:rsid w:val="00926CDC"/>
    <w:rsid w:val="009271F8"/>
    <w:rsid w:val="009275E1"/>
    <w:rsid w:val="00927736"/>
    <w:rsid w:val="009302B1"/>
    <w:rsid w:val="00930697"/>
    <w:rsid w:val="009306C0"/>
    <w:rsid w:val="00930C4D"/>
    <w:rsid w:val="009310DD"/>
    <w:rsid w:val="0093110B"/>
    <w:rsid w:val="00931680"/>
    <w:rsid w:val="00931714"/>
    <w:rsid w:val="009319B5"/>
    <w:rsid w:val="009319D0"/>
    <w:rsid w:val="00932320"/>
    <w:rsid w:val="00932EC0"/>
    <w:rsid w:val="009331EE"/>
    <w:rsid w:val="00933C17"/>
    <w:rsid w:val="00933F59"/>
    <w:rsid w:val="0093400B"/>
    <w:rsid w:val="0093526B"/>
    <w:rsid w:val="00935C51"/>
    <w:rsid w:val="00935D97"/>
    <w:rsid w:val="009361C8"/>
    <w:rsid w:val="00937124"/>
    <w:rsid w:val="00937C4C"/>
    <w:rsid w:val="00937CD8"/>
    <w:rsid w:val="00937E5A"/>
    <w:rsid w:val="0094032C"/>
    <w:rsid w:val="0094075C"/>
    <w:rsid w:val="009407F7"/>
    <w:rsid w:val="009409F5"/>
    <w:rsid w:val="00941294"/>
    <w:rsid w:val="00941426"/>
    <w:rsid w:val="009417FE"/>
    <w:rsid w:val="00942277"/>
    <w:rsid w:val="00942360"/>
    <w:rsid w:val="009425C6"/>
    <w:rsid w:val="009432EA"/>
    <w:rsid w:val="00943968"/>
    <w:rsid w:val="009439DC"/>
    <w:rsid w:val="00944029"/>
    <w:rsid w:val="00944334"/>
    <w:rsid w:val="00944AD4"/>
    <w:rsid w:val="00944DED"/>
    <w:rsid w:val="0094542E"/>
    <w:rsid w:val="0094707D"/>
    <w:rsid w:val="0094725A"/>
    <w:rsid w:val="009472EC"/>
    <w:rsid w:val="00947A41"/>
    <w:rsid w:val="00947E5B"/>
    <w:rsid w:val="00947FD3"/>
    <w:rsid w:val="0095008C"/>
    <w:rsid w:val="009501ED"/>
    <w:rsid w:val="00950F84"/>
    <w:rsid w:val="009511D0"/>
    <w:rsid w:val="00951EE5"/>
    <w:rsid w:val="009526D7"/>
    <w:rsid w:val="009534D9"/>
    <w:rsid w:val="00953A3E"/>
    <w:rsid w:val="00953E8C"/>
    <w:rsid w:val="00954C82"/>
    <w:rsid w:val="00954EE1"/>
    <w:rsid w:val="00955EBD"/>
    <w:rsid w:val="00955FB4"/>
    <w:rsid w:val="00956366"/>
    <w:rsid w:val="009567A2"/>
    <w:rsid w:val="009569A3"/>
    <w:rsid w:val="00957AAB"/>
    <w:rsid w:val="00957DC8"/>
    <w:rsid w:val="00960279"/>
    <w:rsid w:val="009609DB"/>
    <w:rsid w:val="0096111A"/>
    <w:rsid w:val="00961272"/>
    <w:rsid w:val="009612B3"/>
    <w:rsid w:val="00961C05"/>
    <w:rsid w:val="00961D28"/>
    <w:rsid w:val="00962F11"/>
    <w:rsid w:val="00963988"/>
    <w:rsid w:val="009642BA"/>
    <w:rsid w:val="00964C70"/>
    <w:rsid w:val="00965A84"/>
    <w:rsid w:val="00966736"/>
    <w:rsid w:val="00966D0E"/>
    <w:rsid w:val="00966D2C"/>
    <w:rsid w:val="0096715D"/>
    <w:rsid w:val="0096723B"/>
    <w:rsid w:val="00967567"/>
    <w:rsid w:val="00967D3B"/>
    <w:rsid w:val="00967FAE"/>
    <w:rsid w:val="009706A8"/>
    <w:rsid w:val="0097100F"/>
    <w:rsid w:val="00971645"/>
    <w:rsid w:val="0097189B"/>
    <w:rsid w:val="00971CA3"/>
    <w:rsid w:val="0097226D"/>
    <w:rsid w:val="00972B55"/>
    <w:rsid w:val="00973323"/>
    <w:rsid w:val="00973BD2"/>
    <w:rsid w:val="00973E00"/>
    <w:rsid w:val="00975D1B"/>
    <w:rsid w:val="00976001"/>
    <w:rsid w:val="009763B8"/>
    <w:rsid w:val="0097654A"/>
    <w:rsid w:val="00976835"/>
    <w:rsid w:val="00976A84"/>
    <w:rsid w:val="00980594"/>
    <w:rsid w:val="00980946"/>
    <w:rsid w:val="00980EDC"/>
    <w:rsid w:val="00981ACD"/>
    <w:rsid w:val="009823E0"/>
    <w:rsid w:val="009827EA"/>
    <w:rsid w:val="00982F17"/>
    <w:rsid w:val="009836EE"/>
    <w:rsid w:val="00984655"/>
    <w:rsid w:val="00984992"/>
    <w:rsid w:val="00984F26"/>
    <w:rsid w:val="00986032"/>
    <w:rsid w:val="009866A7"/>
    <w:rsid w:val="00986875"/>
    <w:rsid w:val="00987362"/>
    <w:rsid w:val="0098789A"/>
    <w:rsid w:val="00987A0A"/>
    <w:rsid w:val="009902FC"/>
    <w:rsid w:val="009902FD"/>
    <w:rsid w:val="00991038"/>
    <w:rsid w:val="009919E9"/>
    <w:rsid w:val="00992E58"/>
    <w:rsid w:val="00992E80"/>
    <w:rsid w:val="00993414"/>
    <w:rsid w:val="00993738"/>
    <w:rsid w:val="00993804"/>
    <w:rsid w:val="00993DB6"/>
    <w:rsid w:val="009946A7"/>
    <w:rsid w:val="00996119"/>
    <w:rsid w:val="00996640"/>
    <w:rsid w:val="00996B63"/>
    <w:rsid w:val="00996B9D"/>
    <w:rsid w:val="00997113"/>
    <w:rsid w:val="009972B3"/>
    <w:rsid w:val="00997590"/>
    <w:rsid w:val="009A031E"/>
    <w:rsid w:val="009A033A"/>
    <w:rsid w:val="009A04B8"/>
    <w:rsid w:val="009A1212"/>
    <w:rsid w:val="009A22A8"/>
    <w:rsid w:val="009A3C64"/>
    <w:rsid w:val="009A438D"/>
    <w:rsid w:val="009A4BAE"/>
    <w:rsid w:val="009A5DA5"/>
    <w:rsid w:val="009A6332"/>
    <w:rsid w:val="009A63A9"/>
    <w:rsid w:val="009A6B13"/>
    <w:rsid w:val="009A6F20"/>
    <w:rsid w:val="009A7A1D"/>
    <w:rsid w:val="009B0774"/>
    <w:rsid w:val="009B124C"/>
    <w:rsid w:val="009B141E"/>
    <w:rsid w:val="009B168E"/>
    <w:rsid w:val="009B1EF8"/>
    <w:rsid w:val="009B2274"/>
    <w:rsid w:val="009B234A"/>
    <w:rsid w:val="009B2494"/>
    <w:rsid w:val="009B2512"/>
    <w:rsid w:val="009B36F7"/>
    <w:rsid w:val="009B4588"/>
    <w:rsid w:val="009B4AC9"/>
    <w:rsid w:val="009B4DB1"/>
    <w:rsid w:val="009B4EDB"/>
    <w:rsid w:val="009B4F5C"/>
    <w:rsid w:val="009B59F1"/>
    <w:rsid w:val="009B5B1F"/>
    <w:rsid w:val="009B6338"/>
    <w:rsid w:val="009B6E5B"/>
    <w:rsid w:val="009B7284"/>
    <w:rsid w:val="009B7D32"/>
    <w:rsid w:val="009C0588"/>
    <w:rsid w:val="009C075B"/>
    <w:rsid w:val="009C0E56"/>
    <w:rsid w:val="009C1993"/>
    <w:rsid w:val="009C245D"/>
    <w:rsid w:val="009C2D5D"/>
    <w:rsid w:val="009C30EE"/>
    <w:rsid w:val="009C3AE2"/>
    <w:rsid w:val="009C3FDA"/>
    <w:rsid w:val="009C4944"/>
    <w:rsid w:val="009C59F2"/>
    <w:rsid w:val="009C6090"/>
    <w:rsid w:val="009C6212"/>
    <w:rsid w:val="009C6421"/>
    <w:rsid w:val="009C64CC"/>
    <w:rsid w:val="009C6F43"/>
    <w:rsid w:val="009C7508"/>
    <w:rsid w:val="009C75EB"/>
    <w:rsid w:val="009C7C19"/>
    <w:rsid w:val="009D020C"/>
    <w:rsid w:val="009D0B17"/>
    <w:rsid w:val="009D19C4"/>
    <w:rsid w:val="009D1E63"/>
    <w:rsid w:val="009D1E82"/>
    <w:rsid w:val="009D21C3"/>
    <w:rsid w:val="009D23DD"/>
    <w:rsid w:val="009D2C08"/>
    <w:rsid w:val="009D2C7A"/>
    <w:rsid w:val="009D2D8B"/>
    <w:rsid w:val="009D2DC9"/>
    <w:rsid w:val="009D32B3"/>
    <w:rsid w:val="009D39C2"/>
    <w:rsid w:val="009D44C9"/>
    <w:rsid w:val="009D4D6D"/>
    <w:rsid w:val="009D4FDB"/>
    <w:rsid w:val="009D53A0"/>
    <w:rsid w:val="009D53C3"/>
    <w:rsid w:val="009D55FB"/>
    <w:rsid w:val="009D585C"/>
    <w:rsid w:val="009D5D54"/>
    <w:rsid w:val="009D66A2"/>
    <w:rsid w:val="009D6757"/>
    <w:rsid w:val="009D6B75"/>
    <w:rsid w:val="009D6E7C"/>
    <w:rsid w:val="009D6E89"/>
    <w:rsid w:val="009D72F1"/>
    <w:rsid w:val="009D7853"/>
    <w:rsid w:val="009E03F7"/>
    <w:rsid w:val="009E210E"/>
    <w:rsid w:val="009E2422"/>
    <w:rsid w:val="009E2912"/>
    <w:rsid w:val="009E29FA"/>
    <w:rsid w:val="009E2DE6"/>
    <w:rsid w:val="009E3256"/>
    <w:rsid w:val="009E34D4"/>
    <w:rsid w:val="009E38C1"/>
    <w:rsid w:val="009E3DDD"/>
    <w:rsid w:val="009E55AE"/>
    <w:rsid w:val="009E600E"/>
    <w:rsid w:val="009E68D5"/>
    <w:rsid w:val="009E6EB3"/>
    <w:rsid w:val="009E7125"/>
    <w:rsid w:val="009E72A2"/>
    <w:rsid w:val="009E73FD"/>
    <w:rsid w:val="009E7851"/>
    <w:rsid w:val="009F0462"/>
    <w:rsid w:val="009F0873"/>
    <w:rsid w:val="009F15A6"/>
    <w:rsid w:val="009F17DD"/>
    <w:rsid w:val="009F187B"/>
    <w:rsid w:val="009F1A91"/>
    <w:rsid w:val="009F1AEA"/>
    <w:rsid w:val="009F23DB"/>
    <w:rsid w:val="009F29E8"/>
    <w:rsid w:val="009F4041"/>
    <w:rsid w:val="009F43C9"/>
    <w:rsid w:val="009F5797"/>
    <w:rsid w:val="009F596C"/>
    <w:rsid w:val="009F5E6B"/>
    <w:rsid w:val="009F5FB5"/>
    <w:rsid w:val="009F674A"/>
    <w:rsid w:val="009F6E21"/>
    <w:rsid w:val="009F788B"/>
    <w:rsid w:val="009F796A"/>
    <w:rsid w:val="00A01277"/>
    <w:rsid w:val="00A013B9"/>
    <w:rsid w:val="00A01A5B"/>
    <w:rsid w:val="00A021B7"/>
    <w:rsid w:val="00A0261E"/>
    <w:rsid w:val="00A0266B"/>
    <w:rsid w:val="00A02DCA"/>
    <w:rsid w:val="00A03666"/>
    <w:rsid w:val="00A039B1"/>
    <w:rsid w:val="00A05394"/>
    <w:rsid w:val="00A05775"/>
    <w:rsid w:val="00A05974"/>
    <w:rsid w:val="00A05AD1"/>
    <w:rsid w:val="00A05BFA"/>
    <w:rsid w:val="00A069D8"/>
    <w:rsid w:val="00A06A89"/>
    <w:rsid w:val="00A0713A"/>
    <w:rsid w:val="00A07886"/>
    <w:rsid w:val="00A079A3"/>
    <w:rsid w:val="00A105B2"/>
    <w:rsid w:val="00A108EF"/>
    <w:rsid w:val="00A1092A"/>
    <w:rsid w:val="00A10CC8"/>
    <w:rsid w:val="00A11137"/>
    <w:rsid w:val="00A114B5"/>
    <w:rsid w:val="00A11919"/>
    <w:rsid w:val="00A11F86"/>
    <w:rsid w:val="00A12AB3"/>
    <w:rsid w:val="00A12ACF"/>
    <w:rsid w:val="00A13015"/>
    <w:rsid w:val="00A13358"/>
    <w:rsid w:val="00A13522"/>
    <w:rsid w:val="00A136A7"/>
    <w:rsid w:val="00A1392D"/>
    <w:rsid w:val="00A13E13"/>
    <w:rsid w:val="00A141CC"/>
    <w:rsid w:val="00A1448F"/>
    <w:rsid w:val="00A14629"/>
    <w:rsid w:val="00A14C26"/>
    <w:rsid w:val="00A14DB8"/>
    <w:rsid w:val="00A14FCE"/>
    <w:rsid w:val="00A15BD3"/>
    <w:rsid w:val="00A15BF9"/>
    <w:rsid w:val="00A15C61"/>
    <w:rsid w:val="00A15EE6"/>
    <w:rsid w:val="00A16C46"/>
    <w:rsid w:val="00A170A9"/>
    <w:rsid w:val="00A17609"/>
    <w:rsid w:val="00A20512"/>
    <w:rsid w:val="00A20552"/>
    <w:rsid w:val="00A205E1"/>
    <w:rsid w:val="00A20C95"/>
    <w:rsid w:val="00A214CF"/>
    <w:rsid w:val="00A2218E"/>
    <w:rsid w:val="00A237C9"/>
    <w:rsid w:val="00A23AFA"/>
    <w:rsid w:val="00A2437A"/>
    <w:rsid w:val="00A24768"/>
    <w:rsid w:val="00A2530C"/>
    <w:rsid w:val="00A259F0"/>
    <w:rsid w:val="00A25B05"/>
    <w:rsid w:val="00A2645F"/>
    <w:rsid w:val="00A26B5A"/>
    <w:rsid w:val="00A26CD1"/>
    <w:rsid w:val="00A27C28"/>
    <w:rsid w:val="00A27CAA"/>
    <w:rsid w:val="00A27E59"/>
    <w:rsid w:val="00A30293"/>
    <w:rsid w:val="00A30356"/>
    <w:rsid w:val="00A30728"/>
    <w:rsid w:val="00A3090C"/>
    <w:rsid w:val="00A3178A"/>
    <w:rsid w:val="00A33436"/>
    <w:rsid w:val="00A3490D"/>
    <w:rsid w:val="00A353BC"/>
    <w:rsid w:val="00A3566B"/>
    <w:rsid w:val="00A359DD"/>
    <w:rsid w:val="00A35D2D"/>
    <w:rsid w:val="00A35DEE"/>
    <w:rsid w:val="00A365EC"/>
    <w:rsid w:val="00A3677C"/>
    <w:rsid w:val="00A37F5C"/>
    <w:rsid w:val="00A403AD"/>
    <w:rsid w:val="00A40A2D"/>
    <w:rsid w:val="00A40D57"/>
    <w:rsid w:val="00A40E9F"/>
    <w:rsid w:val="00A41659"/>
    <w:rsid w:val="00A41FA7"/>
    <w:rsid w:val="00A422D8"/>
    <w:rsid w:val="00A42BF9"/>
    <w:rsid w:val="00A4392D"/>
    <w:rsid w:val="00A43B59"/>
    <w:rsid w:val="00A44157"/>
    <w:rsid w:val="00A44E32"/>
    <w:rsid w:val="00A45EDE"/>
    <w:rsid w:val="00A46073"/>
    <w:rsid w:val="00A464E9"/>
    <w:rsid w:val="00A46587"/>
    <w:rsid w:val="00A46FF4"/>
    <w:rsid w:val="00A47B5D"/>
    <w:rsid w:val="00A50574"/>
    <w:rsid w:val="00A513E3"/>
    <w:rsid w:val="00A51717"/>
    <w:rsid w:val="00A519C8"/>
    <w:rsid w:val="00A52261"/>
    <w:rsid w:val="00A5355F"/>
    <w:rsid w:val="00A537D1"/>
    <w:rsid w:val="00A53FF1"/>
    <w:rsid w:val="00A545DD"/>
    <w:rsid w:val="00A54DB3"/>
    <w:rsid w:val="00A55358"/>
    <w:rsid w:val="00A566D5"/>
    <w:rsid w:val="00A567A0"/>
    <w:rsid w:val="00A56F55"/>
    <w:rsid w:val="00A57682"/>
    <w:rsid w:val="00A607ED"/>
    <w:rsid w:val="00A60986"/>
    <w:rsid w:val="00A61670"/>
    <w:rsid w:val="00A618C8"/>
    <w:rsid w:val="00A61C22"/>
    <w:rsid w:val="00A62391"/>
    <w:rsid w:val="00A62791"/>
    <w:rsid w:val="00A62927"/>
    <w:rsid w:val="00A62C5E"/>
    <w:rsid w:val="00A63175"/>
    <w:rsid w:val="00A63B03"/>
    <w:rsid w:val="00A63F05"/>
    <w:rsid w:val="00A641F3"/>
    <w:rsid w:val="00A64919"/>
    <w:rsid w:val="00A64C47"/>
    <w:rsid w:val="00A64E11"/>
    <w:rsid w:val="00A65DDC"/>
    <w:rsid w:val="00A660E6"/>
    <w:rsid w:val="00A66D61"/>
    <w:rsid w:val="00A671FF"/>
    <w:rsid w:val="00A6742E"/>
    <w:rsid w:val="00A67746"/>
    <w:rsid w:val="00A67F19"/>
    <w:rsid w:val="00A701EF"/>
    <w:rsid w:val="00A70BBB"/>
    <w:rsid w:val="00A711A3"/>
    <w:rsid w:val="00A71451"/>
    <w:rsid w:val="00A73AED"/>
    <w:rsid w:val="00A745FB"/>
    <w:rsid w:val="00A74DEB"/>
    <w:rsid w:val="00A7537A"/>
    <w:rsid w:val="00A7614F"/>
    <w:rsid w:val="00A7616C"/>
    <w:rsid w:val="00A76958"/>
    <w:rsid w:val="00A76A9D"/>
    <w:rsid w:val="00A77008"/>
    <w:rsid w:val="00A776BA"/>
    <w:rsid w:val="00A77888"/>
    <w:rsid w:val="00A7795A"/>
    <w:rsid w:val="00A7798F"/>
    <w:rsid w:val="00A77A84"/>
    <w:rsid w:val="00A77D37"/>
    <w:rsid w:val="00A80334"/>
    <w:rsid w:val="00A8173E"/>
    <w:rsid w:val="00A81760"/>
    <w:rsid w:val="00A817A7"/>
    <w:rsid w:val="00A82C6A"/>
    <w:rsid w:val="00A82E4A"/>
    <w:rsid w:val="00A82FD0"/>
    <w:rsid w:val="00A845ED"/>
    <w:rsid w:val="00A84792"/>
    <w:rsid w:val="00A85576"/>
    <w:rsid w:val="00A85A58"/>
    <w:rsid w:val="00A861B8"/>
    <w:rsid w:val="00A8653A"/>
    <w:rsid w:val="00A875BC"/>
    <w:rsid w:val="00A87AD5"/>
    <w:rsid w:val="00A87B28"/>
    <w:rsid w:val="00A908F9"/>
    <w:rsid w:val="00A915D1"/>
    <w:rsid w:val="00A9177E"/>
    <w:rsid w:val="00A91C92"/>
    <w:rsid w:val="00A920FB"/>
    <w:rsid w:val="00A9224D"/>
    <w:rsid w:val="00A9226D"/>
    <w:rsid w:val="00A92BE0"/>
    <w:rsid w:val="00A930CB"/>
    <w:rsid w:val="00A93A1A"/>
    <w:rsid w:val="00A93D56"/>
    <w:rsid w:val="00A93FC3"/>
    <w:rsid w:val="00A94C64"/>
    <w:rsid w:val="00A951E1"/>
    <w:rsid w:val="00A955FD"/>
    <w:rsid w:val="00A95994"/>
    <w:rsid w:val="00A95AD3"/>
    <w:rsid w:val="00A95AE9"/>
    <w:rsid w:val="00A95EA0"/>
    <w:rsid w:val="00A962DD"/>
    <w:rsid w:val="00A9631B"/>
    <w:rsid w:val="00A96365"/>
    <w:rsid w:val="00A965E6"/>
    <w:rsid w:val="00A96B19"/>
    <w:rsid w:val="00A9723D"/>
    <w:rsid w:val="00A97913"/>
    <w:rsid w:val="00A97A3A"/>
    <w:rsid w:val="00AA01FD"/>
    <w:rsid w:val="00AA0363"/>
    <w:rsid w:val="00AA0AE7"/>
    <w:rsid w:val="00AA0D4F"/>
    <w:rsid w:val="00AA0E09"/>
    <w:rsid w:val="00AA16A6"/>
    <w:rsid w:val="00AA188C"/>
    <w:rsid w:val="00AA19CD"/>
    <w:rsid w:val="00AA1A9F"/>
    <w:rsid w:val="00AA1AED"/>
    <w:rsid w:val="00AA1D84"/>
    <w:rsid w:val="00AA1FBD"/>
    <w:rsid w:val="00AA21F3"/>
    <w:rsid w:val="00AA2768"/>
    <w:rsid w:val="00AA2BD2"/>
    <w:rsid w:val="00AA3447"/>
    <w:rsid w:val="00AA3802"/>
    <w:rsid w:val="00AA3AEA"/>
    <w:rsid w:val="00AA3E36"/>
    <w:rsid w:val="00AA4C2C"/>
    <w:rsid w:val="00AA4D3F"/>
    <w:rsid w:val="00AA5EDA"/>
    <w:rsid w:val="00AA604D"/>
    <w:rsid w:val="00AA655F"/>
    <w:rsid w:val="00AA7322"/>
    <w:rsid w:val="00AA7549"/>
    <w:rsid w:val="00AA7A07"/>
    <w:rsid w:val="00AA7CA7"/>
    <w:rsid w:val="00AA7E1B"/>
    <w:rsid w:val="00AB038C"/>
    <w:rsid w:val="00AB09CE"/>
    <w:rsid w:val="00AB0D53"/>
    <w:rsid w:val="00AB1571"/>
    <w:rsid w:val="00AB1ECE"/>
    <w:rsid w:val="00AB268F"/>
    <w:rsid w:val="00AB2722"/>
    <w:rsid w:val="00AB29A9"/>
    <w:rsid w:val="00AB2B01"/>
    <w:rsid w:val="00AB3937"/>
    <w:rsid w:val="00AB427F"/>
    <w:rsid w:val="00AB440F"/>
    <w:rsid w:val="00AB49AF"/>
    <w:rsid w:val="00AB49F0"/>
    <w:rsid w:val="00AB4C57"/>
    <w:rsid w:val="00AB4F21"/>
    <w:rsid w:val="00AB5FB3"/>
    <w:rsid w:val="00AB6BD1"/>
    <w:rsid w:val="00AB6F09"/>
    <w:rsid w:val="00AB75DA"/>
    <w:rsid w:val="00AB7BB0"/>
    <w:rsid w:val="00AB7BCE"/>
    <w:rsid w:val="00AC03A8"/>
    <w:rsid w:val="00AC05B7"/>
    <w:rsid w:val="00AC0A84"/>
    <w:rsid w:val="00AC15FA"/>
    <w:rsid w:val="00AC165F"/>
    <w:rsid w:val="00AC192C"/>
    <w:rsid w:val="00AC1E1C"/>
    <w:rsid w:val="00AC20EF"/>
    <w:rsid w:val="00AC3668"/>
    <w:rsid w:val="00AC3B25"/>
    <w:rsid w:val="00AC3C5B"/>
    <w:rsid w:val="00AC3FF1"/>
    <w:rsid w:val="00AC4B1B"/>
    <w:rsid w:val="00AC536E"/>
    <w:rsid w:val="00AC57ED"/>
    <w:rsid w:val="00AC5AD8"/>
    <w:rsid w:val="00AC6BF8"/>
    <w:rsid w:val="00AC6C89"/>
    <w:rsid w:val="00AC7BDB"/>
    <w:rsid w:val="00AC7C45"/>
    <w:rsid w:val="00AD0C6B"/>
    <w:rsid w:val="00AD0F2C"/>
    <w:rsid w:val="00AD1534"/>
    <w:rsid w:val="00AD160A"/>
    <w:rsid w:val="00AD1CA2"/>
    <w:rsid w:val="00AD209F"/>
    <w:rsid w:val="00AD25D8"/>
    <w:rsid w:val="00AD3449"/>
    <w:rsid w:val="00AD347D"/>
    <w:rsid w:val="00AD3703"/>
    <w:rsid w:val="00AD3830"/>
    <w:rsid w:val="00AD3A23"/>
    <w:rsid w:val="00AD4084"/>
    <w:rsid w:val="00AD41C6"/>
    <w:rsid w:val="00AD4385"/>
    <w:rsid w:val="00AD4782"/>
    <w:rsid w:val="00AD49CD"/>
    <w:rsid w:val="00AD5023"/>
    <w:rsid w:val="00AD5CC2"/>
    <w:rsid w:val="00AD5F89"/>
    <w:rsid w:val="00AD65D9"/>
    <w:rsid w:val="00AD72D8"/>
    <w:rsid w:val="00AD753C"/>
    <w:rsid w:val="00AD7E4C"/>
    <w:rsid w:val="00AE00F7"/>
    <w:rsid w:val="00AE0228"/>
    <w:rsid w:val="00AE02C4"/>
    <w:rsid w:val="00AE0552"/>
    <w:rsid w:val="00AE0E79"/>
    <w:rsid w:val="00AE12A0"/>
    <w:rsid w:val="00AE1799"/>
    <w:rsid w:val="00AE190F"/>
    <w:rsid w:val="00AE1AD4"/>
    <w:rsid w:val="00AE1F55"/>
    <w:rsid w:val="00AE2018"/>
    <w:rsid w:val="00AE20CF"/>
    <w:rsid w:val="00AE2118"/>
    <w:rsid w:val="00AE252B"/>
    <w:rsid w:val="00AE27D7"/>
    <w:rsid w:val="00AE2C38"/>
    <w:rsid w:val="00AE2D20"/>
    <w:rsid w:val="00AE31E9"/>
    <w:rsid w:val="00AE3365"/>
    <w:rsid w:val="00AE33A3"/>
    <w:rsid w:val="00AE3E28"/>
    <w:rsid w:val="00AE4092"/>
    <w:rsid w:val="00AE4A82"/>
    <w:rsid w:val="00AE51D6"/>
    <w:rsid w:val="00AE5613"/>
    <w:rsid w:val="00AE5AAF"/>
    <w:rsid w:val="00AE5DE8"/>
    <w:rsid w:val="00AE6A0C"/>
    <w:rsid w:val="00AE7095"/>
    <w:rsid w:val="00AE7A11"/>
    <w:rsid w:val="00AE7C09"/>
    <w:rsid w:val="00AF01DA"/>
    <w:rsid w:val="00AF02B3"/>
    <w:rsid w:val="00AF03D6"/>
    <w:rsid w:val="00AF0584"/>
    <w:rsid w:val="00AF08B5"/>
    <w:rsid w:val="00AF08DA"/>
    <w:rsid w:val="00AF09CD"/>
    <w:rsid w:val="00AF0A4B"/>
    <w:rsid w:val="00AF1471"/>
    <w:rsid w:val="00AF150D"/>
    <w:rsid w:val="00AF1D9F"/>
    <w:rsid w:val="00AF1DF5"/>
    <w:rsid w:val="00AF278B"/>
    <w:rsid w:val="00AF2E7B"/>
    <w:rsid w:val="00AF4318"/>
    <w:rsid w:val="00AF4498"/>
    <w:rsid w:val="00AF44DD"/>
    <w:rsid w:val="00AF4A89"/>
    <w:rsid w:val="00AF4C35"/>
    <w:rsid w:val="00AF5067"/>
    <w:rsid w:val="00AF5294"/>
    <w:rsid w:val="00AF6437"/>
    <w:rsid w:val="00AF69D9"/>
    <w:rsid w:val="00AF710A"/>
    <w:rsid w:val="00AF7A6F"/>
    <w:rsid w:val="00AF7A9D"/>
    <w:rsid w:val="00B00014"/>
    <w:rsid w:val="00B014F3"/>
    <w:rsid w:val="00B0150A"/>
    <w:rsid w:val="00B01953"/>
    <w:rsid w:val="00B01AF4"/>
    <w:rsid w:val="00B01BC7"/>
    <w:rsid w:val="00B025E4"/>
    <w:rsid w:val="00B02C4C"/>
    <w:rsid w:val="00B02D1E"/>
    <w:rsid w:val="00B0370E"/>
    <w:rsid w:val="00B03D43"/>
    <w:rsid w:val="00B04907"/>
    <w:rsid w:val="00B05A8F"/>
    <w:rsid w:val="00B06FC7"/>
    <w:rsid w:val="00B07417"/>
    <w:rsid w:val="00B0787B"/>
    <w:rsid w:val="00B07E15"/>
    <w:rsid w:val="00B10C6B"/>
    <w:rsid w:val="00B10E5E"/>
    <w:rsid w:val="00B11D72"/>
    <w:rsid w:val="00B12074"/>
    <w:rsid w:val="00B12539"/>
    <w:rsid w:val="00B12994"/>
    <w:rsid w:val="00B13604"/>
    <w:rsid w:val="00B13E5E"/>
    <w:rsid w:val="00B1452C"/>
    <w:rsid w:val="00B14568"/>
    <w:rsid w:val="00B14651"/>
    <w:rsid w:val="00B146FB"/>
    <w:rsid w:val="00B15A64"/>
    <w:rsid w:val="00B15AB9"/>
    <w:rsid w:val="00B15DDA"/>
    <w:rsid w:val="00B15FBF"/>
    <w:rsid w:val="00B16D33"/>
    <w:rsid w:val="00B17982"/>
    <w:rsid w:val="00B20B5E"/>
    <w:rsid w:val="00B212B4"/>
    <w:rsid w:val="00B220D4"/>
    <w:rsid w:val="00B2241E"/>
    <w:rsid w:val="00B22A08"/>
    <w:rsid w:val="00B22A61"/>
    <w:rsid w:val="00B22FE3"/>
    <w:rsid w:val="00B23778"/>
    <w:rsid w:val="00B2415D"/>
    <w:rsid w:val="00B2468A"/>
    <w:rsid w:val="00B24766"/>
    <w:rsid w:val="00B24B87"/>
    <w:rsid w:val="00B24D90"/>
    <w:rsid w:val="00B25000"/>
    <w:rsid w:val="00B2530F"/>
    <w:rsid w:val="00B2543B"/>
    <w:rsid w:val="00B25716"/>
    <w:rsid w:val="00B26A0B"/>
    <w:rsid w:val="00B26C39"/>
    <w:rsid w:val="00B26E81"/>
    <w:rsid w:val="00B2700D"/>
    <w:rsid w:val="00B273A1"/>
    <w:rsid w:val="00B3029E"/>
    <w:rsid w:val="00B302A3"/>
    <w:rsid w:val="00B3088C"/>
    <w:rsid w:val="00B30A59"/>
    <w:rsid w:val="00B31000"/>
    <w:rsid w:val="00B3165F"/>
    <w:rsid w:val="00B31C8A"/>
    <w:rsid w:val="00B32057"/>
    <w:rsid w:val="00B32596"/>
    <w:rsid w:val="00B327A4"/>
    <w:rsid w:val="00B3386A"/>
    <w:rsid w:val="00B34644"/>
    <w:rsid w:val="00B34787"/>
    <w:rsid w:val="00B34F59"/>
    <w:rsid w:val="00B34F71"/>
    <w:rsid w:val="00B354DC"/>
    <w:rsid w:val="00B36103"/>
    <w:rsid w:val="00B3629B"/>
    <w:rsid w:val="00B363C9"/>
    <w:rsid w:val="00B36825"/>
    <w:rsid w:val="00B36999"/>
    <w:rsid w:val="00B36A59"/>
    <w:rsid w:val="00B37E42"/>
    <w:rsid w:val="00B37EBF"/>
    <w:rsid w:val="00B4034A"/>
    <w:rsid w:val="00B40A47"/>
    <w:rsid w:val="00B40E51"/>
    <w:rsid w:val="00B41175"/>
    <w:rsid w:val="00B415E7"/>
    <w:rsid w:val="00B41B3C"/>
    <w:rsid w:val="00B41FE5"/>
    <w:rsid w:val="00B4220A"/>
    <w:rsid w:val="00B428CB"/>
    <w:rsid w:val="00B4463D"/>
    <w:rsid w:val="00B44BED"/>
    <w:rsid w:val="00B45235"/>
    <w:rsid w:val="00B454B4"/>
    <w:rsid w:val="00B4550A"/>
    <w:rsid w:val="00B455BD"/>
    <w:rsid w:val="00B466DB"/>
    <w:rsid w:val="00B46772"/>
    <w:rsid w:val="00B469C2"/>
    <w:rsid w:val="00B4720C"/>
    <w:rsid w:val="00B473A0"/>
    <w:rsid w:val="00B47C97"/>
    <w:rsid w:val="00B47D0A"/>
    <w:rsid w:val="00B47D9B"/>
    <w:rsid w:val="00B51990"/>
    <w:rsid w:val="00B52AA9"/>
    <w:rsid w:val="00B52C9A"/>
    <w:rsid w:val="00B53006"/>
    <w:rsid w:val="00B5349F"/>
    <w:rsid w:val="00B53B02"/>
    <w:rsid w:val="00B53DB2"/>
    <w:rsid w:val="00B53E96"/>
    <w:rsid w:val="00B546BE"/>
    <w:rsid w:val="00B54B11"/>
    <w:rsid w:val="00B54FD0"/>
    <w:rsid w:val="00B55050"/>
    <w:rsid w:val="00B550D2"/>
    <w:rsid w:val="00B553D7"/>
    <w:rsid w:val="00B55466"/>
    <w:rsid w:val="00B554BB"/>
    <w:rsid w:val="00B5571C"/>
    <w:rsid w:val="00B55B0A"/>
    <w:rsid w:val="00B55E7E"/>
    <w:rsid w:val="00B56145"/>
    <w:rsid w:val="00B5640F"/>
    <w:rsid w:val="00B57B6D"/>
    <w:rsid w:val="00B602B6"/>
    <w:rsid w:val="00B60AAF"/>
    <w:rsid w:val="00B613F1"/>
    <w:rsid w:val="00B615C3"/>
    <w:rsid w:val="00B61726"/>
    <w:rsid w:val="00B61808"/>
    <w:rsid w:val="00B619D4"/>
    <w:rsid w:val="00B61B2D"/>
    <w:rsid w:val="00B61F07"/>
    <w:rsid w:val="00B62CF0"/>
    <w:rsid w:val="00B63950"/>
    <w:rsid w:val="00B639E7"/>
    <w:rsid w:val="00B64002"/>
    <w:rsid w:val="00B6418A"/>
    <w:rsid w:val="00B65E43"/>
    <w:rsid w:val="00B65E92"/>
    <w:rsid w:val="00B6616F"/>
    <w:rsid w:val="00B6695E"/>
    <w:rsid w:val="00B67804"/>
    <w:rsid w:val="00B678F1"/>
    <w:rsid w:val="00B67B25"/>
    <w:rsid w:val="00B70164"/>
    <w:rsid w:val="00B7097A"/>
    <w:rsid w:val="00B70A47"/>
    <w:rsid w:val="00B70AC0"/>
    <w:rsid w:val="00B715BF"/>
    <w:rsid w:val="00B71EF7"/>
    <w:rsid w:val="00B72167"/>
    <w:rsid w:val="00B72BC5"/>
    <w:rsid w:val="00B73862"/>
    <w:rsid w:val="00B73A29"/>
    <w:rsid w:val="00B74053"/>
    <w:rsid w:val="00B74ADD"/>
    <w:rsid w:val="00B74BF9"/>
    <w:rsid w:val="00B76767"/>
    <w:rsid w:val="00B767A7"/>
    <w:rsid w:val="00B76AF6"/>
    <w:rsid w:val="00B80A84"/>
    <w:rsid w:val="00B80CC4"/>
    <w:rsid w:val="00B8132B"/>
    <w:rsid w:val="00B81383"/>
    <w:rsid w:val="00B8188B"/>
    <w:rsid w:val="00B81936"/>
    <w:rsid w:val="00B81C61"/>
    <w:rsid w:val="00B821EB"/>
    <w:rsid w:val="00B82333"/>
    <w:rsid w:val="00B82418"/>
    <w:rsid w:val="00B828CE"/>
    <w:rsid w:val="00B82908"/>
    <w:rsid w:val="00B829B4"/>
    <w:rsid w:val="00B82DEA"/>
    <w:rsid w:val="00B82F65"/>
    <w:rsid w:val="00B83015"/>
    <w:rsid w:val="00B8360E"/>
    <w:rsid w:val="00B83B58"/>
    <w:rsid w:val="00B84A0F"/>
    <w:rsid w:val="00B85B72"/>
    <w:rsid w:val="00B85C70"/>
    <w:rsid w:val="00B8610E"/>
    <w:rsid w:val="00B86FFF"/>
    <w:rsid w:val="00B87433"/>
    <w:rsid w:val="00B87C45"/>
    <w:rsid w:val="00B90277"/>
    <w:rsid w:val="00B906F3"/>
    <w:rsid w:val="00B90AAF"/>
    <w:rsid w:val="00B91B45"/>
    <w:rsid w:val="00B92619"/>
    <w:rsid w:val="00B9324F"/>
    <w:rsid w:val="00B936C9"/>
    <w:rsid w:val="00B938C7"/>
    <w:rsid w:val="00B93BDE"/>
    <w:rsid w:val="00B93C5C"/>
    <w:rsid w:val="00B9442F"/>
    <w:rsid w:val="00B9514C"/>
    <w:rsid w:val="00B9515E"/>
    <w:rsid w:val="00B951AF"/>
    <w:rsid w:val="00B952F1"/>
    <w:rsid w:val="00B9602F"/>
    <w:rsid w:val="00B96D9F"/>
    <w:rsid w:val="00B96E47"/>
    <w:rsid w:val="00B970C7"/>
    <w:rsid w:val="00B9715D"/>
    <w:rsid w:val="00B97D56"/>
    <w:rsid w:val="00BA00EE"/>
    <w:rsid w:val="00BA020E"/>
    <w:rsid w:val="00BA03A0"/>
    <w:rsid w:val="00BA03E3"/>
    <w:rsid w:val="00BA11C9"/>
    <w:rsid w:val="00BA30DE"/>
    <w:rsid w:val="00BA3118"/>
    <w:rsid w:val="00BA345A"/>
    <w:rsid w:val="00BA353A"/>
    <w:rsid w:val="00BA392F"/>
    <w:rsid w:val="00BA3A94"/>
    <w:rsid w:val="00BA40D7"/>
    <w:rsid w:val="00BA5744"/>
    <w:rsid w:val="00BA6384"/>
    <w:rsid w:val="00BA64AC"/>
    <w:rsid w:val="00BA6865"/>
    <w:rsid w:val="00BA6E3A"/>
    <w:rsid w:val="00BA704A"/>
    <w:rsid w:val="00BA786A"/>
    <w:rsid w:val="00BA78D4"/>
    <w:rsid w:val="00BA7EB2"/>
    <w:rsid w:val="00BA7EDD"/>
    <w:rsid w:val="00BB0507"/>
    <w:rsid w:val="00BB0520"/>
    <w:rsid w:val="00BB0D5D"/>
    <w:rsid w:val="00BB0EF7"/>
    <w:rsid w:val="00BB1309"/>
    <w:rsid w:val="00BB15FF"/>
    <w:rsid w:val="00BB16F2"/>
    <w:rsid w:val="00BB1E4E"/>
    <w:rsid w:val="00BB2031"/>
    <w:rsid w:val="00BB272B"/>
    <w:rsid w:val="00BB2F90"/>
    <w:rsid w:val="00BB302A"/>
    <w:rsid w:val="00BB304F"/>
    <w:rsid w:val="00BB3255"/>
    <w:rsid w:val="00BB3623"/>
    <w:rsid w:val="00BB3B53"/>
    <w:rsid w:val="00BB55C8"/>
    <w:rsid w:val="00BB5ABE"/>
    <w:rsid w:val="00BB5CBE"/>
    <w:rsid w:val="00BB658F"/>
    <w:rsid w:val="00BB6BE7"/>
    <w:rsid w:val="00BB7967"/>
    <w:rsid w:val="00BC0923"/>
    <w:rsid w:val="00BC15F7"/>
    <w:rsid w:val="00BC1C77"/>
    <w:rsid w:val="00BC2B57"/>
    <w:rsid w:val="00BC2B81"/>
    <w:rsid w:val="00BC2EEC"/>
    <w:rsid w:val="00BC300D"/>
    <w:rsid w:val="00BC3787"/>
    <w:rsid w:val="00BC4156"/>
    <w:rsid w:val="00BC48E0"/>
    <w:rsid w:val="00BC4C38"/>
    <w:rsid w:val="00BC51F8"/>
    <w:rsid w:val="00BC524F"/>
    <w:rsid w:val="00BC5926"/>
    <w:rsid w:val="00BC5948"/>
    <w:rsid w:val="00BC66FB"/>
    <w:rsid w:val="00BC68E0"/>
    <w:rsid w:val="00BC695D"/>
    <w:rsid w:val="00BC6E8E"/>
    <w:rsid w:val="00BC6FAB"/>
    <w:rsid w:val="00BC7702"/>
    <w:rsid w:val="00BC7AB7"/>
    <w:rsid w:val="00BD12FD"/>
    <w:rsid w:val="00BD13E6"/>
    <w:rsid w:val="00BD1C1F"/>
    <w:rsid w:val="00BD2B7B"/>
    <w:rsid w:val="00BD2FE1"/>
    <w:rsid w:val="00BD34F1"/>
    <w:rsid w:val="00BD353A"/>
    <w:rsid w:val="00BD42D5"/>
    <w:rsid w:val="00BD49F8"/>
    <w:rsid w:val="00BD49F9"/>
    <w:rsid w:val="00BD5142"/>
    <w:rsid w:val="00BD5899"/>
    <w:rsid w:val="00BD59B2"/>
    <w:rsid w:val="00BD5FE4"/>
    <w:rsid w:val="00BD6228"/>
    <w:rsid w:val="00BD6820"/>
    <w:rsid w:val="00BD6C66"/>
    <w:rsid w:val="00BD7BB6"/>
    <w:rsid w:val="00BE0C7A"/>
    <w:rsid w:val="00BE10C3"/>
    <w:rsid w:val="00BE10D6"/>
    <w:rsid w:val="00BE3B3E"/>
    <w:rsid w:val="00BE4573"/>
    <w:rsid w:val="00BE50BB"/>
    <w:rsid w:val="00BE52CD"/>
    <w:rsid w:val="00BE5CEA"/>
    <w:rsid w:val="00BE5D56"/>
    <w:rsid w:val="00BE6000"/>
    <w:rsid w:val="00BE6231"/>
    <w:rsid w:val="00BE78C1"/>
    <w:rsid w:val="00BE7A7F"/>
    <w:rsid w:val="00BF0F16"/>
    <w:rsid w:val="00BF0F58"/>
    <w:rsid w:val="00BF11AA"/>
    <w:rsid w:val="00BF1D5B"/>
    <w:rsid w:val="00BF1E21"/>
    <w:rsid w:val="00BF247A"/>
    <w:rsid w:val="00BF2B98"/>
    <w:rsid w:val="00BF2F3D"/>
    <w:rsid w:val="00BF2FB1"/>
    <w:rsid w:val="00BF323D"/>
    <w:rsid w:val="00BF32DD"/>
    <w:rsid w:val="00BF3E32"/>
    <w:rsid w:val="00BF405F"/>
    <w:rsid w:val="00BF4C41"/>
    <w:rsid w:val="00BF5D2E"/>
    <w:rsid w:val="00BF5E81"/>
    <w:rsid w:val="00BF6364"/>
    <w:rsid w:val="00BF6671"/>
    <w:rsid w:val="00BF67D8"/>
    <w:rsid w:val="00BF7817"/>
    <w:rsid w:val="00BF7D59"/>
    <w:rsid w:val="00C00012"/>
    <w:rsid w:val="00C00495"/>
    <w:rsid w:val="00C00631"/>
    <w:rsid w:val="00C00910"/>
    <w:rsid w:val="00C009AC"/>
    <w:rsid w:val="00C02082"/>
    <w:rsid w:val="00C022B8"/>
    <w:rsid w:val="00C0250C"/>
    <w:rsid w:val="00C0285A"/>
    <w:rsid w:val="00C03198"/>
    <w:rsid w:val="00C03BF2"/>
    <w:rsid w:val="00C03C64"/>
    <w:rsid w:val="00C04EB9"/>
    <w:rsid w:val="00C0577B"/>
    <w:rsid w:val="00C05AFF"/>
    <w:rsid w:val="00C06080"/>
    <w:rsid w:val="00C06C59"/>
    <w:rsid w:val="00C07580"/>
    <w:rsid w:val="00C0773F"/>
    <w:rsid w:val="00C10043"/>
    <w:rsid w:val="00C10574"/>
    <w:rsid w:val="00C11153"/>
    <w:rsid w:val="00C11E6A"/>
    <w:rsid w:val="00C120AC"/>
    <w:rsid w:val="00C1631A"/>
    <w:rsid w:val="00C17393"/>
    <w:rsid w:val="00C173B8"/>
    <w:rsid w:val="00C17648"/>
    <w:rsid w:val="00C1774A"/>
    <w:rsid w:val="00C17C9C"/>
    <w:rsid w:val="00C17D65"/>
    <w:rsid w:val="00C204B0"/>
    <w:rsid w:val="00C210F5"/>
    <w:rsid w:val="00C211FB"/>
    <w:rsid w:val="00C21353"/>
    <w:rsid w:val="00C21463"/>
    <w:rsid w:val="00C215E6"/>
    <w:rsid w:val="00C21772"/>
    <w:rsid w:val="00C22208"/>
    <w:rsid w:val="00C22569"/>
    <w:rsid w:val="00C22A4C"/>
    <w:rsid w:val="00C22FFC"/>
    <w:rsid w:val="00C23058"/>
    <w:rsid w:val="00C23098"/>
    <w:rsid w:val="00C23D76"/>
    <w:rsid w:val="00C23E31"/>
    <w:rsid w:val="00C244BF"/>
    <w:rsid w:val="00C245AC"/>
    <w:rsid w:val="00C247AD"/>
    <w:rsid w:val="00C25EDE"/>
    <w:rsid w:val="00C26B5E"/>
    <w:rsid w:val="00C27D4A"/>
    <w:rsid w:val="00C30956"/>
    <w:rsid w:val="00C31220"/>
    <w:rsid w:val="00C31CEE"/>
    <w:rsid w:val="00C32117"/>
    <w:rsid w:val="00C33065"/>
    <w:rsid w:val="00C3306F"/>
    <w:rsid w:val="00C33327"/>
    <w:rsid w:val="00C3343A"/>
    <w:rsid w:val="00C334C7"/>
    <w:rsid w:val="00C3366F"/>
    <w:rsid w:val="00C33FA0"/>
    <w:rsid w:val="00C348C0"/>
    <w:rsid w:val="00C349FA"/>
    <w:rsid w:val="00C34EED"/>
    <w:rsid w:val="00C3588D"/>
    <w:rsid w:val="00C36011"/>
    <w:rsid w:val="00C360FD"/>
    <w:rsid w:val="00C363D6"/>
    <w:rsid w:val="00C368EB"/>
    <w:rsid w:val="00C36A5B"/>
    <w:rsid w:val="00C36ECE"/>
    <w:rsid w:val="00C37577"/>
    <w:rsid w:val="00C376C0"/>
    <w:rsid w:val="00C3798C"/>
    <w:rsid w:val="00C37CF6"/>
    <w:rsid w:val="00C40481"/>
    <w:rsid w:val="00C41142"/>
    <w:rsid w:val="00C411BD"/>
    <w:rsid w:val="00C411DD"/>
    <w:rsid w:val="00C41A44"/>
    <w:rsid w:val="00C42543"/>
    <w:rsid w:val="00C42791"/>
    <w:rsid w:val="00C4291D"/>
    <w:rsid w:val="00C43841"/>
    <w:rsid w:val="00C43F11"/>
    <w:rsid w:val="00C44973"/>
    <w:rsid w:val="00C44D85"/>
    <w:rsid w:val="00C45171"/>
    <w:rsid w:val="00C4525C"/>
    <w:rsid w:val="00C45749"/>
    <w:rsid w:val="00C458BC"/>
    <w:rsid w:val="00C45A34"/>
    <w:rsid w:val="00C45E13"/>
    <w:rsid w:val="00C46678"/>
    <w:rsid w:val="00C46ABA"/>
    <w:rsid w:val="00C46E5E"/>
    <w:rsid w:val="00C46F13"/>
    <w:rsid w:val="00C4770E"/>
    <w:rsid w:val="00C47EE6"/>
    <w:rsid w:val="00C50BF0"/>
    <w:rsid w:val="00C51DC6"/>
    <w:rsid w:val="00C52031"/>
    <w:rsid w:val="00C53781"/>
    <w:rsid w:val="00C53E73"/>
    <w:rsid w:val="00C5446A"/>
    <w:rsid w:val="00C5494D"/>
    <w:rsid w:val="00C549C6"/>
    <w:rsid w:val="00C55651"/>
    <w:rsid w:val="00C557C4"/>
    <w:rsid w:val="00C56097"/>
    <w:rsid w:val="00C572B3"/>
    <w:rsid w:val="00C5741B"/>
    <w:rsid w:val="00C574DE"/>
    <w:rsid w:val="00C577AA"/>
    <w:rsid w:val="00C5792B"/>
    <w:rsid w:val="00C57B62"/>
    <w:rsid w:val="00C57FB7"/>
    <w:rsid w:val="00C600B4"/>
    <w:rsid w:val="00C61DDC"/>
    <w:rsid w:val="00C62980"/>
    <w:rsid w:val="00C63BB3"/>
    <w:rsid w:val="00C646D3"/>
    <w:rsid w:val="00C64DDE"/>
    <w:rsid w:val="00C667D3"/>
    <w:rsid w:val="00C66B8C"/>
    <w:rsid w:val="00C67698"/>
    <w:rsid w:val="00C7055E"/>
    <w:rsid w:val="00C7072E"/>
    <w:rsid w:val="00C70A7C"/>
    <w:rsid w:val="00C70CCD"/>
    <w:rsid w:val="00C71090"/>
    <w:rsid w:val="00C728DB"/>
    <w:rsid w:val="00C7334E"/>
    <w:rsid w:val="00C734A1"/>
    <w:rsid w:val="00C7359F"/>
    <w:rsid w:val="00C738D8"/>
    <w:rsid w:val="00C74026"/>
    <w:rsid w:val="00C743CA"/>
    <w:rsid w:val="00C743FD"/>
    <w:rsid w:val="00C74879"/>
    <w:rsid w:val="00C74DB6"/>
    <w:rsid w:val="00C75516"/>
    <w:rsid w:val="00C75839"/>
    <w:rsid w:val="00C762FB"/>
    <w:rsid w:val="00C76475"/>
    <w:rsid w:val="00C77430"/>
    <w:rsid w:val="00C7756A"/>
    <w:rsid w:val="00C77599"/>
    <w:rsid w:val="00C77D39"/>
    <w:rsid w:val="00C77EDF"/>
    <w:rsid w:val="00C802B4"/>
    <w:rsid w:val="00C8147D"/>
    <w:rsid w:val="00C815F0"/>
    <w:rsid w:val="00C8176F"/>
    <w:rsid w:val="00C81A95"/>
    <w:rsid w:val="00C824CB"/>
    <w:rsid w:val="00C82E30"/>
    <w:rsid w:val="00C84049"/>
    <w:rsid w:val="00C841E9"/>
    <w:rsid w:val="00C84992"/>
    <w:rsid w:val="00C84D47"/>
    <w:rsid w:val="00C85989"/>
    <w:rsid w:val="00C85C15"/>
    <w:rsid w:val="00C8675F"/>
    <w:rsid w:val="00C86AA3"/>
    <w:rsid w:val="00C86EA8"/>
    <w:rsid w:val="00C87E51"/>
    <w:rsid w:val="00C90172"/>
    <w:rsid w:val="00C904D1"/>
    <w:rsid w:val="00C90578"/>
    <w:rsid w:val="00C90701"/>
    <w:rsid w:val="00C90844"/>
    <w:rsid w:val="00C90885"/>
    <w:rsid w:val="00C90BA4"/>
    <w:rsid w:val="00C90F87"/>
    <w:rsid w:val="00C92BFD"/>
    <w:rsid w:val="00C9396E"/>
    <w:rsid w:val="00C941CD"/>
    <w:rsid w:val="00C95020"/>
    <w:rsid w:val="00C9533F"/>
    <w:rsid w:val="00C95358"/>
    <w:rsid w:val="00C95D95"/>
    <w:rsid w:val="00C961CE"/>
    <w:rsid w:val="00C96C4E"/>
    <w:rsid w:val="00C96DB1"/>
    <w:rsid w:val="00C9799C"/>
    <w:rsid w:val="00CA039E"/>
    <w:rsid w:val="00CA16D5"/>
    <w:rsid w:val="00CA19C1"/>
    <w:rsid w:val="00CA226C"/>
    <w:rsid w:val="00CA27DD"/>
    <w:rsid w:val="00CA2821"/>
    <w:rsid w:val="00CA2AC1"/>
    <w:rsid w:val="00CA2E48"/>
    <w:rsid w:val="00CA326F"/>
    <w:rsid w:val="00CA3495"/>
    <w:rsid w:val="00CA35F4"/>
    <w:rsid w:val="00CA38F4"/>
    <w:rsid w:val="00CA3C9A"/>
    <w:rsid w:val="00CA4001"/>
    <w:rsid w:val="00CA467B"/>
    <w:rsid w:val="00CA4BA2"/>
    <w:rsid w:val="00CA4D71"/>
    <w:rsid w:val="00CA569F"/>
    <w:rsid w:val="00CA5E97"/>
    <w:rsid w:val="00CA62D0"/>
    <w:rsid w:val="00CA666A"/>
    <w:rsid w:val="00CA6A74"/>
    <w:rsid w:val="00CA6A86"/>
    <w:rsid w:val="00CA718F"/>
    <w:rsid w:val="00CA79A5"/>
    <w:rsid w:val="00CA7E14"/>
    <w:rsid w:val="00CA7E9D"/>
    <w:rsid w:val="00CB00FD"/>
    <w:rsid w:val="00CB0ABA"/>
    <w:rsid w:val="00CB1E0F"/>
    <w:rsid w:val="00CB2616"/>
    <w:rsid w:val="00CB2640"/>
    <w:rsid w:val="00CB2816"/>
    <w:rsid w:val="00CB2A3F"/>
    <w:rsid w:val="00CB2DBF"/>
    <w:rsid w:val="00CB378D"/>
    <w:rsid w:val="00CB38C4"/>
    <w:rsid w:val="00CB3C1E"/>
    <w:rsid w:val="00CB429F"/>
    <w:rsid w:val="00CB4BAB"/>
    <w:rsid w:val="00CB50D5"/>
    <w:rsid w:val="00CB52D3"/>
    <w:rsid w:val="00CB64C6"/>
    <w:rsid w:val="00CB67EF"/>
    <w:rsid w:val="00CB693F"/>
    <w:rsid w:val="00CB6B62"/>
    <w:rsid w:val="00CB6F4F"/>
    <w:rsid w:val="00CB716F"/>
    <w:rsid w:val="00CC0117"/>
    <w:rsid w:val="00CC020E"/>
    <w:rsid w:val="00CC058C"/>
    <w:rsid w:val="00CC0BF1"/>
    <w:rsid w:val="00CC0C91"/>
    <w:rsid w:val="00CC0F49"/>
    <w:rsid w:val="00CC1738"/>
    <w:rsid w:val="00CC28D0"/>
    <w:rsid w:val="00CC2D1D"/>
    <w:rsid w:val="00CC3EA6"/>
    <w:rsid w:val="00CC5785"/>
    <w:rsid w:val="00CC642D"/>
    <w:rsid w:val="00CC7737"/>
    <w:rsid w:val="00CC77D7"/>
    <w:rsid w:val="00CC7C8F"/>
    <w:rsid w:val="00CC7DEF"/>
    <w:rsid w:val="00CC7F52"/>
    <w:rsid w:val="00CD02DE"/>
    <w:rsid w:val="00CD0522"/>
    <w:rsid w:val="00CD180D"/>
    <w:rsid w:val="00CD1EC5"/>
    <w:rsid w:val="00CD2414"/>
    <w:rsid w:val="00CD2A02"/>
    <w:rsid w:val="00CD313E"/>
    <w:rsid w:val="00CD374C"/>
    <w:rsid w:val="00CD3E17"/>
    <w:rsid w:val="00CD3EDA"/>
    <w:rsid w:val="00CD43BC"/>
    <w:rsid w:val="00CD4965"/>
    <w:rsid w:val="00CD4EB1"/>
    <w:rsid w:val="00CD548E"/>
    <w:rsid w:val="00CD575F"/>
    <w:rsid w:val="00CD588C"/>
    <w:rsid w:val="00CD5D71"/>
    <w:rsid w:val="00CD696A"/>
    <w:rsid w:val="00CD6996"/>
    <w:rsid w:val="00CD70AE"/>
    <w:rsid w:val="00CD7DF7"/>
    <w:rsid w:val="00CD7E8F"/>
    <w:rsid w:val="00CE00EF"/>
    <w:rsid w:val="00CE0ADA"/>
    <w:rsid w:val="00CE0CCA"/>
    <w:rsid w:val="00CE19B4"/>
    <w:rsid w:val="00CE2E86"/>
    <w:rsid w:val="00CE302C"/>
    <w:rsid w:val="00CE30E3"/>
    <w:rsid w:val="00CE46FD"/>
    <w:rsid w:val="00CE57B1"/>
    <w:rsid w:val="00CE5E94"/>
    <w:rsid w:val="00CE6120"/>
    <w:rsid w:val="00CE6283"/>
    <w:rsid w:val="00CE6798"/>
    <w:rsid w:val="00CE6EB0"/>
    <w:rsid w:val="00CE705B"/>
    <w:rsid w:val="00CE7257"/>
    <w:rsid w:val="00CE7334"/>
    <w:rsid w:val="00CF03E5"/>
    <w:rsid w:val="00CF08C7"/>
    <w:rsid w:val="00CF0A3A"/>
    <w:rsid w:val="00CF1286"/>
    <w:rsid w:val="00CF1560"/>
    <w:rsid w:val="00CF18F3"/>
    <w:rsid w:val="00CF19E8"/>
    <w:rsid w:val="00CF1F7E"/>
    <w:rsid w:val="00CF2511"/>
    <w:rsid w:val="00CF2F5F"/>
    <w:rsid w:val="00CF3A5E"/>
    <w:rsid w:val="00CF3AE2"/>
    <w:rsid w:val="00CF4687"/>
    <w:rsid w:val="00CF4D86"/>
    <w:rsid w:val="00CF5A59"/>
    <w:rsid w:val="00CF5B7B"/>
    <w:rsid w:val="00CF5E86"/>
    <w:rsid w:val="00CF672D"/>
    <w:rsid w:val="00CF6834"/>
    <w:rsid w:val="00CF71B2"/>
    <w:rsid w:val="00CF7640"/>
    <w:rsid w:val="00D01004"/>
    <w:rsid w:val="00D0172C"/>
    <w:rsid w:val="00D0183E"/>
    <w:rsid w:val="00D02107"/>
    <w:rsid w:val="00D02176"/>
    <w:rsid w:val="00D02F75"/>
    <w:rsid w:val="00D03343"/>
    <w:rsid w:val="00D03C4F"/>
    <w:rsid w:val="00D03E10"/>
    <w:rsid w:val="00D03FA4"/>
    <w:rsid w:val="00D047CC"/>
    <w:rsid w:val="00D049DC"/>
    <w:rsid w:val="00D04ACB"/>
    <w:rsid w:val="00D05927"/>
    <w:rsid w:val="00D05B7E"/>
    <w:rsid w:val="00D05F47"/>
    <w:rsid w:val="00D06248"/>
    <w:rsid w:val="00D06787"/>
    <w:rsid w:val="00D06CB5"/>
    <w:rsid w:val="00D103D0"/>
    <w:rsid w:val="00D10859"/>
    <w:rsid w:val="00D11697"/>
    <w:rsid w:val="00D11E99"/>
    <w:rsid w:val="00D1221F"/>
    <w:rsid w:val="00D12EAA"/>
    <w:rsid w:val="00D143BD"/>
    <w:rsid w:val="00D1469C"/>
    <w:rsid w:val="00D1513F"/>
    <w:rsid w:val="00D15379"/>
    <w:rsid w:val="00D1572E"/>
    <w:rsid w:val="00D15E67"/>
    <w:rsid w:val="00D17B42"/>
    <w:rsid w:val="00D17C32"/>
    <w:rsid w:val="00D17E48"/>
    <w:rsid w:val="00D21B82"/>
    <w:rsid w:val="00D22CE8"/>
    <w:rsid w:val="00D231D9"/>
    <w:rsid w:val="00D23529"/>
    <w:rsid w:val="00D25310"/>
    <w:rsid w:val="00D2549E"/>
    <w:rsid w:val="00D264A4"/>
    <w:rsid w:val="00D266E5"/>
    <w:rsid w:val="00D26C91"/>
    <w:rsid w:val="00D26EFA"/>
    <w:rsid w:val="00D279D1"/>
    <w:rsid w:val="00D27E8A"/>
    <w:rsid w:val="00D304E3"/>
    <w:rsid w:val="00D307C2"/>
    <w:rsid w:val="00D30B75"/>
    <w:rsid w:val="00D317CE"/>
    <w:rsid w:val="00D32430"/>
    <w:rsid w:val="00D32793"/>
    <w:rsid w:val="00D327BA"/>
    <w:rsid w:val="00D329B1"/>
    <w:rsid w:val="00D32BB3"/>
    <w:rsid w:val="00D331CD"/>
    <w:rsid w:val="00D332F7"/>
    <w:rsid w:val="00D337DB"/>
    <w:rsid w:val="00D3409A"/>
    <w:rsid w:val="00D34A51"/>
    <w:rsid w:val="00D34AD4"/>
    <w:rsid w:val="00D34F18"/>
    <w:rsid w:val="00D35EC7"/>
    <w:rsid w:val="00D36056"/>
    <w:rsid w:val="00D363FA"/>
    <w:rsid w:val="00D37365"/>
    <w:rsid w:val="00D37548"/>
    <w:rsid w:val="00D415DE"/>
    <w:rsid w:val="00D41E5A"/>
    <w:rsid w:val="00D43081"/>
    <w:rsid w:val="00D43129"/>
    <w:rsid w:val="00D43E9D"/>
    <w:rsid w:val="00D43FEF"/>
    <w:rsid w:val="00D44DCF"/>
    <w:rsid w:val="00D459FC"/>
    <w:rsid w:val="00D46239"/>
    <w:rsid w:val="00D463F9"/>
    <w:rsid w:val="00D4758D"/>
    <w:rsid w:val="00D478BE"/>
    <w:rsid w:val="00D50B45"/>
    <w:rsid w:val="00D514F9"/>
    <w:rsid w:val="00D516A8"/>
    <w:rsid w:val="00D5187C"/>
    <w:rsid w:val="00D52049"/>
    <w:rsid w:val="00D52470"/>
    <w:rsid w:val="00D52480"/>
    <w:rsid w:val="00D52671"/>
    <w:rsid w:val="00D5314D"/>
    <w:rsid w:val="00D53596"/>
    <w:rsid w:val="00D53793"/>
    <w:rsid w:val="00D538DC"/>
    <w:rsid w:val="00D5401F"/>
    <w:rsid w:val="00D54C92"/>
    <w:rsid w:val="00D5608F"/>
    <w:rsid w:val="00D564AD"/>
    <w:rsid w:val="00D56638"/>
    <w:rsid w:val="00D56C20"/>
    <w:rsid w:val="00D578D6"/>
    <w:rsid w:val="00D57920"/>
    <w:rsid w:val="00D57D7E"/>
    <w:rsid w:val="00D61125"/>
    <w:rsid w:val="00D61276"/>
    <w:rsid w:val="00D615C2"/>
    <w:rsid w:val="00D61F0C"/>
    <w:rsid w:val="00D6241F"/>
    <w:rsid w:val="00D624CC"/>
    <w:rsid w:val="00D63192"/>
    <w:rsid w:val="00D63216"/>
    <w:rsid w:val="00D6344B"/>
    <w:rsid w:val="00D6347F"/>
    <w:rsid w:val="00D640A6"/>
    <w:rsid w:val="00D64E0D"/>
    <w:rsid w:val="00D6527F"/>
    <w:rsid w:val="00D65B6A"/>
    <w:rsid w:val="00D65C81"/>
    <w:rsid w:val="00D66385"/>
    <w:rsid w:val="00D66BEB"/>
    <w:rsid w:val="00D66C73"/>
    <w:rsid w:val="00D6737C"/>
    <w:rsid w:val="00D676F4"/>
    <w:rsid w:val="00D70087"/>
    <w:rsid w:val="00D7086D"/>
    <w:rsid w:val="00D70BD0"/>
    <w:rsid w:val="00D71144"/>
    <w:rsid w:val="00D71350"/>
    <w:rsid w:val="00D71608"/>
    <w:rsid w:val="00D7313A"/>
    <w:rsid w:val="00D73308"/>
    <w:rsid w:val="00D7356B"/>
    <w:rsid w:val="00D73EC4"/>
    <w:rsid w:val="00D74230"/>
    <w:rsid w:val="00D74478"/>
    <w:rsid w:val="00D74B2B"/>
    <w:rsid w:val="00D74E79"/>
    <w:rsid w:val="00D74E9B"/>
    <w:rsid w:val="00D75253"/>
    <w:rsid w:val="00D75949"/>
    <w:rsid w:val="00D75D17"/>
    <w:rsid w:val="00D7664D"/>
    <w:rsid w:val="00D7678F"/>
    <w:rsid w:val="00D76D67"/>
    <w:rsid w:val="00D76FBF"/>
    <w:rsid w:val="00D77B61"/>
    <w:rsid w:val="00D77BF2"/>
    <w:rsid w:val="00D77F7A"/>
    <w:rsid w:val="00D804DB"/>
    <w:rsid w:val="00D8099B"/>
    <w:rsid w:val="00D809E6"/>
    <w:rsid w:val="00D809EF"/>
    <w:rsid w:val="00D8102E"/>
    <w:rsid w:val="00D8113E"/>
    <w:rsid w:val="00D81825"/>
    <w:rsid w:val="00D81D06"/>
    <w:rsid w:val="00D81FC5"/>
    <w:rsid w:val="00D836BA"/>
    <w:rsid w:val="00D8385A"/>
    <w:rsid w:val="00D83C97"/>
    <w:rsid w:val="00D8472B"/>
    <w:rsid w:val="00D84776"/>
    <w:rsid w:val="00D85891"/>
    <w:rsid w:val="00D85FD5"/>
    <w:rsid w:val="00D86A42"/>
    <w:rsid w:val="00D8735B"/>
    <w:rsid w:val="00D8751B"/>
    <w:rsid w:val="00D905FC"/>
    <w:rsid w:val="00D90952"/>
    <w:rsid w:val="00D91238"/>
    <w:rsid w:val="00D91B86"/>
    <w:rsid w:val="00D91C1D"/>
    <w:rsid w:val="00D92358"/>
    <w:rsid w:val="00D9273A"/>
    <w:rsid w:val="00D927E7"/>
    <w:rsid w:val="00D932D5"/>
    <w:rsid w:val="00D94843"/>
    <w:rsid w:val="00D94BB6"/>
    <w:rsid w:val="00D94E0C"/>
    <w:rsid w:val="00D950C8"/>
    <w:rsid w:val="00D9521A"/>
    <w:rsid w:val="00D9526A"/>
    <w:rsid w:val="00D9544A"/>
    <w:rsid w:val="00D95EEB"/>
    <w:rsid w:val="00D966E4"/>
    <w:rsid w:val="00D972C3"/>
    <w:rsid w:val="00D97670"/>
    <w:rsid w:val="00D97BF8"/>
    <w:rsid w:val="00DA064D"/>
    <w:rsid w:val="00DA07F5"/>
    <w:rsid w:val="00DA0A0F"/>
    <w:rsid w:val="00DA0FFC"/>
    <w:rsid w:val="00DA31B7"/>
    <w:rsid w:val="00DA3322"/>
    <w:rsid w:val="00DA3409"/>
    <w:rsid w:val="00DA3AD4"/>
    <w:rsid w:val="00DA3ECD"/>
    <w:rsid w:val="00DA4133"/>
    <w:rsid w:val="00DA462E"/>
    <w:rsid w:val="00DA4A97"/>
    <w:rsid w:val="00DA523B"/>
    <w:rsid w:val="00DA697F"/>
    <w:rsid w:val="00DA7075"/>
    <w:rsid w:val="00DB017C"/>
    <w:rsid w:val="00DB02EC"/>
    <w:rsid w:val="00DB040C"/>
    <w:rsid w:val="00DB04F4"/>
    <w:rsid w:val="00DB0547"/>
    <w:rsid w:val="00DB05F7"/>
    <w:rsid w:val="00DB1011"/>
    <w:rsid w:val="00DB1139"/>
    <w:rsid w:val="00DB2A9A"/>
    <w:rsid w:val="00DB33AB"/>
    <w:rsid w:val="00DB37D8"/>
    <w:rsid w:val="00DB3C19"/>
    <w:rsid w:val="00DB3EC3"/>
    <w:rsid w:val="00DB3FB2"/>
    <w:rsid w:val="00DB4B53"/>
    <w:rsid w:val="00DB53EF"/>
    <w:rsid w:val="00DB5948"/>
    <w:rsid w:val="00DB6919"/>
    <w:rsid w:val="00DB6F21"/>
    <w:rsid w:val="00DB73BB"/>
    <w:rsid w:val="00DB75D7"/>
    <w:rsid w:val="00DC0415"/>
    <w:rsid w:val="00DC1CA4"/>
    <w:rsid w:val="00DC267E"/>
    <w:rsid w:val="00DC336C"/>
    <w:rsid w:val="00DC3723"/>
    <w:rsid w:val="00DC3878"/>
    <w:rsid w:val="00DC43CC"/>
    <w:rsid w:val="00DC49E0"/>
    <w:rsid w:val="00DC520A"/>
    <w:rsid w:val="00DC6203"/>
    <w:rsid w:val="00DC6315"/>
    <w:rsid w:val="00DC6933"/>
    <w:rsid w:val="00DC6CC1"/>
    <w:rsid w:val="00DC6E5A"/>
    <w:rsid w:val="00DD01FB"/>
    <w:rsid w:val="00DD0EC6"/>
    <w:rsid w:val="00DD0ED7"/>
    <w:rsid w:val="00DD1C13"/>
    <w:rsid w:val="00DD2122"/>
    <w:rsid w:val="00DD233E"/>
    <w:rsid w:val="00DD2DF3"/>
    <w:rsid w:val="00DD2EF5"/>
    <w:rsid w:val="00DD3305"/>
    <w:rsid w:val="00DD3424"/>
    <w:rsid w:val="00DD3663"/>
    <w:rsid w:val="00DD5209"/>
    <w:rsid w:val="00DD5398"/>
    <w:rsid w:val="00DD55E8"/>
    <w:rsid w:val="00DD6048"/>
    <w:rsid w:val="00DD636E"/>
    <w:rsid w:val="00DD6906"/>
    <w:rsid w:val="00DD784C"/>
    <w:rsid w:val="00DD7860"/>
    <w:rsid w:val="00DE0CAB"/>
    <w:rsid w:val="00DE12AC"/>
    <w:rsid w:val="00DE18B2"/>
    <w:rsid w:val="00DE1DEE"/>
    <w:rsid w:val="00DE1E95"/>
    <w:rsid w:val="00DE2058"/>
    <w:rsid w:val="00DE2211"/>
    <w:rsid w:val="00DE24D2"/>
    <w:rsid w:val="00DE2759"/>
    <w:rsid w:val="00DE3DB0"/>
    <w:rsid w:val="00DE3DFC"/>
    <w:rsid w:val="00DE4497"/>
    <w:rsid w:val="00DE457D"/>
    <w:rsid w:val="00DE4CCB"/>
    <w:rsid w:val="00DE54F1"/>
    <w:rsid w:val="00DE555D"/>
    <w:rsid w:val="00DE57F4"/>
    <w:rsid w:val="00DE5B19"/>
    <w:rsid w:val="00DE5D8F"/>
    <w:rsid w:val="00DE62A6"/>
    <w:rsid w:val="00DE6B8A"/>
    <w:rsid w:val="00DE7366"/>
    <w:rsid w:val="00DE7654"/>
    <w:rsid w:val="00DE7A6F"/>
    <w:rsid w:val="00DE7BAC"/>
    <w:rsid w:val="00DE7EC9"/>
    <w:rsid w:val="00DF0036"/>
    <w:rsid w:val="00DF00E4"/>
    <w:rsid w:val="00DF0E59"/>
    <w:rsid w:val="00DF10D5"/>
    <w:rsid w:val="00DF148E"/>
    <w:rsid w:val="00DF1F60"/>
    <w:rsid w:val="00DF30EF"/>
    <w:rsid w:val="00DF38E6"/>
    <w:rsid w:val="00DF3C16"/>
    <w:rsid w:val="00DF4033"/>
    <w:rsid w:val="00DF4134"/>
    <w:rsid w:val="00DF4234"/>
    <w:rsid w:val="00DF5004"/>
    <w:rsid w:val="00DF5C60"/>
    <w:rsid w:val="00DF6303"/>
    <w:rsid w:val="00DF6825"/>
    <w:rsid w:val="00DF69B9"/>
    <w:rsid w:val="00DF6BBE"/>
    <w:rsid w:val="00DF6C59"/>
    <w:rsid w:val="00DF6F3F"/>
    <w:rsid w:val="00DF73AB"/>
    <w:rsid w:val="00E00050"/>
    <w:rsid w:val="00E00F8D"/>
    <w:rsid w:val="00E01273"/>
    <w:rsid w:val="00E0178D"/>
    <w:rsid w:val="00E017A3"/>
    <w:rsid w:val="00E01D03"/>
    <w:rsid w:val="00E01E44"/>
    <w:rsid w:val="00E02B39"/>
    <w:rsid w:val="00E0390B"/>
    <w:rsid w:val="00E0488D"/>
    <w:rsid w:val="00E05F04"/>
    <w:rsid w:val="00E05F93"/>
    <w:rsid w:val="00E06020"/>
    <w:rsid w:val="00E065B6"/>
    <w:rsid w:val="00E06852"/>
    <w:rsid w:val="00E07284"/>
    <w:rsid w:val="00E074C9"/>
    <w:rsid w:val="00E076BE"/>
    <w:rsid w:val="00E07A21"/>
    <w:rsid w:val="00E10557"/>
    <w:rsid w:val="00E10878"/>
    <w:rsid w:val="00E10990"/>
    <w:rsid w:val="00E11FED"/>
    <w:rsid w:val="00E12A07"/>
    <w:rsid w:val="00E13395"/>
    <w:rsid w:val="00E13499"/>
    <w:rsid w:val="00E13C17"/>
    <w:rsid w:val="00E13DA4"/>
    <w:rsid w:val="00E13E60"/>
    <w:rsid w:val="00E1488D"/>
    <w:rsid w:val="00E148B6"/>
    <w:rsid w:val="00E14DB6"/>
    <w:rsid w:val="00E14EE6"/>
    <w:rsid w:val="00E15055"/>
    <w:rsid w:val="00E15784"/>
    <w:rsid w:val="00E15EF9"/>
    <w:rsid w:val="00E15FF6"/>
    <w:rsid w:val="00E16929"/>
    <w:rsid w:val="00E16DFE"/>
    <w:rsid w:val="00E171F5"/>
    <w:rsid w:val="00E1733D"/>
    <w:rsid w:val="00E1757E"/>
    <w:rsid w:val="00E2054B"/>
    <w:rsid w:val="00E208CC"/>
    <w:rsid w:val="00E20948"/>
    <w:rsid w:val="00E2139C"/>
    <w:rsid w:val="00E21530"/>
    <w:rsid w:val="00E219F6"/>
    <w:rsid w:val="00E21A52"/>
    <w:rsid w:val="00E21DE5"/>
    <w:rsid w:val="00E22A82"/>
    <w:rsid w:val="00E22C12"/>
    <w:rsid w:val="00E2376D"/>
    <w:rsid w:val="00E23EDA"/>
    <w:rsid w:val="00E24593"/>
    <w:rsid w:val="00E2480D"/>
    <w:rsid w:val="00E26B63"/>
    <w:rsid w:val="00E270B6"/>
    <w:rsid w:val="00E30262"/>
    <w:rsid w:val="00E30E05"/>
    <w:rsid w:val="00E30E5C"/>
    <w:rsid w:val="00E31BC1"/>
    <w:rsid w:val="00E320BE"/>
    <w:rsid w:val="00E32176"/>
    <w:rsid w:val="00E3294E"/>
    <w:rsid w:val="00E333C8"/>
    <w:rsid w:val="00E33433"/>
    <w:rsid w:val="00E33DD9"/>
    <w:rsid w:val="00E342CA"/>
    <w:rsid w:val="00E34E3F"/>
    <w:rsid w:val="00E35463"/>
    <w:rsid w:val="00E359D5"/>
    <w:rsid w:val="00E370D5"/>
    <w:rsid w:val="00E37387"/>
    <w:rsid w:val="00E37BD3"/>
    <w:rsid w:val="00E37C9E"/>
    <w:rsid w:val="00E4054A"/>
    <w:rsid w:val="00E40881"/>
    <w:rsid w:val="00E40C3A"/>
    <w:rsid w:val="00E40E0C"/>
    <w:rsid w:val="00E413D1"/>
    <w:rsid w:val="00E41718"/>
    <w:rsid w:val="00E41C95"/>
    <w:rsid w:val="00E42291"/>
    <w:rsid w:val="00E423C3"/>
    <w:rsid w:val="00E42F5C"/>
    <w:rsid w:val="00E42F7F"/>
    <w:rsid w:val="00E438D1"/>
    <w:rsid w:val="00E43AD8"/>
    <w:rsid w:val="00E43B3A"/>
    <w:rsid w:val="00E44163"/>
    <w:rsid w:val="00E44639"/>
    <w:rsid w:val="00E4476D"/>
    <w:rsid w:val="00E45598"/>
    <w:rsid w:val="00E459C4"/>
    <w:rsid w:val="00E470BA"/>
    <w:rsid w:val="00E51C70"/>
    <w:rsid w:val="00E531DB"/>
    <w:rsid w:val="00E5336D"/>
    <w:rsid w:val="00E534D1"/>
    <w:rsid w:val="00E5363A"/>
    <w:rsid w:val="00E537FB"/>
    <w:rsid w:val="00E54BF3"/>
    <w:rsid w:val="00E55030"/>
    <w:rsid w:val="00E550B7"/>
    <w:rsid w:val="00E555B4"/>
    <w:rsid w:val="00E55673"/>
    <w:rsid w:val="00E55B11"/>
    <w:rsid w:val="00E55C3A"/>
    <w:rsid w:val="00E55EED"/>
    <w:rsid w:val="00E563FF"/>
    <w:rsid w:val="00E56770"/>
    <w:rsid w:val="00E573A4"/>
    <w:rsid w:val="00E57599"/>
    <w:rsid w:val="00E579D4"/>
    <w:rsid w:val="00E57A74"/>
    <w:rsid w:val="00E57AE8"/>
    <w:rsid w:val="00E605AA"/>
    <w:rsid w:val="00E60F0C"/>
    <w:rsid w:val="00E615E6"/>
    <w:rsid w:val="00E6172B"/>
    <w:rsid w:val="00E627EE"/>
    <w:rsid w:val="00E62B74"/>
    <w:rsid w:val="00E62BD8"/>
    <w:rsid w:val="00E63296"/>
    <w:rsid w:val="00E63EFC"/>
    <w:rsid w:val="00E6494D"/>
    <w:rsid w:val="00E64961"/>
    <w:rsid w:val="00E649E9"/>
    <w:rsid w:val="00E64F22"/>
    <w:rsid w:val="00E651CA"/>
    <w:rsid w:val="00E65F42"/>
    <w:rsid w:val="00E66230"/>
    <w:rsid w:val="00E6696A"/>
    <w:rsid w:val="00E66E90"/>
    <w:rsid w:val="00E671B9"/>
    <w:rsid w:val="00E67206"/>
    <w:rsid w:val="00E6738B"/>
    <w:rsid w:val="00E6739C"/>
    <w:rsid w:val="00E67635"/>
    <w:rsid w:val="00E711AB"/>
    <w:rsid w:val="00E714FF"/>
    <w:rsid w:val="00E71A7C"/>
    <w:rsid w:val="00E71F2A"/>
    <w:rsid w:val="00E725B2"/>
    <w:rsid w:val="00E72DA8"/>
    <w:rsid w:val="00E73BFD"/>
    <w:rsid w:val="00E73E2C"/>
    <w:rsid w:val="00E74277"/>
    <w:rsid w:val="00E74493"/>
    <w:rsid w:val="00E744D9"/>
    <w:rsid w:val="00E74785"/>
    <w:rsid w:val="00E751DE"/>
    <w:rsid w:val="00E766B3"/>
    <w:rsid w:val="00E76FA9"/>
    <w:rsid w:val="00E77074"/>
    <w:rsid w:val="00E775D5"/>
    <w:rsid w:val="00E77A33"/>
    <w:rsid w:val="00E804CF"/>
    <w:rsid w:val="00E80BF4"/>
    <w:rsid w:val="00E81679"/>
    <w:rsid w:val="00E81EB3"/>
    <w:rsid w:val="00E8273A"/>
    <w:rsid w:val="00E82A14"/>
    <w:rsid w:val="00E82B76"/>
    <w:rsid w:val="00E8438A"/>
    <w:rsid w:val="00E844E8"/>
    <w:rsid w:val="00E846D2"/>
    <w:rsid w:val="00E84D8F"/>
    <w:rsid w:val="00E84DC0"/>
    <w:rsid w:val="00E84F7A"/>
    <w:rsid w:val="00E85317"/>
    <w:rsid w:val="00E854A9"/>
    <w:rsid w:val="00E8584D"/>
    <w:rsid w:val="00E85E29"/>
    <w:rsid w:val="00E86D8F"/>
    <w:rsid w:val="00E8705D"/>
    <w:rsid w:val="00E87136"/>
    <w:rsid w:val="00E8725B"/>
    <w:rsid w:val="00E87636"/>
    <w:rsid w:val="00E87A39"/>
    <w:rsid w:val="00E90131"/>
    <w:rsid w:val="00E90457"/>
    <w:rsid w:val="00E9081E"/>
    <w:rsid w:val="00E90DB8"/>
    <w:rsid w:val="00E919C2"/>
    <w:rsid w:val="00E91A24"/>
    <w:rsid w:val="00E91C28"/>
    <w:rsid w:val="00E92761"/>
    <w:rsid w:val="00E93017"/>
    <w:rsid w:val="00E938A7"/>
    <w:rsid w:val="00E938DA"/>
    <w:rsid w:val="00E93EBB"/>
    <w:rsid w:val="00E945A4"/>
    <w:rsid w:val="00E9524D"/>
    <w:rsid w:val="00E964BD"/>
    <w:rsid w:val="00E9660A"/>
    <w:rsid w:val="00E96C82"/>
    <w:rsid w:val="00E96E19"/>
    <w:rsid w:val="00E96F94"/>
    <w:rsid w:val="00E97080"/>
    <w:rsid w:val="00E9734F"/>
    <w:rsid w:val="00E97677"/>
    <w:rsid w:val="00E97D2C"/>
    <w:rsid w:val="00E97D75"/>
    <w:rsid w:val="00E97F58"/>
    <w:rsid w:val="00EA00A7"/>
    <w:rsid w:val="00EA1002"/>
    <w:rsid w:val="00EA10DA"/>
    <w:rsid w:val="00EA175D"/>
    <w:rsid w:val="00EA26C2"/>
    <w:rsid w:val="00EA28F6"/>
    <w:rsid w:val="00EA2CB4"/>
    <w:rsid w:val="00EA311D"/>
    <w:rsid w:val="00EA4201"/>
    <w:rsid w:val="00EA4223"/>
    <w:rsid w:val="00EA4D1E"/>
    <w:rsid w:val="00EA4F06"/>
    <w:rsid w:val="00EA54EB"/>
    <w:rsid w:val="00EA58D5"/>
    <w:rsid w:val="00EA5CC2"/>
    <w:rsid w:val="00EA5D90"/>
    <w:rsid w:val="00EA5DD2"/>
    <w:rsid w:val="00EA5FC3"/>
    <w:rsid w:val="00EA6288"/>
    <w:rsid w:val="00EA6E0E"/>
    <w:rsid w:val="00EA72CB"/>
    <w:rsid w:val="00EB034C"/>
    <w:rsid w:val="00EB06AF"/>
    <w:rsid w:val="00EB07AA"/>
    <w:rsid w:val="00EB07E4"/>
    <w:rsid w:val="00EB0F90"/>
    <w:rsid w:val="00EB19A4"/>
    <w:rsid w:val="00EB1B9C"/>
    <w:rsid w:val="00EB1FD7"/>
    <w:rsid w:val="00EB2046"/>
    <w:rsid w:val="00EB283E"/>
    <w:rsid w:val="00EB2CA9"/>
    <w:rsid w:val="00EB3418"/>
    <w:rsid w:val="00EB34D0"/>
    <w:rsid w:val="00EB4CEB"/>
    <w:rsid w:val="00EB4CEF"/>
    <w:rsid w:val="00EB4F09"/>
    <w:rsid w:val="00EB505C"/>
    <w:rsid w:val="00EB59D7"/>
    <w:rsid w:val="00EB5C9B"/>
    <w:rsid w:val="00EB5CA3"/>
    <w:rsid w:val="00EB614B"/>
    <w:rsid w:val="00EB64A8"/>
    <w:rsid w:val="00EB64E4"/>
    <w:rsid w:val="00EB6569"/>
    <w:rsid w:val="00EB6EC9"/>
    <w:rsid w:val="00EB7D9B"/>
    <w:rsid w:val="00EB7F6A"/>
    <w:rsid w:val="00EC0349"/>
    <w:rsid w:val="00EC058D"/>
    <w:rsid w:val="00EC0935"/>
    <w:rsid w:val="00EC0ECC"/>
    <w:rsid w:val="00EC125F"/>
    <w:rsid w:val="00EC1B78"/>
    <w:rsid w:val="00EC1D22"/>
    <w:rsid w:val="00EC2836"/>
    <w:rsid w:val="00EC30C2"/>
    <w:rsid w:val="00EC34E7"/>
    <w:rsid w:val="00EC3552"/>
    <w:rsid w:val="00EC3970"/>
    <w:rsid w:val="00EC39F2"/>
    <w:rsid w:val="00EC46E4"/>
    <w:rsid w:val="00EC60A4"/>
    <w:rsid w:val="00EC61FF"/>
    <w:rsid w:val="00EC76A0"/>
    <w:rsid w:val="00ED0189"/>
    <w:rsid w:val="00ED09D5"/>
    <w:rsid w:val="00ED0BBE"/>
    <w:rsid w:val="00ED1059"/>
    <w:rsid w:val="00ED121F"/>
    <w:rsid w:val="00ED1223"/>
    <w:rsid w:val="00ED2419"/>
    <w:rsid w:val="00ED25F1"/>
    <w:rsid w:val="00ED2875"/>
    <w:rsid w:val="00ED2C99"/>
    <w:rsid w:val="00ED2EC2"/>
    <w:rsid w:val="00ED365E"/>
    <w:rsid w:val="00ED42FD"/>
    <w:rsid w:val="00ED4969"/>
    <w:rsid w:val="00ED4EB9"/>
    <w:rsid w:val="00ED50F3"/>
    <w:rsid w:val="00ED5444"/>
    <w:rsid w:val="00ED6B47"/>
    <w:rsid w:val="00ED7C9E"/>
    <w:rsid w:val="00ED7F4C"/>
    <w:rsid w:val="00EE0CA5"/>
    <w:rsid w:val="00EE0D95"/>
    <w:rsid w:val="00EE1049"/>
    <w:rsid w:val="00EE1213"/>
    <w:rsid w:val="00EE18C5"/>
    <w:rsid w:val="00EE1906"/>
    <w:rsid w:val="00EE1998"/>
    <w:rsid w:val="00EE21E0"/>
    <w:rsid w:val="00EE266F"/>
    <w:rsid w:val="00EE2821"/>
    <w:rsid w:val="00EE2D05"/>
    <w:rsid w:val="00EE3261"/>
    <w:rsid w:val="00EE3BDE"/>
    <w:rsid w:val="00EE4039"/>
    <w:rsid w:val="00EE4066"/>
    <w:rsid w:val="00EE477E"/>
    <w:rsid w:val="00EE4A3A"/>
    <w:rsid w:val="00EE4A4C"/>
    <w:rsid w:val="00EE4EF9"/>
    <w:rsid w:val="00EE5359"/>
    <w:rsid w:val="00EE539E"/>
    <w:rsid w:val="00EE54F2"/>
    <w:rsid w:val="00EE6144"/>
    <w:rsid w:val="00EE64B9"/>
    <w:rsid w:val="00EE6A71"/>
    <w:rsid w:val="00EE6BB3"/>
    <w:rsid w:val="00EE6BC4"/>
    <w:rsid w:val="00EE7797"/>
    <w:rsid w:val="00EE7D6E"/>
    <w:rsid w:val="00EF0531"/>
    <w:rsid w:val="00EF06EA"/>
    <w:rsid w:val="00EF09EF"/>
    <w:rsid w:val="00EF0F9B"/>
    <w:rsid w:val="00EF101A"/>
    <w:rsid w:val="00EF116B"/>
    <w:rsid w:val="00EF128C"/>
    <w:rsid w:val="00EF16D8"/>
    <w:rsid w:val="00EF17B6"/>
    <w:rsid w:val="00EF1803"/>
    <w:rsid w:val="00EF22B3"/>
    <w:rsid w:val="00EF2481"/>
    <w:rsid w:val="00EF2543"/>
    <w:rsid w:val="00EF257D"/>
    <w:rsid w:val="00EF26B3"/>
    <w:rsid w:val="00EF2FA1"/>
    <w:rsid w:val="00EF348E"/>
    <w:rsid w:val="00EF3B4B"/>
    <w:rsid w:val="00EF3D43"/>
    <w:rsid w:val="00EF54F9"/>
    <w:rsid w:val="00EF615A"/>
    <w:rsid w:val="00EF6647"/>
    <w:rsid w:val="00EF720D"/>
    <w:rsid w:val="00EF734D"/>
    <w:rsid w:val="00EF7547"/>
    <w:rsid w:val="00EF7D47"/>
    <w:rsid w:val="00EF7F6A"/>
    <w:rsid w:val="00F00576"/>
    <w:rsid w:val="00F0059B"/>
    <w:rsid w:val="00F008FA"/>
    <w:rsid w:val="00F00B23"/>
    <w:rsid w:val="00F00CB8"/>
    <w:rsid w:val="00F0102E"/>
    <w:rsid w:val="00F01096"/>
    <w:rsid w:val="00F01B26"/>
    <w:rsid w:val="00F02039"/>
    <w:rsid w:val="00F0254C"/>
    <w:rsid w:val="00F02D83"/>
    <w:rsid w:val="00F038D9"/>
    <w:rsid w:val="00F0434C"/>
    <w:rsid w:val="00F04981"/>
    <w:rsid w:val="00F05733"/>
    <w:rsid w:val="00F05B60"/>
    <w:rsid w:val="00F06197"/>
    <w:rsid w:val="00F062E6"/>
    <w:rsid w:val="00F10963"/>
    <w:rsid w:val="00F10DEC"/>
    <w:rsid w:val="00F11997"/>
    <w:rsid w:val="00F12411"/>
    <w:rsid w:val="00F125DD"/>
    <w:rsid w:val="00F1269F"/>
    <w:rsid w:val="00F132BB"/>
    <w:rsid w:val="00F140CE"/>
    <w:rsid w:val="00F141D2"/>
    <w:rsid w:val="00F14309"/>
    <w:rsid w:val="00F147AF"/>
    <w:rsid w:val="00F14D54"/>
    <w:rsid w:val="00F14D5C"/>
    <w:rsid w:val="00F15014"/>
    <w:rsid w:val="00F153F1"/>
    <w:rsid w:val="00F1569C"/>
    <w:rsid w:val="00F15FAF"/>
    <w:rsid w:val="00F1758D"/>
    <w:rsid w:val="00F20104"/>
    <w:rsid w:val="00F20702"/>
    <w:rsid w:val="00F20805"/>
    <w:rsid w:val="00F20F82"/>
    <w:rsid w:val="00F21385"/>
    <w:rsid w:val="00F2154D"/>
    <w:rsid w:val="00F21963"/>
    <w:rsid w:val="00F21A4E"/>
    <w:rsid w:val="00F223D4"/>
    <w:rsid w:val="00F2331F"/>
    <w:rsid w:val="00F23330"/>
    <w:rsid w:val="00F236DF"/>
    <w:rsid w:val="00F23AB0"/>
    <w:rsid w:val="00F23B29"/>
    <w:rsid w:val="00F247E7"/>
    <w:rsid w:val="00F24B63"/>
    <w:rsid w:val="00F24E99"/>
    <w:rsid w:val="00F2539A"/>
    <w:rsid w:val="00F25474"/>
    <w:rsid w:val="00F25727"/>
    <w:rsid w:val="00F2574A"/>
    <w:rsid w:val="00F25E6B"/>
    <w:rsid w:val="00F25FE7"/>
    <w:rsid w:val="00F26328"/>
    <w:rsid w:val="00F26DED"/>
    <w:rsid w:val="00F27F18"/>
    <w:rsid w:val="00F30239"/>
    <w:rsid w:val="00F306E5"/>
    <w:rsid w:val="00F30D59"/>
    <w:rsid w:val="00F31487"/>
    <w:rsid w:val="00F317F2"/>
    <w:rsid w:val="00F31AD8"/>
    <w:rsid w:val="00F32363"/>
    <w:rsid w:val="00F33E2F"/>
    <w:rsid w:val="00F3406E"/>
    <w:rsid w:val="00F34570"/>
    <w:rsid w:val="00F346AA"/>
    <w:rsid w:val="00F3593A"/>
    <w:rsid w:val="00F35B6B"/>
    <w:rsid w:val="00F3778B"/>
    <w:rsid w:val="00F4059A"/>
    <w:rsid w:val="00F41917"/>
    <w:rsid w:val="00F41EC6"/>
    <w:rsid w:val="00F42314"/>
    <w:rsid w:val="00F42AE1"/>
    <w:rsid w:val="00F43632"/>
    <w:rsid w:val="00F43702"/>
    <w:rsid w:val="00F43F62"/>
    <w:rsid w:val="00F448B4"/>
    <w:rsid w:val="00F46321"/>
    <w:rsid w:val="00F46439"/>
    <w:rsid w:val="00F468A5"/>
    <w:rsid w:val="00F469BA"/>
    <w:rsid w:val="00F47202"/>
    <w:rsid w:val="00F47401"/>
    <w:rsid w:val="00F47715"/>
    <w:rsid w:val="00F50FFE"/>
    <w:rsid w:val="00F517C7"/>
    <w:rsid w:val="00F51D5F"/>
    <w:rsid w:val="00F51FDC"/>
    <w:rsid w:val="00F525EA"/>
    <w:rsid w:val="00F52B75"/>
    <w:rsid w:val="00F54AEF"/>
    <w:rsid w:val="00F54DE0"/>
    <w:rsid w:val="00F54DFE"/>
    <w:rsid w:val="00F5512A"/>
    <w:rsid w:val="00F55668"/>
    <w:rsid w:val="00F55986"/>
    <w:rsid w:val="00F55E8B"/>
    <w:rsid w:val="00F56D8B"/>
    <w:rsid w:val="00F56E7F"/>
    <w:rsid w:val="00F5799B"/>
    <w:rsid w:val="00F57AD5"/>
    <w:rsid w:val="00F57B22"/>
    <w:rsid w:val="00F60124"/>
    <w:rsid w:val="00F601B3"/>
    <w:rsid w:val="00F60863"/>
    <w:rsid w:val="00F608FE"/>
    <w:rsid w:val="00F6160C"/>
    <w:rsid w:val="00F6177F"/>
    <w:rsid w:val="00F621DF"/>
    <w:rsid w:val="00F62BDF"/>
    <w:rsid w:val="00F631B4"/>
    <w:rsid w:val="00F6323E"/>
    <w:rsid w:val="00F6337D"/>
    <w:rsid w:val="00F6394F"/>
    <w:rsid w:val="00F63E9C"/>
    <w:rsid w:val="00F649F7"/>
    <w:rsid w:val="00F65684"/>
    <w:rsid w:val="00F65A10"/>
    <w:rsid w:val="00F65C72"/>
    <w:rsid w:val="00F65E9C"/>
    <w:rsid w:val="00F661F3"/>
    <w:rsid w:val="00F66772"/>
    <w:rsid w:val="00F66AD9"/>
    <w:rsid w:val="00F66AE6"/>
    <w:rsid w:val="00F67065"/>
    <w:rsid w:val="00F677AF"/>
    <w:rsid w:val="00F700F8"/>
    <w:rsid w:val="00F70115"/>
    <w:rsid w:val="00F70139"/>
    <w:rsid w:val="00F702CC"/>
    <w:rsid w:val="00F70431"/>
    <w:rsid w:val="00F707B6"/>
    <w:rsid w:val="00F71307"/>
    <w:rsid w:val="00F7167E"/>
    <w:rsid w:val="00F71686"/>
    <w:rsid w:val="00F72202"/>
    <w:rsid w:val="00F72286"/>
    <w:rsid w:val="00F7292E"/>
    <w:rsid w:val="00F72A42"/>
    <w:rsid w:val="00F72CAE"/>
    <w:rsid w:val="00F73520"/>
    <w:rsid w:val="00F73541"/>
    <w:rsid w:val="00F735FE"/>
    <w:rsid w:val="00F74261"/>
    <w:rsid w:val="00F744BA"/>
    <w:rsid w:val="00F74518"/>
    <w:rsid w:val="00F7493C"/>
    <w:rsid w:val="00F752EF"/>
    <w:rsid w:val="00F7544F"/>
    <w:rsid w:val="00F75656"/>
    <w:rsid w:val="00F75756"/>
    <w:rsid w:val="00F75F7D"/>
    <w:rsid w:val="00F7617D"/>
    <w:rsid w:val="00F7670C"/>
    <w:rsid w:val="00F76AA9"/>
    <w:rsid w:val="00F77B78"/>
    <w:rsid w:val="00F77CA0"/>
    <w:rsid w:val="00F8007A"/>
    <w:rsid w:val="00F80903"/>
    <w:rsid w:val="00F81146"/>
    <w:rsid w:val="00F81483"/>
    <w:rsid w:val="00F81516"/>
    <w:rsid w:val="00F81C1F"/>
    <w:rsid w:val="00F828E7"/>
    <w:rsid w:val="00F83589"/>
    <w:rsid w:val="00F83C57"/>
    <w:rsid w:val="00F83F04"/>
    <w:rsid w:val="00F842F9"/>
    <w:rsid w:val="00F846E9"/>
    <w:rsid w:val="00F84A81"/>
    <w:rsid w:val="00F862AB"/>
    <w:rsid w:val="00F866D0"/>
    <w:rsid w:val="00F86845"/>
    <w:rsid w:val="00F86BC3"/>
    <w:rsid w:val="00F86D66"/>
    <w:rsid w:val="00F86EF3"/>
    <w:rsid w:val="00F87CF5"/>
    <w:rsid w:val="00F87E1B"/>
    <w:rsid w:val="00F900B1"/>
    <w:rsid w:val="00F90939"/>
    <w:rsid w:val="00F923DC"/>
    <w:rsid w:val="00F9264C"/>
    <w:rsid w:val="00F928B7"/>
    <w:rsid w:val="00F929D7"/>
    <w:rsid w:val="00F9392E"/>
    <w:rsid w:val="00F939EC"/>
    <w:rsid w:val="00F93EB0"/>
    <w:rsid w:val="00F9462A"/>
    <w:rsid w:val="00F95A61"/>
    <w:rsid w:val="00F95B50"/>
    <w:rsid w:val="00F95FAD"/>
    <w:rsid w:val="00F96471"/>
    <w:rsid w:val="00F964E5"/>
    <w:rsid w:val="00F96EE3"/>
    <w:rsid w:val="00F9745E"/>
    <w:rsid w:val="00F979AC"/>
    <w:rsid w:val="00F97A4A"/>
    <w:rsid w:val="00F97CFA"/>
    <w:rsid w:val="00F97F13"/>
    <w:rsid w:val="00FA0750"/>
    <w:rsid w:val="00FA0D69"/>
    <w:rsid w:val="00FA0D7C"/>
    <w:rsid w:val="00FA165F"/>
    <w:rsid w:val="00FA1F7F"/>
    <w:rsid w:val="00FA210B"/>
    <w:rsid w:val="00FA2582"/>
    <w:rsid w:val="00FA341E"/>
    <w:rsid w:val="00FA4874"/>
    <w:rsid w:val="00FA49D8"/>
    <w:rsid w:val="00FA50EF"/>
    <w:rsid w:val="00FA5869"/>
    <w:rsid w:val="00FA60BA"/>
    <w:rsid w:val="00FA62BF"/>
    <w:rsid w:val="00FA66AD"/>
    <w:rsid w:val="00FA66C6"/>
    <w:rsid w:val="00FA6956"/>
    <w:rsid w:val="00FA6DB3"/>
    <w:rsid w:val="00FA6DDB"/>
    <w:rsid w:val="00FA7A79"/>
    <w:rsid w:val="00FB1EAD"/>
    <w:rsid w:val="00FB201A"/>
    <w:rsid w:val="00FB27D3"/>
    <w:rsid w:val="00FB2885"/>
    <w:rsid w:val="00FB450D"/>
    <w:rsid w:val="00FB4D53"/>
    <w:rsid w:val="00FB56ED"/>
    <w:rsid w:val="00FB5D71"/>
    <w:rsid w:val="00FB7438"/>
    <w:rsid w:val="00FB7A42"/>
    <w:rsid w:val="00FC04A4"/>
    <w:rsid w:val="00FC05C7"/>
    <w:rsid w:val="00FC05DE"/>
    <w:rsid w:val="00FC07B5"/>
    <w:rsid w:val="00FC0B14"/>
    <w:rsid w:val="00FC0CD5"/>
    <w:rsid w:val="00FC0E12"/>
    <w:rsid w:val="00FC1047"/>
    <w:rsid w:val="00FC11D4"/>
    <w:rsid w:val="00FC1D83"/>
    <w:rsid w:val="00FC20AC"/>
    <w:rsid w:val="00FC29EE"/>
    <w:rsid w:val="00FC2A5B"/>
    <w:rsid w:val="00FC3176"/>
    <w:rsid w:val="00FC3E6A"/>
    <w:rsid w:val="00FC49D8"/>
    <w:rsid w:val="00FC4D5A"/>
    <w:rsid w:val="00FC53C8"/>
    <w:rsid w:val="00FC67F6"/>
    <w:rsid w:val="00FC6992"/>
    <w:rsid w:val="00FC78A3"/>
    <w:rsid w:val="00FD040A"/>
    <w:rsid w:val="00FD07B0"/>
    <w:rsid w:val="00FD0C69"/>
    <w:rsid w:val="00FD1545"/>
    <w:rsid w:val="00FD1FC3"/>
    <w:rsid w:val="00FD2463"/>
    <w:rsid w:val="00FD2E73"/>
    <w:rsid w:val="00FD3216"/>
    <w:rsid w:val="00FD34D6"/>
    <w:rsid w:val="00FD34DC"/>
    <w:rsid w:val="00FD35DC"/>
    <w:rsid w:val="00FD3FEC"/>
    <w:rsid w:val="00FD462C"/>
    <w:rsid w:val="00FD482E"/>
    <w:rsid w:val="00FD4B7F"/>
    <w:rsid w:val="00FD64E8"/>
    <w:rsid w:val="00FD655E"/>
    <w:rsid w:val="00FD6FFF"/>
    <w:rsid w:val="00FD7068"/>
    <w:rsid w:val="00FD710D"/>
    <w:rsid w:val="00FE07BF"/>
    <w:rsid w:val="00FE0BD5"/>
    <w:rsid w:val="00FE0CFC"/>
    <w:rsid w:val="00FE202E"/>
    <w:rsid w:val="00FE24EF"/>
    <w:rsid w:val="00FE2959"/>
    <w:rsid w:val="00FE3572"/>
    <w:rsid w:val="00FE3B62"/>
    <w:rsid w:val="00FE3D41"/>
    <w:rsid w:val="00FE3E0B"/>
    <w:rsid w:val="00FE3E32"/>
    <w:rsid w:val="00FE3EB0"/>
    <w:rsid w:val="00FE3F5B"/>
    <w:rsid w:val="00FE4A93"/>
    <w:rsid w:val="00FE4C8E"/>
    <w:rsid w:val="00FE5083"/>
    <w:rsid w:val="00FE687A"/>
    <w:rsid w:val="00FE6F92"/>
    <w:rsid w:val="00FE7152"/>
    <w:rsid w:val="00FF05E8"/>
    <w:rsid w:val="00FF08C7"/>
    <w:rsid w:val="00FF1964"/>
    <w:rsid w:val="00FF2491"/>
    <w:rsid w:val="00FF25E0"/>
    <w:rsid w:val="00FF2B3E"/>
    <w:rsid w:val="00FF310F"/>
    <w:rsid w:val="00FF386D"/>
    <w:rsid w:val="00FF3E72"/>
    <w:rsid w:val="00FF3EFB"/>
    <w:rsid w:val="00FF58D9"/>
    <w:rsid w:val="00FF5EE3"/>
    <w:rsid w:val="00FF64F0"/>
    <w:rsid w:val="00FF6952"/>
    <w:rsid w:val="00FF76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9329">
      <o:colormru v:ext="edit" colors="#63c1df,#7ddc1e"/>
    </o:shapedefaults>
    <o:shapelayout v:ext="edit">
      <o:idmap v:ext="edit" data="1"/>
      <o:rules v:ext="edit">
        <o:r id="V:Rule30" type="connector" idref="#Elbow Connector 281"/>
        <o:r id="V:Rule31" type="connector" idref="#Elbow Connector 278"/>
        <o:r id="V:Rule32" type="connector" idref="#Elbow Connector 282"/>
        <o:r id="V:Rule33" type="connector" idref="#Elbow Connector 324"/>
        <o:r id="V:Rule34" type="connector" idref="#Elbow Connector 277"/>
        <o:r id="V:Rule35" type="connector" idref="#Elbow Connector 329"/>
        <o:r id="V:Rule36" type="connector" idref="#Elbow Connector 353"/>
        <o:r id="V:Rule37" type="connector" idref="#Elbow Connector 321"/>
        <o:r id="V:Rule38" type="connector" idref="#Elbow Connector 325"/>
        <o:r id="V:Rule39" type="connector" idref="#Elbow Connector 333"/>
        <o:r id="V:Rule40" type="connector" idref="#Elbow Connector 328"/>
        <o:r id="V:Rule41" type="connector" idref="#Elbow Connector 279"/>
        <o:r id="V:Rule42" type="connector" idref="#Elbow Connector 330"/>
        <o:r id="V:Rule43" type="connector" idref="#Elbow Connector 322"/>
        <o:r id="V:Rule44" type="connector" idref="#Shape 66"/>
        <o:r id="V:Rule45" type="connector" idref="#Elbow Connector 320"/>
        <o:r id="V:Rule46" type="connector" idref="#Elbow Connector 354"/>
        <o:r id="V:Rule47" type="connector" idref="#Elbow Connector 345"/>
        <o:r id="V:Rule48" type="connector" idref="#Elbow Connector 327"/>
        <o:r id="V:Rule49" type="connector" idref="#Elbow Connector 355"/>
        <o:r id="V:Rule50" type="connector" idref="#Elbow Connector 344"/>
        <o:r id="V:Rule51" type="connector" idref="#Elbow Connector 343"/>
        <o:r id="V:Rule52" type="connector" idref="#Elbow Connector 342"/>
        <o:r id="V:Rule53" type="connector" idref="#Elbow Connector 357"/>
        <o:r id="V:Rule54" type="connector" idref="#Elbow Connector 356"/>
        <o:r id="V:Rule55" type="connector" idref="#Elbow Connector 358"/>
        <o:r id="V:Rule56" type="connector" idref="#Elbow Connector 346"/>
        <o:r id="V:Rule57" type="connector" idref="#Elbow Connector 323"/>
        <o:r id="V:Rule58" type="connector" idref="#Elbow Connector 33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F53"/>
    <w:rPr>
      <w:rFonts w:ascii="Arial" w:hAnsi="Arial"/>
      <w:sz w:val="18"/>
      <w:szCs w:val="18"/>
      <w:lang w:val="en-GB"/>
    </w:rPr>
  </w:style>
  <w:style w:type="paragraph" w:styleId="Heading1">
    <w:name w:val="heading 1"/>
    <w:basedOn w:val="Normal"/>
    <w:next w:val="Body"/>
    <w:link w:val="Heading1Char"/>
    <w:qFormat/>
    <w:rsid w:val="00F70139"/>
    <w:pPr>
      <w:keepNext/>
      <w:framePr w:w="5052" w:h="1264" w:wrap="notBeside" w:vAnchor="page" w:hAnchor="margin" w:y="2088"/>
      <w:spacing w:line="360" w:lineRule="exact"/>
      <w:outlineLvl w:val="0"/>
    </w:pPr>
    <w:rPr>
      <w:rFonts w:cs="Arial"/>
      <w:bCs/>
      <w:kern w:val="28"/>
      <w:sz w:val="30"/>
      <w:szCs w:val="30"/>
    </w:rPr>
  </w:style>
  <w:style w:type="paragraph" w:styleId="Heading2">
    <w:name w:val="heading 2"/>
    <w:aliases w:val="Oscar Faber 2"/>
    <w:basedOn w:val="Normal"/>
    <w:next w:val="Body"/>
    <w:link w:val="Heading2Char"/>
    <w:qFormat/>
    <w:rsid w:val="00F43F62"/>
    <w:pPr>
      <w:keepNext/>
      <w:spacing w:before="120" w:line="230" w:lineRule="exact"/>
      <w:outlineLvl w:val="1"/>
    </w:pPr>
    <w:rPr>
      <w:b/>
    </w:rPr>
  </w:style>
  <w:style w:type="paragraph" w:styleId="Heading3">
    <w:name w:val="heading 3"/>
    <w:basedOn w:val="Normal"/>
    <w:next w:val="Body"/>
    <w:link w:val="Heading3Char"/>
    <w:uiPriority w:val="9"/>
    <w:qFormat/>
    <w:rsid w:val="00F43F62"/>
    <w:pPr>
      <w:keepNext/>
      <w:spacing w:before="120" w:line="230" w:lineRule="exact"/>
      <w:outlineLvl w:val="2"/>
    </w:pPr>
  </w:style>
  <w:style w:type="paragraph" w:styleId="Heading4">
    <w:name w:val="heading 4"/>
    <w:basedOn w:val="Normal"/>
    <w:next w:val="Body"/>
    <w:link w:val="Heading4Char"/>
    <w:uiPriority w:val="9"/>
    <w:qFormat/>
    <w:rsid w:val="00F43F62"/>
    <w:pPr>
      <w:keepNext/>
      <w:spacing w:before="120" w:line="230" w:lineRule="exact"/>
      <w:outlineLvl w:val="3"/>
    </w:pPr>
  </w:style>
  <w:style w:type="paragraph" w:styleId="Heading5">
    <w:name w:val="heading 5"/>
    <w:aliases w:val="Roman list,Lev 5,5 sub-bullet,sb,H5,Titre 1.1111,Aston T5,(Shift Ctrl 5),DO NOT USE_h5,h5,Block Label,T5,Titre5,heading 5,a),NCS-H5,Level 3 - i,Chapitre 1.1.1.1.,niveau 5,Sous-chapitre (niveau 4),Org Heading 3,Titre51,t5,Article,Level 3 - i1,H"/>
    <w:basedOn w:val="Normal"/>
    <w:next w:val="Normal"/>
    <w:link w:val="Heading5Char"/>
    <w:uiPriority w:val="9"/>
    <w:qFormat/>
    <w:rsid w:val="00FF6952"/>
    <w:pPr>
      <w:outlineLvl w:val="4"/>
    </w:pPr>
  </w:style>
  <w:style w:type="paragraph" w:styleId="Heading6">
    <w:name w:val="heading 6"/>
    <w:aliases w:val="subheading 4"/>
    <w:basedOn w:val="Normal"/>
    <w:next w:val="Normal"/>
    <w:link w:val="Heading6Char"/>
    <w:uiPriority w:val="9"/>
    <w:qFormat/>
    <w:rsid w:val="00FF6952"/>
    <w:pPr>
      <w:outlineLvl w:val="5"/>
    </w:pPr>
  </w:style>
  <w:style w:type="paragraph" w:styleId="Heading7">
    <w:name w:val="heading 7"/>
    <w:aliases w:val="letter list,lettered list,Lev 7,H7,Annexe2,Aston T7,(Shift Ctrl 7),T7,1.2.3.4.5.6.7.,Legal Level 1.1.,L7,Annexe 1,figure caption,Renvoi Bleu,Edf Titre 7,Heading 7 CFMU,Chapitre niveau 7,nul,h7,heading 7,Do Not Use3,7,ASAPHeading 7,req3"/>
    <w:basedOn w:val="Normal"/>
    <w:next w:val="Normal"/>
    <w:link w:val="Heading7Char"/>
    <w:uiPriority w:val="9"/>
    <w:qFormat/>
    <w:rsid w:val="008F33CA"/>
    <w:pPr>
      <w:outlineLvl w:val="6"/>
    </w:pPr>
    <w:rPr>
      <w:b/>
      <w:i/>
      <w:sz w:val="22"/>
    </w:rPr>
  </w:style>
  <w:style w:type="paragraph" w:styleId="Heading8">
    <w:name w:val="heading 8"/>
    <w:aliases w:val="Lev 8,Center Bold,action,Annexe3,Aston Légende,t,Text, action,T8,text,Legal Level 1.1.1.,Annexe 2,table caption,Renvoi Rouge,Edf Titre 8,Heading 8 CFMU,Chapitre niveau 8,h8,heading 8,Do Not Use2,Annexe 31,Annexe 32,Annexe 33,Annexe 34"/>
    <w:basedOn w:val="Normal"/>
    <w:next w:val="Normal"/>
    <w:link w:val="Heading8Char"/>
    <w:uiPriority w:val="9"/>
    <w:qFormat/>
    <w:rsid w:val="00FF6952"/>
    <w:pPr>
      <w:outlineLvl w:val="7"/>
    </w:pPr>
  </w:style>
  <w:style w:type="paragraph" w:styleId="Heading9">
    <w:name w:val="heading 9"/>
    <w:aliases w:val="Lev 9,progress,Annexe4, progress,App Heading,Legal Level 1.1.1.1.,Annexe 3,Renvoi Vert,Edf Titre 9,Heading 9 CFMU,Chapitre niveau 9,h9,RFP Reference,Do Not Use1,titre l1c1,titre l1c11,titre l1c12,titre l1c13,titre l1c14,Annexe 4,PIM 9"/>
    <w:basedOn w:val="Normal"/>
    <w:next w:val="Normal"/>
    <w:link w:val="Heading9Char"/>
    <w:uiPriority w:val="9"/>
    <w:qFormat/>
    <w:rsid w:val="00FF695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37704"/>
    <w:pPr>
      <w:tabs>
        <w:tab w:val="left" w:pos="3402"/>
        <w:tab w:val="right" w:pos="10291"/>
      </w:tabs>
      <w:spacing w:line="170" w:lineRule="atLeast"/>
    </w:pPr>
    <w:rPr>
      <w:sz w:val="14"/>
      <w:szCs w:val="14"/>
    </w:rPr>
  </w:style>
  <w:style w:type="paragraph" w:styleId="Footer">
    <w:name w:val="footer"/>
    <w:basedOn w:val="Normal"/>
    <w:link w:val="FooterChar"/>
    <w:rsid w:val="0045713E"/>
    <w:pPr>
      <w:tabs>
        <w:tab w:val="center" w:pos="5148"/>
        <w:tab w:val="right" w:pos="10291"/>
      </w:tabs>
      <w:spacing w:line="170" w:lineRule="atLeast"/>
    </w:pPr>
    <w:rPr>
      <w:sz w:val="14"/>
      <w:szCs w:val="14"/>
    </w:rPr>
  </w:style>
  <w:style w:type="paragraph" w:styleId="TOC1">
    <w:name w:val="toc 1"/>
    <w:basedOn w:val="Normal"/>
    <w:next w:val="Normal"/>
    <w:uiPriority w:val="39"/>
    <w:rsid w:val="00004CB9"/>
    <w:pPr>
      <w:tabs>
        <w:tab w:val="left" w:pos="680"/>
        <w:tab w:val="right" w:leader="dot" w:pos="10291"/>
      </w:tabs>
      <w:spacing w:before="180"/>
      <w:ind w:left="680" w:right="170" w:hanging="680"/>
    </w:pPr>
    <w:rPr>
      <w:b/>
    </w:rPr>
  </w:style>
  <w:style w:type="paragraph" w:styleId="TOC2">
    <w:name w:val="toc 2"/>
    <w:basedOn w:val="Normal"/>
    <w:next w:val="Normal"/>
    <w:uiPriority w:val="39"/>
    <w:rsid w:val="00004CB9"/>
    <w:pPr>
      <w:tabs>
        <w:tab w:val="left" w:pos="680"/>
        <w:tab w:val="right" w:leader="dot" w:pos="10291"/>
      </w:tabs>
      <w:ind w:left="1360" w:right="170" w:hanging="680"/>
    </w:pPr>
  </w:style>
  <w:style w:type="paragraph" w:styleId="TOC3">
    <w:name w:val="toc 3"/>
    <w:basedOn w:val="Normal"/>
    <w:next w:val="Normal"/>
    <w:uiPriority w:val="39"/>
    <w:rsid w:val="00004CB9"/>
    <w:pPr>
      <w:tabs>
        <w:tab w:val="left" w:pos="680"/>
        <w:tab w:val="right" w:leader="dot" w:pos="10291"/>
      </w:tabs>
      <w:ind w:left="1360" w:right="170" w:hanging="680"/>
    </w:pPr>
  </w:style>
  <w:style w:type="paragraph" w:styleId="TOC4">
    <w:name w:val="toc 4"/>
    <w:basedOn w:val="Normal"/>
    <w:next w:val="Normal"/>
    <w:uiPriority w:val="39"/>
    <w:rsid w:val="00FF6952"/>
    <w:pPr>
      <w:ind w:left="510"/>
    </w:pPr>
  </w:style>
  <w:style w:type="paragraph" w:styleId="TOC5">
    <w:name w:val="toc 5"/>
    <w:basedOn w:val="Normal"/>
    <w:next w:val="Normal"/>
    <w:uiPriority w:val="39"/>
    <w:rsid w:val="00FF6952"/>
    <w:pPr>
      <w:ind w:left="680"/>
    </w:pPr>
  </w:style>
  <w:style w:type="paragraph" w:styleId="TOC6">
    <w:name w:val="toc 6"/>
    <w:basedOn w:val="Normal"/>
    <w:next w:val="Normal"/>
    <w:uiPriority w:val="39"/>
    <w:rsid w:val="00FF6952"/>
    <w:pPr>
      <w:ind w:left="850"/>
    </w:pPr>
  </w:style>
  <w:style w:type="paragraph" w:styleId="TOC7">
    <w:name w:val="toc 7"/>
    <w:basedOn w:val="Normal"/>
    <w:next w:val="Normal"/>
    <w:uiPriority w:val="39"/>
    <w:rsid w:val="00FF6952"/>
    <w:pPr>
      <w:ind w:left="1020"/>
    </w:pPr>
  </w:style>
  <w:style w:type="paragraph" w:styleId="TOC8">
    <w:name w:val="toc 8"/>
    <w:basedOn w:val="Normal"/>
    <w:next w:val="Normal"/>
    <w:uiPriority w:val="39"/>
    <w:rsid w:val="00FF6952"/>
    <w:pPr>
      <w:ind w:left="1190"/>
    </w:pPr>
  </w:style>
  <w:style w:type="paragraph" w:styleId="TOC9">
    <w:name w:val="toc 9"/>
    <w:basedOn w:val="Normal"/>
    <w:next w:val="Normal"/>
    <w:uiPriority w:val="39"/>
    <w:rsid w:val="00FF6952"/>
    <w:pPr>
      <w:ind w:left="1360"/>
    </w:pPr>
  </w:style>
  <w:style w:type="character" w:styleId="PageNumber">
    <w:name w:val="page number"/>
    <w:basedOn w:val="DefaultParagraphFont"/>
    <w:rsid w:val="00FF6952"/>
  </w:style>
  <w:style w:type="paragraph" w:customStyle="1" w:styleId="SecDivider0">
    <w:name w:val="_SecDivider"/>
    <w:basedOn w:val="Normal"/>
    <w:next w:val="Body"/>
    <w:rsid w:val="003C1E12"/>
    <w:pPr>
      <w:keepNext/>
      <w:shd w:val="clear" w:color="FFFFFF" w:fill="auto"/>
      <w:tabs>
        <w:tab w:val="left" w:pos="2070"/>
      </w:tabs>
      <w:spacing w:after="360" w:line="360" w:lineRule="exact"/>
      <w:jc w:val="right"/>
    </w:pPr>
    <w:rPr>
      <w:b/>
      <w:color w:val="9E0880"/>
      <w:sz w:val="30"/>
      <w:szCs w:val="30"/>
      <w:lang w:val="ro-RO"/>
    </w:rPr>
  </w:style>
  <w:style w:type="paragraph" w:customStyle="1" w:styleId="SecDivider">
    <w:name w:val="_SecDivider#"/>
    <w:basedOn w:val="SecDivider0"/>
    <w:next w:val="Body"/>
    <w:rsid w:val="00FF6952"/>
    <w:pPr>
      <w:numPr>
        <w:numId w:val="1"/>
      </w:numPr>
      <w:tabs>
        <w:tab w:val="clear" w:pos="567"/>
        <w:tab w:val="left" w:pos="680"/>
      </w:tabs>
      <w:ind w:left="680" w:hanging="680"/>
    </w:pPr>
  </w:style>
  <w:style w:type="character" w:styleId="Hyperlink">
    <w:name w:val="Hyperlink"/>
    <w:basedOn w:val="DefaultParagraphFont"/>
    <w:uiPriority w:val="99"/>
    <w:rsid w:val="00FF6952"/>
    <w:rPr>
      <w:color w:val="0000FF"/>
      <w:u w:val="single"/>
    </w:rPr>
  </w:style>
  <w:style w:type="paragraph" w:customStyle="1" w:styleId="Hdg1">
    <w:name w:val="_Hdg1#"/>
    <w:basedOn w:val="Heading1"/>
    <w:next w:val="Body"/>
    <w:qFormat/>
    <w:rsid w:val="003C1E12"/>
    <w:pPr>
      <w:framePr w:h="499" w:wrap="notBeside" w:vAnchor="margin" w:hAnchor="page" w:x="937" w:yAlign="top"/>
    </w:pPr>
    <w:rPr>
      <w:b/>
      <w:bCs w:val="0"/>
      <w:color w:val="9E0880"/>
      <w:kern w:val="0"/>
      <w:lang w:val="ro-RO"/>
    </w:rPr>
  </w:style>
  <w:style w:type="paragraph" w:customStyle="1" w:styleId="Hdg2">
    <w:name w:val="_Hdg2#"/>
    <w:basedOn w:val="Heading2"/>
    <w:next w:val="Body"/>
    <w:qFormat/>
    <w:rsid w:val="00BD59B2"/>
    <w:pPr>
      <w:numPr>
        <w:ilvl w:val="1"/>
        <w:numId w:val="2"/>
      </w:numPr>
      <w:spacing w:after="120" w:line="276" w:lineRule="auto"/>
      <w:jc w:val="both"/>
    </w:pPr>
    <w:rPr>
      <w:rFonts w:cs="Arial"/>
      <w:color w:val="9E0880"/>
      <w:sz w:val="22"/>
      <w:szCs w:val="22"/>
      <w:lang w:val="ro-RO"/>
    </w:rPr>
  </w:style>
  <w:style w:type="paragraph" w:customStyle="1" w:styleId="Hdg3">
    <w:name w:val="_Hdg3#"/>
    <w:basedOn w:val="Heading3"/>
    <w:next w:val="Body"/>
    <w:qFormat/>
    <w:rsid w:val="00E8725B"/>
    <w:pPr>
      <w:tabs>
        <w:tab w:val="left" w:pos="2070"/>
      </w:tabs>
      <w:spacing w:line="360" w:lineRule="auto"/>
    </w:pPr>
    <w:rPr>
      <w:b/>
      <w:i/>
      <w:color w:val="9E0880"/>
      <w:sz w:val="22"/>
      <w:szCs w:val="22"/>
      <w:lang w:val="ro-RO"/>
    </w:rPr>
  </w:style>
  <w:style w:type="paragraph" w:customStyle="1" w:styleId="Hdg1noTOC">
    <w:name w:val="_Hdg1 noTOC"/>
    <w:basedOn w:val="Heading1"/>
    <w:next w:val="Body"/>
    <w:rsid w:val="00FF6952"/>
    <w:pPr>
      <w:framePr w:wrap="notBeside"/>
      <w:outlineLvl w:val="9"/>
    </w:pPr>
  </w:style>
  <w:style w:type="paragraph" w:customStyle="1" w:styleId="Hdg1noTOC0">
    <w:name w:val="_Hdg1# noTOC"/>
    <w:basedOn w:val="Hdg1"/>
    <w:next w:val="Body"/>
    <w:rsid w:val="00FF6952"/>
    <w:pPr>
      <w:framePr w:wrap="notBeside"/>
      <w:outlineLvl w:val="9"/>
    </w:pPr>
  </w:style>
  <w:style w:type="paragraph" w:customStyle="1" w:styleId="Hdg4">
    <w:name w:val="_Hdg4#"/>
    <w:basedOn w:val="Heading4"/>
    <w:next w:val="Body"/>
    <w:link w:val="Hdg4Char"/>
    <w:rsid w:val="00A61C22"/>
    <w:pPr>
      <w:numPr>
        <w:ilvl w:val="3"/>
        <w:numId w:val="2"/>
      </w:numPr>
    </w:pPr>
    <w:rPr>
      <w:b/>
      <w:sz w:val="20"/>
      <w:szCs w:val="20"/>
    </w:rPr>
  </w:style>
  <w:style w:type="paragraph" w:styleId="TableofFigures">
    <w:name w:val="table of figures"/>
    <w:basedOn w:val="Normal"/>
    <w:next w:val="Normal"/>
    <w:rsid w:val="00FF6952"/>
    <w:pPr>
      <w:ind w:left="680" w:hanging="680"/>
    </w:pPr>
  </w:style>
  <w:style w:type="paragraph" w:customStyle="1" w:styleId="BulletLevel1">
    <w:name w:val="Bullet Level1"/>
    <w:basedOn w:val="Normal"/>
    <w:link w:val="BulletLevel1Char"/>
    <w:autoRedefine/>
    <w:qFormat/>
    <w:rsid w:val="00BC2B57"/>
    <w:pPr>
      <w:numPr>
        <w:ilvl w:val="1"/>
        <w:numId w:val="16"/>
      </w:numPr>
      <w:spacing w:after="120" w:line="276" w:lineRule="auto"/>
      <w:ind w:left="1208" w:hanging="357"/>
      <w:jc w:val="both"/>
    </w:pPr>
    <w:rPr>
      <w:sz w:val="22"/>
      <w:szCs w:val="20"/>
      <w:lang w:val="ro-RO"/>
    </w:rPr>
  </w:style>
  <w:style w:type="paragraph" w:customStyle="1" w:styleId="BulletLevel2">
    <w:name w:val="Bullet Level2"/>
    <w:basedOn w:val="Normal"/>
    <w:rsid w:val="00B4463D"/>
    <w:pPr>
      <w:numPr>
        <w:numId w:val="3"/>
      </w:numPr>
      <w:spacing w:line="230" w:lineRule="atLeast"/>
    </w:pPr>
  </w:style>
  <w:style w:type="paragraph" w:customStyle="1" w:styleId="CVHeading">
    <w:name w:val="CV Heading"/>
    <w:basedOn w:val="Heading1"/>
    <w:next w:val="Body"/>
    <w:rsid w:val="00FF6952"/>
    <w:pPr>
      <w:framePr w:wrap="notBeside"/>
      <w:outlineLvl w:val="9"/>
    </w:pPr>
  </w:style>
  <w:style w:type="paragraph" w:styleId="Caption">
    <w:name w:val="caption"/>
    <w:aliases w:val="Titlu Tabel,Map Char,Map Char Char,Map,Map Char Char Char Char Char,Caption Char Char Car Car,Caption Char Char Car Car Car,Map Char Char Char Car Car,Caption Char Char,Caption Char Char Char Char,Caption Char1,Beschriftung,Char Char Char Char1"/>
    <w:basedOn w:val="Normal"/>
    <w:next w:val="Body"/>
    <w:link w:val="CaptionChar"/>
    <w:qFormat/>
    <w:rsid w:val="00FF6952"/>
    <w:pPr>
      <w:spacing w:before="120"/>
    </w:pPr>
    <w:rPr>
      <w:bCs/>
    </w:rPr>
  </w:style>
  <w:style w:type="paragraph" w:customStyle="1" w:styleId="Hdg2noTOC">
    <w:name w:val="_Hdg2 noTOC"/>
    <w:basedOn w:val="Heading2"/>
    <w:next w:val="Body"/>
    <w:rsid w:val="00FF6952"/>
    <w:pPr>
      <w:outlineLvl w:val="9"/>
    </w:pPr>
  </w:style>
  <w:style w:type="paragraph" w:customStyle="1" w:styleId="Hdg2noTOC0">
    <w:name w:val="_Hdg2# noTOC"/>
    <w:basedOn w:val="Hdg2"/>
    <w:next w:val="Body"/>
    <w:rsid w:val="00FF6952"/>
    <w:pPr>
      <w:outlineLvl w:val="9"/>
    </w:pPr>
  </w:style>
  <w:style w:type="table" w:styleId="TableGrid">
    <w:name w:val="Table Grid"/>
    <w:basedOn w:val="TableNormal"/>
    <w:rsid w:val="00FE07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link w:val="BodyChar"/>
    <w:qFormat/>
    <w:rsid w:val="0071651C"/>
    <w:pPr>
      <w:spacing w:before="240" w:after="240" w:line="276" w:lineRule="auto"/>
      <w:ind w:left="567"/>
      <w:jc w:val="both"/>
    </w:pPr>
    <w:rPr>
      <w:i/>
      <w:sz w:val="22"/>
      <w:szCs w:val="22"/>
    </w:rPr>
  </w:style>
  <w:style w:type="paragraph" w:customStyle="1" w:styleId="DocTitle">
    <w:name w:val="DocTitle"/>
    <w:basedOn w:val="Normal"/>
    <w:next w:val="Normal"/>
    <w:rsid w:val="00DC3878"/>
    <w:pPr>
      <w:spacing w:line="840" w:lineRule="exact"/>
    </w:pPr>
    <w:rPr>
      <w:bCs/>
      <w:sz w:val="78"/>
    </w:rPr>
  </w:style>
  <w:style w:type="paragraph" w:customStyle="1" w:styleId="Para2">
    <w:name w:val="_Para2#"/>
    <w:basedOn w:val="Hdg2"/>
    <w:rsid w:val="00FF6952"/>
    <w:pPr>
      <w:keepNext w:val="0"/>
      <w:spacing w:before="0"/>
      <w:outlineLvl w:val="9"/>
    </w:pPr>
    <w:rPr>
      <w:b w:val="0"/>
    </w:rPr>
  </w:style>
  <w:style w:type="paragraph" w:customStyle="1" w:styleId="Para3">
    <w:name w:val="_Para3#"/>
    <w:basedOn w:val="Hdg3"/>
    <w:rsid w:val="00FF6952"/>
    <w:pPr>
      <w:keepNext w:val="0"/>
      <w:spacing w:before="0" w:after="120"/>
      <w:outlineLvl w:val="9"/>
    </w:pPr>
    <w:rPr>
      <w:i w:val="0"/>
    </w:rPr>
  </w:style>
  <w:style w:type="paragraph" w:customStyle="1" w:styleId="Para4">
    <w:name w:val="_Para4#"/>
    <w:basedOn w:val="Hdg4"/>
    <w:rsid w:val="00FF6952"/>
    <w:pPr>
      <w:keepNext w:val="0"/>
      <w:spacing w:before="0" w:after="120"/>
      <w:outlineLvl w:val="9"/>
    </w:pPr>
  </w:style>
  <w:style w:type="paragraph" w:customStyle="1" w:styleId="SecDividerBody">
    <w:name w:val="_SecDividerBody"/>
    <w:basedOn w:val="Normal"/>
    <w:rsid w:val="0006666D"/>
    <w:pPr>
      <w:spacing w:after="120" w:line="360" w:lineRule="exact"/>
    </w:pPr>
    <w:rPr>
      <w:sz w:val="30"/>
      <w:szCs w:val="30"/>
    </w:rPr>
  </w:style>
  <w:style w:type="paragraph" w:styleId="ListParagraph">
    <w:name w:val="List Paragraph"/>
    <w:aliases w:val="List_Paragraph,Multilevel para_II"/>
    <w:basedOn w:val="Normal"/>
    <w:link w:val="ListParagraphChar"/>
    <w:uiPriority w:val="34"/>
    <w:qFormat/>
    <w:rsid w:val="004E69FA"/>
    <w:pPr>
      <w:spacing w:line="264" w:lineRule="auto"/>
      <w:ind w:left="720"/>
      <w:jc w:val="both"/>
    </w:pPr>
    <w:rPr>
      <w:rFonts w:cs="Arial"/>
      <w:sz w:val="20"/>
      <w:szCs w:val="20"/>
    </w:rPr>
  </w:style>
  <w:style w:type="paragraph" w:styleId="BalloonText">
    <w:name w:val="Balloon Text"/>
    <w:basedOn w:val="Normal"/>
    <w:link w:val="BalloonTextChar"/>
    <w:uiPriority w:val="99"/>
    <w:rsid w:val="007D6EF8"/>
    <w:rPr>
      <w:rFonts w:ascii="Tahoma" w:hAnsi="Tahoma" w:cs="Tahoma"/>
      <w:sz w:val="16"/>
      <w:szCs w:val="16"/>
    </w:rPr>
  </w:style>
  <w:style w:type="character" w:customStyle="1" w:styleId="BalloonTextChar">
    <w:name w:val="Balloon Text Char"/>
    <w:basedOn w:val="DefaultParagraphFont"/>
    <w:link w:val="BalloonText"/>
    <w:uiPriority w:val="99"/>
    <w:rsid w:val="007D6EF8"/>
    <w:rPr>
      <w:rFonts w:ascii="Tahoma" w:hAnsi="Tahoma" w:cs="Tahoma"/>
      <w:sz w:val="16"/>
      <w:szCs w:val="16"/>
      <w:lang w:eastAsia="en-US"/>
    </w:rPr>
  </w:style>
  <w:style w:type="paragraph" w:styleId="NormalWeb">
    <w:name w:val="Normal (Web)"/>
    <w:basedOn w:val="Normal"/>
    <w:uiPriority w:val="99"/>
    <w:unhideWhenUsed/>
    <w:rsid w:val="00D81D06"/>
    <w:pPr>
      <w:spacing w:before="100" w:beforeAutospacing="1" w:after="100" w:afterAutospacing="1"/>
    </w:pPr>
    <w:rPr>
      <w:rFonts w:ascii="Times New Roman" w:hAnsi="Times New Roman"/>
      <w:sz w:val="24"/>
      <w:szCs w:val="24"/>
      <w:lang w:val="en-US"/>
    </w:rPr>
  </w:style>
  <w:style w:type="character" w:styleId="Strong">
    <w:name w:val="Strong"/>
    <w:basedOn w:val="DefaultParagraphFont"/>
    <w:qFormat/>
    <w:rsid w:val="00D81D06"/>
    <w:rPr>
      <w:b/>
      <w:bCs/>
    </w:rPr>
  </w:style>
  <w:style w:type="character" w:styleId="PlaceholderText">
    <w:name w:val="Placeholder Text"/>
    <w:basedOn w:val="DefaultParagraphFont"/>
    <w:uiPriority w:val="99"/>
    <w:semiHidden/>
    <w:rsid w:val="007A3A30"/>
    <w:rPr>
      <w:color w:val="808080"/>
    </w:rPr>
  </w:style>
  <w:style w:type="character" w:styleId="CommentReference">
    <w:name w:val="annotation reference"/>
    <w:basedOn w:val="DefaultParagraphFont"/>
    <w:rsid w:val="00B473A0"/>
    <w:rPr>
      <w:sz w:val="16"/>
      <w:szCs w:val="16"/>
    </w:rPr>
  </w:style>
  <w:style w:type="paragraph" w:styleId="CommentText">
    <w:name w:val="annotation text"/>
    <w:basedOn w:val="Normal"/>
    <w:link w:val="CommentTextChar"/>
    <w:rsid w:val="00B473A0"/>
    <w:rPr>
      <w:sz w:val="20"/>
      <w:szCs w:val="20"/>
    </w:rPr>
  </w:style>
  <w:style w:type="character" w:customStyle="1" w:styleId="CommentTextChar">
    <w:name w:val="Comment Text Char"/>
    <w:basedOn w:val="DefaultParagraphFont"/>
    <w:link w:val="CommentText"/>
    <w:rsid w:val="00B473A0"/>
    <w:rPr>
      <w:rFonts w:ascii="Arial" w:hAnsi="Arial"/>
      <w:lang w:eastAsia="en-US"/>
    </w:rPr>
  </w:style>
  <w:style w:type="paragraph" w:styleId="CommentSubject">
    <w:name w:val="annotation subject"/>
    <w:basedOn w:val="CommentText"/>
    <w:next w:val="CommentText"/>
    <w:link w:val="CommentSubjectChar"/>
    <w:uiPriority w:val="99"/>
    <w:rsid w:val="00B473A0"/>
    <w:rPr>
      <w:b/>
      <w:bCs/>
    </w:rPr>
  </w:style>
  <w:style w:type="character" w:customStyle="1" w:styleId="CommentSubjectChar">
    <w:name w:val="Comment Subject Char"/>
    <w:basedOn w:val="CommentTextChar"/>
    <w:link w:val="CommentSubject"/>
    <w:uiPriority w:val="99"/>
    <w:rsid w:val="00B473A0"/>
    <w:rPr>
      <w:rFonts w:ascii="Arial" w:hAnsi="Arial"/>
      <w:b/>
      <w:bCs/>
      <w:lang w:eastAsia="en-US"/>
    </w:rPr>
  </w:style>
  <w:style w:type="paragraph" w:styleId="Revision">
    <w:name w:val="Revision"/>
    <w:hidden/>
    <w:uiPriority w:val="99"/>
    <w:semiHidden/>
    <w:rsid w:val="00B473A0"/>
    <w:rPr>
      <w:rFonts w:ascii="Arial" w:hAnsi="Arial"/>
      <w:sz w:val="18"/>
      <w:szCs w:val="18"/>
      <w:lang w:val="en-GB"/>
    </w:rPr>
  </w:style>
  <w:style w:type="character" w:customStyle="1" w:styleId="BodyChar">
    <w:name w:val="Body Char"/>
    <w:aliases w:val="Normal Indent Char,Normal Indent Char Char Char Char,SSR Requirement Response Char,Char Char1,Body Char Char Char1,Body Char Char Char Char Char Char Char Char,Body Char Char Char Char Char Char, Char Char,Char Char"/>
    <w:link w:val="Body"/>
    <w:rsid w:val="0071651C"/>
    <w:rPr>
      <w:rFonts w:ascii="Arial" w:hAnsi="Arial"/>
      <w:i/>
      <w:sz w:val="22"/>
      <w:szCs w:val="22"/>
      <w:lang w:val="en-GB"/>
    </w:rPr>
  </w:style>
  <w:style w:type="paragraph" w:customStyle="1" w:styleId="NumberedParas">
    <w:name w:val="_Numbered Paras"/>
    <w:basedOn w:val="Hdg3"/>
    <w:link w:val="NumberedParasChar"/>
    <w:qFormat/>
    <w:rsid w:val="002B7E09"/>
    <w:pPr>
      <w:keepNext w:val="0"/>
      <w:numPr>
        <w:ilvl w:val="2"/>
        <w:numId w:val="2"/>
      </w:numPr>
      <w:tabs>
        <w:tab w:val="clear" w:pos="2070"/>
        <w:tab w:val="left" w:pos="2268"/>
      </w:tabs>
      <w:spacing w:after="120" w:line="276" w:lineRule="auto"/>
      <w:jc w:val="both"/>
      <w:outlineLvl w:val="9"/>
    </w:pPr>
    <w:rPr>
      <w:b w:val="0"/>
      <w:i w:val="0"/>
      <w:color w:val="auto"/>
    </w:rPr>
  </w:style>
  <w:style w:type="character" w:customStyle="1" w:styleId="Heading4Char">
    <w:name w:val="Heading 4 Char"/>
    <w:basedOn w:val="DefaultParagraphFont"/>
    <w:link w:val="Heading4"/>
    <w:uiPriority w:val="9"/>
    <w:rsid w:val="00B73862"/>
    <w:rPr>
      <w:rFonts w:ascii="Arial" w:hAnsi="Arial"/>
      <w:sz w:val="18"/>
      <w:szCs w:val="18"/>
      <w:lang w:eastAsia="en-US"/>
    </w:rPr>
  </w:style>
  <w:style w:type="character" w:customStyle="1" w:styleId="Hdg4Char">
    <w:name w:val="_Hdg4# Char"/>
    <w:basedOn w:val="Heading4Char"/>
    <w:link w:val="Hdg4"/>
    <w:rsid w:val="00B73862"/>
    <w:rPr>
      <w:rFonts w:ascii="Arial" w:hAnsi="Arial"/>
      <w:b/>
      <w:sz w:val="18"/>
      <w:szCs w:val="18"/>
      <w:lang w:val="en-GB" w:eastAsia="en-US"/>
    </w:rPr>
  </w:style>
  <w:style w:type="character" w:customStyle="1" w:styleId="NumberedParasChar">
    <w:name w:val="_Numbered Paras Char"/>
    <w:basedOn w:val="Hdg4Char"/>
    <w:link w:val="NumberedParas"/>
    <w:rsid w:val="002B7E09"/>
    <w:rPr>
      <w:rFonts w:ascii="Arial" w:hAnsi="Arial"/>
      <w:b/>
      <w:sz w:val="22"/>
      <w:szCs w:val="22"/>
      <w:lang w:val="ro-RO" w:eastAsia="en-US"/>
    </w:rPr>
  </w:style>
  <w:style w:type="paragraph" w:styleId="DocumentMap">
    <w:name w:val="Document Map"/>
    <w:basedOn w:val="Normal"/>
    <w:link w:val="DocumentMapChar"/>
    <w:uiPriority w:val="99"/>
    <w:rsid w:val="00B65E92"/>
    <w:rPr>
      <w:rFonts w:ascii="Tahoma" w:hAnsi="Tahoma" w:cs="Tahoma"/>
      <w:sz w:val="16"/>
      <w:szCs w:val="16"/>
    </w:rPr>
  </w:style>
  <w:style w:type="character" w:customStyle="1" w:styleId="DocumentMapChar">
    <w:name w:val="Document Map Char"/>
    <w:basedOn w:val="DefaultParagraphFont"/>
    <w:link w:val="DocumentMap"/>
    <w:uiPriority w:val="99"/>
    <w:rsid w:val="00B65E92"/>
    <w:rPr>
      <w:rFonts w:ascii="Tahoma" w:hAnsi="Tahoma" w:cs="Tahoma"/>
      <w:sz w:val="16"/>
      <w:szCs w:val="16"/>
      <w:lang w:eastAsia="en-US"/>
    </w:rPr>
  </w:style>
  <w:style w:type="paragraph" w:styleId="FootnoteText">
    <w:name w:val="footnote text"/>
    <w:basedOn w:val="Normal"/>
    <w:link w:val="FootnoteTextChar"/>
    <w:rsid w:val="00F677AF"/>
    <w:pPr>
      <w:ind w:left="720" w:hanging="720"/>
      <w:jc w:val="both"/>
    </w:pPr>
    <w:rPr>
      <w:rFonts w:ascii="Times New Roman" w:hAnsi="Times New Roman"/>
      <w:sz w:val="20"/>
      <w:szCs w:val="20"/>
      <w:lang w:eastAsia="de-DE"/>
    </w:rPr>
  </w:style>
  <w:style w:type="character" w:customStyle="1" w:styleId="FootnoteTextChar">
    <w:name w:val="Footnote Text Char"/>
    <w:basedOn w:val="DefaultParagraphFont"/>
    <w:link w:val="FootnoteText"/>
    <w:rsid w:val="00F677AF"/>
    <w:rPr>
      <w:lang w:eastAsia="de-DE"/>
    </w:rPr>
  </w:style>
  <w:style w:type="character" w:styleId="FootnoteReference">
    <w:name w:val="footnote reference"/>
    <w:basedOn w:val="DefaultParagraphFont"/>
    <w:rsid w:val="00F677AF"/>
    <w:rPr>
      <w:vertAlign w:val="superscript"/>
    </w:rPr>
  </w:style>
  <w:style w:type="paragraph" w:customStyle="1" w:styleId="Text1">
    <w:name w:val="Text 1"/>
    <w:basedOn w:val="Normal"/>
    <w:rsid w:val="00F677AF"/>
    <w:pPr>
      <w:spacing w:before="120" w:after="120"/>
      <w:ind w:left="850"/>
      <w:jc w:val="both"/>
    </w:pPr>
    <w:rPr>
      <w:rFonts w:ascii="Times New Roman" w:hAnsi="Times New Roman"/>
      <w:sz w:val="24"/>
      <w:szCs w:val="24"/>
      <w:lang w:eastAsia="de-DE"/>
    </w:rPr>
  </w:style>
  <w:style w:type="paragraph" w:customStyle="1" w:styleId="Text3">
    <w:name w:val="Text 3"/>
    <w:basedOn w:val="Normal"/>
    <w:rsid w:val="00F677AF"/>
    <w:pPr>
      <w:spacing w:before="120" w:after="120"/>
      <w:ind w:left="850"/>
      <w:jc w:val="both"/>
    </w:pPr>
    <w:rPr>
      <w:rFonts w:ascii="Times New Roman" w:hAnsi="Times New Roman"/>
      <w:sz w:val="24"/>
      <w:szCs w:val="24"/>
      <w:lang w:eastAsia="de-DE"/>
    </w:rPr>
  </w:style>
  <w:style w:type="paragraph" w:customStyle="1" w:styleId="QuotedText">
    <w:name w:val="Quoted Text"/>
    <w:basedOn w:val="Normal"/>
    <w:rsid w:val="00F677AF"/>
    <w:pPr>
      <w:spacing w:before="120" w:after="120"/>
      <w:ind w:left="1417"/>
      <w:jc w:val="both"/>
    </w:pPr>
    <w:rPr>
      <w:rFonts w:ascii="Times New Roman" w:hAnsi="Times New Roman"/>
      <w:sz w:val="24"/>
      <w:szCs w:val="24"/>
      <w:lang w:eastAsia="de-DE"/>
    </w:rPr>
  </w:style>
  <w:style w:type="paragraph" w:customStyle="1" w:styleId="Point1">
    <w:name w:val="Point 1"/>
    <w:basedOn w:val="Normal"/>
    <w:rsid w:val="00F677AF"/>
    <w:pPr>
      <w:spacing w:before="120" w:after="120"/>
      <w:ind w:left="1417" w:hanging="567"/>
      <w:jc w:val="both"/>
    </w:pPr>
    <w:rPr>
      <w:rFonts w:ascii="Times New Roman" w:hAnsi="Times New Roman"/>
      <w:sz w:val="24"/>
      <w:szCs w:val="24"/>
      <w:lang w:eastAsia="de-DE"/>
    </w:rPr>
  </w:style>
  <w:style w:type="paragraph" w:customStyle="1" w:styleId="Point2">
    <w:name w:val="Point 2"/>
    <w:basedOn w:val="Normal"/>
    <w:rsid w:val="00F677AF"/>
    <w:pPr>
      <w:spacing w:before="120" w:after="120"/>
      <w:ind w:left="1984" w:hanging="567"/>
      <w:jc w:val="both"/>
    </w:pPr>
    <w:rPr>
      <w:rFonts w:ascii="Times New Roman" w:hAnsi="Times New Roman"/>
      <w:sz w:val="24"/>
      <w:szCs w:val="24"/>
      <w:lang w:eastAsia="de-DE"/>
    </w:rPr>
  </w:style>
  <w:style w:type="paragraph" w:customStyle="1" w:styleId="ManualHeading1">
    <w:name w:val="Manual Heading 1"/>
    <w:basedOn w:val="Normal"/>
    <w:next w:val="Text1"/>
    <w:rsid w:val="00F677AF"/>
    <w:pPr>
      <w:keepNext/>
      <w:tabs>
        <w:tab w:val="left" w:pos="850"/>
      </w:tabs>
      <w:spacing w:before="360" w:after="120"/>
      <w:ind w:left="850" w:hanging="850"/>
      <w:jc w:val="both"/>
      <w:outlineLvl w:val="0"/>
    </w:pPr>
    <w:rPr>
      <w:rFonts w:ascii="Times New Roman" w:hAnsi="Times New Roman"/>
      <w:b/>
      <w:smallCaps/>
      <w:sz w:val="24"/>
      <w:szCs w:val="24"/>
      <w:lang w:eastAsia="de-DE"/>
    </w:rPr>
  </w:style>
  <w:style w:type="paragraph" w:customStyle="1" w:styleId="ManualHeading2">
    <w:name w:val="Manual Heading 2"/>
    <w:basedOn w:val="Normal"/>
    <w:next w:val="Normal"/>
    <w:rsid w:val="00F677AF"/>
    <w:pPr>
      <w:keepNext/>
      <w:tabs>
        <w:tab w:val="left" w:pos="850"/>
      </w:tabs>
      <w:spacing w:before="120" w:after="120"/>
      <w:ind w:left="850" w:hanging="850"/>
      <w:jc w:val="both"/>
      <w:outlineLvl w:val="1"/>
    </w:pPr>
    <w:rPr>
      <w:rFonts w:ascii="Times New Roman" w:hAnsi="Times New Roman"/>
      <w:b/>
      <w:sz w:val="24"/>
      <w:szCs w:val="24"/>
      <w:lang w:eastAsia="de-DE"/>
    </w:rPr>
  </w:style>
  <w:style w:type="paragraph" w:customStyle="1" w:styleId="ManualHeading3">
    <w:name w:val="Manual Heading 3"/>
    <w:basedOn w:val="Normal"/>
    <w:next w:val="Text3"/>
    <w:rsid w:val="00F677AF"/>
    <w:pPr>
      <w:keepNext/>
      <w:tabs>
        <w:tab w:val="left" w:pos="850"/>
      </w:tabs>
      <w:spacing w:before="120" w:after="120"/>
      <w:ind w:left="850" w:hanging="850"/>
      <w:jc w:val="both"/>
      <w:outlineLvl w:val="2"/>
    </w:pPr>
    <w:rPr>
      <w:rFonts w:ascii="Times New Roman" w:hAnsi="Times New Roman"/>
      <w:i/>
      <w:sz w:val="24"/>
      <w:szCs w:val="24"/>
      <w:lang w:eastAsia="de-DE"/>
    </w:rPr>
  </w:style>
  <w:style w:type="paragraph" w:customStyle="1" w:styleId="Text2">
    <w:name w:val="Text 2"/>
    <w:basedOn w:val="Normal"/>
    <w:rsid w:val="00F677AF"/>
    <w:pPr>
      <w:spacing w:before="120" w:after="120"/>
      <w:ind w:left="850"/>
      <w:jc w:val="both"/>
    </w:pPr>
    <w:rPr>
      <w:rFonts w:ascii="Times New Roman" w:hAnsi="Times New Roman"/>
      <w:sz w:val="24"/>
      <w:szCs w:val="24"/>
      <w:lang w:eastAsia="de-DE"/>
    </w:rPr>
  </w:style>
  <w:style w:type="paragraph" w:customStyle="1" w:styleId="Point0">
    <w:name w:val="Point 0"/>
    <w:basedOn w:val="Normal"/>
    <w:rsid w:val="00F677AF"/>
    <w:pPr>
      <w:spacing w:before="120" w:after="120"/>
      <w:ind w:left="850" w:hanging="850"/>
      <w:jc w:val="both"/>
    </w:pPr>
    <w:rPr>
      <w:rFonts w:ascii="Times New Roman" w:hAnsi="Times New Roman"/>
      <w:sz w:val="24"/>
      <w:szCs w:val="24"/>
      <w:lang w:eastAsia="de-DE"/>
    </w:rPr>
  </w:style>
  <w:style w:type="paragraph" w:styleId="Index1">
    <w:name w:val="index 1"/>
    <w:basedOn w:val="Normal"/>
    <w:next w:val="Normal"/>
    <w:autoRedefine/>
    <w:rsid w:val="005104DC"/>
    <w:pPr>
      <w:ind w:left="180" w:hanging="180"/>
    </w:pPr>
  </w:style>
  <w:style w:type="paragraph" w:styleId="IndexHeading">
    <w:name w:val="index heading"/>
    <w:basedOn w:val="Normal"/>
    <w:next w:val="Index1"/>
    <w:rsid w:val="005104DC"/>
    <w:pPr>
      <w:spacing w:line="264" w:lineRule="auto"/>
      <w:jc w:val="both"/>
    </w:pPr>
    <w:rPr>
      <w:rFonts w:cs="Arial"/>
      <w:b/>
      <w:bCs/>
      <w:sz w:val="20"/>
      <w:szCs w:val="20"/>
    </w:rPr>
  </w:style>
  <w:style w:type="paragraph" w:styleId="HTMLAddress">
    <w:name w:val="HTML Address"/>
    <w:basedOn w:val="Normal"/>
    <w:link w:val="HTMLAddressChar"/>
    <w:rsid w:val="00FD2E73"/>
    <w:pPr>
      <w:spacing w:line="264" w:lineRule="auto"/>
      <w:jc w:val="both"/>
    </w:pPr>
    <w:rPr>
      <w:rFonts w:cs="Arial"/>
      <w:i/>
      <w:iCs/>
      <w:sz w:val="20"/>
      <w:szCs w:val="20"/>
    </w:rPr>
  </w:style>
  <w:style w:type="character" w:customStyle="1" w:styleId="HTMLAddressChar">
    <w:name w:val="HTML Address Char"/>
    <w:basedOn w:val="DefaultParagraphFont"/>
    <w:link w:val="HTMLAddress"/>
    <w:rsid w:val="00FD2E73"/>
    <w:rPr>
      <w:rFonts w:ascii="Arial" w:hAnsi="Arial" w:cs="Arial"/>
      <w:i/>
      <w:iCs/>
      <w:lang w:eastAsia="en-US"/>
    </w:rPr>
  </w:style>
  <w:style w:type="paragraph" w:styleId="Date">
    <w:name w:val="Date"/>
    <w:basedOn w:val="Normal"/>
    <w:next w:val="Normal"/>
    <w:link w:val="DateChar"/>
    <w:rsid w:val="00EA58D5"/>
    <w:pPr>
      <w:spacing w:line="264" w:lineRule="auto"/>
      <w:jc w:val="both"/>
    </w:pPr>
    <w:rPr>
      <w:rFonts w:cs="Arial"/>
      <w:sz w:val="20"/>
      <w:szCs w:val="20"/>
    </w:rPr>
  </w:style>
  <w:style w:type="character" w:customStyle="1" w:styleId="DateChar">
    <w:name w:val="Date Char"/>
    <w:basedOn w:val="DefaultParagraphFont"/>
    <w:link w:val="Date"/>
    <w:rsid w:val="00EA58D5"/>
    <w:rPr>
      <w:rFonts w:ascii="Arial" w:hAnsi="Arial" w:cs="Arial"/>
      <w:lang w:val="en-GB"/>
    </w:rPr>
  </w:style>
  <w:style w:type="paragraph" w:styleId="ListBullet5">
    <w:name w:val="List Bullet 5"/>
    <w:basedOn w:val="Normal"/>
    <w:autoRedefine/>
    <w:rsid w:val="00EA58D5"/>
    <w:pPr>
      <w:numPr>
        <w:numId w:val="4"/>
      </w:numPr>
      <w:spacing w:line="264" w:lineRule="auto"/>
      <w:jc w:val="both"/>
    </w:pPr>
    <w:rPr>
      <w:rFonts w:cs="Arial"/>
      <w:sz w:val="20"/>
      <w:szCs w:val="20"/>
    </w:rPr>
  </w:style>
  <w:style w:type="character" w:customStyle="1" w:styleId="HeaderChar">
    <w:name w:val="Header Char"/>
    <w:basedOn w:val="DefaultParagraphFont"/>
    <w:link w:val="Header"/>
    <w:rsid w:val="00A63B03"/>
    <w:rPr>
      <w:rFonts w:ascii="Arial" w:hAnsi="Arial"/>
      <w:sz w:val="14"/>
      <w:szCs w:val="14"/>
      <w:lang w:val="en-GB"/>
    </w:rPr>
  </w:style>
  <w:style w:type="character" w:customStyle="1" w:styleId="FooterChar">
    <w:name w:val="Footer Char"/>
    <w:basedOn w:val="DefaultParagraphFont"/>
    <w:link w:val="Footer"/>
    <w:rsid w:val="00A63B03"/>
    <w:rPr>
      <w:rFonts w:ascii="Arial" w:hAnsi="Arial"/>
      <w:sz w:val="14"/>
      <w:szCs w:val="14"/>
      <w:lang w:val="en-GB"/>
    </w:rPr>
  </w:style>
  <w:style w:type="character" w:customStyle="1" w:styleId="BulletLevel1Char">
    <w:name w:val="Bullet Level1 Char"/>
    <w:link w:val="BulletLevel1"/>
    <w:rsid w:val="00BC2B57"/>
    <w:rPr>
      <w:rFonts w:ascii="Arial" w:hAnsi="Arial"/>
      <w:sz w:val="22"/>
      <w:lang w:val="ro-RO"/>
    </w:rPr>
  </w:style>
  <w:style w:type="paragraph" w:customStyle="1" w:styleId="Default">
    <w:name w:val="Default"/>
    <w:rsid w:val="00D57D7E"/>
    <w:pPr>
      <w:autoSpaceDE w:val="0"/>
      <w:autoSpaceDN w:val="0"/>
      <w:adjustRightInd w:val="0"/>
    </w:pPr>
    <w:rPr>
      <w:rFonts w:ascii="Arial" w:eastAsia="Calibri" w:hAnsi="Arial" w:cs="Arial"/>
      <w:color w:val="000000"/>
      <w:sz w:val="24"/>
      <w:szCs w:val="24"/>
      <w:lang w:val="en-GB"/>
    </w:rPr>
  </w:style>
  <w:style w:type="character" w:styleId="Emphasis">
    <w:name w:val="Emphasis"/>
    <w:basedOn w:val="DefaultParagraphFont"/>
    <w:qFormat/>
    <w:rsid w:val="00BD49F9"/>
    <w:rPr>
      <w:i/>
      <w:iCs/>
    </w:rPr>
  </w:style>
  <w:style w:type="paragraph" w:customStyle="1" w:styleId="MVAbullet">
    <w:name w:val="MVAbullet"/>
    <w:basedOn w:val="Default"/>
    <w:next w:val="Default"/>
    <w:uiPriority w:val="99"/>
    <w:rsid w:val="008E360A"/>
    <w:rPr>
      <w:color w:val="auto"/>
    </w:rPr>
  </w:style>
  <w:style w:type="character" w:customStyle="1" w:styleId="Heading1Char">
    <w:name w:val="Heading 1 Char"/>
    <w:basedOn w:val="DefaultParagraphFont"/>
    <w:link w:val="Heading1"/>
    <w:rsid w:val="00053ABD"/>
    <w:rPr>
      <w:rFonts w:ascii="Arial" w:hAnsi="Arial" w:cs="Arial"/>
      <w:bCs/>
      <w:kern w:val="28"/>
      <w:sz w:val="30"/>
      <w:szCs w:val="30"/>
      <w:lang w:val="en-GB"/>
    </w:rPr>
  </w:style>
  <w:style w:type="character" w:customStyle="1" w:styleId="Heading2Char">
    <w:name w:val="Heading 2 Char"/>
    <w:aliases w:val="Oscar Faber 2 Char"/>
    <w:basedOn w:val="DefaultParagraphFont"/>
    <w:link w:val="Heading2"/>
    <w:rsid w:val="00053ABD"/>
    <w:rPr>
      <w:rFonts w:ascii="Arial" w:hAnsi="Arial"/>
      <w:b/>
      <w:sz w:val="18"/>
      <w:szCs w:val="18"/>
      <w:lang w:val="en-GB"/>
    </w:rPr>
  </w:style>
  <w:style w:type="character" w:customStyle="1" w:styleId="Heading3Char">
    <w:name w:val="Heading 3 Char"/>
    <w:basedOn w:val="DefaultParagraphFont"/>
    <w:link w:val="Heading3"/>
    <w:uiPriority w:val="9"/>
    <w:rsid w:val="00053ABD"/>
    <w:rPr>
      <w:rFonts w:ascii="Arial" w:hAnsi="Arial"/>
      <w:sz w:val="18"/>
      <w:szCs w:val="18"/>
      <w:lang w:val="en-GB"/>
    </w:rPr>
  </w:style>
  <w:style w:type="character" w:customStyle="1" w:styleId="Heading5Char">
    <w:name w:val="Heading 5 Char"/>
    <w:aliases w:val="Roman list Char,Lev 5 Char,5 sub-bullet Char,sb Char,H5 Char,Titre 1.1111 Char,Aston T5 Char,(Shift Ctrl 5) Char,DO NOT USE_h5 Char,h5 Char,Block Label Char,T5 Char,Titre5 Char,heading 5 Char,a) Char,NCS-H5 Char,Level 3 - i Char,t5 Char"/>
    <w:basedOn w:val="DefaultParagraphFont"/>
    <w:link w:val="Heading5"/>
    <w:uiPriority w:val="9"/>
    <w:rsid w:val="00053ABD"/>
    <w:rPr>
      <w:rFonts w:ascii="Arial" w:hAnsi="Arial"/>
      <w:sz w:val="18"/>
      <w:szCs w:val="18"/>
      <w:lang w:val="en-GB"/>
    </w:rPr>
  </w:style>
  <w:style w:type="character" w:customStyle="1" w:styleId="Heading6Char">
    <w:name w:val="Heading 6 Char"/>
    <w:aliases w:val="subheading 4 Char"/>
    <w:basedOn w:val="DefaultParagraphFont"/>
    <w:link w:val="Heading6"/>
    <w:uiPriority w:val="9"/>
    <w:rsid w:val="00053ABD"/>
    <w:rPr>
      <w:rFonts w:ascii="Arial" w:hAnsi="Arial"/>
      <w:sz w:val="18"/>
      <w:szCs w:val="18"/>
      <w:lang w:val="en-GB"/>
    </w:rPr>
  </w:style>
  <w:style w:type="character" w:customStyle="1" w:styleId="Heading7Char">
    <w:name w:val="Heading 7 Char"/>
    <w:aliases w:val="letter list Char,lettered list Char,Lev 7 Char,H7 Char,Annexe2 Char,Aston T7 Char,(Shift Ctrl 7) Char,T7 Char,1.2.3.4.5.6.7. Char,Legal Level 1.1. Char,L7 Char,Annexe 1 Char,figure caption Char,Renvoi Bleu Char,Edf Titre 7 Char,nul Char"/>
    <w:basedOn w:val="DefaultParagraphFont"/>
    <w:link w:val="Heading7"/>
    <w:uiPriority w:val="9"/>
    <w:rsid w:val="008F33CA"/>
    <w:rPr>
      <w:rFonts w:ascii="Arial" w:hAnsi="Arial"/>
      <w:b/>
      <w:i/>
      <w:sz w:val="22"/>
      <w:szCs w:val="18"/>
      <w:lang w:val="en-GB"/>
    </w:rPr>
  </w:style>
  <w:style w:type="character" w:customStyle="1" w:styleId="Heading8Char">
    <w:name w:val="Heading 8 Char"/>
    <w:aliases w:val="Lev 8 Char,Center Bold Char,action Char,Annexe3 Char,Aston Légende Char,t Char,Text Char, action Char,T8 Char,text Char,Legal Level 1.1.1. Char,Annexe 2 Char,table caption Char,Renvoi Rouge Char,Edf Titre 8 Char,Heading 8 CFMU Char"/>
    <w:basedOn w:val="DefaultParagraphFont"/>
    <w:link w:val="Heading8"/>
    <w:uiPriority w:val="9"/>
    <w:rsid w:val="00053ABD"/>
    <w:rPr>
      <w:rFonts w:ascii="Arial" w:hAnsi="Arial"/>
      <w:sz w:val="18"/>
      <w:szCs w:val="18"/>
      <w:lang w:val="en-GB"/>
    </w:rPr>
  </w:style>
  <w:style w:type="character" w:customStyle="1" w:styleId="Heading9Char">
    <w:name w:val="Heading 9 Char"/>
    <w:aliases w:val="Lev 9 Char,progress Char,Annexe4 Char, progress Char,App Heading Char,Legal Level 1.1.1.1. Char,Annexe 3 Char,Renvoi Vert Char,Edf Titre 9 Char,Heading 9 CFMU Char,Chapitre niveau 9 Char,h9 Char,RFP Reference Char,Do Not Use1 Char"/>
    <w:basedOn w:val="DefaultParagraphFont"/>
    <w:link w:val="Heading9"/>
    <w:uiPriority w:val="9"/>
    <w:rsid w:val="00053ABD"/>
    <w:rPr>
      <w:rFonts w:ascii="Arial" w:hAnsi="Arial"/>
      <w:sz w:val="18"/>
      <w:szCs w:val="18"/>
      <w:lang w:val="en-GB"/>
    </w:rPr>
  </w:style>
  <w:style w:type="character" w:customStyle="1" w:styleId="EmailStyle103">
    <w:name w:val="EmailStyle103"/>
    <w:basedOn w:val="DefaultParagraphFont"/>
    <w:rsid w:val="00053ABD"/>
    <w:rPr>
      <w:rFonts w:cs="Arial"/>
      <w:color w:val="auto"/>
      <w:sz w:val="20"/>
    </w:rPr>
  </w:style>
  <w:style w:type="character" w:customStyle="1" w:styleId="EmailStyle104">
    <w:name w:val="EmailStyle104"/>
    <w:basedOn w:val="DefaultParagraphFont"/>
    <w:rsid w:val="00053ABD"/>
    <w:rPr>
      <w:rFonts w:cs="Arial"/>
      <w:color w:val="auto"/>
      <w:sz w:val="20"/>
    </w:rPr>
  </w:style>
  <w:style w:type="paragraph" w:styleId="BlockText">
    <w:name w:val="Block Text"/>
    <w:basedOn w:val="Normal"/>
    <w:rsid w:val="00053ABD"/>
    <w:pPr>
      <w:spacing w:after="120" w:line="276" w:lineRule="auto"/>
      <w:ind w:left="1440" w:right="1440" w:hanging="3686"/>
      <w:jc w:val="both"/>
    </w:pPr>
    <w:rPr>
      <w:rFonts w:ascii="Calibri" w:eastAsia="Calibri" w:hAnsi="Calibri"/>
      <w:sz w:val="22"/>
      <w:szCs w:val="22"/>
    </w:rPr>
  </w:style>
  <w:style w:type="paragraph" w:styleId="BodyText">
    <w:name w:val="Body Text"/>
    <w:basedOn w:val="Normal"/>
    <w:link w:val="BodyTextChar"/>
    <w:rsid w:val="00053ABD"/>
    <w:pPr>
      <w:spacing w:after="120" w:line="276" w:lineRule="auto"/>
      <w:ind w:left="3686" w:hanging="3686"/>
      <w:jc w:val="both"/>
    </w:pPr>
    <w:rPr>
      <w:rFonts w:ascii="Calibri" w:eastAsia="Calibri" w:hAnsi="Calibri"/>
      <w:sz w:val="22"/>
      <w:szCs w:val="22"/>
    </w:rPr>
  </w:style>
  <w:style w:type="character" w:customStyle="1" w:styleId="BodyTextChar">
    <w:name w:val="Body Text Char"/>
    <w:basedOn w:val="DefaultParagraphFont"/>
    <w:link w:val="BodyText"/>
    <w:rsid w:val="00053ABD"/>
    <w:rPr>
      <w:rFonts w:ascii="Calibri" w:eastAsia="Calibri" w:hAnsi="Calibri"/>
      <w:sz w:val="22"/>
      <w:szCs w:val="22"/>
      <w:lang w:val="en-GB"/>
    </w:rPr>
  </w:style>
  <w:style w:type="paragraph" w:styleId="BodyText2">
    <w:name w:val="Body Text 2"/>
    <w:basedOn w:val="Normal"/>
    <w:link w:val="BodyText2Char"/>
    <w:rsid w:val="00053ABD"/>
    <w:pPr>
      <w:spacing w:after="120" w:line="480" w:lineRule="auto"/>
      <w:ind w:left="3686" w:hanging="3686"/>
      <w:jc w:val="both"/>
    </w:pPr>
    <w:rPr>
      <w:rFonts w:ascii="Calibri" w:eastAsia="Calibri" w:hAnsi="Calibri"/>
      <w:sz w:val="22"/>
      <w:szCs w:val="22"/>
    </w:rPr>
  </w:style>
  <w:style w:type="character" w:customStyle="1" w:styleId="BodyText2Char">
    <w:name w:val="Body Text 2 Char"/>
    <w:basedOn w:val="DefaultParagraphFont"/>
    <w:link w:val="BodyText2"/>
    <w:rsid w:val="00053ABD"/>
    <w:rPr>
      <w:rFonts w:ascii="Calibri" w:eastAsia="Calibri" w:hAnsi="Calibri"/>
      <w:sz w:val="22"/>
      <w:szCs w:val="22"/>
      <w:lang w:val="en-GB"/>
    </w:rPr>
  </w:style>
  <w:style w:type="paragraph" w:styleId="BodyText3">
    <w:name w:val="Body Text 3"/>
    <w:basedOn w:val="Normal"/>
    <w:link w:val="BodyText3Char"/>
    <w:rsid w:val="00053ABD"/>
    <w:pPr>
      <w:spacing w:after="120" w:line="276" w:lineRule="auto"/>
      <w:ind w:left="3686" w:hanging="3686"/>
      <w:jc w:val="both"/>
    </w:pPr>
    <w:rPr>
      <w:rFonts w:ascii="Calibri" w:eastAsia="Calibri" w:hAnsi="Calibri"/>
      <w:sz w:val="16"/>
      <w:szCs w:val="16"/>
    </w:rPr>
  </w:style>
  <w:style w:type="character" w:customStyle="1" w:styleId="BodyText3Char">
    <w:name w:val="Body Text 3 Char"/>
    <w:basedOn w:val="DefaultParagraphFont"/>
    <w:link w:val="BodyText3"/>
    <w:rsid w:val="00053ABD"/>
    <w:rPr>
      <w:rFonts w:ascii="Calibri" w:eastAsia="Calibri" w:hAnsi="Calibri"/>
      <w:sz w:val="16"/>
      <w:szCs w:val="16"/>
      <w:lang w:val="en-GB"/>
    </w:rPr>
  </w:style>
  <w:style w:type="paragraph" w:styleId="BodyTextFirstIndent">
    <w:name w:val="Body Text First Indent"/>
    <w:basedOn w:val="BodyText"/>
    <w:link w:val="BodyTextFirstIndentChar"/>
    <w:rsid w:val="00053ABD"/>
    <w:pPr>
      <w:ind w:firstLine="210"/>
    </w:pPr>
  </w:style>
  <w:style w:type="character" w:customStyle="1" w:styleId="BodyTextFirstIndentChar">
    <w:name w:val="Body Text First Indent Char"/>
    <w:basedOn w:val="BodyTextChar"/>
    <w:link w:val="BodyTextFirstIndent"/>
    <w:rsid w:val="00053ABD"/>
    <w:rPr>
      <w:rFonts w:ascii="Calibri" w:eastAsia="Calibri" w:hAnsi="Calibri"/>
      <w:sz w:val="22"/>
      <w:szCs w:val="22"/>
      <w:lang w:val="en-GB"/>
    </w:rPr>
  </w:style>
  <w:style w:type="paragraph" w:styleId="BodyTextIndent">
    <w:name w:val="Body Text Indent"/>
    <w:basedOn w:val="Normal"/>
    <w:link w:val="BodyTextIndentChar"/>
    <w:rsid w:val="00053ABD"/>
    <w:pPr>
      <w:spacing w:after="120" w:line="276" w:lineRule="auto"/>
      <w:ind w:left="283" w:hanging="3686"/>
      <w:jc w:val="both"/>
    </w:pPr>
    <w:rPr>
      <w:rFonts w:ascii="Calibri" w:eastAsia="Calibri" w:hAnsi="Calibri"/>
      <w:sz w:val="22"/>
      <w:szCs w:val="22"/>
    </w:rPr>
  </w:style>
  <w:style w:type="character" w:customStyle="1" w:styleId="BodyTextIndentChar">
    <w:name w:val="Body Text Indent Char"/>
    <w:basedOn w:val="DefaultParagraphFont"/>
    <w:link w:val="BodyTextIndent"/>
    <w:rsid w:val="00053ABD"/>
    <w:rPr>
      <w:rFonts w:ascii="Calibri" w:eastAsia="Calibri" w:hAnsi="Calibri"/>
      <w:sz w:val="22"/>
      <w:szCs w:val="22"/>
      <w:lang w:val="en-GB"/>
    </w:rPr>
  </w:style>
  <w:style w:type="paragraph" w:styleId="BodyTextFirstIndent2">
    <w:name w:val="Body Text First Indent 2"/>
    <w:basedOn w:val="BodyTextIndent"/>
    <w:link w:val="BodyTextFirstIndent2Char"/>
    <w:rsid w:val="00053ABD"/>
    <w:pPr>
      <w:ind w:firstLine="210"/>
    </w:pPr>
  </w:style>
  <w:style w:type="character" w:customStyle="1" w:styleId="BodyTextFirstIndent2Char">
    <w:name w:val="Body Text First Indent 2 Char"/>
    <w:basedOn w:val="BodyTextIndentChar"/>
    <w:link w:val="BodyTextFirstIndent2"/>
    <w:rsid w:val="00053ABD"/>
    <w:rPr>
      <w:rFonts w:ascii="Calibri" w:eastAsia="Calibri" w:hAnsi="Calibri"/>
      <w:sz w:val="22"/>
      <w:szCs w:val="22"/>
      <w:lang w:val="en-GB"/>
    </w:rPr>
  </w:style>
  <w:style w:type="paragraph" w:styleId="BodyTextIndent2">
    <w:name w:val="Body Text Indent 2"/>
    <w:basedOn w:val="Normal"/>
    <w:link w:val="BodyTextIndent2Char"/>
    <w:rsid w:val="00053ABD"/>
    <w:pPr>
      <w:spacing w:after="120" w:line="480" w:lineRule="auto"/>
      <w:ind w:left="283" w:hanging="3686"/>
      <w:jc w:val="both"/>
    </w:pPr>
    <w:rPr>
      <w:rFonts w:ascii="Calibri" w:eastAsia="Calibri" w:hAnsi="Calibri"/>
      <w:sz w:val="22"/>
      <w:szCs w:val="22"/>
    </w:rPr>
  </w:style>
  <w:style w:type="character" w:customStyle="1" w:styleId="BodyTextIndent2Char">
    <w:name w:val="Body Text Indent 2 Char"/>
    <w:basedOn w:val="DefaultParagraphFont"/>
    <w:link w:val="BodyTextIndent2"/>
    <w:rsid w:val="00053ABD"/>
    <w:rPr>
      <w:rFonts w:ascii="Calibri" w:eastAsia="Calibri" w:hAnsi="Calibri"/>
      <w:sz w:val="22"/>
      <w:szCs w:val="22"/>
      <w:lang w:val="en-GB"/>
    </w:rPr>
  </w:style>
  <w:style w:type="paragraph" w:styleId="BodyTextIndent3">
    <w:name w:val="Body Text Indent 3"/>
    <w:basedOn w:val="Normal"/>
    <w:link w:val="BodyTextIndent3Char"/>
    <w:rsid w:val="00053ABD"/>
    <w:pPr>
      <w:spacing w:after="120" w:line="276" w:lineRule="auto"/>
      <w:ind w:left="283" w:hanging="3686"/>
      <w:jc w:val="both"/>
    </w:pPr>
    <w:rPr>
      <w:rFonts w:ascii="Calibri" w:eastAsia="Calibri" w:hAnsi="Calibri"/>
      <w:sz w:val="16"/>
      <w:szCs w:val="16"/>
    </w:rPr>
  </w:style>
  <w:style w:type="character" w:customStyle="1" w:styleId="BodyTextIndent3Char">
    <w:name w:val="Body Text Indent 3 Char"/>
    <w:basedOn w:val="DefaultParagraphFont"/>
    <w:link w:val="BodyTextIndent3"/>
    <w:rsid w:val="00053ABD"/>
    <w:rPr>
      <w:rFonts w:ascii="Calibri" w:eastAsia="Calibri" w:hAnsi="Calibri"/>
      <w:sz w:val="16"/>
      <w:szCs w:val="16"/>
      <w:lang w:val="en-GB"/>
    </w:rPr>
  </w:style>
  <w:style w:type="paragraph" w:styleId="Closing">
    <w:name w:val="Closing"/>
    <w:basedOn w:val="Normal"/>
    <w:link w:val="ClosingChar"/>
    <w:rsid w:val="00053ABD"/>
    <w:pPr>
      <w:spacing w:line="276" w:lineRule="auto"/>
      <w:ind w:left="4252" w:hanging="3686"/>
      <w:jc w:val="both"/>
    </w:pPr>
    <w:rPr>
      <w:rFonts w:ascii="Calibri" w:eastAsia="Calibri" w:hAnsi="Calibri"/>
      <w:sz w:val="22"/>
      <w:szCs w:val="22"/>
    </w:rPr>
  </w:style>
  <w:style w:type="character" w:customStyle="1" w:styleId="ClosingChar">
    <w:name w:val="Closing Char"/>
    <w:basedOn w:val="DefaultParagraphFont"/>
    <w:link w:val="Closing"/>
    <w:rsid w:val="00053ABD"/>
    <w:rPr>
      <w:rFonts w:ascii="Calibri" w:eastAsia="Calibri" w:hAnsi="Calibri"/>
      <w:sz w:val="22"/>
      <w:szCs w:val="22"/>
      <w:lang w:val="en-GB"/>
    </w:rPr>
  </w:style>
  <w:style w:type="paragraph" w:styleId="E-mailSignature">
    <w:name w:val="E-mail Signature"/>
    <w:basedOn w:val="Normal"/>
    <w:link w:val="E-mailSignatureChar"/>
    <w:rsid w:val="00053ABD"/>
    <w:pPr>
      <w:spacing w:line="276" w:lineRule="auto"/>
      <w:ind w:left="3686" w:hanging="3686"/>
      <w:jc w:val="both"/>
    </w:pPr>
    <w:rPr>
      <w:rFonts w:ascii="Calibri" w:eastAsia="Calibri" w:hAnsi="Calibri"/>
      <w:sz w:val="22"/>
      <w:szCs w:val="22"/>
    </w:rPr>
  </w:style>
  <w:style w:type="character" w:customStyle="1" w:styleId="E-mailSignatureChar">
    <w:name w:val="E-mail Signature Char"/>
    <w:basedOn w:val="DefaultParagraphFont"/>
    <w:link w:val="E-mailSignature"/>
    <w:rsid w:val="00053ABD"/>
    <w:rPr>
      <w:rFonts w:ascii="Calibri" w:eastAsia="Calibri" w:hAnsi="Calibri"/>
      <w:sz w:val="22"/>
      <w:szCs w:val="22"/>
      <w:lang w:val="en-GB"/>
    </w:rPr>
  </w:style>
  <w:style w:type="character" w:styleId="EndnoteReference">
    <w:name w:val="endnote reference"/>
    <w:basedOn w:val="DefaultParagraphFont"/>
    <w:rsid w:val="00053ABD"/>
    <w:rPr>
      <w:vertAlign w:val="superscript"/>
    </w:rPr>
  </w:style>
  <w:style w:type="paragraph" w:styleId="EndnoteText">
    <w:name w:val="endnote text"/>
    <w:basedOn w:val="Normal"/>
    <w:link w:val="EndnoteTextChar"/>
    <w:rsid w:val="00053ABD"/>
    <w:pPr>
      <w:spacing w:line="276" w:lineRule="auto"/>
      <w:ind w:left="3686" w:hanging="3686"/>
      <w:jc w:val="both"/>
    </w:pPr>
    <w:rPr>
      <w:rFonts w:ascii="Calibri" w:eastAsia="Calibri" w:hAnsi="Calibri"/>
      <w:sz w:val="22"/>
      <w:szCs w:val="22"/>
    </w:rPr>
  </w:style>
  <w:style w:type="character" w:customStyle="1" w:styleId="EndnoteTextChar">
    <w:name w:val="Endnote Text Char"/>
    <w:basedOn w:val="DefaultParagraphFont"/>
    <w:link w:val="EndnoteText"/>
    <w:rsid w:val="00053ABD"/>
    <w:rPr>
      <w:rFonts w:ascii="Calibri" w:eastAsia="Calibri" w:hAnsi="Calibri"/>
      <w:sz w:val="22"/>
      <w:szCs w:val="22"/>
      <w:lang w:val="en-GB"/>
    </w:rPr>
  </w:style>
  <w:style w:type="paragraph" w:styleId="EnvelopeAddress">
    <w:name w:val="envelope address"/>
    <w:basedOn w:val="Normal"/>
    <w:rsid w:val="00053ABD"/>
    <w:pPr>
      <w:framePr w:w="7920" w:h="1980" w:hRule="exact" w:hSpace="180" w:wrap="auto" w:hAnchor="page" w:xAlign="center" w:yAlign="bottom"/>
      <w:spacing w:line="276" w:lineRule="auto"/>
      <w:ind w:left="2880" w:hanging="3686"/>
      <w:jc w:val="both"/>
    </w:pPr>
    <w:rPr>
      <w:rFonts w:ascii="Calibri" w:eastAsia="Calibri" w:hAnsi="Calibri"/>
      <w:sz w:val="24"/>
      <w:szCs w:val="24"/>
    </w:rPr>
  </w:style>
  <w:style w:type="paragraph" w:styleId="EnvelopeReturn">
    <w:name w:val="envelope return"/>
    <w:basedOn w:val="Normal"/>
    <w:rsid w:val="00053ABD"/>
    <w:pPr>
      <w:spacing w:line="276" w:lineRule="auto"/>
      <w:ind w:left="3686" w:hanging="3686"/>
      <w:jc w:val="both"/>
    </w:pPr>
    <w:rPr>
      <w:rFonts w:ascii="Calibri" w:eastAsia="Calibri" w:hAnsi="Calibri"/>
      <w:sz w:val="22"/>
      <w:szCs w:val="22"/>
    </w:rPr>
  </w:style>
  <w:style w:type="character" w:styleId="FollowedHyperlink">
    <w:name w:val="FollowedHyperlink"/>
    <w:basedOn w:val="DefaultParagraphFont"/>
    <w:rsid w:val="00053ABD"/>
    <w:rPr>
      <w:color w:val="800080"/>
      <w:u w:val="single"/>
    </w:rPr>
  </w:style>
  <w:style w:type="character" w:styleId="HTMLAcronym">
    <w:name w:val="HTML Acronym"/>
    <w:basedOn w:val="DefaultParagraphFont"/>
    <w:rsid w:val="00053ABD"/>
  </w:style>
  <w:style w:type="character" w:styleId="HTMLCite">
    <w:name w:val="HTML Cite"/>
    <w:basedOn w:val="DefaultParagraphFont"/>
    <w:rsid w:val="00053ABD"/>
    <w:rPr>
      <w:i/>
      <w:iCs/>
    </w:rPr>
  </w:style>
  <w:style w:type="character" w:styleId="HTMLCode">
    <w:name w:val="HTML Code"/>
    <w:basedOn w:val="DefaultParagraphFont"/>
    <w:rsid w:val="00053ABD"/>
    <w:rPr>
      <w:rFonts w:ascii="Courier New" w:hAnsi="Courier New"/>
      <w:sz w:val="20"/>
      <w:szCs w:val="20"/>
    </w:rPr>
  </w:style>
  <w:style w:type="character" w:styleId="HTMLDefinition">
    <w:name w:val="HTML Definition"/>
    <w:basedOn w:val="DefaultParagraphFont"/>
    <w:rsid w:val="00053ABD"/>
    <w:rPr>
      <w:i/>
      <w:iCs/>
    </w:rPr>
  </w:style>
  <w:style w:type="character" w:styleId="HTMLKeyboard">
    <w:name w:val="HTML Keyboard"/>
    <w:basedOn w:val="DefaultParagraphFont"/>
    <w:rsid w:val="00053ABD"/>
    <w:rPr>
      <w:rFonts w:ascii="Courier New" w:hAnsi="Courier New"/>
      <w:sz w:val="20"/>
      <w:szCs w:val="20"/>
    </w:rPr>
  </w:style>
  <w:style w:type="paragraph" w:styleId="HTMLPreformatted">
    <w:name w:val="HTML Preformatted"/>
    <w:basedOn w:val="Normal"/>
    <w:link w:val="HTMLPreformattedChar"/>
    <w:rsid w:val="00053ABD"/>
    <w:pPr>
      <w:spacing w:line="276" w:lineRule="auto"/>
      <w:ind w:left="3686" w:hanging="3686"/>
      <w:jc w:val="both"/>
    </w:pPr>
    <w:rPr>
      <w:rFonts w:ascii="Calibri" w:eastAsia="Calibri" w:hAnsi="Calibri" w:cs="Courier New"/>
      <w:sz w:val="22"/>
      <w:szCs w:val="22"/>
    </w:rPr>
  </w:style>
  <w:style w:type="character" w:customStyle="1" w:styleId="HTMLPreformattedChar">
    <w:name w:val="HTML Preformatted Char"/>
    <w:basedOn w:val="DefaultParagraphFont"/>
    <w:link w:val="HTMLPreformatted"/>
    <w:rsid w:val="00053ABD"/>
    <w:rPr>
      <w:rFonts w:ascii="Calibri" w:eastAsia="Calibri" w:hAnsi="Calibri" w:cs="Courier New"/>
      <w:sz w:val="22"/>
      <w:szCs w:val="22"/>
      <w:lang w:val="en-GB"/>
    </w:rPr>
  </w:style>
  <w:style w:type="character" w:styleId="HTMLSample">
    <w:name w:val="HTML Sample"/>
    <w:basedOn w:val="DefaultParagraphFont"/>
    <w:rsid w:val="00053ABD"/>
    <w:rPr>
      <w:rFonts w:ascii="Courier New" w:hAnsi="Courier New"/>
    </w:rPr>
  </w:style>
  <w:style w:type="character" w:styleId="HTMLTypewriter">
    <w:name w:val="HTML Typewriter"/>
    <w:basedOn w:val="DefaultParagraphFont"/>
    <w:rsid w:val="00053ABD"/>
    <w:rPr>
      <w:rFonts w:ascii="Courier New" w:hAnsi="Courier New"/>
      <w:sz w:val="20"/>
      <w:szCs w:val="20"/>
    </w:rPr>
  </w:style>
  <w:style w:type="character" w:styleId="HTMLVariable">
    <w:name w:val="HTML Variable"/>
    <w:basedOn w:val="DefaultParagraphFont"/>
    <w:rsid w:val="00053ABD"/>
    <w:rPr>
      <w:i/>
      <w:iCs/>
    </w:rPr>
  </w:style>
  <w:style w:type="paragraph" w:styleId="Index2">
    <w:name w:val="index 2"/>
    <w:basedOn w:val="Normal"/>
    <w:next w:val="Normal"/>
    <w:autoRedefine/>
    <w:rsid w:val="00053ABD"/>
    <w:pPr>
      <w:spacing w:line="276" w:lineRule="auto"/>
      <w:ind w:left="400" w:hanging="200"/>
      <w:jc w:val="both"/>
    </w:pPr>
    <w:rPr>
      <w:rFonts w:ascii="Calibri" w:eastAsia="Calibri" w:hAnsi="Calibri"/>
      <w:sz w:val="22"/>
      <w:szCs w:val="22"/>
    </w:rPr>
  </w:style>
  <w:style w:type="paragraph" w:styleId="Index3">
    <w:name w:val="index 3"/>
    <w:basedOn w:val="Normal"/>
    <w:next w:val="Normal"/>
    <w:autoRedefine/>
    <w:rsid w:val="00053ABD"/>
    <w:pPr>
      <w:spacing w:line="276" w:lineRule="auto"/>
      <w:ind w:left="600" w:hanging="200"/>
      <w:jc w:val="both"/>
    </w:pPr>
    <w:rPr>
      <w:rFonts w:ascii="Calibri" w:eastAsia="Calibri" w:hAnsi="Calibri"/>
      <w:sz w:val="22"/>
      <w:szCs w:val="22"/>
    </w:rPr>
  </w:style>
  <w:style w:type="paragraph" w:styleId="Index4">
    <w:name w:val="index 4"/>
    <w:basedOn w:val="Normal"/>
    <w:next w:val="Normal"/>
    <w:autoRedefine/>
    <w:rsid w:val="00053ABD"/>
    <w:pPr>
      <w:spacing w:line="276" w:lineRule="auto"/>
      <w:ind w:left="800" w:hanging="200"/>
      <w:jc w:val="both"/>
    </w:pPr>
    <w:rPr>
      <w:rFonts w:ascii="Calibri" w:eastAsia="Calibri" w:hAnsi="Calibri"/>
      <w:sz w:val="22"/>
      <w:szCs w:val="22"/>
    </w:rPr>
  </w:style>
  <w:style w:type="paragraph" w:styleId="Index5">
    <w:name w:val="index 5"/>
    <w:basedOn w:val="Normal"/>
    <w:next w:val="Normal"/>
    <w:autoRedefine/>
    <w:rsid w:val="00053ABD"/>
    <w:pPr>
      <w:spacing w:line="276" w:lineRule="auto"/>
      <w:ind w:left="1000" w:hanging="200"/>
      <w:jc w:val="both"/>
    </w:pPr>
    <w:rPr>
      <w:rFonts w:ascii="Calibri" w:eastAsia="Calibri" w:hAnsi="Calibri"/>
      <w:sz w:val="22"/>
      <w:szCs w:val="22"/>
    </w:rPr>
  </w:style>
  <w:style w:type="paragraph" w:styleId="Index6">
    <w:name w:val="index 6"/>
    <w:basedOn w:val="Normal"/>
    <w:next w:val="Normal"/>
    <w:autoRedefine/>
    <w:rsid w:val="00053ABD"/>
    <w:pPr>
      <w:spacing w:line="276" w:lineRule="auto"/>
      <w:ind w:left="1200" w:hanging="200"/>
      <w:jc w:val="both"/>
    </w:pPr>
    <w:rPr>
      <w:rFonts w:ascii="Calibri" w:eastAsia="Calibri" w:hAnsi="Calibri"/>
      <w:sz w:val="22"/>
      <w:szCs w:val="22"/>
    </w:rPr>
  </w:style>
  <w:style w:type="paragraph" w:styleId="Index7">
    <w:name w:val="index 7"/>
    <w:basedOn w:val="Normal"/>
    <w:next w:val="Normal"/>
    <w:autoRedefine/>
    <w:rsid w:val="00053ABD"/>
    <w:pPr>
      <w:spacing w:line="276" w:lineRule="auto"/>
      <w:ind w:left="1400" w:hanging="200"/>
      <w:jc w:val="both"/>
    </w:pPr>
    <w:rPr>
      <w:rFonts w:ascii="Calibri" w:eastAsia="Calibri" w:hAnsi="Calibri"/>
      <w:sz w:val="22"/>
      <w:szCs w:val="22"/>
    </w:rPr>
  </w:style>
  <w:style w:type="paragraph" w:styleId="Index8">
    <w:name w:val="index 8"/>
    <w:basedOn w:val="Normal"/>
    <w:next w:val="Normal"/>
    <w:autoRedefine/>
    <w:rsid w:val="00053ABD"/>
    <w:pPr>
      <w:spacing w:line="276" w:lineRule="auto"/>
      <w:ind w:left="1600" w:hanging="200"/>
      <w:jc w:val="both"/>
    </w:pPr>
    <w:rPr>
      <w:rFonts w:ascii="Calibri" w:eastAsia="Calibri" w:hAnsi="Calibri"/>
      <w:sz w:val="22"/>
      <w:szCs w:val="22"/>
    </w:rPr>
  </w:style>
  <w:style w:type="paragraph" w:styleId="Index9">
    <w:name w:val="index 9"/>
    <w:basedOn w:val="Normal"/>
    <w:next w:val="Normal"/>
    <w:autoRedefine/>
    <w:rsid w:val="00053ABD"/>
    <w:pPr>
      <w:spacing w:line="276" w:lineRule="auto"/>
      <w:ind w:left="1800" w:hanging="200"/>
      <w:jc w:val="both"/>
    </w:pPr>
    <w:rPr>
      <w:rFonts w:ascii="Calibri" w:eastAsia="Calibri" w:hAnsi="Calibri"/>
      <w:sz w:val="22"/>
      <w:szCs w:val="22"/>
    </w:rPr>
  </w:style>
  <w:style w:type="character" w:styleId="LineNumber">
    <w:name w:val="line number"/>
    <w:basedOn w:val="DefaultParagraphFont"/>
    <w:rsid w:val="00053ABD"/>
  </w:style>
  <w:style w:type="paragraph" w:styleId="List">
    <w:name w:val="List"/>
    <w:basedOn w:val="Normal"/>
    <w:rsid w:val="00053ABD"/>
    <w:pPr>
      <w:spacing w:line="276" w:lineRule="auto"/>
      <w:ind w:left="283" w:hanging="283"/>
      <w:jc w:val="both"/>
    </w:pPr>
    <w:rPr>
      <w:rFonts w:ascii="Calibri" w:eastAsia="Calibri" w:hAnsi="Calibri"/>
      <w:sz w:val="22"/>
      <w:szCs w:val="22"/>
    </w:rPr>
  </w:style>
  <w:style w:type="paragraph" w:styleId="List2">
    <w:name w:val="List 2"/>
    <w:basedOn w:val="Normal"/>
    <w:rsid w:val="00053ABD"/>
    <w:pPr>
      <w:spacing w:line="276" w:lineRule="auto"/>
      <w:ind w:left="566" w:hanging="283"/>
      <w:jc w:val="both"/>
    </w:pPr>
    <w:rPr>
      <w:rFonts w:ascii="Calibri" w:eastAsia="Calibri" w:hAnsi="Calibri"/>
      <w:sz w:val="22"/>
      <w:szCs w:val="22"/>
    </w:rPr>
  </w:style>
  <w:style w:type="paragraph" w:styleId="List3">
    <w:name w:val="List 3"/>
    <w:basedOn w:val="Normal"/>
    <w:rsid w:val="00053ABD"/>
    <w:pPr>
      <w:spacing w:line="276" w:lineRule="auto"/>
      <w:ind w:left="849" w:hanging="283"/>
      <w:jc w:val="both"/>
    </w:pPr>
    <w:rPr>
      <w:rFonts w:ascii="Calibri" w:eastAsia="Calibri" w:hAnsi="Calibri"/>
      <w:sz w:val="22"/>
      <w:szCs w:val="22"/>
    </w:rPr>
  </w:style>
  <w:style w:type="paragraph" w:styleId="List4">
    <w:name w:val="List 4"/>
    <w:basedOn w:val="Normal"/>
    <w:rsid w:val="00053ABD"/>
    <w:pPr>
      <w:spacing w:line="276" w:lineRule="auto"/>
      <w:ind w:left="1132" w:hanging="283"/>
      <w:jc w:val="both"/>
    </w:pPr>
    <w:rPr>
      <w:rFonts w:ascii="Calibri" w:eastAsia="Calibri" w:hAnsi="Calibri"/>
      <w:sz w:val="22"/>
      <w:szCs w:val="22"/>
    </w:rPr>
  </w:style>
  <w:style w:type="paragraph" w:styleId="List5">
    <w:name w:val="List 5"/>
    <w:basedOn w:val="Normal"/>
    <w:rsid w:val="00053ABD"/>
    <w:pPr>
      <w:spacing w:line="276" w:lineRule="auto"/>
      <w:ind w:left="1415" w:hanging="283"/>
      <w:jc w:val="both"/>
    </w:pPr>
    <w:rPr>
      <w:rFonts w:ascii="Calibri" w:eastAsia="Calibri" w:hAnsi="Calibri"/>
      <w:sz w:val="22"/>
      <w:szCs w:val="22"/>
    </w:rPr>
  </w:style>
  <w:style w:type="paragraph" w:styleId="ListBullet">
    <w:name w:val="List Bullet"/>
    <w:basedOn w:val="Normal"/>
    <w:autoRedefine/>
    <w:rsid w:val="00053ABD"/>
    <w:pPr>
      <w:numPr>
        <w:numId w:val="5"/>
      </w:numPr>
      <w:spacing w:line="276" w:lineRule="auto"/>
      <w:jc w:val="both"/>
    </w:pPr>
    <w:rPr>
      <w:rFonts w:ascii="Calibri" w:eastAsia="Calibri" w:hAnsi="Calibri"/>
      <w:sz w:val="22"/>
      <w:szCs w:val="22"/>
    </w:rPr>
  </w:style>
  <w:style w:type="paragraph" w:styleId="ListBullet2">
    <w:name w:val="List Bullet 2"/>
    <w:basedOn w:val="Normal"/>
    <w:link w:val="ListBullet2Char"/>
    <w:autoRedefine/>
    <w:rsid w:val="00053ABD"/>
    <w:pPr>
      <w:numPr>
        <w:numId w:val="6"/>
      </w:numPr>
      <w:spacing w:line="276" w:lineRule="auto"/>
      <w:jc w:val="both"/>
    </w:pPr>
    <w:rPr>
      <w:rFonts w:ascii="Calibri" w:eastAsia="Calibri" w:hAnsi="Calibri"/>
      <w:sz w:val="22"/>
      <w:szCs w:val="22"/>
    </w:rPr>
  </w:style>
  <w:style w:type="paragraph" w:styleId="ListBullet3">
    <w:name w:val="List Bullet 3"/>
    <w:basedOn w:val="Normal"/>
    <w:autoRedefine/>
    <w:rsid w:val="00053ABD"/>
    <w:pPr>
      <w:numPr>
        <w:numId w:val="7"/>
      </w:numPr>
      <w:spacing w:line="276" w:lineRule="auto"/>
      <w:jc w:val="both"/>
    </w:pPr>
    <w:rPr>
      <w:rFonts w:ascii="Calibri" w:eastAsia="Calibri" w:hAnsi="Calibri"/>
      <w:sz w:val="22"/>
      <w:szCs w:val="22"/>
    </w:rPr>
  </w:style>
  <w:style w:type="paragraph" w:styleId="ListBullet4">
    <w:name w:val="List Bullet 4"/>
    <w:basedOn w:val="Normal"/>
    <w:autoRedefine/>
    <w:rsid w:val="00053ABD"/>
    <w:pPr>
      <w:numPr>
        <w:numId w:val="8"/>
      </w:numPr>
      <w:spacing w:line="276" w:lineRule="auto"/>
      <w:jc w:val="both"/>
    </w:pPr>
    <w:rPr>
      <w:rFonts w:ascii="Calibri" w:eastAsia="Calibri" w:hAnsi="Calibri"/>
      <w:sz w:val="22"/>
      <w:szCs w:val="22"/>
    </w:rPr>
  </w:style>
  <w:style w:type="paragraph" w:styleId="ListContinue">
    <w:name w:val="List Continue"/>
    <w:basedOn w:val="Normal"/>
    <w:rsid w:val="00053ABD"/>
    <w:pPr>
      <w:spacing w:after="120" w:line="276" w:lineRule="auto"/>
      <w:ind w:left="283" w:hanging="3686"/>
      <w:jc w:val="both"/>
    </w:pPr>
    <w:rPr>
      <w:rFonts w:ascii="Calibri" w:eastAsia="Calibri" w:hAnsi="Calibri"/>
      <w:sz w:val="22"/>
      <w:szCs w:val="22"/>
    </w:rPr>
  </w:style>
  <w:style w:type="paragraph" w:styleId="ListContinue2">
    <w:name w:val="List Continue 2"/>
    <w:basedOn w:val="Normal"/>
    <w:rsid w:val="00053ABD"/>
    <w:pPr>
      <w:spacing w:after="120" w:line="276" w:lineRule="auto"/>
      <w:ind w:left="566" w:hanging="3686"/>
      <w:jc w:val="both"/>
    </w:pPr>
    <w:rPr>
      <w:rFonts w:ascii="Calibri" w:eastAsia="Calibri" w:hAnsi="Calibri"/>
      <w:sz w:val="22"/>
      <w:szCs w:val="22"/>
    </w:rPr>
  </w:style>
  <w:style w:type="paragraph" w:styleId="ListContinue3">
    <w:name w:val="List Continue 3"/>
    <w:basedOn w:val="Normal"/>
    <w:rsid w:val="00053ABD"/>
    <w:pPr>
      <w:spacing w:after="120" w:line="276" w:lineRule="auto"/>
      <w:ind w:left="849" w:hanging="3686"/>
      <w:jc w:val="both"/>
    </w:pPr>
    <w:rPr>
      <w:rFonts w:ascii="Calibri" w:eastAsia="Calibri" w:hAnsi="Calibri"/>
      <w:sz w:val="22"/>
      <w:szCs w:val="22"/>
    </w:rPr>
  </w:style>
  <w:style w:type="paragraph" w:styleId="ListContinue4">
    <w:name w:val="List Continue 4"/>
    <w:basedOn w:val="Normal"/>
    <w:rsid w:val="00053ABD"/>
    <w:pPr>
      <w:spacing w:after="120" w:line="276" w:lineRule="auto"/>
      <w:ind w:left="1132" w:hanging="3686"/>
      <w:jc w:val="both"/>
    </w:pPr>
    <w:rPr>
      <w:rFonts w:ascii="Calibri" w:eastAsia="Calibri" w:hAnsi="Calibri"/>
      <w:sz w:val="22"/>
      <w:szCs w:val="22"/>
    </w:rPr>
  </w:style>
  <w:style w:type="paragraph" w:styleId="ListContinue5">
    <w:name w:val="List Continue 5"/>
    <w:basedOn w:val="Normal"/>
    <w:rsid w:val="00053ABD"/>
    <w:pPr>
      <w:spacing w:after="120" w:line="276" w:lineRule="auto"/>
      <w:ind w:left="1415" w:hanging="3686"/>
      <w:jc w:val="both"/>
    </w:pPr>
    <w:rPr>
      <w:rFonts w:ascii="Calibri" w:eastAsia="Calibri" w:hAnsi="Calibri"/>
      <w:sz w:val="22"/>
      <w:szCs w:val="22"/>
    </w:rPr>
  </w:style>
  <w:style w:type="paragraph" w:styleId="ListNumber">
    <w:name w:val="List Number"/>
    <w:basedOn w:val="Normal"/>
    <w:rsid w:val="00053ABD"/>
    <w:pPr>
      <w:numPr>
        <w:numId w:val="9"/>
      </w:numPr>
      <w:spacing w:line="276" w:lineRule="auto"/>
      <w:jc w:val="both"/>
    </w:pPr>
    <w:rPr>
      <w:rFonts w:ascii="Calibri" w:eastAsia="Calibri" w:hAnsi="Calibri"/>
      <w:sz w:val="22"/>
      <w:szCs w:val="22"/>
    </w:rPr>
  </w:style>
  <w:style w:type="paragraph" w:styleId="ListNumber2">
    <w:name w:val="List Number 2"/>
    <w:basedOn w:val="Normal"/>
    <w:rsid w:val="00053ABD"/>
    <w:pPr>
      <w:numPr>
        <w:numId w:val="10"/>
      </w:numPr>
      <w:spacing w:line="276" w:lineRule="auto"/>
      <w:jc w:val="both"/>
    </w:pPr>
    <w:rPr>
      <w:rFonts w:ascii="Calibri" w:eastAsia="Calibri" w:hAnsi="Calibri"/>
      <w:sz w:val="22"/>
      <w:szCs w:val="22"/>
    </w:rPr>
  </w:style>
  <w:style w:type="paragraph" w:styleId="ListNumber3">
    <w:name w:val="List Number 3"/>
    <w:basedOn w:val="Normal"/>
    <w:rsid w:val="00053ABD"/>
    <w:pPr>
      <w:spacing w:line="276" w:lineRule="auto"/>
      <w:jc w:val="both"/>
    </w:pPr>
    <w:rPr>
      <w:rFonts w:ascii="Calibri" w:eastAsia="Calibri" w:hAnsi="Calibri"/>
      <w:sz w:val="22"/>
      <w:szCs w:val="22"/>
    </w:rPr>
  </w:style>
  <w:style w:type="paragraph" w:styleId="ListNumber4">
    <w:name w:val="List Number 4"/>
    <w:basedOn w:val="Normal"/>
    <w:rsid w:val="00053ABD"/>
    <w:pPr>
      <w:numPr>
        <w:numId w:val="11"/>
      </w:numPr>
      <w:spacing w:line="276" w:lineRule="auto"/>
      <w:jc w:val="both"/>
    </w:pPr>
    <w:rPr>
      <w:rFonts w:ascii="Calibri" w:eastAsia="Calibri" w:hAnsi="Calibri"/>
      <w:sz w:val="22"/>
      <w:szCs w:val="22"/>
    </w:rPr>
  </w:style>
  <w:style w:type="paragraph" w:styleId="ListNumber5">
    <w:name w:val="List Number 5"/>
    <w:basedOn w:val="Normal"/>
    <w:rsid w:val="00053ABD"/>
    <w:pPr>
      <w:numPr>
        <w:numId w:val="12"/>
      </w:numPr>
      <w:spacing w:line="276" w:lineRule="auto"/>
      <w:jc w:val="both"/>
    </w:pPr>
    <w:rPr>
      <w:rFonts w:ascii="Calibri" w:eastAsia="Calibri" w:hAnsi="Calibri"/>
      <w:sz w:val="22"/>
      <w:szCs w:val="22"/>
    </w:rPr>
  </w:style>
  <w:style w:type="paragraph" w:styleId="MacroText">
    <w:name w:val="macro"/>
    <w:link w:val="MacroTextChar"/>
    <w:rsid w:val="00053ABD"/>
    <w:pPr>
      <w:tabs>
        <w:tab w:val="left" w:pos="480"/>
        <w:tab w:val="left" w:pos="960"/>
        <w:tab w:val="left" w:pos="1440"/>
        <w:tab w:val="left" w:pos="1920"/>
        <w:tab w:val="left" w:pos="2400"/>
        <w:tab w:val="left" w:pos="2880"/>
        <w:tab w:val="left" w:pos="3360"/>
        <w:tab w:val="left" w:pos="3840"/>
        <w:tab w:val="left" w:pos="4320"/>
      </w:tabs>
      <w:spacing w:line="264" w:lineRule="auto"/>
      <w:jc w:val="both"/>
    </w:pPr>
    <w:rPr>
      <w:rFonts w:ascii="Arial" w:hAnsi="Arial" w:cs="Courier New"/>
      <w:lang w:val="en-GB"/>
    </w:rPr>
  </w:style>
  <w:style w:type="character" w:customStyle="1" w:styleId="MacroTextChar">
    <w:name w:val="Macro Text Char"/>
    <w:basedOn w:val="DefaultParagraphFont"/>
    <w:link w:val="MacroText"/>
    <w:rsid w:val="00053ABD"/>
    <w:rPr>
      <w:rFonts w:ascii="Arial" w:hAnsi="Arial" w:cs="Courier New"/>
      <w:lang w:val="en-GB"/>
    </w:rPr>
  </w:style>
  <w:style w:type="paragraph" w:styleId="MessageHeader">
    <w:name w:val="Message Header"/>
    <w:basedOn w:val="Normal"/>
    <w:link w:val="MessageHeaderChar"/>
    <w:rsid w:val="00053ABD"/>
    <w:pPr>
      <w:pBdr>
        <w:top w:val="single" w:sz="6" w:space="1" w:color="auto"/>
        <w:left w:val="single" w:sz="6" w:space="1" w:color="auto"/>
        <w:bottom w:val="single" w:sz="6" w:space="1" w:color="auto"/>
        <w:right w:val="single" w:sz="6" w:space="1" w:color="auto"/>
      </w:pBdr>
      <w:shd w:val="pct20" w:color="auto" w:fill="auto"/>
      <w:spacing w:line="276" w:lineRule="auto"/>
      <w:ind w:left="1134" w:hanging="1134"/>
      <w:jc w:val="both"/>
    </w:pPr>
    <w:rPr>
      <w:rFonts w:ascii="Calibri" w:eastAsia="Calibri" w:hAnsi="Calibri"/>
      <w:sz w:val="24"/>
      <w:szCs w:val="24"/>
    </w:rPr>
  </w:style>
  <w:style w:type="character" w:customStyle="1" w:styleId="MessageHeaderChar">
    <w:name w:val="Message Header Char"/>
    <w:basedOn w:val="DefaultParagraphFont"/>
    <w:link w:val="MessageHeader"/>
    <w:rsid w:val="00053ABD"/>
    <w:rPr>
      <w:rFonts w:ascii="Calibri" w:eastAsia="Calibri" w:hAnsi="Calibri"/>
      <w:sz w:val="24"/>
      <w:szCs w:val="24"/>
      <w:shd w:val="pct20" w:color="auto" w:fill="auto"/>
      <w:lang w:val="en-GB"/>
    </w:rPr>
  </w:style>
  <w:style w:type="paragraph" w:styleId="NormalIndent">
    <w:name w:val="Normal Indent"/>
    <w:basedOn w:val="Normal"/>
    <w:rsid w:val="00053ABD"/>
    <w:pPr>
      <w:spacing w:line="276" w:lineRule="auto"/>
      <w:ind w:left="720" w:hanging="3686"/>
      <w:jc w:val="both"/>
    </w:pPr>
    <w:rPr>
      <w:rFonts w:ascii="Calibri" w:eastAsia="Calibri" w:hAnsi="Calibri"/>
      <w:sz w:val="22"/>
      <w:szCs w:val="22"/>
    </w:rPr>
  </w:style>
  <w:style w:type="paragraph" w:styleId="NoteHeading">
    <w:name w:val="Note Heading"/>
    <w:basedOn w:val="Normal"/>
    <w:next w:val="Normal"/>
    <w:link w:val="NoteHeadingChar"/>
    <w:rsid w:val="00053ABD"/>
    <w:pPr>
      <w:spacing w:line="276" w:lineRule="auto"/>
      <w:ind w:left="3686" w:hanging="3686"/>
      <w:jc w:val="both"/>
    </w:pPr>
    <w:rPr>
      <w:rFonts w:ascii="Calibri" w:eastAsia="Calibri" w:hAnsi="Calibri"/>
      <w:sz w:val="22"/>
      <w:szCs w:val="22"/>
    </w:rPr>
  </w:style>
  <w:style w:type="character" w:customStyle="1" w:styleId="NoteHeadingChar">
    <w:name w:val="Note Heading Char"/>
    <w:basedOn w:val="DefaultParagraphFont"/>
    <w:link w:val="NoteHeading"/>
    <w:rsid w:val="00053ABD"/>
    <w:rPr>
      <w:rFonts w:ascii="Calibri" w:eastAsia="Calibri" w:hAnsi="Calibri"/>
      <w:sz w:val="22"/>
      <w:szCs w:val="22"/>
      <w:lang w:val="en-GB"/>
    </w:rPr>
  </w:style>
  <w:style w:type="paragraph" w:styleId="PlainText">
    <w:name w:val="Plain Text"/>
    <w:basedOn w:val="Normal"/>
    <w:link w:val="PlainTextChar"/>
    <w:uiPriority w:val="99"/>
    <w:rsid w:val="00053ABD"/>
    <w:pPr>
      <w:spacing w:line="276" w:lineRule="auto"/>
      <w:ind w:left="3686" w:hanging="3686"/>
      <w:jc w:val="both"/>
    </w:pPr>
    <w:rPr>
      <w:rFonts w:ascii="Calibri" w:eastAsia="Calibri" w:hAnsi="Calibri" w:cs="Courier New"/>
      <w:sz w:val="22"/>
      <w:szCs w:val="22"/>
    </w:rPr>
  </w:style>
  <w:style w:type="character" w:customStyle="1" w:styleId="PlainTextChar">
    <w:name w:val="Plain Text Char"/>
    <w:basedOn w:val="DefaultParagraphFont"/>
    <w:link w:val="PlainText"/>
    <w:uiPriority w:val="99"/>
    <w:rsid w:val="00053ABD"/>
    <w:rPr>
      <w:rFonts w:ascii="Calibri" w:eastAsia="Calibri" w:hAnsi="Calibri" w:cs="Courier New"/>
      <w:sz w:val="22"/>
      <w:szCs w:val="22"/>
      <w:lang w:val="en-GB"/>
    </w:rPr>
  </w:style>
  <w:style w:type="paragraph" w:styleId="Salutation">
    <w:name w:val="Salutation"/>
    <w:basedOn w:val="Normal"/>
    <w:next w:val="Normal"/>
    <w:link w:val="SalutationChar"/>
    <w:rsid w:val="00053ABD"/>
    <w:pPr>
      <w:spacing w:line="276" w:lineRule="auto"/>
      <w:ind w:left="3686" w:hanging="3686"/>
      <w:jc w:val="both"/>
    </w:pPr>
    <w:rPr>
      <w:rFonts w:ascii="Calibri" w:eastAsia="Calibri" w:hAnsi="Calibri"/>
      <w:sz w:val="22"/>
      <w:szCs w:val="22"/>
    </w:rPr>
  </w:style>
  <w:style w:type="character" w:customStyle="1" w:styleId="SalutationChar">
    <w:name w:val="Salutation Char"/>
    <w:basedOn w:val="DefaultParagraphFont"/>
    <w:link w:val="Salutation"/>
    <w:rsid w:val="00053ABD"/>
    <w:rPr>
      <w:rFonts w:ascii="Calibri" w:eastAsia="Calibri" w:hAnsi="Calibri"/>
      <w:sz w:val="22"/>
      <w:szCs w:val="22"/>
      <w:lang w:val="en-GB"/>
    </w:rPr>
  </w:style>
  <w:style w:type="paragraph" w:styleId="Signature">
    <w:name w:val="Signature"/>
    <w:basedOn w:val="Normal"/>
    <w:link w:val="SignatureChar"/>
    <w:rsid w:val="00053ABD"/>
    <w:pPr>
      <w:spacing w:line="276" w:lineRule="auto"/>
      <w:ind w:left="4252" w:hanging="3686"/>
      <w:jc w:val="both"/>
    </w:pPr>
    <w:rPr>
      <w:rFonts w:ascii="Calibri" w:eastAsia="Calibri" w:hAnsi="Calibri"/>
      <w:sz w:val="22"/>
      <w:szCs w:val="22"/>
    </w:rPr>
  </w:style>
  <w:style w:type="character" w:customStyle="1" w:styleId="SignatureChar">
    <w:name w:val="Signature Char"/>
    <w:basedOn w:val="DefaultParagraphFont"/>
    <w:link w:val="Signature"/>
    <w:rsid w:val="00053ABD"/>
    <w:rPr>
      <w:rFonts w:ascii="Calibri" w:eastAsia="Calibri" w:hAnsi="Calibri"/>
      <w:sz w:val="22"/>
      <w:szCs w:val="22"/>
      <w:lang w:val="en-GB"/>
    </w:rPr>
  </w:style>
  <w:style w:type="paragraph" w:styleId="Subtitle">
    <w:name w:val="Subtitle"/>
    <w:basedOn w:val="Normal"/>
    <w:link w:val="SubtitleChar"/>
    <w:qFormat/>
    <w:rsid w:val="00053ABD"/>
    <w:pPr>
      <w:spacing w:after="60" w:line="276" w:lineRule="auto"/>
      <w:ind w:left="3686" w:hanging="3686"/>
      <w:jc w:val="center"/>
      <w:outlineLvl w:val="1"/>
    </w:pPr>
    <w:rPr>
      <w:rFonts w:ascii="Calibri" w:eastAsia="Calibri" w:hAnsi="Calibri"/>
      <w:sz w:val="24"/>
      <w:szCs w:val="24"/>
    </w:rPr>
  </w:style>
  <w:style w:type="character" w:customStyle="1" w:styleId="SubtitleChar">
    <w:name w:val="Subtitle Char"/>
    <w:basedOn w:val="DefaultParagraphFont"/>
    <w:link w:val="Subtitle"/>
    <w:rsid w:val="00053ABD"/>
    <w:rPr>
      <w:rFonts w:ascii="Calibri" w:eastAsia="Calibri" w:hAnsi="Calibri"/>
      <w:sz w:val="24"/>
      <w:szCs w:val="24"/>
      <w:lang w:val="en-GB"/>
    </w:rPr>
  </w:style>
  <w:style w:type="paragraph" w:styleId="TableofAuthorities">
    <w:name w:val="table of authorities"/>
    <w:basedOn w:val="Normal"/>
    <w:next w:val="Normal"/>
    <w:rsid w:val="00053ABD"/>
    <w:pPr>
      <w:spacing w:line="276" w:lineRule="auto"/>
      <w:ind w:left="190" w:hanging="190"/>
      <w:jc w:val="both"/>
    </w:pPr>
    <w:rPr>
      <w:rFonts w:ascii="Calibri" w:eastAsia="Calibri" w:hAnsi="Calibri"/>
      <w:sz w:val="22"/>
      <w:szCs w:val="22"/>
    </w:rPr>
  </w:style>
  <w:style w:type="paragraph" w:styleId="Title">
    <w:name w:val="Title"/>
    <w:basedOn w:val="Normal"/>
    <w:link w:val="TitleChar"/>
    <w:qFormat/>
    <w:rsid w:val="00A021B7"/>
    <w:pPr>
      <w:spacing w:before="240" w:after="60" w:line="276" w:lineRule="auto"/>
      <w:ind w:left="3686" w:hanging="3686"/>
      <w:outlineLvl w:val="0"/>
    </w:pPr>
    <w:rPr>
      <w:rFonts w:eastAsia="Calibri" w:cs="Arial"/>
      <w:b/>
      <w:bCs/>
      <w:kern w:val="28"/>
      <w:sz w:val="22"/>
      <w:szCs w:val="22"/>
    </w:rPr>
  </w:style>
  <w:style w:type="character" w:customStyle="1" w:styleId="TitleChar">
    <w:name w:val="Title Char"/>
    <w:basedOn w:val="DefaultParagraphFont"/>
    <w:link w:val="Title"/>
    <w:rsid w:val="00A021B7"/>
    <w:rPr>
      <w:rFonts w:ascii="Arial" w:eastAsia="Calibri" w:hAnsi="Arial" w:cs="Arial"/>
      <w:b/>
      <w:bCs/>
      <w:kern w:val="28"/>
      <w:sz w:val="22"/>
      <w:szCs w:val="22"/>
      <w:lang w:val="en-GB"/>
    </w:rPr>
  </w:style>
  <w:style w:type="paragraph" w:styleId="TOAHeading">
    <w:name w:val="toa heading"/>
    <w:basedOn w:val="Normal"/>
    <w:next w:val="Normal"/>
    <w:rsid w:val="00053ABD"/>
    <w:pPr>
      <w:spacing w:before="120" w:line="276" w:lineRule="auto"/>
      <w:ind w:left="3686" w:hanging="3686"/>
      <w:jc w:val="both"/>
    </w:pPr>
    <w:rPr>
      <w:rFonts w:ascii="Calibri" w:eastAsia="Calibri" w:hAnsi="Calibri"/>
      <w:b/>
      <w:bCs/>
      <w:sz w:val="24"/>
      <w:szCs w:val="24"/>
    </w:rPr>
  </w:style>
  <w:style w:type="character" w:customStyle="1" w:styleId="google-src-text1">
    <w:name w:val="google-src-text1"/>
    <w:basedOn w:val="DefaultParagraphFont"/>
    <w:rsid w:val="00053ABD"/>
    <w:rPr>
      <w:vanish/>
      <w:webHidden w:val="0"/>
      <w:specVanish w:val="0"/>
    </w:rPr>
  </w:style>
  <w:style w:type="character" w:customStyle="1" w:styleId="hps">
    <w:name w:val="hps"/>
    <w:basedOn w:val="DefaultParagraphFont"/>
    <w:rsid w:val="00053ABD"/>
  </w:style>
  <w:style w:type="character" w:customStyle="1" w:styleId="st1">
    <w:name w:val="st1"/>
    <w:basedOn w:val="DefaultParagraphFont"/>
    <w:rsid w:val="00053ABD"/>
  </w:style>
  <w:style w:type="paragraph" w:customStyle="1" w:styleId="Bullet1">
    <w:name w:val="Bullet 1"/>
    <w:basedOn w:val="Normal"/>
    <w:rsid w:val="00053ABD"/>
    <w:pPr>
      <w:numPr>
        <w:numId w:val="13"/>
      </w:numPr>
      <w:spacing w:after="60" w:line="280" w:lineRule="atLeast"/>
    </w:pPr>
    <w:rPr>
      <w:lang w:val="en-AU"/>
    </w:rPr>
  </w:style>
  <w:style w:type="paragraph" w:customStyle="1" w:styleId="CaptionHeading">
    <w:name w:val="Caption Heading"/>
    <w:next w:val="Caption"/>
    <w:rsid w:val="00053ABD"/>
    <w:pPr>
      <w:spacing w:line="170" w:lineRule="exact"/>
    </w:pPr>
    <w:rPr>
      <w:rFonts w:ascii="Arial" w:hAnsi="Arial"/>
      <w:b/>
      <w:bCs/>
      <w:color w:val="63C1DF"/>
      <w:sz w:val="14"/>
      <w:szCs w:val="28"/>
    </w:rPr>
  </w:style>
  <w:style w:type="character" w:customStyle="1" w:styleId="apple-converted-space">
    <w:name w:val="apple-converted-space"/>
    <w:basedOn w:val="DefaultParagraphFont"/>
    <w:rsid w:val="00053ABD"/>
  </w:style>
  <w:style w:type="paragraph" w:customStyle="1" w:styleId="TableText">
    <w:name w:val="Table Text"/>
    <w:basedOn w:val="Normal"/>
    <w:link w:val="TableTextChar"/>
    <w:qFormat/>
    <w:rsid w:val="00053ABD"/>
    <w:pPr>
      <w:spacing w:line="230" w:lineRule="atLeast"/>
    </w:pPr>
    <w:rPr>
      <w:rFonts w:ascii="Calibri" w:hAnsi="Calibri" w:cs="Calibri"/>
      <w:szCs w:val="20"/>
      <w:lang w:val="en-AU"/>
    </w:rPr>
  </w:style>
  <w:style w:type="paragraph" w:customStyle="1" w:styleId="TableSolidFillH1">
    <w:name w:val="Table Solid Fill H1"/>
    <w:basedOn w:val="Normal"/>
    <w:link w:val="TableSolidFillH1Char"/>
    <w:rsid w:val="00053ABD"/>
    <w:pPr>
      <w:spacing w:line="230" w:lineRule="atLeast"/>
    </w:pPr>
    <w:rPr>
      <w:rFonts w:ascii="Calibri" w:hAnsi="Calibri" w:cs="Calibri"/>
      <w:b/>
      <w:szCs w:val="20"/>
      <w:lang w:val="en-AU"/>
    </w:rPr>
  </w:style>
  <w:style w:type="character" w:customStyle="1" w:styleId="TableSolidFillH1Char">
    <w:name w:val="Table Solid Fill H1 Char"/>
    <w:basedOn w:val="DefaultParagraphFont"/>
    <w:link w:val="TableSolidFillH1"/>
    <w:rsid w:val="00053ABD"/>
    <w:rPr>
      <w:rFonts w:ascii="Calibri" w:hAnsi="Calibri" w:cs="Calibri"/>
      <w:b/>
      <w:sz w:val="18"/>
      <w:lang w:val="en-AU"/>
    </w:rPr>
  </w:style>
  <w:style w:type="character" w:customStyle="1" w:styleId="TableTextChar">
    <w:name w:val="Table Text Char"/>
    <w:basedOn w:val="DefaultParagraphFont"/>
    <w:link w:val="TableText"/>
    <w:rsid w:val="00053ABD"/>
    <w:rPr>
      <w:rFonts w:ascii="Calibri" w:hAnsi="Calibri" w:cs="Calibri"/>
      <w:sz w:val="18"/>
      <w:lang w:val="en-AU"/>
    </w:rPr>
  </w:style>
  <w:style w:type="character" w:customStyle="1" w:styleId="EmailStyle199">
    <w:name w:val="EmailStyle199"/>
    <w:basedOn w:val="DefaultParagraphFont"/>
    <w:rsid w:val="00053ABD"/>
    <w:rPr>
      <w:rFonts w:cs="Arial"/>
      <w:color w:val="auto"/>
      <w:sz w:val="20"/>
    </w:rPr>
  </w:style>
  <w:style w:type="character" w:customStyle="1" w:styleId="EmailStyle200">
    <w:name w:val="EmailStyle200"/>
    <w:basedOn w:val="DefaultParagraphFont"/>
    <w:rsid w:val="00053ABD"/>
    <w:rPr>
      <w:rFonts w:cs="Arial"/>
      <w:color w:val="auto"/>
      <w:sz w:val="20"/>
    </w:rPr>
  </w:style>
  <w:style w:type="character" w:customStyle="1" w:styleId="EmailStyle201">
    <w:name w:val="EmailStyle201"/>
    <w:basedOn w:val="DefaultParagraphFont"/>
    <w:rsid w:val="00053ABD"/>
    <w:rPr>
      <w:rFonts w:cs="Arial"/>
      <w:color w:val="auto"/>
      <w:sz w:val="20"/>
    </w:rPr>
  </w:style>
  <w:style w:type="character" w:customStyle="1" w:styleId="EmailStyle202">
    <w:name w:val="EmailStyle202"/>
    <w:basedOn w:val="DefaultParagraphFont"/>
    <w:rsid w:val="00053ABD"/>
    <w:rPr>
      <w:rFonts w:cs="Arial"/>
      <w:color w:val="auto"/>
      <w:sz w:val="20"/>
    </w:rPr>
  </w:style>
  <w:style w:type="paragraph" w:customStyle="1" w:styleId="ListParagraph1">
    <w:name w:val="List Paragraph1"/>
    <w:basedOn w:val="Normal"/>
    <w:qFormat/>
    <w:rsid w:val="00053ABD"/>
    <w:pPr>
      <w:spacing w:after="200" w:line="276" w:lineRule="auto"/>
      <w:ind w:left="720"/>
    </w:pPr>
    <w:rPr>
      <w:rFonts w:eastAsia="Calibri"/>
      <w:sz w:val="22"/>
      <w:szCs w:val="22"/>
      <w:lang w:val="en-US"/>
    </w:rPr>
  </w:style>
  <w:style w:type="paragraph" w:customStyle="1" w:styleId="xl65">
    <w:name w:val="xl65"/>
    <w:basedOn w:val="Normal"/>
    <w:rsid w:val="004F14D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6">
    <w:name w:val="xl66"/>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7">
    <w:name w:val="xl67"/>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68">
    <w:name w:val="xl68"/>
    <w:basedOn w:val="Normal"/>
    <w:rsid w:val="004F14DF"/>
    <w:pPr>
      <w:pBdr>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69">
    <w:name w:val="xl69"/>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70">
    <w:name w:val="xl70"/>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71">
    <w:name w:val="xl71"/>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72">
    <w:name w:val="xl72"/>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73">
    <w:name w:val="xl73"/>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0"/>
      <w:szCs w:val="20"/>
      <w:lang w:eastAsia="en-GB"/>
    </w:rPr>
  </w:style>
  <w:style w:type="paragraph" w:customStyle="1" w:styleId="xl74">
    <w:name w:val="xl74"/>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75">
    <w:name w:val="xl75"/>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0"/>
      <w:szCs w:val="20"/>
      <w:lang w:eastAsia="en-GB"/>
    </w:rPr>
  </w:style>
  <w:style w:type="paragraph" w:customStyle="1" w:styleId="xl76">
    <w:name w:val="xl76"/>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0"/>
      <w:szCs w:val="20"/>
      <w:lang w:eastAsia="en-GB"/>
    </w:rPr>
  </w:style>
  <w:style w:type="paragraph" w:customStyle="1" w:styleId="xl77">
    <w:name w:val="xl77"/>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0"/>
      <w:szCs w:val="20"/>
      <w:lang w:eastAsia="en-GB"/>
    </w:rPr>
  </w:style>
  <w:style w:type="paragraph" w:customStyle="1" w:styleId="xl78">
    <w:name w:val="xl78"/>
    <w:basedOn w:val="Normal"/>
    <w:rsid w:val="004F14D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79">
    <w:name w:val="xl79"/>
    <w:basedOn w:val="Normal"/>
    <w:rsid w:val="004F14D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cs="Arial"/>
      <w:color w:val="000000"/>
      <w:sz w:val="20"/>
      <w:szCs w:val="20"/>
      <w:lang w:eastAsia="en-GB"/>
    </w:rPr>
  </w:style>
  <w:style w:type="paragraph" w:customStyle="1" w:styleId="xl80">
    <w:name w:val="xl80"/>
    <w:basedOn w:val="Normal"/>
    <w:rsid w:val="004F14D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1">
    <w:name w:val="xl81"/>
    <w:basedOn w:val="Normal"/>
    <w:rsid w:val="004F14D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2">
    <w:name w:val="xl82"/>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3">
    <w:name w:val="xl83"/>
    <w:basedOn w:val="Normal"/>
    <w:rsid w:val="004F14DF"/>
    <w:pPr>
      <w:pBdr>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4">
    <w:name w:val="xl84"/>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85">
    <w:name w:val="xl85"/>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6">
    <w:name w:val="xl86"/>
    <w:basedOn w:val="Normal"/>
    <w:rsid w:val="004F14DF"/>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87">
    <w:name w:val="xl87"/>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88">
    <w:name w:val="xl88"/>
    <w:basedOn w:val="Normal"/>
    <w:rsid w:val="004F14DF"/>
    <w:pPr>
      <w:pBdr>
        <w:top w:val="single" w:sz="8"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89">
    <w:name w:val="xl89"/>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0">
    <w:name w:val="xl90"/>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1">
    <w:name w:val="xl91"/>
    <w:basedOn w:val="Normal"/>
    <w:rsid w:val="004F14DF"/>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2">
    <w:name w:val="xl92"/>
    <w:basedOn w:val="Normal"/>
    <w:rsid w:val="004F14D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3">
    <w:name w:val="xl93"/>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20"/>
      <w:szCs w:val="20"/>
      <w:lang w:eastAsia="en-GB"/>
    </w:rPr>
  </w:style>
  <w:style w:type="paragraph" w:customStyle="1" w:styleId="xl94">
    <w:name w:val="xl94"/>
    <w:basedOn w:val="Normal"/>
    <w:rsid w:val="004F14DF"/>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5">
    <w:name w:val="xl95"/>
    <w:basedOn w:val="Normal"/>
    <w:rsid w:val="004F14DF"/>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96">
    <w:name w:val="xl96"/>
    <w:basedOn w:val="Normal"/>
    <w:rsid w:val="004F14DF"/>
    <w:pPr>
      <w:pBdr>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7">
    <w:name w:val="xl97"/>
    <w:basedOn w:val="Normal"/>
    <w:rsid w:val="004F14DF"/>
    <w:pPr>
      <w:pBdr>
        <w:left w:val="single" w:sz="4" w:space="0" w:color="auto"/>
        <w:right w:val="single" w:sz="4" w:space="0" w:color="auto"/>
      </w:pBdr>
      <w:spacing w:before="100" w:beforeAutospacing="1" w:after="100" w:afterAutospacing="1"/>
      <w:jc w:val="center"/>
      <w:textAlignment w:val="center"/>
    </w:pPr>
    <w:rPr>
      <w:rFonts w:cs="Arial"/>
      <w:color w:val="000000"/>
      <w:sz w:val="20"/>
      <w:szCs w:val="20"/>
      <w:lang w:eastAsia="en-GB"/>
    </w:rPr>
  </w:style>
  <w:style w:type="paragraph" w:customStyle="1" w:styleId="xl98">
    <w:name w:val="xl98"/>
    <w:basedOn w:val="Normal"/>
    <w:rsid w:val="004F14DF"/>
    <w:pPr>
      <w:pBdr>
        <w:left w:val="single" w:sz="4" w:space="0" w:color="auto"/>
        <w:right w:val="single" w:sz="4" w:space="0" w:color="auto"/>
      </w:pBdr>
      <w:spacing w:before="100" w:beforeAutospacing="1" w:after="100" w:afterAutospacing="1"/>
      <w:jc w:val="center"/>
    </w:pPr>
    <w:rPr>
      <w:rFonts w:ascii="Times New Roman" w:hAnsi="Times New Roman"/>
      <w:sz w:val="24"/>
      <w:szCs w:val="24"/>
      <w:lang w:eastAsia="en-GB"/>
    </w:rPr>
  </w:style>
  <w:style w:type="paragraph" w:customStyle="1" w:styleId="xl99">
    <w:name w:val="xl99"/>
    <w:basedOn w:val="Normal"/>
    <w:rsid w:val="004F14DF"/>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en-GB"/>
    </w:rPr>
  </w:style>
  <w:style w:type="paragraph" w:customStyle="1" w:styleId="xl100">
    <w:name w:val="xl100"/>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color w:val="000000"/>
      <w:sz w:val="20"/>
      <w:szCs w:val="20"/>
      <w:lang w:eastAsia="en-GB"/>
    </w:rPr>
  </w:style>
  <w:style w:type="paragraph" w:customStyle="1" w:styleId="xl101">
    <w:name w:val="xl101"/>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color w:val="000000"/>
      <w:sz w:val="20"/>
      <w:szCs w:val="20"/>
      <w:lang w:eastAsia="en-GB"/>
    </w:rPr>
  </w:style>
  <w:style w:type="paragraph" w:customStyle="1" w:styleId="xl102">
    <w:name w:val="xl102"/>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cs="Arial"/>
      <w:b/>
      <w:bCs/>
      <w:sz w:val="20"/>
      <w:szCs w:val="20"/>
      <w:lang w:eastAsia="en-GB"/>
    </w:rPr>
  </w:style>
  <w:style w:type="paragraph" w:customStyle="1" w:styleId="xl103">
    <w:name w:val="xl103"/>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paragraph" w:customStyle="1" w:styleId="xl104">
    <w:name w:val="xl104"/>
    <w:basedOn w:val="Normal"/>
    <w:rsid w:val="004F14D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en-GB"/>
    </w:rPr>
  </w:style>
  <w:style w:type="table" w:styleId="TableClassic1">
    <w:name w:val="Table Classic 1"/>
    <w:basedOn w:val="TableNormal"/>
    <w:rsid w:val="009D72F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NBody">
    <w:name w:val="TN_Body"/>
    <w:basedOn w:val="Normal"/>
    <w:link w:val="TNBodyChar"/>
    <w:qFormat/>
    <w:rsid w:val="009D72F1"/>
    <w:pPr>
      <w:tabs>
        <w:tab w:val="left" w:pos="567"/>
      </w:tabs>
      <w:spacing w:after="120" w:line="264" w:lineRule="auto"/>
      <w:jc w:val="both"/>
    </w:pPr>
    <w:rPr>
      <w:sz w:val="20"/>
      <w:szCs w:val="20"/>
    </w:rPr>
  </w:style>
  <w:style w:type="paragraph" w:customStyle="1" w:styleId="TNBullet">
    <w:name w:val="TN_Bullet"/>
    <w:basedOn w:val="TNBody"/>
    <w:link w:val="TNBulletChar"/>
    <w:qFormat/>
    <w:rsid w:val="009D72F1"/>
    <w:pPr>
      <w:numPr>
        <w:numId w:val="14"/>
      </w:numPr>
      <w:tabs>
        <w:tab w:val="clear" w:pos="567"/>
        <w:tab w:val="left" w:pos="851"/>
      </w:tabs>
      <w:spacing w:after="0"/>
    </w:pPr>
  </w:style>
  <w:style w:type="character" w:customStyle="1" w:styleId="TNBodyChar">
    <w:name w:val="TN_Body Char"/>
    <w:basedOn w:val="DefaultParagraphFont"/>
    <w:link w:val="TNBody"/>
    <w:rsid w:val="009D72F1"/>
    <w:rPr>
      <w:rFonts w:ascii="Arial" w:hAnsi="Arial"/>
      <w:lang w:val="en-GB"/>
    </w:rPr>
  </w:style>
  <w:style w:type="character" w:customStyle="1" w:styleId="TNBulletChar">
    <w:name w:val="TN_Bullet Char"/>
    <w:basedOn w:val="TNBodyChar"/>
    <w:link w:val="TNBullet"/>
    <w:rsid w:val="009D72F1"/>
    <w:rPr>
      <w:rFonts w:ascii="Arial" w:hAnsi="Arial"/>
      <w:lang w:val="en-GB"/>
    </w:rPr>
  </w:style>
  <w:style w:type="paragraph" w:customStyle="1" w:styleId="Normal63left">
    <w:name w:val="Normal 6:3 left"/>
    <w:rsid w:val="00AE0228"/>
    <w:pPr>
      <w:spacing w:before="120" w:after="60" w:line="264" w:lineRule="auto"/>
      <w:ind w:left="28" w:right="28"/>
    </w:pPr>
    <w:rPr>
      <w:rFonts w:ascii="Arial" w:hAnsi="Arial"/>
      <w:noProof/>
      <w:lang w:val="en-GB"/>
    </w:rPr>
  </w:style>
  <w:style w:type="paragraph" w:customStyle="1" w:styleId="Bold63Left">
    <w:name w:val="Bold 6:3 Left"/>
    <w:rsid w:val="00AE0228"/>
    <w:pPr>
      <w:spacing w:before="120" w:after="60" w:line="264" w:lineRule="auto"/>
      <w:ind w:left="28" w:right="28"/>
    </w:pPr>
    <w:rPr>
      <w:rFonts w:ascii="Arial" w:hAnsi="Arial"/>
      <w:b/>
      <w:noProof/>
      <w:lang w:val="en-GB"/>
    </w:rPr>
  </w:style>
  <w:style w:type="paragraph" w:customStyle="1" w:styleId="Bold63Right">
    <w:name w:val="Bold 6:3 Right"/>
    <w:rsid w:val="00AE0228"/>
    <w:pPr>
      <w:spacing w:before="120" w:after="60" w:line="264" w:lineRule="auto"/>
      <w:ind w:left="28" w:right="28"/>
      <w:jc w:val="right"/>
    </w:pPr>
    <w:rPr>
      <w:rFonts w:ascii="Arial" w:hAnsi="Arial"/>
      <w:b/>
      <w:noProof/>
      <w:lang w:val="en-GB"/>
    </w:rPr>
  </w:style>
  <w:style w:type="paragraph" w:customStyle="1" w:styleId="TNHeading1">
    <w:name w:val="TN_Heading1"/>
    <w:basedOn w:val="Normal"/>
    <w:link w:val="TNHeading1Char"/>
    <w:qFormat/>
    <w:rsid w:val="00AE0228"/>
    <w:pPr>
      <w:numPr>
        <w:numId w:val="15"/>
      </w:numPr>
      <w:tabs>
        <w:tab w:val="left" w:pos="567"/>
      </w:tabs>
      <w:spacing w:line="264" w:lineRule="auto"/>
      <w:ind w:left="567" w:hanging="567"/>
      <w:jc w:val="both"/>
    </w:pPr>
    <w:rPr>
      <w:b/>
      <w:sz w:val="20"/>
      <w:szCs w:val="20"/>
    </w:rPr>
  </w:style>
  <w:style w:type="character" w:customStyle="1" w:styleId="TNHeading1Char">
    <w:name w:val="TN_Heading1 Char"/>
    <w:basedOn w:val="DefaultParagraphFont"/>
    <w:link w:val="TNHeading1"/>
    <w:rsid w:val="00AE0228"/>
    <w:rPr>
      <w:rFonts w:ascii="Arial" w:hAnsi="Arial"/>
      <w:b/>
      <w:lang w:val="en-GB"/>
    </w:rPr>
  </w:style>
  <w:style w:type="character" w:styleId="IntenseEmphasis">
    <w:name w:val="Intense Emphasis"/>
    <w:basedOn w:val="DefaultParagraphFont"/>
    <w:uiPriority w:val="21"/>
    <w:qFormat/>
    <w:rsid w:val="00AE0228"/>
    <w:rPr>
      <w:b/>
      <w:bCs/>
      <w:i/>
      <w:iCs/>
      <w:color w:val="4F81BD" w:themeColor="accent1"/>
    </w:rPr>
  </w:style>
  <w:style w:type="character" w:customStyle="1" w:styleId="Heading2Char1">
    <w:name w:val="Heading 2 Char1"/>
    <w:aliases w:val="Oscar Faber 2 Char1,Arial 12 Fett Kursiv Char,ASAPHeading 2 Char,Chapter Title Char,R&amp;S - Titre 2 Char,tt Char,Fonctionnalité Char,Titre 21 Char,t2.T2 Char,Table2 Char,H2 Char,heading 2 Char,Heading 2 Hidden Char,header 2 Char,h2 Char"/>
    <w:basedOn w:val="DefaultParagraphFont"/>
    <w:rsid w:val="00EE64B9"/>
    <w:rPr>
      <w:rFonts w:asciiTheme="majorHAnsi" w:eastAsiaTheme="majorEastAsia" w:hAnsiTheme="majorHAnsi" w:cstheme="majorBidi"/>
      <w:b/>
      <w:bCs/>
      <w:color w:val="4F81BD" w:themeColor="accent1"/>
      <w:sz w:val="26"/>
      <w:szCs w:val="26"/>
      <w:lang w:val="en-GB"/>
    </w:rPr>
  </w:style>
  <w:style w:type="character" w:customStyle="1" w:styleId="Heading1Char1">
    <w:name w:val="Heading 1 Char1"/>
    <w:aliases w:val="Titre a Char,Titre 11 Char,t1.T1.Titre 1 Char,t1 Char,Titre1 Char,stydde Char,Arial 14 Fett Char,Arial 14 Fett1 Char,Arial 14 Fett2 Char,ASAPHeading 1 Char,H1 Char1,h1 Char,app heading 1 Char,ITT t1 Char,II+ Char,I Char,H11 Char,H12 Char"/>
    <w:locked/>
    <w:rsid w:val="008B7CC2"/>
    <w:rPr>
      <w:rFonts w:ascii="Arial Narrow" w:eastAsia="Times New Roman" w:hAnsi="Arial Narrow" w:cs="Arial Narrow"/>
      <w:b/>
      <w:bCs/>
      <w:caps/>
      <w:color w:val="FFFFFF"/>
      <w:kern w:val="28"/>
      <w:sz w:val="30"/>
      <w:szCs w:val="30"/>
      <w:shd w:val="solid" w:color="008080" w:fill="auto"/>
      <w:lang w:val="fr-FR" w:eastAsia="fr-FR"/>
    </w:rPr>
  </w:style>
  <w:style w:type="character" w:customStyle="1" w:styleId="CaptionChar">
    <w:name w:val="Caption Char"/>
    <w:aliases w:val="Titlu Tabel Char,Map Char Char1,Map Char Char Char,Map Char1,Map Char Char Char Char Char Char,Caption Char Char Car Car Char,Caption Char Char Car Car Car Char,Map Char Char Char Car Car Char,Caption Char Char Char,Caption Char1 Char"/>
    <w:link w:val="Caption"/>
    <w:rsid w:val="008B7CC2"/>
    <w:rPr>
      <w:rFonts w:ascii="Arial" w:hAnsi="Arial"/>
      <w:bCs/>
      <w:sz w:val="18"/>
      <w:szCs w:val="18"/>
      <w:lang w:val="en-GB"/>
    </w:rPr>
  </w:style>
  <w:style w:type="paragraph" w:styleId="NoSpacing">
    <w:name w:val="No Spacing"/>
    <w:link w:val="NoSpacingChar"/>
    <w:uiPriority w:val="1"/>
    <w:qFormat/>
    <w:rsid w:val="008B7CC2"/>
    <w:rPr>
      <w:rFonts w:eastAsia="Calibri"/>
      <w:sz w:val="22"/>
      <w:szCs w:val="22"/>
      <w:lang w:val="ro-RO"/>
    </w:rPr>
  </w:style>
  <w:style w:type="character" w:customStyle="1" w:styleId="NoSpacingChar">
    <w:name w:val="No Spacing Char"/>
    <w:link w:val="NoSpacing"/>
    <w:uiPriority w:val="1"/>
    <w:rsid w:val="008B7CC2"/>
    <w:rPr>
      <w:rFonts w:eastAsia="Calibri"/>
      <w:sz w:val="22"/>
      <w:szCs w:val="22"/>
      <w:lang w:val="ro-RO"/>
    </w:rPr>
  </w:style>
  <w:style w:type="paragraph" w:styleId="TOCHeading">
    <w:name w:val="TOC Heading"/>
    <w:basedOn w:val="Normal"/>
    <w:next w:val="Normal"/>
    <w:uiPriority w:val="39"/>
    <w:qFormat/>
    <w:rsid w:val="008B7CC2"/>
    <w:pPr>
      <w:keepNext/>
      <w:spacing w:before="240" w:after="240"/>
      <w:jc w:val="center"/>
    </w:pPr>
    <w:rPr>
      <w:b/>
      <w:bCs/>
      <w:caps/>
      <w:sz w:val="24"/>
      <w:szCs w:val="24"/>
      <w:lang w:val="ro-RO"/>
    </w:rPr>
  </w:style>
  <w:style w:type="paragraph" w:customStyle="1" w:styleId="StyleMV">
    <w:name w:val="StyleMV"/>
    <w:basedOn w:val="Normal"/>
    <w:link w:val="StyleMVChar"/>
    <w:qFormat/>
    <w:rsid w:val="008B7CC2"/>
    <w:pPr>
      <w:jc w:val="both"/>
    </w:pPr>
    <w:rPr>
      <w:bCs/>
      <w:sz w:val="20"/>
      <w:szCs w:val="16"/>
      <w:lang w:val="ro-RO" w:eastAsia="ro-RO"/>
    </w:rPr>
  </w:style>
  <w:style w:type="character" w:customStyle="1" w:styleId="StyleMVChar">
    <w:name w:val="StyleMV Char"/>
    <w:link w:val="StyleMV"/>
    <w:locked/>
    <w:rsid w:val="008B7CC2"/>
    <w:rPr>
      <w:rFonts w:ascii="Arial" w:hAnsi="Arial"/>
      <w:bCs/>
      <w:szCs w:val="16"/>
      <w:lang w:val="ro-RO" w:eastAsia="ro-RO"/>
    </w:rPr>
  </w:style>
  <w:style w:type="paragraph" w:customStyle="1" w:styleId="Style11">
    <w:name w:val="Style11"/>
    <w:basedOn w:val="Heading2"/>
    <w:link w:val="Style11Char"/>
    <w:qFormat/>
    <w:rsid w:val="008B7CC2"/>
    <w:pPr>
      <w:keepLines/>
      <w:numPr>
        <w:ilvl w:val="2"/>
        <w:numId w:val="23"/>
      </w:numPr>
      <w:tabs>
        <w:tab w:val="left" w:pos="720"/>
      </w:tabs>
      <w:spacing w:before="0" w:line="240" w:lineRule="atLeast"/>
      <w:contextualSpacing/>
    </w:pPr>
    <w:rPr>
      <w:bCs/>
      <w:iCs/>
      <w:color w:val="9C0880"/>
      <w:kern w:val="32"/>
      <w:sz w:val="22"/>
      <w:szCs w:val="28"/>
      <w:lang w:eastAsia="en-GB"/>
    </w:rPr>
  </w:style>
  <w:style w:type="character" w:customStyle="1" w:styleId="Style11Char">
    <w:name w:val="Style11 Char"/>
    <w:link w:val="Style11"/>
    <w:rsid w:val="008B7CC2"/>
    <w:rPr>
      <w:rFonts w:ascii="Arial" w:hAnsi="Arial"/>
      <w:b/>
      <w:bCs/>
      <w:iCs/>
      <w:color w:val="9C0880"/>
      <w:kern w:val="32"/>
      <w:sz w:val="22"/>
      <w:szCs w:val="28"/>
      <w:lang w:val="en-GB" w:eastAsia="en-GB"/>
    </w:rPr>
  </w:style>
  <w:style w:type="paragraph" w:customStyle="1" w:styleId="Listparagraf">
    <w:name w:val="Listă paragraf"/>
    <w:basedOn w:val="Normal"/>
    <w:qFormat/>
    <w:rsid w:val="008B7CC2"/>
    <w:pPr>
      <w:widowControl w:val="0"/>
      <w:spacing w:after="120" w:line="280" w:lineRule="exact"/>
      <w:ind w:left="708"/>
    </w:pPr>
    <w:rPr>
      <w:rFonts w:ascii="Times New Roman" w:hAnsi="Times New Roman"/>
      <w:snapToGrid w:val="0"/>
      <w:sz w:val="24"/>
      <w:szCs w:val="24"/>
    </w:rPr>
  </w:style>
  <w:style w:type="paragraph" w:customStyle="1" w:styleId="Style12">
    <w:name w:val="Style12"/>
    <w:basedOn w:val="Heading3"/>
    <w:link w:val="Style12Char"/>
    <w:qFormat/>
    <w:rsid w:val="008B7CC2"/>
    <w:pPr>
      <w:numPr>
        <w:numId w:val="25"/>
      </w:numPr>
      <w:spacing w:before="0" w:after="120" w:line="276" w:lineRule="auto"/>
      <w:jc w:val="both"/>
    </w:pPr>
    <w:rPr>
      <w:b/>
      <w:kern w:val="28"/>
      <w:sz w:val="22"/>
      <w:szCs w:val="24"/>
      <w:lang w:val="ro-RO"/>
    </w:rPr>
  </w:style>
  <w:style w:type="character" w:customStyle="1" w:styleId="Style12Char">
    <w:name w:val="Style12 Char"/>
    <w:basedOn w:val="Heading3Char"/>
    <w:link w:val="Style12"/>
    <w:rsid w:val="008B7CC2"/>
    <w:rPr>
      <w:rFonts w:ascii="Arial" w:hAnsi="Arial"/>
      <w:b/>
      <w:kern w:val="28"/>
      <w:sz w:val="22"/>
      <w:szCs w:val="24"/>
      <w:lang w:val="ro-RO"/>
    </w:rPr>
  </w:style>
  <w:style w:type="paragraph" w:customStyle="1" w:styleId="Style15">
    <w:name w:val="Style15"/>
    <w:basedOn w:val="Heading1"/>
    <w:link w:val="Style15Char"/>
    <w:qFormat/>
    <w:rsid w:val="008B7CC2"/>
    <w:pPr>
      <w:framePr w:w="0" w:hRule="auto" w:wrap="auto" w:vAnchor="margin" w:hAnchor="text" w:yAlign="inline"/>
      <w:shd w:val="clear" w:color="008080" w:fill="auto"/>
      <w:tabs>
        <w:tab w:val="num" w:pos="1301"/>
      </w:tabs>
      <w:ind w:hanging="851"/>
      <w:jc w:val="center"/>
    </w:pPr>
    <w:rPr>
      <w:rFonts w:cs="Times New Roman"/>
      <w:b/>
      <w:caps/>
      <w:color w:val="9E0880"/>
      <w:szCs w:val="24"/>
      <w:lang w:val="ro-RO" w:eastAsia="fr-FR"/>
    </w:rPr>
  </w:style>
  <w:style w:type="character" w:customStyle="1" w:styleId="Style15Char">
    <w:name w:val="Style15 Char"/>
    <w:link w:val="Style15"/>
    <w:rsid w:val="008B7CC2"/>
    <w:rPr>
      <w:rFonts w:ascii="Arial" w:hAnsi="Arial"/>
      <w:b/>
      <w:bCs/>
      <w:caps/>
      <w:color w:val="9E0880"/>
      <w:kern w:val="28"/>
      <w:sz w:val="30"/>
      <w:szCs w:val="24"/>
      <w:shd w:val="clear" w:color="008080" w:fill="auto"/>
      <w:lang w:val="ro-RO" w:eastAsia="fr-FR"/>
    </w:rPr>
  </w:style>
  <w:style w:type="paragraph" w:customStyle="1" w:styleId="Style17">
    <w:name w:val="Style17"/>
    <w:basedOn w:val="Heading2"/>
    <w:link w:val="Style17Char"/>
    <w:qFormat/>
    <w:rsid w:val="008B7CC2"/>
    <w:pPr>
      <w:keepLines/>
      <w:numPr>
        <w:numId w:val="24"/>
      </w:numPr>
      <w:tabs>
        <w:tab w:val="left" w:pos="720"/>
      </w:tabs>
      <w:spacing w:before="0" w:line="240" w:lineRule="atLeast"/>
      <w:contextualSpacing/>
    </w:pPr>
    <w:rPr>
      <w:bCs/>
      <w:iCs/>
      <w:color w:val="008080"/>
      <w:kern w:val="32"/>
      <w:sz w:val="22"/>
      <w:szCs w:val="28"/>
      <w:lang w:eastAsia="en-GB"/>
    </w:rPr>
  </w:style>
  <w:style w:type="character" w:customStyle="1" w:styleId="Style17Char">
    <w:name w:val="Style17 Char"/>
    <w:link w:val="Style17"/>
    <w:rsid w:val="008B7CC2"/>
    <w:rPr>
      <w:rFonts w:ascii="Arial" w:hAnsi="Arial"/>
      <w:b/>
      <w:bCs/>
      <w:iCs/>
      <w:color w:val="008080"/>
      <w:kern w:val="32"/>
      <w:sz w:val="22"/>
      <w:szCs w:val="28"/>
      <w:lang w:val="en-GB" w:eastAsia="en-GB"/>
    </w:rPr>
  </w:style>
  <w:style w:type="paragraph" w:customStyle="1" w:styleId="Style18">
    <w:name w:val="Style18"/>
    <w:basedOn w:val="Style12"/>
    <w:link w:val="Style18Char"/>
    <w:qFormat/>
    <w:rsid w:val="008B7CC2"/>
    <w:pPr>
      <w:numPr>
        <w:numId w:val="0"/>
      </w:numPr>
    </w:pPr>
    <w:rPr>
      <w:color w:val="000000"/>
    </w:rPr>
  </w:style>
  <w:style w:type="character" w:customStyle="1" w:styleId="Style18Char">
    <w:name w:val="Style18 Char"/>
    <w:link w:val="Style18"/>
    <w:rsid w:val="008B7CC2"/>
    <w:rPr>
      <w:rFonts w:ascii="Arial" w:hAnsi="Arial"/>
      <w:b/>
      <w:color w:val="000000"/>
      <w:kern w:val="28"/>
      <w:sz w:val="22"/>
      <w:szCs w:val="24"/>
      <w:lang w:val="ro-RO"/>
    </w:rPr>
  </w:style>
  <w:style w:type="character" w:customStyle="1" w:styleId="EmailStyle441">
    <w:name w:val="EmailStyle441"/>
    <w:rsid w:val="008B7CC2"/>
    <w:rPr>
      <w:rFonts w:cs="Arial"/>
      <w:color w:val="auto"/>
      <w:sz w:val="20"/>
    </w:rPr>
  </w:style>
  <w:style w:type="character" w:customStyle="1" w:styleId="EmailStyle451">
    <w:name w:val="EmailStyle451"/>
    <w:rsid w:val="008B7CC2"/>
    <w:rPr>
      <w:rFonts w:cs="Arial"/>
      <w:color w:val="auto"/>
      <w:sz w:val="20"/>
    </w:rPr>
  </w:style>
  <w:style w:type="character" w:customStyle="1" w:styleId="hpsatn">
    <w:name w:val="hps atn"/>
    <w:basedOn w:val="DefaultParagraphFont"/>
    <w:rsid w:val="008B7CC2"/>
  </w:style>
  <w:style w:type="character" w:customStyle="1" w:styleId="description">
    <w:name w:val="description"/>
    <w:basedOn w:val="DefaultParagraphFont"/>
    <w:rsid w:val="008B7CC2"/>
  </w:style>
  <w:style w:type="character" w:customStyle="1" w:styleId="highlightedsearchterm">
    <w:name w:val="highlightedsearchterm"/>
    <w:basedOn w:val="DefaultParagraphFont"/>
    <w:rsid w:val="008B7CC2"/>
  </w:style>
  <w:style w:type="character" w:customStyle="1" w:styleId="txtcontact1">
    <w:name w:val="txtcontact1"/>
    <w:rsid w:val="008B7CC2"/>
    <w:rPr>
      <w:rFonts w:ascii="Arial" w:hAnsi="Arial" w:cs="Arial" w:hint="default"/>
      <w:color w:val="595959"/>
      <w:sz w:val="12"/>
      <w:szCs w:val="12"/>
    </w:rPr>
  </w:style>
  <w:style w:type="character" w:customStyle="1" w:styleId="tpa1">
    <w:name w:val="tpa1"/>
    <w:basedOn w:val="DefaultParagraphFont"/>
    <w:rsid w:val="008B7CC2"/>
  </w:style>
  <w:style w:type="character" w:customStyle="1" w:styleId="tal1">
    <w:name w:val="tal1"/>
    <w:basedOn w:val="DefaultParagraphFont"/>
    <w:rsid w:val="008B7CC2"/>
  </w:style>
  <w:style w:type="character" w:customStyle="1" w:styleId="al1">
    <w:name w:val="al1"/>
    <w:uiPriority w:val="99"/>
    <w:rsid w:val="008B7CC2"/>
    <w:rPr>
      <w:b/>
      <w:bCs/>
      <w:color w:val="008F00"/>
    </w:rPr>
  </w:style>
  <w:style w:type="character" w:customStyle="1" w:styleId="do1">
    <w:name w:val="do1"/>
    <w:rsid w:val="008B7CC2"/>
    <w:rPr>
      <w:b/>
      <w:bCs/>
      <w:sz w:val="26"/>
      <w:szCs w:val="26"/>
    </w:rPr>
  </w:style>
  <w:style w:type="character" w:customStyle="1" w:styleId="tpt1">
    <w:name w:val="tpt1"/>
    <w:basedOn w:val="DefaultParagraphFont"/>
    <w:rsid w:val="008B7CC2"/>
  </w:style>
  <w:style w:type="character" w:customStyle="1" w:styleId="li1">
    <w:name w:val="li1"/>
    <w:rsid w:val="008B7CC2"/>
    <w:rPr>
      <w:b/>
      <w:bCs/>
      <w:color w:val="8F0000"/>
    </w:rPr>
  </w:style>
  <w:style w:type="character" w:customStyle="1" w:styleId="tli1">
    <w:name w:val="tli1"/>
    <w:basedOn w:val="DefaultParagraphFont"/>
    <w:rsid w:val="008B7CC2"/>
  </w:style>
  <w:style w:type="character" w:customStyle="1" w:styleId="ar1">
    <w:name w:val="ar1"/>
    <w:uiPriority w:val="99"/>
    <w:rsid w:val="008B7CC2"/>
    <w:rPr>
      <w:b/>
      <w:bCs/>
      <w:color w:val="0000AF"/>
      <w:sz w:val="22"/>
      <w:szCs w:val="22"/>
    </w:rPr>
  </w:style>
  <w:style w:type="paragraph" w:customStyle="1" w:styleId="just1">
    <w:name w:val="just1"/>
    <w:basedOn w:val="Normal"/>
    <w:rsid w:val="008B7CC2"/>
    <w:pPr>
      <w:spacing w:before="111"/>
      <w:jc w:val="both"/>
    </w:pPr>
    <w:rPr>
      <w:rFonts w:cs="Arial"/>
      <w:color w:val="4D4D4D"/>
      <w:sz w:val="17"/>
      <w:szCs w:val="17"/>
      <w:lang w:val="en-US"/>
    </w:rPr>
  </w:style>
  <w:style w:type="paragraph" w:customStyle="1" w:styleId="CharCharCaracterCaracter">
    <w:name w:val="Char Char Caracter Caracter"/>
    <w:basedOn w:val="Normal"/>
    <w:rsid w:val="008B7CC2"/>
    <w:pPr>
      <w:jc w:val="both"/>
    </w:pPr>
    <w:rPr>
      <w:rFonts w:ascii="Times New Roman" w:hAnsi="Times New Roman"/>
      <w:sz w:val="24"/>
      <w:szCs w:val="24"/>
      <w:lang w:val="pl-PL" w:eastAsia="pl-PL"/>
    </w:rPr>
  </w:style>
  <w:style w:type="character" w:customStyle="1" w:styleId="link-pdf">
    <w:name w:val="link-pdf"/>
    <w:basedOn w:val="DefaultParagraphFont"/>
    <w:rsid w:val="008B7CC2"/>
  </w:style>
  <w:style w:type="paragraph" w:customStyle="1" w:styleId="CharCharCaracterCaracter1">
    <w:name w:val="Char Char Caracter Caracter1"/>
    <w:basedOn w:val="Normal"/>
    <w:rsid w:val="008B7CC2"/>
    <w:pPr>
      <w:jc w:val="both"/>
    </w:pPr>
    <w:rPr>
      <w:rFonts w:ascii="Times New Roman" w:hAnsi="Times New Roman"/>
      <w:sz w:val="24"/>
      <w:szCs w:val="24"/>
      <w:lang w:val="pl-PL" w:eastAsia="pl-PL"/>
    </w:rPr>
  </w:style>
  <w:style w:type="table" w:styleId="TableElegant">
    <w:name w:val="Table Elegant"/>
    <w:basedOn w:val="TableNormal"/>
    <w:rsid w:val="008B7CC2"/>
    <w:pPr>
      <w:suppressAutoHyphen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uiPriority w:val="59"/>
    <w:rsid w:val="008B7CC2"/>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1">
    <w:name w:val="tax1"/>
    <w:rsid w:val="008B7CC2"/>
    <w:rPr>
      <w:b/>
      <w:bCs/>
      <w:sz w:val="26"/>
      <w:szCs w:val="26"/>
    </w:rPr>
  </w:style>
  <w:style w:type="character" w:customStyle="1" w:styleId="atn">
    <w:name w:val="atn"/>
    <w:basedOn w:val="DefaultParagraphFont"/>
    <w:rsid w:val="008B7CC2"/>
  </w:style>
  <w:style w:type="table" w:customStyle="1" w:styleId="TableGrid2">
    <w:name w:val="Table Grid2"/>
    <w:basedOn w:val="TableNormal"/>
    <w:next w:val="TableGrid"/>
    <w:uiPriority w:val="59"/>
    <w:rsid w:val="008B7CC2"/>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
    <w:name w:val="def"/>
    <w:basedOn w:val="DefaultParagraphFont"/>
    <w:rsid w:val="008B7CC2"/>
  </w:style>
  <w:style w:type="character" w:customStyle="1" w:styleId="longtext">
    <w:name w:val="long_text"/>
    <w:basedOn w:val="DefaultParagraphFont"/>
    <w:rsid w:val="008B7CC2"/>
  </w:style>
  <w:style w:type="character" w:customStyle="1" w:styleId="separator1">
    <w:name w:val="separator1"/>
    <w:rsid w:val="008B7CC2"/>
    <w:rPr>
      <w:vanish/>
      <w:webHidden w:val="0"/>
      <w:specVanish w:val="0"/>
    </w:rPr>
  </w:style>
  <w:style w:type="character" w:customStyle="1" w:styleId="apple-style-span">
    <w:name w:val="apple-style-span"/>
    <w:basedOn w:val="DefaultParagraphFont"/>
    <w:rsid w:val="008B7CC2"/>
  </w:style>
  <w:style w:type="paragraph" w:customStyle="1" w:styleId="CM1">
    <w:name w:val="CM1"/>
    <w:basedOn w:val="Default"/>
    <w:next w:val="Default"/>
    <w:uiPriority w:val="99"/>
    <w:rsid w:val="008B7CC2"/>
    <w:rPr>
      <w:rFonts w:ascii="EUAlbertina" w:hAnsi="EUAlbertina" w:cs="Times New Roman"/>
      <w:color w:val="auto"/>
      <w:lang w:val="en-US"/>
    </w:rPr>
  </w:style>
  <w:style w:type="paragraph" w:customStyle="1" w:styleId="CM3">
    <w:name w:val="CM3"/>
    <w:basedOn w:val="Default"/>
    <w:next w:val="Default"/>
    <w:uiPriority w:val="99"/>
    <w:rsid w:val="008B7CC2"/>
    <w:rPr>
      <w:rFonts w:ascii="EUAlbertina" w:hAnsi="EUAlbertina" w:cs="Times New Roman"/>
      <w:color w:val="auto"/>
      <w:lang w:val="en-US"/>
    </w:rPr>
  </w:style>
  <w:style w:type="character" w:customStyle="1" w:styleId="pt1">
    <w:name w:val="pt1"/>
    <w:rsid w:val="008B7CC2"/>
    <w:rPr>
      <w:b/>
      <w:bCs/>
      <w:color w:val="8F0000"/>
    </w:rPr>
  </w:style>
  <w:style w:type="character" w:customStyle="1" w:styleId="tar1">
    <w:name w:val="tar1"/>
    <w:rsid w:val="008B7CC2"/>
    <w:rPr>
      <w:b/>
      <w:bCs/>
      <w:sz w:val="22"/>
      <w:szCs w:val="22"/>
    </w:rPr>
  </w:style>
  <w:style w:type="character" w:customStyle="1" w:styleId="shorttext">
    <w:name w:val="short_text"/>
    <w:basedOn w:val="DefaultParagraphFont"/>
    <w:rsid w:val="008B7CC2"/>
  </w:style>
  <w:style w:type="paragraph" w:customStyle="1" w:styleId="Frspaiere1">
    <w:name w:val="Fără spațiere1"/>
    <w:qFormat/>
    <w:rsid w:val="00A96365"/>
    <w:pPr>
      <w:ind w:left="964"/>
    </w:pPr>
    <w:rPr>
      <w:rFonts w:ascii="Calibri" w:eastAsia="Calibri" w:hAnsi="Calibri"/>
      <w:sz w:val="22"/>
      <w:szCs w:val="22"/>
      <w:lang w:bidi="en-US"/>
    </w:rPr>
  </w:style>
  <w:style w:type="paragraph" w:customStyle="1" w:styleId="Listparagraf1">
    <w:name w:val="Listă paragraf1"/>
    <w:basedOn w:val="Normal"/>
    <w:link w:val="ListparagrafCaracter1"/>
    <w:qFormat/>
    <w:rsid w:val="008B7CC2"/>
    <w:pPr>
      <w:suppressAutoHyphens/>
      <w:spacing w:after="200" w:line="276" w:lineRule="auto"/>
      <w:ind w:left="720"/>
      <w:jc w:val="both"/>
    </w:pPr>
    <w:rPr>
      <w:rFonts w:ascii="Cambria" w:hAnsi="Cambria" w:cs="Cambria"/>
      <w:sz w:val="20"/>
      <w:szCs w:val="20"/>
      <w:lang w:bidi="en-US"/>
    </w:rPr>
  </w:style>
  <w:style w:type="character" w:customStyle="1" w:styleId="ListparagrafCaracter1">
    <w:name w:val="Listă paragraf Caracter1"/>
    <w:link w:val="Listparagraf1"/>
    <w:rsid w:val="008B7CC2"/>
    <w:rPr>
      <w:rFonts w:ascii="Cambria" w:hAnsi="Cambria" w:cs="Cambria"/>
      <w:lang w:bidi="en-US"/>
    </w:rPr>
  </w:style>
  <w:style w:type="character" w:customStyle="1" w:styleId="reporttitle">
    <w:name w:val="reporttitle"/>
    <w:basedOn w:val="DefaultParagraphFont"/>
    <w:rsid w:val="008B7CC2"/>
  </w:style>
  <w:style w:type="character" w:customStyle="1" w:styleId="st">
    <w:name w:val="st"/>
    <w:basedOn w:val="DefaultParagraphFont"/>
    <w:rsid w:val="008B7CC2"/>
  </w:style>
  <w:style w:type="paragraph" w:styleId="z-TopofForm">
    <w:name w:val="HTML Top of Form"/>
    <w:basedOn w:val="Normal"/>
    <w:next w:val="Normal"/>
    <w:link w:val="z-TopofFormChar"/>
    <w:hidden/>
    <w:uiPriority w:val="99"/>
    <w:unhideWhenUsed/>
    <w:rsid w:val="008B7CC2"/>
    <w:pPr>
      <w:pBdr>
        <w:bottom w:val="single" w:sz="6" w:space="1" w:color="auto"/>
      </w:pBdr>
      <w:jc w:val="center"/>
    </w:pPr>
    <w:rPr>
      <w:vanish/>
      <w:sz w:val="16"/>
      <w:szCs w:val="16"/>
    </w:rPr>
  </w:style>
  <w:style w:type="character" w:customStyle="1" w:styleId="z-TopofFormChar">
    <w:name w:val="z-Top of Form Char"/>
    <w:basedOn w:val="DefaultParagraphFont"/>
    <w:link w:val="z-TopofForm"/>
    <w:uiPriority w:val="99"/>
    <w:rsid w:val="008B7CC2"/>
    <w:rPr>
      <w:rFonts w:ascii="Arial" w:hAnsi="Arial"/>
      <w:vanish/>
      <w:sz w:val="16"/>
      <w:szCs w:val="16"/>
    </w:rPr>
  </w:style>
  <w:style w:type="character" w:customStyle="1" w:styleId="st-stp1-text1">
    <w:name w:val="st-stp1-text1"/>
    <w:rsid w:val="008B7CC2"/>
    <w:rPr>
      <w:color w:val="222222"/>
    </w:rPr>
  </w:style>
  <w:style w:type="character" w:customStyle="1" w:styleId="jfk-butterbar1">
    <w:name w:val="jfk-butterbar1"/>
    <w:rsid w:val="008B7CC2"/>
    <w:rPr>
      <w:sz w:val="17"/>
      <w:szCs w:val="17"/>
      <w:bdr w:val="single" w:sz="2" w:space="0" w:color="auto" w:frame="1"/>
    </w:rPr>
  </w:style>
  <w:style w:type="character" w:customStyle="1" w:styleId="gt-ft-text1">
    <w:name w:val="gt-ft-text1"/>
    <w:basedOn w:val="DefaultParagraphFont"/>
    <w:rsid w:val="008B7CC2"/>
  </w:style>
  <w:style w:type="paragraph" w:styleId="z-BottomofForm">
    <w:name w:val="HTML Bottom of Form"/>
    <w:basedOn w:val="Normal"/>
    <w:next w:val="Normal"/>
    <w:link w:val="z-BottomofFormChar"/>
    <w:hidden/>
    <w:uiPriority w:val="99"/>
    <w:unhideWhenUsed/>
    <w:rsid w:val="008B7CC2"/>
    <w:pPr>
      <w:pBdr>
        <w:top w:val="single" w:sz="6" w:space="1" w:color="auto"/>
      </w:pBdr>
      <w:jc w:val="center"/>
    </w:pPr>
    <w:rPr>
      <w:vanish/>
      <w:sz w:val="16"/>
      <w:szCs w:val="16"/>
    </w:rPr>
  </w:style>
  <w:style w:type="character" w:customStyle="1" w:styleId="z-BottomofFormChar">
    <w:name w:val="z-Bottom of Form Char"/>
    <w:basedOn w:val="DefaultParagraphFont"/>
    <w:link w:val="z-BottomofForm"/>
    <w:uiPriority w:val="99"/>
    <w:rsid w:val="008B7CC2"/>
    <w:rPr>
      <w:rFonts w:ascii="Arial" w:hAnsi="Arial"/>
      <w:vanish/>
      <w:sz w:val="16"/>
      <w:szCs w:val="16"/>
    </w:rPr>
  </w:style>
  <w:style w:type="paragraph" w:customStyle="1" w:styleId="NormalArial">
    <w:name w:val="Normal + Arial"/>
    <w:aliases w:val="12 pt,Black,Justified,Condensed by  0,2 pt"/>
    <w:basedOn w:val="Normal"/>
    <w:link w:val="NormalArialChar"/>
    <w:rsid w:val="008B7CC2"/>
    <w:pPr>
      <w:tabs>
        <w:tab w:val="left" w:pos="800"/>
      </w:tabs>
      <w:spacing w:line="360" w:lineRule="auto"/>
      <w:jc w:val="both"/>
    </w:pPr>
    <w:rPr>
      <w:sz w:val="24"/>
      <w:szCs w:val="24"/>
      <w:lang w:val="ro-RO" w:eastAsia="ro-RO"/>
    </w:rPr>
  </w:style>
  <w:style w:type="character" w:customStyle="1" w:styleId="NormalArialChar">
    <w:name w:val="Normal + Arial Char"/>
    <w:aliases w:val="12 pt Char"/>
    <w:link w:val="NormalArial"/>
    <w:rsid w:val="008B7CC2"/>
    <w:rPr>
      <w:rFonts w:ascii="Arial" w:hAnsi="Arial"/>
      <w:sz w:val="24"/>
      <w:szCs w:val="24"/>
      <w:lang w:val="ro-RO" w:eastAsia="ro-RO"/>
    </w:rPr>
  </w:style>
  <w:style w:type="paragraph" w:customStyle="1" w:styleId="CM4">
    <w:name w:val="CM4"/>
    <w:basedOn w:val="Default"/>
    <w:next w:val="Default"/>
    <w:uiPriority w:val="99"/>
    <w:rsid w:val="008B7CC2"/>
    <w:rPr>
      <w:rFonts w:ascii="EUAlbertina" w:hAnsi="EUAlbertina" w:cs="Times New Roman"/>
      <w:color w:val="auto"/>
      <w:lang w:val="en-US"/>
    </w:rPr>
  </w:style>
  <w:style w:type="numbering" w:customStyle="1" w:styleId="NoList1">
    <w:name w:val="No List1"/>
    <w:next w:val="NoList"/>
    <w:uiPriority w:val="99"/>
    <w:semiHidden/>
    <w:unhideWhenUsed/>
    <w:rsid w:val="008B7CC2"/>
  </w:style>
  <w:style w:type="paragraph" w:customStyle="1" w:styleId="subtext">
    <w:name w:val="subtext"/>
    <w:basedOn w:val="Normal"/>
    <w:rsid w:val="008B7CC2"/>
    <w:pPr>
      <w:spacing w:before="100" w:beforeAutospacing="1" w:after="100" w:afterAutospacing="1"/>
      <w:jc w:val="both"/>
    </w:pPr>
    <w:rPr>
      <w:rFonts w:ascii="Times New Roman" w:hAnsi="Times New Roman"/>
      <w:color w:val="000000"/>
      <w:sz w:val="14"/>
      <w:szCs w:val="14"/>
      <w:lang w:val="en-US"/>
    </w:rPr>
  </w:style>
  <w:style w:type="paragraph" w:customStyle="1" w:styleId="formelement">
    <w:name w:val="formelement"/>
    <w:basedOn w:val="Normal"/>
    <w:rsid w:val="008B7CC2"/>
    <w:pPr>
      <w:spacing w:before="100" w:beforeAutospacing="1" w:after="100" w:afterAutospacing="1"/>
      <w:jc w:val="both"/>
    </w:pPr>
    <w:rPr>
      <w:rFonts w:ascii="Times New Roman" w:hAnsi="Times New Roman"/>
      <w:color w:val="000000"/>
      <w:sz w:val="24"/>
      <w:szCs w:val="24"/>
      <w:lang w:val="en-US"/>
    </w:rPr>
  </w:style>
  <w:style w:type="character" w:customStyle="1" w:styleId="ax1">
    <w:name w:val="ax1"/>
    <w:rsid w:val="008B7CC2"/>
    <w:rPr>
      <w:b/>
      <w:bCs/>
      <w:sz w:val="26"/>
      <w:szCs w:val="26"/>
    </w:rPr>
  </w:style>
  <w:style w:type="character" w:customStyle="1" w:styleId="tsp1">
    <w:name w:val="tsp1"/>
    <w:basedOn w:val="DefaultParagraphFont"/>
    <w:rsid w:val="008B7CC2"/>
  </w:style>
  <w:style w:type="character" w:customStyle="1" w:styleId="ListBullet2Char">
    <w:name w:val="List Bullet 2 Char"/>
    <w:link w:val="ListBullet2"/>
    <w:rsid w:val="008B7CC2"/>
    <w:rPr>
      <w:rFonts w:ascii="Calibri" w:eastAsia="Calibri" w:hAnsi="Calibri"/>
      <w:sz w:val="22"/>
      <w:szCs w:val="22"/>
      <w:lang w:val="en-GB"/>
    </w:rPr>
  </w:style>
  <w:style w:type="paragraph" w:styleId="Quote">
    <w:name w:val="Quote"/>
    <w:basedOn w:val="Normal"/>
    <w:next w:val="Normal"/>
    <w:link w:val="QuoteChar"/>
    <w:uiPriority w:val="29"/>
    <w:qFormat/>
    <w:rsid w:val="008B7CC2"/>
    <w:pPr>
      <w:tabs>
        <w:tab w:val="left" w:pos="357"/>
      </w:tabs>
      <w:spacing w:before="200" w:line="276" w:lineRule="auto"/>
      <w:ind w:left="360" w:right="360"/>
      <w:jc w:val="both"/>
    </w:pPr>
    <w:rPr>
      <w:i/>
      <w:iCs/>
      <w:sz w:val="20"/>
      <w:szCs w:val="20"/>
      <w:lang w:val="ro-RO"/>
    </w:rPr>
  </w:style>
  <w:style w:type="character" w:customStyle="1" w:styleId="QuoteChar">
    <w:name w:val="Quote Char"/>
    <w:basedOn w:val="DefaultParagraphFont"/>
    <w:link w:val="Quote"/>
    <w:uiPriority w:val="29"/>
    <w:rsid w:val="008B7CC2"/>
    <w:rPr>
      <w:rFonts w:ascii="Arial" w:hAnsi="Arial"/>
      <w:i/>
      <w:iCs/>
      <w:lang w:val="ro-RO"/>
    </w:rPr>
  </w:style>
  <w:style w:type="paragraph" w:styleId="IntenseQuote">
    <w:name w:val="Intense Quote"/>
    <w:basedOn w:val="Normal"/>
    <w:next w:val="Normal"/>
    <w:link w:val="IntenseQuoteChar"/>
    <w:uiPriority w:val="30"/>
    <w:qFormat/>
    <w:rsid w:val="008B7CC2"/>
    <w:pPr>
      <w:pBdr>
        <w:bottom w:val="single" w:sz="4" w:space="1" w:color="auto"/>
      </w:pBdr>
      <w:tabs>
        <w:tab w:val="left" w:pos="357"/>
      </w:tabs>
      <w:spacing w:before="200" w:after="280" w:line="276" w:lineRule="auto"/>
      <w:ind w:left="1008" w:right="1152"/>
      <w:jc w:val="both"/>
    </w:pPr>
    <w:rPr>
      <w:b/>
      <w:bCs/>
      <w:i/>
      <w:iCs/>
      <w:sz w:val="20"/>
      <w:szCs w:val="20"/>
      <w:lang w:val="ro-RO"/>
    </w:rPr>
  </w:style>
  <w:style w:type="character" w:customStyle="1" w:styleId="IntenseQuoteChar">
    <w:name w:val="Intense Quote Char"/>
    <w:basedOn w:val="DefaultParagraphFont"/>
    <w:link w:val="IntenseQuote"/>
    <w:uiPriority w:val="30"/>
    <w:rsid w:val="008B7CC2"/>
    <w:rPr>
      <w:rFonts w:ascii="Arial" w:hAnsi="Arial"/>
      <w:b/>
      <w:bCs/>
      <w:i/>
      <w:iCs/>
      <w:lang w:val="ro-RO"/>
    </w:rPr>
  </w:style>
  <w:style w:type="character" w:styleId="SubtleEmphasis">
    <w:name w:val="Subtle Emphasis"/>
    <w:uiPriority w:val="19"/>
    <w:qFormat/>
    <w:rsid w:val="008B7CC2"/>
    <w:rPr>
      <w:i/>
      <w:iCs/>
    </w:rPr>
  </w:style>
  <w:style w:type="character" w:styleId="SubtleReference">
    <w:name w:val="Subtle Reference"/>
    <w:uiPriority w:val="31"/>
    <w:qFormat/>
    <w:rsid w:val="008B7CC2"/>
    <w:rPr>
      <w:rFonts w:cs="Arial"/>
      <w:i/>
      <w:szCs w:val="22"/>
      <w:lang w:val="ro-RO"/>
    </w:rPr>
  </w:style>
  <w:style w:type="character" w:styleId="IntenseReference">
    <w:name w:val="Intense Reference"/>
    <w:uiPriority w:val="32"/>
    <w:qFormat/>
    <w:rsid w:val="008B7CC2"/>
    <w:rPr>
      <w:smallCaps/>
      <w:spacing w:val="5"/>
      <w:u w:val="single"/>
    </w:rPr>
  </w:style>
  <w:style w:type="character" w:styleId="BookTitle">
    <w:name w:val="Book Title"/>
    <w:uiPriority w:val="33"/>
    <w:qFormat/>
    <w:rsid w:val="008B7CC2"/>
    <w:rPr>
      <w:i/>
      <w:iCs/>
      <w:smallCaps/>
      <w:spacing w:val="5"/>
    </w:rPr>
  </w:style>
  <w:style w:type="character" w:customStyle="1" w:styleId="ListParagraphChar">
    <w:name w:val="List Paragraph Char"/>
    <w:aliases w:val="List_Paragraph Char,Multilevel para_II Char"/>
    <w:link w:val="ListParagraph"/>
    <w:uiPriority w:val="34"/>
    <w:rsid w:val="008B7CC2"/>
    <w:rPr>
      <w:rFonts w:ascii="Arial" w:hAnsi="Arial" w:cs="Arial"/>
      <w:lang w:val="en-GB"/>
    </w:rPr>
  </w:style>
  <w:style w:type="character" w:customStyle="1" w:styleId="A2">
    <w:name w:val="A2"/>
    <w:uiPriority w:val="99"/>
    <w:rsid w:val="008B7CC2"/>
    <w:rPr>
      <w:color w:val="000000"/>
      <w:sz w:val="22"/>
      <w:szCs w:val="22"/>
    </w:rPr>
  </w:style>
  <w:style w:type="character" w:customStyle="1" w:styleId="plainlinks">
    <w:name w:val="plainlinks"/>
    <w:basedOn w:val="DefaultParagraphFont"/>
    <w:rsid w:val="008B7CC2"/>
  </w:style>
  <w:style w:type="character" w:customStyle="1" w:styleId="latitude">
    <w:name w:val="latitude"/>
    <w:basedOn w:val="DefaultParagraphFont"/>
    <w:rsid w:val="008B7CC2"/>
  </w:style>
  <w:style w:type="character" w:customStyle="1" w:styleId="longitude">
    <w:name w:val="longitude"/>
    <w:basedOn w:val="DefaultParagraphFont"/>
    <w:rsid w:val="008B7CC2"/>
  </w:style>
  <w:style w:type="character" w:customStyle="1" w:styleId="mw-headline">
    <w:name w:val="mw-headline"/>
    <w:basedOn w:val="DefaultParagraphFont"/>
    <w:rsid w:val="008B7CC2"/>
  </w:style>
  <w:style w:type="character" w:customStyle="1" w:styleId="mw-editsection">
    <w:name w:val="mw-editsection"/>
    <w:basedOn w:val="DefaultParagraphFont"/>
    <w:rsid w:val="008B7CC2"/>
  </w:style>
  <w:style w:type="character" w:customStyle="1" w:styleId="mw-editsection-bracket">
    <w:name w:val="mw-editsection-bracket"/>
    <w:basedOn w:val="DefaultParagraphFont"/>
    <w:rsid w:val="008B7CC2"/>
  </w:style>
  <w:style w:type="character" w:customStyle="1" w:styleId="mw-editsection-divider">
    <w:name w:val="mw-editsection-divider"/>
    <w:basedOn w:val="DefaultParagraphFont"/>
    <w:rsid w:val="008B7CC2"/>
  </w:style>
  <w:style w:type="paragraph" w:customStyle="1" w:styleId="astandard3520normal">
    <w:name w:val="a_standard__35__20_normal"/>
    <w:basedOn w:val="Normal"/>
    <w:rsid w:val="008B7CC2"/>
    <w:pPr>
      <w:spacing w:after="120"/>
      <w:ind w:right="57"/>
      <w:jc w:val="both"/>
    </w:pPr>
    <w:rPr>
      <w:rFonts w:ascii="Times New Roman" w:hAnsi="Times New Roman"/>
      <w:sz w:val="24"/>
      <w:szCs w:val="24"/>
      <w:lang w:val="en-US"/>
    </w:rPr>
  </w:style>
  <w:style w:type="character" w:customStyle="1" w:styleId="at4">
    <w:name w:val="a__t4"/>
    <w:basedOn w:val="DefaultParagraphFont"/>
    <w:rsid w:val="008B7CC2"/>
  </w:style>
  <w:style w:type="character" w:customStyle="1" w:styleId="blue">
    <w:name w:val="blue"/>
    <w:basedOn w:val="DefaultParagraphFont"/>
    <w:rsid w:val="008B7CC2"/>
  </w:style>
  <w:style w:type="paragraph" w:customStyle="1" w:styleId="a3520normal">
    <w:name w:val="a___35__20_normal"/>
    <w:basedOn w:val="Normal"/>
    <w:rsid w:val="008B7CC2"/>
    <w:pPr>
      <w:spacing w:before="100" w:beforeAutospacing="1" w:after="100" w:afterAutospacing="1"/>
    </w:pPr>
    <w:rPr>
      <w:rFonts w:ascii="Times New Roman" w:hAnsi="Times New Roman"/>
      <w:sz w:val="24"/>
      <w:szCs w:val="24"/>
      <w:lang w:val="en-US"/>
    </w:rPr>
  </w:style>
  <w:style w:type="paragraph" w:customStyle="1" w:styleId="a3420chapeaup4">
    <w:name w:val="a__34__20_chapeau_p4"/>
    <w:basedOn w:val="Normal"/>
    <w:rsid w:val="008B7CC2"/>
    <w:pPr>
      <w:spacing w:before="100" w:beforeAutospacing="1" w:after="100" w:afterAutospacing="1"/>
    </w:pPr>
    <w:rPr>
      <w:rFonts w:ascii="Times New Roman" w:hAnsi="Times New Roman"/>
      <w:sz w:val="24"/>
      <w:szCs w:val="24"/>
      <w:lang w:val="en-US"/>
    </w:rPr>
  </w:style>
  <w:style w:type="paragraph" w:customStyle="1" w:styleId="a3520normalp5">
    <w:name w:val="a__35__20_normal_p5"/>
    <w:basedOn w:val="Normal"/>
    <w:rsid w:val="008B7CC2"/>
    <w:pPr>
      <w:spacing w:before="100" w:beforeAutospacing="1" w:after="100" w:afterAutospacing="1"/>
    </w:pPr>
    <w:rPr>
      <w:rFonts w:ascii="Times New Roman" w:hAnsi="Times New Roman"/>
      <w:sz w:val="24"/>
      <w:szCs w:val="24"/>
      <w:lang w:val="en-US"/>
    </w:rPr>
  </w:style>
  <w:style w:type="paragraph" w:customStyle="1" w:styleId="a3520normalp6">
    <w:name w:val="a__35__20_normal_p6"/>
    <w:basedOn w:val="Normal"/>
    <w:rsid w:val="008B7CC2"/>
    <w:pPr>
      <w:spacing w:before="100" w:beforeAutospacing="1" w:after="100" w:afterAutospacing="1"/>
    </w:pPr>
    <w:rPr>
      <w:rFonts w:ascii="Times New Roman" w:hAnsi="Times New Roman"/>
      <w:sz w:val="24"/>
      <w:szCs w:val="24"/>
      <w:lang w:val="en-US"/>
    </w:rPr>
  </w:style>
  <w:style w:type="character" w:customStyle="1" w:styleId="at2">
    <w:name w:val="a__t2"/>
    <w:basedOn w:val="DefaultParagraphFont"/>
    <w:rsid w:val="008B7CC2"/>
  </w:style>
  <w:style w:type="character" w:customStyle="1" w:styleId="at3">
    <w:name w:val="a__t3"/>
    <w:basedOn w:val="DefaultParagraphFont"/>
    <w:rsid w:val="008B7CC2"/>
  </w:style>
  <w:style w:type="character" w:customStyle="1" w:styleId="at6">
    <w:name w:val="a__t6"/>
    <w:basedOn w:val="DefaultParagraphFont"/>
    <w:rsid w:val="008B7CC2"/>
  </w:style>
  <w:style w:type="character" w:customStyle="1" w:styleId="at7">
    <w:name w:val="a__t7"/>
    <w:basedOn w:val="DefaultParagraphFont"/>
    <w:rsid w:val="008B7CC2"/>
  </w:style>
  <w:style w:type="character" w:customStyle="1" w:styleId="at8">
    <w:name w:val="a__t8"/>
    <w:basedOn w:val="DefaultParagraphFont"/>
    <w:rsid w:val="008B7CC2"/>
  </w:style>
  <w:style w:type="character" w:customStyle="1" w:styleId="at9">
    <w:name w:val="a__t9"/>
    <w:basedOn w:val="DefaultParagraphFont"/>
    <w:rsid w:val="008B7CC2"/>
  </w:style>
  <w:style w:type="paragraph" w:customStyle="1" w:styleId="asous-titre201p7">
    <w:name w:val="a_sous-titre_20_1_p7"/>
    <w:basedOn w:val="Normal"/>
    <w:rsid w:val="008B7CC2"/>
    <w:pPr>
      <w:spacing w:before="100" w:beforeAutospacing="1" w:after="100" w:afterAutospacing="1"/>
    </w:pPr>
    <w:rPr>
      <w:rFonts w:ascii="Times New Roman" w:hAnsi="Times New Roman"/>
      <w:sz w:val="24"/>
      <w:szCs w:val="24"/>
      <w:lang w:val="en-US"/>
    </w:rPr>
  </w:style>
  <w:style w:type="paragraph" w:customStyle="1" w:styleId="astandardsous-titre201">
    <w:name w:val="a_standard_sous-titre_20_1"/>
    <w:basedOn w:val="Normal"/>
    <w:rsid w:val="008B7CC2"/>
    <w:pPr>
      <w:spacing w:before="100" w:beforeAutospacing="1" w:after="100" w:afterAutospacing="1"/>
    </w:pPr>
    <w:rPr>
      <w:rFonts w:ascii="Times New Roman" w:hAnsi="Times New Roman"/>
      <w:sz w:val="24"/>
      <w:szCs w:val="24"/>
      <w:lang w:val="en-US"/>
    </w:rPr>
  </w:style>
  <w:style w:type="paragraph" w:customStyle="1" w:styleId="astandardsous-titre202">
    <w:name w:val="a_standard_sous-titre_20_2"/>
    <w:basedOn w:val="Normal"/>
    <w:rsid w:val="008B7CC2"/>
    <w:pPr>
      <w:spacing w:before="100" w:beforeAutospacing="1" w:after="100" w:afterAutospacing="1"/>
    </w:pPr>
    <w:rPr>
      <w:rFonts w:ascii="Times New Roman" w:hAnsi="Times New Roman"/>
      <w:sz w:val="24"/>
      <w:szCs w:val="24"/>
      <w:lang w:val="en-US"/>
    </w:rPr>
  </w:style>
  <w:style w:type="paragraph" w:customStyle="1" w:styleId="atexte201tiret201">
    <w:name w:val="a_texte_20_1_tiret_20_1"/>
    <w:basedOn w:val="Normal"/>
    <w:rsid w:val="008B7CC2"/>
    <w:pPr>
      <w:spacing w:before="100" w:beforeAutospacing="1" w:after="100" w:afterAutospacing="1"/>
    </w:pPr>
    <w:rPr>
      <w:rFonts w:ascii="Times New Roman" w:hAnsi="Times New Roman"/>
      <w:sz w:val="24"/>
      <w:szCs w:val="24"/>
      <w:lang w:val="en-US"/>
    </w:rPr>
  </w:style>
  <w:style w:type="paragraph" w:customStyle="1" w:styleId="atiret201p8">
    <w:name w:val="a_tiret_20_1_p8"/>
    <w:basedOn w:val="Normal"/>
    <w:rsid w:val="008B7CC2"/>
    <w:pPr>
      <w:spacing w:before="100" w:beforeAutospacing="1" w:after="100" w:afterAutospacing="1"/>
    </w:pPr>
    <w:rPr>
      <w:rFonts w:ascii="Times New Roman" w:hAnsi="Times New Roman"/>
      <w:sz w:val="24"/>
      <w:szCs w:val="24"/>
      <w:lang w:val="en-US"/>
    </w:rPr>
  </w:style>
  <w:style w:type="character" w:customStyle="1" w:styleId="BodyText1">
    <w:name w:val="Body Text1"/>
    <w:rsid w:val="008B7CC2"/>
    <w:rPr>
      <w:rFonts w:ascii="Times New Roman" w:eastAsia="Times New Roman" w:hAnsi="Times New Roman" w:cs="Times New Roman"/>
      <w:b w:val="0"/>
      <w:bCs w:val="0"/>
      <w:i w:val="0"/>
      <w:iCs w:val="0"/>
      <w:smallCaps w:val="0"/>
      <w:strike w:val="0"/>
      <w:spacing w:val="0"/>
      <w:sz w:val="22"/>
      <w:szCs w:val="22"/>
    </w:rPr>
  </w:style>
  <w:style w:type="paragraph" w:customStyle="1" w:styleId="Bodytext10">
    <w:name w:val="Body text (10)"/>
    <w:basedOn w:val="Normal"/>
    <w:rsid w:val="008B7CC2"/>
    <w:pPr>
      <w:shd w:val="clear" w:color="auto" w:fill="FFFFFF"/>
      <w:spacing w:line="202" w:lineRule="exact"/>
    </w:pPr>
    <w:rPr>
      <w:rFonts w:eastAsia="Arial" w:cs="Arial"/>
      <w:spacing w:val="3"/>
      <w:sz w:val="13"/>
      <w:szCs w:val="13"/>
      <w:lang w:eastAsia="en-GB"/>
    </w:rPr>
  </w:style>
  <w:style w:type="paragraph" w:customStyle="1" w:styleId="Bodytext13">
    <w:name w:val="Body text (13)"/>
    <w:basedOn w:val="Normal"/>
    <w:rsid w:val="008B7CC2"/>
    <w:pPr>
      <w:shd w:val="clear" w:color="auto" w:fill="FFFFFF"/>
      <w:spacing w:line="226" w:lineRule="exact"/>
      <w:jc w:val="center"/>
    </w:pPr>
    <w:rPr>
      <w:spacing w:val="10"/>
      <w:sz w:val="16"/>
      <w:szCs w:val="16"/>
      <w:lang w:val="en-US" w:eastAsia="en-GB"/>
    </w:rPr>
  </w:style>
  <w:style w:type="paragraph" w:customStyle="1" w:styleId="Bodytext7">
    <w:name w:val="Body text (7)"/>
    <w:basedOn w:val="Normal"/>
    <w:rsid w:val="008B7CC2"/>
    <w:pPr>
      <w:shd w:val="clear" w:color="auto" w:fill="FFFFFF"/>
      <w:spacing w:after="180" w:line="259" w:lineRule="exact"/>
    </w:pPr>
    <w:rPr>
      <w:spacing w:val="10"/>
      <w:sz w:val="15"/>
      <w:szCs w:val="15"/>
      <w:lang w:eastAsia="en-GB"/>
    </w:rPr>
  </w:style>
  <w:style w:type="paragraph" w:customStyle="1" w:styleId="NotaSursa">
    <w:name w:val="Nota/Sursa"/>
    <w:basedOn w:val="Normal"/>
    <w:qFormat/>
    <w:rsid w:val="008B7CC2"/>
    <w:pPr>
      <w:spacing w:after="120" w:line="240" w:lineRule="atLeast"/>
      <w:jc w:val="both"/>
    </w:pPr>
    <w:rPr>
      <w:i/>
      <w:sz w:val="22"/>
    </w:rPr>
  </w:style>
  <w:style w:type="paragraph" w:customStyle="1" w:styleId="Referinta">
    <w:name w:val="Referinta"/>
    <w:basedOn w:val="NotaSursa"/>
    <w:qFormat/>
    <w:rsid w:val="008B7CC2"/>
    <w:pPr>
      <w:spacing w:after="0"/>
    </w:pPr>
    <w:rPr>
      <w:i w:val="0"/>
    </w:rPr>
  </w:style>
  <w:style w:type="paragraph" w:customStyle="1" w:styleId="Bullet">
    <w:name w:val="Bullet"/>
    <w:basedOn w:val="Normal"/>
    <w:qFormat/>
    <w:rsid w:val="008B7CC2"/>
    <w:pPr>
      <w:numPr>
        <w:numId w:val="26"/>
      </w:numPr>
      <w:spacing w:after="120"/>
      <w:contextualSpacing/>
      <w:jc w:val="both"/>
    </w:pPr>
    <w:rPr>
      <w:sz w:val="22"/>
      <w:szCs w:val="22"/>
      <w:lang w:val="ro-RO"/>
    </w:rPr>
  </w:style>
  <w:style w:type="character" w:customStyle="1" w:styleId="CommentTextChar1">
    <w:name w:val="Comment Text Char1"/>
    <w:uiPriority w:val="99"/>
    <w:rsid w:val="000B5539"/>
    <w:rPr>
      <w:lang w:eastAsia="en-US"/>
    </w:rPr>
  </w:style>
  <w:style w:type="character" w:customStyle="1" w:styleId="CommentSubjectChar1">
    <w:name w:val="Comment Subject Char1"/>
    <w:uiPriority w:val="99"/>
    <w:semiHidden/>
    <w:rsid w:val="000B5539"/>
    <w:rPr>
      <w:b/>
      <w:bCs/>
      <w:lang w:eastAsia="en-US"/>
    </w:rPr>
  </w:style>
  <w:style w:type="character" w:customStyle="1" w:styleId="DocumentMapChar1">
    <w:name w:val="Document Map Char1"/>
    <w:uiPriority w:val="99"/>
    <w:semiHidden/>
    <w:rsid w:val="000B5539"/>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29706">
      <w:bodyDiv w:val="1"/>
      <w:marLeft w:val="0"/>
      <w:marRight w:val="0"/>
      <w:marTop w:val="0"/>
      <w:marBottom w:val="0"/>
      <w:divBdr>
        <w:top w:val="none" w:sz="0" w:space="0" w:color="auto"/>
        <w:left w:val="none" w:sz="0" w:space="0" w:color="auto"/>
        <w:bottom w:val="none" w:sz="0" w:space="0" w:color="auto"/>
        <w:right w:val="none" w:sz="0" w:space="0" w:color="auto"/>
      </w:divBdr>
    </w:div>
    <w:div w:id="30040975">
      <w:bodyDiv w:val="1"/>
      <w:marLeft w:val="0"/>
      <w:marRight w:val="0"/>
      <w:marTop w:val="0"/>
      <w:marBottom w:val="0"/>
      <w:divBdr>
        <w:top w:val="none" w:sz="0" w:space="0" w:color="auto"/>
        <w:left w:val="none" w:sz="0" w:space="0" w:color="auto"/>
        <w:bottom w:val="none" w:sz="0" w:space="0" w:color="auto"/>
        <w:right w:val="none" w:sz="0" w:space="0" w:color="auto"/>
      </w:divBdr>
    </w:div>
    <w:div w:id="67924311">
      <w:bodyDiv w:val="1"/>
      <w:marLeft w:val="0"/>
      <w:marRight w:val="0"/>
      <w:marTop w:val="0"/>
      <w:marBottom w:val="0"/>
      <w:divBdr>
        <w:top w:val="none" w:sz="0" w:space="0" w:color="auto"/>
        <w:left w:val="none" w:sz="0" w:space="0" w:color="auto"/>
        <w:bottom w:val="none" w:sz="0" w:space="0" w:color="auto"/>
        <w:right w:val="none" w:sz="0" w:space="0" w:color="auto"/>
      </w:divBdr>
    </w:div>
    <w:div w:id="121584409">
      <w:bodyDiv w:val="1"/>
      <w:marLeft w:val="0"/>
      <w:marRight w:val="0"/>
      <w:marTop w:val="0"/>
      <w:marBottom w:val="0"/>
      <w:divBdr>
        <w:top w:val="none" w:sz="0" w:space="0" w:color="auto"/>
        <w:left w:val="none" w:sz="0" w:space="0" w:color="auto"/>
        <w:bottom w:val="none" w:sz="0" w:space="0" w:color="auto"/>
        <w:right w:val="none" w:sz="0" w:space="0" w:color="auto"/>
      </w:divBdr>
    </w:div>
    <w:div w:id="123155220">
      <w:bodyDiv w:val="1"/>
      <w:marLeft w:val="0"/>
      <w:marRight w:val="0"/>
      <w:marTop w:val="0"/>
      <w:marBottom w:val="0"/>
      <w:divBdr>
        <w:top w:val="none" w:sz="0" w:space="0" w:color="auto"/>
        <w:left w:val="none" w:sz="0" w:space="0" w:color="auto"/>
        <w:bottom w:val="none" w:sz="0" w:space="0" w:color="auto"/>
        <w:right w:val="none" w:sz="0" w:space="0" w:color="auto"/>
      </w:divBdr>
      <w:divsChild>
        <w:div w:id="1607493396">
          <w:marLeft w:val="0"/>
          <w:marRight w:val="0"/>
          <w:marTop w:val="0"/>
          <w:marBottom w:val="0"/>
          <w:divBdr>
            <w:top w:val="none" w:sz="0" w:space="0" w:color="auto"/>
            <w:left w:val="none" w:sz="0" w:space="0" w:color="auto"/>
            <w:bottom w:val="none" w:sz="0" w:space="0" w:color="auto"/>
            <w:right w:val="none" w:sz="0" w:space="0" w:color="auto"/>
          </w:divBdr>
          <w:divsChild>
            <w:div w:id="1573156521">
              <w:marLeft w:val="0"/>
              <w:marRight w:val="0"/>
              <w:marTop w:val="0"/>
              <w:marBottom w:val="0"/>
              <w:divBdr>
                <w:top w:val="none" w:sz="0" w:space="0" w:color="auto"/>
                <w:left w:val="none" w:sz="0" w:space="0" w:color="auto"/>
                <w:bottom w:val="none" w:sz="0" w:space="0" w:color="auto"/>
                <w:right w:val="none" w:sz="0" w:space="0" w:color="auto"/>
              </w:divBdr>
              <w:divsChild>
                <w:div w:id="812335915">
                  <w:marLeft w:val="0"/>
                  <w:marRight w:val="0"/>
                  <w:marTop w:val="0"/>
                  <w:marBottom w:val="0"/>
                  <w:divBdr>
                    <w:top w:val="none" w:sz="0" w:space="0" w:color="auto"/>
                    <w:left w:val="none" w:sz="0" w:space="0" w:color="auto"/>
                    <w:bottom w:val="none" w:sz="0" w:space="0" w:color="auto"/>
                    <w:right w:val="none" w:sz="0" w:space="0" w:color="auto"/>
                  </w:divBdr>
                  <w:divsChild>
                    <w:div w:id="1113524980">
                      <w:marLeft w:val="0"/>
                      <w:marRight w:val="0"/>
                      <w:marTop w:val="0"/>
                      <w:marBottom w:val="0"/>
                      <w:divBdr>
                        <w:top w:val="none" w:sz="0" w:space="0" w:color="auto"/>
                        <w:left w:val="none" w:sz="0" w:space="0" w:color="auto"/>
                        <w:bottom w:val="none" w:sz="0" w:space="0" w:color="auto"/>
                        <w:right w:val="none" w:sz="0" w:space="0" w:color="auto"/>
                      </w:divBdr>
                      <w:divsChild>
                        <w:div w:id="2024553124">
                          <w:marLeft w:val="0"/>
                          <w:marRight w:val="0"/>
                          <w:marTop w:val="0"/>
                          <w:marBottom w:val="0"/>
                          <w:divBdr>
                            <w:top w:val="none" w:sz="0" w:space="0" w:color="auto"/>
                            <w:left w:val="none" w:sz="0" w:space="0" w:color="auto"/>
                            <w:bottom w:val="none" w:sz="0" w:space="0" w:color="auto"/>
                            <w:right w:val="none" w:sz="0" w:space="0" w:color="auto"/>
                          </w:divBdr>
                          <w:divsChild>
                            <w:div w:id="1843154736">
                              <w:marLeft w:val="0"/>
                              <w:marRight w:val="0"/>
                              <w:marTop w:val="0"/>
                              <w:marBottom w:val="0"/>
                              <w:divBdr>
                                <w:top w:val="none" w:sz="0" w:space="0" w:color="auto"/>
                                <w:left w:val="none" w:sz="0" w:space="0" w:color="auto"/>
                                <w:bottom w:val="none" w:sz="0" w:space="0" w:color="auto"/>
                                <w:right w:val="none" w:sz="0" w:space="0" w:color="auto"/>
                              </w:divBdr>
                              <w:divsChild>
                                <w:div w:id="99707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608245">
      <w:bodyDiv w:val="1"/>
      <w:marLeft w:val="0"/>
      <w:marRight w:val="0"/>
      <w:marTop w:val="0"/>
      <w:marBottom w:val="0"/>
      <w:divBdr>
        <w:top w:val="none" w:sz="0" w:space="0" w:color="auto"/>
        <w:left w:val="none" w:sz="0" w:space="0" w:color="auto"/>
        <w:bottom w:val="none" w:sz="0" w:space="0" w:color="auto"/>
        <w:right w:val="none" w:sz="0" w:space="0" w:color="auto"/>
      </w:divBdr>
    </w:div>
    <w:div w:id="137193883">
      <w:bodyDiv w:val="1"/>
      <w:marLeft w:val="0"/>
      <w:marRight w:val="0"/>
      <w:marTop w:val="0"/>
      <w:marBottom w:val="0"/>
      <w:divBdr>
        <w:top w:val="none" w:sz="0" w:space="0" w:color="auto"/>
        <w:left w:val="none" w:sz="0" w:space="0" w:color="auto"/>
        <w:bottom w:val="none" w:sz="0" w:space="0" w:color="auto"/>
        <w:right w:val="none" w:sz="0" w:space="0" w:color="auto"/>
      </w:divBdr>
    </w:div>
    <w:div w:id="137647508">
      <w:bodyDiv w:val="1"/>
      <w:marLeft w:val="0"/>
      <w:marRight w:val="0"/>
      <w:marTop w:val="0"/>
      <w:marBottom w:val="0"/>
      <w:divBdr>
        <w:top w:val="none" w:sz="0" w:space="0" w:color="auto"/>
        <w:left w:val="none" w:sz="0" w:space="0" w:color="auto"/>
        <w:bottom w:val="none" w:sz="0" w:space="0" w:color="auto"/>
        <w:right w:val="none" w:sz="0" w:space="0" w:color="auto"/>
      </w:divBdr>
    </w:div>
    <w:div w:id="145438750">
      <w:bodyDiv w:val="1"/>
      <w:marLeft w:val="0"/>
      <w:marRight w:val="0"/>
      <w:marTop w:val="0"/>
      <w:marBottom w:val="0"/>
      <w:divBdr>
        <w:top w:val="none" w:sz="0" w:space="0" w:color="auto"/>
        <w:left w:val="none" w:sz="0" w:space="0" w:color="auto"/>
        <w:bottom w:val="none" w:sz="0" w:space="0" w:color="auto"/>
        <w:right w:val="none" w:sz="0" w:space="0" w:color="auto"/>
      </w:divBdr>
    </w:div>
    <w:div w:id="163016966">
      <w:bodyDiv w:val="1"/>
      <w:marLeft w:val="0"/>
      <w:marRight w:val="0"/>
      <w:marTop w:val="0"/>
      <w:marBottom w:val="0"/>
      <w:divBdr>
        <w:top w:val="none" w:sz="0" w:space="0" w:color="auto"/>
        <w:left w:val="none" w:sz="0" w:space="0" w:color="auto"/>
        <w:bottom w:val="none" w:sz="0" w:space="0" w:color="auto"/>
        <w:right w:val="none" w:sz="0" w:space="0" w:color="auto"/>
      </w:divBdr>
    </w:div>
    <w:div w:id="192042289">
      <w:bodyDiv w:val="1"/>
      <w:marLeft w:val="0"/>
      <w:marRight w:val="0"/>
      <w:marTop w:val="0"/>
      <w:marBottom w:val="0"/>
      <w:divBdr>
        <w:top w:val="none" w:sz="0" w:space="0" w:color="auto"/>
        <w:left w:val="none" w:sz="0" w:space="0" w:color="auto"/>
        <w:bottom w:val="none" w:sz="0" w:space="0" w:color="auto"/>
        <w:right w:val="none" w:sz="0" w:space="0" w:color="auto"/>
      </w:divBdr>
    </w:div>
    <w:div w:id="248855564">
      <w:bodyDiv w:val="1"/>
      <w:marLeft w:val="0"/>
      <w:marRight w:val="0"/>
      <w:marTop w:val="0"/>
      <w:marBottom w:val="0"/>
      <w:divBdr>
        <w:top w:val="none" w:sz="0" w:space="0" w:color="auto"/>
        <w:left w:val="none" w:sz="0" w:space="0" w:color="auto"/>
        <w:bottom w:val="none" w:sz="0" w:space="0" w:color="auto"/>
        <w:right w:val="none" w:sz="0" w:space="0" w:color="auto"/>
      </w:divBdr>
    </w:div>
    <w:div w:id="278994467">
      <w:bodyDiv w:val="1"/>
      <w:marLeft w:val="0"/>
      <w:marRight w:val="0"/>
      <w:marTop w:val="0"/>
      <w:marBottom w:val="0"/>
      <w:divBdr>
        <w:top w:val="none" w:sz="0" w:space="0" w:color="auto"/>
        <w:left w:val="none" w:sz="0" w:space="0" w:color="auto"/>
        <w:bottom w:val="none" w:sz="0" w:space="0" w:color="auto"/>
        <w:right w:val="none" w:sz="0" w:space="0" w:color="auto"/>
      </w:divBdr>
    </w:div>
    <w:div w:id="327635173">
      <w:bodyDiv w:val="1"/>
      <w:marLeft w:val="0"/>
      <w:marRight w:val="0"/>
      <w:marTop w:val="0"/>
      <w:marBottom w:val="0"/>
      <w:divBdr>
        <w:top w:val="none" w:sz="0" w:space="0" w:color="auto"/>
        <w:left w:val="none" w:sz="0" w:space="0" w:color="auto"/>
        <w:bottom w:val="none" w:sz="0" w:space="0" w:color="auto"/>
        <w:right w:val="none" w:sz="0" w:space="0" w:color="auto"/>
      </w:divBdr>
    </w:div>
    <w:div w:id="393822590">
      <w:bodyDiv w:val="1"/>
      <w:marLeft w:val="0"/>
      <w:marRight w:val="0"/>
      <w:marTop w:val="0"/>
      <w:marBottom w:val="0"/>
      <w:divBdr>
        <w:top w:val="none" w:sz="0" w:space="0" w:color="auto"/>
        <w:left w:val="none" w:sz="0" w:space="0" w:color="auto"/>
        <w:bottom w:val="none" w:sz="0" w:space="0" w:color="auto"/>
        <w:right w:val="none" w:sz="0" w:space="0" w:color="auto"/>
      </w:divBdr>
    </w:div>
    <w:div w:id="473184131">
      <w:bodyDiv w:val="1"/>
      <w:marLeft w:val="0"/>
      <w:marRight w:val="0"/>
      <w:marTop w:val="0"/>
      <w:marBottom w:val="0"/>
      <w:divBdr>
        <w:top w:val="none" w:sz="0" w:space="0" w:color="auto"/>
        <w:left w:val="none" w:sz="0" w:space="0" w:color="auto"/>
        <w:bottom w:val="none" w:sz="0" w:space="0" w:color="auto"/>
        <w:right w:val="none" w:sz="0" w:space="0" w:color="auto"/>
      </w:divBdr>
    </w:div>
    <w:div w:id="489491719">
      <w:bodyDiv w:val="1"/>
      <w:marLeft w:val="0"/>
      <w:marRight w:val="0"/>
      <w:marTop w:val="0"/>
      <w:marBottom w:val="0"/>
      <w:divBdr>
        <w:top w:val="none" w:sz="0" w:space="0" w:color="auto"/>
        <w:left w:val="none" w:sz="0" w:space="0" w:color="auto"/>
        <w:bottom w:val="none" w:sz="0" w:space="0" w:color="auto"/>
        <w:right w:val="none" w:sz="0" w:space="0" w:color="auto"/>
      </w:divBdr>
    </w:div>
    <w:div w:id="553539188">
      <w:bodyDiv w:val="1"/>
      <w:marLeft w:val="0"/>
      <w:marRight w:val="0"/>
      <w:marTop w:val="0"/>
      <w:marBottom w:val="0"/>
      <w:divBdr>
        <w:top w:val="none" w:sz="0" w:space="0" w:color="auto"/>
        <w:left w:val="none" w:sz="0" w:space="0" w:color="auto"/>
        <w:bottom w:val="none" w:sz="0" w:space="0" w:color="auto"/>
        <w:right w:val="none" w:sz="0" w:space="0" w:color="auto"/>
      </w:divBdr>
    </w:div>
    <w:div w:id="614866074">
      <w:bodyDiv w:val="1"/>
      <w:marLeft w:val="0"/>
      <w:marRight w:val="0"/>
      <w:marTop w:val="0"/>
      <w:marBottom w:val="0"/>
      <w:divBdr>
        <w:top w:val="none" w:sz="0" w:space="0" w:color="auto"/>
        <w:left w:val="none" w:sz="0" w:space="0" w:color="auto"/>
        <w:bottom w:val="none" w:sz="0" w:space="0" w:color="auto"/>
        <w:right w:val="none" w:sz="0" w:space="0" w:color="auto"/>
      </w:divBdr>
    </w:div>
    <w:div w:id="670448152">
      <w:bodyDiv w:val="1"/>
      <w:marLeft w:val="0"/>
      <w:marRight w:val="0"/>
      <w:marTop w:val="0"/>
      <w:marBottom w:val="0"/>
      <w:divBdr>
        <w:top w:val="none" w:sz="0" w:space="0" w:color="auto"/>
        <w:left w:val="none" w:sz="0" w:space="0" w:color="auto"/>
        <w:bottom w:val="none" w:sz="0" w:space="0" w:color="auto"/>
        <w:right w:val="none" w:sz="0" w:space="0" w:color="auto"/>
      </w:divBdr>
    </w:div>
    <w:div w:id="677654712">
      <w:bodyDiv w:val="1"/>
      <w:marLeft w:val="0"/>
      <w:marRight w:val="0"/>
      <w:marTop w:val="0"/>
      <w:marBottom w:val="0"/>
      <w:divBdr>
        <w:top w:val="none" w:sz="0" w:space="0" w:color="auto"/>
        <w:left w:val="none" w:sz="0" w:space="0" w:color="auto"/>
        <w:bottom w:val="none" w:sz="0" w:space="0" w:color="auto"/>
        <w:right w:val="none" w:sz="0" w:space="0" w:color="auto"/>
      </w:divBdr>
    </w:div>
    <w:div w:id="729378241">
      <w:bodyDiv w:val="1"/>
      <w:marLeft w:val="0"/>
      <w:marRight w:val="0"/>
      <w:marTop w:val="0"/>
      <w:marBottom w:val="0"/>
      <w:divBdr>
        <w:top w:val="none" w:sz="0" w:space="0" w:color="auto"/>
        <w:left w:val="none" w:sz="0" w:space="0" w:color="auto"/>
        <w:bottom w:val="none" w:sz="0" w:space="0" w:color="auto"/>
        <w:right w:val="none" w:sz="0" w:space="0" w:color="auto"/>
      </w:divBdr>
    </w:div>
    <w:div w:id="814493881">
      <w:bodyDiv w:val="1"/>
      <w:marLeft w:val="0"/>
      <w:marRight w:val="0"/>
      <w:marTop w:val="0"/>
      <w:marBottom w:val="0"/>
      <w:divBdr>
        <w:top w:val="none" w:sz="0" w:space="0" w:color="auto"/>
        <w:left w:val="none" w:sz="0" w:space="0" w:color="auto"/>
        <w:bottom w:val="none" w:sz="0" w:space="0" w:color="auto"/>
        <w:right w:val="none" w:sz="0" w:space="0" w:color="auto"/>
      </w:divBdr>
    </w:div>
    <w:div w:id="863444858">
      <w:bodyDiv w:val="1"/>
      <w:marLeft w:val="0"/>
      <w:marRight w:val="0"/>
      <w:marTop w:val="0"/>
      <w:marBottom w:val="0"/>
      <w:divBdr>
        <w:top w:val="none" w:sz="0" w:space="0" w:color="auto"/>
        <w:left w:val="none" w:sz="0" w:space="0" w:color="auto"/>
        <w:bottom w:val="none" w:sz="0" w:space="0" w:color="auto"/>
        <w:right w:val="none" w:sz="0" w:space="0" w:color="auto"/>
      </w:divBdr>
    </w:div>
    <w:div w:id="952636844">
      <w:bodyDiv w:val="1"/>
      <w:marLeft w:val="0"/>
      <w:marRight w:val="0"/>
      <w:marTop w:val="0"/>
      <w:marBottom w:val="0"/>
      <w:divBdr>
        <w:top w:val="none" w:sz="0" w:space="0" w:color="auto"/>
        <w:left w:val="none" w:sz="0" w:space="0" w:color="auto"/>
        <w:bottom w:val="none" w:sz="0" w:space="0" w:color="auto"/>
        <w:right w:val="none" w:sz="0" w:space="0" w:color="auto"/>
      </w:divBdr>
    </w:div>
    <w:div w:id="968703856">
      <w:bodyDiv w:val="1"/>
      <w:marLeft w:val="0"/>
      <w:marRight w:val="0"/>
      <w:marTop w:val="0"/>
      <w:marBottom w:val="0"/>
      <w:divBdr>
        <w:top w:val="none" w:sz="0" w:space="0" w:color="auto"/>
        <w:left w:val="none" w:sz="0" w:space="0" w:color="auto"/>
        <w:bottom w:val="none" w:sz="0" w:space="0" w:color="auto"/>
        <w:right w:val="none" w:sz="0" w:space="0" w:color="auto"/>
      </w:divBdr>
    </w:div>
    <w:div w:id="986668645">
      <w:bodyDiv w:val="1"/>
      <w:marLeft w:val="0"/>
      <w:marRight w:val="0"/>
      <w:marTop w:val="0"/>
      <w:marBottom w:val="0"/>
      <w:divBdr>
        <w:top w:val="none" w:sz="0" w:space="0" w:color="auto"/>
        <w:left w:val="none" w:sz="0" w:space="0" w:color="auto"/>
        <w:bottom w:val="none" w:sz="0" w:space="0" w:color="auto"/>
        <w:right w:val="none" w:sz="0" w:space="0" w:color="auto"/>
      </w:divBdr>
    </w:div>
    <w:div w:id="1086461213">
      <w:bodyDiv w:val="1"/>
      <w:marLeft w:val="0"/>
      <w:marRight w:val="0"/>
      <w:marTop w:val="0"/>
      <w:marBottom w:val="0"/>
      <w:divBdr>
        <w:top w:val="none" w:sz="0" w:space="0" w:color="auto"/>
        <w:left w:val="none" w:sz="0" w:space="0" w:color="auto"/>
        <w:bottom w:val="none" w:sz="0" w:space="0" w:color="auto"/>
        <w:right w:val="none" w:sz="0" w:space="0" w:color="auto"/>
      </w:divBdr>
    </w:div>
    <w:div w:id="1099986695">
      <w:bodyDiv w:val="1"/>
      <w:marLeft w:val="0"/>
      <w:marRight w:val="0"/>
      <w:marTop w:val="0"/>
      <w:marBottom w:val="0"/>
      <w:divBdr>
        <w:top w:val="none" w:sz="0" w:space="0" w:color="auto"/>
        <w:left w:val="none" w:sz="0" w:space="0" w:color="auto"/>
        <w:bottom w:val="none" w:sz="0" w:space="0" w:color="auto"/>
        <w:right w:val="none" w:sz="0" w:space="0" w:color="auto"/>
      </w:divBdr>
    </w:div>
    <w:div w:id="1111166747">
      <w:bodyDiv w:val="1"/>
      <w:marLeft w:val="0"/>
      <w:marRight w:val="0"/>
      <w:marTop w:val="0"/>
      <w:marBottom w:val="0"/>
      <w:divBdr>
        <w:top w:val="none" w:sz="0" w:space="0" w:color="auto"/>
        <w:left w:val="none" w:sz="0" w:space="0" w:color="auto"/>
        <w:bottom w:val="none" w:sz="0" w:space="0" w:color="auto"/>
        <w:right w:val="none" w:sz="0" w:space="0" w:color="auto"/>
      </w:divBdr>
    </w:div>
    <w:div w:id="1117530117">
      <w:bodyDiv w:val="1"/>
      <w:marLeft w:val="0"/>
      <w:marRight w:val="0"/>
      <w:marTop w:val="0"/>
      <w:marBottom w:val="0"/>
      <w:divBdr>
        <w:top w:val="none" w:sz="0" w:space="0" w:color="auto"/>
        <w:left w:val="none" w:sz="0" w:space="0" w:color="auto"/>
        <w:bottom w:val="none" w:sz="0" w:space="0" w:color="auto"/>
        <w:right w:val="none" w:sz="0" w:space="0" w:color="auto"/>
      </w:divBdr>
    </w:div>
    <w:div w:id="1127427170">
      <w:bodyDiv w:val="1"/>
      <w:marLeft w:val="0"/>
      <w:marRight w:val="0"/>
      <w:marTop w:val="0"/>
      <w:marBottom w:val="0"/>
      <w:divBdr>
        <w:top w:val="none" w:sz="0" w:space="0" w:color="auto"/>
        <w:left w:val="none" w:sz="0" w:space="0" w:color="auto"/>
        <w:bottom w:val="none" w:sz="0" w:space="0" w:color="auto"/>
        <w:right w:val="none" w:sz="0" w:space="0" w:color="auto"/>
      </w:divBdr>
    </w:div>
    <w:div w:id="1144272927">
      <w:bodyDiv w:val="1"/>
      <w:marLeft w:val="0"/>
      <w:marRight w:val="0"/>
      <w:marTop w:val="0"/>
      <w:marBottom w:val="0"/>
      <w:divBdr>
        <w:top w:val="none" w:sz="0" w:space="0" w:color="auto"/>
        <w:left w:val="none" w:sz="0" w:space="0" w:color="auto"/>
        <w:bottom w:val="none" w:sz="0" w:space="0" w:color="auto"/>
        <w:right w:val="none" w:sz="0" w:space="0" w:color="auto"/>
      </w:divBdr>
    </w:div>
    <w:div w:id="1152678496">
      <w:bodyDiv w:val="1"/>
      <w:marLeft w:val="0"/>
      <w:marRight w:val="0"/>
      <w:marTop w:val="0"/>
      <w:marBottom w:val="0"/>
      <w:divBdr>
        <w:top w:val="none" w:sz="0" w:space="0" w:color="auto"/>
        <w:left w:val="none" w:sz="0" w:space="0" w:color="auto"/>
        <w:bottom w:val="none" w:sz="0" w:space="0" w:color="auto"/>
        <w:right w:val="none" w:sz="0" w:space="0" w:color="auto"/>
      </w:divBdr>
    </w:div>
    <w:div w:id="1207717072">
      <w:bodyDiv w:val="1"/>
      <w:marLeft w:val="0"/>
      <w:marRight w:val="0"/>
      <w:marTop w:val="0"/>
      <w:marBottom w:val="0"/>
      <w:divBdr>
        <w:top w:val="none" w:sz="0" w:space="0" w:color="auto"/>
        <w:left w:val="none" w:sz="0" w:space="0" w:color="auto"/>
        <w:bottom w:val="none" w:sz="0" w:space="0" w:color="auto"/>
        <w:right w:val="none" w:sz="0" w:space="0" w:color="auto"/>
      </w:divBdr>
    </w:div>
    <w:div w:id="1237663621">
      <w:bodyDiv w:val="1"/>
      <w:marLeft w:val="0"/>
      <w:marRight w:val="0"/>
      <w:marTop w:val="0"/>
      <w:marBottom w:val="0"/>
      <w:divBdr>
        <w:top w:val="none" w:sz="0" w:space="0" w:color="auto"/>
        <w:left w:val="none" w:sz="0" w:space="0" w:color="auto"/>
        <w:bottom w:val="none" w:sz="0" w:space="0" w:color="auto"/>
        <w:right w:val="none" w:sz="0" w:space="0" w:color="auto"/>
      </w:divBdr>
    </w:div>
    <w:div w:id="1302420252">
      <w:bodyDiv w:val="1"/>
      <w:marLeft w:val="0"/>
      <w:marRight w:val="0"/>
      <w:marTop w:val="0"/>
      <w:marBottom w:val="0"/>
      <w:divBdr>
        <w:top w:val="none" w:sz="0" w:space="0" w:color="auto"/>
        <w:left w:val="none" w:sz="0" w:space="0" w:color="auto"/>
        <w:bottom w:val="none" w:sz="0" w:space="0" w:color="auto"/>
        <w:right w:val="none" w:sz="0" w:space="0" w:color="auto"/>
      </w:divBdr>
    </w:div>
    <w:div w:id="1337071123">
      <w:bodyDiv w:val="1"/>
      <w:marLeft w:val="0"/>
      <w:marRight w:val="0"/>
      <w:marTop w:val="0"/>
      <w:marBottom w:val="0"/>
      <w:divBdr>
        <w:top w:val="none" w:sz="0" w:space="0" w:color="auto"/>
        <w:left w:val="none" w:sz="0" w:space="0" w:color="auto"/>
        <w:bottom w:val="none" w:sz="0" w:space="0" w:color="auto"/>
        <w:right w:val="none" w:sz="0" w:space="0" w:color="auto"/>
      </w:divBdr>
    </w:div>
    <w:div w:id="1374230616">
      <w:bodyDiv w:val="1"/>
      <w:marLeft w:val="0"/>
      <w:marRight w:val="0"/>
      <w:marTop w:val="0"/>
      <w:marBottom w:val="0"/>
      <w:divBdr>
        <w:top w:val="none" w:sz="0" w:space="0" w:color="auto"/>
        <w:left w:val="none" w:sz="0" w:space="0" w:color="auto"/>
        <w:bottom w:val="none" w:sz="0" w:space="0" w:color="auto"/>
        <w:right w:val="none" w:sz="0" w:space="0" w:color="auto"/>
      </w:divBdr>
      <w:divsChild>
        <w:div w:id="484667070">
          <w:marLeft w:val="547"/>
          <w:marRight w:val="0"/>
          <w:marTop w:val="0"/>
          <w:marBottom w:val="0"/>
          <w:divBdr>
            <w:top w:val="none" w:sz="0" w:space="0" w:color="auto"/>
            <w:left w:val="none" w:sz="0" w:space="0" w:color="auto"/>
            <w:bottom w:val="none" w:sz="0" w:space="0" w:color="auto"/>
            <w:right w:val="none" w:sz="0" w:space="0" w:color="auto"/>
          </w:divBdr>
        </w:div>
        <w:div w:id="710151159">
          <w:marLeft w:val="547"/>
          <w:marRight w:val="0"/>
          <w:marTop w:val="0"/>
          <w:marBottom w:val="0"/>
          <w:divBdr>
            <w:top w:val="none" w:sz="0" w:space="0" w:color="auto"/>
            <w:left w:val="none" w:sz="0" w:space="0" w:color="auto"/>
            <w:bottom w:val="none" w:sz="0" w:space="0" w:color="auto"/>
            <w:right w:val="none" w:sz="0" w:space="0" w:color="auto"/>
          </w:divBdr>
        </w:div>
        <w:div w:id="2066220571">
          <w:marLeft w:val="547"/>
          <w:marRight w:val="0"/>
          <w:marTop w:val="0"/>
          <w:marBottom w:val="0"/>
          <w:divBdr>
            <w:top w:val="none" w:sz="0" w:space="0" w:color="auto"/>
            <w:left w:val="none" w:sz="0" w:space="0" w:color="auto"/>
            <w:bottom w:val="none" w:sz="0" w:space="0" w:color="auto"/>
            <w:right w:val="none" w:sz="0" w:space="0" w:color="auto"/>
          </w:divBdr>
        </w:div>
        <w:div w:id="1225683314">
          <w:marLeft w:val="547"/>
          <w:marRight w:val="0"/>
          <w:marTop w:val="0"/>
          <w:marBottom w:val="0"/>
          <w:divBdr>
            <w:top w:val="none" w:sz="0" w:space="0" w:color="auto"/>
            <w:left w:val="none" w:sz="0" w:space="0" w:color="auto"/>
            <w:bottom w:val="none" w:sz="0" w:space="0" w:color="auto"/>
            <w:right w:val="none" w:sz="0" w:space="0" w:color="auto"/>
          </w:divBdr>
        </w:div>
        <w:div w:id="1216116126">
          <w:marLeft w:val="547"/>
          <w:marRight w:val="0"/>
          <w:marTop w:val="0"/>
          <w:marBottom w:val="0"/>
          <w:divBdr>
            <w:top w:val="none" w:sz="0" w:space="0" w:color="auto"/>
            <w:left w:val="none" w:sz="0" w:space="0" w:color="auto"/>
            <w:bottom w:val="none" w:sz="0" w:space="0" w:color="auto"/>
            <w:right w:val="none" w:sz="0" w:space="0" w:color="auto"/>
          </w:divBdr>
        </w:div>
        <w:div w:id="1394547295">
          <w:marLeft w:val="547"/>
          <w:marRight w:val="0"/>
          <w:marTop w:val="0"/>
          <w:marBottom w:val="0"/>
          <w:divBdr>
            <w:top w:val="none" w:sz="0" w:space="0" w:color="auto"/>
            <w:left w:val="none" w:sz="0" w:space="0" w:color="auto"/>
            <w:bottom w:val="none" w:sz="0" w:space="0" w:color="auto"/>
            <w:right w:val="none" w:sz="0" w:space="0" w:color="auto"/>
          </w:divBdr>
        </w:div>
        <w:div w:id="1154880569">
          <w:marLeft w:val="547"/>
          <w:marRight w:val="0"/>
          <w:marTop w:val="0"/>
          <w:marBottom w:val="0"/>
          <w:divBdr>
            <w:top w:val="none" w:sz="0" w:space="0" w:color="auto"/>
            <w:left w:val="none" w:sz="0" w:space="0" w:color="auto"/>
            <w:bottom w:val="none" w:sz="0" w:space="0" w:color="auto"/>
            <w:right w:val="none" w:sz="0" w:space="0" w:color="auto"/>
          </w:divBdr>
        </w:div>
      </w:divsChild>
    </w:div>
    <w:div w:id="1376082016">
      <w:bodyDiv w:val="1"/>
      <w:marLeft w:val="0"/>
      <w:marRight w:val="0"/>
      <w:marTop w:val="0"/>
      <w:marBottom w:val="0"/>
      <w:divBdr>
        <w:top w:val="none" w:sz="0" w:space="0" w:color="auto"/>
        <w:left w:val="none" w:sz="0" w:space="0" w:color="auto"/>
        <w:bottom w:val="none" w:sz="0" w:space="0" w:color="auto"/>
        <w:right w:val="none" w:sz="0" w:space="0" w:color="auto"/>
      </w:divBdr>
    </w:div>
    <w:div w:id="1416245122">
      <w:bodyDiv w:val="1"/>
      <w:marLeft w:val="0"/>
      <w:marRight w:val="0"/>
      <w:marTop w:val="0"/>
      <w:marBottom w:val="0"/>
      <w:divBdr>
        <w:top w:val="none" w:sz="0" w:space="0" w:color="auto"/>
        <w:left w:val="none" w:sz="0" w:space="0" w:color="auto"/>
        <w:bottom w:val="none" w:sz="0" w:space="0" w:color="auto"/>
        <w:right w:val="none" w:sz="0" w:space="0" w:color="auto"/>
      </w:divBdr>
    </w:div>
    <w:div w:id="1438602936">
      <w:bodyDiv w:val="1"/>
      <w:marLeft w:val="0"/>
      <w:marRight w:val="0"/>
      <w:marTop w:val="0"/>
      <w:marBottom w:val="0"/>
      <w:divBdr>
        <w:top w:val="none" w:sz="0" w:space="0" w:color="auto"/>
        <w:left w:val="none" w:sz="0" w:space="0" w:color="auto"/>
        <w:bottom w:val="none" w:sz="0" w:space="0" w:color="auto"/>
        <w:right w:val="none" w:sz="0" w:space="0" w:color="auto"/>
      </w:divBdr>
    </w:div>
    <w:div w:id="1470394474">
      <w:bodyDiv w:val="1"/>
      <w:marLeft w:val="0"/>
      <w:marRight w:val="0"/>
      <w:marTop w:val="0"/>
      <w:marBottom w:val="0"/>
      <w:divBdr>
        <w:top w:val="none" w:sz="0" w:space="0" w:color="auto"/>
        <w:left w:val="none" w:sz="0" w:space="0" w:color="auto"/>
        <w:bottom w:val="none" w:sz="0" w:space="0" w:color="auto"/>
        <w:right w:val="none" w:sz="0" w:space="0" w:color="auto"/>
      </w:divBdr>
    </w:div>
    <w:div w:id="1471169437">
      <w:bodyDiv w:val="1"/>
      <w:marLeft w:val="0"/>
      <w:marRight w:val="0"/>
      <w:marTop w:val="0"/>
      <w:marBottom w:val="0"/>
      <w:divBdr>
        <w:top w:val="none" w:sz="0" w:space="0" w:color="auto"/>
        <w:left w:val="none" w:sz="0" w:space="0" w:color="auto"/>
        <w:bottom w:val="none" w:sz="0" w:space="0" w:color="auto"/>
        <w:right w:val="none" w:sz="0" w:space="0" w:color="auto"/>
      </w:divBdr>
    </w:div>
    <w:div w:id="1471939475">
      <w:bodyDiv w:val="1"/>
      <w:marLeft w:val="0"/>
      <w:marRight w:val="0"/>
      <w:marTop w:val="0"/>
      <w:marBottom w:val="0"/>
      <w:divBdr>
        <w:top w:val="none" w:sz="0" w:space="0" w:color="auto"/>
        <w:left w:val="none" w:sz="0" w:space="0" w:color="auto"/>
        <w:bottom w:val="none" w:sz="0" w:space="0" w:color="auto"/>
        <w:right w:val="none" w:sz="0" w:space="0" w:color="auto"/>
      </w:divBdr>
    </w:div>
    <w:div w:id="1472479025">
      <w:bodyDiv w:val="1"/>
      <w:marLeft w:val="0"/>
      <w:marRight w:val="0"/>
      <w:marTop w:val="0"/>
      <w:marBottom w:val="0"/>
      <w:divBdr>
        <w:top w:val="none" w:sz="0" w:space="0" w:color="auto"/>
        <w:left w:val="none" w:sz="0" w:space="0" w:color="auto"/>
        <w:bottom w:val="none" w:sz="0" w:space="0" w:color="auto"/>
        <w:right w:val="none" w:sz="0" w:space="0" w:color="auto"/>
      </w:divBdr>
    </w:div>
    <w:div w:id="1600529581">
      <w:bodyDiv w:val="1"/>
      <w:marLeft w:val="0"/>
      <w:marRight w:val="0"/>
      <w:marTop w:val="0"/>
      <w:marBottom w:val="0"/>
      <w:divBdr>
        <w:top w:val="none" w:sz="0" w:space="0" w:color="auto"/>
        <w:left w:val="none" w:sz="0" w:space="0" w:color="auto"/>
        <w:bottom w:val="none" w:sz="0" w:space="0" w:color="auto"/>
        <w:right w:val="none" w:sz="0" w:space="0" w:color="auto"/>
      </w:divBdr>
    </w:div>
    <w:div w:id="1623801625">
      <w:bodyDiv w:val="1"/>
      <w:marLeft w:val="0"/>
      <w:marRight w:val="0"/>
      <w:marTop w:val="0"/>
      <w:marBottom w:val="0"/>
      <w:divBdr>
        <w:top w:val="none" w:sz="0" w:space="0" w:color="auto"/>
        <w:left w:val="none" w:sz="0" w:space="0" w:color="auto"/>
        <w:bottom w:val="none" w:sz="0" w:space="0" w:color="auto"/>
        <w:right w:val="none" w:sz="0" w:space="0" w:color="auto"/>
      </w:divBdr>
    </w:div>
    <w:div w:id="1628008723">
      <w:bodyDiv w:val="1"/>
      <w:marLeft w:val="0"/>
      <w:marRight w:val="0"/>
      <w:marTop w:val="0"/>
      <w:marBottom w:val="0"/>
      <w:divBdr>
        <w:top w:val="none" w:sz="0" w:space="0" w:color="auto"/>
        <w:left w:val="none" w:sz="0" w:space="0" w:color="auto"/>
        <w:bottom w:val="none" w:sz="0" w:space="0" w:color="auto"/>
        <w:right w:val="none" w:sz="0" w:space="0" w:color="auto"/>
      </w:divBdr>
    </w:div>
    <w:div w:id="1683894335">
      <w:bodyDiv w:val="1"/>
      <w:marLeft w:val="0"/>
      <w:marRight w:val="0"/>
      <w:marTop w:val="0"/>
      <w:marBottom w:val="0"/>
      <w:divBdr>
        <w:top w:val="none" w:sz="0" w:space="0" w:color="auto"/>
        <w:left w:val="none" w:sz="0" w:space="0" w:color="auto"/>
        <w:bottom w:val="none" w:sz="0" w:space="0" w:color="auto"/>
        <w:right w:val="none" w:sz="0" w:space="0" w:color="auto"/>
      </w:divBdr>
    </w:div>
    <w:div w:id="1701324328">
      <w:bodyDiv w:val="1"/>
      <w:marLeft w:val="0"/>
      <w:marRight w:val="0"/>
      <w:marTop w:val="0"/>
      <w:marBottom w:val="0"/>
      <w:divBdr>
        <w:top w:val="none" w:sz="0" w:space="0" w:color="auto"/>
        <w:left w:val="none" w:sz="0" w:space="0" w:color="auto"/>
        <w:bottom w:val="none" w:sz="0" w:space="0" w:color="auto"/>
        <w:right w:val="none" w:sz="0" w:space="0" w:color="auto"/>
      </w:divBdr>
      <w:divsChild>
        <w:div w:id="1725133614">
          <w:marLeft w:val="547"/>
          <w:marRight w:val="0"/>
          <w:marTop w:val="0"/>
          <w:marBottom w:val="0"/>
          <w:divBdr>
            <w:top w:val="none" w:sz="0" w:space="0" w:color="auto"/>
            <w:left w:val="none" w:sz="0" w:space="0" w:color="auto"/>
            <w:bottom w:val="none" w:sz="0" w:space="0" w:color="auto"/>
            <w:right w:val="none" w:sz="0" w:space="0" w:color="auto"/>
          </w:divBdr>
        </w:div>
      </w:divsChild>
    </w:div>
    <w:div w:id="1753892034">
      <w:bodyDiv w:val="1"/>
      <w:marLeft w:val="0"/>
      <w:marRight w:val="0"/>
      <w:marTop w:val="0"/>
      <w:marBottom w:val="0"/>
      <w:divBdr>
        <w:top w:val="none" w:sz="0" w:space="0" w:color="auto"/>
        <w:left w:val="none" w:sz="0" w:space="0" w:color="auto"/>
        <w:bottom w:val="none" w:sz="0" w:space="0" w:color="auto"/>
        <w:right w:val="none" w:sz="0" w:space="0" w:color="auto"/>
      </w:divBdr>
    </w:div>
    <w:div w:id="1787652137">
      <w:bodyDiv w:val="1"/>
      <w:marLeft w:val="0"/>
      <w:marRight w:val="0"/>
      <w:marTop w:val="0"/>
      <w:marBottom w:val="0"/>
      <w:divBdr>
        <w:top w:val="none" w:sz="0" w:space="0" w:color="auto"/>
        <w:left w:val="none" w:sz="0" w:space="0" w:color="auto"/>
        <w:bottom w:val="none" w:sz="0" w:space="0" w:color="auto"/>
        <w:right w:val="none" w:sz="0" w:space="0" w:color="auto"/>
      </w:divBdr>
    </w:div>
    <w:div w:id="1814829279">
      <w:bodyDiv w:val="1"/>
      <w:marLeft w:val="0"/>
      <w:marRight w:val="0"/>
      <w:marTop w:val="0"/>
      <w:marBottom w:val="0"/>
      <w:divBdr>
        <w:top w:val="none" w:sz="0" w:space="0" w:color="auto"/>
        <w:left w:val="none" w:sz="0" w:space="0" w:color="auto"/>
        <w:bottom w:val="none" w:sz="0" w:space="0" w:color="auto"/>
        <w:right w:val="none" w:sz="0" w:space="0" w:color="auto"/>
      </w:divBdr>
    </w:div>
    <w:div w:id="1868054462">
      <w:bodyDiv w:val="1"/>
      <w:marLeft w:val="0"/>
      <w:marRight w:val="0"/>
      <w:marTop w:val="0"/>
      <w:marBottom w:val="0"/>
      <w:divBdr>
        <w:top w:val="none" w:sz="0" w:space="0" w:color="auto"/>
        <w:left w:val="none" w:sz="0" w:space="0" w:color="auto"/>
        <w:bottom w:val="none" w:sz="0" w:space="0" w:color="auto"/>
        <w:right w:val="none" w:sz="0" w:space="0" w:color="auto"/>
      </w:divBdr>
    </w:div>
    <w:div w:id="1868181359">
      <w:bodyDiv w:val="1"/>
      <w:marLeft w:val="0"/>
      <w:marRight w:val="0"/>
      <w:marTop w:val="0"/>
      <w:marBottom w:val="0"/>
      <w:divBdr>
        <w:top w:val="none" w:sz="0" w:space="0" w:color="auto"/>
        <w:left w:val="none" w:sz="0" w:space="0" w:color="auto"/>
        <w:bottom w:val="none" w:sz="0" w:space="0" w:color="auto"/>
        <w:right w:val="none" w:sz="0" w:space="0" w:color="auto"/>
      </w:divBdr>
    </w:div>
    <w:div w:id="1899320816">
      <w:bodyDiv w:val="1"/>
      <w:marLeft w:val="0"/>
      <w:marRight w:val="0"/>
      <w:marTop w:val="0"/>
      <w:marBottom w:val="0"/>
      <w:divBdr>
        <w:top w:val="none" w:sz="0" w:space="0" w:color="auto"/>
        <w:left w:val="none" w:sz="0" w:space="0" w:color="auto"/>
        <w:bottom w:val="none" w:sz="0" w:space="0" w:color="auto"/>
        <w:right w:val="none" w:sz="0" w:space="0" w:color="auto"/>
      </w:divBdr>
      <w:divsChild>
        <w:div w:id="1756128289">
          <w:marLeft w:val="547"/>
          <w:marRight w:val="0"/>
          <w:marTop w:val="0"/>
          <w:marBottom w:val="0"/>
          <w:divBdr>
            <w:top w:val="none" w:sz="0" w:space="0" w:color="auto"/>
            <w:left w:val="none" w:sz="0" w:space="0" w:color="auto"/>
            <w:bottom w:val="none" w:sz="0" w:space="0" w:color="auto"/>
            <w:right w:val="none" w:sz="0" w:space="0" w:color="auto"/>
          </w:divBdr>
        </w:div>
      </w:divsChild>
    </w:div>
    <w:div w:id="1919365703">
      <w:bodyDiv w:val="1"/>
      <w:marLeft w:val="0"/>
      <w:marRight w:val="0"/>
      <w:marTop w:val="0"/>
      <w:marBottom w:val="0"/>
      <w:divBdr>
        <w:top w:val="none" w:sz="0" w:space="0" w:color="auto"/>
        <w:left w:val="none" w:sz="0" w:space="0" w:color="auto"/>
        <w:bottom w:val="none" w:sz="0" w:space="0" w:color="auto"/>
        <w:right w:val="none" w:sz="0" w:space="0" w:color="auto"/>
      </w:divBdr>
    </w:div>
    <w:div w:id="1939480523">
      <w:bodyDiv w:val="1"/>
      <w:marLeft w:val="0"/>
      <w:marRight w:val="0"/>
      <w:marTop w:val="0"/>
      <w:marBottom w:val="0"/>
      <w:divBdr>
        <w:top w:val="none" w:sz="0" w:space="0" w:color="auto"/>
        <w:left w:val="none" w:sz="0" w:space="0" w:color="auto"/>
        <w:bottom w:val="none" w:sz="0" w:space="0" w:color="auto"/>
        <w:right w:val="none" w:sz="0" w:space="0" w:color="auto"/>
      </w:divBdr>
    </w:div>
    <w:div w:id="2035769077">
      <w:bodyDiv w:val="1"/>
      <w:marLeft w:val="0"/>
      <w:marRight w:val="0"/>
      <w:marTop w:val="0"/>
      <w:marBottom w:val="0"/>
      <w:divBdr>
        <w:top w:val="none" w:sz="0" w:space="0" w:color="auto"/>
        <w:left w:val="none" w:sz="0" w:space="0" w:color="auto"/>
        <w:bottom w:val="none" w:sz="0" w:space="0" w:color="auto"/>
        <w:right w:val="none" w:sz="0" w:space="0" w:color="auto"/>
      </w:divBdr>
    </w:div>
    <w:div w:id="2058161563">
      <w:bodyDiv w:val="1"/>
      <w:marLeft w:val="0"/>
      <w:marRight w:val="0"/>
      <w:marTop w:val="0"/>
      <w:marBottom w:val="0"/>
      <w:divBdr>
        <w:top w:val="none" w:sz="0" w:space="0" w:color="auto"/>
        <w:left w:val="none" w:sz="0" w:space="0" w:color="auto"/>
        <w:bottom w:val="none" w:sz="0" w:space="0" w:color="auto"/>
        <w:right w:val="none" w:sz="0" w:space="0" w:color="auto"/>
      </w:divBdr>
    </w:div>
    <w:div w:id="2107115865">
      <w:bodyDiv w:val="1"/>
      <w:marLeft w:val="0"/>
      <w:marRight w:val="0"/>
      <w:marTop w:val="0"/>
      <w:marBottom w:val="0"/>
      <w:divBdr>
        <w:top w:val="none" w:sz="0" w:space="0" w:color="auto"/>
        <w:left w:val="none" w:sz="0" w:space="0" w:color="auto"/>
        <w:bottom w:val="none" w:sz="0" w:space="0" w:color="auto"/>
        <w:right w:val="none" w:sz="0" w:space="0" w:color="auto"/>
      </w:divBdr>
    </w:div>
    <w:div w:id="2138797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4.xml"/><Relationship Id="rId299" Type="http://schemas.openxmlformats.org/officeDocument/2006/relationships/image" Target="media/image199.png"/><Relationship Id="rId21" Type="http://schemas.openxmlformats.org/officeDocument/2006/relationships/header" Target="header4.xml"/><Relationship Id="rId63" Type="http://schemas.openxmlformats.org/officeDocument/2006/relationships/diagramQuickStyle" Target="diagrams/quickStyle3.xml"/><Relationship Id="rId159" Type="http://schemas.openxmlformats.org/officeDocument/2006/relationships/image" Target="media/image95.png"/><Relationship Id="rId324" Type="http://schemas.openxmlformats.org/officeDocument/2006/relationships/chart" Target="charts/chart40.xml"/><Relationship Id="rId366" Type="http://schemas.openxmlformats.org/officeDocument/2006/relationships/image" Target="media/image241.png"/><Relationship Id="rId170" Type="http://schemas.openxmlformats.org/officeDocument/2006/relationships/footer" Target="footer10.xml"/><Relationship Id="rId226" Type="http://schemas.openxmlformats.org/officeDocument/2006/relationships/image" Target="media/image150.jpeg"/><Relationship Id="rId268" Type="http://schemas.openxmlformats.org/officeDocument/2006/relationships/image" Target="media/image183.emf"/><Relationship Id="rId32" Type="http://schemas.openxmlformats.org/officeDocument/2006/relationships/diagramLayout" Target="diagrams/layout1.xml"/><Relationship Id="rId74" Type="http://schemas.openxmlformats.org/officeDocument/2006/relationships/footer" Target="footer7.xml"/><Relationship Id="rId128" Type="http://schemas.openxmlformats.org/officeDocument/2006/relationships/image" Target="media/image64.png"/><Relationship Id="rId335" Type="http://schemas.openxmlformats.org/officeDocument/2006/relationships/header" Target="header29.xml"/><Relationship Id="rId377" Type="http://schemas.openxmlformats.org/officeDocument/2006/relationships/header" Target="header35.xml"/><Relationship Id="rId5" Type="http://schemas.openxmlformats.org/officeDocument/2006/relationships/settings" Target="settings.xml"/><Relationship Id="rId181" Type="http://schemas.openxmlformats.org/officeDocument/2006/relationships/image" Target="media/image110.jpeg"/><Relationship Id="rId237" Type="http://schemas.openxmlformats.org/officeDocument/2006/relationships/image" Target="media/image161.jpeg"/><Relationship Id="rId279" Type="http://schemas.openxmlformats.org/officeDocument/2006/relationships/image" Target="media/image188.emf"/><Relationship Id="rId43" Type="http://schemas.openxmlformats.org/officeDocument/2006/relationships/image" Target="media/image15.jpeg"/><Relationship Id="rId139" Type="http://schemas.openxmlformats.org/officeDocument/2006/relationships/image" Target="media/image75.png"/><Relationship Id="rId290" Type="http://schemas.openxmlformats.org/officeDocument/2006/relationships/image" Target="media/image191.jpeg"/><Relationship Id="rId304" Type="http://schemas.openxmlformats.org/officeDocument/2006/relationships/image" Target="media/image204.png"/><Relationship Id="rId346" Type="http://schemas.openxmlformats.org/officeDocument/2006/relationships/image" Target="media/image222.emf"/><Relationship Id="rId388" Type="http://schemas.openxmlformats.org/officeDocument/2006/relationships/theme" Target="theme/theme1.xml"/><Relationship Id="rId85" Type="http://schemas.openxmlformats.org/officeDocument/2006/relationships/image" Target="media/image37.emf"/><Relationship Id="rId150" Type="http://schemas.openxmlformats.org/officeDocument/2006/relationships/image" Target="media/image86.png"/><Relationship Id="rId192" Type="http://schemas.openxmlformats.org/officeDocument/2006/relationships/chart" Target="charts/chart16.xml"/><Relationship Id="rId206" Type="http://schemas.openxmlformats.org/officeDocument/2006/relationships/image" Target="media/image130.jpeg"/><Relationship Id="rId248" Type="http://schemas.openxmlformats.org/officeDocument/2006/relationships/image" Target="media/image172.jpeg"/><Relationship Id="rId12" Type="http://schemas.openxmlformats.org/officeDocument/2006/relationships/image" Target="media/image4.jpeg"/><Relationship Id="rId108" Type="http://schemas.openxmlformats.org/officeDocument/2006/relationships/image" Target="media/image46.emf"/><Relationship Id="rId315" Type="http://schemas.openxmlformats.org/officeDocument/2006/relationships/chart" Target="charts/chart38.xml"/><Relationship Id="rId357" Type="http://schemas.openxmlformats.org/officeDocument/2006/relationships/image" Target="media/image232.emf"/><Relationship Id="rId54" Type="http://schemas.openxmlformats.org/officeDocument/2006/relationships/image" Target="media/image23.emf"/><Relationship Id="rId96" Type="http://schemas.openxmlformats.org/officeDocument/2006/relationships/footer" Target="footer9.xml"/><Relationship Id="rId161" Type="http://schemas.openxmlformats.org/officeDocument/2006/relationships/image" Target="media/image97.png"/><Relationship Id="rId217" Type="http://schemas.openxmlformats.org/officeDocument/2006/relationships/image" Target="media/image141.jpeg"/><Relationship Id="rId259" Type="http://schemas.openxmlformats.org/officeDocument/2006/relationships/chart" Target="charts/chart20.xml"/><Relationship Id="rId23" Type="http://schemas.openxmlformats.org/officeDocument/2006/relationships/header" Target="header5.xml"/><Relationship Id="rId119" Type="http://schemas.openxmlformats.org/officeDocument/2006/relationships/image" Target="media/image55.png"/><Relationship Id="rId270" Type="http://schemas.openxmlformats.org/officeDocument/2006/relationships/chart" Target="charts/chart25.xml"/><Relationship Id="rId326" Type="http://schemas.openxmlformats.org/officeDocument/2006/relationships/chart" Target="charts/chart42.xml"/><Relationship Id="rId65" Type="http://schemas.microsoft.com/office/2007/relationships/diagramDrawing" Target="diagrams/drawing3.xml"/><Relationship Id="rId130" Type="http://schemas.openxmlformats.org/officeDocument/2006/relationships/image" Target="media/image66.png"/><Relationship Id="rId368" Type="http://schemas.openxmlformats.org/officeDocument/2006/relationships/hyperlink" Target="http://roadpricing.gw-world.com/en/RoadPricingAustria.aspx" TargetMode="External"/><Relationship Id="rId172" Type="http://schemas.openxmlformats.org/officeDocument/2006/relationships/hyperlink" Target="http://ec.europa.eu/transport/facts-fundings/statistics/pocketbook-2013_en.htm" TargetMode="External"/><Relationship Id="rId228" Type="http://schemas.openxmlformats.org/officeDocument/2006/relationships/image" Target="media/image152.jpeg"/><Relationship Id="rId281" Type="http://schemas.openxmlformats.org/officeDocument/2006/relationships/image" Target="media/image189.emf"/><Relationship Id="rId337" Type="http://schemas.openxmlformats.org/officeDocument/2006/relationships/header" Target="header30.xml"/><Relationship Id="rId34" Type="http://schemas.openxmlformats.org/officeDocument/2006/relationships/diagramColors" Target="diagrams/colors1.xml"/><Relationship Id="rId76" Type="http://schemas.openxmlformats.org/officeDocument/2006/relationships/hyperlink" Target="http://eur-lex.europa.eu/LexUriServ/LexUriServ.do?uri=CELEX:32008L0056:RO:NOT" TargetMode="External"/><Relationship Id="rId141" Type="http://schemas.openxmlformats.org/officeDocument/2006/relationships/image" Target="media/image77.png"/><Relationship Id="rId379" Type="http://schemas.openxmlformats.org/officeDocument/2006/relationships/footer" Target="footer16.xml"/><Relationship Id="rId7" Type="http://schemas.openxmlformats.org/officeDocument/2006/relationships/footnotes" Target="footnotes.xml"/><Relationship Id="rId183" Type="http://schemas.openxmlformats.org/officeDocument/2006/relationships/image" Target="media/image112.png"/><Relationship Id="rId239" Type="http://schemas.openxmlformats.org/officeDocument/2006/relationships/image" Target="media/image163.jpeg"/><Relationship Id="rId250" Type="http://schemas.openxmlformats.org/officeDocument/2006/relationships/image" Target="media/image174.jpeg"/><Relationship Id="rId292" Type="http://schemas.openxmlformats.org/officeDocument/2006/relationships/chart" Target="charts/chart36.xml"/><Relationship Id="rId306" Type="http://schemas.openxmlformats.org/officeDocument/2006/relationships/header" Target="header25.xml"/><Relationship Id="rId45" Type="http://schemas.openxmlformats.org/officeDocument/2006/relationships/image" Target="media/image17.jpeg"/><Relationship Id="rId87" Type="http://schemas.openxmlformats.org/officeDocument/2006/relationships/image" Target="media/image39.png"/><Relationship Id="rId110" Type="http://schemas.openxmlformats.org/officeDocument/2006/relationships/image" Target="media/image48.emf"/><Relationship Id="rId348" Type="http://schemas.openxmlformats.org/officeDocument/2006/relationships/image" Target="media/image224.emf"/><Relationship Id="rId152" Type="http://schemas.openxmlformats.org/officeDocument/2006/relationships/image" Target="media/image88.png"/><Relationship Id="rId194" Type="http://schemas.openxmlformats.org/officeDocument/2006/relationships/image" Target="media/image121.png"/><Relationship Id="rId208" Type="http://schemas.openxmlformats.org/officeDocument/2006/relationships/image" Target="media/image132.jpeg"/><Relationship Id="rId261" Type="http://schemas.openxmlformats.org/officeDocument/2006/relationships/chart" Target="charts/chart22.xml"/><Relationship Id="rId14" Type="http://schemas.openxmlformats.org/officeDocument/2006/relationships/header" Target="header2.xml"/><Relationship Id="rId56" Type="http://schemas.openxmlformats.org/officeDocument/2006/relationships/chart" Target="charts/chart2.xml"/><Relationship Id="rId317" Type="http://schemas.openxmlformats.org/officeDocument/2006/relationships/image" Target="media/image211.png"/><Relationship Id="rId359" Type="http://schemas.openxmlformats.org/officeDocument/2006/relationships/image" Target="media/image234.emf"/><Relationship Id="rId98" Type="http://schemas.openxmlformats.org/officeDocument/2006/relationships/chart" Target="charts/chart7.xml"/><Relationship Id="rId121" Type="http://schemas.openxmlformats.org/officeDocument/2006/relationships/image" Target="media/image57.png"/><Relationship Id="rId163" Type="http://schemas.openxmlformats.org/officeDocument/2006/relationships/image" Target="media/image99.png"/><Relationship Id="rId219" Type="http://schemas.openxmlformats.org/officeDocument/2006/relationships/image" Target="media/image143.jpeg"/><Relationship Id="rId370" Type="http://schemas.openxmlformats.org/officeDocument/2006/relationships/hyperlink" Target="http://www.ages.de/en/hgv-toll-germany-tariffs.html" TargetMode="External"/><Relationship Id="rId230" Type="http://schemas.openxmlformats.org/officeDocument/2006/relationships/image" Target="media/image154.jpeg"/><Relationship Id="rId25" Type="http://schemas.openxmlformats.org/officeDocument/2006/relationships/header" Target="header7.xml"/><Relationship Id="rId67" Type="http://schemas.openxmlformats.org/officeDocument/2006/relationships/image" Target="media/image30.png"/><Relationship Id="rId272" Type="http://schemas.openxmlformats.org/officeDocument/2006/relationships/chart" Target="charts/chart27.xml"/><Relationship Id="rId328" Type="http://schemas.openxmlformats.org/officeDocument/2006/relationships/chart" Target="charts/chart44.xml"/><Relationship Id="rId132" Type="http://schemas.openxmlformats.org/officeDocument/2006/relationships/image" Target="media/image68.png"/><Relationship Id="rId174" Type="http://schemas.openxmlformats.org/officeDocument/2006/relationships/image" Target="media/image106.jpeg"/><Relationship Id="rId381" Type="http://schemas.openxmlformats.org/officeDocument/2006/relationships/image" Target="media/image248.emf"/><Relationship Id="rId241" Type="http://schemas.openxmlformats.org/officeDocument/2006/relationships/image" Target="media/image165.jpeg"/><Relationship Id="rId36" Type="http://schemas.openxmlformats.org/officeDocument/2006/relationships/diagramData" Target="diagrams/data2.xml"/><Relationship Id="rId283" Type="http://schemas.openxmlformats.org/officeDocument/2006/relationships/chart" Target="charts/chart33.xml"/><Relationship Id="rId339" Type="http://schemas.openxmlformats.org/officeDocument/2006/relationships/header" Target="header31.xml"/><Relationship Id="rId78" Type="http://schemas.openxmlformats.org/officeDocument/2006/relationships/hyperlink" Target="file:///C:\Users\constantins\AppData\Local\Microsoft\Windows\Temporary%20Internet%20Files\Content.Outlook\AppData\Roaming\Microsoft\sintact%203.0\cache\Legislatie\temp70798\00059296.htm" TargetMode="External"/><Relationship Id="rId101" Type="http://schemas.openxmlformats.org/officeDocument/2006/relationships/chart" Target="charts/chart8.xml"/><Relationship Id="rId143" Type="http://schemas.openxmlformats.org/officeDocument/2006/relationships/image" Target="media/image79.png"/><Relationship Id="rId185" Type="http://schemas.openxmlformats.org/officeDocument/2006/relationships/image" Target="media/image114.emf"/><Relationship Id="rId350" Type="http://schemas.openxmlformats.org/officeDocument/2006/relationships/image" Target="media/image226.emf"/><Relationship Id="rId9" Type="http://schemas.openxmlformats.org/officeDocument/2006/relationships/image" Target="media/image1.jpeg"/><Relationship Id="rId210" Type="http://schemas.openxmlformats.org/officeDocument/2006/relationships/image" Target="media/image134.jpeg"/><Relationship Id="rId252" Type="http://schemas.openxmlformats.org/officeDocument/2006/relationships/image" Target="media/image176.jpeg"/><Relationship Id="rId294" Type="http://schemas.openxmlformats.org/officeDocument/2006/relationships/image" Target="media/image194.png"/><Relationship Id="rId308" Type="http://schemas.openxmlformats.org/officeDocument/2006/relationships/footer" Target="footer13.xml"/><Relationship Id="rId47" Type="http://schemas.openxmlformats.org/officeDocument/2006/relationships/image" Target="media/image19.jpeg"/><Relationship Id="rId68" Type="http://schemas.openxmlformats.org/officeDocument/2006/relationships/image" Target="media/image31.png"/><Relationship Id="rId89" Type="http://schemas.openxmlformats.org/officeDocument/2006/relationships/image" Target="media/image40.png"/><Relationship Id="rId112" Type="http://schemas.openxmlformats.org/officeDocument/2006/relationships/image" Target="media/image49.emf"/><Relationship Id="rId133" Type="http://schemas.openxmlformats.org/officeDocument/2006/relationships/image" Target="media/image69.png"/><Relationship Id="rId154" Type="http://schemas.openxmlformats.org/officeDocument/2006/relationships/image" Target="media/image90.png"/><Relationship Id="rId175" Type="http://schemas.openxmlformats.org/officeDocument/2006/relationships/image" Target="media/image107.png"/><Relationship Id="rId340" Type="http://schemas.openxmlformats.org/officeDocument/2006/relationships/header" Target="header32.xml"/><Relationship Id="rId361" Type="http://schemas.openxmlformats.org/officeDocument/2006/relationships/image" Target="media/image236.emf"/><Relationship Id="rId196" Type="http://schemas.openxmlformats.org/officeDocument/2006/relationships/image" Target="media/image122.emf"/><Relationship Id="rId200" Type="http://schemas.openxmlformats.org/officeDocument/2006/relationships/chart" Target="charts/chart18.xml"/><Relationship Id="rId382" Type="http://schemas.openxmlformats.org/officeDocument/2006/relationships/image" Target="media/image249.jpeg"/><Relationship Id="rId16" Type="http://schemas.openxmlformats.org/officeDocument/2006/relationships/footer" Target="footer2.xml"/><Relationship Id="rId221" Type="http://schemas.openxmlformats.org/officeDocument/2006/relationships/image" Target="media/image145.jpeg"/><Relationship Id="rId242" Type="http://schemas.openxmlformats.org/officeDocument/2006/relationships/image" Target="media/image166.jpeg"/><Relationship Id="rId263" Type="http://schemas.openxmlformats.org/officeDocument/2006/relationships/image" Target="media/image179.jpeg"/><Relationship Id="rId284" Type="http://schemas.openxmlformats.org/officeDocument/2006/relationships/chart" Target="charts/chart34.xml"/><Relationship Id="rId319" Type="http://schemas.openxmlformats.org/officeDocument/2006/relationships/image" Target="media/image213.png"/><Relationship Id="rId37" Type="http://schemas.openxmlformats.org/officeDocument/2006/relationships/diagramLayout" Target="diagrams/layout2.xml"/><Relationship Id="rId58" Type="http://schemas.openxmlformats.org/officeDocument/2006/relationships/image" Target="media/image26.png"/><Relationship Id="rId79" Type="http://schemas.openxmlformats.org/officeDocument/2006/relationships/chart" Target="charts/chart3.xml"/><Relationship Id="rId102" Type="http://schemas.openxmlformats.org/officeDocument/2006/relationships/chart" Target="charts/chart9.xml"/><Relationship Id="rId123" Type="http://schemas.openxmlformats.org/officeDocument/2006/relationships/image" Target="media/image59.png"/><Relationship Id="rId144" Type="http://schemas.openxmlformats.org/officeDocument/2006/relationships/image" Target="media/image80.png"/><Relationship Id="rId330" Type="http://schemas.openxmlformats.org/officeDocument/2006/relationships/chart" Target="charts/chart46.xml"/><Relationship Id="rId90" Type="http://schemas.openxmlformats.org/officeDocument/2006/relationships/image" Target="media/image41.png"/><Relationship Id="rId165" Type="http://schemas.openxmlformats.org/officeDocument/2006/relationships/image" Target="media/image101.png"/><Relationship Id="rId186" Type="http://schemas.openxmlformats.org/officeDocument/2006/relationships/image" Target="media/image115.jpeg"/><Relationship Id="rId351" Type="http://schemas.openxmlformats.org/officeDocument/2006/relationships/image" Target="media/image227.emf"/><Relationship Id="rId372" Type="http://schemas.openxmlformats.org/officeDocument/2006/relationships/package" Target="embeddings/Microsoft_Excel_Worksheet6.xlsx"/><Relationship Id="rId211" Type="http://schemas.openxmlformats.org/officeDocument/2006/relationships/image" Target="media/image135.jpeg"/><Relationship Id="rId232" Type="http://schemas.openxmlformats.org/officeDocument/2006/relationships/image" Target="media/image156.jpeg"/><Relationship Id="rId253" Type="http://schemas.openxmlformats.org/officeDocument/2006/relationships/image" Target="media/image177.jpeg"/><Relationship Id="rId274" Type="http://schemas.openxmlformats.org/officeDocument/2006/relationships/chart" Target="charts/chart28.xml"/><Relationship Id="rId295" Type="http://schemas.openxmlformats.org/officeDocument/2006/relationships/image" Target="media/image195.png"/><Relationship Id="rId309" Type="http://schemas.openxmlformats.org/officeDocument/2006/relationships/image" Target="media/image206.jpeg"/><Relationship Id="rId27" Type="http://schemas.openxmlformats.org/officeDocument/2006/relationships/footer" Target="footer5.xml"/><Relationship Id="rId48" Type="http://schemas.openxmlformats.org/officeDocument/2006/relationships/header" Target="header11.xml"/><Relationship Id="rId69" Type="http://schemas.openxmlformats.org/officeDocument/2006/relationships/image" Target="media/image32.png"/><Relationship Id="rId113" Type="http://schemas.openxmlformats.org/officeDocument/2006/relationships/image" Target="media/image50.emf"/><Relationship Id="rId134" Type="http://schemas.openxmlformats.org/officeDocument/2006/relationships/image" Target="media/image70.png"/><Relationship Id="rId320" Type="http://schemas.openxmlformats.org/officeDocument/2006/relationships/image" Target="media/image214.tiff"/><Relationship Id="rId80" Type="http://schemas.openxmlformats.org/officeDocument/2006/relationships/chart" Target="charts/chart4.xml"/><Relationship Id="rId155" Type="http://schemas.openxmlformats.org/officeDocument/2006/relationships/image" Target="media/image91.png"/><Relationship Id="rId176" Type="http://schemas.openxmlformats.org/officeDocument/2006/relationships/image" Target="media/image108.png"/><Relationship Id="rId197" Type="http://schemas.openxmlformats.org/officeDocument/2006/relationships/image" Target="media/image123.jpeg"/><Relationship Id="rId341" Type="http://schemas.openxmlformats.org/officeDocument/2006/relationships/footer" Target="footer15.xml"/><Relationship Id="rId362" Type="http://schemas.openxmlformats.org/officeDocument/2006/relationships/image" Target="media/image237.emf"/><Relationship Id="rId383" Type="http://schemas.openxmlformats.org/officeDocument/2006/relationships/image" Target="media/image250.jpeg"/><Relationship Id="rId201" Type="http://schemas.openxmlformats.org/officeDocument/2006/relationships/header" Target="header20.xml"/><Relationship Id="rId222" Type="http://schemas.openxmlformats.org/officeDocument/2006/relationships/image" Target="media/image146.jpeg"/><Relationship Id="rId243" Type="http://schemas.openxmlformats.org/officeDocument/2006/relationships/image" Target="media/image167.jpeg"/><Relationship Id="rId264" Type="http://schemas.openxmlformats.org/officeDocument/2006/relationships/image" Target="media/image180.jpeg"/><Relationship Id="rId285" Type="http://schemas.openxmlformats.org/officeDocument/2006/relationships/header" Target="header23.xml"/><Relationship Id="rId17" Type="http://schemas.openxmlformats.org/officeDocument/2006/relationships/header" Target="header3.xml"/><Relationship Id="rId38" Type="http://schemas.openxmlformats.org/officeDocument/2006/relationships/diagramQuickStyle" Target="diagrams/quickStyle2.xml"/><Relationship Id="rId59" Type="http://schemas.openxmlformats.org/officeDocument/2006/relationships/image" Target="media/image27.png"/><Relationship Id="rId103" Type="http://schemas.openxmlformats.org/officeDocument/2006/relationships/chart" Target="charts/chart10.xml"/><Relationship Id="rId124" Type="http://schemas.openxmlformats.org/officeDocument/2006/relationships/image" Target="media/image60.png"/><Relationship Id="rId310" Type="http://schemas.openxmlformats.org/officeDocument/2006/relationships/image" Target="media/image207.jpeg"/><Relationship Id="rId70" Type="http://schemas.openxmlformats.org/officeDocument/2006/relationships/image" Target="media/image33.png"/><Relationship Id="rId91" Type="http://schemas.openxmlformats.org/officeDocument/2006/relationships/image" Target="media/image42.jpeg"/><Relationship Id="rId145" Type="http://schemas.openxmlformats.org/officeDocument/2006/relationships/image" Target="media/image81.png"/><Relationship Id="rId166" Type="http://schemas.openxmlformats.org/officeDocument/2006/relationships/image" Target="media/image102.png"/><Relationship Id="rId187" Type="http://schemas.openxmlformats.org/officeDocument/2006/relationships/image" Target="media/image116.png"/><Relationship Id="rId331" Type="http://schemas.openxmlformats.org/officeDocument/2006/relationships/chart" Target="charts/chart47.xml"/><Relationship Id="rId352" Type="http://schemas.openxmlformats.org/officeDocument/2006/relationships/image" Target="media/image228.emf"/><Relationship Id="rId373" Type="http://schemas.openxmlformats.org/officeDocument/2006/relationships/image" Target="media/image244.png"/><Relationship Id="rId1" Type="http://schemas.openxmlformats.org/officeDocument/2006/relationships/customXml" Target="../customXml/item1.xml"/><Relationship Id="rId212" Type="http://schemas.openxmlformats.org/officeDocument/2006/relationships/image" Target="media/image136.jpeg"/><Relationship Id="rId233" Type="http://schemas.openxmlformats.org/officeDocument/2006/relationships/image" Target="media/image157.jpeg"/><Relationship Id="rId254" Type="http://schemas.openxmlformats.org/officeDocument/2006/relationships/image" Target="media/image178.jpeg"/><Relationship Id="rId28" Type="http://schemas.openxmlformats.org/officeDocument/2006/relationships/header" Target="header9.xml"/><Relationship Id="rId49" Type="http://schemas.openxmlformats.org/officeDocument/2006/relationships/chart" Target="charts/chart1.xml"/><Relationship Id="rId114" Type="http://schemas.openxmlformats.org/officeDocument/2006/relationships/image" Target="media/image51.jpeg"/><Relationship Id="rId275" Type="http://schemas.openxmlformats.org/officeDocument/2006/relationships/chart" Target="charts/chart29.xml"/><Relationship Id="rId296" Type="http://schemas.openxmlformats.org/officeDocument/2006/relationships/image" Target="media/image196.png"/><Relationship Id="rId300" Type="http://schemas.openxmlformats.org/officeDocument/2006/relationships/image" Target="media/image200.png"/><Relationship Id="rId60" Type="http://schemas.openxmlformats.org/officeDocument/2006/relationships/image" Target="media/image28.png"/><Relationship Id="rId81" Type="http://schemas.openxmlformats.org/officeDocument/2006/relationships/chart" Target="charts/chart5.xml"/><Relationship Id="rId135" Type="http://schemas.openxmlformats.org/officeDocument/2006/relationships/image" Target="media/image71.png"/><Relationship Id="rId156" Type="http://schemas.openxmlformats.org/officeDocument/2006/relationships/image" Target="media/image92.png"/><Relationship Id="rId177" Type="http://schemas.openxmlformats.org/officeDocument/2006/relationships/image" Target="media/image109.emf"/><Relationship Id="rId198" Type="http://schemas.openxmlformats.org/officeDocument/2006/relationships/image" Target="media/image124.jpeg"/><Relationship Id="rId321" Type="http://schemas.openxmlformats.org/officeDocument/2006/relationships/image" Target="media/image215.jpeg"/><Relationship Id="rId342" Type="http://schemas.openxmlformats.org/officeDocument/2006/relationships/image" Target="media/image219.png"/><Relationship Id="rId363" Type="http://schemas.openxmlformats.org/officeDocument/2006/relationships/image" Target="media/image238.emf"/><Relationship Id="rId384" Type="http://schemas.openxmlformats.org/officeDocument/2006/relationships/header" Target="header38.xml"/><Relationship Id="rId202" Type="http://schemas.openxmlformats.org/officeDocument/2006/relationships/image" Target="media/image126.jpeg"/><Relationship Id="rId223" Type="http://schemas.openxmlformats.org/officeDocument/2006/relationships/image" Target="media/image147.jpeg"/><Relationship Id="rId244" Type="http://schemas.openxmlformats.org/officeDocument/2006/relationships/image" Target="media/image168.jpeg"/><Relationship Id="rId18" Type="http://schemas.openxmlformats.org/officeDocument/2006/relationships/footer" Target="footer3.xml"/><Relationship Id="rId39" Type="http://schemas.openxmlformats.org/officeDocument/2006/relationships/diagramColors" Target="diagrams/colors2.xml"/><Relationship Id="rId265" Type="http://schemas.openxmlformats.org/officeDocument/2006/relationships/image" Target="media/image181.png"/><Relationship Id="rId286" Type="http://schemas.openxmlformats.org/officeDocument/2006/relationships/header" Target="header24.xml"/><Relationship Id="rId50" Type="http://schemas.openxmlformats.org/officeDocument/2006/relationships/image" Target="media/image20.emf"/><Relationship Id="rId104" Type="http://schemas.openxmlformats.org/officeDocument/2006/relationships/chart" Target="charts/chart11.xml"/><Relationship Id="rId125" Type="http://schemas.openxmlformats.org/officeDocument/2006/relationships/image" Target="media/image61.png"/><Relationship Id="rId146" Type="http://schemas.openxmlformats.org/officeDocument/2006/relationships/image" Target="media/image82.png"/><Relationship Id="rId167" Type="http://schemas.openxmlformats.org/officeDocument/2006/relationships/image" Target="media/image103.png"/><Relationship Id="rId188" Type="http://schemas.openxmlformats.org/officeDocument/2006/relationships/image" Target="media/image117.png"/><Relationship Id="rId311" Type="http://schemas.openxmlformats.org/officeDocument/2006/relationships/header" Target="header27.xml"/><Relationship Id="rId332" Type="http://schemas.openxmlformats.org/officeDocument/2006/relationships/image" Target="media/image217.jpeg"/><Relationship Id="rId353" Type="http://schemas.openxmlformats.org/officeDocument/2006/relationships/image" Target="media/image229.emf"/><Relationship Id="rId374" Type="http://schemas.openxmlformats.org/officeDocument/2006/relationships/image" Target="media/image245.png"/><Relationship Id="rId71" Type="http://schemas.openxmlformats.org/officeDocument/2006/relationships/image" Target="media/image34.png"/><Relationship Id="rId92" Type="http://schemas.openxmlformats.org/officeDocument/2006/relationships/header" Target="header13.xml"/><Relationship Id="rId213" Type="http://schemas.openxmlformats.org/officeDocument/2006/relationships/image" Target="media/image137.jpeg"/><Relationship Id="rId234" Type="http://schemas.openxmlformats.org/officeDocument/2006/relationships/image" Target="media/image158.jpeg"/><Relationship Id="rId2" Type="http://schemas.openxmlformats.org/officeDocument/2006/relationships/numbering" Target="numbering.xml"/><Relationship Id="rId29" Type="http://schemas.openxmlformats.org/officeDocument/2006/relationships/header" Target="header10.xml"/><Relationship Id="rId255" Type="http://schemas.openxmlformats.org/officeDocument/2006/relationships/header" Target="header21.xml"/><Relationship Id="rId276" Type="http://schemas.openxmlformats.org/officeDocument/2006/relationships/image" Target="media/image186.emf"/><Relationship Id="rId297" Type="http://schemas.openxmlformats.org/officeDocument/2006/relationships/image" Target="media/image197.png"/><Relationship Id="rId40" Type="http://schemas.microsoft.com/office/2007/relationships/diagramDrawing" Target="diagrams/drawing2.xml"/><Relationship Id="rId115" Type="http://schemas.openxmlformats.org/officeDocument/2006/relationships/image" Target="media/image52.jpeg"/><Relationship Id="rId136" Type="http://schemas.openxmlformats.org/officeDocument/2006/relationships/image" Target="media/image72.png"/><Relationship Id="rId157" Type="http://schemas.openxmlformats.org/officeDocument/2006/relationships/image" Target="media/image93.png"/><Relationship Id="rId178" Type="http://schemas.openxmlformats.org/officeDocument/2006/relationships/hyperlink" Target="http://www.insse.ro/cms/files/publicatii/Romania%20in%20cifre%202013_ro.pdf" TargetMode="External"/><Relationship Id="rId301" Type="http://schemas.openxmlformats.org/officeDocument/2006/relationships/image" Target="media/image201.png"/><Relationship Id="rId322" Type="http://schemas.openxmlformats.org/officeDocument/2006/relationships/image" Target="media/image216.jpeg"/><Relationship Id="rId343" Type="http://schemas.openxmlformats.org/officeDocument/2006/relationships/image" Target="media/image220.png"/><Relationship Id="rId364" Type="http://schemas.openxmlformats.org/officeDocument/2006/relationships/image" Target="media/image239.emf"/><Relationship Id="rId61" Type="http://schemas.openxmlformats.org/officeDocument/2006/relationships/diagramData" Target="diagrams/data3.xml"/><Relationship Id="rId82" Type="http://schemas.openxmlformats.org/officeDocument/2006/relationships/image" Target="media/image35.emf"/><Relationship Id="rId199" Type="http://schemas.openxmlformats.org/officeDocument/2006/relationships/image" Target="media/image125.jpeg"/><Relationship Id="rId203" Type="http://schemas.openxmlformats.org/officeDocument/2006/relationships/image" Target="media/image127.jpeg"/><Relationship Id="rId385" Type="http://schemas.openxmlformats.org/officeDocument/2006/relationships/image" Target="media/image251.png"/><Relationship Id="rId19" Type="http://schemas.openxmlformats.org/officeDocument/2006/relationships/image" Target="media/image10.png"/><Relationship Id="rId224" Type="http://schemas.openxmlformats.org/officeDocument/2006/relationships/image" Target="media/image148.jpeg"/><Relationship Id="rId245" Type="http://schemas.openxmlformats.org/officeDocument/2006/relationships/image" Target="media/image169.jpeg"/><Relationship Id="rId266" Type="http://schemas.openxmlformats.org/officeDocument/2006/relationships/image" Target="media/image182.png"/><Relationship Id="rId287" Type="http://schemas.openxmlformats.org/officeDocument/2006/relationships/footer" Target="footer12.xml"/><Relationship Id="rId30" Type="http://schemas.openxmlformats.org/officeDocument/2006/relationships/footer" Target="footer6.xml"/><Relationship Id="rId105" Type="http://schemas.openxmlformats.org/officeDocument/2006/relationships/chart" Target="charts/chart12.xml"/><Relationship Id="rId126" Type="http://schemas.openxmlformats.org/officeDocument/2006/relationships/image" Target="media/image62.png"/><Relationship Id="rId147" Type="http://schemas.openxmlformats.org/officeDocument/2006/relationships/image" Target="media/image83.png"/><Relationship Id="rId168" Type="http://schemas.openxmlformats.org/officeDocument/2006/relationships/header" Target="header17.xml"/><Relationship Id="rId312" Type="http://schemas.openxmlformats.org/officeDocument/2006/relationships/image" Target="media/image208.jpeg"/><Relationship Id="rId333" Type="http://schemas.openxmlformats.org/officeDocument/2006/relationships/image" Target="media/image218.jpeg"/><Relationship Id="rId354" Type="http://schemas.openxmlformats.org/officeDocument/2006/relationships/header" Target="header34.xml"/><Relationship Id="rId51" Type="http://schemas.openxmlformats.org/officeDocument/2006/relationships/package" Target="embeddings/Microsoft_Word_Document1.docx"/><Relationship Id="rId72" Type="http://schemas.openxmlformats.org/officeDocument/2006/relationships/image" Target="cid:image001.png@01CFCC1D.82362C60" TargetMode="External"/><Relationship Id="rId93" Type="http://schemas.openxmlformats.org/officeDocument/2006/relationships/header" Target="header14.xml"/><Relationship Id="rId189" Type="http://schemas.openxmlformats.org/officeDocument/2006/relationships/image" Target="media/image118.jpeg"/><Relationship Id="rId375" Type="http://schemas.openxmlformats.org/officeDocument/2006/relationships/image" Target="media/image246.png"/><Relationship Id="rId3" Type="http://schemas.openxmlformats.org/officeDocument/2006/relationships/styles" Target="styles.xml"/><Relationship Id="rId214" Type="http://schemas.openxmlformats.org/officeDocument/2006/relationships/image" Target="media/image138.jpeg"/><Relationship Id="rId235" Type="http://schemas.openxmlformats.org/officeDocument/2006/relationships/image" Target="media/image159.jpeg"/><Relationship Id="rId256" Type="http://schemas.openxmlformats.org/officeDocument/2006/relationships/header" Target="header22.xml"/><Relationship Id="rId277" Type="http://schemas.openxmlformats.org/officeDocument/2006/relationships/chart" Target="charts/chart30.xml"/><Relationship Id="rId298" Type="http://schemas.openxmlformats.org/officeDocument/2006/relationships/image" Target="media/image198.png"/><Relationship Id="rId116" Type="http://schemas.openxmlformats.org/officeDocument/2006/relationships/image" Target="media/image53.jpeg"/><Relationship Id="rId137" Type="http://schemas.openxmlformats.org/officeDocument/2006/relationships/image" Target="media/image73.png"/><Relationship Id="rId158" Type="http://schemas.openxmlformats.org/officeDocument/2006/relationships/image" Target="media/image94.png"/><Relationship Id="rId302" Type="http://schemas.openxmlformats.org/officeDocument/2006/relationships/image" Target="media/image202.png"/><Relationship Id="rId323" Type="http://schemas.openxmlformats.org/officeDocument/2006/relationships/chart" Target="charts/chart39.xml"/><Relationship Id="rId344" Type="http://schemas.openxmlformats.org/officeDocument/2006/relationships/header" Target="header33.xml"/><Relationship Id="rId20" Type="http://schemas.openxmlformats.org/officeDocument/2006/relationships/image" Target="media/image11.jpeg"/><Relationship Id="rId41" Type="http://schemas.openxmlformats.org/officeDocument/2006/relationships/image" Target="media/image13.png"/><Relationship Id="rId62" Type="http://schemas.openxmlformats.org/officeDocument/2006/relationships/diagramLayout" Target="diagrams/layout3.xml"/><Relationship Id="rId83" Type="http://schemas.openxmlformats.org/officeDocument/2006/relationships/image" Target="media/image36.png"/><Relationship Id="rId179" Type="http://schemas.openxmlformats.org/officeDocument/2006/relationships/chart" Target="charts/chart15.xml"/><Relationship Id="rId365" Type="http://schemas.openxmlformats.org/officeDocument/2006/relationships/image" Target="media/image240.emf"/><Relationship Id="rId386" Type="http://schemas.openxmlformats.org/officeDocument/2006/relationships/header" Target="header39.xml"/><Relationship Id="rId190" Type="http://schemas.openxmlformats.org/officeDocument/2006/relationships/image" Target="media/image119.jpeg"/><Relationship Id="rId204" Type="http://schemas.openxmlformats.org/officeDocument/2006/relationships/image" Target="media/image128.jpeg"/><Relationship Id="rId225" Type="http://schemas.openxmlformats.org/officeDocument/2006/relationships/image" Target="media/image149.jpeg"/><Relationship Id="rId246" Type="http://schemas.openxmlformats.org/officeDocument/2006/relationships/image" Target="media/image170.jpeg"/><Relationship Id="rId267" Type="http://schemas.openxmlformats.org/officeDocument/2006/relationships/chart" Target="charts/chart24.xml"/><Relationship Id="rId288" Type="http://schemas.openxmlformats.org/officeDocument/2006/relationships/chart" Target="charts/chart35.xml"/><Relationship Id="rId106" Type="http://schemas.openxmlformats.org/officeDocument/2006/relationships/chart" Target="charts/chart13.xml"/><Relationship Id="rId127" Type="http://schemas.openxmlformats.org/officeDocument/2006/relationships/image" Target="media/image63.png"/><Relationship Id="rId313" Type="http://schemas.openxmlformats.org/officeDocument/2006/relationships/image" Target="media/image209.jpeg"/><Relationship Id="rId10" Type="http://schemas.openxmlformats.org/officeDocument/2006/relationships/image" Target="media/image2.jpeg"/><Relationship Id="rId31" Type="http://schemas.openxmlformats.org/officeDocument/2006/relationships/diagramData" Target="diagrams/data1.xml"/><Relationship Id="rId52" Type="http://schemas.openxmlformats.org/officeDocument/2006/relationships/image" Target="media/image21.emf"/><Relationship Id="rId73" Type="http://schemas.openxmlformats.org/officeDocument/2006/relationships/header" Target="header12.xml"/><Relationship Id="rId94" Type="http://schemas.openxmlformats.org/officeDocument/2006/relationships/footer" Target="footer8.xml"/><Relationship Id="rId148" Type="http://schemas.openxmlformats.org/officeDocument/2006/relationships/image" Target="media/image84.png"/><Relationship Id="rId169" Type="http://schemas.openxmlformats.org/officeDocument/2006/relationships/header" Target="header18.xml"/><Relationship Id="rId334" Type="http://schemas.openxmlformats.org/officeDocument/2006/relationships/header" Target="header28.xml"/><Relationship Id="rId355" Type="http://schemas.openxmlformats.org/officeDocument/2006/relationships/image" Target="media/image230.emf"/><Relationship Id="rId376" Type="http://schemas.openxmlformats.org/officeDocument/2006/relationships/image" Target="media/image247.png"/><Relationship Id="rId4" Type="http://schemas.microsoft.com/office/2007/relationships/stylesWithEffects" Target="stylesWithEffects.xml"/><Relationship Id="rId180" Type="http://schemas.openxmlformats.org/officeDocument/2006/relationships/hyperlink" Target="http://www.insse.ro/cms/files/publicatii/Romania%20in%20cifre%202013_ro.pdf" TargetMode="External"/><Relationship Id="rId215" Type="http://schemas.openxmlformats.org/officeDocument/2006/relationships/image" Target="media/image139.jpeg"/><Relationship Id="rId236" Type="http://schemas.openxmlformats.org/officeDocument/2006/relationships/image" Target="media/image160.jpeg"/><Relationship Id="rId257" Type="http://schemas.openxmlformats.org/officeDocument/2006/relationships/footer" Target="footer11.xml"/><Relationship Id="rId278" Type="http://schemas.openxmlformats.org/officeDocument/2006/relationships/image" Target="media/image187.png"/><Relationship Id="rId303" Type="http://schemas.openxmlformats.org/officeDocument/2006/relationships/image" Target="media/image203.png"/><Relationship Id="rId42" Type="http://schemas.openxmlformats.org/officeDocument/2006/relationships/image" Target="media/image14.jpeg"/><Relationship Id="rId84" Type="http://schemas.openxmlformats.org/officeDocument/2006/relationships/hyperlink" Target="http://ec.europa.eu/transport/facts-fundings/statistics/pocketbook-2013_en.htm" TargetMode="External"/><Relationship Id="rId138" Type="http://schemas.openxmlformats.org/officeDocument/2006/relationships/image" Target="media/image74.png"/><Relationship Id="rId345" Type="http://schemas.openxmlformats.org/officeDocument/2006/relationships/image" Target="media/image221.emf"/><Relationship Id="rId387" Type="http://schemas.openxmlformats.org/officeDocument/2006/relationships/fontTable" Target="fontTable.xml"/><Relationship Id="rId191" Type="http://schemas.openxmlformats.org/officeDocument/2006/relationships/image" Target="media/image120.jpeg"/><Relationship Id="rId205" Type="http://schemas.openxmlformats.org/officeDocument/2006/relationships/image" Target="media/image129.jpeg"/><Relationship Id="rId247" Type="http://schemas.openxmlformats.org/officeDocument/2006/relationships/image" Target="media/image171.jpeg"/><Relationship Id="rId107" Type="http://schemas.openxmlformats.org/officeDocument/2006/relationships/image" Target="media/image45.emf"/><Relationship Id="rId289" Type="http://schemas.openxmlformats.org/officeDocument/2006/relationships/image" Target="media/image190.jpeg"/><Relationship Id="rId11" Type="http://schemas.openxmlformats.org/officeDocument/2006/relationships/image" Target="media/image3.jpeg"/><Relationship Id="rId53" Type="http://schemas.openxmlformats.org/officeDocument/2006/relationships/image" Target="media/image22.emf"/><Relationship Id="rId149" Type="http://schemas.openxmlformats.org/officeDocument/2006/relationships/image" Target="media/image85.png"/><Relationship Id="rId314" Type="http://schemas.openxmlformats.org/officeDocument/2006/relationships/chart" Target="charts/chart37.xml"/><Relationship Id="rId356" Type="http://schemas.openxmlformats.org/officeDocument/2006/relationships/image" Target="media/image231.emf"/><Relationship Id="rId95" Type="http://schemas.openxmlformats.org/officeDocument/2006/relationships/header" Target="header15.xml"/><Relationship Id="rId160" Type="http://schemas.openxmlformats.org/officeDocument/2006/relationships/image" Target="media/image96.png"/><Relationship Id="rId216" Type="http://schemas.openxmlformats.org/officeDocument/2006/relationships/image" Target="media/image140.jpeg"/><Relationship Id="rId258" Type="http://schemas.openxmlformats.org/officeDocument/2006/relationships/chart" Target="charts/chart19.xml"/><Relationship Id="rId22" Type="http://schemas.openxmlformats.org/officeDocument/2006/relationships/footer" Target="footer4.xml"/><Relationship Id="rId64" Type="http://schemas.openxmlformats.org/officeDocument/2006/relationships/diagramColors" Target="diagrams/colors3.xml"/><Relationship Id="rId118" Type="http://schemas.openxmlformats.org/officeDocument/2006/relationships/image" Target="media/image54.png"/><Relationship Id="rId325" Type="http://schemas.openxmlformats.org/officeDocument/2006/relationships/chart" Target="charts/chart41.xml"/><Relationship Id="rId367" Type="http://schemas.openxmlformats.org/officeDocument/2006/relationships/image" Target="media/image242.png"/><Relationship Id="rId171" Type="http://schemas.openxmlformats.org/officeDocument/2006/relationships/image" Target="media/image104.png"/><Relationship Id="rId227" Type="http://schemas.openxmlformats.org/officeDocument/2006/relationships/image" Target="media/image151.jpeg"/><Relationship Id="rId269" Type="http://schemas.openxmlformats.org/officeDocument/2006/relationships/image" Target="media/image184.emf"/><Relationship Id="rId33" Type="http://schemas.openxmlformats.org/officeDocument/2006/relationships/diagramQuickStyle" Target="diagrams/quickStyle1.xml"/><Relationship Id="rId129" Type="http://schemas.openxmlformats.org/officeDocument/2006/relationships/image" Target="media/image65.png"/><Relationship Id="rId280" Type="http://schemas.openxmlformats.org/officeDocument/2006/relationships/chart" Target="charts/chart31.xml"/><Relationship Id="rId336" Type="http://schemas.openxmlformats.org/officeDocument/2006/relationships/footer" Target="footer14.xml"/><Relationship Id="rId75" Type="http://schemas.openxmlformats.org/officeDocument/2006/relationships/hyperlink" Target="file:///C:\Users\constantins\AppData\Local\Microsoft\Windows\Temporary%20Internet%20Files\Content.Outlook\AppData\Roaming\Microsoft\Sintact%202.0\cache\Legislatie\temp\00064320.htm" TargetMode="External"/><Relationship Id="rId140" Type="http://schemas.openxmlformats.org/officeDocument/2006/relationships/image" Target="media/image76.png"/><Relationship Id="rId182" Type="http://schemas.openxmlformats.org/officeDocument/2006/relationships/image" Target="media/image111.jpeg"/><Relationship Id="rId378" Type="http://schemas.openxmlformats.org/officeDocument/2006/relationships/header" Target="header36.xml"/><Relationship Id="rId6" Type="http://schemas.openxmlformats.org/officeDocument/2006/relationships/webSettings" Target="webSettings.xml"/><Relationship Id="rId238" Type="http://schemas.openxmlformats.org/officeDocument/2006/relationships/image" Target="media/image162.jpeg"/><Relationship Id="rId291" Type="http://schemas.openxmlformats.org/officeDocument/2006/relationships/image" Target="media/image192.jpeg"/><Relationship Id="rId305" Type="http://schemas.openxmlformats.org/officeDocument/2006/relationships/image" Target="media/image205.png"/><Relationship Id="rId347" Type="http://schemas.openxmlformats.org/officeDocument/2006/relationships/image" Target="media/image223.emf"/><Relationship Id="rId44" Type="http://schemas.openxmlformats.org/officeDocument/2006/relationships/image" Target="media/image16.png"/><Relationship Id="rId86" Type="http://schemas.openxmlformats.org/officeDocument/2006/relationships/image" Target="media/image38.png"/><Relationship Id="rId151" Type="http://schemas.openxmlformats.org/officeDocument/2006/relationships/image" Target="media/image87.png"/><Relationship Id="rId193" Type="http://schemas.openxmlformats.org/officeDocument/2006/relationships/chart" Target="charts/chart17.xml"/><Relationship Id="rId207" Type="http://schemas.openxmlformats.org/officeDocument/2006/relationships/image" Target="media/image131.jpeg"/><Relationship Id="rId249" Type="http://schemas.openxmlformats.org/officeDocument/2006/relationships/image" Target="media/image173.jpeg"/><Relationship Id="rId13" Type="http://schemas.openxmlformats.org/officeDocument/2006/relationships/header" Target="header1.xml"/><Relationship Id="rId109" Type="http://schemas.openxmlformats.org/officeDocument/2006/relationships/image" Target="media/image47.emf"/><Relationship Id="rId260" Type="http://schemas.openxmlformats.org/officeDocument/2006/relationships/chart" Target="charts/chart21.xml"/><Relationship Id="rId316" Type="http://schemas.openxmlformats.org/officeDocument/2006/relationships/image" Target="media/image210.png"/><Relationship Id="rId55" Type="http://schemas.openxmlformats.org/officeDocument/2006/relationships/image" Target="media/image24.emf"/><Relationship Id="rId97" Type="http://schemas.openxmlformats.org/officeDocument/2006/relationships/chart" Target="charts/chart6.xml"/><Relationship Id="rId120" Type="http://schemas.openxmlformats.org/officeDocument/2006/relationships/image" Target="media/image56.png"/><Relationship Id="rId358" Type="http://schemas.openxmlformats.org/officeDocument/2006/relationships/image" Target="media/image233.emf"/><Relationship Id="rId162" Type="http://schemas.openxmlformats.org/officeDocument/2006/relationships/image" Target="media/image98.png"/><Relationship Id="rId218" Type="http://schemas.openxmlformats.org/officeDocument/2006/relationships/image" Target="media/image142.jpeg"/><Relationship Id="rId271" Type="http://schemas.openxmlformats.org/officeDocument/2006/relationships/chart" Target="charts/chart26.xml"/><Relationship Id="rId24" Type="http://schemas.openxmlformats.org/officeDocument/2006/relationships/header" Target="header6.xml"/><Relationship Id="rId66" Type="http://schemas.openxmlformats.org/officeDocument/2006/relationships/image" Target="media/image29.png"/><Relationship Id="rId131" Type="http://schemas.openxmlformats.org/officeDocument/2006/relationships/image" Target="media/image67.png"/><Relationship Id="rId327" Type="http://schemas.openxmlformats.org/officeDocument/2006/relationships/chart" Target="charts/chart43.xml"/><Relationship Id="rId369" Type="http://schemas.openxmlformats.org/officeDocument/2006/relationships/hyperlink" Target="http://www.gddkia.gov.pl/en/1126/motorway-tolls" TargetMode="External"/><Relationship Id="rId173" Type="http://schemas.openxmlformats.org/officeDocument/2006/relationships/image" Target="media/image105.jpeg"/><Relationship Id="rId229" Type="http://schemas.openxmlformats.org/officeDocument/2006/relationships/image" Target="media/image153.jpeg"/><Relationship Id="rId380" Type="http://schemas.openxmlformats.org/officeDocument/2006/relationships/header" Target="header37.xml"/><Relationship Id="rId240" Type="http://schemas.openxmlformats.org/officeDocument/2006/relationships/image" Target="media/image164.jpeg"/><Relationship Id="rId35" Type="http://schemas.microsoft.com/office/2007/relationships/diagramDrawing" Target="diagrams/drawing1.xml"/><Relationship Id="rId77" Type="http://schemas.openxmlformats.org/officeDocument/2006/relationships/hyperlink" Target="file:///C:\Users\constantins\AppData\Local\Microsoft\Windows\Temporary%20Internet%20Files\Content.Outlook\AppData\Roaming\Microsoft\sintact%203.0\cache\Legislatie\temp70798\00059296.htm" TargetMode="External"/><Relationship Id="rId100" Type="http://schemas.openxmlformats.org/officeDocument/2006/relationships/image" Target="media/image44.png"/><Relationship Id="rId282" Type="http://schemas.openxmlformats.org/officeDocument/2006/relationships/chart" Target="charts/chart32.xml"/><Relationship Id="rId338" Type="http://schemas.openxmlformats.org/officeDocument/2006/relationships/chart" Target="charts/chart48.xml"/><Relationship Id="rId8" Type="http://schemas.openxmlformats.org/officeDocument/2006/relationships/endnotes" Target="endnotes.xml"/><Relationship Id="rId142" Type="http://schemas.openxmlformats.org/officeDocument/2006/relationships/image" Target="media/image78.png"/><Relationship Id="rId184" Type="http://schemas.openxmlformats.org/officeDocument/2006/relationships/image" Target="media/image113.jpeg"/><Relationship Id="rId251" Type="http://schemas.openxmlformats.org/officeDocument/2006/relationships/image" Target="media/image175.jpeg"/><Relationship Id="rId46" Type="http://schemas.openxmlformats.org/officeDocument/2006/relationships/image" Target="media/image18.jpeg"/><Relationship Id="rId293" Type="http://schemas.openxmlformats.org/officeDocument/2006/relationships/image" Target="media/image193.jpeg"/><Relationship Id="rId307" Type="http://schemas.openxmlformats.org/officeDocument/2006/relationships/header" Target="header26.xml"/><Relationship Id="rId349" Type="http://schemas.openxmlformats.org/officeDocument/2006/relationships/image" Target="media/image225.emf"/><Relationship Id="rId88" Type="http://schemas.openxmlformats.org/officeDocument/2006/relationships/oleObject" Target="embeddings/oleObject1.bin"/><Relationship Id="rId111" Type="http://schemas.openxmlformats.org/officeDocument/2006/relationships/header" Target="header16.xml"/><Relationship Id="rId153" Type="http://schemas.openxmlformats.org/officeDocument/2006/relationships/image" Target="media/image89.png"/><Relationship Id="rId195" Type="http://schemas.openxmlformats.org/officeDocument/2006/relationships/header" Target="header19.xml"/><Relationship Id="rId209" Type="http://schemas.openxmlformats.org/officeDocument/2006/relationships/image" Target="media/image133.jpeg"/><Relationship Id="rId360" Type="http://schemas.openxmlformats.org/officeDocument/2006/relationships/image" Target="media/image235.emf"/><Relationship Id="rId220" Type="http://schemas.openxmlformats.org/officeDocument/2006/relationships/image" Target="media/image144.jpeg"/><Relationship Id="rId15" Type="http://schemas.openxmlformats.org/officeDocument/2006/relationships/footer" Target="footer1.xml"/><Relationship Id="rId57" Type="http://schemas.openxmlformats.org/officeDocument/2006/relationships/image" Target="media/image25.png"/><Relationship Id="rId262" Type="http://schemas.openxmlformats.org/officeDocument/2006/relationships/chart" Target="charts/chart23.xml"/><Relationship Id="rId318" Type="http://schemas.openxmlformats.org/officeDocument/2006/relationships/image" Target="media/image212.png"/><Relationship Id="rId99" Type="http://schemas.openxmlformats.org/officeDocument/2006/relationships/image" Target="media/image43.png"/><Relationship Id="rId122" Type="http://schemas.openxmlformats.org/officeDocument/2006/relationships/image" Target="media/image58.png"/><Relationship Id="rId164" Type="http://schemas.openxmlformats.org/officeDocument/2006/relationships/image" Target="media/image100.png"/><Relationship Id="rId371" Type="http://schemas.openxmlformats.org/officeDocument/2006/relationships/image" Target="media/image243.emf"/><Relationship Id="rId26" Type="http://schemas.openxmlformats.org/officeDocument/2006/relationships/header" Target="header8.xml"/><Relationship Id="rId231" Type="http://schemas.openxmlformats.org/officeDocument/2006/relationships/image" Target="media/image155.jpeg"/><Relationship Id="rId273" Type="http://schemas.openxmlformats.org/officeDocument/2006/relationships/image" Target="media/image185.emf"/><Relationship Id="rId329" Type="http://schemas.openxmlformats.org/officeDocument/2006/relationships/chart" Target="charts/chart45.xml"/></Relationships>
</file>

<file path=word/_rels/footnotes.xml.rels><?xml version="1.0" encoding="UTF-8" standalone="yes"?>
<Relationships xmlns="http://schemas.openxmlformats.org/package/2006/relationships"><Relationship Id="rId1" Type="http://schemas.openxmlformats.org/officeDocument/2006/relationships/hyperlink" Target="http://www.mt.ro/nou/_img/documente/strategie_de_transport_intermodal_text.pdf"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png"/><Relationship Id="rId5" Type="http://schemas.openxmlformats.org/officeDocument/2006/relationships/image" Target="media/image9.jpeg"/><Relationship Id="rId4" Type="http://schemas.openxmlformats.org/officeDocument/2006/relationships/image" Target="media/image8.jpe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Reports\A4%20Portrait%20Report.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rian\Documents\romania\FM_Masterplan_Tables_Charts_Road%20(Autosave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Eurostat_28-2008_road%20typ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Sep-2013-Technote\Eurostat_car_ownership.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troumtsasi\Desktop\Romania%20task\FM%20Masterplan_Tables_Charts_Road_Update_201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Jan-2015\Analysis_v22_RefCasev2vsPreviousRefCase_ReportChart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Jan-2015\Jan%202015_Prioritisation_MP_v10_E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book4"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file:///C:\Users\davisonp\AppData\Local\Microsoft\Windows\Temporary%20Internet%20Files\Content.Outlook\YV9CFEDA\Rail%20Freight%20Train%20Delays%202010-2012.xls" TargetMode="External"/><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Iosif%20Szentes\Documents\prelucrare%20date%20analiza%20operativa%20media%20februarie%202013%20FONTOS.xls" TargetMode="External"/><Relationship Id="rId1" Type="http://schemas.openxmlformats.org/officeDocument/2006/relationships/themeOverride" Target="../theme/themeOverride2.xml"/></Relationships>
</file>

<file path=word/charts/_rels/chart18.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PUBLIC%20TRANSPORT\Rail\07_Reporting\Charts_theme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ublic\Documents\co_model_romani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turpinm\AppData\Local\Microsoft\Windows\Temporary%20Internet%20Files\Content.Outlook\RQJO0V1E\Analysis_v22_BaseDoNRefConstrained_Value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turpinm\AppData\Local\Microsoft\Windows\Temporary%20Internet%20Files\Content.Outlook\RQJO0V1E\Analysis_v22_BaseDoNRefConstrained_Value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turpinm\AppData\Local\Microsoft\Windows\Temporary%20Internet%20Files\Content.Outlook\RQJO0V1E\Analysis_v22_BaseDoNRefConstrained_Value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Constanta%20-%20just%20river%20freight.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Cernavoda.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Basarabi.xls"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Oltenita.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Giurgiu.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ellcdg\AppData\Local\Microsoft\Windows\Temporary%20Internet%20Files\Content.Outlook\RZ0M3FDJ\EU_Stats_Infrastructure_Comparisons_2013%20(2).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Calafat.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Drobeta.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Orsova.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odes\River\Port%20Commodity%20Flows\Moldova%20Veche.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UKMCR1FP001\UKMCR1FP001-V1TP\TMARKET\Freight\Projects\Romania%20Masterplan\Master%20Plan%20Report\Model%20Outputs%20-%20BCRs%20EIRRs\Danube%20Bucharest%20Channel%20Commodities.xls"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elsj\Documents\Romania\Forecasting\Air_demand_external_model_CBA3_120814%20updated%20apron%20stand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elsj\Documents\Romania\Forecasting\Air_demand_external_model_CBA3_120814%20updated%20apron%20stand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Brian\Documents\romania\Base_Freight_Matrice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Brian\Documents\romania\Base_Freight_Matrices.xlsx" TargetMode="External"/></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Sep-2013-Technote\Eurostat_car_ownership.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Masamvin\AppData\Local\Microsoft\Windows\Temporary%20Internet%20Files\Content.Outlook\8PT79GKI\Romania%20IM%20Terminal%20Run%20140707.xlsx" TargetMode="External"/></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2.xml.rels><?xml version="1.0" encoding="UTF-8" standalone="yes"?>
<Relationships xmlns="http://schemas.openxmlformats.org/package/2006/relationships"><Relationship Id="rId1" Type="http://schemas.openxmlformats.org/officeDocument/2006/relationships/oleObject" Target="file:///C:\Users\Masamvin\AppData\Local\Microsoft\Windows\Temporary%20Internet%20Files\Content.Outlook\8PT79GKI\Romania%20IM%20Terminal%20Run%20140707.xlsx" TargetMode="External"/></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4.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8.xml.rels><?xml version="1.0" encoding="UTF-8" standalone="yes"?>
<Relationships xmlns="http://schemas.openxmlformats.org/package/2006/relationships"><Relationship Id="rId1" Type="http://schemas.openxmlformats.org/officeDocument/2006/relationships/oleObject" Target="file:///\\ROBUH2FP001\ROBUH2FP001-VOL1\Departments\Technical\Master%20Plan\Work\03.%20REPORTS\03.M.%20FINAL%20MASTER%20PLAN\MCA_prioritisation\14%2008%2022_Prioritisation_MP_v6b_external_corrections_R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ublic\Documents\co_model_romani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INSSE_Table17-10_passenger%20transport%20by%20mode.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INSSE_Table17-10_passenger%20transport%20by%20mode.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Sep-2013-Technote\Road_stats_02-12_Condition_Life_Expired.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kmcr5fp003\ukmcr5fp003-v1tp\Projects\Transport%20Planning%20-%20Romania%20UK%20GTMP\06_Highways\Existing%20Conditions%20Report\Eurostat_28-2008_road%20typ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31252628082015804"/>
          <c:y val="2.3949124102703553E-2"/>
          <c:w val="0.6850573107390906"/>
          <c:h val="0.7253832533504877"/>
        </c:manualLayout>
      </c:layout>
      <c:bar3DChart>
        <c:barDir val="col"/>
        <c:grouping val="clustered"/>
        <c:varyColors val="0"/>
        <c:ser>
          <c:idx val="0"/>
          <c:order val="0"/>
          <c:tx>
            <c:v>Car Available</c:v>
          </c:tx>
          <c:invertIfNegative val="0"/>
          <c:cat>
            <c:strRef>
              <c:f>workshop!$AS$25:$AS$29</c:f>
              <c:strCache>
                <c:ptCount val="5"/>
                <c:pt idx="0">
                  <c:v>Car</c:v>
                </c:pt>
                <c:pt idx="1">
                  <c:v>Bus</c:v>
                </c:pt>
                <c:pt idx="2">
                  <c:v>Rail</c:v>
                </c:pt>
                <c:pt idx="3">
                  <c:v>Air</c:v>
                </c:pt>
                <c:pt idx="4">
                  <c:v>Total</c:v>
                </c:pt>
              </c:strCache>
            </c:strRef>
          </c:cat>
          <c:val>
            <c:numRef>
              <c:f>workshop!$AT$25:$AT$29</c:f>
              <c:numCache>
                <c:formatCode>General</c:formatCode>
                <c:ptCount val="5"/>
                <c:pt idx="0">
                  <c:v>2355831</c:v>
                </c:pt>
                <c:pt idx="1">
                  <c:v>180577</c:v>
                </c:pt>
                <c:pt idx="2">
                  <c:v>54689</c:v>
                </c:pt>
                <c:pt idx="3">
                  <c:v>13428</c:v>
                </c:pt>
                <c:pt idx="4">
                  <c:v>2604525</c:v>
                </c:pt>
              </c:numCache>
            </c:numRef>
          </c:val>
        </c:ser>
        <c:ser>
          <c:idx val="1"/>
          <c:order val="1"/>
          <c:tx>
            <c:v>Non Car Available</c:v>
          </c:tx>
          <c:invertIfNegative val="0"/>
          <c:cat>
            <c:strRef>
              <c:f>workshop!$AS$25:$AS$29</c:f>
              <c:strCache>
                <c:ptCount val="5"/>
                <c:pt idx="0">
                  <c:v>Car</c:v>
                </c:pt>
                <c:pt idx="1">
                  <c:v>Bus</c:v>
                </c:pt>
                <c:pt idx="2">
                  <c:v>Rail</c:v>
                </c:pt>
                <c:pt idx="3">
                  <c:v>Air</c:v>
                </c:pt>
                <c:pt idx="4">
                  <c:v>Total</c:v>
                </c:pt>
              </c:strCache>
            </c:strRef>
          </c:cat>
          <c:val>
            <c:numRef>
              <c:f>workshop!$AU$25:$AU$29</c:f>
              <c:numCache>
                <c:formatCode>General</c:formatCode>
                <c:ptCount val="5"/>
                <c:pt idx="1">
                  <c:v>409859</c:v>
                </c:pt>
                <c:pt idx="2">
                  <c:v>108347</c:v>
                </c:pt>
                <c:pt idx="3">
                  <c:v>15854</c:v>
                </c:pt>
                <c:pt idx="4">
                  <c:v>534060</c:v>
                </c:pt>
              </c:numCache>
            </c:numRef>
          </c:val>
        </c:ser>
        <c:dLbls>
          <c:showLegendKey val="0"/>
          <c:showVal val="0"/>
          <c:showCatName val="0"/>
          <c:showSerName val="0"/>
          <c:showPercent val="0"/>
          <c:showBubbleSize val="0"/>
        </c:dLbls>
        <c:gapWidth val="150"/>
        <c:shape val="box"/>
        <c:axId val="155707392"/>
        <c:axId val="77689920"/>
        <c:axId val="0"/>
      </c:bar3DChart>
      <c:catAx>
        <c:axId val="155707392"/>
        <c:scaling>
          <c:orientation val="minMax"/>
        </c:scaling>
        <c:delete val="0"/>
        <c:axPos val="b"/>
        <c:numFmt formatCode="General" sourceLinked="0"/>
        <c:majorTickMark val="out"/>
        <c:minorTickMark val="none"/>
        <c:tickLblPos val="nextTo"/>
        <c:crossAx val="77689920"/>
        <c:crosses val="autoZero"/>
        <c:auto val="1"/>
        <c:lblAlgn val="ctr"/>
        <c:lblOffset val="100"/>
        <c:noMultiLvlLbl val="0"/>
      </c:catAx>
      <c:valAx>
        <c:axId val="77689920"/>
        <c:scaling>
          <c:orientation val="minMax"/>
        </c:scaling>
        <c:delete val="0"/>
        <c:axPos val="l"/>
        <c:majorGridlines/>
        <c:numFmt formatCode="General" sourceLinked="1"/>
        <c:majorTickMark val="out"/>
        <c:minorTickMark val="none"/>
        <c:tickLblPos val="nextTo"/>
        <c:txPr>
          <a:bodyPr/>
          <a:lstStyle/>
          <a:p>
            <a:pPr>
              <a:defRPr sz="1100">
                <a:latin typeface="Arial" pitchFamily="34" charset="0"/>
                <a:cs typeface="Arial" pitchFamily="34" charset="0"/>
              </a:defRPr>
            </a:pPr>
            <a:endParaRPr lang="ro-RO"/>
          </a:p>
        </c:txPr>
        <c:crossAx val="155707392"/>
        <c:crosses val="autoZero"/>
        <c:crossBetween val="between"/>
      </c:valAx>
      <c:dTable>
        <c:showHorzBorder val="1"/>
        <c:showVertBorder val="1"/>
        <c:showOutline val="1"/>
        <c:showKeys val="1"/>
        <c:spPr>
          <a:ln>
            <a:solidFill>
              <a:sysClr val="window" lastClr="FFFFFF"/>
            </a:solidFill>
          </a:ln>
        </c:spPr>
        <c:txPr>
          <a:bodyPr/>
          <a:lstStyle/>
          <a:p>
            <a:pPr rtl="0">
              <a:defRPr sz="1100" baseline="0">
                <a:latin typeface="Arial" pitchFamily="34" charset="0"/>
                <a:cs typeface="Arial" pitchFamily="34" charset="0"/>
              </a:defRPr>
            </a:pPr>
            <a:endParaRPr lang="ro-RO"/>
          </a:p>
        </c:txPr>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Data!$K$8</c:f>
              <c:strCache>
                <c:ptCount val="1"/>
                <c:pt idx="0">
                  <c:v>Proportion of Motorways</c:v>
                </c:pt>
              </c:strCache>
            </c:strRef>
          </c:tx>
          <c:invertIfNegative val="0"/>
          <c:dPt>
            <c:idx val="16"/>
            <c:invertIfNegative val="0"/>
            <c:bubble3D val="0"/>
            <c:spPr>
              <a:solidFill>
                <a:schemeClr val="accent2"/>
              </a:solidFill>
            </c:spPr>
          </c:dPt>
          <c:dPt>
            <c:idx val="17"/>
            <c:invertIfNegative val="0"/>
            <c:bubble3D val="0"/>
            <c:spPr>
              <a:solidFill>
                <a:schemeClr val="accent1"/>
              </a:solidFill>
            </c:spPr>
          </c:dPt>
          <c:cat>
            <c:strRef>
              <c:f>Data!$D$9:$D$30</c:f>
              <c:strCache>
                <c:ptCount val="22"/>
                <c:pt idx="0">
                  <c:v>Bulgaria</c:v>
                </c:pt>
                <c:pt idx="1">
                  <c:v>Czech Republic</c:v>
                </c:pt>
                <c:pt idx="2">
                  <c:v>Denmark</c:v>
                </c:pt>
                <c:pt idx="3">
                  <c:v>Germany</c:v>
                </c:pt>
                <c:pt idx="4">
                  <c:v>Estonia</c:v>
                </c:pt>
                <c:pt idx="5">
                  <c:v>Ireland</c:v>
                </c:pt>
                <c:pt idx="6">
                  <c:v>Spain</c:v>
                </c:pt>
                <c:pt idx="7">
                  <c:v>France</c:v>
                </c:pt>
                <c:pt idx="8">
                  <c:v>Italy</c:v>
                </c:pt>
                <c:pt idx="9">
                  <c:v>Cyprus</c:v>
                </c:pt>
                <c:pt idx="10">
                  <c:v>Lithuania</c:v>
                </c:pt>
                <c:pt idx="11">
                  <c:v>Luxembourg</c:v>
                </c:pt>
                <c:pt idx="12">
                  <c:v>Hungary</c:v>
                </c:pt>
                <c:pt idx="13">
                  <c:v>Netherlands</c:v>
                </c:pt>
                <c:pt idx="14">
                  <c:v>Austria</c:v>
                </c:pt>
                <c:pt idx="15">
                  <c:v>Poland</c:v>
                </c:pt>
                <c:pt idx="16">
                  <c:v>Romania</c:v>
                </c:pt>
                <c:pt idx="17">
                  <c:v>Slovenia</c:v>
                </c:pt>
                <c:pt idx="18">
                  <c:v>Slovakia</c:v>
                </c:pt>
                <c:pt idx="19">
                  <c:v>Finland</c:v>
                </c:pt>
                <c:pt idx="20">
                  <c:v>Sweden</c:v>
                </c:pt>
                <c:pt idx="21">
                  <c:v>United Kingdom</c:v>
                </c:pt>
              </c:strCache>
            </c:strRef>
          </c:cat>
          <c:val>
            <c:numRef>
              <c:f>Data!$K$9:$K$30</c:f>
              <c:numCache>
                <c:formatCode>0.0%</c:formatCode>
                <c:ptCount val="22"/>
                <c:pt idx="0">
                  <c:v>1.7160929075072603E-2</c:v>
                </c:pt>
                <c:pt idx="1">
                  <c:v>1.0160514511160621E-2</c:v>
                </c:pt>
                <c:pt idx="2">
                  <c:v>1.4282353266811603E-2</c:v>
                </c:pt>
                <c:pt idx="3">
                  <c:v>5.3408501814412104E-2</c:v>
                </c:pt>
                <c:pt idx="4">
                  <c:v>1.7334360554699458E-3</c:v>
                </c:pt>
                <c:pt idx="5">
                  <c:v>2.7042413891261012E-3</c:v>
                </c:pt>
                <c:pt idx="6">
                  <c:v>6.9014645690206794E-2</c:v>
                </c:pt>
                <c:pt idx="7">
                  <c:v>1.0896419949497801E-2</c:v>
                </c:pt>
                <c:pt idx="8">
                  <c:v>3.7291227270136416E-2</c:v>
                </c:pt>
                <c:pt idx="9">
                  <c:v>2.2723530380372111E-2</c:v>
                </c:pt>
                <c:pt idx="10">
                  <c:v>5.2454809615457201E-3</c:v>
                </c:pt>
                <c:pt idx="11">
                  <c:v>5.1130434782608723E-2</c:v>
                </c:pt>
                <c:pt idx="12">
                  <c:v>2.0643988574397518E-2</c:v>
                </c:pt>
                <c:pt idx="13">
                  <c:v>1.9386371425591201E-2</c:v>
                </c:pt>
                <c:pt idx="14">
                  <c:v>1.5623253214086657E-2</c:v>
                </c:pt>
                <c:pt idx="15">
                  <c:v>1.4449694383728399E-3</c:v>
                </c:pt>
                <c:pt idx="16">
                  <c:v>2.8534241089307492E-3</c:v>
                </c:pt>
                <c:pt idx="17">
                  <c:v>1.4784981161491498E-2</c:v>
                </c:pt>
                <c:pt idx="18">
                  <c:v>7.6341112203149701E-3</c:v>
                </c:pt>
                <c:pt idx="19">
                  <c:v>8.7599544937430728E-3</c:v>
                </c:pt>
                <c:pt idx="20">
                  <c:v>1.6820396102859E-2</c:v>
                </c:pt>
                <c:pt idx="21">
                  <c:v>8.8155898787926224E-3</c:v>
                </c:pt>
              </c:numCache>
            </c:numRef>
          </c:val>
        </c:ser>
        <c:dLbls>
          <c:showLegendKey val="0"/>
          <c:showVal val="0"/>
          <c:showCatName val="0"/>
          <c:showSerName val="0"/>
          <c:showPercent val="0"/>
          <c:showBubbleSize val="0"/>
        </c:dLbls>
        <c:gapWidth val="150"/>
        <c:axId val="189659136"/>
        <c:axId val="183673984"/>
      </c:barChart>
      <c:catAx>
        <c:axId val="189659136"/>
        <c:scaling>
          <c:orientation val="minMax"/>
        </c:scaling>
        <c:delete val="0"/>
        <c:axPos val="b"/>
        <c:numFmt formatCode="General" sourceLinked="0"/>
        <c:majorTickMark val="out"/>
        <c:minorTickMark val="none"/>
        <c:tickLblPos val="nextTo"/>
        <c:txPr>
          <a:bodyPr/>
          <a:lstStyle/>
          <a:p>
            <a:pPr>
              <a:defRPr sz="1100">
                <a:latin typeface="Arial" pitchFamily="34" charset="0"/>
                <a:cs typeface="Arial" pitchFamily="34" charset="0"/>
              </a:defRPr>
            </a:pPr>
            <a:endParaRPr lang="ro-RO"/>
          </a:p>
        </c:txPr>
        <c:crossAx val="183673984"/>
        <c:crosses val="autoZero"/>
        <c:auto val="1"/>
        <c:lblAlgn val="ctr"/>
        <c:lblOffset val="100"/>
        <c:noMultiLvlLbl val="0"/>
      </c:catAx>
      <c:valAx>
        <c:axId val="183673984"/>
        <c:scaling>
          <c:orientation val="minMax"/>
        </c:scaling>
        <c:delete val="0"/>
        <c:axPos val="l"/>
        <c:majorGridlines/>
        <c:numFmt formatCode="0.0%" sourceLinked="1"/>
        <c:majorTickMark val="out"/>
        <c:minorTickMark val="none"/>
        <c:tickLblPos val="nextTo"/>
        <c:txPr>
          <a:bodyPr/>
          <a:lstStyle/>
          <a:p>
            <a:pPr>
              <a:defRPr sz="1100">
                <a:latin typeface="Arial" pitchFamily="34" charset="0"/>
                <a:cs typeface="Arial" pitchFamily="34" charset="0"/>
              </a:defRPr>
            </a:pPr>
            <a:endParaRPr lang="ro-RO"/>
          </a:p>
        </c:txPr>
        <c:crossAx val="189659136"/>
        <c:crosses val="autoZero"/>
        <c:crossBetween val="between"/>
      </c:valAx>
    </c:plotArea>
    <c:plotVisOnly val="1"/>
    <c:dispBlanksAs val="gap"/>
    <c:showDLblsOverMax val="0"/>
  </c:chart>
  <c:spPr>
    <a:ln w="19050">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4"/>
            <c:invertIfNegative val="0"/>
            <c:bubble3D val="0"/>
            <c:spPr>
              <a:solidFill>
                <a:schemeClr val="accent2"/>
              </a:solidFill>
            </c:spPr>
          </c:dPt>
          <c:cat>
            <c:strRef>
              <c:f>'2010_extract_avail_data'!$C$4:$C$28</c:f>
              <c:strCache>
                <c:ptCount val="25"/>
                <c:pt idx="0">
                  <c:v>Belgium</c:v>
                </c:pt>
                <c:pt idx="1">
                  <c:v>Bulgaria</c:v>
                </c:pt>
                <c:pt idx="2">
                  <c:v>Czech Republic</c:v>
                </c:pt>
                <c:pt idx="3">
                  <c:v>Germany</c:v>
                </c:pt>
                <c:pt idx="4">
                  <c:v>Estonia</c:v>
                </c:pt>
                <c:pt idx="5">
                  <c:v>Spain</c:v>
                </c:pt>
                <c:pt idx="6">
                  <c:v>Croatia</c:v>
                </c:pt>
                <c:pt idx="7">
                  <c:v>Italy</c:v>
                </c:pt>
                <c:pt idx="8">
                  <c:v>Cyprus</c:v>
                </c:pt>
                <c:pt idx="9">
                  <c:v>Latvia</c:v>
                </c:pt>
                <c:pt idx="10">
                  <c:v>Lithuania</c:v>
                </c:pt>
                <c:pt idx="11">
                  <c:v>Netherlands</c:v>
                </c:pt>
                <c:pt idx="12">
                  <c:v>Austria</c:v>
                </c:pt>
                <c:pt idx="13">
                  <c:v>Poland</c:v>
                </c:pt>
                <c:pt idx="14">
                  <c:v>Romania</c:v>
                </c:pt>
                <c:pt idx="15">
                  <c:v>Slovenia</c:v>
                </c:pt>
                <c:pt idx="16">
                  <c:v>Slovakia</c:v>
                </c:pt>
                <c:pt idx="17">
                  <c:v>Finland</c:v>
                </c:pt>
                <c:pt idx="18">
                  <c:v>Sweden</c:v>
                </c:pt>
                <c:pt idx="19">
                  <c:v>United Kingdom</c:v>
                </c:pt>
                <c:pt idx="20">
                  <c:v>Norway</c:v>
                </c:pt>
                <c:pt idx="21">
                  <c:v>Switzerland</c:v>
                </c:pt>
                <c:pt idx="22">
                  <c:v>Macedonia</c:v>
                </c:pt>
                <c:pt idx="23">
                  <c:v>Serbia</c:v>
                </c:pt>
                <c:pt idx="24">
                  <c:v>Turkey</c:v>
                </c:pt>
              </c:strCache>
            </c:strRef>
          </c:cat>
          <c:val>
            <c:numRef>
              <c:f>'2010_extract_avail_data'!$D$4:$D$28</c:f>
              <c:numCache>
                <c:formatCode>#,##0</c:formatCode>
                <c:ptCount val="25"/>
                <c:pt idx="0">
                  <c:v>480</c:v>
                </c:pt>
                <c:pt idx="1">
                  <c:v>353</c:v>
                </c:pt>
                <c:pt idx="2">
                  <c:v>429</c:v>
                </c:pt>
                <c:pt idx="3">
                  <c:v>517</c:v>
                </c:pt>
                <c:pt idx="4">
                  <c:v>412</c:v>
                </c:pt>
                <c:pt idx="5">
                  <c:v>480</c:v>
                </c:pt>
                <c:pt idx="6">
                  <c:v>345</c:v>
                </c:pt>
                <c:pt idx="7">
                  <c:v>606</c:v>
                </c:pt>
                <c:pt idx="8">
                  <c:v>551</c:v>
                </c:pt>
                <c:pt idx="9">
                  <c:v>307</c:v>
                </c:pt>
                <c:pt idx="10">
                  <c:v>554</c:v>
                </c:pt>
                <c:pt idx="11">
                  <c:v>464</c:v>
                </c:pt>
                <c:pt idx="12">
                  <c:v>528</c:v>
                </c:pt>
                <c:pt idx="13">
                  <c:v>447</c:v>
                </c:pt>
                <c:pt idx="14">
                  <c:v>202</c:v>
                </c:pt>
                <c:pt idx="15">
                  <c:v>518</c:v>
                </c:pt>
                <c:pt idx="16">
                  <c:v>310</c:v>
                </c:pt>
                <c:pt idx="17">
                  <c:v>535</c:v>
                </c:pt>
                <c:pt idx="18">
                  <c:v>460</c:v>
                </c:pt>
                <c:pt idx="19">
                  <c:v>455</c:v>
                </c:pt>
                <c:pt idx="20">
                  <c:v>469</c:v>
                </c:pt>
                <c:pt idx="21">
                  <c:v>518</c:v>
                </c:pt>
                <c:pt idx="22">
                  <c:v>151</c:v>
                </c:pt>
                <c:pt idx="23">
                  <c:v>215</c:v>
                </c:pt>
                <c:pt idx="24">
                  <c:v>102</c:v>
                </c:pt>
              </c:numCache>
            </c:numRef>
          </c:val>
        </c:ser>
        <c:dLbls>
          <c:showLegendKey val="0"/>
          <c:showVal val="0"/>
          <c:showCatName val="0"/>
          <c:showSerName val="0"/>
          <c:showPercent val="0"/>
          <c:showBubbleSize val="0"/>
        </c:dLbls>
        <c:gapWidth val="150"/>
        <c:axId val="35844096"/>
        <c:axId val="183675136"/>
      </c:barChart>
      <c:catAx>
        <c:axId val="35844096"/>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ro-RO"/>
          </a:p>
        </c:txPr>
        <c:crossAx val="183675136"/>
        <c:crosses val="autoZero"/>
        <c:auto val="1"/>
        <c:lblAlgn val="ctr"/>
        <c:lblOffset val="100"/>
        <c:noMultiLvlLbl val="0"/>
      </c:catAx>
      <c:valAx>
        <c:axId val="183675136"/>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ro-RO"/>
          </a:p>
        </c:txPr>
        <c:crossAx val="35844096"/>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'Cars_Data inc Tabs4.4-4.7'!$M$97</c:f>
          <c:strCache>
            <c:ptCount val="1"/>
            <c:pt idx="0">
              <c:v>Cars - Growth = 15.1%</c:v>
            </c:pt>
          </c:strCache>
        </c:strRef>
      </c:tx>
      <c:overlay val="0"/>
      <c:txPr>
        <a:bodyPr/>
        <a:lstStyle/>
        <a:p>
          <a:pPr>
            <a:defRPr sz="1100" b="0">
              <a:latin typeface="Arial" pitchFamily="34" charset="0"/>
              <a:cs typeface="Arial" pitchFamily="34" charset="0"/>
            </a:defRPr>
          </a:pPr>
          <a:endParaRPr lang="ro-RO"/>
        </a:p>
      </c:txPr>
    </c:title>
    <c:autoTitleDeleted val="0"/>
    <c:view3D>
      <c:rotX val="15"/>
      <c:rotY val="20"/>
      <c:rAngAx val="1"/>
    </c:view3D>
    <c:floor>
      <c:thickness val="0"/>
      <c:spPr>
        <a:noFill/>
        <a:ln w="9525">
          <a:noFill/>
        </a:ln>
      </c:spPr>
    </c:floor>
    <c:sideWall>
      <c:thickness val="0"/>
    </c:sideWall>
    <c:backWall>
      <c:thickness val="0"/>
    </c:backWall>
    <c:plotArea>
      <c:layout/>
      <c:bar3DChart>
        <c:barDir val="col"/>
        <c:grouping val="clustered"/>
        <c:varyColors val="1"/>
        <c:ser>
          <c:idx val="0"/>
          <c:order val="0"/>
          <c:tx>
            <c:strRef>
              <c:f>'Cars_Data inc Tabs4.4-4.7'!$N$87</c:f>
              <c:strCache>
                <c:ptCount val="1"/>
                <c:pt idx="0">
                  <c:v>Motorway</c:v>
                </c:pt>
              </c:strCache>
            </c:strRef>
          </c:tx>
          <c:invertIfNegative val="1"/>
          <c:dLbls>
            <c:delete val="1"/>
          </c:dLbls>
          <c:cat>
            <c:strRef>
              <c:f>'Cars_Data inc Tabs4.4-4.7'!$M$88:$M$91</c:f>
              <c:strCache>
                <c:ptCount val="4"/>
                <c:pt idx="0">
                  <c:v>Network Kilometres</c:v>
                </c:pt>
                <c:pt idx="1">
                  <c:v>Vehicle Kilometres</c:v>
                </c:pt>
                <c:pt idx="2">
                  <c:v>Vehicle Hours</c:v>
                </c:pt>
                <c:pt idx="3">
                  <c:v>Average Speed</c:v>
                </c:pt>
              </c:strCache>
            </c:strRef>
          </c:cat>
          <c:val>
            <c:numRef>
              <c:f>'Cars_Data inc Tabs4.4-4.7'!$N$88:$N$91</c:f>
              <c:numCache>
                <c:formatCode>\+0.0%;\-0.0%;0</c:formatCode>
                <c:ptCount val="4"/>
                <c:pt idx="0">
                  <c:v>0.80904948954269562</c:v>
                </c:pt>
                <c:pt idx="1">
                  <c:v>1.9226594871687561</c:v>
                </c:pt>
                <c:pt idx="2">
                  <c:v>1.8445996846342558</c:v>
                </c:pt>
                <c:pt idx="3">
                  <c:v>2.7441401669330411E-2</c:v>
                </c:pt>
              </c:numCache>
            </c:numRef>
          </c:val>
        </c:ser>
        <c:ser>
          <c:idx val="1"/>
          <c:order val="1"/>
          <c:tx>
            <c:strRef>
              <c:f>'Cars_Data inc Tabs4.4-4.7'!$O$87</c:f>
              <c:strCache>
                <c:ptCount val="1"/>
                <c:pt idx="0">
                  <c:v>National</c:v>
                </c:pt>
              </c:strCache>
            </c:strRef>
          </c:tx>
          <c:invertIfNegative val="0"/>
          <c:dLbls>
            <c:delete val="1"/>
          </c:dLbls>
          <c:cat>
            <c:strRef>
              <c:f>'Cars_Data inc Tabs4.4-4.7'!$M$88:$M$91</c:f>
              <c:strCache>
                <c:ptCount val="4"/>
                <c:pt idx="0">
                  <c:v>Network Kilometres</c:v>
                </c:pt>
                <c:pt idx="1">
                  <c:v>Vehicle Kilometres</c:v>
                </c:pt>
                <c:pt idx="2">
                  <c:v>Vehicle Hours</c:v>
                </c:pt>
                <c:pt idx="3">
                  <c:v>Average Speed</c:v>
                </c:pt>
              </c:strCache>
            </c:strRef>
          </c:cat>
          <c:val>
            <c:numRef>
              <c:f>'Cars_Data inc Tabs4.4-4.7'!$O$88:$O$91</c:f>
              <c:numCache>
                <c:formatCode>\+0.0%;\-0.0%;0</c:formatCode>
                <c:ptCount val="4"/>
                <c:pt idx="0">
                  <c:v>1.2609314433250651E-2</c:v>
                </c:pt>
                <c:pt idx="1">
                  <c:v>0.32448629153137787</c:v>
                </c:pt>
                <c:pt idx="2">
                  <c:v>0.34406514474247002</c:v>
                </c:pt>
                <c:pt idx="3">
                  <c:v>-1.4566893046583821E-2</c:v>
                </c:pt>
              </c:numCache>
            </c:numRef>
          </c:val>
        </c:ser>
        <c:ser>
          <c:idx val="2"/>
          <c:order val="2"/>
          <c:tx>
            <c:strRef>
              <c:f>'Cars_Data inc Tabs4.4-4.7'!$P$87</c:f>
              <c:strCache>
                <c:ptCount val="1"/>
                <c:pt idx="0">
                  <c:v>County</c:v>
                </c:pt>
              </c:strCache>
            </c:strRef>
          </c:tx>
          <c:invertIfNegative val="0"/>
          <c:dLbls>
            <c:delete val="1"/>
          </c:dLbls>
          <c:cat>
            <c:strRef>
              <c:f>'Cars_Data inc Tabs4.4-4.7'!$M$88:$M$91</c:f>
              <c:strCache>
                <c:ptCount val="4"/>
                <c:pt idx="0">
                  <c:v>Network Kilometres</c:v>
                </c:pt>
                <c:pt idx="1">
                  <c:v>Vehicle Kilometres</c:v>
                </c:pt>
                <c:pt idx="2">
                  <c:v>Vehicle Hours</c:v>
                </c:pt>
                <c:pt idx="3">
                  <c:v>Average Speed</c:v>
                </c:pt>
              </c:strCache>
            </c:strRef>
          </c:cat>
          <c:val>
            <c:numRef>
              <c:f>'Cars_Data inc Tabs4.4-4.7'!$P$88:$P$91</c:f>
              <c:numCache>
                <c:formatCode>\+0.0%;\-0.0%;0</c:formatCode>
                <c:ptCount val="4"/>
                <c:pt idx="0" formatCode="0%">
                  <c:v>0</c:v>
                </c:pt>
                <c:pt idx="1">
                  <c:v>0.211046622420789</c:v>
                </c:pt>
                <c:pt idx="2">
                  <c:v>0.21258266515107571</c:v>
                </c:pt>
                <c:pt idx="3">
                  <c:v>-1.2667530012029661E-3</c:v>
                </c:pt>
              </c:numCache>
            </c:numRef>
          </c:val>
        </c:ser>
        <c:ser>
          <c:idx val="3"/>
          <c:order val="3"/>
          <c:tx>
            <c:strRef>
              <c:f>'Cars_Data inc Tabs4.4-4.7'!$Q$87</c:f>
              <c:strCache>
                <c:ptCount val="1"/>
                <c:pt idx="0">
                  <c:v>Total</c:v>
                </c:pt>
              </c:strCache>
            </c:strRef>
          </c:tx>
          <c:invertIfNegative val="0"/>
          <c:dLbls>
            <c:delete val="1"/>
          </c:dLbls>
          <c:cat>
            <c:strRef>
              <c:f>'Cars_Data inc Tabs4.4-4.7'!$M$88:$M$91</c:f>
              <c:strCache>
                <c:ptCount val="4"/>
                <c:pt idx="0">
                  <c:v>Network Kilometres</c:v>
                </c:pt>
                <c:pt idx="1">
                  <c:v>Vehicle Kilometres</c:v>
                </c:pt>
                <c:pt idx="2">
                  <c:v>Vehicle Hours</c:v>
                </c:pt>
                <c:pt idx="3">
                  <c:v>Average Speed</c:v>
                </c:pt>
              </c:strCache>
            </c:strRef>
          </c:cat>
          <c:val>
            <c:numRef>
              <c:f>'Cars_Data inc Tabs4.4-4.7'!$Q$88:$Q$91</c:f>
              <c:numCache>
                <c:formatCode>\+0.0%;\-0.0%;0</c:formatCode>
                <c:ptCount val="4"/>
                <c:pt idx="0" formatCode="0%">
                  <c:v>1.8415783876306303E-2</c:v>
                </c:pt>
                <c:pt idx="1">
                  <c:v>0.42992926350683941</c:v>
                </c:pt>
                <c:pt idx="2">
                  <c:v>0.36979614475856659</c:v>
                </c:pt>
                <c:pt idx="3">
                  <c:v>4.3899319601941163E-2</c:v>
                </c:pt>
              </c:numCache>
            </c:numRef>
          </c:val>
        </c:ser>
        <c:dLbls>
          <c:showLegendKey val="0"/>
          <c:showVal val="1"/>
          <c:showCatName val="0"/>
          <c:showSerName val="0"/>
          <c:showPercent val="0"/>
          <c:showBubbleSize val="0"/>
        </c:dLbls>
        <c:gapWidth val="52"/>
        <c:gapDepth val="0"/>
        <c:shape val="box"/>
        <c:axId val="184421888"/>
        <c:axId val="183676864"/>
        <c:axId val="0"/>
      </c:bar3DChart>
      <c:catAx>
        <c:axId val="184421888"/>
        <c:scaling>
          <c:orientation val="minMax"/>
        </c:scaling>
        <c:delete val="0"/>
        <c:axPos val="b"/>
        <c:numFmt formatCode="General" sourceLinked="0"/>
        <c:majorTickMark val="out"/>
        <c:minorTickMark val="none"/>
        <c:tickLblPos val="nextTo"/>
        <c:spPr>
          <a:ln>
            <a:noFill/>
          </a:ln>
        </c:spPr>
        <c:crossAx val="183676864"/>
        <c:crosses val="autoZero"/>
        <c:auto val="1"/>
        <c:lblAlgn val="ctr"/>
        <c:lblOffset val="100"/>
        <c:noMultiLvlLbl val="0"/>
      </c:catAx>
      <c:valAx>
        <c:axId val="183676864"/>
        <c:scaling>
          <c:orientation val="minMax"/>
        </c:scaling>
        <c:delete val="1"/>
        <c:axPos val="l"/>
        <c:numFmt formatCode="\+0.0%;\-0.0%;0" sourceLinked="1"/>
        <c:majorTickMark val="out"/>
        <c:minorTickMark val="none"/>
        <c:tickLblPos val="none"/>
        <c:crossAx val="184421888"/>
        <c:crosses val="autoZero"/>
        <c:crossBetween val="between"/>
      </c:valAx>
      <c:dTable>
        <c:showHorzBorder val="0"/>
        <c:showVertBorder val="0"/>
        <c:showOutline val="0"/>
        <c:showKeys val="1"/>
        <c:txPr>
          <a:bodyPr/>
          <a:lstStyle/>
          <a:p>
            <a:pPr rtl="0">
              <a:defRPr sz="1100">
                <a:latin typeface="Arial" pitchFamily="34" charset="0"/>
                <a:cs typeface="Arial" pitchFamily="34" charset="0"/>
              </a:defRPr>
            </a:pPr>
            <a:endParaRPr lang="ro-RO"/>
          </a:p>
        </c:txPr>
      </c:dTable>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'Figs 4.8-4.9 Data'!$C$30</c:f>
          <c:strCache>
            <c:ptCount val="1"/>
            <c:pt idx="0">
              <c:v>Goods - Growth = 30.9%</c:v>
            </c:pt>
          </c:strCache>
        </c:strRef>
      </c:tx>
      <c:overlay val="0"/>
      <c:txPr>
        <a:bodyPr/>
        <a:lstStyle/>
        <a:p>
          <a:pPr>
            <a:defRPr sz="1100" b="0">
              <a:latin typeface="Arial" pitchFamily="34" charset="0"/>
              <a:cs typeface="Arial" pitchFamily="34" charset="0"/>
            </a:defRPr>
          </a:pPr>
          <a:endParaRPr lang="ro-RO"/>
        </a:p>
      </c:txPr>
    </c:title>
    <c:autoTitleDeleted val="0"/>
    <c:view3D>
      <c:rotX val="15"/>
      <c:rotY val="20"/>
      <c:rAngAx val="1"/>
    </c:view3D>
    <c:floor>
      <c:thickness val="0"/>
      <c:spPr>
        <a:noFill/>
        <a:ln w="9525">
          <a:noFill/>
        </a:ln>
      </c:spPr>
    </c:floor>
    <c:sideWall>
      <c:thickness val="0"/>
    </c:sideWall>
    <c:backWall>
      <c:thickness val="0"/>
    </c:backWall>
    <c:plotArea>
      <c:layout/>
      <c:bar3DChart>
        <c:barDir val="col"/>
        <c:grouping val="clustered"/>
        <c:varyColors val="1"/>
        <c:ser>
          <c:idx val="0"/>
          <c:order val="0"/>
          <c:tx>
            <c:strRef>
              <c:f>'Figs 4.8-4.9 Data'!$D$20</c:f>
              <c:strCache>
                <c:ptCount val="1"/>
                <c:pt idx="0">
                  <c:v>Motorway</c:v>
                </c:pt>
              </c:strCache>
            </c:strRef>
          </c:tx>
          <c:invertIfNegative val="1"/>
          <c:dLbls>
            <c:delete val="1"/>
          </c:dLbls>
          <c:cat>
            <c:strRef>
              <c:f>'Figs 4.8-4.9 Data'!$C$21:$C$24</c:f>
              <c:strCache>
                <c:ptCount val="4"/>
                <c:pt idx="0">
                  <c:v>Network Kilometres</c:v>
                </c:pt>
                <c:pt idx="1">
                  <c:v>Vehicle Kilometres</c:v>
                </c:pt>
                <c:pt idx="2">
                  <c:v>Vehicle Hours</c:v>
                </c:pt>
                <c:pt idx="3">
                  <c:v>Average Speed</c:v>
                </c:pt>
              </c:strCache>
            </c:strRef>
          </c:cat>
          <c:val>
            <c:numRef>
              <c:f>'Figs 4.8-4.9 Data'!$D$21:$D$24</c:f>
              <c:numCache>
                <c:formatCode>\+0.0%;\-0.0%;0</c:formatCode>
                <c:ptCount val="4"/>
                <c:pt idx="0">
                  <c:v>1.1056869178946758</c:v>
                </c:pt>
                <c:pt idx="1">
                  <c:v>2.0675695827506391</c:v>
                </c:pt>
                <c:pt idx="2">
                  <c:v>1.906859288233465</c:v>
                </c:pt>
                <c:pt idx="3">
                  <c:v>5.5286575159550093E-2</c:v>
                </c:pt>
              </c:numCache>
            </c:numRef>
          </c:val>
        </c:ser>
        <c:ser>
          <c:idx val="1"/>
          <c:order val="1"/>
          <c:tx>
            <c:strRef>
              <c:f>'Figs 4.8-4.9 Data'!$E$20</c:f>
              <c:strCache>
                <c:ptCount val="1"/>
                <c:pt idx="0">
                  <c:v>National</c:v>
                </c:pt>
              </c:strCache>
            </c:strRef>
          </c:tx>
          <c:invertIfNegative val="0"/>
          <c:dLbls>
            <c:delete val="1"/>
          </c:dLbls>
          <c:cat>
            <c:strRef>
              <c:f>'Figs 4.8-4.9 Data'!$C$21:$C$24</c:f>
              <c:strCache>
                <c:ptCount val="4"/>
                <c:pt idx="0">
                  <c:v>Network Kilometres</c:v>
                </c:pt>
                <c:pt idx="1">
                  <c:v>Vehicle Kilometres</c:v>
                </c:pt>
                <c:pt idx="2">
                  <c:v>Vehicle Hours</c:v>
                </c:pt>
                <c:pt idx="3">
                  <c:v>Average Speed</c:v>
                </c:pt>
              </c:strCache>
            </c:strRef>
          </c:cat>
          <c:val>
            <c:numRef>
              <c:f>'Figs 4.8-4.9 Data'!$E$21:$E$24</c:f>
              <c:numCache>
                <c:formatCode>\+0.0%;\-0.0%;0</c:formatCode>
                <c:ptCount val="4"/>
                <c:pt idx="0">
                  <c:v>1.283298798988915E-2</c:v>
                </c:pt>
                <c:pt idx="1">
                  <c:v>0.16041343416347151</c:v>
                </c:pt>
                <c:pt idx="2">
                  <c:v>0.20786542272731498</c:v>
                </c:pt>
                <c:pt idx="3">
                  <c:v>-3.9285824124926212E-2</c:v>
                </c:pt>
              </c:numCache>
            </c:numRef>
          </c:val>
        </c:ser>
        <c:ser>
          <c:idx val="2"/>
          <c:order val="2"/>
          <c:tx>
            <c:strRef>
              <c:f>'Figs 4.8-4.9 Data'!$F$20</c:f>
              <c:strCache>
                <c:ptCount val="1"/>
                <c:pt idx="0">
                  <c:v>County</c:v>
                </c:pt>
              </c:strCache>
            </c:strRef>
          </c:tx>
          <c:invertIfNegative val="0"/>
          <c:dLbls>
            <c:delete val="1"/>
          </c:dLbls>
          <c:cat>
            <c:strRef>
              <c:f>'Figs 4.8-4.9 Data'!$C$21:$C$24</c:f>
              <c:strCache>
                <c:ptCount val="4"/>
                <c:pt idx="0">
                  <c:v>Network Kilometres</c:v>
                </c:pt>
                <c:pt idx="1">
                  <c:v>Vehicle Kilometres</c:v>
                </c:pt>
                <c:pt idx="2">
                  <c:v>Vehicle Hours</c:v>
                </c:pt>
                <c:pt idx="3">
                  <c:v>Average Speed</c:v>
                </c:pt>
              </c:strCache>
            </c:strRef>
          </c:cat>
          <c:val>
            <c:numRef>
              <c:f>'Figs 4.8-4.9 Data'!$F$21:$F$24</c:f>
              <c:numCache>
                <c:formatCode>\+0.0%;\-0.0%;0</c:formatCode>
                <c:ptCount val="4"/>
                <c:pt idx="0" formatCode="\+0.0%;\-0.0%;0.0%">
                  <c:v>0</c:v>
                </c:pt>
                <c:pt idx="1">
                  <c:v>0.15829551055352822</c:v>
                </c:pt>
                <c:pt idx="2">
                  <c:v>0.17123807680155956</c:v>
                </c:pt>
                <c:pt idx="3">
                  <c:v>-1.1050329138356178E-2</c:v>
                </c:pt>
              </c:numCache>
            </c:numRef>
          </c:val>
        </c:ser>
        <c:ser>
          <c:idx val="3"/>
          <c:order val="3"/>
          <c:tx>
            <c:strRef>
              <c:f>'Figs 4.8-4.9 Data'!$G$20</c:f>
              <c:strCache>
                <c:ptCount val="1"/>
                <c:pt idx="0">
                  <c:v>Total</c:v>
                </c:pt>
              </c:strCache>
            </c:strRef>
          </c:tx>
          <c:invertIfNegative val="0"/>
          <c:dLbls>
            <c:delete val="1"/>
          </c:dLbls>
          <c:cat>
            <c:strRef>
              <c:f>'Figs 4.8-4.9 Data'!$C$21:$C$24</c:f>
              <c:strCache>
                <c:ptCount val="4"/>
                <c:pt idx="0">
                  <c:v>Network Kilometres</c:v>
                </c:pt>
                <c:pt idx="1">
                  <c:v>Vehicle Kilometres</c:v>
                </c:pt>
                <c:pt idx="2">
                  <c:v>Vehicle Hours</c:v>
                </c:pt>
                <c:pt idx="3">
                  <c:v>Average Speed</c:v>
                </c:pt>
              </c:strCache>
            </c:strRef>
          </c:cat>
          <c:val>
            <c:numRef>
              <c:f>'Figs 4.8-4.9 Data'!$G$21:$G$24</c:f>
              <c:numCache>
                <c:formatCode>\+0.0%;\-0.0%;0</c:formatCode>
                <c:ptCount val="4"/>
                <c:pt idx="0">
                  <c:v>2.3086175671052752E-2</c:v>
                </c:pt>
                <c:pt idx="1">
                  <c:v>0.34962048992681055</c:v>
                </c:pt>
                <c:pt idx="2">
                  <c:v>0.32643136984325005</c:v>
                </c:pt>
                <c:pt idx="3">
                  <c:v>1.7482336900929138E-2</c:v>
                </c:pt>
              </c:numCache>
            </c:numRef>
          </c:val>
        </c:ser>
        <c:dLbls>
          <c:showLegendKey val="0"/>
          <c:showVal val="1"/>
          <c:showCatName val="0"/>
          <c:showSerName val="0"/>
          <c:showPercent val="0"/>
          <c:showBubbleSize val="0"/>
        </c:dLbls>
        <c:gapWidth val="52"/>
        <c:gapDepth val="0"/>
        <c:shape val="box"/>
        <c:axId val="35846656"/>
        <c:axId val="183678592"/>
        <c:axId val="0"/>
      </c:bar3DChart>
      <c:catAx>
        <c:axId val="35846656"/>
        <c:scaling>
          <c:orientation val="minMax"/>
        </c:scaling>
        <c:delete val="0"/>
        <c:axPos val="b"/>
        <c:numFmt formatCode="General" sourceLinked="0"/>
        <c:majorTickMark val="out"/>
        <c:minorTickMark val="none"/>
        <c:tickLblPos val="nextTo"/>
        <c:spPr>
          <a:ln>
            <a:noFill/>
          </a:ln>
        </c:spPr>
        <c:crossAx val="183678592"/>
        <c:crosses val="autoZero"/>
        <c:auto val="1"/>
        <c:lblAlgn val="ctr"/>
        <c:lblOffset val="100"/>
        <c:noMultiLvlLbl val="0"/>
      </c:catAx>
      <c:valAx>
        <c:axId val="183678592"/>
        <c:scaling>
          <c:orientation val="minMax"/>
        </c:scaling>
        <c:delete val="1"/>
        <c:axPos val="l"/>
        <c:numFmt formatCode="\+0.0%;\-0.0%;0" sourceLinked="1"/>
        <c:majorTickMark val="out"/>
        <c:minorTickMark val="none"/>
        <c:tickLblPos val="none"/>
        <c:crossAx val="35846656"/>
        <c:crosses val="autoZero"/>
        <c:crossBetween val="between"/>
      </c:valAx>
      <c:dTable>
        <c:showHorzBorder val="0"/>
        <c:showVertBorder val="0"/>
        <c:showOutline val="0"/>
        <c:showKeys val="1"/>
        <c:txPr>
          <a:bodyPr/>
          <a:lstStyle/>
          <a:p>
            <a:pPr rtl="0">
              <a:defRPr sz="1100">
                <a:latin typeface="Arial" pitchFamily="34" charset="0"/>
                <a:cs typeface="Arial" pitchFamily="34" charset="0"/>
              </a:defRPr>
            </a:pPr>
            <a:endParaRPr lang="ro-RO"/>
          </a:p>
        </c:txPr>
      </c:dTable>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solidFill>
          <a:srgbClr val="4F81BD">
            <a:lumMod val="20000"/>
            <a:lumOff val="80000"/>
          </a:srgbClr>
        </a:solidFill>
      </c:spPr>
    </c:floor>
    <c:sideWall>
      <c:thickness val="0"/>
      <c:spPr>
        <a:solidFill>
          <a:schemeClr val="accent1">
            <a:lumMod val="20000"/>
            <a:lumOff val="80000"/>
          </a:schemeClr>
        </a:solidFill>
      </c:spPr>
    </c:sideWall>
    <c:backWall>
      <c:thickness val="0"/>
      <c:spPr>
        <a:solidFill>
          <a:schemeClr val="accent1">
            <a:lumMod val="20000"/>
            <a:lumOff val="80000"/>
          </a:schemeClr>
        </a:solidFill>
      </c:spPr>
    </c:backWall>
    <c:plotArea>
      <c:layout/>
      <c:bar3DChart>
        <c:barDir val="col"/>
        <c:grouping val="clustered"/>
        <c:varyColors val="0"/>
        <c:ser>
          <c:idx val="0"/>
          <c:order val="0"/>
          <c:tx>
            <c:strRef>
              <c:f>'Table 4.17'!$D$23</c:f>
              <c:strCache>
                <c:ptCount val="1"/>
                <c:pt idx="0">
                  <c:v>Investment Cost (M€)</c:v>
                </c:pt>
              </c:strCache>
            </c:strRef>
          </c:tx>
          <c:invertIfNegative val="0"/>
          <c:cat>
            <c:strRef>
              <c:f>'Table 4.17'!$C$24:$C$26</c:f>
              <c:strCache>
                <c:ptCount val="3"/>
                <c:pt idx="0">
                  <c:v>Level 1 Preferred</c:v>
                </c:pt>
                <c:pt idx="1">
                  <c:v>Level 1 Alternative</c:v>
                </c:pt>
                <c:pt idx="2">
                  <c:v>Difference</c:v>
                </c:pt>
              </c:strCache>
            </c:strRef>
          </c:cat>
          <c:val>
            <c:numRef>
              <c:f>'Table 4.17'!$D$24:$D$26</c:f>
              <c:numCache>
                <c:formatCode>#,##0</c:formatCode>
                <c:ptCount val="3"/>
                <c:pt idx="0">
                  <c:v>5988.4856479408063</c:v>
                </c:pt>
                <c:pt idx="1">
                  <c:v>17080.225612274629</c:v>
                </c:pt>
                <c:pt idx="2">
                  <c:v>-11091.73996433377</c:v>
                </c:pt>
              </c:numCache>
            </c:numRef>
          </c:val>
        </c:ser>
        <c:ser>
          <c:idx val="1"/>
          <c:order val="1"/>
          <c:tx>
            <c:strRef>
              <c:f>'Table 4.17'!$E$23</c:f>
              <c:strCache>
                <c:ptCount val="1"/>
                <c:pt idx="0">
                  <c:v>NPV (M€)</c:v>
                </c:pt>
              </c:strCache>
            </c:strRef>
          </c:tx>
          <c:invertIfNegative val="0"/>
          <c:cat>
            <c:strRef>
              <c:f>'Table 4.17'!$C$24:$C$26</c:f>
              <c:strCache>
                <c:ptCount val="3"/>
                <c:pt idx="0">
                  <c:v>Level 1 Preferred</c:v>
                </c:pt>
                <c:pt idx="1">
                  <c:v>Level 1 Alternative</c:v>
                </c:pt>
                <c:pt idx="2">
                  <c:v>Difference</c:v>
                </c:pt>
              </c:strCache>
            </c:strRef>
          </c:cat>
          <c:val>
            <c:numRef>
              <c:f>'Table 4.17'!$E$24:$E$26</c:f>
              <c:numCache>
                <c:formatCode>#,##0</c:formatCode>
                <c:ptCount val="3"/>
                <c:pt idx="0">
                  <c:v>9834.8732806576609</c:v>
                </c:pt>
                <c:pt idx="1">
                  <c:v>9469.9109741431093</c:v>
                </c:pt>
                <c:pt idx="2">
                  <c:v>364.96230651453698</c:v>
                </c:pt>
              </c:numCache>
            </c:numRef>
          </c:val>
        </c:ser>
        <c:dLbls>
          <c:showLegendKey val="0"/>
          <c:showVal val="0"/>
          <c:showCatName val="0"/>
          <c:showSerName val="0"/>
          <c:showPercent val="0"/>
          <c:showBubbleSize val="0"/>
        </c:dLbls>
        <c:gapWidth val="150"/>
        <c:shape val="box"/>
        <c:axId val="79093760"/>
        <c:axId val="35882112"/>
        <c:axId val="0"/>
      </c:bar3DChart>
      <c:catAx>
        <c:axId val="79093760"/>
        <c:scaling>
          <c:orientation val="minMax"/>
        </c:scaling>
        <c:delete val="0"/>
        <c:axPos val="b"/>
        <c:numFmt formatCode="General" sourceLinked="0"/>
        <c:majorTickMark val="out"/>
        <c:minorTickMark val="none"/>
        <c:tickLblPos val="low"/>
        <c:txPr>
          <a:bodyPr/>
          <a:lstStyle/>
          <a:p>
            <a:pPr>
              <a:defRPr sz="1100">
                <a:latin typeface="Arial" pitchFamily="34" charset="0"/>
                <a:cs typeface="Arial" pitchFamily="34" charset="0"/>
              </a:defRPr>
            </a:pPr>
            <a:endParaRPr lang="ro-RO"/>
          </a:p>
        </c:txPr>
        <c:crossAx val="35882112"/>
        <c:crosses val="autoZero"/>
        <c:auto val="1"/>
        <c:lblAlgn val="ctr"/>
        <c:lblOffset val="100"/>
        <c:noMultiLvlLbl val="0"/>
      </c:catAx>
      <c:valAx>
        <c:axId val="35882112"/>
        <c:scaling>
          <c:orientation val="minMax"/>
        </c:scaling>
        <c:delete val="0"/>
        <c:axPos val="l"/>
        <c:majorGridlines/>
        <c:numFmt formatCode="#,##0" sourceLinked="1"/>
        <c:majorTickMark val="out"/>
        <c:minorTickMark val="none"/>
        <c:tickLblPos val="nextTo"/>
        <c:txPr>
          <a:bodyPr/>
          <a:lstStyle/>
          <a:p>
            <a:pPr>
              <a:defRPr sz="1100">
                <a:latin typeface="Arial" pitchFamily="34" charset="0"/>
                <a:cs typeface="Arial" pitchFamily="34" charset="0"/>
              </a:defRPr>
            </a:pPr>
            <a:endParaRPr lang="ro-RO"/>
          </a:p>
        </c:txPr>
        <c:crossAx val="79093760"/>
        <c:crosses val="autoZero"/>
        <c:crossBetween val="between"/>
      </c:valAx>
    </c:plotArea>
    <c:legend>
      <c:legendPos val="b"/>
      <c:overlay val="0"/>
      <c:txPr>
        <a:bodyPr/>
        <a:lstStyle/>
        <a:p>
          <a:pPr>
            <a:defRPr sz="1100">
              <a:latin typeface="Arial" pitchFamily="34" charset="0"/>
              <a:cs typeface="Arial" pitchFamily="34" charset="0"/>
            </a:defRPr>
          </a:pPr>
          <a:endParaRPr lang="ro-RO"/>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Sheet1!$C$1</c:f>
              <c:strCache>
                <c:ptCount val="1"/>
                <c:pt idx="0">
                  <c:v>Water Freight</c:v>
                </c:pt>
              </c:strCache>
            </c:strRef>
          </c:tx>
          <c:invertIfNegative val="0"/>
          <c:cat>
            <c:strRef>
              <c:f>Sheet1!$B$2:$B$17</c:f>
              <c:strCache>
                <c:ptCount val="16"/>
                <c:pt idx="0">
                  <c:v>Agricultural Products</c:v>
                </c:pt>
                <c:pt idx="1">
                  <c:v>Foodstuffs</c:v>
                </c:pt>
                <c:pt idx="2">
                  <c:v>Solid Mineral Fuels</c:v>
                </c:pt>
                <c:pt idx="3">
                  <c:v>Crude Oil</c:v>
                </c:pt>
                <c:pt idx="4">
                  <c:v>Ores, Metal Waste</c:v>
                </c:pt>
                <c:pt idx="5">
                  <c:v>Metal Products</c:v>
                </c:pt>
                <c:pt idx="6">
                  <c:v>Building Minerals &amp; Materials</c:v>
                </c:pt>
                <c:pt idx="7">
                  <c:v>Fertilisers</c:v>
                </c:pt>
                <c:pt idx="8">
                  <c:v>Chemicals</c:v>
                </c:pt>
                <c:pt idx="9">
                  <c:v>Machinery &amp; Heavy Manufacturing</c:v>
                </c:pt>
                <c:pt idx="10">
                  <c:v>Petroleum Products</c:v>
                </c:pt>
                <c:pt idx="11">
                  <c:v>Mail &amp; Parcels</c:v>
                </c:pt>
                <c:pt idx="12">
                  <c:v>Manufactured Goods</c:v>
                </c:pt>
                <c:pt idx="13">
                  <c:v>Domestic &amp; Industrial Waste</c:v>
                </c:pt>
                <c:pt idx="14">
                  <c:v>Forestry Products</c:v>
                </c:pt>
                <c:pt idx="15">
                  <c:v>Livestock</c:v>
                </c:pt>
              </c:strCache>
            </c:strRef>
          </c:cat>
          <c:val>
            <c:numRef>
              <c:f>Sheet1!$C$2:$C$17</c:f>
              <c:numCache>
                <c:formatCode>General</c:formatCode>
                <c:ptCount val="16"/>
                <c:pt idx="0" formatCode="#,##0">
                  <c:v>5675</c:v>
                </c:pt>
                <c:pt idx="1">
                  <c:v>3</c:v>
                </c:pt>
                <c:pt idx="2" formatCode="#,##0">
                  <c:v>4740</c:v>
                </c:pt>
                <c:pt idx="3" formatCode="#,##0">
                  <c:v>1074</c:v>
                </c:pt>
                <c:pt idx="4" formatCode="#,##0">
                  <c:v>18758</c:v>
                </c:pt>
                <c:pt idx="5">
                  <c:v>20</c:v>
                </c:pt>
                <c:pt idx="6" formatCode="#,##0">
                  <c:v>39275</c:v>
                </c:pt>
                <c:pt idx="7" formatCode="#,##0">
                  <c:v>1006</c:v>
                </c:pt>
                <c:pt idx="8">
                  <c:v>11</c:v>
                </c:pt>
                <c:pt idx="9">
                  <c:v>1</c:v>
                </c:pt>
                <c:pt idx="10">
                  <c:v>0</c:v>
                </c:pt>
                <c:pt idx="11">
                  <c:v>0</c:v>
                </c:pt>
                <c:pt idx="12" formatCode="#,##0">
                  <c:v>1080</c:v>
                </c:pt>
                <c:pt idx="13">
                  <c:v>82</c:v>
                </c:pt>
                <c:pt idx="14">
                  <c:v>303</c:v>
                </c:pt>
                <c:pt idx="15">
                  <c:v>0</c:v>
                </c:pt>
              </c:numCache>
            </c:numRef>
          </c:val>
        </c:ser>
        <c:ser>
          <c:idx val="1"/>
          <c:order val="1"/>
          <c:tx>
            <c:strRef>
              <c:f>Sheet1!$E$1</c:f>
              <c:strCache>
                <c:ptCount val="1"/>
                <c:pt idx="0">
                  <c:v>Rail Freight</c:v>
                </c:pt>
              </c:strCache>
            </c:strRef>
          </c:tx>
          <c:invertIfNegative val="0"/>
          <c:cat>
            <c:strRef>
              <c:f>Sheet1!$B$2:$B$17</c:f>
              <c:strCache>
                <c:ptCount val="16"/>
                <c:pt idx="0">
                  <c:v>Agricultural Products</c:v>
                </c:pt>
                <c:pt idx="1">
                  <c:v>Foodstuffs</c:v>
                </c:pt>
                <c:pt idx="2">
                  <c:v>Solid Mineral Fuels</c:v>
                </c:pt>
                <c:pt idx="3">
                  <c:v>Crude Oil</c:v>
                </c:pt>
                <c:pt idx="4">
                  <c:v>Ores, Metal Waste</c:v>
                </c:pt>
                <c:pt idx="5">
                  <c:v>Metal Products</c:v>
                </c:pt>
                <c:pt idx="6">
                  <c:v>Building Minerals &amp; Materials</c:v>
                </c:pt>
                <c:pt idx="7">
                  <c:v>Fertilisers</c:v>
                </c:pt>
                <c:pt idx="8">
                  <c:v>Chemicals</c:v>
                </c:pt>
                <c:pt idx="9">
                  <c:v>Machinery &amp; Heavy Manufacturing</c:v>
                </c:pt>
                <c:pt idx="10">
                  <c:v>Petroleum Products</c:v>
                </c:pt>
                <c:pt idx="11">
                  <c:v>Mail &amp; Parcels</c:v>
                </c:pt>
                <c:pt idx="12">
                  <c:v>Manufactured Goods</c:v>
                </c:pt>
                <c:pt idx="13">
                  <c:v>Domestic &amp; Industrial Waste</c:v>
                </c:pt>
                <c:pt idx="14">
                  <c:v>Forestry Products</c:v>
                </c:pt>
                <c:pt idx="15">
                  <c:v>Livestock</c:v>
                </c:pt>
              </c:strCache>
            </c:strRef>
          </c:cat>
          <c:val>
            <c:numRef>
              <c:f>Sheet1!$E$2:$E$17</c:f>
              <c:numCache>
                <c:formatCode>#,##0</c:formatCode>
                <c:ptCount val="16"/>
                <c:pt idx="0">
                  <c:v>3002</c:v>
                </c:pt>
                <c:pt idx="1">
                  <c:v>1133</c:v>
                </c:pt>
                <c:pt idx="2">
                  <c:v>90535</c:v>
                </c:pt>
                <c:pt idx="3">
                  <c:v>4318</c:v>
                </c:pt>
                <c:pt idx="4">
                  <c:v>4046</c:v>
                </c:pt>
                <c:pt idx="5">
                  <c:v>9951</c:v>
                </c:pt>
                <c:pt idx="6">
                  <c:v>7889</c:v>
                </c:pt>
                <c:pt idx="7">
                  <c:v>9261</c:v>
                </c:pt>
                <c:pt idx="8">
                  <c:v>3611</c:v>
                </c:pt>
                <c:pt idx="9" formatCode="General">
                  <c:v>0</c:v>
                </c:pt>
                <c:pt idx="10">
                  <c:v>23291</c:v>
                </c:pt>
                <c:pt idx="11" formatCode="General">
                  <c:v>0</c:v>
                </c:pt>
                <c:pt idx="12">
                  <c:v>6086</c:v>
                </c:pt>
                <c:pt idx="13" formatCode="General">
                  <c:v>297</c:v>
                </c:pt>
                <c:pt idx="14">
                  <c:v>2077</c:v>
                </c:pt>
                <c:pt idx="15" formatCode="General">
                  <c:v>0</c:v>
                </c:pt>
              </c:numCache>
            </c:numRef>
          </c:val>
        </c:ser>
        <c:ser>
          <c:idx val="2"/>
          <c:order val="2"/>
          <c:tx>
            <c:strRef>
              <c:f>Sheet1!$G$1</c:f>
              <c:strCache>
                <c:ptCount val="1"/>
                <c:pt idx="0">
                  <c:v>Road Freight</c:v>
                </c:pt>
              </c:strCache>
            </c:strRef>
          </c:tx>
          <c:invertIfNegative val="0"/>
          <c:cat>
            <c:strRef>
              <c:f>Sheet1!$B$2:$B$17</c:f>
              <c:strCache>
                <c:ptCount val="16"/>
                <c:pt idx="0">
                  <c:v>Agricultural Products</c:v>
                </c:pt>
                <c:pt idx="1">
                  <c:v>Foodstuffs</c:v>
                </c:pt>
                <c:pt idx="2">
                  <c:v>Solid Mineral Fuels</c:v>
                </c:pt>
                <c:pt idx="3">
                  <c:v>Crude Oil</c:v>
                </c:pt>
                <c:pt idx="4">
                  <c:v>Ores, Metal Waste</c:v>
                </c:pt>
                <c:pt idx="5">
                  <c:v>Metal Products</c:v>
                </c:pt>
                <c:pt idx="6">
                  <c:v>Building Minerals &amp; Materials</c:v>
                </c:pt>
                <c:pt idx="7">
                  <c:v>Fertilisers</c:v>
                </c:pt>
                <c:pt idx="8">
                  <c:v>Chemicals</c:v>
                </c:pt>
                <c:pt idx="9">
                  <c:v>Machinery &amp; Heavy Manufacturing</c:v>
                </c:pt>
                <c:pt idx="10">
                  <c:v>Petroleum Products</c:v>
                </c:pt>
                <c:pt idx="11">
                  <c:v>Mail &amp; Parcels</c:v>
                </c:pt>
                <c:pt idx="12">
                  <c:v>Manufactured Goods</c:v>
                </c:pt>
                <c:pt idx="13">
                  <c:v>Domestic &amp; Industrial Waste</c:v>
                </c:pt>
                <c:pt idx="14">
                  <c:v>Forestry Products</c:v>
                </c:pt>
                <c:pt idx="15">
                  <c:v>Livestock</c:v>
                </c:pt>
              </c:strCache>
            </c:strRef>
          </c:cat>
          <c:val>
            <c:numRef>
              <c:f>Sheet1!$G$2:$G$17</c:f>
              <c:numCache>
                <c:formatCode>#,##0</c:formatCode>
                <c:ptCount val="16"/>
                <c:pt idx="0">
                  <c:v>40751</c:v>
                </c:pt>
                <c:pt idx="1">
                  <c:v>63441</c:v>
                </c:pt>
                <c:pt idx="2">
                  <c:v>6644</c:v>
                </c:pt>
                <c:pt idx="3">
                  <c:v>1716</c:v>
                </c:pt>
                <c:pt idx="4">
                  <c:v>18504</c:v>
                </c:pt>
                <c:pt idx="5">
                  <c:v>30972</c:v>
                </c:pt>
                <c:pt idx="6">
                  <c:v>176448</c:v>
                </c:pt>
                <c:pt idx="7">
                  <c:v>19467</c:v>
                </c:pt>
                <c:pt idx="8">
                  <c:v>30926</c:v>
                </c:pt>
                <c:pt idx="9">
                  <c:v>32243</c:v>
                </c:pt>
                <c:pt idx="10">
                  <c:v>15981</c:v>
                </c:pt>
                <c:pt idx="11">
                  <c:v>3027</c:v>
                </c:pt>
                <c:pt idx="12">
                  <c:v>83188</c:v>
                </c:pt>
                <c:pt idx="13">
                  <c:v>6172</c:v>
                </c:pt>
                <c:pt idx="14">
                  <c:v>33733</c:v>
                </c:pt>
                <c:pt idx="15">
                  <c:v>19769</c:v>
                </c:pt>
              </c:numCache>
            </c:numRef>
          </c:val>
        </c:ser>
        <c:dLbls>
          <c:showLegendKey val="0"/>
          <c:showVal val="0"/>
          <c:showCatName val="0"/>
          <c:showSerName val="0"/>
          <c:showPercent val="0"/>
          <c:showBubbleSize val="0"/>
        </c:dLbls>
        <c:gapWidth val="150"/>
        <c:overlap val="100"/>
        <c:axId val="43746304"/>
        <c:axId val="35883264"/>
      </c:barChart>
      <c:catAx>
        <c:axId val="43746304"/>
        <c:scaling>
          <c:orientation val="minMax"/>
        </c:scaling>
        <c:delete val="0"/>
        <c:axPos val="b"/>
        <c:numFmt formatCode="General" sourceLinked="0"/>
        <c:majorTickMark val="out"/>
        <c:minorTickMark val="none"/>
        <c:tickLblPos val="nextTo"/>
        <c:txPr>
          <a:bodyPr/>
          <a:lstStyle/>
          <a:p>
            <a:pPr>
              <a:defRPr sz="800"/>
            </a:pPr>
            <a:endParaRPr lang="ro-RO"/>
          </a:p>
        </c:txPr>
        <c:crossAx val="35883264"/>
        <c:crosses val="autoZero"/>
        <c:auto val="1"/>
        <c:lblAlgn val="ctr"/>
        <c:lblOffset val="100"/>
        <c:noMultiLvlLbl val="0"/>
      </c:catAx>
      <c:valAx>
        <c:axId val="35883264"/>
        <c:scaling>
          <c:orientation val="minMax"/>
        </c:scaling>
        <c:delete val="0"/>
        <c:axPos val="l"/>
        <c:majorGridlines/>
        <c:numFmt formatCode="#,##0" sourceLinked="1"/>
        <c:majorTickMark val="out"/>
        <c:minorTickMark val="none"/>
        <c:tickLblPos val="nextTo"/>
        <c:crossAx val="43746304"/>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Rail Freight Train Delays in Romania</a:t>
            </a:r>
          </a:p>
        </c:rich>
      </c:tx>
      <c:overlay val="0"/>
    </c:title>
    <c:autoTitleDeleted val="0"/>
    <c:plotArea>
      <c:layout/>
      <c:barChart>
        <c:barDir val="col"/>
        <c:grouping val="stacked"/>
        <c:varyColors val="0"/>
        <c:ser>
          <c:idx val="0"/>
          <c:order val="0"/>
          <c:tx>
            <c:strRef>
              <c:f>'English Translation + Analysis'!$C$36</c:f>
              <c:strCache>
                <c:ptCount val="1"/>
                <c:pt idx="0">
                  <c:v>CFR</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Analysis'!$C$37:$C$42</c:f>
              <c:numCache>
                <c:formatCode>#,##0</c:formatCode>
                <c:ptCount val="6"/>
                <c:pt idx="0">
                  <c:v>180106</c:v>
                </c:pt>
                <c:pt idx="1">
                  <c:v>126294</c:v>
                </c:pt>
                <c:pt idx="2">
                  <c:v>168715</c:v>
                </c:pt>
                <c:pt idx="3">
                  <c:v>127617</c:v>
                </c:pt>
                <c:pt idx="4">
                  <c:v>127065</c:v>
                </c:pt>
                <c:pt idx="5">
                  <c:v>86591</c:v>
                </c:pt>
              </c:numCache>
            </c:numRef>
          </c:val>
        </c:ser>
        <c:ser>
          <c:idx val="1"/>
          <c:order val="1"/>
          <c:tx>
            <c:strRef>
              <c:f>'English Translation + Analysis'!$D$36</c:f>
              <c:strCache>
                <c:ptCount val="1"/>
                <c:pt idx="0">
                  <c:v>Operator</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Analysis'!$D$37:$D$42</c:f>
              <c:numCache>
                <c:formatCode>#,##0</c:formatCode>
                <c:ptCount val="6"/>
                <c:pt idx="0">
                  <c:v>559987</c:v>
                </c:pt>
                <c:pt idx="1">
                  <c:v>1896536</c:v>
                </c:pt>
                <c:pt idx="2">
                  <c:v>1000981</c:v>
                </c:pt>
                <c:pt idx="3">
                  <c:v>2960158</c:v>
                </c:pt>
                <c:pt idx="4">
                  <c:v>792878</c:v>
                </c:pt>
                <c:pt idx="5">
                  <c:v>2896836</c:v>
                </c:pt>
              </c:numCache>
            </c:numRef>
          </c:val>
        </c:ser>
        <c:ser>
          <c:idx val="2"/>
          <c:order val="2"/>
          <c:tx>
            <c:strRef>
              <c:f>'English Translation + Analysis'!$E$36</c:f>
              <c:strCache>
                <c:ptCount val="1"/>
                <c:pt idx="0">
                  <c:v>Force Majeure</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Analysis'!$E$37:$E$42</c:f>
              <c:numCache>
                <c:formatCode>#,##0</c:formatCode>
                <c:ptCount val="6"/>
                <c:pt idx="0">
                  <c:v>225891</c:v>
                </c:pt>
                <c:pt idx="1">
                  <c:v>210217</c:v>
                </c:pt>
                <c:pt idx="2">
                  <c:v>237950</c:v>
                </c:pt>
                <c:pt idx="3">
                  <c:v>149536</c:v>
                </c:pt>
                <c:pt idx="4">
                  <c:v>642207</c:v>
                </c:pt>
                <c:pt idx="5">
                  <c:v>611515</c:v>
                </c:pt>
              </c:numCache>
            </c:numRef>
          </c:val>
        </c:ser>
        <c:ser>
          <c:idx val="3"/>
          <c:order val="3"/>
          <c:tx>
            <c:strRef>
              <c:f>'English Translation + Analysis'!$F$36</c:f>
              <c:strCache>
                <c:ptCount val="1"/>
                <c:pt idx="0">
                  <c:v>Other Companies</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Analysis'!$F$37:$F$42</c:f>
              <c:numCache>
                <c:formatCode>#,##0</c:formatCode>
                <c:ptCount val="6"/>
                <c:pt idx="0">
                  <c:v>1632636</c:v>
                </c:pt>
                <c:pt idx="1">
                  <c:v>1550292</c:v>
                </c:pt>
                <c:pt idx="2">
                  <c:v>893873</c:v>
                </c:pt>
                <c:pt idx="3">
                  <c:v>765657</c:v>
                </c:pt>
                <c:pt idx="4">
                  <c:v>512615</c:v>
                </c:pt>
                <c:pt idx="5">
                  <c:v>507820</c:v>
                </c:pt>
              </c:numCache>
            </c:numRef>
          </c:val>
        </c:ser>
        <c:ser>
          <c:idx val="4"/>
          <c:order val="4"/>
          <c:tx>
            <c:strRef>
              <c:f>'English Translation + Analysis'!$G$36</c:f>
              <c:strCache>
                <c:ptCount val="1"/>
                <c:pt idx="0">
                  <c:v>Events</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Analysis'!$G$37:$G$42</c:f>
              <c:numCache>
                <c:formatCode>#,##0</c:formatCode>
                <c:ptCount val="6"/>
                <c:pt idx="0">
                  <c:v>19813</c:v>
                </c:pt>
                <c:pt idx="1">
                  <c:v>20905</c:v>
                </c:pt>
                <c:pt idx="2">
                  <c:v>22287</c:v>
                </c:pt>
                <c:pt idx="3">
                  <c:v>10676</c:v>
                </c:pt>
                <c:pt idx="4">
                  <c:v>18818</c:v>
                </c:pt>
                <c:pt idx="5">
                  <c:v>14695</c:v>
                </c:pt>
              </c:numCache>
            </c:numRef>
          </c:val>
        </c:ser>
        <c:ser>
          <c:idx val="5"/>
          <c:order val="5"/>
          <c:tx>
            <c:strRef>
              <c:f>'English Translation + Analysis'!$H$36</c:f>
              <c:strCache>
                <c:ptCount val="1"/>
                <c:pt idx="0">
                  <c:v>Border Controls</c:v>
                </c:pt>
              </c:strCache>
            </c:strRef>
          </c:tx>
          <c:invertIfNegative val="0"/>
          <c:cat>
            <c:multiLvlStrRef>
              <c:f>'English Translation + Analysis'!$A$37:$B$42</c:f>
              <c:multiLvlStrCache>
                <c:ptCount val="6"/>
                <c:lvl>
                  <c:pt idx="0">
                    <c:v>CFR Marfa</c:v>
                  </c:pt>
                  <c:pt idx="1">
                    <c:v>Private Railfreight Operators</c:v>
                  </c:pt>
                  <c:pt idx="2">
                    <c:v>CFR Marfa</c:v>
                  </c:pt>
                  <c:pt idx="3">
                    <c:v>Private Railfreight Operators</c:v>
                  </c:pt>
                  <c:pt idx="4">
                    <c:v>CFR Marfa</c:v>
                  </c:pt>
                  <c:pt idx="5">
                    <c:v>Private Railfreight Operators</c:v>
                  </c:pt>
                </c:lvl>
                <c:lvl>
                  <c:pt idx="0">
                    <c:v>2010</c:v>
                  </c:pt>
                  <c:pt idx="2">
                    <c:v>2011</c:v>
                  </c:pt>
                  <c:pt idx="4">
                    <c:v>2012</c:v>
                  </c:pt>
                </c:lvl>
              </c:multiLvlStrCache>
            </c:multiLvlStrRef>
          </c:cat>
          <c:val>
            <c:numRef>
              <c:f>'English Translation + Analysis'!$H$37:$H$42</c:f>
              <c:numCache>
                <c:formatCode>#,##0</c:formatCode>
                <c:ptCount val="6"/>
                <c:pt idx="0">
                  <c:v>65</c:v>
                </c:pt>
                <c:pt idx="1">
                  <c:v>757</c:v>
                </c:pt>
                <c:pt idx="2">
                  <c:v>1050</c:v>
                </c:pt>
                <c:pt idx="3">
                  <c:v>675</c:v>
                </c:pt>
                <c:pt idx="4">
                  <c:v>1360</c:v>
                </c:pt>
                <c:pt idx="5">
                  <c:v>513</c:v>
                </c:pt>
              </c:numCache>
            </c:numRef>
          </c:val>
        </c:ser>
        <c:dLbls>
          <c:showLegendKey val="0"/>
          <c:showVal val="0"/>
          <c:showCatName val="0"/>
          <c:showSerName val="0"/>
          <c:showPercent val="0"/>
          <c:showBubbleSize val="0"/>
        </c:dLbls>
        <c:gapWidth val="150"/>
        <c:overlap val="100"/>
        <c:axId val="43748352"/>
        <c:axId val="35886144"/>
      </c:barChart>
      <c:catAx>
        <c:axId val="43748352"/>
        <c:scaling>
          <c:orientation val="minMax"/>
        </c:scaling>
        <c:delete val="0"/>
        <c:axPos val="b"/>
        <c:numFmt formatCode="General" sourceLinked="1"/>
        <c:majorTickMark val="out"/>
        <c:minorTickMark val="none"/>
        <c:tickLblPos val="nextTo"/>
        <c:crossAx val="35886144"/>
        <c:crosses val="autoZero"/>
        <c:auto val="1"/>
        <c:lblAlgn val="ctr"/>
        <c:lblOffset val="100"/>
        <c:noMultiLvlLbl val="0"/>
      </c:catAx>
      <c:valAx>
        <c:axId val="35886144"/>
        <c:scaling>
          <c:orientation val="minMax"/>
        </c:scaling>
        <c:delete val="0"/>
        <c:axPos val="l"/>
        <c:majorGridlines/>
        <c:title>
          <c:tx>
            <c:rich>
              <a:bodyPr rot="-5400000" vert="horz"/>
              <a:lstStyle/>
              <a:p>
                <a:pPr>
                  <a:defRPr/>
                </a:pPr>
                <a:r>
                  <a:rPr lang="en-US"/>
                  <a:t>Minutes</a:t>
                </a:r>
              </a:p>
            </c:rich>
          </c:tx>
          <c:overlay val="0"/>
        </c:title>
        <c:numFmt formatCode="#,##0" sourceLinked="1"/>
        <c:majorTickMark val="out"/>
        <c:minorTickMark val="none"/>
        <c:tickLblPos val="nextTo"/>
        <c:crossAx val="43748352"/>
        <c:crosses val="autoZero"/>
        <c:crossBetween val="between"/>
      </c:valAx>
    </c:plotArea>
    <c:legend>
      <c:legendPos val="r"/>
      <c:overlay val="0"/>
    </c:legend>
    <c:plotVisOnly val="1"/>
    <c:dispBlanksAs val="gap"/>
    <c:showDLblsOverMax val="0"/>
  </c:chart>
  <c:txPr>
    <a:bodyPr/>
    <a:lstStyle/>
    <a:p>
      <a:pPr>
        <a:defRPr>
          <a:latin typeface="Arial" pitchFamily="34" charset="0"/>
          <a:cs typeface="Arial" pitchFamily="34" charset="0"/>
        </a:defRPr>
      </a:pPr>
      <a:endParaRPr lang="ro-RO"/>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o-RO" sz="1200"/>
              <a:t>Media întârzierilor per </a:t>
            </a:r>
            <a:r>
              <a:rPr lang="en-US" sz="1200"/>
              <a:t>100 </a:t>
            </a:r>
            <a:r>
              <a:rPr lang="ro-RO" sz="1200"/>
              <a:t>tren-km</a:t>
            </a:r>
            <a:endParaRPr lang="en-US" sz="1200"/>
          </a:p>
        </c:rich>
      </c:tx>
      <c:layout>
        <c:manualLayout>
          <c:xMode val="edge"/>
          <c:yMode val="edge"/>
          <c:x val="0.22092869627893788"/>
          <c:y val="2.0862308762170316E-2"/>
        </c:manualLayout>
      </c:layout>
      <c:overlay val="0"/>
    </c:title>
    <c:autoTitleDeleted val="0"/>
    <c:plotArea>
      <c:layout/>
      <c:lineChart>
        <c:grouping val="standard"/>
        <c:varyColors val="0"/>
        <c:ser>
          <c:idx val="0"/>
          <c:order val="0"/>
          <c:tx>
            <c:strRef>
              <c:f>'[prelucrare date analiza operativa media februarie 2013  FONTOS GRAFICE.xls]Grafice'!$IA$13</c:f>
              <c:strCache>
                <c:ptCount val="1"/>
                <c:pt idx="0">
                  <c:v>Intarzieri 100 tr km</c:v>
                </c:pt>
              </c:strCache>
            </c:strRef>
          </c:tx>
          <c:spPr>
            <a:ln>
              <a:solidFill>
                <a:srgbClr val="FF0000"/>
              </a:solidFill>
            </a:ln>
          </c:spPr>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'[prelucrare date analiza operativa media februarie 2013  FONTOS GRAFICE.xls]Grafice'!$IB$12:$IJ$12</c:f>
              <c:strCache>
                <c:ptCount val="9"/>
                <c:pt idx="0">
                  <c:v>Bucuresti</c:v>
                </c:pt>
                <c:pt idx="1">
                  <c:v>Craiova</c:v>
                </c:pt>
                <c:pt idx="2">
                  <c:v>Timisoara</c:v>
                </c:pt>
                <c:pt idx="3">
                  <c:v>Cluj</c:v>
                </c:pt>
                <c:pt idx="4">
                  <c:v>Brasov</c:v>
                </c:pt>
                <c:pt idx="5">
                  <c:v>Iasi</c:v>
                </c:pt>
                <c:pt idx="6">
                  <c:v>Galati</c:v>
                </c:pt>
                <c:pt idx="7">
                  <c:v>Constanta</c:v>
                </c:pt>
                <c:pt idx="8">
                  <c:v>Total</c:v>
                </c:pt>
              </c:strCache>
            </c:strRef>
          </c:cat>
          <c:val>
            <c:numRef>
              <c:f>'[prelucrare date analiza operativa media februarie 2013  FONTOS GRAFICE.xls]Grafice'!$IB$13:$IJ$13</c:f>
              <c:numCache>
                <c:formatCode>0.0</c:formatCode>
                <c:ptCount val="9"/>
                <c:pt idx="0">
                  <c:v>8.7342817468326341</c:v>
                </c:pt>
                <c:pt idx="1">
                  <c:v>0.86517688541376669</c:v>
                </c:pt>
                <c:pt idx="2">
                  <c:v>0.29949447119413647</c:v>
                </c:pt>
                <c:pt idx="3">
                  <c:v>0.30280590636108856</c:v>
                </c:pt>
                <c:pt idx="4">
                  <c:v>2.8378353881555274</c:v>
                </c:pt>
                <c:pt idx="5">
                  <c:v>0.34446344493824582</c:v>
                </c:pt>
                <c:pt idx="6">
                  <c:v>0.15417299137479859</c:v>
                </c:pt>
                <c:pt idx="7">
                  <c:v>25.421085614703724</c:v>
                </c:pt>
                <c:pt idx="8">
                  <c:v>3.001116707105036</c:v>
                </c:pt>
              </c:numCache>
            </c:numRef>
          </c:val>
          <c:smooth val="0"/>
        </c:ser>
        <c:dLbls>
          <c:showLegendKey val="0"/>
          <c:showVal val="0"/>
          <c:showCatName val="0"/>
          <c:showSerName val="0"/>
          <c:showPercent val="0"/>
          <c:showBubbleSize val="0"/>
        </c:dLbls>
        <c:marker val="1"/>
        <c:smooth val="0"/>
        <c:axId val="46633984"/>
        <c:axId val="35884992"/>
      </c:lineChart>
      <c:catAx>
        <c:axId val="46633984"/>
        <c:scaling>
          <c:orientation val="minMax"/>
        </c:scaling>
        <c:delete val="0"/>
        <c:axPos val="b"/>
        <c:numFmt formatCode="General" sourceLinked="0"/>
        <c:majorTickMark val="none"/>
        <c:minorTickMark val="none"/>
        <c:tickLblPos val="nextTo"/>
        <c:crossAx val="35884992"/>
        <c:crosses val="autoZero"/>
        <c:auto val="1"/>
        <c:lblAlgn val="ctr"/>
        <c:lblOffset val="100"/>
        <c:noMultiLvlLbl val="0"/>
      </c:catAx>
      <c:valAx>
        <c:axId val="35884992"/>
        <c:scaling>
          <c:orientation val="minMax"/>
        </c:scaling>
        <c:delete val="0"/>
        <c:axPos val="l"/>
        <c:majorGridlines/>
        <c:title>
          <c:tx>
            <c:rich>
              <a:bodyPr rot="-5400000" vert="horz"/>
              <a:lstStyle/>
              <a:p>
                <a:pPr>
                  <a:defRPr/>
                </a:pPr>
                <a:r>
                  <a:rPr lang="en-US"/>
                  <a:t>Minute/100 tr.km</a:t>
                </a:r>
              </a:p>
            </c:rich>
          </c:tx>
          <c:overlay val="0"/>
        </c:title>
        <c:numFmt formatCode="0.0" sourceLinked="1"/>
        <c:majorTickMark val="none"/>
        <c:minorTickMark val="none"/>
        <c:tickLblPos val="nextTo"/>
        <c:spPr>
          <a:ln w="9525">
            <a:noFill/>
          </a:ln>
        </c:spPr>
        <c:crossAx val="46633984"/>
        <c:crosses val="autoZero"/>
        <c:crossBetween val="between"/>
      </c:valAx>
      <c:spPr>
        <a:solidFill>
          <a:schemeClr val="accent6">
            <a:lumMod val="20000"/>
            <a:lumOff val="80000"/>
          </a:schemeClr>
        </a:solidFill>
      </c:spPr>
    </c:plotArea>
    <c:legend>
      <c:legendPos val="b"/>
      <c:overlay val="0"/>
    </c:legend>
    <c:plotVisOnly val="1"/>
    <c:dispBlanksAs val="gap"/>
    <c:showDLblsOverMax val="0"/>
  </c:chart>
  <c:spPr>
    <a:solidFill>
      <a:schemeClr val="accent3">
        <a:lumMod val="40000"/>
        <a:lumOff val="60000"/>
      </a:schemeClr>
    </a:solidFill>
    <a:ln>
      <a:solidFill>
        <a:srgbClr val="FF0000"/>
      </a:solidFill>
    </a:ln>
  </c:spPr>
  <c:txPr>
    <a:bodyPr/>
    <a:lstStyle/>
    <a:p>
      <a:pPr>
        <a:defRPr>
          <a:latin typeface="Arial" panose="020B0604020202020204" pitchFamily="34" charset="0"/>
          <a:cs typeface="Arial" panose="020B0604020202020204" pitchFamily="34" charset="0"/>
        </a:defRPr>
      </a:pPr>
      <a:endParaRPr lang="ro-RO"/>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0"/>
    <c:plotArea>
      <c:layout/>
      <c:barChart>
        <c:barDir val="bar"/>
        <c:grouping val="clustered"/>
        <c:varyColors val="0"/>
        <c:ser>
          <c:idx val="0"/>
          <c:order val="0"/>
          <c:invertIfNegative val="0"/>
          <c:cat>
            <c:strRef>
              <c:f>Sheet1!$L$4:$L$14</c:f>
              <c:strCache>
                <c:ptCount val="11"/>
                <c:pt idx="0">
                  <c:v>Bucharest to Arad/Cluj via Brasov</c:v>
                </c:pt>
                <c:pt idx="1">
                  <c:v>Bucharest to Arad via Craiova</c:v>
                </c:pt>
                <c:pt idx="2">
                  <c:v>Bucharest to Galati/Iasi/Suceava</c:v>
                </c:pt>
                <c:pt idx="3">
                  <c:v>Bucharest to Sibiu via Ramnicu V.</c:v>
                </c:pt>
                <c:pt idx="4">
                  <c:v>Cluj to Iasi</c:v>
                </c:pt>
                <c:pt idx="5">
                  <c:v>Cluj to Oradea</c:v>
                </c:pt>
                <c:pt idx="6">
                  <c:v>Timisoara to Oreadea</c:v>
                </c:pt>
                <c:pt idx="7">
                  <c:v>Oradea to Cluj via Baia Mare</c:v>
                </c:pt>
                <c:pt idx="8">
                  <c:v>Bucharest to Giurgiu via Gradistea </c:v>
                </c:pt>
                <c:pt idx="9">
                  <c:v>Craiova to Calafat</c:v>
                </c:pt>
                <c:pt idx="10">
                  <c:v>Combined scenario</c:v>
                </c:pt>
              </c:strCache>
            </c:strRef>
          </c:cat>
          <c:val>
            <c:numRef>
              <c:f>Sheet1!$K$4:$K$14</c:f>
              <c:numCache>
                <c:formatCode>General</c:formatCode>
                <c:ptCount val="11"/>
                <c:pt idx="0">
                  <c:v>1.06</c:v>
                </c:pt>
                <c:pt idx="1">
                  <c:v>1.07</c:v>
                </c:pt>
                <c:pt idx="2">
                  <c:v>1.24</c:v>
                </c:pt>
                <c:pt idx="3">
                  <c:v>1.62</c:v>
                </c:pt>
                <c:pt idx="4">
                  <c:v>0.39000000000000434</c:v>
                </c:pt>
                <c:pt idx="5">
                  <c:v>0.39000000000000434</c:v>
                </c:pt>
                <c:pt idx="6">
                  <c:v>0.64000000000000856</c:v>
                </c:pt>
                <c:pt idx="7">
                  <c:v>0.25</c:v>
                </c:pt>
                <c:pt idx="8">
                  <c:v>4.2</c:v>
                </c:pt>
                <c:pt idx="9">
                  <c:v>0.91</c:v>
                </c:pt>
                <c:pt idx="10">
                  <c:v>1.04</c:v>
                </c:pt>
              </c:numCache>
            </c:numRef>
          </c:val>
        </c:ser>
        <c:dLbls>
          <c:showLegendKey val="0"/>
          <c:showVal val="0"/>
          <c:showCatName val="0"/>
          <c:showSerName val="0"/>
          <c:showPercent val="0"/>
          <c:showBubbleSize val="0"/>
        </c:dLbls>
        <c:gapWidth val="150"/>
        <c:axId val="46634496"/>
        <c:axId val="35888448"/>
      </c:barChart>
      <c:catAx>
        <c:axId val="46634496"/>
        <c:scaling>
          <c:orientation val="maxMin"/>
        </c:scaling>
        <c:delete val="0"/>
        <c:axPos val="l"/>
        <c:numFmt formatCode="General" sourceLinked="0"/>
        <c:majorTickMark val="out"/>
        <c:minorTickMark val="none"/>
        <c:tickLblPos val="nextTo"/>
        <c:crossAx val="35888448"/>
        <c:crosses val="autoZero"/>
        <c:auto val="1"/>
        <c:lblAlgn val="ctr"/>
        <c:lblOffset val="100"/>
        <c:noMultiLvlLbl val="0"/>
      </c:catAx>
      <c:valAx>
        <c:axId val="35888448"/>
        <c:scaling>
          <c:orientation val="minMax"/>
          <c:max val="4.5"/>
        </c:scaling>
        <c:delete val="0"/>
        <c:axPos val="t"/>
        <c:minorGridlines/>
        <c:title>
          <c:tx>
            <c:rich>
              <a:bodyPr/>
              <a:lstStyle/>
              <a:p>
                <a:pPr>
                  <a:defRPr/>
                </a:pPr>
                <a:r>
                  <a:rPr lang="en-US"/>
                  <a:t>BCR</a:t>
                </a:r>
              </a:p>
            </c:rich>
          </c:tx>
          <c:overlay val="0"/>
        </c:title>
        <c:numFmt formatCode="#,##0.0" sourceLinked="0"/>
        <c:majorTickMark val="out"/>
        <c:minorTickMark val="none"/>
        <c:tickLblPos val="nextTo"/>
        <c:crossAx val="46634496"/>
        <c:crosses val="autoZero"/>
        <c:crossBetween val="between"/>
        <c:majorUnit val="0.5"/>
        <c:minorUnit val="0.25"/>
      </c:valAx>
      <c:spPr>
        <a:ln>
          <a:solidFill>
            <a:schemeClr val="bg1">
              <a:lumMod val="65000"/>
            </a:schemeClr>
          </a:solidFill>
        </a:ln>
      </c:spPr>
    </c:plotArea>
    <c:plotVisOnly val="1"/>
    <c:dispBlanksAs val="gap"/>
    <c:showDLblsOverMax val="0"/>
  </c:chart>
  <c:txPr>
    <a:bodyPr/>
    <a:lstStyle/>
    <a:p>
      <a:pPr>
        <a:defRPr sz="900">
          <a:latin typeface="Arial" pitchFamily="34" charset="0"/>
          <a:cs typeface="Arial" pitchFamily="34" charset="0"/>
        </a:defRPr>
      </a:pPr>
      <a:endParaRPr lang="ro-R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tx>
                <c:rich>
                  <a:bodyPr/>
                  <a:lstStyle/>
                  <a:p>
                    <a:r>
                      <a:rPr lang="en-US"/>
                      <a:t>CFR Marfă (cale</a:t>
                    </a:r>
                    <a:r>
                      <a:rPr lang="en-US" baseline="0"/>
                      <a:t> ferată</a:t>
                    </a:r>
                    <a:r>
                      <a:rPr lang="en-US"/>
                      <a:t>)
12%</a:t>
                    </a:r>
                  </a:p>
                </c:rich>
              </c:tx>
              <c:showLegendKey val="0"/>
              <c:showVal val="0"/>
              <c:showCatName val="1"/>
              <c:showSerName val="0"/>
              <c:showPercent val="1"/>
              <c:showBubbleSize val="0"/>
              <c:extLst>
                <c:ext xmlns:c15="http://schemas.microsoft.com/office/drawing/2012/chart" uri="{CE6537A1-D6FC-4f65-9D91-7224C49458BB}"/>
              </c:extLst>
            </c:dLbl>
            <c:dLbl>
              <c:idx val="1"/>
              <c:tx>
                <c:rich>
                  <a:bodyPr/>
                  <a:lstStyle/>
                  <a:p>
                    <a:r>
                      <a:rPr lang="en-US"/>
                      <a:t>Operatori privați de cale ferată
7%</a:t>
                    </a:r>
                  </a:p>
                </c:rich>
              </c:tx>
              <c:showLegendKey val="0"/>
              <c:showVal val="0"/>
              <c:showCatName val="1"/>
              <c:showSerName val="0"/>
              <c:showPercent val="1"/>
              <c:showBubbleSize val="0"/>
              <c:extLst>
                <c:ext xmlns:c15="http://schemas.microsoft.com/office/drawing/2012/chart" uri="{CE6537A1-D6FC-4f65-9D91-7224C49458BB}"/>
              </c:extLst>
            </c:dLbl>
            <c:dLbl>
              <c:idx val="2"/>
              <c:tx>
                <c:rich>
                  <a:bodyPr/>
                  <a:lstStyle/>
                  <a:p>
                    <a:r>
                      <a:rPr lang="en-US"/>
                      <a:t>Drumuri
58%</a:t>
                    </a:r>
                  </a:p>
                </c:rich>
              </c:tx>
              <c:showLegendKey val="0"/>
              <c:showVal val="0"/>
              <c:showCatName val="1"/>
              <c:showSerName val="0"/>
              <c:showPercent val="1"/>
              <c:showBubbleSize val="0"/>
              <c:extLst>
                <c:ext xmlns:c15="http://schemas.microsoft.com/office/drawing/2012/chart" uri="{CE6537A1-D6FC-4f65-9D91-7224C49458BB}"/>
              </c:extLst>
            </c:dLbl>
            <c:dLbl>
              <c:idx val="3"/>
              <c:layout>
                <c:manualLayout>
                  <c:x val="-4.0600174978127727E-2"/>
                  <c:y val="0.15063502478856811"/>
                </c:manualLayout>
              </c:layout>
              <c:tx>
                <c:rich>
                  <a:bodyPr/>
                  <a:lstStyle/>
                  <a:p>
                    <a:r>
                      <a:rPr lang="en-US"/>
                      <a:t>Râuri
9%</a:t>
                    </a:r>
                  </a:p>
                </c:rich>
              </c:tx>
              <c:showLegendKey val="0"/>
              <c:showVal val="0"/>
              <c:showCatName val="1"/>
              <c:showSerName val="0"/>
              <c:showPercent val="1"/>
              <c:showBubbleSize val="0"/>
              <c:extLst>
                <c:ext xmlns:c15="http://schemas.microsoft.com/office/drawing/2012/chart" uri="{CE6537A1-D6FC-4f65-9D91-7224C49458BB}"/>
              </c:extLst>
            </c:dLbl>
            <c:dLbl>
              <c:idx val="4"/>
              <c:tx>
                <c:rich>
                  <a:bodyPr/>
                  <a:lstStyle/>
                  <a:p>
                    <a:r>
                      <a:rPr lang="en-US"/>
                      <a:t>Maritim
12%</a:t>
                    </a:r>
                  </a:p>
                </c:rich>
              </c:tx>
              <c:showLegendKey val="0"/>
              <c:showVal val="0"/>
              <c:showCatName val="1"/>
              <c:showSerName val="0"/>
              <c:showPercent val="1"/>
              <c:showBubbleSize val="0"/>
              <c:extLst>
                <c:ext xmlns:c15="http://schemas.microsoft.com/office/drawing/2012/chart" uri="{CE6537A1-D6FC-4f65-9D91-7224C49458BB}"/>
              </c:extLst>
            </c:dLbl>
            <c:dLbl>
              <c:idx val="5"/>
              <c:tx>
                <c:rich>
                  <a:bodyPr/>
                  <a:lstStyle/>
                  <a:p>
                    <a:r>
                      <a:rPr lang="en-US"/>
                      <a:t>Aer
0%</a:t>
                    </a:r>
                  </a:p>
                </c:rich>
              </c:tx>
              <c:showLegendKey val="0"/>
              <c:showVal val="0"/>
              <c:showCatName val="1"/>
              <c:showSerName val="0"/>
              <c:showPercent val="1"/>
              <c:showBubbleSize val="0"/>
              <c:extLst>
                <c:ext xmlns:c15="http://schemas.microsoft.com/office/drawing/2012/chart" uri="{CE6537A1-D6FC-4f65-9D91-7224C49458BB}"/>
              </c:extLst>
            </c:dLbl>
            <c:dLbl>
              <c:idx val="6"/>
              <c:tx>
                <c:rich>
                  <a:bodyPr/>
                  <a:lstStyle/>
                  <a:p>
                    <a:r>
                      <a:rPr lang="en-US"/>
                      <a:t>Conducte
2%</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Sheet1!$A$20:$A$26</c:f>
              <c:strCache>
                <c:ptCount val="7"/>
                <c:pt idx="0">
                  <c:v>CFR Marfa (rail)</c:v>
                </c:pt>
                <c:pt idx="1">
                  <c:v>Private rail operators</c:v>
                </c:pt>
                <c:pt idx="2">
                  <c:v>Road</c:v>
                </c:pt>
                <c:pt idx="3">
                  <c:v>River</c:v>
                </c:pt>
                <c:pt idx="4">
                  <c:v>Maritime</c:v>
                </c:pt>
                <c:pt idx="5">
                  <c:v>Air</c:v>
                </c:pt>
                <c:pt idx="6">
                  <c:v>Pipeline</c:v>
                </c:pt>
              </c:strCache>
            </c:strRef>
          </c:cat>
          <c:val>
            <c:numRef>
              <c:f>Sheet1!$B$20:$B$26</c:f>
              <c:numCache>
                <c:formatCode>#,##0</c:formatCode>
                <c:ptCount val="7"/>
                <c:pt idx="0">
                  <c:v>36736</c:v>
                </c:pt>
                <c:pt idx="1">
                  <c:v>23988</c:v>
                </c:pt>
                <c:pt idx="2">
                  <c:v>183629</c:v>
                </c:pt>
                <c:pt idx="3">
                  <c:v>29396</c:v>
                </c:pt>
                <c:pt idx="4">
                  <c:v>38883</c:v>
                </c:pt>
                <c:pt idx="5" formatCode="General">
                  <c:v>27</c:v>
                </c:pt>
                <c:pt idx="6">
                  <c:v>6020</c:v>
                </c:pt>
              </c:numCache>
            </c:numRef>
          </c:val>
        </c:ser>
        <c:dLbls>
          <c:showLegendKey val="0"/>
          <c:showVal val="1"/>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300908540280727E-2"/>
          <c:y val="6.5395095367847433E-2"/>
          <c:w val="0.84754516454673934"/>
          <c:h val="0.77308760110708263"/>
        </c:manualLayout>
      </c:layout>
      <c:lineChart>
        <c:grouping val="standard"/>
        <c:varyColors val="0"/>
        <c:ser>
          <c:idx val="4"/>
          <c:order val="0"/>
          <c:tx>
            <c:v>Forecast</c:v>
          </c:tx>
          <c:spPr>
            <a:ln w="22225"/>
          </c:spPr>
          <c:marker>
            <c:symbol val="none"/>
          </c:marker>
          <c:cat>
            <c:numRef>
              <c:f>'Sheet2 (2)'!$AS$6:$AS$37</c:f>
              <c:numCache>
                <c:formatCode>General</c:formatCode>
                <c:ptCount val="32"/>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pt idx="23">
                  <c:v>2022</c:v>
                </c:pt>
                <c:pt idx="24">
                  <c:v>2023</c:v>
                </c:pt>
                <c:pt idx="25">
                  <c:v>2024</c:v>
                </c:pt>
                <c:pt idx="26">
                  <c:v>2025</c:v>
                </c:pt>
                <c:pt idx="27">
                  <c:v>2026</c:v>
                </c:pt>
                <c:pt idx="28">
                  <c:v>2027</c:v>
                </c:pt>
                <c:pt idx="29">
                  <c:v>2028</c:v>
                </c:pt>
                <c:pt idx="30">
                  <c:v>2029</c:v>
                </c:pt>
                <c:pt idx="31">
                  <c:v>2030</c:v>
                </c:pt>
              </c:numCache>
            </c:numRef>
          </c:cat>
          <c:val>
            <c:numRef>
              <c:f>'Sheet2 (2)'!$AW$6:$AW$37</c:f>
              <c:numCache>
                <c:formatCode>General</c:formatCode>
                <c:ptCount val="32"/>
                <c:pt idx="0">
                  <c:v>124.98284551053735</c:v>
                </c:pt>
                <c:pt idx="1">
                  <c:v>122.87769655045715</c:v>
                </c:pt>
                <c:pt idx="2">
                  <c:v>122.57391961500792</c:v>
                </c:pt>
                <c:pt idx="3">
                  <c:v>128.06785618620773</c:v>
                </c:pt>
                <c:pt idx="4">
                  <c:v>134.84368840048921</c:v>
                </c:pt>
                <c:pt idx="5">
                  <c:v>141.41737040106619</c:v>
                </c:pt>
                <c:pt idx="6">
                  <c:v>148.5255932652436</c:v>
                </c:pt>
                <c:pt idx="7">
                  <c:v>160.75388002173995</c:v>
                </c:pt>
                <c:pt idx="8">
                  <c:v>167.57396217552972</c:v>
                </c:pt>
                <c:pt idx="9">
                  <c:v>180.76427259971999</c:v>
                </c:pt>
                <c:pt idx="10">
                  <c:v>192.27047698079627</c:v>
                </c:pt>
                <c:pt idx="11">
                  <c:v>206.59466924578172</c:v>
                </c:pt>
                <c:pt idx="12">
                  <c:v>193.40998880867627</c:v>
                </c:pt>
                <c:pt idx="13">
                  <c:v>197.76604443639658</c:v>
                </c:pt>
                <c:pt idx="14">
                  <c:v>200.09560087965858</c:v>
                </c:pt>
                <c:pt idx="15">
                  <c:v>207.99712783949388</c:v>
                </c:pt>
                <c:pt idx="16">
                  <c:v>217.25825904675602</c:v>
                </c:pt>
                <c:pt idx="17">
                  <c:v>226.71985716145272</c:v>
                </c:pt>
                <c:pt idx="18">
                  <c:v>237.02731706110276</c:v>
                </c:pt>
                <c:pt idx="19">
                  <c:v>243.79025049119952</c:v>
                </c:pt>
                <c:pt idx="20">
                  <c:v>250.72195218409792</c:v>
                </c:pt>
                <c:pt idx="21">
                  <c:v>257.81951803855026</c:v>
                </c:pt>
                <c:pt idx="22">
                  <c:v>267.56166845430158</c:v>
                </c:pt>
                <c:pt idx="23">
                  <c:v>277.57447590754356</c:v>
                </c:pt>
                <c:pt idx="24">
                  <c:v>287.84346973815036</c:v>
                </c:pt>
                <c:pt idx="25">
                  <c:v>298.35143550295385</c:v>
                </c:pt>
                <c:pt idx="26">
                  <c:v>309.07835754246815</c:v>
                </c:pt>
                <c:pt idx="27">
                  <c:v>320.00140194440149</c:v>
                </c:pt>
                <c:pt idx="28">
                  <c:v>331.09494527248694</c:v>
                </c:pt>
                <c:pt idx="29">
                  <c:v>342.33065380823899</c:v>
                </c:pt>
                <c:pt idx="30">
                  <c:v>353.67761715839225</c:v>
                </c:pt>
                <c:pt idx="31">
                  <c:v>365.10253891678559</c:v>
                </c:pt>
              </c:numCache>
            </c:numRef>
          </c:val>
          <c:smooth val="0"/>
        </c:ser>
        <c:ser>
          <c:idx val="0"/>
          <c:order val="1"/>
          <c:tx>
            <c:v>Observed</c:v>
          </c:tx>
          <c:spPr>
            <a:ln w="22225">
              <a:solidFill>
                <a:srgbClr val="FF0000"/>
              </a:solidFill>
            </a:ln>
          </c:spPr>
          <c:marker>
            <c:symbol val="none"/>
          </c:marker>
          <c:val>
            <c:numRef>
              <c:f>'Sheet2 (2)'!$AT$6:$AT$18</c:f>
              <c:numCache>
                <c:formatCode>General</c:formatCode>
                <c:ptCount val="13"/>
                <c:pt idx="0">
                  <c:v>120.15294863907575</c:v>
                </c:pt>
                <c:pt idx="1">
                  <c:v>123.69334262876085</c:v>
                </c:pt>
                <c:pt idx="2">
                  <c:v>128.44994642775222</c:v>
                </c:pt>
                <c:pt idx="3">
                  <c:v>136.18486798464542</c:v>
                </c:pt>
                <c:pt idx="4">
                  <c:v>141.81142007904003</c:v>
                </c:pt>
                <c:pt idx="5">
                  <c:v>148.55739318948667</c:v>
                </c:pt>
                <c:pt idx="6">
                  <c:v>155.30967755518748</c:v>
                </c:pt>
                <c:pt idx="7">
                  <c:v>149.03518072680609</c:v>
                </c:pt>
                <c:pt idx="8">
                  <c:v>164.82190522574905</c:v>
                </c:pt>
                <c:pt idx="9">
                  <c:v>187.07031340177892</c:v>
                </c:pt>
                <c:pt idx="10">
                  <c:v>197.45094288861637</c:v>
                </c:pt>
                <c:pt idx="11">
                  <c:v>201.27031794431377</c:v>
                </c:pt>
                <c:pt idx="12">
                  <c:v>202.40347332941408</c:v>
                </c:pt>
              </c:numCache>
            </c:numRef>
          </c:val>
          <c:smooth val="0"/>
        </c:ser>
        <c:dLbls>
          <c:showLegendKey val="0"/>
          <c:showVal val="0"/>
          <c:showCatName val="0"/>
          <c:showSerName val="0"/>
          <c:showPercent val="0"/>
          <c:showBubbleSize val="0"/>
        </c:dLbls>
        <c:marker val="1"/>
        <c:smooth val="0"/>
        <c:axId val="155669504"/>
        <c:axId val="172720704"/>
      </c:lineChart>
      <c:catAx>
        <c:axId val="155669504"/>
        <c:scaling>
          <c:orientation val="minMax"/>
        </c:scaling>
        <c:delete val="0"/>
        <c:axPos val="b"/>
        <c:numFmt formatCode="General" sourceLinked="1"/>
        <c:majorTickMark val="out"/>
        <c:minorTickMark val="none"/>
        <c:tickLblPos val="nextTo"/>
        <c:crossAx val="172720704"/>
        <c:crosses val="autoZero"/>
        <c:auto val="1"/>
        <c:lblAlgn val="ctr"/>
        <c:lblOffset val="100"/>
        <c:noMultiLvlLbl val="0"/>
      </c:catAx>
      <c:valAx>
        <c:axId val="172720704"/>
        <c:scaling>
          <c:orientation val="minMax"/>
        </c:scaling>
        <c:delete val="0"/>
        <c:axPos val="l"/>
        <c:majorGridlines>
          <c:spPr>
            <a:ln>
              <a:solidFill>
                <a:srgbClr val="FFFFFF">
                  <a:lumMod val="75000"/>
                </a:srgbClr>
              </a:solidFill>
            </a:ln>
          </c:spPr>
        </c:majorGridlines>
        <c:title>
          <c:tx>
            <c:rich>
              <a:bodyPr rot="-5400000" vert="horz"/>
              <a:lstStyle/>
              <a:p>
                <a:pPr>
                  <a:defRPr/>
                </a:pPr>
                <a:r>
                  <a:rPr lang="ro-RO">
                    <a:latin typeface="+mn-lt"/>
                  </a:rPr>
                  <a:t>Grad de motorizare</a:t>
                </a:r>
                <a:r>
                  <a:rPr lang="en-GB">
                    <a:latin typeface="+mn-lt"/>
                  </a:rPr>
                  <a:t> (</a:t>
                </a:r>
                <a:r>
                  <a:rPr lang="ro-RO">
                    <a:latin typeface="+mn-lt"/>
                  </a:rPr>
                  <a:t>autoturisme la</a:t>
                </a:r>
                <a:r>
                  <a:rPr lang="en-GB">
                    <a:latin typeface="+mn-lt"/>
                  </a:rPr>
                  <a:t> 1000</a:t>
                </a:r>
                <a:r>
                  <a:rPr lang="ro-RO">
                    <a:latin typeface="+mn-lt"/>
                  </a:rPr>
                  <a:t> locuitori</a:t>
                </a:r>
                <a:endParaRPr lang="en-GB">
                  <a:latin typeface="+mn-lt"/>
                </a:endParaRPr>
              </a:p>
            </c:rich>
          </c:tx>
          <c:layout>
            <c:manualLayout>
              <c:xMode val="edge"/>
              <c:yMode val="edge"/>
              <c:x val="1.0967445612460597E-2"/>
              <c:y val="0.25803315870133725"/>
            </c:manualLayout>
          </c:layout>
          <c:overlay val="0"/>
        </c:title>
        <c:numFmt formatCode="General" sourceLinked="1"/>
        <c:majorTickMark val="out"/>
        <c:minorTickMark val="none"/>
        <c:tickLblPos val="nextTo"/>
        <c:crossAx val="155669504"/>
        <c:crosses val="autoZero"/>
        <c:crossBetween val="between"/>
      </c:valAx>
    </c:plotArea>
    <c:legend>
      <c:legendPos val="b"/>
      <c:layout>
        <c:manualLayout>
          <c:xMode val="edge"/>
          <c:yMode val="edge"/>
          <c:x val="0.12007171411265899"/>
          <c:y val="9.1918156007065849E-2"/>
          <c:w val="0.16293333333334206"/>
          <c:h val="0.14513906470138099"/>
        </c:manualLayout>
      </c:layout>
      <c:overlay val="0"/>
    </c:legend>
    <c:plotVisOnly val="1"/>
    <c:dispBlanksAs val="gap"/>
    <c:showDLblsOverMax val="0"/>
  </c:chart>
  <c:txPr>
    <a:bodyPr/>
    <a:lstStyle/>
    <a:p>
      <a:pPr>
        <a:defRPr sz="900">
          <a:latin typeface="Arial" pitchFamily="34" charset="0"/>
          <a:cs typeface="Arial" pitchFamily="34" charset="0"/>
        </a:defRPr>
      </a:pPr>
      <a:endParaRPr lang="ro-R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26618547681964"/>
          <c:y val="5.1400554097404488E-2"/>
          <c:w val="0.6107629046369204"/>
          <c:h val="0.70027247816516824"/>
        </c:manualLayout>
      </c:layout>
      <c:barChart>
        <c:barDir val="col"/>
        <c:grouping val="stacked"/>
        <c:varyColors val="0"/>
        <c:ser>
          <c:idx val="0"/>
          <c:order val="0"/>
          <c:tx>
            <c:strRef>
              <c:f>Sheet1!$E$23</c:f>
              <c:strCache>
                <c:ptCount val="1"/>
                <c:pt idx="0">
                  <c:v>Major Commodity</c:v>
                </c:pt>
              </c:strCache>
            </c:strRef>
          </c:tx>
          <c:invertIfNegative val="0"/>
          <c:dLbls>
            <c:dLbl>
              <c:idx val="0"/>
              <c:layout>
                <c:manualLayout>
                  <c:x val="0"/>
                  <c:y val="-0.19559902200488988"/>
                </c:manualLayout>
              </c:layout>
              <c:tx>
                <c:rich>
                  <a:bodyPr/>
                  <a:lstStyle/>
                  <a:p>
                    <a:r>
                      <a:rPr lang="en-US"/>
                      <a:t>Ores</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4.11522633744856E-3"/>
                  <c:y val="-0.57701711491442542"/>
                </c:manualLayout>
              </c:layout>
              <c:tx>
                <c:rich>
                  <a:bodyPr/>
                  <a:lstStyle/>
                  <a:p>
                    <a:r>
                      <a:rPr lang="en-US"/>
                      <a:t>Iron Ore</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05761316872428E-3"/>
                  <c:y val="-0.27709912789018726"/>
                </c:manualLayout>
              </c:layout>
              <c:tx>
                <c:rich>
                  <a:bodyPr/>
                  <a:lstStyle/>
                  <a:p>
                    <a:r>
                      <a:rPr lang="en-US"/>
                      <a:t>Cereals</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057613168724365E-3"/>
                  <c:y val="-0.23471882640586791"/>
                </c:manualLayout>
              </c:layout>
              <c:tx>
                <c:rich>
                  <a:bodyPr/>
                  <a:lstStyle/>
                  <a:p>
                    <a:r>
                      <a:rPr lang="en-US"/>
                      <a:t>Mineral</a:t>
                    </a:r>
                    <a:r>
                      <a:rPr lang="en-US" baseline="0"/>
                      <a:t> Products</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6.1728395061728392E-3"/>
                  <c:y val="-0.23471882640586841"/>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4.11522633744856E-3"/>
                  <c:y val="-0.25101874490627546"/>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4.11522633744856E-3"/>
                  <c:y val="-0.21515892420537897"/>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7"/>
              <c:layout>
                <c:manualLayout>
                  <c:x val="0"/>
                  <c:y val="-0.22819885900570497"/>
                </c:manualLayout>
              </c:layout>
              <c:tx>
                <c:rich>
                  <a:bodyPr/>
                  <a:lstStyle/>
                  <a:p>
                    <a:r>
                      <a:rPr lang="en-US"/>
                      <a:t>Mineral Products</a:t>
                    </a:r>
                  </a:p>
                </c:rich>
              </c:tx>
              <c:showLegendKey val="0"/>
              <c:showVal val="1"/>
              <c:showCatName val="0"/>
              <c:showSerName val="0"/>
              <c:showPercent val="0"/>
              <c:showBubbleSize val="0"/>
              <c:extLst>
                <c:ext xmlns:c15="http://schemas.microsoft.com/office/drawing/2012/chart" uri="{CE6537A1-D6FC-4f65-9D91-7224C49458BB}"/>
              </c:extLst>
            </c:dLbl>
            <c:dLbl>
              <c:idx val="8"/>
              <c:layout>
                <c:manualLayout>
                  <c:x val="7.5444944640123328E-17"/>
                  <c:y val="-0.16951915240424054"/>
                </c:manualLayout>
              </c:layout>
              <c:tx>
                <c:rich>
                  <a:bodyPr/>
                  <a:lstStyle/>
                  <a:p>
                    <a:r>
                      <a:rPr lang="en-US"/>
                      <a:t>Cereals</a:t>
                    </a:r>
                  </a:p>
                </c:rich>
              </c:tx>
              <c:showLegendKey val="0"/>
              <c:showVal val="1"/>
              <c:showCatName val="0"/>
              <c:showSerName val="0"/>
              <c:showPercent val="0"/>
              <c:showBubbleSize val="0"/>
              <c:extLst>
                <c:ext xmlns:c15="http://schemas.microsoft.com/office/drawing/2012/chart" uri="{CE6537A1-D6FC-4f65-9D91-7224C49458BB}"/>
              </c:extLst>
            </c:dLbl>
            <c:dLbl>
              <c:idx val="9"/>
              <c:layout>
                <c:manualLayout>
                  <c:x val="-1.6201678493892549E-7"/>
                  <c:y val="-0.18255908720456399"/>
                </c:manualLayout>
              </c:layout>
              <c:tx>
                <c:rich>
                  <a:bodyPr/>
                  <a:lstStyle/>
                  <a:p>
                    <a:r>
                      <a:rPr lang="en-US"/>
                      <a:t>Foodstuffs</a:t>
                    </a:r>
                  </a:p>
                </c:rich>
              </c:tx>
              <c:showLegendKey val="0"/>
              <c:showVal val="1"/>
              <c:showCatName val="0"/>
              <c:showSerName val="0"/>
              <c:showPercent val="0"/>
              <c:showBubbleSize val="0"/>
              <c:extLst>
                <c:ext xmlns:c15="http://schemas.microsoft.com/office/drawing/2012/chart" uri="{CE6537A1-D6FC-4f65-9D91-7224C49458BB}"/>
              </c:extLst>
            </c:dLbl>
            <c:dLbl>
              <c:idx val="10"/>
              <c:layout>
                <c:manualLayout>
                  <c:x val="0"/>
                  <c:y val="-0.23145909939741974"/>
                </c:manualLayout>
              </c:layout>
              <c:tx>
                <c:rich>
                  <a:bodyPr/>
                  <a:lstStyle/>
                  <a:p>
                    <a:r>
                      <a:rPr lang="en-US"/>
                      <a:t>Petroleum Products</a:t>
                    </a:r>
                  </a:p>
                </c:rich>
              </c:tx>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0.17277913610431991"/>
                </c:manualLayout>
              </c:layout>
              <c:tx>
                <c:rich>
                  <a:bodyPr/>
                  <a:lstStyle/>
                  <a:p>
                    <a:r>
                      <a:rPr lang="en-US"/>
                      <a:t>Iron Ore</a:t>
                    </a:r>
                  </a:p>
                </c:rich>
              </c:tx>
              <c:showLegendKey val="0"/>
              <c:showVal val="1"/>
              <c:showCatName val="0"/>
              <c:showSerName val="0"/>
              <c:showPercent val="0"/>
              <c:showBubbleSize val="0"/>
              <c:extLst>
                <c:ext xmlns:c15="http://schemas.microsoft.com/office/drawing/2012/chart" uri="{CE6537A1-D6FC-4f65-9D91-7224C49458BB}"/>
              </c:extLst>
            </c:dLbl>
            <c:dLbl>
              <c:idx val="12"/>
              <c:layout>
                <c:manualLayout>
                  <c:x val="0"/>
                  <c:y val="-0.21841890790546495"/>
                </c:manualLayout>
              </c:layout>
              <c:tx>
                <c:rich>
                  <a:bodyPr/>
                  <a:lstStyle/>
                  <a:p>
                    <a:r>
                      <a:rPr lang="en-US"/>
                      <a:t>Metal Products</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vert="horz"/>
              <a:lstStyle/>
              <a:p>
                <a:pPr>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Sheet1!$D$24:$D$36</c:f>
              <c:strCache>
                <c:ptCount val="13"/>
                <c:pt idx="0">
                  <c:v>Tulcea</c:v>
                </c:pt>
                <c:pt idx="1">
                  <c:v>Galati</c:v>
                </c:pt>
                <c:pt idx="2">
                  <c:v>Braila</c:v>
                </c:pt>
                <c:pt idx="3">
                  <c:v>Cernavoda</c:v>
                </c:pt>
                <c:pt idx="4">
                  <c:v>Medgidia</c:v>
                </c:pt>
                <c:pt idx="5">
                  <c:v>Basarabi</c:v>
                </c:pt>
                <c:pt idx="6">
                  <c:v>Oltenita</c:v>
                </c:pt>
                <c:pt idx="7">
                  <c:v>Giurgiu</c:v>
                </c:pt>
                <c:pt idx="8">
                  <c:v>Corabia</c:v>
                </c:pt>
                <c:pt idx="9">
                  <c:v>Calafat</c:v>
                </c:pt>
                <c:pt idx="10">
                  <c:v>Drobeta</c:v>
                </c:pt>
                <c:pt idx="11">
                  <c:v>Orsova</c:v>
                </c:pt>
                <c:pt idx="12">
                  <c:v>Moldova Veche</c:v>
                </c:pt>
              </c:strCache>
            </c:strRef>
          </c:cat>
          <c:val>
            <c:numRef>
              <c:f>Sheet1!$E$24:$E$36</c:f>
              <c:numCache>
                <c:formatCode>General</c:formatCode>
                <c:ptCount val="13"/>
                <c:pt idx="0" formatCode="0">
                  <c:v>1344729</c:v>
                </c:pt>
                <c:pt idx="1">
                  <c:v>1364306</c:v>
                </c:pt>
                <c:pt idx="2">
                  <c:v>287096</c:v>
                </c:pt>
                <c:pt idx="3">
                  <c:v>106387</c:v>
                </c:pt>
                <c:pt idx="4">
                  <c:v>147000</c:v>
                </c:pt>
                <c:pt idx="5">
                  <c:v>1701000</c:v>
                </c:pt>
                <c:pt idx="6">
                  <c:v>310214</c:v>
                </c:pt>
                <c:pt idx="7">
                  <c:v>67030</c:v>
                </c:pt>
                <c:pt idx="8">
                  <c:v>15594</c:v>
                </c:pt>
                <c:pt idx="9">
                  <c:v>42795</c:v>
                </c:pt>
                <c:pt idx="10">
                  <c:v>326312</c:v>
                </c:pt>
                <c:pt idx="11">
                  <c:v>63608</c:v>
                </c:pt>
                <c:pt idx="12">
                  <c:v>13075</c:v>
                </c:pt>
              </c:numCache>
            </c:numRef>
          </c:val>
        </c:ser>
        <c:ser>
          <c:idx val="1"/>
          <c:order val="1"/>
          <c:tx>
            <c:strRef>
              <c:f>Sheet1!$F$23</c:f>
              <c:strCache>
                <c:ptCount val="1"/>
                <c:pt idx="0">
                  <c:v>Other Commodities</c:v>
                </c:pt>
              </c:strCache>
            </c:strRef>
          </c:tx>
          <c:invertIfNegative val="0"/>
          <c:dLbls>
            <c:delete val="1"/>
          </c:dLbls>
          <c:cat>
            <c:strRef>
              <c:f>Sheet1!$D$24:$D$36</c:f>
              <c:strCache>
                <c:ptCount val="13"/>
                <c:pt idx="0">
                  <c:v>Tulcea</c:v>
                </c:pt>
                <c:pt idx="1">
                  <c:v>Galati</c:v>
                </c:pt>
                <c:pt idx="2">
                  <c:v>Braila</c:v>
                </c:pt>
                <c:pt idx="3">
                  <c:v>Cernavoda</c:v>
                </c:pt>
                <c:pt idx="4">
                  <c:v>Medgidia</c:v>
                </c:pt>
                <c:pt idx="5">
                  <c:v>Basarabi</c:v>
                </c:pt>
                <c:pt idx="6">
                  <c:v>Oltenita</c:v>
                </c:pt>
                <c:pt idx="7">
                  <c:v>Giurgiu</c:v>
                </c:pt>
                <c:pt idx="8">
                  <c:v>Corabia</c:v>
                </c:pt>
                <c:pt idx="9">
                  <c:v>Calafat</c:v>
                </c:pt>
                <c:pt idx="10">
                  <c:v>Drobeta</c:v>
                </c:pt>
                <c:pt idx="11">
                  <c:v>Orsova</c:v>
                </c:pt>
                <c:pt idx="12">
                  <c:v>Moldova Veche</c:v>
                </c:pt>
              </c:strCache>
            </c:strRef>
          </c:cat>
          <c:val>
            <c:numRef>
              <c:f>Sheet1!$F$24:$F$36</c:f>
              <c:numCache>
                <c:formatCode>0</c:formatCode>
                <c:ptCount val="13"/>
                <c:pt idx="0">
                  <c:v>305591.00000000023</c:v>
                </c:pt>
                <c:pt idx="1">
                  <c:v>3735408</c:v>
                </c:pt>
                <c:pt idx="2">
                  <c:v>916455</c:v>
                </c:pt>
                <c:pt idx="3">
                  <c:v>25446</c:v>
                </c:pt>
                <c:pt idx="4">
                  <c:v>237000</c:v>
                </c:pt>
                <c:pt idx="5">
                  <c:v>18000</c:v>
                </c:pt>
                <c:pt idx="6">
                  <c:v>198193</c:v>
                </c:pt>
                <c:pt idx="7">
                  <c:v>189258</c:v>
                </c:pt>
                <c:pt idx="8">
                  <c:v>7019</c:v>
                </c:pt>
                <c:pt idx="9">
                  <c:v>96310</c:v>
                </c:pt>
                <c:pt idx="10">
                  <c:v>163800</c:v>
                </c:pt>
                <c:pt idx="11">
                  <c:v>124144</c:v>
                </c:pt>
                <c:pt idx="12">
                  <c:v>8430</c:v>
                </c:pt>
              </c:numCache>
            </c:numRef>
          </c:val>
        </c:ser>
        <c:dLbls>
          <c:showLegendKey val="0"/>
          <c:showVal val="1"/>
          <c:showCatName val="0"/>
          <c:showSerName val="0"/>
          <c:showPercent val="0"/>
          <c:showBubbleSize val="0"/>
        </c:dLbls>
        <c:gapWidth val="150"/>
        <c:overlap val="100"/>
        <c:axId val="46635520"/>
        <c:axId val="46383104"/>
      </c:barChart>
      <c:catAx>
        <c:axId val="46635520"/>
        <c:scaling>
          <c:orientation val="minMax"/>
        </c:scaling>
        <c:delete val="0"/>
        <c:axPos val="b"/>
        <c:numFmt formatCode="General" sourceLinked="0"/>
        <c:majorTickMark val="out"/>
        <c:minorTickMark val="none"/>
        <c:tickLblPos val="nextTo"/>
        <c:txPr>
          <a:bodyPr rot="-5400000" vert="horz"/>
          <a:lstStyle/>
          <a:p>
            <a:pPr>
              <a:defRPr/>
            </a:pPr>
            <a:endParaRPr lang="ro-RO"/>
          </a:p>
        </c:txPr>
        <c:crossAx val="46383104"/>
        <c:crosses val="autoZero"/>
        <c:auto val="1"/>
        <c:lblAlgn val="ctr"/>
        <c:lblOffset val="100"/>
        <c:noMultiLvlLbl val="0"/>
      </c:catAx>
      <c:valAx>
        <c:axId val="46383104"/>
        <c:scaling>
          <c:orientation val="minMax"/>
        </c:scaling>
        <c:delete val="0"/>
        <c:axPos val="l"/>
        <c:majorGridlines/>
        <c:title>
          <c:tx>
            <c:rich>
              <a:bodyPr rot="-5400000" vert="horz"/>
              <a:lstStyle/>
              <a:p>
                <a:pPr>
                  <a:defRPr/>
                </a:pPr>
                <a:r>
                  <a:rPr lang="en-US"/>
                  <a:t>Tonnes</a:t>
                </a:r>
              </a:p>
            </c:rich>
          </c:tx>
          <c:overlay val="0"/>
        </c:title>
        <c:numFmt formatCode="#,##0" sourceLinked="0"/>
        <c:majorTickMark val="out"/>
        <c:minorTickMark val="none"/>
        <c:tickLblPos val="nextTo"/>
        <c:crossAx val="46635520"/>
        <c:crosses val="autoZero"/>
        <c:crossBetween val="between"/>
      </c:valAx>
    </c:plotArea>
    <c:legend>
      <c:legendPos val="r"/>
      <c:layout>
        <c:manualLayout>
          <c:xMode val="edge"/>
          <c:yMode val="edge"/>
          <c:x val="0.82207025047794968"/>
          <c:y val="0.27276428988043488"/>
          <c:w val="0.16126308285538676"/>
          <c:h val="0.31095290172062723"/>
        </c:manualLayout>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Report!$N$412</c:f>
              <c:strCache>
                <c:ptCount val="1"/>
                <c:pt idx="0">
                  <c:v>Base 
Scenario</c:v>
                </c:pt>
              </c:strCache>
            </c:strRef>
          </c:tx>
          <c:invertIfNegative val="0"/>
          <c:cat>
            <c:numRef>
              <c:f>Report!$M$413:$M$415</c:f>
              <c:numCache>
                <c:formatCode>General</c:formatCode>
                <c:ptCount val="3"/>
                <c:pt idx="0">
                  <c:v>2011</c:v>
                </c:pt>
                <c:pt idx="1">
                  <c:v>2020</c:v>
                </c:pt>
                <c:pt idx="2">
                  <c:v>2030</c:v>
                </c:pt>
              </c:numCache>
            </c:numRef>
          </c:cat>
          <c:val>
            <c:numRef>
              <c:f>Report!$N$413:$N$415</c:f>
              <c:numCache>
                <c:formatCode>General</c:formatCode>
                <c:ptCount val="3"/>
                <c:pt idx="0" formatCode="#,##0">
                  <c:v>11764879.27905</c:v>
                </c:pt>
              </c:numCache>
            </c:numRef>
          </c:val>
        </c:ser>
        <c:ser>
          <c:idx val="1"/>
          <c:order val="1"/>
          <c:tx>
            <c:strRef>
              <c:f>Report!$O$412</c:f>
              <c:strCache>
                <c:ptCount val="1"/>
                <c:pt idx="0">
                  <c:v>Do Nothing Scenario</c:v>
                </c:pt>
              </c:strCache>
            </c:strRef>
          </c:tx>
          <c:invertIfNegative val="0"/>
          <c:cat>
            <c:numRef>
              <c:f>Report!$M$413:$M$415</c:f>
              <c:numCache>
                <c:formatCode>General</c:formatCode>
                <c:ptCount val="3"/>
                <c:pt idx="0">
                  <c:v>2011</c:v>
                </c:pt>
                <c:pt idx="1">
                  <c:v>2020</c:v>
                </c:pt>
                <c:pt idx="2">
                  <c:v>2030</c:v>
                </c:pt>
              </c:numCache>
            </c:numRef>
          </c:cat>
          <c:val>
            <c:numRef>
              <c:f>Report!$O$413:$O$415</c:f>
              <c:numCache>
                <c:formatCode>#,##0</c:formatCode>
                <c:ptCount val="3"/>
                <c:pt idx="1">
                  <c:v>11350854.216449857</c:v>
                </c:pt>
                <c:pt idx="2">
                  <c:v>12603622.276349979</c:v>
                </c:pt>
              </c:numCache>
            </c:numRef>
          </c:val>
        </c:ser>
        <c:ser>
          <c:idx val="2"/>
          <c:order val="2"/>
          <c:tx>
            <c:strRef>
              <c:f>Report!$P$412</c:f>
              <c:strCache>
                <c:ptCount val="1"/>
                <c:pt idx="0">
                  <c:v>Reference Case</c:v>
                </c:pt>
              </c:strCache>
            </c:strRef>
          </c:tx>
          <c:invertIfNegative val="0"/>
          <c:cat>
            <c:numRef>
              <c:f>Report!$M$413:$M$415</c:f>
              <c:numCache>
                <c:formatCode>General</c:formatCode>
                <c:ptCount val="3"/>
                <c:pt idx="0">
                  <c:v>2011</c:v>
                </c:pt>
                <c:pt idx="1">
                  <c:v>2020</c:v>
                </c:pt>
                <c:pt idx="2">
                  <c:v>2030</c:v>
                </c:pt>
              </c:numCache>
            </c:numRef>
          </c:cat>
          <c:val>
            <c:numRef>
              <c:f>Report!$P$413:$P$415</c:f>
              <c:numCache>
                <c:formatCode>#,##0</c:formatCode>
                <c:ptCount val="3"/>
                <c:pt idx="1">
                  <c:v>28687.404950000346</c:v>
                </c:pt>
                <c:pt idx="2">
                  <c:v>57903.567150004194</c:v>
                </c:pt>
              </c:numCache>
            </c:numRef>
          </c:val>
        </c:ser>
        <c:dLbls>
          <c:showLegendKey val="0"/>
          <c:showVal val="0"/>
          <c:showCatName val="0"/>
          <c:showSerName val="0"/>
          <c:showPercent val="0"/>
          <c:showBubbleSize val="0"/>
        </c:dLbls>
        <c:gapWidth val="150"/>
        <c:overlap val="100"/>
        <c:axId val="46635008"/>
        <c:axId val="46384832"/>
      </c:barChart>
      <c:catAx>
        <c:axId val="46635008"/>
        <c:scaling>
          <c:orientation val="minMax"/>
        </c:scaling>
        <c:delete val="0"/>
        <c:axPos val="b"/>
        <c:numFmt formatCode="General" sourceLinked="1"/>
        <c:majorTickMark val="out"/>
        <c:minorTickMark val="none"/>
        <c:tickLblPos val="nextTo"/>
        <c:crossAx val="46384832"/>
        <c:crosses val="autoZero"/>
        <c:auto val="1"/>
        <c:lblAlgn val="ctr"/>
        <c:lblOffset val="100"/>
        <c:noMultiLvlLbl val="0"/>
      </c:catAx>
      <c:valAx>
        <c:axId val="46384832"/>
        <c:scaling>
          <c:orientation val="minMax"/>
        </c:scaling>
        <c:delete val="0"/>
        <c:axPos val="l"/>
        <c:majorGridlines/>
        <c:title>
          <c:tx>
            <c:rich>
              <a:bodyPr rot="-5400000" vert="horz"/>
              <a:lstStyle/>
              <a:p>
                <a:pPr>
                  <a:defRPr/>
                </a:pPr>
                <a:r>
                  <a:rPr lang="en-GB"/>
                  <a:t>Tonnes</a:t>
                </a:r>
              </a:p>
            </c:rich>
          </c:tx>
          <c:overlay val="0"/>
        </c:title>
        <c:numFmt formatCode="#,##0" sourceLinked="1"/>
        <c:majorTickMark val="out"/>
        <c:minorTickMark val="none"/>
        <c:tickLblPos val="nextTo"/>
        <c:crossAx val="46635008"/>
        <c:crosses val="autoZero"/>
        <c:crossBetween val="between"/>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Report!$N$393</c:f>
              <c:strCache>
                <c:ptCount val="1"/>
                <c:pt idx="0">
                  <c:v>Base 
Scenario</c:v>
                </c:pt>
              </c:strCache>
            </c:strRef>
          </c:tx>
          <c:invertIfNegative val="0"/>
          <c:cat>
            <c:numRef>
              <c:f>Report!$M$394:$M$396</c:f>
              <c:numCache>
                <c:formatCode>General</c:formatCode>
                <c:ptCount val="3"/>
                <c:pt idx="0">
                  <c:v>2011</c:v>
                </c:pt>
                <c:pt idx="1">
                  <c:v>2020</c:v>
                </c:pt>
                <c:pt idx="2">
                  <c:v>2030</c:v>
                </c:pt>
              </c:numCache>
            </c:numRef>
          </c:cat>
          <c:val>
            <c:numRef>
              <c:f>Report!$N$394:$N$396</c:f>
              <c:numCache>
                <c:formatCode>General</c:formatCode>
                <c:ptCount val="3"/>
                <c:pt idx="0">
                  <c:v>13018906.140000001</c:v>
                </c:pt>
              </c:numCache>
            </c:numRef>
          </c:val>
        </c:ser>
        <c:ser>
          <c:idx val="1"/>
          <c:order val="1"/>
          <c:tx>
            <c:strRef>
              <c:f>Report!$O$393</c:f>
              <c:strCache>
                <c:ptCount val="1"/>
                <c:pt idx="0">
                  <c:v>Do Nothing Scenario</c:v>
                </c:pt>
              </c:strCache>
            </c:strRef>
          </c:tx>
          <c:invertIfNegative val="0"/>
          <c:cat>
            <c:numRef>
              <c:f>Report!$M$394:$M$396</c:f>
              <c:numCache>
                <c:formatCode>General</c:formatCode>
                <c:ptCount val="3"/>
                <c:pt idx="0">
                  <c:v>2011</c:v>
                </c:pt>
                <c:pt idx="1">
                  <c:v>2020</c:v>
                </c:pt>
                <c:pt idx="2">
                  <c:v>2030</c:v>
                </c:pt>
              </c:numCache>
            </c:numRef>
          </c:cat>
          <c:val>
            <c:numRef>
              <c:f>Report!$O$394:$O$396</c:f>
              <c:numCache>
                <c:formatCode>General</c:formatCode>
                <c:ptCount val="3"/>
                <c:pt idx="1">
                  <c:v>12301905.615</c:v>
                </c:pt>
                <c:pt idx="2">
                  <c:v>14408654.590000002</c:v>
                </c:pt>
              </c:numCache>
            </c:numRef>
          </c:val>
        </c:ser>
        <c:ser>
          <c:idx val="2"/>
          <c:order val="2"/>
          <c:tx>
            <c:strRef>
              <c:f>Report!$P$393</c:f>
              <c:strCache>
                <c:ptCount val="1"/>
                <c:pt idx="0">
                  <c:v>Reference Case</c:v>
                </c:pt>
              </c:strCache>
            </c:strRef>
          </c:tx>
          <c:invertIfNegative val="0"/>
          <c:cat>
            <c:numRef>
              <c:f>Report!$M$394:$M$396</c:f>
              <c:numCache>
                <c:formatCode>General</c:formatCode>
                <c:ptCount val="3"/>
                <c:pt idx="0">
                  <c:v>2011</c:v>
                </c:pt>
                <c:pt idx="1">
                  <c:v>2020</c:v>
                </c:pt>
                <c:pt idx="2">
                  <c:v>2030</c:v>
                </c:pt>
              </c:numCache>
            </c:numRef>
          </c:cat>
          <c:val>
            <c:numRef>
              <c:f>Report!$P$394:$P$396</c:f>
              <c:numCache>
                <c:formatCode>#,##0</c:formatCode>
                <c:ptCount val="3"/>
                <c:pt idx="1">
                  <c:v>29470.099999999617</c:v>
                </c:pt>
                <c:pt idx="2">
                  <c:v>6135.6499999985099</c:v>
                </c:pt>
              </c:numCache>
            </c:numRef>
          </c:val>
        </c:ser>
        <c:dLbls>
          <c:showLegendKey val="0"/>
          <c:showVal val="0"/>
          <c:showCatName val="0"/>
          <c:showSerName val="0"/>
          <c:showPercent val="0"/>
          <c:showBubbleSize val="0"/>
        </c:dLbls>
        <c:gapWidth val="150"/>
        <c:overlap val="100"/>
        <c:axId val="46636032"/>
        <c:axId val="46386560"/>
      </c:barChart>
      <c:catAx>
        <c:axId val="46636032"/>
        <c:scaling>
          <c:orientation val="minMax"/>
        </c:scaling>
        <c:delete val="0"/>
        <c:axPos val="b"/>
        <c:numFmt formatCode="General" sourceLinked="1"/>
        <c:majorTickMark val="out"/>
        <c:minorTickMark val="none"/>
        <c:tickLblPos val="nextTo"/>
        <c:crossAx val="46386560"/>
        <c:crosses val="autoZero"/>
        <c:auto val="1"/>
        <c:lblAlgn val="ctr"/>
        <c:lblOffset val="100"/>
        <c:noMultiLvlLbl val="0"/>
      </c:catAx>
      <c:valAx>
        <c:axId val="46386560"/>
        <c:scaling>
          <c:orientation val="minMax"/>
        </c:scaling>
        <c:delete val="0"/>
        <c:axPos val="l"/>
        <c:majorGridlines/>
        <c:numFmt formatCode="#,##0" sourceLinked="0"/>
        <c:majorTickMark val="out"/>
        <c:minorTickMark val="none"/>
        <c:tickLblPos val="nextTo"/>
        <c:crossAx val="46636032"/>
        <c:crosses val="autoZero"/>
        <c:crossBetween val="between"/>
      </c:valAx>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Report!$N$412</c:f>
              <c:strCache>
                <c:ptCount val="1"/>
                <c:pt idx="0">
                  <c:v>Base 
Scenario</c:v>
                </c:pt>
              </c:strCache>
            </c:strRef>
          </c:tx>
          <c:invertIfNegative val="0"/>
          <c:cat>
            <c:numRef>
              <c:f>Report!$M$413:$M$415</c:f>
              <c:numCache>
                <c:formatCode>General</c:formatCode>
                <c:ptCount val="3"/>
                <c:pt idx="0">
                  <c:v>2011</c:v>
                </c:pt>
                <c:pt idx="1">
                  <c:v>2020</c:v>
                </c:pt>
                <c:pt idx="2">
                  <c:v>2030</c:v>
                </c:pt>
              </c:numCache>
            </c:numRef>
          </c:cat>
          <c:val>
            <c:numRef>
              <c:f>Report!$N$413:$N$415</c:f>
              <c:numCache>
                <c:formatCode>General</c:formatCode>
                <c:ptCount val="3"/>
                <c:pt idx="0" formatCode="#,##0">
                  <c:v>11764879.27905</c:v>
                </c:pt>
              </c:numCache>
            </c:numRef>
          </c:val>
        </c:ser>
        <c:ser>
          <c:idx val="1"/>
          <c:order val="1"/>
          <c:tx>
            <c:strRef>
              <c:f>Report!$O$412</c:f>
              <c:strCache>
                <c:ptCount val="1"/>
                <c:pt idx="0">
                  <c:v>Do Nothing Scenario</c:v>
                </c:pt>
              </c:strCache>
            </c:strRef>
          </c:tx>
          <c:invertIfNegative val="0"/>
          <c:cat>
            <c:numRef>
              <c:f>Report!$M$413:$M$415</c:f>
              <c:numCache>
                <c:formatCode>General</c:formatCode>
                <c:ptCount val="3"/>
                <c:pt idx="0">
                  <c:v>2011</c:v>
                </c:pt>
                <c:pt idx="1">
                  <c:v>2020</c:v>
                </c:pt>
                <c:pt idx="2">
                  <c:v>2030</c:v>
                </c:pt>
              </c:numCache>
            </c:numRef>
          </c:cat>
          <c:val>
            <c:numRef>
              <c:f>Report!$O$413:$O$415</c:f>
              <c:numCache>
                <c:formatCode>#,##0</c:formatCode>
                <c:ptCount val="3"/>
                <c:pt idx="1">
                  <c:v>11350854.216449779</c:v>
                </c:pt>
                <c:pt idx="2">
                  <c:v>12603622.276349979</c:v>
                </c:pt>
              </c:numCache>
            </c:numRef>
          </c:val>
        </c:ser>
        <c:ser>
          <c:idx val="2"/>
          <c:order val="2"/>
          <c:tx>
            <c:strRef>
              <c:f>Report!$P$412</c:f>
              <c:strCache>
                <c:ptCount val="1"/>
                <c:pt idx="0">
                  <c:v>Reference Case</c:v>
                </c:pt>
              </c:strCache>
            </c:strRef>
          </c:tx>
          <c:invertIfNegative val="0"/>
          <c:cat>
            <c:numRef>
              <c:f>Report!$M$413:$M$415</c:f>
              <c:numCache>
                <c:formatCode>General</c:formatCode>
                <c:ptCount val="3"/>
                <c:pt idx="0">
                  <c:v>2011</c:v>
                </c:pt>
                <c:pt idx="1">
                  <c:v>2020</c:v>
                </c:pt>
                <c:pt idx="2">
                  <c:v>2030</c:v>
                </c:pt>
              </c:numCache>
            </c:numRef>
          </c:cat>
          <c:val>
            <c:numRef>
              <c:f>Report!$P$413:$P$415</c:f>
              <c:numCache>
                <c:formatCode>#,##0</c:formatCode>
                <c:ptCount val="3"/>
                <c:pt idx="1">
                  <c:v>28687.404950000346</c:v>
                </c:pt>
                <c:pt idx="2">
                  <c:v>57903.567150004194</c:v>
                </c:pt>
              </c:numCache>
            </c:numRef>
          </c:val>
        </c:ser>
        <c:dLbls>
          <c:showLegendKey val="0"/>
          <c:showVal val="0"/>
          <c:showCatName val="0"/>
          <c:showSerName val="0"/>
          <c:showPercent val="0"/>
          <c:showBubbleSize val="0"/>
        </c:dLbls>
        <c:gapWidth val="150"/>
        <c:overlap val="100"/>
        <c:axId val="43747328"/>
        <c:axId val="46388288"/>
      </c:barChart>
      <c:catAx>
        <c:axId val="43747328"/>
        <c:scaling>
          <c:orientation val="minMax"/>
        </c:scaling>
        <c:delete val="0"/>
        <c:axPos val="b"/>
        <c:numFmt formatCode="General" sourceLinked="1"/>
        <c:majorTickMark val="out"/>
        <c:minorTickMark val="none"/>
        <c:tickLblPos val="nextTo"/>
        <c:crossAx val="46388288"/>
        <c:crosses val="autoZero"/>
        <c:auto val="1"/>
        <c:lblAlgn val="ctr"/>
        <c:lblOffset val="100"/>
        <c:noMultiLvlLbl val="0"/>
      </c:catAx>
      <c:valAx>
        <c:axId val="46388288"/>
        <c:scaling>
          <c:orientation val="minMax"/>
        </c:scaling>
        <c:delete val="0"/>
        <c:axPos val="l"/>
        <c:majorGridlines/>
        <c:numFmt formatCode="#,##0" sourceLinked="1"/>
        <c:majorTickMark val="out"/>
        <c:minorTickMark val="none"/>
        <c:tickLblPos val="nextTo"/>
        <c:crossAx val="43747328"/>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barChart>
        <c:barDir val="col"/>
        <c:grouping val="stacked"/>
        <c:varyColors val="0"/>
        <c:ser>
          <c:idx val="0"/>
          <c:order val="0"/>
          <c:tx>
            <c:strRef>
              <c:f>Commodity!$G$9</c:f>
              <c:strCache>
                <c:ptCount val="1"/>
                <c:pt idx="0">
                  <c:v>Reference</c:v>
                </c:pt>
              </c:strCache>
            </c:strRef>
          </c:tx>
          <c:invertIfNegative val="0"/>
          <c:cat>
            <c:numRef>
              <c:f>Commodity!$H$1:$M$1</c:f>
              <c:numCache>
                <c:formatCode>General</c:formatCode>
                <c:ptCount val="6"/>
                <c:pt idx="0">
                  <c:v>2007</c:v>
                </c:pt>
                <c:pt idx="1">
                  <c:v>2008</c:v>
                </c:pt>
                <c:pt idx="2">
                  <c:v>2009</c:v>
                </c:pt>
                <c:pt idx="3">
                  <c:v>2010</c:v>
                </c:pt>
                <c:pt idx="4">
                  <c:v>2011</c:v>
                </c:pt>
                <c:pt idx="5">
                  <c:v>2020</c:v>
                </c:pt>
              </c:numCache>
            </c:numRef>
          </c:cat>
          <c:val>
            <c:numRef>
              <c:f>Commodity!$H$9:$M$9</c:f>
              <c:numCache>
                <c:formatCode>#,##0</c:formatCode>
                <c:ptCount val="6"/>
                <c:pt idx="0">
                  <c:v>10768787</c:v>
                </c:pt>
                <c:pt idx="1">
                  <c:v>11385192</c:v>
                </c:pt>
                <c:pt idx="2">
                  <c:v>7864229</c:v>
                </c:pt>
                <c:pt idx="3">
                  <c:v>10588282</c:v>
                </c:pt>
                <c:pt idx="4">
                  <c:v>8747432</c:v>
                </c:pt>
                <c:pt idx="5">
                  <c:v>12308789.15</c:v>
                </c:pt>
              </c:numCache>
            </c:numRef>
          </c:val>
        </c:ser>
        <c:ser>
          <c:idx val="1"/>
          <c:order val="1"/>
          <c:tx>
            <c:strRef>
              <c:f>Commodity!$G$10</c:f>
              <c:strCache>
                <c:ptCount val="1"/>
                <c:pt idx="0">
                  <c:v>Scheme</c:v>
                </c:pt>
              </c:strCache>
            </c:strRef>
          </c:tx>
          <c:spPr>
            <a:solidFill>
              <a:schemeClr val="tx1"/>
            </a:solidFill>
          </c:spPr>
          <c:invertIfNegative val="0"/>
          <c:cat>
            <c:numRef>
              <c:f>Commodity!$H$1:$M$1</c:f>
              <c:numCache>
                <c:formatCode>General</c:formatCode>
                <c:ptCount val="6"/>
                <c:pt idx="0">
                  <c:v>2007</c:v>
                </c:pt>
                <c:pt idx="1">
                  <c:v>2008</c:v>
                </c:pt>
                <c:pt idx="2">
                  <c:v>2009</c:v>
                </c:pt>
                <c:pt idx="3">
                  <c:v>2010</c:v>
                </c:pt>
                <c:pt idx="4">
                  <c:v>2011</c:v>
                </c:pt>
                <c:pt idx="5">
                  <c:v>2020</c:v>
                </c:pt>
              </c:numCache>
            </c:numRef>
          </c:cat>
          <c:val>
            <c:numRef>
              <c:f>Commodity!$H$10:$M$10</c:f>
              <c:numCache>
                <c:formatCode>General</c:formatCode>
                <c:ptCount val="6"/>
                <c:pt idx="5">
                  <c:v>599554.83999999939</c:v>
                </c:pt>
              </c:numCache>
            </c:numRef>
          </c:val>
        </c:ser>
        <c:dLbls>
          <c:showLegendKey val="0"/>
          <c:showVal val="0"/>
          <c:showCatName val="0"/>
          <c:showSerName val="0"/>
          <c:showPercent val="0"/>
          <c:showBubbleSize val="0"/>
        </c:dLbls>
        <c:gapWidth val="150"/>
        <c:overlap val="100"/>
        <c:axId val="46636544"/>
        <c:axId val="46390016"/>
      </c:barChart>
      <c:catAx>
        <c:axId val="46636544"/>
        <c:scaling>
          <c:orientation val="minMax"/>
        </c:scaling>
        <c:delete val="0"/>
        <c:axPos val="b"/>
        <c:numFmt formatCode="General" sourceLinked="1"/>
        <c:majorTickMark val="out"/>
        <c:minorTickMark val="none"/>
        <c:tickLblPos val="nextTo"/>
        <c:crossAx val="46390016"/>
        <c:crosses val="autoZero"/>
        <c:auto val="1"/>
        <c:lblAlgn val="ctr"/>
        <c:lblOffset val="100"/>
        <c:noMultiLvlLbl val="0"/>
      </c:catAx>
      <c:valAx>
        <c:axId val="46390016"/>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46636544"/>
        <c:crosses val="autoZero"/>
        <c:crossBetween val="between"/>
      </c:valAx>
    </c:plotArea>
    <c:legend>
      <c:legendPos val="r"/>
      <c:overlay val="0"/>
    </c:legend>
    <c:plotVisOnly val="1"/>
    <c:dispBlanksAs val="gap"/>
    <c:showDLblsOverMax val="0"/>
  </c:chart>
  <c:txPr>
    <a:bodyPr/>
    <a:lstStyle/>
    <a:p>
      <a:pPr>
        <a:defRPr u="sng"/>
      </a:pPr>
      <a:endParaRPr lang="ro-R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Commodity!$K$19</c:f>
              <c:strCache>
                <c:ptCount val="1"/>
                <c:pt idx="0">
                  <c:v>Reference</c:v>
                </c:pt>
              </c:strCache>
            </c:strRef>
          </c:tx>
          <c:invertIfNegative val="0"/>
          <c:cat>
            <c:numRef>
              <c:f>Commodity!$L$18:$Q$18</c:f>
              <c:numCache>
                <c:formatCode>General</c:formatCode>
                <c:ptCount val="6"/>
                <c:pt idx="0">
                  <c:v>2007</c:v>
                </c:pt>
                <c:pt idx="1">
                  <c:v>2008</c:v>
                </c:pt>
                <c:pt idx="2">
                  <c:v>2009</c:v>
                </c:pt>
                <c:pt idx="3">
                  <c:v>2010</c:v>
                </c:pt>
                <c:pt idx="4">
                  <c:v>2011</c:v>
                </c:pt>
                <c:pt idx="5">
                  <c:v>2020</c:v>
                </c:pt>
              </c:numCache>
            </c:numRef>
          </c:cat>
          <c:val>
            <c:numRef>
              <c:f>Commodity!$L$19:$Q$19</c:f>
              <c:numCache>
                <c:formatCode>General</c:formatCode>
                <c:ptCount val="6"/>
                <c:pt idx="0">
                  <c:v>249426</c:v>
                </c:pt>
                <c:pt idx="1">
                  <c:v>0</c:v>
                </c:pt>
                <c:pt idx="2">
                  <c:v>0</c:v>
                </c:pt>
                <c:pt idx="3">
                  <c:v>75533</c:v>
                </c:pt>
                <c:pt idx="4">
                  <c:v>131833</c:v>
                </c:pt>
                <c:pt idx="5">
                  <c:v>249360.55399999995</c:v>
                </c:pt>
              </c:numCache>
            </c:numRef>
          </c:val>
        </c:ser>
        <c:ser>
          <c:idx val="1"/>
          <c:order val="1"/>
          <c:tx>
            <c:strRef>
              <c:f>Commodity!$K$20</c:f>
              <c:strCache>
                <c:ptCount val="1"/>
                <c:pt idx="0">
                  <c:v>Scheme</c:v>
                </c:pt>
              </c:strCache>
            </c:strRef>
          </c:tx>
          <c:spPr>
            <a:solidFill>
              <a:schemeClr val="tx1"/>
            </a:solidFill>
          </c:spPr>
          <c:invertIfNegative val="0"/>
          <c:cat>
            <c:numRef>
              <c:f>Commodity!$L$18:$Q$18</c:f>
              <c:numCache>
                <c:formatCode>General</c:formatCode>
                <c:ptCount val="6"/>
                <c:pt idx="0">
                  <c:v>2007</c:v>
                </c:pt>
                <c:pt idx="1">
                  <c:v>2008</c:v>
                </c:pt>
                <c:pt idx="2">
                  <c:v>2009</c:v>
                </c:pt>
                <c:pt idx="3">
                  <c:v>2010</c:v>
                </c:pt>
                <c:pt idx="4">
                  <c:v>2011</c:v>
                </c:pt>
                <c:pt idx="5">
                  <c:v>2020</c:v>
                </c:pt>
              </c:numCache>
            </c:numRef>
          </c:cat>
          <c:val>
            <c:numRef>
              <c:f>Commodity!$L$20:$Q$20</c:f>
              <c:numCache>
                <c:formatCode>General</c:formatCode>
                <c:ptCount val="6"/>
                <c:pt idx="5">
                  <c:v>365350.54599999986</c:v>
                </c:pt>
              </c:numCache>
            </c:numRef>
          </c:val>
        </c:ser>
        <c:dLbls>
          <c:showLegendKey val="0"/>
          <c:showVal val="0"/>
          <c:showCatName val="0"/>
          <c:showSerName val="0"/>
          <c:showPercent val="0"/>
          <c:showBubbleSize val="0"/>
        </c:dLbls>
        <c:gapWidth val="150"/>
        <c:overlap val="100"/>
        <c:axId val="78917632"/>
        <c:axId val="46499520"/>
      </c:barChart>
      <c:catAx>
        <c:axId val="78917632"/>
        <c:scaling>
          <c:orientation val="minMax"/>
        </c:scaling>
        <c:delete val="0"/>
        <c:axPos val="b"/>
        <c:numFmt formatCode="General" sourceLinked="1"/>
        <c:majorTickMark val="out"/>
        <c:minorTickMark val="none"/>
        <c:tickLblPos val="nextTo"/>
        <c:crossAx val="46499520"/>
        <c:crosses val="autoZero"/>
        <c:auto val="1"/>
        <c:lblAlgn val="ctr"/>
        <c:lblOffset val="100"/>
        <c:noMultiLvlLbl val="0"/>
      </c:catAx>
      <c:valAx>
        <c:axId val="46499520"/>
        <c:scaling>
          <c:orientation val="minMax"/>
        </c:scaling>
        <c:delete val="0"/>
        <c:axPos val="l"/>
        <c:majorGridlines/>
        <c:numFmt formatCode="#,##0" sourceLinked="0"/>
        <c:majorTickMark val="out"/>
        <c:minorTickMark val="none"/>
        <c:tickLblPos val="nextTo"/>
        <c:crossAx val="78917632"/>
        <c:crosses val="autoZero"/>
        <c:crossBetween val="between"/>
      </c:valAx>
    </c:plotArea>
    <c:legend>
      <c:legendPos val="r"/>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'2002-2012'!$S$8</c:f>
              <c:strCache>
                <c:ptCount val="1"/>
                <c:pt idx="0">
                  <c:v>Reference</c:v>
                </c:pt>
              </c:strCache>
            </c:strRef>
          </c:tx>
          <c:invertIfNegative val="0"/>
          <c:cat>
            <c:numRef>
              <c:f>'2002-2012'!$T$7:$Y$7</c:f>
              <c:numCache>
                <c:formatCode>General</c:formatCode>
                <c:ptCount val="6"/>
                <c:pt idx="0">
                  <c:v>2007</c:v>
                </c:pt>
                <c:pt idx="1">
                  <c:v>2008</c:v>
                </c:pt>
                <c:pt idx="2">
                  <c:v>2009</c:v>
                </c:pt>
                <c:pt idx="3">
                  <c:v>2010</c:v>
                </c:pt>
                <c:pt idx="4">
                  <c:v>2011</c:v>
                </c:pt>
                <c:pt idx="5">
                  <c:v>2020</c:v>
                </c:pt>
              </c:numCache>
            </c:numRef>
          </c:cat>
          <c:val>
            <c:numRef>
              <c:f>'2002-2012'!$T$8:$Y$8</c:f>
              <c:numCache>
                <c:formatCode>0</c:formatCode>
                <c:ptCount val="6"/>
                <c:pt idx="0">
                  <c:v>522000</c:v>
                </c:pt>
                <c:pt idx="1">
                  <c:v>461000</c:v>
                </c:pt>
                <c:pt idx="2">
                  <c:v>380000</c:v>
                </c:pt>
                <c:pt idx="3">
                  <c:v>494000</c:v>
                </c:pt>
                <c:pt idx="4">
                  <c:v>1719000</c:v>
                </c:pt>
                <c:pt idx="5">
                  <c:v>40397.360500000003</c:v>
                </c:pt>
              </c:numCache>
            </c:numRef>
          </c:val>
        </c:ser>
        <c:ser>
          <c:idx val="1"/>
          <c:order val="1"/>
          <c:tx>
            <c:strRef>
              <c:f>'2002-2012'!$S$9</c:f>
              <c:strCache>
                <c:ptCount val="1"/>
                <c:pt idx="0">
                  <c:v>Scheme</c:v>
                </c:pt>
              </c:strCache>
            </c:strRef>
          </c:tx>
          <c:spPr>
            <a:solidFill>
              <a:schemeClr val="tx1"/>
            </a:solidFill>
          </c:spPr>
          <c:invertIfNegative val="0"/>
          <c:cat>
            <c:numRef>
              <c:f>'2002-2012'!$T$7:$Y$7</c:f>
              <c:numCache>
                <c:formatCode>General</c:formatCode>
                <c:ptCount val="6"/>
                <c:pt idx="0">
                  <c:v>2007</c:v>
                </c:pt>
                <c:pt idx="1">
                  <c:v>2008</c:v>
                </c:pt>
                <c:pt idx="2">
                  <c:v>2009</c:v>
                </c:pt>
                <c:pt idx="3">
                  <c:v>2010</c:v>
                </c:pt>
                <c:pt idx="4">
                  <c:v>2011</c:v>
                </c:pt>
                <c:pt idx="5">
                  <c:v>2020</c:v>
                </c:pt>
              </c:numCache>
            </c:numRef>
          </c:cat>
          <c:val>
            <c:numRef>
              <c:f>'2002-2012'!$T$9:$Y$9</c:f>
              <c:numCache>
                <c:formatCode>General</c:formatCode>
                <c:ptCount val="6"/>
                <c:pt idx="5" formatCode="0">
                  <c:v>6558</c:v>
                </c:pt>
              </c:numCache>
            </c:numRef>
          </c:val>
        </c:ser>
        <c:dLbls>
          <c:showLegendKey val="0"/>
          <c:showVal val="0"/>
          <c:showCatName val="0"/>
          <c:showSerName val="0"/>
          <c:showPercent val="0"/>
          <c:showBubbleSize val="0"/>
        </c:dLbls>
        <c:gapWidth val="150"/>
        <c:overlap val="100"/>
        <c:axId val="78918144"/>
        <c:axId val="46497792"/>
      </c:barChart>
      <c:catAx>
        <c:axId val="78918144"/>
        <c:scaling>
          <c:orientation val="minMax"/>
        </c:scaling>
        <c:delete val="0"/>
        <c:axPos val="b"/>
        <c:numFmt formatCode="General" sourceLinked="1"/>
        <c:majorTickMark val="out"/>
        <c:minorTickMark val="none"/>
        <c:tickLblPos val="nextTo"/>
        <c:crossAx val="46497792"/>
        <c:crosses val="autoZero"/>
        <c:auto val="1"/>
        <c:lblAlgn val="ctr"/>
        <c:lblOffset val="100"/>
        <c:noMultiLvlLbl val="0"/>
      </c:catAx>
      <c:valAx>
        <c:axId val="46497792"/>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78918144"/>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Commodity!$H$9</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Commodity!$I$9:$N$9</c:f>
              <c:numCache>
                <c:formatCode>General</c:formatCode>
                <c:ptCount val="6"/>
                <c:pt idx="0">
                  <c:v>748139</c:v>
                </c:pt>
                <c:pt idx="1">
                  <c:v>928395</c:v>
                </c:pt>
                <c:pt idx="2">
                  <c:v>562564</c:v>
                </c:pt>
                <c:pt idx="3">
                  <c:v>404900</c:v>
                </c:pt>
                <c:pt idx="4">
                  <c:v>508407</c:v>
                </c:pt>
                <c:pt idx="5">
                  <c:v>672085.92450000008</c:v>
                </c:pt>
              </c:numCache>
            </c:numRef>
          </c:val>
        </c:ser>
        <c:ser>
          <c:idx val="6"/>
          <c:order val="1"/>
          <c:tx>
            <c:strRef>
              <c:f>Commodity!$H$10</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Commodity!$I$10:$N$10</c:f>
              <c:numCache>
                <c:formatCode>General</c:formatCode>
                <c:ptCount val="6"/>
                <c:pt idx="5">
                  <c:v>35908.210900000005</c:v>
                </c:pt>
              </c:numCache>
            </c:numRef>
          </c:val>
        </c:ser>
        <c:dLbls>
          <c:showLegendKey val="0"/>
          <c:showVal val="0"/>
          <c:showCatName val="0"/>
          <c:showSerName val="0"/>
          <c:showPercent val="0"/>
          <c:showBubbleSize val="0"/>
        </c:dLbls>
        <c:gapWidth val="150"/>
        <c:overlap val="100"/>
        <c:axId val="78918656"/>
        <c:axId val="46501824"/>
      </c:barChart>
      <c:catAx>
        <c:axId val="78918656"/>
        <c:scaling>
          <c:orientation val="minMax"/>
        </c:scaling>
        <c:delete val="0"/>
        <c:axPos val="b"/>
        <c:numFmt formatCode="General" sourceLinked="1"/>
        <c:majorTickMark val="out"/>
        <c:minorTickMark val="none"/>
        <c:tickLblPos val="nextTo"/>
        <c:crossAx val="46501824"/>
        <c:crosses val="autoZero"/>
        <c:auto val="1"/>
        <c:lblAlgn val="ctr"/>
        <c:lblOffset val="100"/>
        <c:noMultiLvlLbl val="0"/>
      </c:catAx>
      <c:valAx>
        <c:axId val="46501824"/>
        <c:scaling>
          <c:orientation val="minMax"/>
        </c:scaling>
        <c:delete val="0"/>
        <c:axPos val="l"/>
        <c:majorGridlines/>
        <c:numFmt formatCode="#,##0" sourceLinked="0"/>
        <c:majorTickMark val="out"/>
        <c:minorTickMark val="none"/>
        <c:tickLblPos val="nextTo"/>
        <c:crossAx val="78918656"/>
        <c:crosses val="autoZero"/>
        <c:crossBetween val="between"/>
      </c:valAx>
    </c:plotArea>
    <c:legend>
      <c:legendPos val="r"/>
      <c:overlay val="0"/>
      <c:txPr>
        <a:bodyPr/>
        <a:lstStyle/>
        <a:p>
          <a:pPr>
            <a:defRPr sz="800"/>
          </a:pPr>
          <a:endParaRPr lang="ro-RO"/>
        </a:p>
      </c:txPr>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Commodity!$H$10</c:f>
              <c:strCache>
                <c:ptCount val="1"/>
                <c:pt idx="0">
                  <c:v>Reference</c:v>
                </c:pt>
              </c:strCache>
            </c:strRef>
          </c:tx>
          <c:invertIfNegative val="0"/>
          <c:cat>
            <c:numRef>
              <c:f>Commodity!$B$28:$G$28</c:f>
              <c:numCache>
                <c:formatCode>General</c:formatCode>
                <c:ptCount val="6"/>
                <c:pt idx="0">
                  <c:v>2007</c:v>
                </c:pt>
                <c:pt idx="1">
                  <c:v>2008</c:v>
                </c:pt>
                <c:pt idx="2">
                  <c:v>2009</c:v>
                </c:pt>
                <c:pt idx="3">
                  <c:v>2010</c:v>
                </c:pt>
                <c:pt idx="4">
                  <c:v>2011</c:v>
                </c:pt>
                <c:pt idx="5">
                  <c:v>2020</c:v>
                </c:pt>
              </c:numCache>
            </c:numRef>
          </c:cat>
          <c:val>
            <c:numRef>
              <c:f>Commodity!$I$10:$N$10</c:f>
              <c:numCache>
                <c:formatCode>General</c:formatCode>
                <c:ptCount val="6"/>
                <c:pt idx="0">
                  <c:v>566358</c:v>
                </c:pt>
                <c:pt idx="1">
                  <c:v>539153</c:v>
                </c:pt>
                <c:pt idx="2">
                  <c:v>288839</c:v>
                </c:pt>
                <c:pt idx="3">
                  <c:v>376233</c:v>
                </c:pt>
                <c:pt idx="4">
                  <c:v>256288</c:v>
                </c:pt>
                <c:pt idx="5">
                  <c:v>459372.97650000022</c:v>
                </c:pt>
              </c:numCache>
            </c:numRef>
          </c:val>
        </c:ser>
        <c:ser>
          <c:idx val="9"/>
          <c:order val="1"/>
          <c:tx>
            <c:strRef>
              <c:f>Commodity!$H$11</c:f>
              <c:strCache>
                <c:ptCount val="1"/>
                <c:pt idx="0">
                  <c:v>Scheme</c:v>
                </c:pt>
              </c:strCache>
            </c:strRef>
          </c:tx>
          <c:spPr>
            <a:solidFill>
              <a:schemeClr val="tx1"/>
            </a:solidFill>
          </c:spPr>
          <c:invertIfNegative val="0"/>
          <c:cat>
            <c:numRef>
              <c:f>Commodity!$B$28:$G$28</c:f>
              <c:numCache>
                <c:formatCode>General</c:formatCode>
                <c:ptCount val="6"/>
                <c:pt idx="0">
                  <c:v>2007</c:v>
                </c:pt>
                <c:pt idx="1">
                  <c:v>2008</c:v>
                </c:pt>
                <c:pt idx="2">
                  <c:v>2009</c:v>
                </c:pt>
                <c:pt idx="3">
                  <c:v>2010</c:v>
                </c:pt>
                <c:pt idx="4">
                  <c:v>2011</c:v>
                </c:pt>
                <c:pt idx="5">
                  <c:v>2020</c:v>
                </c:pt>
              </c:numCache>
            </c:numRef>
          </c:cat>
          <c:val>
            <c:numRef>
              <c:f>Commodity!$I$11:$N$11</c:f>
              <c:numCache>
                <c:formatCode>General</c:formatCode>
                <c:ptCount val="6"/>
                <c:pt idx="5">
                  <c:v>54372.188500000011</c:v>
                </c:pt>
              </c:numCache>
            </c:numRef>
          </c:val>
        </c:ser>
        <c:dLbls>
          <c:showLegendKey val="0"/>
          <c:showVal val="0"/>
          <c:showCatName val="0"/>
          <c:showSerName val="0"/>
          <c:showPercent val="0"/>
          <c:showBubbleSize val="0"/>
        </c:dLbls>
        <c:gapWidth val="150"/>
        <c:overlap val="100"/>
        <c:axId val="78919168"/>
        <c:axId val="46503552"/>
      </c:barChart>
      <c:catAx>
        <c:axId val="78919168"/>
        <c:scaling>
          <c:orientation val="minMax"/>
        </c:scaling>
        <c:delete val="0"/>
        <c:axPos val="b"/>
        <c:numFmt formatCode="General" sourceLinked="1"/>
        <c:majorTickMark val="out"/>
        <c:minorTickMark val="none"/>
        <c:tickLblPos val="nextTo"/>
        <c:crossAx val="46503552"/>
        <c:crosses val="autoZero"/>
        <c:auto val="1"/>
        <c:lblAlgn val="ctr"/>
        <c:lblOffset val="100"/>
        <c:noMultiLvlLbl val="0"/>
      </c:catAx>
      <c:valAx>
        <c:axId val="46503552"/>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78919168"/>
        <c:crosses val="autoZero"/>
        <c:crossBetween val="between"/>
      </c:valAx>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Sheet1!$C$6</c:f>
              <c:strCache>
                <c:ptCount val="1"/>
                <c:pt idx="0">
                  <c:v>Reference</c:v>
                </c:pt>
              </c:strCache>
            </c:strRef>
          </c:tx>
          <c:invertIfNegative val="0"/>
          <c:cat>
            <c:numRef>
              <c:f>Sheet1!$D$5:$I$5</c:f>
              <c:numCache>
                <c:formatCode>General</c:formatCode>
                <c:ptCount val="6"/>
                <c:pt idx="0">
                  <c:v>2007</c:v>
                </c:pt>
                <c:pt idx="1">
                  <c:v>2008</c:v>
                </c:pt>
                <c:pt idx="2">
                  <c:v>2009</c:v>
                </c:pt>
                <c:pt idx="3">
                  <c:v>2010</c:v>
                </c:pt>
                <c:pt idx="4">
                  <c:v>2011</c:v>
                </c:pt>
                <c:pt idx="5">
                  <c:v>2020</c:v>
                </c:pt>
              </c:numCache>
            </c:numRef>
          </c:cat>
          <c:val>
            <c:numRef>
              <c:f>Sheet1!$D$6:$I$6</c:f>
              <c:numCache>
                <c:formatCode>General</c:formatCode>
                <c:ptCount val="6"/>
                <c:pt idx="0">
                  <c:v>40657</c:v>
                </c:pt>
                <c:pt idx="1">
                  <c:v>5960</c:v>
                </c:pt>
                <c:pt idx="2">
                  <c:v>57488</c:v>
                </c:pt>
                <c:pt idx="3">
                  <c:v>93977</c:v>
                </c:pt>
                <c:pt idx="4">
                  <c:v>22613</c:v>
                </c:pt>
                <c:pt idx="5">
                  <c:v>70123.175850000087</c:v>
                </c:pt>
              </c:numCache>
            </c:numRef>
          </c:val>
        </c:ser>
        <c:ser>
          <c:idx val="1"/>
          <c:order val="1"/>
          <c:tx>
            <c:strRef>
              <c:f>Sheet1!$C$7</c:f>
              <c:strCache>
                <c:ptCount val="1"/>
                <c:pt idx="0">
                  <c:v>Scheme</c:v>
                </c:pt>
              </c:strCache>
            </c:strRef>
          </c:tx>
          <c:spPr>
            <a:solidFill>
              <a:schemeClr val="tx1"/>
            </a:solidFill>
          </c:spPr>
          <c:invertIfNegative val="0"/>
          <c:cat>
            <c:numRef>
              <c:f>Sheet1!$D$5:$I$5</c:f>
              <c:numCache>
                <c:formatCode>General</c:formatCode>
                <c:ptCount val="6"/>
                <c:pt idx="0">
                  <c:v>2007</c:v>
                </c:pt>
                <c:pt idx="1">
                  <c:v>2008</c:v>
                </c:pt>
                <c:pt idx="2">
                  <c:v>2009</c:v>
                </c:pt>
                <c:pt idx="3">
                  <c:v>2010</c:v>
                </c:pt>
                <c:pt idx="4">
                  <c:v>2011</c:v>
                </c:pt>
                <c:pt idx="5">
                  <c:v>2020</c:v>
                </c:pt>
              </c:numCache>
            </c:numRef>
          </c:cat>
          <c:val>
            <c:numRef>
              <c:f>Sheet1!$D$7:$I$7</c:f>
              <c:numCache>
                <c:formatCode>General</c:formatCode>
                <c:ptCount val="6"/>
                <c:pt idx="5">
                  <c:v>73848.373150000087</c:v>
                </c:pt>
              </c:numCache>
            </c:numRef>
          </c:val>
        </c:ser>
        <c:dLbls>
          <c:showLegendKey val="0"/>
          <c:showVal val="0"/>
          <c:showCatName val="0"/>
          <c:showSerName val="0"/>
          <c:showPercent val="0"/>
          <c:showBubbleSize val="0"/>
        </c:dLbls>
        <c:gapWidth val="150"/>
        <c:overlap val="100"/>
        <c:axId val="78919680"/>
        <c:axId val="46505280"/>
      </c:barChart>
      <c:catAx>
        <c:axId val="78919680"/>
        <c:scaling>
          <c:orientation val="minMax"/>
        </c:scaling>
        <c:delete val="0"/>
        <c:axPos val="b"/>
        <c:numFmt formatCode="General" sourceLinked="1"/>
        <c:majorTickMark val="out"/>
        <c:minorTickMark val="none"/>
        <c:tickLblPos val="nextTo"/>
        <c:crossAx val="46505280"/>
        <c:crosses val="autoZero"/>
        <c:auto val="1"/>
        <c:lblAlgn val="ctr"/>
        <c:lblOffset val="100"/>
        <c:noMultiLvlLbl val="0"/>
      </c:catAx>
      <c:valAx>
        <c:axId val="46505280"/>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7891968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 of National Network that is Motorway Standard</c:v>
          </c:tx>
          <c:invertIfNegative val="0"/>
          <c:cat>
            <c:strRef>
              <c:f>'length_road (3)'!$M$8:$M$18</c:f>
              <c:strCache>
                <c:ptCount val="11"/>
                <c:pt idx="0">
                  <c:v>Denmark</c:v>
                </c:pt>
                <c:pt idx="1">
                  <c:v>Estonia</c:v>
                </c:pt>
                <c:pt idx="2">
                  <c:v>Ireland</c:v>
                </c:pt>
                <c:pt idx="3">
                  <c:v>Greece</c:v>
                </c:pt>
                <c:pt idx="4">
                  <c:v>Latvia</c:v>
                </c:pt>
                <c:pt idx="5">
                  <c:v>Lithuania</c:v>
                </c:pt>
                <c:pt idx="6">
                  <c:v>Poland</c:v>
                </c:pt>
                <c:pt idx="7">
                  <c:v>Romania</c:v>
                </c:pt>
                <c:pt idx="8">
                  <c:v>Slovakia</c:v>
                </c:pt>
                <c:pt idx="9">
                  <c:v>Finland</c:v>
                </c:pt>
                <c:pt idx="10">
                  <c:v>Norway</c:v>
                </c:pt>
              </c:strCache>
            </c:strRef>
          </c:cat>
          <c:val>
            <c:numRef>
              <c:f>'length_road (3)'!$N$8:$N$18</c:f>
              <c:numCache>
                <c:formatCode>0.0%</c:formatCode>
                <c:ptCount val="11"/>
                <c:pt idx="0">
                  <c:v>0.29465449804432858</c:v>
                </c:pt>
                <c:pt idx="1">
                  <c:v>2.7926177756192352E-2</c:v>
                </c:pt>
                <c:pt idx="2">
                  <c:v>0.15845070422535221</c:v>
                </c:pt>
                <c:pt idx="3">
                  <c:v>0.11356849243987235</c:v>
                </c:pt>
                <c:pt idx="4">
                  <c:v>0</c:v>
                </c:pt>
                <c:pt idx="5">
                  <c:v>4.6292134831460933E-2</c:v>
                </c:pt>
                <c:pt idx="6">
                  <c:v>4.6055707522073955E-2</c:v>
                </c:pt>
                <c:pt idx="7">
                  <c:v>2.0057999033349445E-2</c:v>
                </c:pt>
                <c:pt idx="8">
                  <c:v>0.10597190023906768</c:v>
                </c:pt>
                <c:pt idx="9">
                  <c:v>5.8443994298147034E-2</c:v>
                </c:pt>
                <c:pt idx="10">
                  <c:v>3.5028040820079452E-2</c:v>
                </c:pt>
              </c:numCache>
            </c:numRef>
          </c:val>
        </c:ser>
        <c:ser>
          <c:idx val="1"/>
          <c:order val="1"/>
          <c:tx>
            <c:v>% of Total Network that is National</c:v>
          </c:tx>
          <c:invertIfNegative val="0"/>
          <c:cat>
            <c:strRef>
              <c:f>'length_road (3)'!$M$8:$M$18</c:f>
              <c:strCache>
                <c:ptCount val="11"/>
                <c:pt idx="0">
                  <c:v>Denmark</c:v>
                </c:pt>
                <c:pt idx="1">
                  <c:v>Estonia</c:v>
                </c:pt>
                <c:pt idx="2">
                  <c:v>Ireland</c:v>
                </c:pt>
                <c:pt idx="3">
                  <c:v>Greece</c:v>
                </c:pt>
                <c:pt idx="4">
                  <c:v>Latvia</c:v>
                </c:pt>
                <c:pt idx="5">
                  <c:v>Lithuania</c:v>
                </c:pt>
                <c:pt idx="6">
                  <c:v>Poland</c:v>
                </c:pt>
                <c:pt idx="7">
                  <c:v>Romania</c:v>
                </c:pt>
                <c:pt idx="8">
                  <c:v>Slovakia</c:v>
                </c:pt>
                <c:pt idx="9">
                  <c:v>Finland</c:v>
                </c:pt>
                <c:pt idx="10">
                  <c:v>Norway</c:v>
                </c:pt>
              </c:strCache>
            </c:strRef>
          </c:cat>
          <c:val>
            <c:numRef>
              <c:f>'length_road (3)'!$Q$8:$Q$18</c:f>
              <c:numCache>
                <c:formatCode>0.0%</c:formatCode>
                <c:ptCount val="11"/>
                <c:pt idx="0">
                  <c:v>5.1704844211349452E-2</c:v>
                </c:pt>
                <c:pt idx="1">
                  <c:v>7.0237079993177548E-2</c:v>
                </c:pt>
                <c:pt idx="2">
                  <c:v>5.9001339995222134E-2</c:v>
                </c:pt>
                <c:pt idx="3">
                  <c:v>8.9696311940441267E-2</c:v>
                </c:pt>
                <c:pt idx="4">
                  <c:v>2.5375333885974499E-2</c:v>
                </c:pt>
                <c:pt idx="5">
                  <c:v>9.264785487251373E-2</c:v>
                </c:pt>
                <c:pt idx="6">
                  <c:v>4.5818509171753612E-2</c:v>
                </c:pt>
                <c:pt idx="7">
                  <c:v>0.20090792124875587</c:v>
                </c:pt>
                <c:pt idx="8">
                  <c:v>9.0541752587634763E-2</c:v>
                </c:pt>
                <c:pt idx="9">
                  <c:v>0.17053261856936341</c:v>
                </c:pt>
                <c:pt idx="10">
                  <c:v>0.11584833315581998</c:v>
                </c:pt>
              </c:numCache>
            </c:numRef>
          </c:val>
        </c:ser>
        <c:dLbls>
          <c:showLegendKey val="0"/>
          <c:showVal val="0"/>
          <c:showCatName val="0"/>
          <c:showSerName val="0"/>
          <c:showPercent val="0"/>
          <c:showBubbleSize val="0"/>
        </c:dLbls>
        <c:gapWidth val="150"/>
        <c:axId val="184419840"/>
        <c:axId val="172726464"/>
      </c:barChart>
      <c:catAx>
        <c:axId val="184419840"/>
        <c:scaling>
          <c:orientation val="minMax"/>
        </c:scaling>
        <c:delete val="0"/>
        <c:axPos val="b"/>
        <c:numFmt formatCode="General" sourceLinked="0"/>
        <c:majorTickMark val="out"/>
        <c:minorTickMark val="none"/>
        <c:tickLblPos val="nextTo"/>
        <c:txPr>
          <a:bodyPr/>
          <a:lstStyle/>
          <a:p>
            <a:pPr>
              <a:defRPr sz="1100">
                <a:latin typeface="Arial" pitchFamily="34" charset="0"/>
                <a:cs typeface="Arial" pitchFamily="34" charset="0"/>
              </a:defRPr>
            </a:pPr>
            <a:endParaRPr lang="ro-RO"/>
          </a:p>
        </c:txPr>
        <c:crossAx val="172726464"/>
        <c:crosses val="autoZero"/>
        <c:auto val="1"/>
        <c:lblAlgn val="ctr"/>
        <c:lblOffset val="100"/>
        <c:noMultiLvlLbl val="0"/>
      </c:catAx>
      <c:valAx>
        <c:axId val="172726464"/>
        <c:scaling>
          <c:orientation val="minMax"/>
        </c:scaling>
        <c:delete val="0"/>
        <c:axPos val="l"/>
        <c:majorGridlines/>
        <c:numFmt formatCode="0.0%" sourceLinked="1"/>
        <c:majorTickMark val="out"/>
        <c:minorTickMark val="none"/>
        <c:tickLblPos val="nextTo"/>
        <c:txPr>
          <a:bodyPr/>
          <a:lstStyle/>
          <a:p>
            <a:pPr>
              <a:defRPr sz="1100">
                <a:latin typeface="Arial" pitchFamily="34" charset="0"/>
                <a:cs typeface="Arial" pitchFamily="34" charset="0"/>
              </a:defRPr>
            </a:pPr>
            <a:endParaRPr lang="ro-RO"/>
          </a:p>
        </c:txPr>
        <c:crossAx val="184419840"/>
        <c:crosses val="autoZero"/>
        <c:crossBetween val="between"/>
      </c:valAx>
    </c:plotArea>
    <c:legend>
      <c:legendPos val="b"/>
      <c:overlay val="0"/>
      <c:txPr>
        <a:bodyPr/>
        <a:lstStyle/>
        <a:p>
          <a:pPr>
            <a:defRPr sz="1100">
              <a:latin typeface="Arial" pitchFamily="34" charset="0"/>
              <a:cs typeface="Arial" pitchFamily="34" charset="0"/>
            </a:defRPr>
          </a:pPr>
          <a:endParaRPr lang="ro-RO"/>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Total!$A$30</c:f>
              <c:strCache>
                <c:ptCount val="1"/>
                <c:pt idx="0">
                  <c:v>Reference</c:v>
                </c:pt>
              </c:strCache>
            </c:strRef>
          </c:tx>
          <c:invertIfNegative val="0"/>
          <c:cat>
            <c:numRef>
              <c:f>Total!$B$28:$G$28</c:f>
              <c:numCache>
                <c:formatCode>General</c:formatCode>
                <c:ptCount val="6"/>
                <c:pt idx="0">
                  <c:v>2007</c:v>
                </c:pt>
                <c:pt idx="1">
                  <c:v>2008</c:v>
                </c:pt>
                <c:pt idx="2">
                  <c:v>2009</c:v>
                </c:pt>
                <c:pt idx="3">
                  <c:v>2010</c:v>
                </c:pt>
                <c:pt idx="4">
                  <c:v>2011</c:v>
                </c:pt>
                <c:pt idx="5">
                  <c:v>2020</c:v>
                </c:pt>
              </c:numCache>
            </c:numRef>
          </c:cat>
          <c:val>
            <c:numRef>
              <c:f>Total!$B$30:$G$30</c:f>
              <c:numCache>
                <c:formatCode>General</c:formatCode>
                <c:ptCount val="6"/>
                <c:pt idx="0">
                  <c:v>42730</c:v>
                </c:pt>
                <c:pt idx="1">
                  <c:v>31592</c:v>
                </c:pt>
                <c:pt idx="2">
                  <c:v>95675</c:v>
                </c:pt>
                <c:pt idx="3">
                  <c:v>106175</c:v>
                </c:pt>
                <c:pt idx="4">
                  <c:v>139105</c:v>
                </c:pt>
                <c:pt idx="5">
                  <c:v>156016.51615000004</c:v>
                </c:pt>
              </c:numCache>
            </c:numRef>
          </c:val>
        </c:ser>
        <c:ser>
          <c:idx val="6"/>
          <c:order val="1"/>
          <c:tx>
            <c:strRef>
              <c:f>Total!$A$31</c:f>
              <c:strCache>
                <c:ptCount val="1"/>
                <c:pt idx="0">
                  <c:v>Scheme</c:v>
                </c:pt>
              </c:strCache>
            </c:strRef>
          </c:tx>
          <c:spPr>
            <a:solidFill>
              <a:schemeClr val="tx1"/>
            </a:solidFill>
          </c:spPr>
          <c:invertIfNegative val="0"/>
          <c:cat>
            <c:numRef>
              <c:f>Total!$B$28:$G$28</c:f>
              <c:numCache>
                <c:formatCode>General</c:formatCode>
                <c:ptCount val="6"/>
                <c:pt idx="0">
                  <c:v>2007</c:v>
                </c:pt>
                <c:pt idx="1">
                  <c:v>2008</c:v>
                </c:pt>
                <c:pt idx="2">
                  <c:v>2009</c:v>
                </c:pt>
                <c:pt idx="3">
                  <c:v>2010</c:v>
                </c:pt>
                <c:pt idx="4">
                  <c:v>2011</c:v>
                </c:pt>
                <c:pt idx="5">
                  <c:v>2020</c:v>
                </c:pt>
              </c:numCache>
            </c:numRef>
          </c:cat>
          <c:val>
            <c:numRef>
              <c:f>Total!$B$31:$G$31</c:f>
              <c:numCache>
                <c:formatCode>General</c:formatCode>
                <c:ptCount val="6"/>
                <c:pt idx="5">
                  <c:v>11871.230799999932</c:v>
                </c:pt>
              </c:numCache>
            </c:numRef>
          </c:val>
        </c:ser>
        <c:dLbls>
          <c:showLegendKey val="0"/>
          <c:showVal val="0"/>
          <c:showCatName val="0"/>
          <c:showSerName val="0"/>
          <c:showPercent val="0"/>
          <c:showBubbleSize val="0"/>
        </c:dLbls>
        <c:gapWidth val="150"/>
        <c:overlap val="100"/>
        <c:axId val="78920192"/>
        <c:axId val="79021184"/>
      </c:barChart>
      <c:catAx>
        <c:axId val="78920192"/>
        <c:scaling>
          <c:orientation val="minMax"/>
        </c:scaling>
        <c:delete val="0"/>
        <c:axPos val="b"/>
        <c:numFmt formatCode="General" sourceLinked="1"/>
        <c:majorTickMark val="out"/>
        <c:minorTickMark val="none"/>
        <c:tickLblPos val="nextTo"/>
        <c:crossAx val="79021184"/>
        <c:crosses val="autoZero"/>
        <c:auto val="1"/>
        <c:lblAlgn val="ctr"/>
        <c:lblOffset val="100"/>
        <c:noMultiLvlLbl val="0"/>
      </c:catAx>
      <c:valAx>
        <c:axId val="79021184"/>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78920192"/>
        <c:crosses val="autoZero"/>
        <c:crossBetween val="between"/>
      </c:valAx>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Commodity!$H$11</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Commodity!$I$11:$N$11</c:f>
              <c:numCache>
                <c:formatCode>General</c:formatCode>
                <c:ptCount val="6"/>
                <c:pt idx="0">
                  <c:v>442348</c:v>
                </c:pt>
                <c:pt idx="1">
                  <c:v>451176</c:v>
                </c:pt>
                <c:pt idx="2">
                  <c:v>357333</c:v>
                </c:pt>
                <c:pt idx="3">
                  <c:v>370657</c:v>
                </c:pt>
                <c:pt idx="4">
                  <c:v>490112</c:v>
                </c:pt>
                <c:pt idx="5">
                  <c:v>594367.24100000004</c:v>
                </c:pt>
              </c:numCache>
            </c:numRef>
          </c:val>
        </c:ser>
        <c:ser>
          <c:idx val="8"/>
          <c:order val="1"/>
          <c:tx>
            <c:strRef>
              <c:f>Commodity!$H$12</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Commodity!$I$12:$N$12</c:f>
              <c:numCache>
                <c:formatCode>General</c:formatCode>
                <c:ptCount val="6"/>
                <c:pt idx="5" formatCode="#,##0">
                  <c:v>108401</c:v>
                </c:pt>
              </c:numCache>
            </c:numRef>
          </c:val>
        </c:ser>
        <c:dLbls>
          <c:showLegendKey val="0"/>
          <c:showVal val="0"/>
          <c:showCatName val="0"/>
          <c:showSerName val="0"/>
          <c:showPercent val="0"/>
          <c:showBubbleSize val="0"/>
        </c:dLbls>
        <c:gapWidth val="150"/>
        <c:overlap val="100"/>
        <c:axId val="78920704"/>
        <c:axId val="79022912"/>
      </c:barChart>
      <c:catAx>
        <c:axId val="78920704"/>
        <c:scaling>
          <c:orientation val="minMax"/>
        </c:scaling>
        <c:delete val="0"/>
        <c:axPos val="b"/>
        <c:numFmt formatCode="General" sourceLinked="1"/>
        <c:majorTickMark val="out"/>
        <c:minorTickMark val="none"/>
        <c:tickLblPos val="nextTo"/>
        <c:crossAx val="79022912"/>
        <c:crosses val="autoZero"/>
        <c:auto val="1"/>
        <c:lblAlgn val="ctr"/>
        <c:lblOffset val="100"/>
        <c:noMultiLvlLbl val="0"/>
      </c:catAx>
      <c:valAx>
        <c:axId val="79022912"/>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78920704"/>
        <c:crosses val="autoZero"/>
        <c:crossBetween val="between"/>
      </c:valAx>
    </c:plotArea>
    <c:legend>
      <c:legendPos val="r"/>
      <c:layout>
        <c:manualLayout>
          <c:xMode val="edge"/>
          <c:yMode val="edge"/>
          <c:x val="0.84713307010829664"/>
          <c:y val="0.31052423236360815"/>
          <c:w val="0.14203883200836875"/>
          <c:h val="0.25178509280357203"/>
        </c:manualLayout>
      </c:layout>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Commodity!$H$11</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Commodity!$I$11:$N$11</c:f>
              <c:numCache>
                <c:formatCode>General</c:formatCode>
                <c:ptCount val="6"/>
                <c:pt idx="0">
                  <c:v>375518</c:v>
                </c:pt>
                <c:pt idx="1">
                  <c:v>435335</c:v>
                </c:pt>
                <c:pt idx="2">
                  <c:v>234403</c:v>
                </c:pt>
                <c:pt idx="3">
                  <c:v>404900</c:v>
                </c:pt>
                <c:pt idx="4">
                  <c:v>187752</c:v>
                </c:pt>
                <c:pt idx="5">
                  <c:v>291081.55779999989</c:v>
                </c:pt>
              </c:numCache>
            </c:numRef>
          </c:val>
        </c:ser>
        <c:ser>
          <c:idx val="9"/>
          <c:order val="1"/>
          <c:tx>
            <c:strRef>
              <c:f>Commodity!$H$12</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Commodity!$I$12:$N$12</c:f>
              <c:numCache>
                <c:formatCode>General</c:formatCode>
                <c:ptCount val="6"/>
                <c:pt idx="5">
                  <c:v>66045.647699999972</c:v>
                </c:pt>
              </c:numCache>
            </c:numRef>
          </c:val>
        </c:ser>
        <c:dLbls>
          <c:showLegendKey val="0"/>
          <c:showVal val="0"/>
          <c:showCatName val="0"/>
          <c:showSerName val="0"/>
          <c:showPercent val="0"/>
          <c:showBubbleSize val="0"/>
        </c:dLbls>
        <c:gapWidth val="150"/>
        <c:overlap val="100"/>
        <c:axId val="78921216"/>
        <c:axId val="79024640"/>
      </c:barChart>
      <c:catAx>
        <c:axId val="78921216"/>
        <c:scaling>
          <c:orientation val="minMax"/>
        </c:scaling>
        <c:delete val="0"/>
        <c:axPos val="b"/>
        <c:numFmt formatCode="General" sourceLinked="1"/>
        <c:majorTickMark val="out"/>
        <c:minorTickMark val="none"/>
        <c:tickLblPos val="nextTo"/>
        <c:crossAx val="79024640"/>
        <c:crosses val="autoZero"/>
        <c:auto val="1"/>
        <c:lblAlgn val="ctr"/>
        <c:lblOffset val="100"/>
        <c:noMultiLvlLbl val="0"/>
      </c:catAx>
      <c:valAx>
        <c:axId val="79024640"/>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78921216"/>
        <c:crosses val="autoZero"/>
        <c:crossBetween val="between"/>
      </c:valAx>
    </c:plotArea>
    <c:legend>
      <c:legendPos val="r"/>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Commodity!$H$7</c:f>
              <c:strCache>
                <c:ptCount val="1"/>
                <c:pt idx="0">
                  <c:v>Reference</c:v>
                </c:pt>
              </c:strCache>
            </c:strRef>
          </c:tx>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Commodity!$I$7:$N$7</c:f>
              <c:numCache>
                <c:formatCode>General</c:formatCode>
                <c:ptCount val="6"/>
                <c:pt idx="0">
                  <c:v>137</c:v>
                </c:pt>
                <c:pt idx="1">
                  <c:v>10429</c:v>
                </c:pt>
                <c:pt idx="2">
                  <c:v>6973</c:v>
                </c:pt>
                <c:pt idx="3">
                  <c:v>685</c:v>
                </c:pt>
                <c:pt idx="4">
                  <c:v>21505</c:v>
                </c:pt>
                <c:pt idx="5">
                  <c:v>25726.988500000021</c:v>
                </c:pt>
              </c:numCache>
            </c:numRef>
          </c:val>
        </c:ser>
        <c:ser>
          <c:idx val="6"/>
          <c:order val="1"/>
          <c:tx>
            <c:strRef>
              <c:f>Commodity!$H$8</c:f>
              <c:strCache>
                <c:ptCount val="1"/>
                <c:pt idx="0">
                  <c:v>Scheme</c:v>
                </c:pt>
              </c:strCache>
            </c:strRef>
          </c:tx>
          <c:spPr>
            <a:solidFill>
              <a:schemeClr val="tx1"/>
            </a:solidFill>
          </c:spPr>
          <c:invertIfNegative val="0"/>
          <c:cat>
            <c:numRef>
              <c:f>Commodity!$I$2:$N$2</c:f>
              <c:numCache>
                <c:formatCode>General</c:formatCode>
                <c:ptCount val="6"/>
                <c:pt idx="0">
                  <c:v>2007</c:v>
                </c:pt>
                <c:pt idx="1">
                  <c:v>2008</c:v>
                </c:pt>
                <c:pt idx="2">
                  <c:v>2009</c:v>
                </c:pt>
                <c:pt idx="3">
                  <c:v>2010</c:v>
                </c:pt>
                <c:pt idx="4">
                  <c:v>2011</c:v>
                </c:pt>
                <c:pt idx="5">
                  <c:v>2020</c:v>
                </c:pt>
              </c:numCache>
            </c:numRef>
          </c:cat>
          <c:val>
            <c:numRef>
              <c:f>Commodity!$I$8:$N$8</c:f>
              <c:numCache>
                <c:formatCode>General</c:formatCode>
                <c:ptCount val="6"/>
                <c:pt idx="5">
                  <c:v>2961.7815500000042</c:v>
                </c:pt>
              </c:numCache>
            </c:numRef>
          </c:val>
        </c:ser>
        <c:dLbls>
          <c:showLegendKey val="0"/>
          <c:showVal val="0"/>
          <c:showCatName val="0"/>
          <c:showSerName val="0"/>
          <c:showPercent val="0"/>
          <c:showBubbleSize val="0"/>
        </c:dLbls>
        <c:gapWidth val="150"/>
        <c:overlap val="100"/>
        <c:axId val="138653696"/>
        <c:axId val="79026368"/>
      </c:barChart>
      <c:catAx>
        <c:axId val="138653696"/>
        <c:scaling>
          <c:orientation val="minMax"/>
        </c:scaling>
        <c:delete val="0"/>
        <c:axPos val="b"/>
        <c:numFmt formatCode="General" sourceLinked="1"/>
        <c:majorTickMark val="out"/>
        <c:minorTickMark val="none"/>
        <c:tickLblPos val="nextTo"/>
        <c:crossAx val="79026368"/>
        <c:crosses val="autoZero"/>
        <c:auto val="1"/>
        <c:lblAlgn val="ctr"/>
        <c:lblOffset val="100"/>
        <c:noMultiLvlLbl val="0"/>
      </c:catAx>
      <c:valAx>
        <c:axId val="79026368"/>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138653696"/>
        <c:crosses val="autoZero"/>
        <c:crossBetween val="between"/>
      </c:valAx>
    </c:plotArea>
    <c:legend>
      <c:legendPos val="r"/>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Sheet1!$I$29</c:f>
              <c:strCache>
                <c:ptCount val="1"/>
                <c:pt idx="0">
                  <c:v>Building Minerals &amp; Material</c:v>
                </c:pt>
              </c:strCache>
            </c:strRef>
          </c:tx>
          <c:invertIfNegative val="0"/>
          <c:cat>
            <c:numRef>
              <c:f>Sheet1!$J$28:$K$28</c:f>
              <c:numCache>
                <c:formatCode>General</c:formatCode>
                <c:ptCount val="2"/>
                <c:pt idx="0">
                  <c:v>2020</c:v>
                </c:pt>
                <c:pt idx="1">
                  <c:v>2040</c:v>
                </c:pt>
              </c:numCache>
            </c:numRef>
          </c:cat>
          <c:val>
            <c:numRef>
              <c:f>Sheet1!$J$29:$K$29</c:f>
              <c:numCache>
                <c:formatCode>General</c:formatCode>
                <c:ptCount val="2"/>
                <c:pt idx="0">
                  <c:v>1477019.95</c:v>
                </c:pt>
                <c:pt idx="1">
                  <c:v>2498494.3499999987</c:v>
                </c:pt>
              </c:numCache>
            </c:numRef>
          </c:val>
        </c:ser>
        <c:ser>
          <c:idx val="1"/>
          <c:order val="1"/>
          <c:tx>
            <c:strRef>
              <c:f>Sheet1!$I$30</c:f>
              <c:strCache>
                <c:ptCount val="1"/>
                <c:pt idx="0">
                  <c:v>Solid Mineral Fuels</c:v>
                </c:pt>
              </c:strCache>
            </c:strRef>
          </c:tx>
          <c:invertIfNegative val="0"/>
          <c:cat>
            <c:numRef>
              <c:f>Sheet1!$J$28:$K$28</c:f>
              <c:numCache>
                <c:formatCode>General</c:formatCode>
                <c:ptCount val="2"/>
                <c:pt idx="0">
                  <c:v>2020</c:v>
                </c:pt>
                <c:pt idx="1">
                  <c:v>2040</c:v>
                </c:pt>
              </c:numCache>
            </c:numRef>
          </c:cat>
          <c:val>
            <c:numRef>
              <c:f>Sheet1!$J$30:$K$30</c:f>
              <c:numCache>
                <c:formatCode>General</c:formatCode>
                <c:ptCount val="2"/>
                <c:pt idx="0">
                  <c:v>225978.8</c:v>
                </c:pt>
                <c:pt idx="1">
                  <c:v>414891.85000000003</c:v>
                </c:pt>
              </c:numCache>
            </c:numRef>
          </c:val>
        </c:ser>
        <c:ser>
          <c:idx val="2"/>
          <c:order val="2"/>
          <c:tx>
            <c:strRef>
              <c:f>Sheet1!$I$31</c:f>
              <c:strCache>
                <c:ptCount val="1"/>
                <c:pt idx="0">
                  <c:v>Crude Oil</c:v>
                </c:pt>
              </c:strCache>
            </c:strRef>
          </c:tx>
          <c:invertIfNegative val="0"/>
          <c:cat>
            <c:numRef>
              <c:f>Sheet1!$J$28:$K$28</c:f>
              <c:numCache>
                <c:formatCode>General</c:formatCode>
                <c:ptCount val="2"/>
                <c:pt idx="0">
                  <c:v>2020</c:v>
                </c:pt>
                <c:pt idx="1">
                  <c:v>2040</c:v>
                </c:pt>
              </c:numCache>
            </c:numRef>
          </c:cat>
          <c:val>
            <c:numRef>
              <c:f>Sheet1!$J$31:$K$31</c:f>
              <c:numCache>
                <c:formatCode>General</c:formatCode>
                <c:ptCount val="2"/>
                <c:pt idx="0">
                  <c:v>212864.34999999998</c:v>
                </c:pt>
                <c:pt idx="1">
                  <c:v>55688.05</c:v>
                </c:pt>
              </c:numCache>
            </c:numRef>
          </c:val>
        </c:ser>
        <c:ser>
          <c:idx val="3"/>
          <c:order val="3"/>
          <c:tx>
            <c:strRef>
              <c:f>Sheet1!$I$32</c:f>
              <c:strCache>
                <c:ptCount val="1"/>
                <c:pt idx="0">
                  <c:v>Ores, Metal Waste</c:v>
                </c:pt>
              </c:strCache>
            </c:strRef>
          </c:tx>
          <c:invertIfNegative val="0"/>
          <c:cat>
            <c:numRef>
              <c:f>Sheet1!$J$28:$K$28</c:f>
              <c:numCache>
                <c:formatCode>General</c:formatCode>
                <c:ptCount val="2"/>
                <c:pt idx="0">
                  <c:v>2020</c:v>
                </c:pt>
                <c:pt idx="1">
                  <c:v>2040</c:v>
                </c:pt>
              </c:numCache>
            </c:numRef>
          </c:cat>
          <c:val>
            <c:numRef>
              <c:f>Sheet1!$J$32:$K$32</c:f>
              <c:numCache>
                <c:formatCode>General</c:formatCode>
                <c:ptCount val="2"/>
                <c:pt idx="0">
                  <c:v>510791.95</c:v>
                </c:pt>
                <c:pt idx="1">
                  <c:v>378008.60000000003</c:v>
                </c:pt>
              </c:numCache>
            </c:numRef>
          </c:val>
        </c:ser>
        <c:ser>
          <c:idx val="4"/>
          <c:order val="4"/>
          <c:tx>
            <c:strRef>
              <c:f>Sheet1!$I$33</c:f>
              <c:strCache>
                <c:ptCount val="1"/>
                <c:pt idx="0">
                  <c:v>Other Products</c:v>
                </c:pt>
              </c:strCache>
            </c:strRef>
          </c:tx>
          <c:invertIfNegative val="0"/>
          <c:cat>
            <c:numRef>
              <c:f>Sheet1!$J$28:$K$28</c:f>
              <c:numCache>
                <c:formatCode>General</c:formatCode>
                <c:ptCount val="2"/>
                <c:pt idx="0">
                  <c:v>2020</c:v>
                </c:pt>
                <c:pt idx="1">
                  <c:v>2040</c:v>
                </c:pt>
              </c:numCache>
            </c:numRef>
          </c:cat>
          <c:val>
            <c:numRef>
              <c:f>Sheet1!$J$33:$K$33</c:f>
              <c:numCache>
                <c:formatCode>General</c:formatCode>
                <c:ptCount val="2"/>
                <c:pt idx="0">
                  <c:v>334223.19999999972</c:v>
                </c:pt>
                <c:pt idx="1">
                  <c:v>560092.50000000047</c:v>
                </c:pt>
              </c:numCache>
            </c:numRef>
          </c:val>
        </c:ser>
        <c:dLbls>
          <c:showLegendKey val="0"/>
          <c:showVal val="0"/>
          <c:showCatName val="0"/>
          <c:showSerName val="0"/>
          <c:showPercent val="0"/>
          <c:showBubbleSize val="0"/>
        </c:dLbls>
        <c:gapWidth val="150"/>
        <c:overlap val="100"/>
        <c:axId val="138654208"/>
        <c:axId val="138125312"/>
      </c:barChart>
      <c:catAx>
        <c:axId val="138654208"/>
        <c:scaling>
          <c:orientation val="minMax"/>
        </c:scaling>
        <c:delete val="0"/>
        <c:axPos val="b"/>
        <c:numFmt formatCode="General" sourceLinked="1"/>
        <c:majorTickMark val="out"/>
        <c:minorTickMark val="none"/>
        <c:tickLblPos val="nextTo"/>
        <c:crossAx val="138125312"/>
        <c:crosses val="autoZero"/>
        <c:auto val="1"/>
        <c:lblAlgn val="ctr"/>
        <c:lblOffset val="100"/>
        <c:noMultiLvlLbl val="0"/>
      </c:catAx>
      <c:valAx>
        <c:axId val="138125312"/>
        <c:scaling>
          <c:orientation val="minMax"/>
        </c:scaling>
        <c:delete val="0"/>
        <c:axPos val="l"/>
        <c:majorGridlines/>
        <c:title>
          <c:tx>
            <c:rich>
              <a:bodyPr rot="-5400000" vert="horz"/>
              <a:lstStyle/>
              <a:p>
                <a:pPr>
                  <a:defRPr/>
                </a:pPr>
                <a:r>
                  <a:rPr lang="en-GB"/>
                  <a:t>Tonnes</a:t>
                </a:r>
              </a:p>
            </c:rich>
          </c:tx>
          <c:overlay val="0"/>
        </c:title>
        <c:numFmt formatCode="#,##0" sourceLinked="0"/>
        <c:majorTickMark val="out"/>
        <c:minorTickMark val="none"/>
        <c:tickLblPos val="nextTo"/>
        <c:crossAx val="138654208"/>
        <c:crosses val="autoZero"/>
        <c:crossBetween val="between"/>
      </c:valAx>
    </c:plotArea>
    <c:legend>
      <c:legendPos val="r"/>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Pas</a:t>
            </a:r>
            <a:r>
              <a:rPr lang="ro-RO"/>
              <a:t>a</a:t>
            </a:r>
            <a:r>
              <a:rPr lang="en-US"/>
              <a:t>ger</a:t>
            </a:r>
            <a:r>
              <a:rPr lang="ro-RO"/>
              <a:t>i</a:t>
            </a:r>
            <a:endParaRPr lang="en-US"/>
          </a:p>
        </c:rich>
      </c:tx>
      <c:overlay val="0"/>
    </c:title>
    <c:autoTitleDeleted val="0"/>
    <c:plotArea>
      <c:layout>
        <c:manualLayout>
          <c:layoutTarget val="inner"/>
          <c:xMode val="edge"/>
          <c:yMode val="edge"/>
          <c:x val="0.16200457684450667"/>
          <c:y val="0.15468805400830371"/>
          <c:w val="0.60124963696550682"/>
          <c:h val="0.69528077855680503"/>
        </c:manualLayout>
      </c:layout>
      <c:lineChart>
        <c:grouping val="standard"/>
        <c:varyColors val="0"/>
        <c:ser>
          <c:idx val="0"/>
          <c:order val="0"/>
          <c:tx>
            <c:strRef>
              <c:f>Sheet2!$B$1</c:f>
              <c:strCache>
                <c:ptCount val="1"/>
                <c:pt idx="0">
                  <c:v>Passengers</c:v>
                </c:pt>
              </c:strCache>
            </c:strRef>
          </c:tx>
          <c:marker>
            <c:symbol val="none"/>
          </c:marker>
          <c:dLbls>
            <c:dLbl>
              <c:idx val="0"/>
              <c:layout>
                <c:manualLayout>
                  <c:x val="-6.6666666666666693E-2"/>
                  <c:y val="6.48148148148179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6111111111110819E-2"/>
                  <c:y val="-3.24074074074086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92E-2"/>
                  <c:y val="4.166666666666662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2222222222222717"/>
                  <c:y val="-3.240740740740871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5455E-2"/>
                  <c:y val="-3.70370370370372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Sheet2!$A$2:$A$6</c:f>
              <c:numCache>
                <c:formatCode>General</c:formatCode>
                <c:ptCount val="5"/>
                <c:pt idx="0">
                  <c:v>2007</c:v>
                </c:pt>
                <c:pt idx="1">
                  <c:v>2008</c:v>
                </c:pt>
                <c:pt idx="2">
                  <c:v>2009</c:v>
                </c:pt>
                <c:pt idx="3">
                  <c:v>2010</c:v>
                </c:pt>
                <c:pt idx="4">
                  <c:v>2011</c:v>
                </c:pt>
              </c:numCache>
            </c:numRef>
          </c:cat>
          <c:val>
            <c:numRef>
              <c:f>Sheet2!$B$2:$B$6</c:f>
              <c:numCache>
                <c:formatCode>#,##0</c:formatCode>
                <c:ptCount val="5"/>
                <c:pt idx="0">
                  <c:v>7831000</c:v>
                </c:pt>
                <c:pt idx="1">
                  <c:v>9077000</c:v>
                </c:pt>
                <c:pt idx="2">
                  <c:v>9093000</c:v>
                </c:pt>
                <c:pt idx="3">
                  <c:v>10128000</c:v>
                </c:pt>
                <c:pt idx="4">
                  <c:v>10783000</c:v>
                </c:pt>
              </c:numCache>
            </c:numRef>
          </c:val>
          <c:smooth val="0"/>
        </c:ser>
        <c:dLbls>
          <c:showLegendKey val="0"/>
          <c:showVal val="0"/>
          <c:showCatName val="0"/>
          <c:showSerName val="0"/>
          <c:showPercent val="0"/>
          <c:showBubbleSize val="0"/>
        </c:dLbls>
        <c:marker val="1"/>
        <c:smooth val="0"/>
        <c:axId val="138655232"/>
        <c:axId val="138127616"/>
      </c:lineChart>
      <c:catAx>
        <c:axId val="138655232"/>
        <c:scaling>
          <c:orientation val="minMax"/>
        </c:scaling>
        <c:delete val="0"/>
        <c:axPos val="b"/>
        <c:numFmt formatCode="General" sourceLinked="1"/>
        <c:majorTickMark val="out"/>
        <c:minorTickMark val="none"/>
        <c:tickLblPos val="nextTo"/>
        <c:crossAx val="138127616"/>
        <c:crosses val="autoZero"/>
        <c:auto val="1"/>
        <c:lblAlgn val="ctr"/>
        <c:lblOffset val="100"/>
        <c:noMultiLvlLbl val="0"/>
      </c:catAx>
      <c:valAx>
        <c:axId val="138127616"/>
        <c:scaling>
          <c:orientation val="minMax"/>
        </c:scaling>
        <c:delete val="0"/>
        <c:axPos val="l"/>
        <c:majorGridlines/>
        <c:numFmt formatCode="#,##0" sourceLinked="1"/>
        <c:majorTickMark val="out"/>
        <c:minorTickMark val="none"/>
        <c:tickLblPos val="nextTo"/>
        <c:crossAx val="138655232"/>
        <c:crosses val="autoZero"/>
        <c:crossBetween val="between"/>
      </c:valAx>
    </c:plotArea>
    <c:legend>
      <c:legendPos val="r"/>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o-RO" sz="1200"/>
              <a:t>Tendințe</a:t>
            </a:r>
            <a:r>
              <a:rPr lang="ro-RO" sz="1200" baseline="0"/>
              <a:t> și prognoze trafic aerian Pasageri - </a:t>
            </a:r>
            <a:r>
              <a:rPr lang="en-US" sz="1200"/>
              <a:t>Romania 2007 </a:t>
            </a:r>
            <a:r>
              <a:rPr lang="ro-RO" sz="1200"/>
              <a:t>-</a:t>
            </a:r>
            <a:r>
              <a:rPr lang="en-US" sz="1200"/>
              <a:t> 2040</a:t>
            </a:r>
          </a:p>
        </c:rich>
      </c:tx>
      <c:overlay val="0"/>
    </c:title>
    <c:autoTitleDeleted val="0"/>
    <c:plotArea>
      <c:layout/>
      <c:scatterChart>
        <c:scatterStyle val="lineMarker"/>
        <c:varyColors val="0"/>
        <c:ser>
          <c:idx val="0"/>
          <c:order val="0"/>
          <c:tx>
            <c:strRef>
              <c:f>CBA_Input_Summary!$R$53</c:f>
              <c:strCache>
                <c:ptCount val="1"/>
                <c:pt idx="0">
                  <c:v>Full Growth</c:v>
                </c:pt>
              </c:strCache>
            </c:strRef>
          </c:tx>
          <c:spPr>
            <a:ln w="28575">
              <a:noFill/>
            </a:ln>
          </c:spPr>
          <c:xVal>
            <c:numRef>
              <c:f>CBA_Input_Summary!$Q$54:$Q$64</c:f>
              <c:numCache>
                <c:formatCode>General</c:formatCode>
                <c:ptCount val="11"/>
                <c:pt idx="0" formatCode="#,##0">
                  <c:v>2007</c:v>
                </c:pt>
                <c:pt idx="1">
                  <c:v>2008</c:v>
                </c:pt>
                <c:pt idx="2">
                  <c:v>2009</c:v>
                </c:pt>
                <c:pt idx="3">
                  <c:v>2010</c:v>
                </c:pt>
                <c:pt idx="4">
                  <c:v>2011</c:v>
                </c:pt>
                <c:pt idx="5">
                  <c:v>2012</c:v>
                </c:pt>
                <c:pt idx="6">
                  <c:v>2015</c:v>
                </c:pt>
                <c:pt idx="7">
                  <c:v>2020</c:v>
                </c:pt>
                <c:pt idx="8">
                  <c:v>2025</c:v>
                </c:pt>
                <c:pt idx="9">
                  <c:v>2030</c:v>
                </c:pt>
                <c:pt idx="10">
                  <c:v>2040</c:v>
                </c:pt>
              </c:numCache>
            </c:numRef>
          </c:xVal>
          <c:yVal>
            <c:numRef>
              <c:f>CBA_Input_Summary!$R$54:$R$64</c:f>
              <c:numCache>
                <c:formatCode>General</c:formatCode>
                <c:ptCount val="11"/>
                <c:pt idx="6" formatCode="#,##0">
                  <c:v>16294867.57333957</c:v>
                </c:pt>
                <c:pt idx="7" formatCode="#,##0">
                  <c:v>19972166.574530981</c:v>
                </c:pt>
                <c:pt idx="8" formatCode="#,##0">
                  <c:v>24844132.057735477</c:v>
                </c:pt>
                <c:pt idx="9" formatCode="#,##0">
                  <c:v>29716097.540939987</c:v>
                </c:pt>
                <c:pt idx="10" formatCode="#,##0">
                  <c:v>37269250.732886404</c:v>
                </c:pt>
              </c:numCache>
            </c:numRef>
          </c:yVal>
          <c:smooth val="0"/>
        </c:ser>
        <c:ser>
          <c:idx val="1"/>
          <c:order val="1"/>
          <c:tx>
            <c:strRef>
              <c:f>CBA_Input_Summary!$S$53</c:f>
              <c:strCache>
                <c:ptCount val="1"/>
                <c:pt idx="0">
                  <c:v>Factored Growth</c:v>
                </c:pt>
              </c:strCache>
            </c:strRef>
          </c:tx>
          <c:spPr>
            <a:ln w="28575">
              <a:noFill/>
            </a:ln>
          </c:spPr>
          <c:trendline>
            <c:trendlineType val="linear"/>
            <c:dispRSqr val="0"/>
            <c:dispEq val="0"/>
          </c:trendline>
          <c:xVal>
            <c:numRef>
              <c:f>CBA_Input_Summary!$Q$54:$Q$64</c:f>
              <c:numCache>
                <c:formatCode>General</c:formatCode>
                <c:ptCount val="11"/>
                <c:pt idx="0" formatCode="#,##0">
                  <c:v>2007</c:v>
                </c:pt>
                <c:pt idx="1">
                  <c:v>2008</c:v>
                </c:pt>
                <c:pt idx="2">
                  <c:v>2009</c:v>
                </c:pt>
                <c:pt idx="3">
                  <c:v>2010</c:v>
                </c:pt>
                <c:pt idx="4">
                  <c:v>2011</c:v>
                </c:pt>
                <c:pt idx="5">
                  <c:v>2012</c:v>
                </c:pt>
                <c:pt idx="6">
                  <c:v>2015</c:v>
                </c:pt>
                <c:pt idx="7">
                  <c:v>2020</c:v>
                </c:pt>
                <c:pt idx="8">
                  <c:v>2025</c:v>
                </c:pt>
                <c:pt idx="9">
                  <c:v>2030</c:v>
                </c:pt>
                <c:pt idx="10">
                  <c:v>2040</c:v>
                </c:pt>
              </c:numCache>
            </c:numRef>
          </c:xVal>
          <c:yVal>
            <c:numRef>
              <c:f>CBA_Input_Summary!$S$54:$S$64</c:f>
              <c:numCache>
                <c:formatCode>General</c:formatCode>
                <c:ptCount val="11"/>
                <c:pt idx="6" formatCode="#,##0">
                  <c:v>13336690.767146327</c:v>
                </c:pt>
                <c:pt idx="7" formatCode="#,##0">
                  <c:v>16278138.104333526</c:v>
                </c:pt>
                <c:pt idx="8" formatCode="#,##0">
                  <c:v>20194876.803996358</c:v>
                </c:pt>
                <c:pt idx="9" formatCode="#,##0">
                  <c:v>24133496.845549814</c:v>
                </c:pt>
                <c:pt idx="10" formatCode="#,##0">
                  <c:v>30275815.24854625</c:v>
                </c:pt>
              </c:numCache>
            </c:numRef>
          </c:yVal>
          <c:smooth val="0"/>
        </c:ser>
        <c:ser>
          <c:idx val="2"/>
          <c:order val="2"/>
          <c:tx>
            <c:strRef>
              <c:f>CBA_Input_Summary!$T$53</c:f>
              <c:strCache>
                <c:ptCount val="1"/>
                <c:pt idx="0">
                  <c:v>Observed</c:v>
                </c:pt>
              </c:strCache>
            </c:strRef>
          </c:tx>
          <c:spPr>
            <a:ln w="28575">
              <a:noFill/>
            </a:ln>
          </c:spPr>
          <c:xVal>
            <c:numRef>
              <c:f>CBA_Input_Summary!$Q$54:$Q$64</c:f>
              <c:numCache>
                <c:formatCode>General</c:formatCode>
                <c:ptCount val="11"/>
                <c:pt idx="0" formatCode="#,##0">
                  <c:v>2007</c:v>
                </c:pt>
                <c:pt idx="1">
                  <c:v>2008</c:v>
                </c:pt>
                <c:pt idx="2">
                  <c:v>2009</c:v>
                </c:pt>
                <c:pt idx="3">
                  <c:v>2010</c:v>
                </c:pt>
                <c:pt idx="4">
                  <c:v>2011</c:v>
                </c:pt>
                <c:pt idx="5">
                  <c:v>2012</c:v>
                </c:pt>
                <c:pt idx="6">
                  <c:v>2015</c:v>
                </c:pt>
                <c:pt idx="7">
                  <c:v>2020</c:v>
                </c:pt>
                <c:pt idx="8">
                  <c:v>2025</c:v>
                </c:pt>
                <c:pt idx="9">
                  <c:v>2030</c:v>
                </c:pt>
                <c:pt idx="10">
                  <c:v>2040</c:v>
                </c:pt>
              </c:numCache>
            </c:numRef>
          </c:xVal>
          <c:yVal>
            <c:numRef>
              <c:f>CBA_Input_Summary!$T$54:$T$64</c:f>
              <c:numCache>
                <c:formatCode>#,##0</c:formatCode>
                <c:ptCount val="11"/>
                <c:pt idx="0">
                  <c:v>7831000</c:v>
                </c:pt>
                <c:pt idx="1">
                  <c:v>9077000</c:v>
                </c:pt>
                <c:pt idx="2">
                  <c:v>9093000</c:v>
                </c:pt>
                <c:pt idx="3">
                  <c:v>10128000</c:v>
                </c:pt>
                <c:pt idx="4">
                  <c:v>10783000</c:v>
                </c:pt>
                <c:pt idx="5">
                  <c:v>10728000</c:v>
                </c:pt>
              </c:numCache>
            </c:numRef>
          </c:yVal>
          <c:smooth val="0"/>
        </c:ser>
        <c:dLbls>
          <c:showLegendKey val="0"/>
          <c:showVal val="0"/>
          <c:showCatName val="0"/>
          <c:showSerName val="0"/>
          <c:showPercent val="0"/>
          <c:showBubbleSize val="0"/>
        </c:dLbls>
        <c:axId val="138129344"/>
        <c:axId val="138129920"/>
      </c:scatterChart>
      <c:valAx>
        <c:axId val="138129344"/>
        <c:scaling>
          <c:orientation val="minMax"/>
        </c:scaling>
        <c:delete val="0"/>
        <c:axPos val="b"/>
        <c:numFmt formatCode="0" sourceLinked="0"/>
        <c:majorTickMark val="out"/>
        <c:minorTickMark val="none"/>
        <c:tickLblPos val="nextTo"/>
        <c:crossAx val="138129920"/>
        <c:crosses val="autoZero"/>
        <c:crossBetween val="midCat"/>
      </c:valAx>
      <c:valAx>
        <c:axId val="138129920"/>
        <c:scaling>
          <c:orientation val="minMax"/>
        </c:scaling>
        <c:delete val="0"/>
        <c:axPos val="l"/>
        <c:majorGridlines/>
        <c:numFmt formatCode="General" sourceLinked="1"/>
        <c:majorTickMark val="out"/>
        <c:minorTickMark val="none"/>
        <c:tickLblPos val="nextTo"/>
        <c:crossAx val="138129344"/>
        <c:crosses val="autoZero"/>
        <c:crossBetween val="midCat"/>
      </c:valAx>
    </c:plotArea>
    <c:legend>
      <c:legendPos val="b"/>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marker>
            <c:symbol val="none"/>
          </c:marker>
          <c:cat>
            <c:numRef>
              <c:f>'Sheet2 (2)'!$ED$4:$ED$8</c:f>
              <c:numCache>
                <c:formatCode>General</c:formatCode>
                <c:ptCount val="5"/>
                <c:pt idx="0">
                  <c:v>100</c:v>
                </c:pt>
                <c:pt idx="1">
                  <c:v>200</c:v>
                </c:pt>
                <c:pt idx="2">
                  <c:v>300</c:v>
                </c:pt>
                <c:pt idx="3">
                  <c:v>400</c:v>
                </c:pt>
                <c:pt idx="4">
                  <c:v>500</c:v>
                </c:pt>
              </c:numCache>
            </c:numRef>
          </c:cat>
          <c:val>
            <c:numRef>
              <c:f>'Sheet2 (2)'!$EE$4:$EE$8</c:f>
              <c:numCache>
                <c:formatCode>0.0%</c:formatCode>
                <c:ptCount val="5"/>
                <c:pt idx="0">
                  <c:v>0.17390292042181171</c:v>
                </c:pt>
                <c:pt idx="1">
                  <c:v>0.22166714216635244</c:v>
                </c:pt>
                <c:pt idx="2">
                  <c:v>0.56170501734290601</c:v>
                </c:pt>
                <c:pt idx="3">
                  <c:v>0.58342106067835953</c:v>
                </c:pt>
                <c:pt idx="4">
                  <c:v>0.77277310840090063</c:v>
                </c:pt>
              </c:numCache>
            </c:numRef>
          </c:val>
          <c:smooth val="0"/>
        </c:ser>
        <c:dLbls>
          <c:showLegendKey val="0"/>
          <c:showVal val="0"/>
          <c:showCatName val="0"/>
          <c:showSerName val="0"/>
          <c:showPercent val="0"/>
          <c:showBubbleSize val="0"/>
        </c:dLbls>
        <c:marker val="1"/>
        <c:smooth val="0"/>
        <c:axId val="138656768"/>
        <c:axId val="138131648"/>
      </c:lineChart>
      <c:catAx>
        <c:axId val="138656768"/>
        <c:scaling>
          <c:orientation val="minMax"/>
        </c:scaling>
        <c:delete val="0"/>
        <c:axPos val="b"/>
        <c:title>
          <c:tx>
            <c:rich>
              <a:bodyPr/>
              <a:lstStyle/>
              <a:p>
                <a:pPr>
                  <a:defRPr/>
                </a:pPr>
                <a:r>
                  <a:rPr lang="en-GB"/>
                  <a:t>Kilometres</a:t>
                </a:r>
              </a:p>
            </c:rich>
          </c:tx>
          <c:overlay val="0"/>
        </c:title>
        <c:numFmt formatCode="General" sourceLinked="1"/>
        <c:majorTickMark val="out"/>
        <c:minorTickMark val="none"/>
        <c:tickLblPos val="nextTo"/>
        <c:crossAx val="138131648"/>
        <c:crosses val="autoZero"/>
        <c:auto val="1"/>
        <c:lblAlgn val="ctr"/>
        <c:lblOffset val="100"/>
        <c:noMultiLvlLbl val="0"/>
      </c:catAx>
      <c:valAx>
        <c:axId val="138131648"/>
        <c:scaling>
          <c:orientation val="minMax"/>
        </c:scaling>
        <c:delete val="0"/>
        <c:axPos val="l"/>
        <c:majorGridlines/>
        <c:numFmt formatCode="0.0%" sourceLinked="1"/>
        <c:majorTickMark val="out"/>
        <c:minorTickMark val="none"/>
        <c:tickLblPos val="nextTo"/>
        <c:crossAx val="138656768"/>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marker>
            <c:symbol val="none"/>
          </c:marker>
          <c:cat>
            <c:numRef>
              <c:f>Sheet2!$ED$4:$ED$8</c:f>
              <c:numCache>
                <c:formatCode>General</c:formatCode>
                <c:ptCount val="5"/>
                <c:pt idx="0">
                  <c:v>100</c:v>
                </c:pt>
                <c:pt idx="1">
                  <c:v>200</c:v>
                </c:pt>
                <c:pt idx="2">
                  <c:v>300</c:v>
                </c:pt>
                <c:pt idx="3">
                  <c:v>400</c:v>
                </c:pt>
                <c:pt idx="4">
                  <c:v>500</c:v>
                </c:pt>
              </c:numCache>
            </c:numRef>
          </c:cat>
          <c:val>
            <c:numRef>
              <c:f>Sheet2!$EE$4:$EE$8</c:f>
              <c:numCache>
                <c:formatCode>0.0%</c:formatCode>
                <c:ptCount val="5"/>
                <c:pt idx="0">
                  <c:v>3.7422441325300176E-2</c:v>
                </c:pt>
                <c:pt idx="1">
                  <c:v>0.11919433329895329</c:v>
                </c:pt>
                <c:pt idx="2">
                  <c:v>0.18912888907197437</c:v>
                </c:pt>
                <c:pt idx="3">
                  <c:v>0.20990682426656071</c:v>
                </c:pt>
                <c:pt idx="4">
                  <c:v>0.21798449876671203</c:v>
                </c:pt>
              </c:numCache>
            </c:numRef>
          </c:val>
          <c:smooth val="0"/>
        </c:ser>
        <c:dLbls>
          <c:showLegendKey val="0"/>
          <c:showVal val="0"/>
          <c:showCatName val="0"/>
          <c:showSerName val="0"/>
          <c:showPercent val="0"/>
          <c:showBubbleSize val="0"/>
        </c:dLbls>
        <c:marker val="1"/>
        <c:smooth val="0"/>
        <c:axId val="138654720"/>
        <c:axId val="138772480"/>
      </c:lineChart>
      <c:catAx>
        <c:axId val="138654720"/>
        <c:scaling>
          <c:orientation val="minMax"/>
        </c:scaling>
        <c:delete val="0"/>
        <c:axPos val="b"/>
        <c:title>
          <c:tx>
            <c:rich>
              <a:bodyPr/>
              <a:lstStyle/>
              <a:p>
                <a:pPr>
                  <a:defRPr/>
                </a:pPr>
                <a:r>
                  <a:rPr lang="en-GB"/>
                  <a:t>Kilometres</a:t>
                </a:r>
              </a:p>
            </c:rich>
          </c:tx>
          <c:overlay val="0"/>
        </c:title>
        <c:numFmt formatCode="General" sourceLinked="1"/>
        <c:majorTickMark val="out"/>
        <c:minorTickMark val="none"/>
        <c:tickLblPos val="nextTo"/>
        <c:crossAx val="138772480"/>
        <c:crosses val="autoZero"/>
        <c:auto val="1"/>
        <c:lblAlgn val="ctr"/>
        <c:lblOffset val="100"/>
        <c:noMultiLvlLbl val="0"/>
      </c:catAx>
      <c:valAx>
        <c:axId val="138772480"/>
        <c:scaling>
          <c:orientation val="minMax"/>
        </c:scaling>
        <c:delete val="0"/>
        <c:axPos val="l"/>
        <c:majorGridlines/>
        <c:numFmt formatCode="0.0%" sourceLinked="1"/>
        <c:majorTickMark val="out"/>
        <c:minorTickMark val="none"/>
        <c:tickLblPos val="nextTo"/>
        <c:crossAx val="138654720"/>
        <c:crosses val="autoZero"/>
        <c:crossBetween val="between"/>
      </c:valAx>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8.5360404329624093E-2"/>
          <c:y val="5.0696436917989841E-2"/>
          <c:w val="0.85185852801459339"/>
          <c:h val="0.72988961996190005"/>
        </c:manualLayout>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Sheet1!$N$4:$Q$4</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Sheet1!$H$4:$K$4</c:f>
              <c:numCache>
                <c:formatCode>General</c:formatCode>
                <c:ptCount val="4"/>
                <c:pt idx="0">
                  <c:v>35</c:v>
                </c:pt>
                <c:pt idx="1">
                  <c:v>179</c:v>
                </c:pt>
                <c:pt idx="2">
                  <c:v>270</c:v>
                </c:pt>
                <c:pt idx="3">
                  <c:v>380</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Sheet1!$B$4:$E$4</c:f>
              <c:numCache>
                <c:formatCode>General</c:formatCode>
                <c:ptCount val="4"/>
                <c:pt idx="0">
                  <c:v>35</c:v>
                </c:pt>
                <c:pt idx="1">
                  <c:v>82</c:v>
                </c:pt>
                <c:pt idx="2">
                  <c:v>131</c:v>
                </c:pt>
                <c:pt idx="3">
                  <c:v>196</c:v>
                </c:pt>
              </c:numCache>
            </c:numRef>
          </c:val>
        </c:ser>
        <c:dLbls>
          <c:showLegendKey val="0"/>
          <c:showVal val="0"/>
          <c:showCatName val="0"/>
          <c:showSerName val="0"/>
          <c:showPercent val="0"/>
          <c:showBubbleSize val="0"/>
        </c:dLbls>
        <c:axId val="43745792"/>
        <c:axId val="138774208"/>
      </c:areaChart>
      <c:catAx>
        <c:axId val="43745792"/>
        <c:scaling>
          <c:orientation val="minMax"/>
        </c:scaling>
        <c:delete val="0"/>
        <c:axPos val="b"/>
        <c:numFmt formatCode="General" sourceLinked="1"/>
        <c:majorTickMark val="none"/>
        <c:minorTickMark val="none"/>
        <c:tickLblPos val="nextTo"/>
        <c:crossAx val="138774208"/>
        <c:crosses val="autoZero"/>
        <c:auto val="1"/>
        <c:lblAlgn val="ctr"/>
        <c:lblOffset val="100"/>
        <c:noMultiLvlLbl val="0"/>
      </c:catAx>
      <c:valAx>
        <c:axId val="138774208"/>
        <c:scaling>
          <c:orientation val="minMax"/>
        </c:scaling>
        <c:delete val="0"/>
        <c:axPos val="l"/>
        <c:majorGridlines/>
        <c:numFmt formatCode="General" sourceLinked="1"/>
        <c:majorTickMark val="none"/>
        <c:minorTickMark val="none"/>
        <c:tickLblPos val="nextTo"/>
        <c:crossAx val="43745792"/>
        <c:crosses val="autoZero"/>
        <c:crossBetween val="midCat"/>
      </c:valAx>
    </c:plotArea>
    <c:legend>
      <c:legendPos val="r"/>
      <c:legendEntry>
        <c:idx val="0"/>
        <c:delete val="1"/>
      </c:legendEntry>
      <c:layout>
        <c:manualLayout>
          <c:xMode val="edge"/>
          <c:yMode val="edge"/>
          <c:x val="0.20127118644067796"/>
          <c:y val="0.88612099644128162"/>
          <c:w val="0.59110169491524756"/>
          <c:h val="8.5409252669039148E-2"/>
        </c:manualLayout>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4"/>
            <c:invertIfNegative val="0"/>
            <c:bubble3D val="0"/>
            <c:spPr>
              <a:solidFill>
                <a:schemeClr val="accent2"/>
              </a:solidFill>
            </c:spPr>
          </c:dPt>
          <c:cat>
            <c:strRef>
              <c:f>'2010_extract_avail_data'!$C$4:$C$28</c:f>
              <c:strCache>
                <c:ptCount val="25"/>
                <c:pt idx="0">
                  <c:v>Belgium</c:v>
                </c:pt>
                <c:pt idx="1">
                  <c:v>Bulgaria</c:v>
                </c:pt>
                <c:pt idx="2">
                  <c:v>Czech Republic</c:v>
                </c:pt>
                <c:pt idx="3">
                  <c:v>Germany</c:v>
                </c:pt>
                <c:pt idx="4">
                  <c:v>Estonia</c:v>
                </c:pt>
                <c:pt idx="5">
                  <c:v>Spain</c:v>
                </c:pt>
                <c:pt idx="6">
                  <c:v>Croatia</c:v>
                </c:pt>
                <c:pt idx="7">
                  <c:v>Italy</c:v>
                </c:pt>
                <c:pt idx="8">
                  <c:v>Cyprus</c:v>
                </c:pt>
                <c:pt idx="9">
                  <c:v>Latvia</c:v>
                </c:pt>
                <c:pt idx="10">
                  <c:v>Lithuania</c:v>
                </c:pt>
                <c:pt idx="11">
                  <c:v>Netherlands</c:v>
                </c:pt>
                <c:pt idx="12">
                  <c:v>Austria</c:v>
                </c:pt>
                <c:pt idx="13">
                  <c:v>Poland</c:v>
                </c:pt>
                <c:pt idx="14">
                  <c:v>Romania</c:v>
                </c:pt>
                <c:pt idx="15">
                  <c:v>Slovenia</c:v>
                </c:pt>
                <c:pt idx="16">
                  <c:v>Slovakia</c:v>
                </c:pt>
                <c:pt idx="17">
                  <c:v>Finland</c:v>
                </c:pt>
                <c:pt idx="18">
                  <c:v>Sweden</c:v>
                </c:pt>
                <c:pt idx="19">
                  <c:v>United Kingdom</c:v>
                </c:pt>
                <c:pt idx="20">
                  <c:v>Norway</c:v>
                </c:pt>
                <c:pt idx="21">
                  <c:v>Switzerland</c:v>
                </c:pt>
                <c:pt idx="22">
                  <c:v>Macedonia</c:v>
                </c:pt>
                <c:pt idx="23">
                  <c:v>Serbia</c:v>
                </c:pt>
                <c:pt idx="24">
                  <c:v>Turkey</c:v>
                </c:pt>
              </c:strCache>
            </c:strRef>
          </c:cat>
          <c:val>
            <c:numRef>
              <c:f>'2010_extract_avail_data'!$D$4:$D$28</c:f>
              <c:numCache>
                <c:formatCode>#,##0</c:formatCode>
                <c:ptCount val="25"/>
                <c:pt idx="0">
                  <c:v>480</c:v>
                </c:pt>
                <c:pt idx="1">
                  <c:v>353</c:v>
                </c:pt>
                <c:pt idx="2">
                  <c:v>429</c:v>
                </c:pt>
                <c:pt idx="3">
                  <c:v>517</c:v>
                </c:pt>
                <c:pt idx="4">
                  <c:v>412</c:v>
                </c:pt>
                <c:pt idx="5">
                  <c:v>480</c:v>
                </c:pt>
                <c:pt idx="6">
                  <c:v>345</c:v>
                </c:pt>
                <c:pt idx="7">
                  <c:v>606</c:v>
                </c:pt>
                <c:pt idx="8">
                  <c:v>551</c:v>
                </c:pt>
                <c:pt idx="9">
                  <c:v>307</c:v>
                </c:pt>
                <c:pt idx="10">
                  <c:v>554</c:v>
                </c:pt>
                <c:pt idx="11">
                  <c:v>464</c:v>
                </c:pt>
                <c:pt idx="12">
                  <c:v>528</c:v>
                </c:pt>
                <c:pt idx="13">
                  <c:v>447</c:v>
                </c:pt>
                <c:pt idx="14">
                  <c:v>202</c:v>
                </c:pt>
                <c:pt idx="15">
                  <c:v>518</c:v>
                </c:pt>
                <c:pt idx="16">
                  <c:v>310</c:v>
                </c:pt>
                <c:pt idx="17">
                  <c:v>535</c:v>
                </c:pt>
                <c:pt idx="18">
                  <c:v>460</c:v>
                </c:pt>
                <c:pt idx="19">
                  <c:v>455</c:v>
                </c:pt>
                <c:pt idx="20">
                  <c:v>469</c:v>
                </c:pt>
                <c:pt idx="21">
                  <c:v>518</c:v>
                </c:pt>
                <c:pt idx="22">
                  <c:v>151</c:v>
                </c:pt>
                <c:pt idx="23">
                  <c:v>215</c:v>
                </c:pt>
                <c:pt idx="24">
                  <c:v>102</c:v>
                </c:pt>
              </c:numCache>
            </c:numRef>
          </c:val>
        </c:ser>
        <c:dLbls>
          <c:showLegendKey val="0"/>
          <c:showVal val="0"/>
          <c:showCatName val="0"/>
          <c:showSerName val="0"/>
          <c:showPercent val="0"/>
          <c:showBubbleSize val="0"/>
        </c:dLbls>
        <c:gapWidth val="150"/>
        <c:axId val="189657600"/>
        <c:axId val="183541760"/>
      </c:barChart>
      <c:catAx>
        <c:axId val="189657600"/>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ro-RO"/>
          </a:p>
        </c:txPr>
        <c:crossAx val="183541760"/>
        <c:crosses val="autoZero"/>
        <c:auto val="1"/>
        <c:lblAlgn val="ctr"/>
        <c:lblOffset val="100"/>
        <c:noMultiLvlLbl val="0"/>
      </c:catAx>
      <c:valAx>
        <c:axId val="183541760"/>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ro-RO"/>
          </a:p>
        </c:txPr>
        <c:crossAx val="189657600"/>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Sheet1!$N$31:$Q$31</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Sheet1!$H$31:$K$31</c:f>
              <c:numCache>
                <c:formatCode>General</c:formatCode>
                <c:ptCount val="4"/>
                <c:pt idx="0">
                  <c:v>0</c:v>
                </c:pt>
                <c:pt idx="1">
                  <c:v>41</c:v>
                </c:pt>
                <c:pt idx="2">
                  <c:v>60</c:v>
                </c:pt>
                <c:pt idx="3">
                  <c:v>83</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Sheet1!$B$31:$E$31</c:f>
              <c:numCache>
                <c:formatCode>General</c:formatCode>
                <c:ptCount val="4"/>
                <c:pt idx="0">
                  <c:v>0</c:v>
                </c:pt>
                <c:pt idx="1">
                  <c:v>0</c:v>
                </c:pt>
                <c:pt idx="2">
                  <c:v>0</c:v>
                </c:pt>
                <c:pt idx="3">
                  <c:v>0</c:v>
                </c:pt>
              </c:numCache>
            </c:numRef>
          </c:val>
        </c:ser>
        <c:dLbls>
          <c:showLegendKey val="0"/>
          <c:showVal val="0"/>
          <c:showCatName val="0"/>
          <c:showSerName val="0"/>
          <c:showPercent val="0"/>
          <c:showBubbleSize val="0"/>
        </c:dLbls>
        <c:axId val="138469888"/>
        <c:axId val="138775936"/>
      </c:areaChart>
      <c:catAx>
        <c:axId val="138469888"/>
        <c:scaling>
          <c:orientation val="minMax"/>
        </c:scaling>
        <c:delete val="0"/>
        <c:axPos val="b"/>
        <c:numFmt formatCode="General" sourceLinked="1"/>
        <c:majorTickMark val="none"/>
        <c:minorTickMark val="none"/>
        <c:tickLblPos val="nextTo"/>
        <c:crossAx val="138775936"/>
        <c:crosses val="autoZero"/>
        <c:auto val="1"/>
        <c:lblAlgn val="ctr"/>
        <c:lblOffset val="100"/>
        <c:noMultiLvlLbl val="0"/>
      </c:catAx>
      <c:valAx>
        <c:axId val="138775936"/>
        <c:scaling>
          <c:orientation val="minMax"/>
        </c:scaling>
        <c:delete val="0"/>
        <c:axPos val="l"/>
        <c:majorGridlines/>
        <c:numFmt formatCode="General" sourceLinked="1"/>
        <c:majorTickMark val="none"/>
        <c:minorTickMark val="none"/>
        <c:tickLblPos val="nextTo"/>
        <c:crossAx val="138469888"/>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Sheet1!$N$15:$Q$15</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Sheet1!$H$15:$K$15</c:f>
              <c:numCache>
                <c:formatCode>General</c:formatCode>
                <c:ptCount val="4"/>
                <c:pt idx="0">
                  <c:v>1</c:v>
                </c:pt>
                <c:pt idx="1">
                  <c:v>27</c:v>
                </c:pt>
                <c:pt idx="2">
                  <c:v>41</c:v>
                </c:pt>
                <c:pt idx="3">
                  <c:v>59</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Sheet1!$B$15:$E$15</c:f>
              <c:numCache>
                <c:formatCode>General</c:formatCode>
                <c:ptCount val="4"/>
                <c:pt idx="0">
                  <c:v>1</c:v>
                </c:pt>
                <c:pt idx="1">
                  <c:v>4</c:v>
                </c:pt>
                <c:pt idx="2">
                  <c:v>9</c:v>
                </c:pt>
                <c:pt idx="3">
                  <c:v>15</c:v>
                </c:pt>
              </c:numCache>
            </c:numRef>
          </c:val>
        </c:ser>
        <c:dLbls>
          <c:showLegendKey val="0"/>
          <c:showVal val="0"/>
          <c:showCatName val="0"/>
          <c:showSerName val="0"/>
          <c:showPercent val="0"/>
          <c:showBubbleSize val="0"/>
        </c:dLbls>
        <c:axId val="138387456"/>
        <c:axId val="138777664"/>
      </c:areaChart>
      <c:catAx>
        <c:axId val="138387456"/>
        <c:scaling>
          <c:orientation val="minMax"/>
        </c:scaling>
        <c:delete val="0"/>
        <c:axPos val="b"/>
        <c:numFmt formatCode="General" sourceLinked="1"/>
        <c:majorTickMark val="none"/>
        <c:minorTickMark val="none"/>
        <c:tickLblPos val="nextTo"/>
        <c:crossAx val="138777664"/>
        <c:crosses val="autoZero"/>
        <c:auto val="1"/>
        <c:lblAlgn val="ctr"/>
        <c:lblOffset val="100"/>
        <c:noMultiLvlLbl val="0"/>
      </c:catAx>
      <c:valAx>
        <c:axId val="138777664"/>
        <c:scaling>
          <c:orientation val="minMax"/>
        </c:scaling>
        <c:delete val="0"/>
        <c:axPos val="l"/>
        <c:majorGridlines/>
        <c:numFmt formatCode="General" sourceLinked="1"/>
        <c:majorTickMark val="none"/>
        <c:minorTickMark val="none"/>
        <c:tickLblPos val="nextTo"/>
        <c:crossAx val="138387456"/>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Sheet1!$N$8:$Q$8</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Sheet1!$H$8:$K$8</c:f>
              <c:numCache>
                <c:formatCode>General</c:formatCode>
                <c:ptCount val="4"/>
                <c:pt idx="0">
                  <c:v>2</c:v>
                </c:pt>
                <c:pt idx="1">
                  <c:v>40</c:v>
                </c:pt>
                <c:pt idx="2">
                  <c:v>57</c:v>
                </c:pt>
                <c:pt idx="3">
                  <c:v>84</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Sheet1!$B$8:$E$8</c:f>
              <c:numCache>
                <c:formatCode>General</c:formatCode>
                <c:ptCount val="4"/>
                <c:pt idx="0">
                  <c:v>2</c:v>
                </c:pt>
                <c:pt idx="1">
                  <c:v>2</c:v>
                </c:pt>
                <c:pt idx="2">
                  <c:v>3</c:v>
                </c:pt>
                <c:pt idx="3">
                  <c:v>7</c:v>
                </c:pt>
              </c:numCache>
            </c:numRef>
          </c:val>
        </c:ser>
        <c:dLbls>
          <c:showLegendKey val="0"/>
          <c:showVal val="0"/>
          <c:showCatName val="0"/>
          <c:showSerName val="0"/>
          <c:showPercent val="0"/>
          <c:showBubbleSize val="0"/>
        </c:dLbls>
        <c:axId val="138387968"/>
        <c:axId val="138779392"/>
      </c:areaChart>
      <c:catAx>
        <c:axId val="138387968"/>
        <c:scaling>
          <c:orientation val="minMax"/>
        </c:scaling>
        <c:delete val="0"/>
        <c:axPos val="b"/>
        <c:numFmt formatCode="General" sourceLinked="1"/>
        <c:majorTickMark val="none"/>
        <c:minorTickMark val="none"/>
        <c:tickLblPos val="nextTo"/>
        <c:crossAx val="138779392"/>
        <c:crosses val="autoZero"/>
        <c:auto val="1"/>
        <c:lblAlgn val="ctr"/>
        <c:lblOffset val="100"/>
        <c:noMultiLvlLbl val="0"/>
      </c:catAx>
      <c:valAx>
        <c:axId val="138779392"/>
        <c:scaling>
          <c:orientation val="minMax"/>
        </c:scaling>
        <c:delete val="0"/>
        <c:axPos val="l"/>
        <c:majorGridlines/>
        <c:numFmt formatCode="General" sourceLinked="1"/>
        <c:majorTickMark val="none"/>
        <c:minorTickMark val="none"/>
        <c:tickLblPos val="nextTo"/>
        <c:crossAx val="138387968"/>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Sheet1!$N$9:$Q$9</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Sheet1!$H$9:$K$9</c:f>
              <c:numCache>
                <c:formatCode>General</c:formatCode>
                <c:ptCount val="4"/>
                <c:pt idx="0">
                  <c:v>9</c:v>
                </c:pt>
                <c:pt idx="1">
                  <c:v>55</c:v>
                </c:pt>
                <c:pt idx="2">
                  <c:v>77</c:v>
                </c:pt>
                <c:pt idx="3">
                  <c:v>103</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Sheet1!$B$9:$E$9</c:f>
              <c:numCache>
                <c:formatCode>General</c:formatCode>
                <c:ptCount val="4"/>
                <c:pt idx="0">
                  <c:v>9</c:v>
                </c:pt>
                <c:pt idx="1">
                  <c:v>23</c:v>
                </c:pt>
                <c:pt idx="2">
                  <c:v>39</c:v>
                </c:pt>
                <c:pt idx="3">
                  <c:v>62</c:v>
                </c:pt>
              </c:numCache>
            </c:numRef>
          </c:val>
        </c:ser>
        <c:dLbls>
          <c:showLegendKey val="0"/>
          <c:showVal val="0"/>
          <c:showCatName val="0"/>
          <c:showSerName val="0"/>
          <c:showPercent val="0"/>
          <c:showBubbleSize val="0"/>
        </c:dLbls>
        <c:axId val="138388480"/>
        <c:axId val="168854080"/>
      </c:areaChart>
      <c:catAx>
        <c:axId val="138388480"/>
        <c:scaling>
          <c:orientation val="minMax"/>
        </c:scaling>
        <c:delete val="0"/>
        <c:axPos val="b"/>
        <c:numFmt formatCode="General" sourceLinked="1"/>
        <c:majorTickMark val="none"/>
        <c:minorTickMark val="none"/>
        <c:tickLblPos val="nextTo"/>
        <c:crossAx val="168854080"/>
        <c:crosses val="autoZero"/>
        <c:auto val="1"/>
        <c:lblAlgn val="ctr"/>
        <c:lblOffset val="100"/>
        <c:noMultiLvlLbl val="0"/>
      </c:catAx>
      <c:valAx>
        <c:axId val="168854080"/>
        <c:scaling>
          <c:orientation val="minMax"/>
        </c:scaling>
        <c:delete val="0"/>
        <c:axPos val="l"/>
        <c:majorGridlines/>
        <c:numFmt formatCode="General" sourceLinked="1"/>
        <c:majorTickMark val="none"/>
        <c:minorTickMark val="none"/>
        <c:tickLblPos val="nextTo"/>
        <c:crossAx val="138388480"/>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1"/>
          <c:order val="0"/>
          <c:tx>
            <c:strRef>
              <c:f>'[Chart in Microsoft Office Word]Sheet1'!$H$2</c:f>
              <c:strCache>
                <c:ptCount val="1"/>
                <c:pt idx="0">
                  <c:v>All Terminals Scenario</c:v>
                </c:pt>
              </c:strCache>
            </c:strRef>
          </c:tx>
          <c:spPr>
            <a:solidFill>
              <a:schemeClr val="tx2">
                <a:lumMod val="60000"/>
                <a:lumOff val="40000"/>
              </a:schemeClr>
            </a:solidFill>
          </c:spPr>
          <c:cat>
            <c:numRef>
              <c:f>'[Chart in Microsoft Office Word]Sheet1'!$N$3:$Q$3</c:f>
              <c:numCache>
                <c:formatCode>General</c:formatCode>
                <c:ptCount val="4"/>
                <c:pt idx="0">
                  <c:v>2011</c:v>
                </c:pt>
                <c:pt idx="1">
                  <c:v>2020</c:v>
                </c:pt>
                <c:pt idx="2">
                  <c:v>2030</c:v>
                </c:pt>
                <c:pt idx="3">
                  <c:v>2040</c:v>
                </c:pt>
              </c:numCache>
            </c:numRef>
          </c:cat>
          <c:val>
            <c:numRef>
              <c:f>'[Chart in Microsoft Office Word]Sheet1'!$H$10:$K$10</c:f>
              <c:numCache>
                <c:formatCode>General</c:formatCode>
                <c:ptCount val="4"/>
                <c:pt idx="0">
                  <c:v>1</c:v>
                </c:pt>
                <c:pt idx="1">
                  <c:v>25</c:v>
                </c:pt>
                <c:pt idx="2">
                  <c:v>34</c:v>
                </c:pt>
                <c:pt idx="3">
                  <c:v>47</c:v>
                </c:pt>
              </c:numCache>
            </c:numRef>
          </c:val>
        </c:ser>
        <c:ser>
          <c:idx val="0"/>
          <c:order val="1"/>
          <c:tx>
            <c:strRef>
              <c:f>'[Chart in Microsoft Office Word]Sheet1'!$B$2</c:f>
              <c:strCache>
                <c:ptCount val="1"/>
                <c:pt idx="0">
                  <c:v>Reference Case</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Word]Sheet1'!$B$10:$E$10</c:f>
              <c:numCache>
                <c:formatCode>General</c:formatCode>
                <c:ptCount val="4"/>
                <c:pt idx="0">
                  <c:v>1</c:v>
                </c:pt>
                <c:pt idx="1">
                  <c:v>2</c:v>
                </c:pt>
                <c:pt idx="2">
                  <c:v>3</c:v>
                </c:pt>
                <c:pt idx="3">
                  <c:v>5</c:v>
                </c:pt>
              </c:numCache>
            </c:numRef>
          </c:val>
        </c:ser>
        <c:dLbls>
          <c:showLegendKey val="0"/>
          <c:showVal val="0"/>
          <c:showCatName val="0"/>
          <c:showSerName val="0"/>
          <c:showPercent val="0"/>
          <c:showBubbleSize val="0"/>
        </c:dLbls>
        <c:axId val="207077376"/>
        <c:axId val="168855808"/>
      </c:areaChart>
      <c:catAx>
        <c:axId val="207077376"/>
        <c:scaling>
          <c:orientation val="minMax"/>
        </c:scaling>
        <c:delete val="0"/>
        <c:axPos val="b"/>
        <c:numFmt formatCode="General" sourceLinked="1"/>
        <c:majorTickMark val="none"/>
        <c:minorTickMark val="none"/>
        <c:tickLblPos val="nextTo"/>
        <c:crossAx val="168855808"/>
        <c:crosses val="autoZero"/>
        <c:auto val="1"/>
        <c:lblAlgn val="ctr"/>
        <c:lblOffset val="100"/>
        <c:noMultiLvlLbl val="0"/>
      </c:catAx>
      <c:valAx>
        <c:axId val="168855808"/>
        <c:scaling>
          <c:orientation val="minMax"/>
        </c:scaling>
        <c:delete val="0"/>
        <c:axPos val="l"/>
        <c:majorGridlines/>
        <c:numFmt formatCode="General" sourceLinked="1"/>
        <c:majorTickMark val="none"/>
        <c:minorTickMark val="none"/>
        <c:tickLblPos val="nextTo"/>
        <c:crossAx val="207077376"/>
        <c:crosses val="autoZero"/>
        <c:crossBetween val="midCat"/>
      </c:valAx>
    </c:plotArea>
    <c:legend>
      <c:legendPos val="b"/>
      <c:overlay val="0"/>
    </c:legend>
    <c:plotVisOnly val="1"/>
    <c:dispBlanksAs val="zero"/>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1"/>
          <c:order val="0"/>
          <c:tx>
            <c:strRef>
              <c:f>'[Chart in Microsoft Office Word]Sheet1'!$H$2</c:f>
              <c:strCache>
                <c:ptCount val="1"/>
                <c:pt idx="0">
                  <c:v>All Terminals Scenario</c:v>
                </c:pt>
              </c:strCache>
            </c:strRef>
          </c:tx>
          <c:spPr>
            <a:solidFill>
              <a:schemeClr val="tx2">
                <a:lumMod val="60000"/>
                <a:lumOff val="40000"/>
              </a:schemeClr>
            </a:solidFill>
          </c:spPr>
          <c:cat>
            <c:numRef>
              <c:f>'[Chart in Microsoft Office Word]Sheet1'!$N$3:$Q$3</c:f>
              <c:numCache>
                <c:formatCode>General</c:formatCode>
                <c:ptCount val="4"/>
                <c:pt idx="0">
                  <c:v>2011</c:v>
                </c:pt>
                <c:pt idx="1">
                  <c:v>2020</c:v>
                </c:pt>
                <c:pt idx="2">
                  <c:v>2030</c:v>
                </c:pt>
                <c:pt idx="3">
                  <c:v>2040</c:v>
                </c:pt>
              </c:numCache>
            </c:numRef>
          </c:cat>
          <c:val>
            <c:numRef>
              <c:f>'[Chart in Microsoft Office Word]Sheet1'!$H$10:$K$10</c:f>
              <c:numCache>
                <c:formatCode>General</c:formatCode>
                <c:ptCount val="4"/>
                <c:pt idx="0">
                  <c:v>1</c:v>
                </c:pt>
                <c:pt idx="1">
                  <c:v>25</c:v>
                </c:pt>
                <c:pt idx="2">
                  <c:v>34</c:v>
                </c:pt>
                <c:pt idx="3">
                  <c:v>47</c:v>
                </c:pt>
              </c:numCache>
            </c:numRef>
          </c:val>
        </c:ser>
        <c:ser>
          <c:idx val="0"/>
          <c:order val="1"/>
          <c:tx>
            <c:strRef>
              <c:f>'[Chart in Microsoft Office Word]Sheet1'!$B$2</c:f>
              <c:strCache>
                <c:ptCount val="1"/>
                <c:pt idx="0">
                  <c:v>Reference Case</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Word]Sheet1'!$B$10:$E$10</c:f>
              <c:numCache>
                <c:formatCode>General</c:formatCode>
                <c:ptCount val="4"/>
                <c:pt idx="0">
                  <c:v>1</c:v>
                </c:pt>
                <c:pt idx="1">
                  <c:v>2</c:v>
                </c:pt>
                <c:pt idx="2">
                  <c:v>3</c:v>
                </c:pt>
                <c:pt idx="3">
                  <c:v>5</c:v>
                </c:pt>
              </c:numCache>
            </c:numRef>
          </c:val>
        </c:ser>
        <c:dLbls>
          <c:showLegendKey val="0"/>
          <c:showVal val="0"/>
          <c:showCatName val="0"/>
          <c:showSerName val="0"/>
          <c:showPercent val="0"/>
          <c:showBubbleSize val="0"/>
        </c:dLbls>
        <c:axId val="138388992"/>
        <c:axId val="168857536"/>
      </c:areaChart>
      <c:catAx>
        <c:axId val="138388992"/>
        <c:scaling>
          <c:orientation val="minMax"/>
        </c:scaling>
        <c:delete val="0"/>
        <c:axPos val="b"/>
        <c:numFmt formatCode="General" sourceLinked="1"/>
        <c:majorTickMark val="none"/>
        <c:minorTickMark val="none"/>
        <c:tickLblPos val="nextTo"/>
        <c:crossAx val="168857536"/>
        <c:crosses val="autoZero"/>
        <c:auto val="1"/>
        <c:lblAlgn val="ctr"/>
        <c:lblOffset val="100"/>
        <c:noMultiLvlLbl val="0"/>
      </c:catAx>
      <c:valAx>
        <c:axId val="168857536"/>
        <c:scaling>
          <c:orientation val="minMax"/>
        </c:scaling>
        <c:delete val="0"/>
        <c:axPos val="l"/>
        <c:majorGridlines/>
        <c:numFmt formatCode="General" sourceLinked="1"/>
        <c:majorTickMark val="none"/>
        <c:minorTickMark val="none"/>
        <c:tickLblPos val="nextTo"/>
        <c:crossAx val="138388992"/>
        <c:crosses val="autoZero"/>
        <c:crossBetween val="midCat"/>
      </c:valAx>
    </c:plotArea>
    <c:legend>
      <c:legendPos val="b"/>
      <c:overlay val="0"/>
    </c:legend>
    <c:plotVisOnly val="1"/>
    <c:dispBlanksAs val="zero"/>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1"/>
          <c:order val="0"/>
          <c:tx>
            <c:strRef>
              <c:f>'[Chart in Microsoft Office Word]Sheet1'!$H$2</c:f>
              <c:strCache>
                <c:ptCount val="1"/>
                <c:pt idx="0">
                  <c:v>All Terminals Scenario</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Word]Sheet1'!$H$16:$K$16</c:f>
              <c:numCache>
                <c:formatCode>General</c:formatCode>
                <c:ptCount val="4"/>
                <c:pt idx="0">
                  <c:v>11</c:v>
                </c:pt>
                <c:pt idx="1">
                  <c:v>63</c:v>
                </c:pt>
                <c:pt idx="2">
                  <c:v>93</c:v>
                </c:pt>
                <c:pt idx="3">
                  <c:v>130</c:v>
                </c:pt>
              </c:numCache>
            </c:numRef>
          </c:val>
        </c:ser>
        <c:ser>
          <c:idx val="0"/>
          <c:order val="1"/>
          <c:tx>
            <c:strRef>
              <c:f>'[Chart in Microsoft Office Word]Sheet1'!$B$2</c:f>
              <c:strCache>
                <c:ptCount val="1"/>
                <c:pt idx="0">
                  <c:v>Reference Case</c:v>
                </c:pt>
              </c:strCache>
            </c:strRef>
          </c:tx>
          <c:cat>
            <c:numRef>
              <c:f>'[Chart in Microsoft Office Word]Sheet1'!$N$3:$Q$3</c:f>
              <c:numCache>
                <c:formatCode>General</c:formatCode>
                <c:ptCount val="4"/>
                <c:pt idx="0">
                  <c:v>2011</c:v>
                </c:pt>
                <c:pt idx="1">
                  <c:v>2020</c:v>
                </c:pt>
                <c:pt idx="2">
                  <c:v>2030</c:v>
                </c:pt>
                <c:pt idx="3">
                  <c:v>2040</c:v>
                </c:pt>
              </c:numCache>
            </c:numRef>
          </c:cat>
          <c:val>
            <c:numRef>
              <c:f>'[Chart in Microsoft Office Word]Sheet1'!$B$16:$E$16</c:f>
              <c:numCache>
                <c:formatCode>General</c:formatCode>
                <c:ptCount val="4"/>
                <c:pt idx="0">
                  <c:v>11</c:v>
                </c:pt>
                <c:pt idx="1">
                  <c:v>19</c:v>
                </c:pt>
                <c:pt idx="2">
                  <c:v>34</c:v>
                </c:pt>
                <c:pt idx="3">
                  <c:v>55</c:v>
                </c:pt>
              </c:numCache>
            </c:numRef>
          </c:val>
        </c:ser>
        <c:dLbls>
          <c:showLegendKey val="0"/>
          <c:showVal val="0"/>
          <c:showCatName val="0"/>
          <c:showSerName val="0"/>
          <c:showPercent val="0"/>
          <c:showBubbleSize val="0"/>
        </c:dLbls>
        <c:axId val="138389504"/>
        <c:axId val="168859264"/>
      </c:areaChart>
      <c:catAx>
        <c:axId val="138389504"/>
        <c:scaling>
          <c:orientation val="minMax"/>
        </c:scaling>
        <c:delete val="0"/>
        <c:axPos val="b"/>
        <c:numFmt formatCode="General" sourceLinked="1"/>
        <c:majorTickMark val="none"/>
        <c:minorTickMark val="none"/>
        <c:tickLblPos val="nextTo"/>
        <c:crossAx val="168859264"/>
        <c:crosses val="autoZero"/>
        <c:auto val="1"/>
        <c:lblAlgn val="ctr"/>
        <c:lblOffset val="100"/>
        <c:noMultiLvlLbl val="0"/>
      </c:catAx>
      <c:valAx>
        <c:axId val="168859264"/>
        <c:scaling>
          <c:orientation val="minMax"/>
        </c:scaling>
        <c:delete val="0"/>
        <c:axPos val="l"/>
        <c:majorGridlines/>
        <c:numFmt formatCode="General" sourceLinked="1"/>
        <c:majorTickMark val="none"/>
        <c:minorTickMark val="none"/>
        <c:tickLblPos val="nextTo"/>
        <c:crossAx val="138389504"/>
        <c:crosses val="autoZero"/>
        <c:crossBetween val="midCat"/>
      </c:valAx>
    </c:plotArea>
    <c:legend>
      <c:legendPos val="b"/>
      <c:overlay val="0"/>
    </c:legend>
    <c:plotVisOnly val="1"/>
    <c:dispBlanksAs val="zero"/>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areaChart>
        <c:grouping val="standard"/>
        <c:varyColors val="0"/>
        <c:ser>
          <c:idx val="2"/>
          <c:order val="0"/>
          <c:tx>
            <c:strRef>
              <c:f>Sheet1!$N$2</c:f>
              <c:strCache>
                <c:ptCount val="1"/>
                <c:pt idx="0">
                  <c:v>Potential Scenario</c:v>
                </c:pt>
              </c:strCache>
            </c:strRef>
          </c:tx>
          <c:cat>
            <c:numRef>
              <c:f>Sheet1!$N$3:$Q$3</c:f>
              <c:numCache>
                <c:formatCode>General</c:formatCode>
                <c:ptCount val="4"/>
                <c:pt idx="0">
                  <c:v>2011</c:v>
                </c:pt>
                <c:pt idx="1">
                  <c:v>2020</c:v>
                </c:pt>
                <c:pt idx="2">
                  <c:v>2030</c:v>
                </c:pt>
                <c:pt idx="3">
                  <c:v>2040</c:v>
                </c:pt>
              </c:numCache>
            </c:numRef>
          </c:cat>
          <c:val>
            <c:numRef>
              <c:f>Sheet1!$N$17:$Q$17</c:f>
              <c:numCache>
                <c:formatCode>General</c:formatCode>
                <c:ptCount val="4"/>
              </c:numCache>
            </c:numRef>
          </c:val>
        </c:ser>
        <c:ser>
          <c:idx val="1"/>
          <c:order val="1"/>
          <c:tx>
            <c:strRef>
              <c:f>Sheet1!$H$2</c:f>
              <c:strCache>
                <c:ptCount val="1"/>
                <c:pt idx="0">
                  <c:v>All Terminals Scenario</c:v>
                </c:pt>
              </c:strCache>
            </c:strRef>
          </c:tx>
          <c:cat>
            <c:numRef>
              <c:f>Sheet1!$N$3:$Q$3</c:f>
              <c:numCache>
                <c:formatCode>General</c:formatCode>
                <c:ptCount val="4"/>
                <c:pt idx="0">
                  <c:v>2011</c:v>
                </c:pt>
                <c:pt idx="1">
                  <c:v>2020</c:v>
                </c:pt>
                <c:pt idx="2">
                  <c:v>2030</c:v>
                </c:pt>
                <c:pt idx="3">
                  <c:v>2040</c:v>
                </c:pt>
              </c:numCache>
            </c:numRef>
          </c:cat>
          <c:val>
            <c:numRef>
              <c:f>Sheet1!$H$17:$K$17</c:f>
              <c:numCache>
                <c:formatCode>General</c:formatCode>
                <c:ptCount val="4"/>
                <c:pt idx="0">
                  <c:v>15</c:v>
                </c:pt>
                <c:pt idx="1">
                  <c:v>74</c:v>
                </c:pt>
                <c:pt idx="2">
                  <c:v>107</c:v>
                </c:pt>
                <c:pt idx="3">
                  <c:v>150</c:v>
                </c:pt>
              </c:numCache>
            </c:numRef>
          </c:val>
        </c:ser>
        <c:ser>
          <c:idx val="0"/>
          <c:order val="2"/>
          <c:tx>
            <c:strRef>
              <c:f>Sheet1!$B$2</c:f>
              <c:strCache>
                <c:ptCount val="1"/>
                <c:pt idx="0">
                  <c:v>Reference Case</c:v>
                </c:pt>
              </c:strCache>
            </c:strRef>
          </c:tx>
          <c:cat>
            <c:numRef>
              <c:f>Sheet1!$N$3:$Q$3</c:f>
              <c:numCache>
                <c:formatCode>General</c:formatCode>
                <c:ptCount val="4"/>
                <c:pt idx="0">
                  <c:v>2011</c:v>
                </c:pt>
                <c:pt idx="1">
                  <c:v>2020</c:v>
                </c:pt>
                <c:pt idx="2">
                  <c:v>2030</c:v>
                </c:pt>
                <c:pt idx="3">
                  <c:v>2040</c:v>
                </c:pt>
              </c:numCache>
            </c:numRef>
          </c:cat>
          <c:val>
            <c:numRef>
              <c:f>Sheet1!$B$17:$E$17</c:f>
              <c:numCache>
                <c:formatCode>General</c:formatCode>
                <c:ptCount val="4"/>
                <c:pt idx="0">
                  <c:v>15</c:v>
                </c:pt>
                <c:pt idx="1">
                  <c:v>24</c:v>
                </c:pt>
                <c:pt idx="2">
                  <c:v>41</c:v>
                </c:pt>
                <c:pt idx="3">
                  <c:v>62</c:v>
                </c:pt>
              </c:numCache>
            </c:numRef>
          </c:val>
        </c:ser>
        <c:dLbls>
          <c:showLegendKey val="0"/>
          <c:showVal val="0"/>
          <c:showCatName val="0"/>
          <c:showSerName val="0"/>
          <c:showPercent val="0"/>
          <c:showBubbleSize val="0"/>
        </c:dLbls>
        <c:axId val="138390016"/>
        <c:axId val="168860992"/>
      </c:areaChart>
      <c:catAx>
        <c:axId val="138390016"/>
        <c:scaling>
          <c:orientation val="minMax"/>
        </c:scaling>
        <c:delete val="0"/>
        <c:axPos val="b"/>
        <c:numFmt formatCode="General" sourceLinked="1"/>
        <c:majorTickMark val="none"/>
        <c:minorTickMark val="none"/>
        <c:tickLblPos val="nextTo"/>
        <c:crossAx val="168860992"/>
        <c:crosses val="autoZero"/>
        <c:auto val="1"/>
        <c:lblAlgn val="ctr"/>
        <c:lblOffset val="100"/>
        <c:noMultiLvlLbl val="0"/>
      </c:catAx>
      <c:valAx>
        <c:axId val="168860992"/>
        <c:scaling>
          <c:orientation val="minMax"/>
        </c:scaling>
        <c:delete val="0"/>
        <c:axPos val="l"/>
        <c:majorGridlines/>
        <c:numFmt formatCode="General" sourceLinked="1"/>
        <c:majorTickMark val="none"/>
        <c:minorTickMark val="none"/>
        <c:tickLblPos val="nextTo"/>
        <c:crossAx val="138390016"/>
        <c:crosses val="autoZero"/>
        <c:crossBetween val="midCat"/>
      </c:valAx>
    </c:plotArea>
    <c:legend>
      <c:legendPos val="b"/>
      <c:legendEntry>
        <c:idx val="0"/>
        <c:delete val="1"/>
      </c:legendEntry>
      <c:overlay val="0"/>
    </c:legend>
    <c:plotVisOnly val="1"/>
    <c:dispBlanksAs val="zero"/>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'2.Budget'!$Q$5</c:f>
              <c:strCache>
                <c:ptCount val="1"/>
                <c:pt idx="0">
                  <c:v>2014-2020</c:v>
                </c:pt>
              </c:strCache>
            </c:strRef>
          </c:tx>
          <c:invertIfNegative val="0"/>
          <c:cat>
            <c:strRef>
              <c:f>'2.Budget'!$P$6:$P$13</c:f>
              <c:strCache>
                <c:ptCount val="8"/>
                <c:pt idx="0">
                  <c:v>Întreținere</c:v>
                </c:pt>
                <c:pt idx="1">
                  <c:v>Reabilitare retea rutieră</c:v>
                </c:pt>
                <c:pt idx="2">
                  <c:v>Proieste fazate și metrou</c:v>
                </c:pt>
                <c:pt idx="3">
                  <c:v>Investiții rețea rutieră</c:v>
                </c:pt>
                <c:pt idx="4">
                  <c:v>Investiții rețea feroviară</c:v>
                </c:pt>
                <c:pt idx="5">
                  <c:v>Investiții porturi și căi navigabile</c:v>
                </c:pt>
                <c:pt idx="6">
                  <c:v>Investiții transport aerian</c:v>
                </c:pt>
                <c:pt idx="7">
                  <c:v>Investiții terminale intermodale</c:v>
                </c:pt>
              </c:strCache>
            </c:strRef>
          </c:cat>
          <c:val>
            <c:numRef>
              <c:f>'2.Budget'!$Q$6:$Q$13</c:f>
              <c:numCache>
                <c:formatCode>#,##0</c:formatCode>
                <c:ptCount val="8"/>
                <c:pt idx="0">
                  <c:v>7260</c:v>
                </c:pt>
                <c:pt idx="1">
                  <c:v>4578</c:v>
                </c:pt>
                <c:pt idx="2">
                  <c:v>3666</c:v>
                </c:pt>
                <c:pt idx="3">
                  <c:v>4704.1288315338261</c:v>
                </c:pt>
                <c:pt idx="4">
                  <c:v>4058.4640899506139</c:v>
                </c:pt>
                <c:pt idx="5">
                  <c:v>324</c:v>
                </c:pt>
                <c:pt idx="6">
                  <c:v>74.189101130754281</c:v>
                </c:pt>
                <c:pt idx="7">
                  <c:v>63</c:v>
                </c:pt>
              </c:numCache>
            </c:numRef>
          </c:val>
        </c:ser>
        <c:ser>
          <c:idx val="1"/>
          <c:order val="1"/>
          <c:tx>
            <c:strRef>
              <c:f>'2.Budget'!$R$5</c:f>
              <c:strCache>
                <c:ptCount val="1"/>
                <c:pt idx="0">
                  <c:v>2021-2030</c:v>
                </c:pt>
              </c:strCache>
            </c:strRef>
          </c:tx>
          <c:invertIfNegative val="0"/>
          <c:cat>
            <c:strRef>
              <c:f>'2.Budget'!$P$6:$P$13</c:f>
              <c:strCache>
                <c:ptCount val="8"/>
                <c:pt idx="0">
                  <c:v>Întreținere</c:v>
                </c:pt>
                <c:pt idx="1">
                  <c:v>Reabilitare retea rutieră</c:v>
                </c:pt>
                <c:pt idx="2">
                  <c:v>Proieste fazate și metrou</c:v>
                </c:pt>
                <c:pt idx="3">
                  <c:v>Investiții rețea rutieră</c:v>
                </c:pt>
                <c:pt idx="4">
                  <c:v>Investiții rețea feroviară</c:v>
                </c:pt>
                <c:pt idx="5">
                  <c:v>Investiții porturi și căi navigabile</c:v>
                </c:pt>
                <c:pt idx="6">
                  <c:v>Investiții transport aerian</c:v>
                </c:pt>
                <c:pt idx="7">
                  <c:v>Investiții terminale intermodale</c:v>
                </c:pt>
              </c:strCache>
            </c:strRef>
          </c:cat>
          <c:val>
            <c:numRef>
              <c:f>'2.Budget'!$R$6:$R$13</c:f>
              <c:numCache>
                <c:formatCode>#,##0</c:formatCode>
                <c:ptCount val="8"/>
                <c:pt idx="0">
                  <c:v>20650</c:v>
                </c:pt>
                <c:pt idx="1">
                  <c:v>0</c:v>
                </c:pt>
                <c:pt idx="2">
                  <c:v>3200</c:v>
                </c:pt>
                <c:pt idx="3">
                  <c:v>12839.662661938342</c:v>
                </c:pt>
                <c:pt idx="4">
                  <c:v>11077.356022064248</c:v>
                </c:pt>
                <c:pt idx="5">
                  <c:v>831.59786229272027</c:v>
                </c:pt>
                <c:pt idx="6">
                  <c:v>357.19259476005845</c:v>
                </c:pt>
                <c:pt idx="7">
                  <c:v>70</c:v>
                </c:pt>
              </c:numCache>
            </c:numRef>
          </c:val>
        </c:ser>
        <c:dLbls>
          <c:showLegendKey val="0"/>
          <c:showVal val="0"/>
          <c:showCatName val="0"/>
          <c:showSerName val="0"/>
          <c:showPercent val="0"/>
          <c:showBubbleSize val="0"/>
        </c:dLbls>
        <c:gapWidth val="150"/>
        <c:overlap val="100"/>
        <c:axId val="138457088"/>
        <c:axId val="210855040"/>
      </c:barChart>
      <c:catAx>
        <c:axId val="138457088"/>
        <c:scaling>
          <c:orientation val="minMax"/>
        </c:scaling>
        <c:delete val="0"/>
        <c:axPos val="l"/>
        <c:numFmt formatCode="General" sourceLinked="0"/>
        <c:majorTickMark val="out"/>
        <c:minorTickMark val="none"/>
        <c:tickLblPos val="nextTo"/>
        <c:crossAx val="210855040"/>
        <c:crosses val="autoZero"/>
        <c:auto val="1"/>
        <c:lblAlgn val="ctr"/>
        <c:lblOffset val="100"/>
        <c:noMultiLvlLbl val="0"/>
      </c:catAx>
      <c:valAx>
        <c:axId val="210855040"/>
        <c:scaling>
          <c:orientation val="minMax"/>
        </c:scaling>
        <c:delete val="0"/>
        <c:axPos val="b"/>
        <c:majorGridlines/>
        <c:numFmt formatCode="#,##0" sourceLinked="1"/>
        <c:majorTickMark val="out"/>
        <c:minorTickMark val="none"/>
        <c:tickLblPos val="nextTo"/>
        <c:crossAx val="138457088"/>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ro-R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300908540280727E-2"/>
          <c:y val="6.5395095367847433E-2"/>
          <c:w val="0.84754516454673934"/>
          <c:h val="0.77308760110708263"/>
        </c:manualLayout>
      </c:layout>
      <c:lineChart>
        <c:grouping val="standard"/>
        <c:varyColors val="0"/>
        <c:ser>
          <c:idx val="4"/>
          <c:order val="0"/>
          <c:tx>
            <c:v>Forecast</c:v>
          </c:tx>
          <c:spPr>
            <a:ln w="22225"/>
          </c:spPr>
          <c:marker>
            <c:symbol val="none"/>
          </c:marker>
          <c:cat>
            <c:numRef>
              <c:f>'Sheet2 (2)'!$AS$6:$AS$37</c:f>
              <c:numCache>
                <c:formatCode>General</c:formatCode>
                <c:ptCount val="32"/>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pt idx="23">
                  <c:v>2022</c:v>
                </c:pt>
                <c:pt idx="24">
                  <c:v>2023</c:v>
                </c:pt>
                <c:pt idx="25">
                  <c:v>2024</c:v>
                </c:pt>
                <c:pt idx="26">
                  <c:v>2025</c:v>
                </c:pt>
                <c:pt idx="27">
                  <c:v>2026</c:v>
                </c:pt>
                <c:pt idx="28">
                  <c:v>2027</c:v>
                </c:pt>
                <c:pt idx="29">
                  <c:v>2028</c:v>
                </c:pt>
                <c:pt idx="30">
                  <c:v>2029</c:v>
                </c:pt>
                <c:pt idx="31">
                  <c:v>2030</c:v>
                </c:pt>
              </c:numCache>
            </c:numRef>
          </c:cat>
          <c:val>
            <c:numRef>
              <c:f>'Sheet2 (2)'!$AW$6:$AW$37</c:f>
              <c:numCache>
                <c:formatCode>General</c:formatCode>
                <c:ptCount val="32"/>
                <c:pt idx="0">
                  <c:v>124.98284551053735</c:v>
                </c:pt>
                <c:pt idx="1">
                  <c:v>122.87769655045715</c:v>
                </c:pt>
                <c:pt idx="2">
                  <c:v>122.57391961500792</c:v>
                </c:pt>
                <c:pt idx="3">
                  <c:v>128.06785618620773</c:v>
                </c:pt>
                <c:pt idx="4">
                  <c:v>134.84368840048921</c:v>
                </c:pt>
                <c:pt idx="5">
                  <c:v>141.41737040106619</c:v>
                </c:pt>
                <c:pt idx="6">
                  <c:v>148.52559326524332</c:v>
                </c:pt>
                <c:pt idx="7">
                  <c:v>160.75388002173995</c:v>
                </c:pt>
                <c:pt idx="8">
                  <c:v>167.57396217552972</c:v>
                </c:pt>
                <c:pt idx="9">
                  <c:v>180.76427259971948</c:v>
                </c:pt>
                <c:pt idx="10">
                  <c:v>192.27047698079627</c:v>
                </c:pt>
                <c:pt idx="11">
                  <c:v>206.59466924578172</c:v>
                </c:pt>
                <c:pt idx="12">
                  <c:v>193.40998880867627</c:v>
                </c:pt>
                <c:pt idx="13">
                  <c:v>197.76604443639658</c:v>
                </c:pt>
                <c:pt idx="14">
                  <c:v>200.09560087965858</c:v>
                </c:pt>
                <c:pt idx="15">
                  <c:v>207.99712783949479</c:v>
                </c:pt>
                <c:pt idx="16">
                  <c:v>217.25825904675602</c:v>
                </c:pt>
                <c:pt idx="17">
                  <c:v>226.71985716145167</c:v>
                </c:pt>
                <c:pt idx="18">
                  <c:v>237.02731706110276</c:v>
                </c:pt>
                <c:pt idx="19">
                  <c:v>243.79025049119952</c:v>
                </c:pt>
                <c:pt idx="20">
                  <c:v>250.72195218409792</c:v>
                </c:pt>
                <c:pt idx="21">
                  <c:v>257.81951803855026</c:v>
                </c:pt>
                <c:pt idx="22">
                  <c:v>267.56166845430158</c:v>
                </c:pt>
                <c:pt idx="23">
                  <c:v>277.57447590754356</c:v>
                </c:pt>
                <c:pt idx="24">
                  <c:v>287.84346973815036</c:v>
                </c:pt>
                <c:pt idx="25">
                  <c:v>298.35143550295385</c:v>
                </c:pt>
                <c:pt idx="26">
                  <c:v>309.0783575424669</c:v>
                </c:pt>
                <c:pt idx="27">
                  <c:v>320.00140194440149</c:v>
                </c:pt>
                <c:pt idx="28">
                  <c:v>331.09494527248694</c:v>
                </c:pt>
                <c:pt idx="29">
                  <c:v>342.33065380823899</c:v>
                </c:pt>
                <c:pt idx="30">
                  <c:v>353.67761715839225</c:v>
                </c:pt>
                <c:pt idx="31">
                  <c:v>365.10253891678559</c:v>
                </c:pt>
              </c:numCache>
            </c:numRef>
          </c:val>
          <c:smooth val="0"/>
        </c:ser>
        <c:ser>
          <c:idx val="0"/>
          <c:order val="1"/>
          <c:tx>
            <c:v>Observed</c:v>
          </c:tx>
          <c:spPr>
            <a:ln w="22225">
              <a:solidFill>
                <a:srgbClr val="FF0000"/>
              </a:solidFill>
            </a:ln>
          </c:spPr>
          <c:marker>
            <c:symbol val="none"/>
          </c:marker>
          <c:val>
            <c:numRef>
              <c:f>'Sheet2 (2)'!$AT$6:$AT$18</c:f>
              <c:numCache>
                <c:formatCode>General</c:formatCode>
                <c:ptCount val="13"/>
                <c:pt idx="0">
                  <c:v>120.15294863907575</c:v>
                </c:pt>
                <c:pt idx="1">
                  <c:v>123.69334262876085</c:v>
                </c:pt>
                <c:pt idx="2">
                  <c:v>128.44994642775222</c:v>
                </c:pt>
                <c:pt idx="3">
                  <c:v>136.18486798464542</c:v>
                </c:pt>
                <c:pt idx="4">
                  <c:v>141.81142007904003</c:v>
                </c:pt>
                <c:pt idx="5">
                  <c:v>148.55739318948667</c:v>
                </c:pt>
                <c:pt idx="6">
                  <c:v>155.30967755518748</c:v>
                </c:pt>
                <c:pt idx="7">
                  <c:v>149.03518072680544</c:v>
                </c:pt>
                <c:pt idx="8">
                  <c:v>164.82190522574905</c:v>
                </c:pt>
                <c:pt idx="9">
                  <c:v>187.07031340177892</c:v>
                </c:pt>
                <c:pt idx="10">
                  <c:v>197.45094288861728</c:v>
                </c:pt>
                <c:pt idx="11">
                  <c:v>201.27031794431377</c:v>
                </c:pt>
                <c:pt idx="12">
                  <c:v>202.40347332941408</c:v>
                </c:pt>
              </c:numCache>
            </c:numRef>
          </c:val>
          <c:smooth val="0"/>
        </c:ser>
        <c:dLbls>
          <c:showLegendKey val="0"/>
          <c:showVal val="0"/>
          <c:showCatName val="0"/>
          <c:showSerName val="0"/>
          <c:showPercent val="0"/>
          <c:showBubbleSize val="0"/>
        </c:dLbls>
        <c:marker val="1"/>
        <c:smooth val="0"/>
        <c:axId val="189658624"/>
        <c:axId val="183543488"/>
      </c:lineChart>
      <c:catAx>
        <c:axId val="189658624"/>
        <c:scaling>
          <c:orientation val="minMax"/>
        </c:scaling>
        <c:delete val="0"/>
        <c:axPos val="b"/>
        <c:numFmt formatCode="General" sourceLinked="1"/>
        <c:majorTickMark val="out"/>
        <c:minorTickMark val="none"/>
        <c:tickLblPos val="nextTo"/>
        <c:crossAx val="183543488"/>
        <c:crosses val="autoZero"/>
        <c:auto val="1"/>
        <c:lblAlgn val="ctr"/>
        <c:lblOffset val="100"/>
        <c:noMultiLvlLbl val="0"/>
      </c:catAx>
      <c:valAx>
        <c:axId val="183543488"/>
        <c:scaling>
          <c:orientation val="minMax"/>
        </c:scaling>
        <c:delete val="0"/>
        <c:axPos val="l"/>
        <c:majorGridlines>
          <c:spPr>
            <a:ln>
              <a:solidFill>
                <a:srgbClr val="FFFFFF">
                  <a:lumMod val="75000"/>
                </a:srgbClr>
              </a:solidFill>
            </a:ln>
          </c:spPr>
        </c:majorGridlines>
        <c:title>
          <c:tx>
            <c:rich>
              <a:bodyPr rot="-5400000" vert="horz"/>
              <a:lstStyle/>
              <a:p>
                <a:pPr>
                  <a:defRPr/>
                </a:pPr>
                <a:r>
                  <a:rPr lang="en-GB"/>
                  <a:t>Car Ownership (cars per 1000 population)</a:t>
                </a:r>
              </a:p>
            </c:rich>
          </c:tx>
          <c:layout>
            <c:manualLayout>
              <c:xMode val="edge"/>
              <c:yMode val="edge"/>
              <c:x val="1.0967413688673561E-2"/>
              <c:y val="5.8578386148597908E-2"/>
            </c:manualLayout>
          </c:layout>
          <c:overlay val="0"/>
        </c:title>
        <c:numFmt formatCode="General" sourceLinked="1"/>
        <c:majorTickMark val="out"/>
        <c:minorTickMark val="none"/>
        <c:tickLblPos val="nextTo"/>
        <c:crossAx val="189658624"/>
        <c:crosses val="autoZero"/>
        <c:crossBetween val="between"/>
      </c:valAx>
    </c:plotArea>
    <c:legend>
      <c:legendPos val="b"/>
      <c:layout>
        <c:manualLayout>
          <c:xMode val="edge"/>
          <c:yMode val="edge"/>
          <c:x val="0.12007171411265899"/>
          <c:y val="9.1918156007065849E-2"/>
          <c:w val="0.16293333333334262"/>
          <c:h val="0.14513906470138099"/>
        </c:manualLayout>
      </c:layout>
      <c:overlay val="0"/>
    </c:legend>
    <c:plotVisOnly val="1"/>
    <c:dispBlanksAs val="gap"/>
    <c:showDLblsOverMax val="0"/>
  </c:chart>
  <c:txPr>
    <a:bodyPr/>
    <a:lstStyle/>
    <a:p>
      <a:pPr>
        <a:defRPr sz="900">
          <a:latin typeface="Arial" pitchFamily="34" charset="0"/>
          <a:cs typeface="Arial" pitchFamily="34" charset="0"/>
        </a:defRPr>
      </a:pPr>
      <a:endParaRPr lang="ro-R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o-RO" sz="1400"/>
              <a:t>Călători</a:t>
            </a:r>
            <a:endParaRPr lang="en-GB" sz="14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0"/>
              <c:tx>
                <c:rich>
                  <a:bodyPr/>
                  <a:lstStyle/>
                  <a:p>
                    <a:r>
                      <a:rPr lang="en-US"/>
                      <a:t>74.36%</a:t>
                    </a:r>
                  </a:p>
                </c:rich>
              </c:tx>
              <c:dLblPos val="outEnd"/>
              <c:showLegendKey val="0"/>
              <c:showVal val="0"/>
              <c:showCatName val="0"/>
              <c:showSerName val="0"/>
              <c:showPercent val="1"/>
              <c:showBubbleSize val="0"/>
              <c:extLst>
                <c:ext xmlns:c15="http://schemas.microsoft.com/office/drawing/2012/chart" uri="{CE6537A1-D6FC-4f65-9D91-7224C49458BB}"/>
              </c:extLst>
            </c:dLbl>
            <c:dLbl>
              <c:idx val="1"/>
              <c:tx>
                <c:rich>
                  <a:bodyPr/>
                  <a:lstStyle/>
                  <a:p>
                    <a:r>
                      <a:rPr lang="en-US"/>
                      <a:t>2</a:t>
                    </a:r>
                    <a:r>
                      <a:rPr lang="ro-RO"/>
                      <a:t>5.57</a:t>
                    </a:r>
                    <a:r>
                      <a:rPr lang="en-US"/>
                      <a:t>%</a:t>
                    </a:r>
                  </a:p>
                </c:rich>
              </c:tx>
              <c:dLblPos val="outEnd"/>
              <c:showLegendKey val="0"/>
              <c:showVal val="0"/>
              <c:showCatName val="0"/>
              <c:showSerName val="0"/>
              <c:showPercent val="1"/>
              <c:showBubbleSize val="0"/>
              <c:extLst>
                <c:ext xmlns:c15="http://schemas.microsoft.com/office/drawing/2012/chart" uri="{CE6537A1-D6FC-4f65-9D91-7224C49458BB}"/>
              </c:extLst>
            </c:dLbl>
            <c:dLbl>
              <c:idx val="2"/>
              <c:tx>
                <c:rich>
                  <a:bodyPr/>
                  <a:lstStyle/>
                  <a:p>
                    <a:r>
                      <a:rPr lang="en-US"/>
                      <a:t>0.0</a:t>
                    </a:r>
                    <a:r>
                      <a:rPr lang="ro-RO"/>
                      <a:t>7</a:t>
                    </a:r>
                    <a:r>
                      <a:rPr lang="en-US"/>
                      <a:t>%</a:t>
                    </a:r>
                  </a:p>
                </c:rich>
              </c:tx>
              <c:dLblPos val="outEnd"/>
              <c:showLegendKey val="0"/>
              <c:showVal val="0"/>
              <c:showCatName val="0"/>
              <c:showSerName val="0"/>
              <c:showPercent val="1"/>
              <c:showBubbleSize val="0"/>
              <c:extLst>
                <c:ext xmlns:c15="http://schemas.microsoft.com/office/drawing/2012/chart" uri="{CE6537A1-D6FC-4f65-9D91-7224C49458BB}"/>
              </c:extLst>
            </c:dLbl>
            <c:numFmt formatCode="0.00%" sourceLinked="0"/>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Chart!$D$9:$D$11</c:f>
              <c:strCache>
                <c:ptCount val="3"/>
                <c:pt idx="0">
                  <c:v>Drumuri</c:v>
                </c:pt>
                <c:pt idx="1">
                  <c:v>Căi ferate</c:v>
                </c:pt>
                <c:pt idx="2">
                  <c:v>Căi navigabile interne</c:v>
                </c:pt>
              </c:strCache>
            </c:strRef>
          </c:cat>
          <c:val>
            <c:numRef>
              <c:f>Chart!$E$9:$E$11</c:f>
              <c:numCache>
                <c:formatCode>General</c:formatCode>
                <c:ptCount val="3"/>
                <c:pt idx="0">
                  <c:v>15529</c:v>
                </c:pt>
                <c:pt idx="1">
                  <c:v>5073</c:v>
                </c:pt>
                <c:pt idx="2">
                  <c:v>18</c:v>
                </c:pt>
              </c:numCache>
            </c:numRef>
          </c:val>
        </c:ser>
        <c:dLbls>
          <c:showLegendKey val="0"/>
          <c:showVal val="1"/>
          <c:showCatName val="0"/>
          <c:showSerName val="0"/>
          <c:showPercent val="0"/>
          <c:showBubbleSize val="0"/>
          <c:showLeaderLines val="1"/>
        </c:dLbls>
      </c:pie3DChart>
    </c:plotArea>
    <c:legend>
      <c:legendPos val="b"/>
      <c:overlay val="0"/>
      <c:txPr>
        <a:bodyPr/>
        <a:lstStyle/>
        <a:p>
          <a:pPr>
            <a:defRPr sz="800"/>
          </a:pPr>
          <a:endParaRPr lang="ro-RO"/>
        </a:p>
      </c:txPr>
    </c:legend>
    <c:plotVisOnly val="1"/>
    <c:dispBlanksAs val="zero"/>
    <c:showDLblsOverMax val="0"/>
  </c:chart>
  <c:spPr>
    <a:ln w="19050">
      <a:solidFill>
        <a:schemeClr val="accent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o-RO" sz="1400"/>
              <a:t>Mărfuri</a:t>
            </a:r>
            <a:endParaRPr lang="en-GB" sz="14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0"/>
              <c:tx>
                <c:rich>
                  <a:bodyPr/>
                  <a:lstStyle/>
                  <a:p>
                    <a:r>
                      <a:rPr lang="en-US"/>
                      <a:t>48.</a:t>
                    </a:r>
                    <a:r>
                      <a:rPr lang="ro-RO"/>
                      <a:t>32</a:t>
                    </a:r>
                    <a:r>
                      <a:rPr lang="en-US"/>
                      <a:t>%</a:t>
                    </a:r>
                  </a:p>
                </c:rich>
              </c:tx>
              <c:dLblPos val="outEnd"/>
              <c:showLegendKey val="0"/>
              <c:showVal val="0"/>
              <c:showCatName val="0"/>
              <c:showSerName val="0"/>
              <c:showPercent val="1"/>
              <c:showBubbleSize val="0"/>
              <c:extLst>
                <c:ext xmlns:c15="http://schemas.microsoft.com/office/drawing/2012/chart" uri="{CE6537A1-D6FC-4f65-9D91-7224C49458BB}"/>
              </c:extLst>
            </c:dLbl>
            <c:dLbl>
              <c:idx val="1"/>
              <c:tx>
                <c:rich>
                  <a:bodyPr/>
                  <a:lstStyle/>
                  <a:p>
                    <a:r>
                      <a:rPr lang="en-US"/>
                      <a:t>2</a:t>
                    </a:r>
                    <a:r>
                      <a:rPr lang="ro-RO"/>
                      <a:t>3.10</a:t>
                    </a:r>
                    <a:r>
                      <a:rPr lang="en-US"/>
                      <a:t>%</a:t>
                    </a:r>
                  </a:p>
                </c:rich>
              </c:tx>
              <c:dLblPos val="outEnd"/>
              <c:showLegendKey val="0"/>
              <c:showVal val="0"/>
              <c:showCatName val="0"/>
              <c:showSerName val="0"/>
              <c:showPercent val="1"/>
              <c:showBubbleSize val="0"/>
              <c:extLst>
                <c:ext xmlns:c15="http://schemas.microsoft.com/office/drawing/2012/chart" uri="{CE6537A1-D6FC-4f65-9D91-7224C49458BB}"/>
              </c:extLst>
            </c:dLbl>
            <c:dLbl>
              <c:idx val="2"/>
              <c:tx>
                <c:rich>
                  <a:bodyPr/>
                  <a:lstStyle/>
                  <a:p>
                    <a:r>
                      <a:rPr lang="en-US"/>
                      <a:t>2</a:t>
                    </a:r>
                    <a:r>
                      <a:rPr lang="ro-RO"/>
                      <a:t>6.73</a:t>
                    </a:r>
                    <a:r>
                      <a:rPr lang="en-US"/>
                      <a:t>%</a:t>
                    </a:r>
                  </a:p>
                </c:rich>
              </c:tx>
              <c:dLblPos val="outEnd"/>
              <c:showLegendKey val="0"/>
              <c:showVal val="0"/>
              <c:showCatName val="0"/>
              <c:showSerName val="0"/>
              <c:showPercent val="1"/>
              <c:showBubbleSize val="0"/>
              <c:extLst>
                <c:ext xmlns:c15="http://schemas.microsoft.com/office/drawing/2012/chart" uri="{CE6537A1-D6FC-4f65-9D91-7224C49458BB}"/>
              </c:extLst>
            </c:dLbl>
            <c:dLbl>
              <c:idx val="3"/>
              <c:tx>
                <c:rich>
                  <a:bodyPr/>
                  <a:lstStyle/>
                  <a:p>
                    <a:r>
                      <a:rPr lang="en-US"/>
                      <a:t>1.8</a:t>
                    </a:r>
                    <a:r>
                      <a:rPr lang="ro-RO"/>
                      <a:t>6</a:t>
                    </a:r>
                    <a:r>
                      <a:rPr lang="en-US"/>
                      <a:t>%</a:t>
                    </a:r>
                  </a:p>
                </c:rich>
              </c:tx>
              <c:dLblPos val="outEnd"/>
              <c:showLegendKey val="0"/>
              <c:showVal val="0"/>
              <c:showCatName val="0"/>
              <c:showSerName val="0"/>
              <c:showPercent val="1"/>
              <c:showBubbleSize val="0"/>
              <c:extLst>
                <c:ext xmlns:c15="http://schemas.microsoft.com/office/drawing/2012/chart" uri="{CE6537A1-D6FC-4f65-9D91-7224C49458BB}"/>
              </c:extLst>
            </c:dLbl>
            <c:numFmt formatCode="0.00%" sourceLinked="0"/>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Chart!$D$14:$D$17</c:f>
              <c:strCache>
                <c:ptCount val="4"/>
                <c:pt idx="0">
                  <c:v>Drumuri </c:v>
                </c:pt>
                <c:pt idx="1">
                  <c:v>Căi ferate </c:v>
                </c:pt>
                <c:pt idx="2">
                  <c:v>Căi navigabile interne </c:v>
                </c:pt>
                <c:pt idx="3">
                  <c:v>Conducte</c:v>
                </c:pt>
              </c:strCache>
            </c:strRef>
          </c:cat>
          <c:val>
            <c:numRef>
              <c:f>Chart!$E$14:$E$17</c:f>
              <c:numCache>
                <c:formatCode>General</c:formatCode>
                <c:ptCount val="4"/>
                <c:pt idx="0">
                  <c:v>25883</c:v>
                </c:pt>
                <c:pt idx="1">
                  <c:v>15000</c:v>
                </c:pt>
                <c:pt idx="2">
                  <c:v>11000</c:v>
                </c:pt>
                <c:pt idx="3">
                  <c:v>996</c:v>
                </c:pt>
              </c:numCache>
            </c:numRef>
          </c:val>
        </c:ser>
        <c:dLbls>
          <c:showLegendKey val="0"/>
          <c:showVal val="1"/>
          <c:showCatName val="0"/>
          <c:showSerName val="0"/>
          <c:showPercent val="0"/>
          <c:showBubbleSize val="0"/>
          <c:showLeaderLines val="1"/>
        </c:dLbls>
      </c:pie3DChart>
    </c:plotArea>
    <c:legend>
      <c:legendPos val="b"/>
      <c:overlay val="0"/>
      <c:txPr>
        <a:bodyPr/>
        <a:lstStyle/>
        <a:p>
          <a:pPr>
            <a:defRPr sz="800"/>
          </a:pPr>
          <a:endParaRPr lang="ro-RO"/>
        </a:p>
      </c:txPr>
    </c:legend>
    <c:plotVisOnly val="1"/>
    <c:dispBlanksAs val="zero"/>
    <c:showDLblsOverMax val="0"/>
  </c:chart>
  <c:spPr>
    <a:ln w="19050">
      <a:solidFill>
        <a:srgbClr val="4F81BD"/>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invertIfNegative val="0"/>
          <c:cat>
            <c:numRef>
              <c:f>Sheet2!$A$5:$A$15</c:f>
              <c:numCache>
                <c:formatCode>General</c:formatCode>
                <c:ptCount val="11"/>
                <c:pt idx="0">
                  <c:v>2002</c:v>
                </c:pt>
                <c:pt idx="1">
                  <c:v>2003</c:v>
                </c:pt>
                <c:pt idx="2">
                  <c:v>2004</c:v>
                </c:pt>
                <c:pt idx="3">
                  <c:v>2005</c:v>
                </c:pt>
                <c:pt idx="4">
                  <c:v>2006</c:v>
                </c:pt>
                <c:pt idx="5">
                  <c:v>2007</c:v>
                </c:pt>
                <c:pt idx="6">
                  <c:v>2008</c:v>
                </c:pt>
                <c:pt idx="7">
                  <c:v>2009</c:v>
                </c:pt>
                <c:pt idx="8">
                  <c:v>2010</c:v>
                </c:pt>
                <c:pt idx="9">
                  <c:v>2011</c:v>
                </c:pt>
                <c:pt idx="10">
                  <c:v>2012</c:v>
                </c:pt>
              </c:numCache>
            </c:numRef>
          </c:cat>
          <c:val>
            <c:numRef>
              <c:f>Sheet2!$P$5:$P$15</c:f>
              <c:numCache>
                <c:formatCode>0.00%</c:formatCode>
                <c:ptCount val="11"/>
                <c:pt idx="0">
                  <c:v>0.69039265956011464</c:v>
                </c:pt>
                <c:pt idx="1">
                  <c:v>0.58695939690517263</c:v>
                </c:pt>
                <c:pt idx="2">
                  <c:v>0.60686099796334014</c:v>
                </c:pt>
                <c:pt idx="3">
                  <c:v>0.59859420107945249</c:v>
                </c:pt>
                <c:pt idx="4">
                  <c:v>0.58767149032136867</c:v>
                </c:pt>
                <c:pt idx="5">
                  <c:v>0.58803386875856056</c:v>
                </c:pt>
                <c:pt idx="6">
                  <c:v>0.52984299590689721</c:v>
                </c:pt>
                <c:pt idx="7">
                  <c:v>0.60133333333333361</c:v>
                </c:pt>
                <c:pt idx="8">
                  <c:v>0.56826969550509132</c:v>
                </c:pt>
                <c:pt idx="9">
                  <c:v>0.64842812574993958</c:v>
                </c:pt>
                <c:pt idx="10">
                  <c:v>0.64286137265355769</c:v>
                </c:pt>
              </c:numCache>
            </c:numRef>
          </c:val>
        </c:ser>
        <c:dLbls>
          <c:showLegendKey val="0"/>
          <c:showVal val="0"/>
          <c:showCatName val="0"/>
          <c:showSerName val="0"/>
          <c:showPercent val="0"/>
          <c:showBubbleSize val="0"/>
        </c:dLbls>
        <c:gapWidth val="150"/>
        <c:axId val="189657088"/>
        <c:axId val="183546368"/>
      </c:barChart>
      <c:catAx>
        <c:axId val="189657088"/>
        <c:scaling>
          <c:orientation val="minMax"/>
        </c:scaling>
        <c:delete val="0"/>
        <c:axPos val="b"/>
        <c:numFmt formatCode="General" sourceLinked="1"/>
        <c:majorTickMark val="out"/>
        <c:minorTickMark val="none"/>
        <c:tickLblPos val="nextTo"/>
        <c:txPr>
          <a:bodyPr/>
          <a:lstStyle/>
          <a:p>
            <a:pPr>
              <a:defRPr sz="1100">
                <a:latin typeface="Arial" pitchFamily="34" charset="0"/>
                <a:cs typeface="Arial" pitchFamily="34" charset="0"/>
              </a:defRPr>
            </a:pPr>
            <a:endParaRPr lang="ro-RO"/>
          </a:p>
        </c:txPr>
        <c:crossAx val="183546368"/>
        <c:crosses val="autoZero"/>
        <c:auto val="1"/>
        <c:lblAlgn val="ctr"/>
        <c:lblOffset val="100"/>
        <c:noMultiLvlLbl val="0"/>
      </c:catAx>
      <c:valAx>
        <c:axId val="183546368"/>
        <c:scaling>
          <c:orientation val="minMax"/>
          <c:max val="1"/>
        </c:scaling>
        <c:delete val="0"/>
        <c:axPos val="l"/>
        <c:majorGridlines/>
        <c:numFmt formatCode="0%" sourceLinked="0"/>
        <c:majorTickMark val="out"/>
        <c:minorTickMark val="none"/>
        <c:tickLblPos val="nextTo"/>
        <c:txPr>
          <a:bodyPr/>
          <a:lstStyle/>
          <a:p>
            <a:pPr>
              <a:defRPr sz="1100">
                <a:latin typeface="Arial" pitchFamily="34" charset="0"/>
                <a:cs typeface="Arial" pitchFamily="34" charset="0"/>
              </a:defRPr>
            </a:pPr>
            <a:endParaRPr lang="ro-RO"/>
          </a:p>
        </c:txPr>
        <c:crossAx val="189657088"/>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Data!$F$8</c:f>
              <c:strCache>
                <c:ptCount val="1"/>
                <c:pt idx="0">
                  <c:v>km/100000 inhab</c:v>
                </c:pt>
              </c:strCache>
            </c:strRef>
          </c:tx>
          <c:invertIfNegative val="0"/>
          <c:dPt>
            <c:idx val="16"/>
            <c:invertIfNegative val="0"/>
            <c:bubble3D val="0"/>
            <c:spPr>
              <a:solidFill>
                <a:schemeClr val="accent2"/>
              </a:solidFill>
            </c:spPr>
          </c:dPt>
          <c:dPt>
            <c:idx val="17"/>
            <c:invertIfNegative val="0"/>
            <c:bubble3D val="0"/>
            <c:spPr>
              <a:solidFill>
                <a:schemeClr val="accent1"/>
              </a:solidFill>
            </c:spPr>
          </c:dPt>
          <c:cat>
            <c:strRef>
              <c:f>Data!$D$9:$D$30</c:f>
              <c:strCache>
                <c:ptCount val="22"/>
                <c:pt idx="0">
                  <c:v>Bulgaria</c:v>
                </c:pt>
                <c:pt idx="1">
                  <c:v>Cehia</c:v>
                </c:pt>
                <c:pt idx="2">
                  <c:v>Danemarca</c:v>
                </c:pt>
                <c:pt idx="3">
                  <c:v>Germania</c:v>
                </c:pt>
                <c:pt idx="4">
                  <c:v>Estonia</c:v>
                </c:pt>
                <c:pt idx="5">
                  <c:v>Irlanda</c:v>
                </c:pt>
                <c:pt idx="6">
                  <c:v>Spania</c:v>
                </c:pt>
                <c:pt idx="7">
                  <c:v>Franța</c:v>
                </c:pt>
                <c:pt idx="8">
                  <c:v>Italia</c:v>
                </c:pt>
                <c:pt idx="9">
                  <c:v>Cipru</c:v>
                </c:pt>
                <c:pt idx="10">
                  <c:v>Lituania</c:v>
                </c:pt>
                <c:pt idx="11">
                  <c:v>Luxemburg</c:v>
                </c:pt>
                <c:pt idx="12">
                  <c:v>Ungaria</c:v>
                </c:pt>
                <c:pt idx="13">
                  <c:v>Olanda</c:v>
                </c:pt>
                <c:pt idx="14">
                  <c:v>Austria</c:v>
                </c:pt>
                <c:pt idx="15">
                  <c:v>Polonia</c:v>
                </c:pt>
                <c:pt idx="16">
                  <c:v>România</c:v>
                </c:pt>
                <c:pt idx="17">
                  <c:v>Slovenia</c:v>
                </c:pt>
                <c:pt idx="18">
                  <c:v>Slovacia</c:v>
                </c:pt>
                <c:pt idx="19">
                  <c:v>Finlanda</c:v>
                </c:pt>
                <c:pt idx="20">
                  <c:v>Suedia</c:v>
                </c:pt>
                <c:pt idx="21">
                  <c:v>Marea Britanie</c:v>
                </c:pt>
              </c:strCache>
            </c:strRef>
          </c:cat>
          <c:val>
            <c:numRef>
              <c:f>Data!$F$9:$F$30</c:f>
              <c:numCache>
                <c:formatCode>#,##0</c:formatCode>
                <c:ptCount val="22"/>
                <c:pt idx="0">
                  <c:v>4</c:v>
                </c:pt>
                <c:pt idx="1">
                  <c:v>6</c:v>
                </c:pt>
                <c:pt idx="2">
                  <c:v>19</c:v>
                </c:pt>
                <c:pt idx="3">
                  <c:v>15</c:v>
                </c:pt>
                <c:pt idx="4">
                  <c:v>7</c:v>
                </c:pt>
                <c:pt idx="5">
                  <c:v>6</c:v>
                </c:pt>
                <c:pt idx="6">
                  <c:v>27</c:v>
                </c:pt>
                <c:pt idx="7">
                  <c:v>17</c:v>
                </c:pt>
                <c:pt idx="8">
                  <c:v>11</c:v>
                </c:pt>
                <c:pt idx="9">
                  <c:v>37</c:v>
                </c:pt>
                <c:pt idx="10">
                  <c:v>12</c:v>
                </c:pt>
                <c:pt idx="11">
                  <c:v>32</c:v>
                </c:pt>
                <c:pt idx="12">
                  <c:v>6</c:v>
                </c:pt>
                <c:pt idx="13">
                  <c:v>16</c:v>
                </c:pt>
                <c:pt idx="14">
                  <c:v>20</c:v>
                </c:pt>
                <c:pt idx="15">
                  <c:v>1</c:v>
                </c:pt>
                <c:pt idx="16">
                  <c:v>1</c:v>
                </c:pt>
                <c:pt idx="17">
                  <c:v>28</c:v>
                </c:pt>
                <c:pt idx="18">
                  <c:v>6</c:v>
                </c:pt>
                <c:pt idx="19">
                  <c:v>13</c:v>
                </c:pt>
                <c:pt idx="20">
                  <c:v>19</c:v>
                </c:pt>
                <c:pt idx="21">
                  <c:v>6</c:v>
                </c:pt>
              </c:numCache>
            </c:numRef>
          </c:val>
        </c:ser>
        <c:dLbls>
          <c:showLegendKey val="0"/>
          <c:showVal val="0"/>
          <c:showCatName val="0"/>
          <c:showSerName val="0"/>
          <c:showPercent val="0"/>
          <c:showBubbleSize val="0"/>
        </c:dLbls>
        <c:gapWidth val="150"/>
        <c:axId val="111439360"/>
        <c:axId val="183548672"/>
      </c:barChart>
      <c:catAx>
        <c:axId val="111439360"/>
        <c:scaling>
          <c:orientation val="minMax"/>
        </c:scaling>
        <c:delete val="0"/>
        <c:axPos val="b"/>
        <c:numFmt formatCode="General" sourceLinked="0"/>
        <c:majorTickMark val="out"/>
        <c:minorTickMark val="none"/>
        <c:tickLblPos val="nextTo"/>
        <c:txPr>
          <a:bodyPr/>
          <a:lstStyle/>
          <a:p>
            <a:pPr>
              <a:defRPr sz="1100">
                <a:latin typeface="Arial" pitchFamily="34" charset="0"/>
                <a:cs typeface="Arial" pitchFamily="34" charset="0"/>
              </a:defRPr>
            </a:pPr>
            <a:endParaRPr lang="ro-RO"/>
          </a:p>
        </c:txPr>
        <c:crossAx val="183548672"/>
        <c:crosses val="autoZero"/>
        <c:auto val="1"/>
        <c:lblAlgn val="ctr"/>
        <c:lblOffset val="100"/>
        <c:noMultiLvlLbl val="0"/>
      </c:catAx>
      <c:valAx>
        <c:axId val="183548672"/>
        <c:scaling>
          <c:orientation val="minMax"/>
        </c:scaling>
        <c:delete val="0"/>
        <c:axPos val="l"/>
        <c:majorGridlines/>
        <c:numFmt formatCode="#,##0" sourceLinked="1"/>
        <c:majorTickMark val="out"/>
        <c:minorTickMark val="none"/>
        <c:tickLblPos val="nextTo"/>
        <c:txPr>
          <a:bodyPr/>
          <a:lstStyle/>
          <a:p>
            <a:pPr>
              <a:defRPr sz="1100">
                <a:latin typeface="Arial" pitchFamily="34" charset="0"/>
                <a:cs typeface="Arial" pitchFamily="34" charset="0"/>
              </a:defRPr>
            </a:pPr>
            <a:endParaRPr lang="ro-RO"/>
          </a:p>
        </c:txPr>
        <c:crossAx val="111439360"/>
        <c:crosses val="autoZero"/>
        <c:crossBetween val="between"/>
      </c:valAx>
      <c:spPr>
        <a:ln>
          <a:solidFill>
            <a:schemeClr val="accent1"/>
          </a:solidFill>
        </a:ln>
      </c:spPr>
    </c:plotArea>
    <c:plotVisOnly val="1"/>
    <c:dispBlanksAs val="gap"/>
    <c:showDLblsOverMax val="0"/>
  </c:chart>
  <c:spPr>
    <a:ln w="19050">
      <a:solidFill>
        <a:schemeClr val="accent1"/>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F3BB2C-2F7C-452C-92EF-8766DAF2D905}" type="doc">
      <dgm:prSet loTypeId="urn:microsoft.com/office/officeart/2005/8/layout/chevron2" loCatId="list" qsTypeId="urn:microsoft.com/office/officeart/2005/8/quickstyle/simple1" qsCatId="simple" csTypeId="urn:microsoft.com/office/officeart/2005/8/colors/colorful5" csCatId="colorful" phldr="1"/>
      <dgm:spPr/>
      <dgm:t>
        <a:bodyPr/>
        <a:lstStyle/>
        <a:p>
          <a:endParaRPr lang="en-US"/>
        </a:p>
      </dgm:t>
    </dgm:pt>
    <dgm:pt modelId="{46975044-64DE-4154-BAFE-4A18D37D9FE9}">
      <dgm:prSet phldrT="[Text]" custT="1"/>
      <dgm:spPr/>
      <dgm:t>
        <a:bodyPr/>
        <a:lstStyle/>
        <a:p>
          <a:r>
            <a:rPr lang="en-US" sz="1100" b="1" dirty="0" smtClean="0">
              <a:latin typeface="Arial" pitchFamily="34" charset="0"/>
              <a:cs typeface="Arial" pitchFamily="34" charset="0"/>
            </a:rPr>
            <a:t>1</a:t>
          </a:r>
          <a:endParaRPr lang="en-US" sz="1100" dirty="0">
            <a:latin typeface="Arial" pitchFamily="34" charset="0"/>
            <a:cs typeface="Arial" pitchFamily="34" charset="0"/>
          </a:endParaRPr>
        </a:p>
      </dgm:t>
    </dgm:pt>
    <dgm:pt modelId="{9AC689D3-12FA-45A3-A72B-E6BBE819B21E}" type="parTrans" cxnId="{B93BD54F-1B91-4E10-918F-C69A3C8655F3}">
      <dgm:prSet/>
      <dgm:spPr/>
      <dgm:t>
        <a:bodyPr/>
        <a:lstStyle/>
        <a:p>
          <a:endParaRPr lang="en-US" sz="1100">
            <a:latin typeface="Arial" pitchFamily="34" charset="0"/>
            <a:cs typeface="Arial" pitchFamily="34" charset="0"/>
          </a:endParaRPr>
        </a:p>
      </dgm:t>
    </dgm:pt>
    <dgm:pt modelId="{1D314387-EE5E-467F-8BA4-2227830E73A0}" type="sibTrans" cxnId="{B93BD54F-1B91-4E10-918F-C69A3C8655F3}">
      <dgm:prSet/>
      <dgm:spPr/>
      <dgm:t>
        <a:bodyPr/>
        <a:lstStyle/>
        <a:p>
          <a:endParaRPr lang="en-US" sz="1100">
            <a:latin typeface="Arial" pitchFamily="34" charset="0"/>
            <a:cs typeface="Arial" pitchFamily="34" charset="0"/>
          </a:endParaRPr>
        </a:p>
      </dgm:t>
    </dgm:pt>
    <dgm:pt modelId="{CD4399FB-71B6-45AD-8AAC-B36A81E0641E}">
      <dgm:prSet phldrT="[Text]" custT="1"/>
      <dgm:spPr/>
      <dgm:t>
        <a:bodyPr/>
        <a:lstStyle/>
        <a:p>
          <a:r>
            <a:rPr lang="ro-RO" sz="1100" b="1" dirty="0">
              <a:latin typeface="Arial" pitchFamily="34" charset="0"/>
              <a:cs typeface="Arial" pitchFamily="34" charset="0"/>
            </a:rPr>
            <a:t>Definirea obiectivelor strategice</a:t>
          </a:r>
          <a:r>
            <a:rPr lang="en-US" sz="1100" b="1" dirty="0">
              <a:latin typeface="Arial" pitchFamily="34" charset="0"/>
              <a:cs typeface="Arial" pitchFamily="34" charset="0"/>
            </a:rPr>
            <a:t> </a:t>
          </a:r>
          <a:r>
            <a:rPr lang="en-US" sz="1100" b="0" dirty="0">
              <a:latin typeface="Arial" pitchFamily="34" charset="0"/>
              <a:cs typeface="Arial" pitchFamily="34" charset="0"/>
            </a:rPr>
            <a:t>- </a:t>
          </a:r>
          <a:r>
            <a:rPr lang="ro-RO" sz="1100" b="0" dirty="0">
              <a:latin typeface="Arial" pitchFamily="34" charset="0"/>
              <a:cs typeface="Arial" pitchFamily="34" charset="0"/>
            </a:rPr>
            <a:t>Caiet de sarcini, politici naționale și UE</a:t>
          </a:r>
          <a:endParaRPr lang="en-US" sz="1100" b="0" dirty="0">
            <a:latin typeface="Arial" pitchFamily="34" charset="0"/>
            <a:cs typeface="Arial" pitchFamily="34" charset="0"/>
          </a:endParaRPr>
        </a:p>
      </dgm:t>
    </dgm:pt>
    <dgm:pt modelId="{28807174-261B-4291-9E31-9A91DA909E9A}" type="parTrans" cxnId="{F1DCCECC-744F-4C14-B64F-F8FCE76B1E40}">
      <dgm:prSet/>
      <dgm:spPr/>
      <dgm:t>
        <a:bodyPr/>
        <a:lstStyle/>
        <a:p>
          <a:endParaRPr lang="en-US" sz="1100">
            <a:latin typeface="Arial" pitchFamily="34" charset="0"/>
            <a:cs typeface="Arial" pitchFamily="34" charset="0"/>
          </a:endParaRPr>
        </a:p>
      </dgm:t>
    </dgm:pt>
    <dgm:pt modelId="{E344E2A6-80BA-4847-B8D2-4EED5E5D6B90}" type="sibTrans" cxnId="{F1DCCECC-744F-4C14-B64F-F8FCE76B1E40}">
      <dgm:prSet/>
      <dgm:spPr/>
      <dgm:t>
        <a:bodyPr/>
        <a:lstStyle/>
        <a:p>
          <a:endParaRPr lang="en-US" sz="1100">
            <a:latin typeface="Arial" pitchFamily="34" charset="0"/>
            <a:cs typeface="Arial" pitchFamily="34" charset="0"/>
          </a:endParaRPr>
        </a:p>
      </dgm:t>
    </dgm:pt>
    <dgm:pt modelId="{B9795A5D-D27A-4A6E-8440-77B3034AAF8A}">
      <dgm:prSet phldrT="[Text]" custT="1"/>
      <dgm:spPr/>
      <dgm:t>
        <a:bodyPr/>
        <a:lstStyle/>
        <a:p>
          <a:r>
            <a:rPr lang="en-US" sz="1100" dirty="0" smtClean="0">
              <a:latin typeface="Arial" pitchFamily="34" charset="0"/>
              <a:cs typeface="Arial" pitchFamily="34" charset="0"/>
            </a:rPr>
            <a:t>2</a:t>
          </a:r>
          <a:endParaRPr lang="en-US" sz="1100" dirty="0">
            <a:latin typeface="Arial" pitchFamily="34" charset="0"/>
            <a:cs typeface="Arial" pitchFamily="34" charset="0"/>
          </a:endParaRPr>
        </a:p>
      </dgm:t>
    </dgm:pt>
    <dgm:pt modelId="{571C28AC-8F01-48AD-9EEC-1CAED3CDBE4E}" type="parTrans" cxnId="{9D5DD15F-9304-4FBB-B684-A90FF5AB2AB8}">
      <dgm:prSet/>
      <dgm:spPr/>
      <dgm:t>
        <a:bodyPr/>
        <a:lstStyle/>
        <a:p>
          <a:endParaRPr lang="en-US" sz="1100">
            <a:latin typeface="Arial" pitchFamily="34" charset="0"/>
            <a:cs typeface="Arial" pitchFamily="34" charset="0"/>
          </a:endParaRPr>
        </a:p>
      </dgm:t>
    </dgm:pt>
    <dgm:pt modelId="{DCE70608-3F55-445D-9B60-575F876143BB}" type="sibTrans" cxnId="{9D5DD15F-9304-4FBB-B684-A90FF5AB2AB8}">
      <dgm:prSet/>
      <dgm:spPr/>
      <dgm:t>
        <a:bodyPr/>
        <a:lstStyle/>
        <a:p>
          <a:endParaRPr lang="en-US" sz="1100">
            <a:latin typeface="Arial" pitchFamily="34" charset="0"/>
            <a:cs typeface="Arial" pitchFamily="34" charset="0"/>
          </a:endParaRPr>
        </a:p>
      </dgm:t>
    </dgm:pt>
    <dgm:pt modelId="{36ECC064-8B8E-44D2-AA9D-F69FEAD3521F}">
      <dgm:prSet phldrT="[Text]" custT="1"/>
      <dgm:spPr/>
      <dgm:t>
        <a:bodyPr/>
        <a:lstStyle/>
        <a:p>
          <a:r>
            <a:rPr lang="ro-RO" sz="1100" b="1" dirty="0">
              <a:latin typeface="Arial" pitchFamily="34" charset="0"/>
              <a:cs typeface="Arial" pitchFamily="34" charset="0"/>
            </a:rPr>
            <a:t>Definirea problemelor </a:t>
          </a:r>
          <a:r>
            <a:rPr lang="en-US" sz="1100" b="1" dirty="0">
              <a:latin typeface="Arial" pitchFamily="34" charset="0"/>
              <a:cs typeface="Arial" pitchFamily="34" charset="0"/>
            </a:rPr>
            <a:t>- </a:t>
          </a:r>
          <a:r>
            <a:rPr lang="ro-RO" sz="1100" b="0" dirty="0">
              <a:latin typeface="Arial" pitchFamily="34" charset="0"/>
              <a:cs typeface="Arial" pitchFamily="34" charset="0"/>
            </a:rPr>
            <a:t>Identificarea cauzelor fundamentale</a:t>
          </a:r>
          <a:endParaRPr lang="en-US" sz="1100" b="0" dirty="0">
            <a:latin typeface="Arial" pitchFamily="34" charset="0"/>
            <a:cs typeface="Arial" pitchFamily="34" charset="0"/>
          </a:endParaRPr>
        </a:p>
      </dgm:t>
    </dgm:pt>
    <dgm:pt modelId="{F9A3A4B6-99AD-4350-93D4-50BED61C65AF}" type="parTrans" cxnId="{1675776A-B528-40AC-BB6E-5F067158E7E0}">
      <dgm:prSet/>
      <dgm:spPr/>
      <dgm:t>
        <a:bodyPr/>
        <a:lstStyle/>
        <a:p>
          <a:endParaRPr lang="en-US" sz="1100">
            <a:latin typeface="Arial" pitchFamily="34" charset="0"/>
            <a:cs typeface="Arial" pitchFamily="34" charset="0"/>
          </a:endParaRPr>
        </a:p>
      </dgm:t>
    </dgm:pt>
    <dgm:pt modelId="{C3750EAF-25B5-4ADB-8561-8710D47F88D3}" type="sibTrans" cxnId="{1675776A-B528-40AC-BB6E-5F067158E7E0}">
      <dgm:prSet/>
      <dgm:spPr/>
      <dgm:t>
        <a:bodyPr/>
        <a:lstStyle/>
        <a:p>
          <a:endParaRPr lang="en-US" sz="1100">
            <a:latin typeface="Arial" pitchFamily="34" charset="0"/>
            <a:cs typeface="Arial" pitchFamily="34" charset="0"/>
          </a:endParaRPr>
        </a:p>
      </dgm:t>
    </dgm:pt>
    <dgm:pt modelId="{CEEF9866-34D1-4B3E-A4BA-5A02E1212D7A}">
      <dgm:prSet phldrT="[Text]" custT="1"/>
      <dgm:spPr/>
      <dgm:t>
        <a:bodyPr/>
        <a:lstStyle/>
        <a:p>
          <a:r>
            <a:rPr lang="en-US" sz="1100" dirty="0" smtClean="0">
              <a:latin typeface="Arial" pitchFamily="34" charset="0"/>
              <a:cs typeface="Arial" pitchFamily="34" charset="0"/>
            </a:rPr>
            <a:t>3</a:t>
          </a:r>
          <a:endParaRPr lang="en-US" sz="1100" dirty="0">
            <a:latin typeface="Arial" pitchFamily="34" charset="0"/>
            <a:cs typeface="Arial" pitchFamily="34" charset="0"/>
          </a:endParaRPr>
        </a:p>
      </dgm:t>
    </dgm:pt>
    <dgm:pt modelId="{E54A6837-0457-4A8E-8C2B-0424AE8AE249}" type="parTrans" cxnId="{114A3122-2911-4FC1-8CE5-C04908571704}">
      <dgm:prSet/>
      <dgm:spPr/>
      <dgm:t>
        <a:bodyPr/>
        <a:lstStyle/>
        <a:p>
          <a:endParaRPr lang="en-US" sz="1100">
            <a:latin typeface="Arial" pitchFamily="34" charset="0"/>
            <a:cs typeface="Arial" pitchFamily="34" charset="0"/>
          </a:endParaRPr>
        </a:p>
      </dgm:t>
    </dgm:pt>
    <dgm:pt modelId="{7E1AE285-E7E6-4B53-B856-CE09C980BA20}" type="sibTrans" cxnId="{114A3122-2911-4FC1-8CE5-C04908571704}">
      <dgm:prSet/>
      <dgm:spPr/>
      <dgm:t>
        <a:bodyPr/>
        <a:lstStyle/>
        <a:p>
          <a:endParaRPr lang="en-US" sz="1100">
            <a:latin typeface="Arial" pitchFamily="34" charset="0"/>
            <a:cs typeface="Arial" pitchFamily="34" charset="0"/>
          </a:endParaRPr>
        </a:p>
      </dgm:t>
    </dgm:pt>
    <dgm:pt modelId="{DB027418-2837-44E9-869D-A4B91BA9A1E3}">
      <dgm:prSet phldrT="[Text]" custT="1"/>
      <dgm:spPr/>
      <dgm:t>
        <a:bodyPr/>
        <a:lstStyle/>
        <a:p>
          <a:r>
            <a:rPr lang="ro-RO" sz="1100" b="1" dirty="0">
              <a:latin typeface="Arial" pitchFamily="34" charset="0"/>
              <a:cs typeface="Arial" pitchFamily="34" charset="0"/>
            </a:rPr>
            <a:t>Obiective operaționale </a:t>
          </a:r>
          <a:r>
            <a:rPr lang="en-US" sz="1100" b="0" dirty="0">
              <a:latin typeface="Arial" pitchFamily="34" charset="0"/>
              <a:cs typeface="Arial" pitchFamily="34" charset="0"/>
            </a:rPr>
            <a:t>- </a:t>
          </a:r>
          <a:r>
            <a:rPr lang="ro-RO" sz="1100" b="0" dirty="0">
              <a:latin typeface="Arial" pitchFamily="34" charset="0"/>
              <a:cs typeface="Arial" pitchFamily="34" charset="0"/>
            </a:rPr>
            <a:t>Obiective specifice bazate pe analiza problemelor</a:t>
          </a:r>
          <a:endParaRPr lang="en-US" sz="1100" b="0" dirty="0">
            <a:latin typeface="Arial" pitchFamily="34" charset="0"/>
            <a:cs typeface="Arial" pitchFamily="34" charset="0"/>
          </a:endParaRPr>
        </a:p>
      </dgm:t>
    </dgm:pt>
    <dgm:pt modelId="{9C067AB3-D388-4FD0-B78F-FB19F519DCEF}" type="parTrans" cxnId="{931382F4-B392-4433-ACA2-941C1425A624}">
      <dgm:prSet/>
      <dgm:spPr/>
      <dgm:t>
        <a:bodyPr/>
        <a:lstStyle/>
        <a:p>
          <a:endParaRPr lang="en-US" sz="1100">
            <a:latin typeface="Arial" pitchFamily="34" charset="0"/>
            <a:cs typeface="Arial" pitchFamily="34" charset="0"/>
          </a:endParaRPr>
        </a:p>
      </dgm:t>
    </dgm:pt>
    <dgm:pt modelId="{2DFB3B92-8392-46D0-AE9D-0E07B3D71376}" type="sibTrans" cxnId="{931382F4-B392-4433-ACA2-941C1425A624}">
      <dgm:prSet/>
      <dgm:spPr/>
      <dgm:t>
        <a:bodyPr/>
        <a:lstStyle/>
        <a:p>
          <a:endParaRPr lang="en-US" sz="1100">
            <a:latin typeface="Arial" pitchFamily="34" charset="0"/>
            <a:cs typeface="Arial" pitchFamily="34" charset="0"/>
          </a:endParaRPr>
        </a:p>
      </dgm:t>
    </dgm:pt>
    <dgm:pt modelId="{44BDC720-7310-4ECE-83CD-D40AC5CEB7AF}">
      <dgm:prSet phldrT="[Text]" custT="1"/>
      <dgm:spPr/>
      <dgm:t>
        <a:bodyPr/>
        <a:lstStyle/>
        <a:p>
          <a:r>
            <a:rPr lang="en-US" sz="1100" dirty="0" smtClean="0">
              <a:latin typeface="Arial" pitchFamily="34" charset="0"/>
              <a:cs typeface="Arial" pitchFamily="34" charset="0"/>
            </a:rPr>
            <a:t>4</a:t>
          </a:r>
          <a:endParaRPr lang="en-US" sz="1100" dirty="0">
            <a:latin typeface="Arial" pitchFamily="34" charset="0"/>
            <a:cs typeface="Arial" pitchFamily="34" charset="0"/>
          </a:endParaRPr>
        </a:p>
      </dgm:t>
    </dgm:pt>
    <dgm:pt modelId="{4B6CF8F0-8260-4B7D-9A95-07DD41DF18FD}" type="parTrans" cxnId="{1C1CCD9D-DD00-4433-81B2-3C177C681692}">
      <dgm:prSet/>
      <dgm:spPr/>
      <dgm:t>
        <a:bodyPr/>
        <a:lstStyle/>
        <a:p>
          <a:endParaRPr lang="en-US" sz="1100">
            <a:latin typeface="Arial" pitchFamily="34" charset="0"/>
            <a:cs typeface="Arial" pitchFamily="34" charset="0"/>
          </a:endParaRPr>
        </a:p>
      </dgm:t>
    </dgm:pt>
    <dgm:pt modelId="{FD27B449-A8E3-4F10-9F77-F5D6FEF37025}" type="sibTrans" cxnId="{1C1CCD9D-DD00-4433-81B2-3C177C681692}">
      <dgm:prSet/>
      <dgm:spPr/>
      <dgm:t>
        <a:bodyPr/>
        <a:lstStyle/>
        <a:p>
          <a:endParaRPr lang="en-US" sz="1100">
            <a:latin typeface="Arial" pitchFamily="34" charset="0"/>
            <a:cs typeface="Arial" pitchFamily="34" charset="0"/>
          </a:endParaRPr>
        </a:p>
      </dgm:t>
    </dgm:pt>
    <dgm:pt modelId="{ADB5F3F8-1206-4CAB-BFD3-654790CE4ECA}">
      <dgm:prSet phldrT="[Text]" custT="1"/>
      <dgm:spPr/>
      <dgm:t>
        <a:bodyPr/>
        <a:lstStyle/>
        <a:p>
          <a:r>
            <a:rPr lang="en-US" sz="1100" dirty="0" smtClean="0">
              <a:latin typeface="Arial" pitchFamily="34" charset="0"/>
              <a:cs typeface="Arial" pitchFamily="34" charset="0"/>
            </a:rPr>
            <a:t>5</a:t>
          </a:r>
          <a:endParaRPr lang="en-US" sz="1100" dirty="0">
            <a:latin typeface="Arial" pitchFamily="34" charset="0"/>
            <a:cs typeface="Arial" pitchFamily="34" charset="0"/>
          </a:endParaRPr>
        </a:p>
      </dgm:t>
    </dgm:pt>
    <dgm:pt modelId="{CE481956-50DC-470E-93FC-107468C95467}" type="parTrans" cxnId="{39FCBDD8-E014-4BF9-99E0-0B9A0FCBAE2F}">
      <dgm:prSet/>
      <dgm:spPr/>
      <dgm:t>
        <a:bodyPr/>
        <a:lstStyle/>
        <a:p>
          <a:endParaRPr lang="en-US" sz="1100">
            <a:latin typeface="Arial" pitchFamily="34" charset="0"/>
            <a:cs typeface="Arial" pitchFamily="34" charset="0"/>
          </a:endParaRPr>
        </a:p>
      </dgm:t>
    </dgm:pt>
    <dgm:pt modelId="{B5980585-DC10-4388-9F1A-6DA2319FF1C3}" type="sibTrans" cxnId="{39FCBDD8-E014-4BF9-99E0-0B9A0FCBAE2F}">
      <dgm:prSet/>
      <dgm:spPr/>
      <dgm:t>
        <a:bodyPr/>
        <a:lstStyle/>
        <a:p>
          <a:endParaRPr lang="en-US" sz="1100">
            <a:latin typeface="Arial" pitchFamily="34" charset="0"/>
            <a:cs typeface="Arial" pitchFamily="34" charset="0"/>
          </a:endParaRPr>
        </a:p>
      </dgm:t>
    </dgm:pt>
    <dgm:pt modelId="{DE42DEE4-DFCA-49F2-9CCC-BE94ED731426}">
      <dgm:prSet phldrT="[Text]" custT="1"/>
      <dgm:spPr/>
      <dgm:t>
        <a:bodyPr/>
        <a:lstStyle/>
        <a:p>
          <a:r>
            <a:rPr lang="en-US" sz="1100" dirty="0" smtClean="0">
              <a:latin typeface="Arial" pitchFamily="34" charset="0"/>
              <a:cs typeface="Arial" pitchFamily="34" charset="0"/>
            </a:rPr>
            <a:t>6</a:t>
          </a:r>
          <a:endParaRPr lang="en-US" sz="1100" dirty="0">
            <a:latin typeface="Arial" pitchFamily="34" charset="0"/>
            <a:cs typeface="Arial" pitchFamily="34" charset="0"/>
          </a:endParaRPr>
        </a:p>
      </dgm:t>
    </dgm:pt>
    <dgm:pt modelId="{9A5990B6-5A50-404F-B854-0569E2C8D3D2}" type="parTrans" cxnId="{E5C5E885-56BA-41D5-AB00-8C87A66B0989}">
      <dgm:prSet/>
      <dgm:spPr/>
      <dgm:t>
        <a:bodyPr/>
        <a:lstStyle/>
        <a:p>
          <a:endParaRPr lang="en-US" sz="1100">
            <a:latin typeface="Arial" pitchFamily="34" charset="0"/>
            <a:cs typeface="Arial" pitchFamily="34" charset="0"/>
          </a:endParaRPr>
        </a:p>
      </dgm:t>
    </dgm:pt>
    <dgm:pt modelId="{8500CE73-3468-4C3D-B519-1EA33BEF8420}" type="sibTrans" cxnId="{E5C5E885-56BA-41D5-AB00-8C87A66B0989}">
      <dgm:prSet/>
      <dgm:spPr/>
      <dgm:t>
        <a:bodyPr/>
        <a:lstStyle/>
        <a:p>
          <a:endParaRPr lang="en-US" sz="1100">
            <a:latin typeface="Arial" pitchFamily="34" charset="0"/>
            <a:cs typeface="Arial" pitchFamily="34" charset="0"/>
          </a:endParaRPr>
        </a:p>
      </dgm:t>
    </dgm:pt>
    <dgm:pt modelId="{7FCB2D27-5242-4C33-9F3D-4914B2D35F83}">
      <dgm:prSet custT="1"/>
      <dgm:spPr/>
      <dgm:t>
        <a:bodyPr/>
        <a:lstStyle/>
        <a:p>
          <a:r>
            <a:rPr lang="ro-RO" sz="1100" b="1" dirty="0">
              <a:latin typeface="Arial" pitchFamily="34" charset="0"/>
              <a:cs typeface="Arial" pitchFamily="34" charset="0"/>
            </a:rPr>
            <a:t>Generarea proiectelor </a:t>
          </a:r>
          <a:r>
            <a:rPr lang="en-US" sz="1100" b="0" dirty="0">
              <a:latin typeface="Arial" pitchFamily="34" charset="0"/>
              <a:cs typeface="Arial" pitchFamily="34" charset="0"/>
            </a:rPr>
            <a:t>- Interven</a:t>
          </a:r>
          <a:r>
            <a:rPr lang="ro-RO" sz="1100" b="0" dirty="0">
              <a:latin typeface="Arial" pitchFamily="34" charset="0"/>
              <a:cs typeface="Arial" pitchFamily="34" charset="0"/>
            </a:rPr>
            <a:t>ții generate din Probleme și Obiective</a:t>
          </a:r>
          <a:endParaRPr lang="en-US" sz="1100" b="0" dirty="0">
            <a:latin typeface="Arial" pitchFamily="34" charset="0"/>
            <a:cs typeface="Arial" pitchFamily="34" charset="0"/>
          </a:endParaRPr>
        </a:p>
      </dgm:t>
    </dgm:pt>
    <dgm:pt modelId="{E7CC27F2-40E0-49BA-8C2F-1B866E390B0B}" type="parTrans" cxnId="{5D2AFC65-9A75-46DA-B0D5-CCF2CD7B7B86}">
      <dgm:prSet/>
      <dgm:spPr/>
      <dgm:t>
        <a:bodyPr/>
        <a:lstStyle/>
        <a:p>
          <a:endParaRPr lang="en-US" sz="1100">
            <a:latin typeface="Arial" pitchFamily="34" charset="0"/>
            <a:cs typeface="Arial" pitchFamily="34" charset="0"/>
          </a:endParaRPr>
        </a:p>
      </dgm:t>
    </dgm:pt>
    <dgm:pt modelId="{8B1CD6A1-AB8A-40EF-83C3-3B95444F4E08}" type="sibTrans" cxnId="{5D2AFC65-9A75-46DA-B0D5-CCF2CD7B7B86}">
      <dgm:prSet/>
      <dgm:spPr/>
      <dgm:t>
        <a:bodyPr/>
        <a:lstStyle/>
        <a:p>
          <a:endParaRPr lang="en-US" sz="1100">
            <a:latin typeface="Arial" pitchFamily="34" charset="0"/>
            <a:cs typeface="Arial" pitchFamily="34" charset="0"/>
          </a:endParaRPr>
        </a:p>
      </dgm:t>
    </dgm:pt>
    <dgm:pt modelId="{CB6E7F37-34DB-4470-9897-92098AF4FD77}">
      <dgm:prSet custT="1"/>
      <dgm:spPr/>
      <dgm:t>
        <a:bodyPr/>
        <a:lstStyle/>
        <a:p>
          <a:r>
            <a:rPr lang="ro-RO" sz="1100" b="1" dirty="0">
              <a:latin typeface="Arial" pitchFamily="34" charset="0"/>
              <a:cs typeface="Arial" pitchFamily="34" charset="0"/>
            </a:rPr>
            <a:t>Evaluare</a:t>
          </a:r>
          <a:r>
            <a:rPr lang="en-US" sz="1100" b="1" dirty="0">
              <a:latin typeface="Arial" pitchFamily="34" charset="0"/>
              <a:cs typeface="Arial" pitchFamily="34" charset="0"/>
            </a:rPr>
            <a:t> </a:t>
          </a:r>
          <a:r>
            <a:rPr lang="en-US" sz="1100" b="0" dirty="0">
              <a:latin typeface="Arial" pitchFamily="34" charset="0"/>
              <a:cs typeface="Arial" pitchFamily="34" charset="0"/>
            </a:rPr>
            <a:t>-  </a:t>
          </a:r>
          <a:r>
            <a:rPr lang="ro-RO" sz="1100" b="0" dirty="0">
              <a:latin typeface="Arial" pitchFamily="34" charset="0"/>
              <a:cs typeface="Arial" pitchFamily="34" charset="0"/>
            </a:rPr>
            <a:t>Preselecție</a:t>
          </a:r>
          <a:r>
            <a:rPr lang="en-US" sz="1100" b="0" dirty="0">
              <a:latin typeface="Arial" pitchFamily="34" charset="0"/>
              <a:cs typeface="Arial" pitchFamily="34" charset="0"/>
            </a:rPr>
            <a:t>/</a:t>
          </a:r>
          <a:r>
            <a:rPr lang="ro-RO" sz="1100" b="0" dirty="0" err="1">
              <a:latin typeface="Arial" pitchFamily="34" charset="0"/>
              <a:cs typeface="Arial" pitchFamily="34" charset="0"/>
            </a:rPr>
            <a:t>Lista scurtă</a:t>
          </a:r>
          <a:r>
            <a:rPr lang="en-US" sz="1100" b="0" dirty="0">
              <a:latin typeface="Arial" pitchFamily="34" charset="0"/>
              <a:cs typeface="Arial" pitchFamily="34" charset="0"/>
            </a:rPr>
            <a:t>/</a:t>
          </a:r>
          <a:r>
            <a:rPr lang="ro-RO" sz="1100" b="0" dirty="0">
              <a:latin typeface="Arial" pitchFamily="34" charset="0"/>
              <a:cs typeface="Arial" pitchFamily="34" charset="0"/>
            </a:rPr>
            <a:t> Evaluare preliminară </a:t>
          </a:r>
          <a:r>
            <a:rPr lang="en-US" sz="1100" b="0" dirty="0" smtClean="0">
              <a:latin typeface="Arial" pitchFamily="34" charset="0"/>
              <a:cs typeface="Arial" pitchFamily="34" charset="0"/>
            </a:rPr>
            <a:t>(</a:t>
          </a:r>
          <a:r>
            <a:rPr lang="ro-RO" sz="1100" b="0" dirty="0" smtClean="0">
              <a:latin typeface="Arial" pitchFamily="34" charset="0"/>
              <a:cs typeface="Arial" pitchFamily="34" charset="0"/>
            </a:rPr>
            <a:t>ACB</a:t>
          </a:r>
          <a:r>
            <a:rPr lang="en-US" sz="1100" b="0" dirty="0" smtClean="0">
              <a:latin typeface="Arial" pitchFamily="34" charset="0"/>
              <a:cs typeface="Arial" pitchFamily="34" charset="0"/>
            </a:rPr>
            <a:t> &amp; </a:t>
          </a:r>
          <a:r>
            <a:rPr lang="ro-RO" sz="1100" b="0" dirty="0" smtClean="0">
              <a:latin typeface="Arial" pitchFamily="34" charset="0"/>
              <a:cs typeface="Arial" pitchFamily="34" charset="0"/>
            </a:rPr>
            <a:t>AMC</a:t>
          </a:r>
          <a:r>
            <a:rPr lang="en-US" sz="1100" b="0" dirty="0" smtClean="0">
              <a:latin typeface="Arial" pitchFamily="34" charset="0"/>
              <a:cs typeface="Arial" pitchFamily="34" charset="0"/>
            </a:rPr>
            <a:t>)</a:t>
          </a:r>
          <a:endParaRPr lang="en-US" sz="1100" b="0" dirty="0">
            <a:latin typeface="Arial" pitchFamily="34" charset="0"/>
            <a:cs typeface="Arial" pitchFamily="34" charset="0"/>
          </a:endParaRPr>
        </a:p>
      </dgm:t>
    </dgm:pt>
    <dgm:pt modelId="{E1717042-6473-4EEA-972F-7CFEF6625985}" type="parTrans" cxnId="{FC78B67F-B785-4D11-84B4-D6612464DF35}">
      <dgm:prSet/>
      <dgm:spPr/>
      <dgm:t>
        <a:bodyPr/>
        <a:lstStyle/>
        <a:p>
          <a:endParaRPr lang="en-US" sz="1100">
            <a:latin typeface="Arial" pitchFamily="34" charset="0"/>
            <a:cs typeface="Arial" pitchFamily="34" charset="0"/>
          </a:endParaRPr>
        </a:p>
      </dgm:t>
    </dgm:pt>
    <dgm:pt modelId="{3B20536B-E02D-461C-AB0C-779ECB66C36F}" type="sibTrans" cxnId="{FC78B67F-B785-4D11-84B4-D6612464DF35}">
      <dgm:prSet/>
      <dgm:spPr/>
      <dgm:t>
        <a:bodyPr/>
        <a:lstStyle/>
        <a:p>
          <a:endParaRPr lang="en-US" sz="1100">
            <a:latin typeface="Arial" pitchFamily="34" charset="0"/>
            <a:cs typeface="Arial" pitchFamily="34" charset="0"/>
          </a:endParaRPr>
        </a:p>
      </dgm:t>
    </dgm:pt>
    <dgm:pt modelId="{F2F38819-934D-45C8-85DB-0153ADFD9B48}">
      <dgm:prSet custT="1"/>
      <dgm:spPr/>
      <dgm:t>
        <a:bodyPr/>
        <a:lstStyle/>
        <a:p>
          <a:r>
            <a:rPr lang="ro-RO" sz="1100" b="1" dirty="0">
              <a:latin typeface="Arial" pitchFamily="34" charset="0"/>
              <a:cs typeface="Arial" pitchFamily="34" charset="0"/>
            </a:rPr>
            <a:t>Elaborarea Scenariilor Master Planului </a:t>
          </a:r>
          <a:r>
            <a:rPr lang="en-US" sz="1100" b="1" dirty="0">
              <a:latin typeface="Arial" pitchFamily="34" charset="0"/>
              <a:cs typeface="Arial" pitchFamily="34" charset="0"/>
            </a:rPr>
            <a:t> </a:t>
          </a:r>
          <a:r>
            <a:rPr lang="en-US" sz="1100" b="0" dirty="0" smtClean="0">
              <a:latin typeface="Arial" pitchFamily="34" charset="0"/>
              <a:cs typeface="Arial" pitchFamily="34" charset="0"/>
            </a:rPr>
            <a:t>– </a:t>
          </a:r>
          <a:r>
            <a:rPr lang="ro-RO" sz="1100" b="0" dirty="0" smtClean="0">
              <a:latin typeface="Arial" pitchFamily="34" charset="0"/>
              <a:cs typeface="Arial" pitchFamily="34" charset="0"/>
            </a:rPr>
            <a:t>Economic</a:t>
          </a:r>
          <a:r>
            <a:rPr lang="en-US" sz="1100" b="0" dirty="0" smtClean="0">
              <a:latin typeface="Arial" pitchFamily="34" charset="0"/>
              <a:cs typeface="Arial" pitchFamily="34" charset="0"/>
            </a:rPr>
            <a:t> &amp; Econom</a:t>
          </a:r>
          <a:r>
            <a:rPr lang="ro-RO" sz="1100" b="0" dirty="0" smtClean="0">
              <a:latin typeface="Arial" pitchFamily="34" charset="0"/>
              <a:cs typeface="Arial" pitchFamily="34" charset="0"/>
            </a:rPr>
            <a:t>ic</a:t>
          </a:r>
          <a:r>
            <a:rPr lang="en-US" sz="1100" b="0" dirty="0" smtClean="0">
              <a:latin typeface="Arial" pitchFamily="34" charset="0"/>
              <a:cs typeface="Arial" pitchFamily="34" charset="0"/>
            </a:rPr>
            <a:t> + </a:t>
          </a:r>
          <a:r>
            <a:rPr lang="ro-RO" sz="1100" b="0" dirty="0" smtClean="0">
              <a:latin typeface="Arial" pitchFamily="34" charset="0"/>
              <a:cs typeface="Arial" pitchFamily="34" charset="0"/>
            </a:rPr>
            <a:t>Mediu</a:t>
          </a:r>
          <a:endParaRPr lang="en-US" sz="1100" b="0" dirty="0">
            <a:latin typeface="Arial" pitchFamily="34" charset="0"/>
            <a:cs typeface="Arial" pitchFamily="34" charset="0"/>
          </a:endParaRPr>
        </a:p>
      </dgm:t>
    </dgm:pt>
    <dgm:pt modelId="{66C751C7-686D-4242-8832-E52B72659FD8}" type="parTrans" cxnId="{ABAAA20F-E011-4F95-8078-9CCE9DE2FAB8}">
      <dgm:prSet/>
      <dgm:spPr/>
      <dgm:t>
        <a:bodyPr/>
        <a:lstStyle/>
        <a:p>
          <a:endParaRPr lang="en-US" sz="1100">
            <a:latin typeface="Arial" pitchFamily="34" charset="0"/>
            <a:cs typeface="Arial" pitchFamily="34" charset="0"/>
          </a:endParaRPr>
        </a:p>
      </dgm:t>
    </dgm:pt>
    <dgm:pt modelId="{93ECCE61-77CA-4939-8DC1-6477BAC85D0F}" type="sibTrans" cxnId="{ABAAA20F-E011-4F95-8078-9CCE9DE2FAB8}">
      <dgm:prSet/>
      <dgm:spPr/>
      <dgm:t>
        <a:bodyPr/>
        <a:lstStyle/>
        <a:p>
          <a:endParaRPr lang="en-US" sz="1100">
            <a:latin typeface="Arial" pitchFamily="34" charset="0"/>
            <a:cs typeface="Arial" pitchFamily="34" charset="0"/>
          </a:endParaRPr>
        </a:p>
      </dgm:t>
    </dgm:pt>
    <dgm:pt modelId="{618A5400-9406-4FA0-819D-518BA5CB8673}" type="pres">
      <dgm:prSet presAssocID="{B6F3BB2C-2F7C-452C-92EF-8766DAF2D905}" presName="linearFlow" presStyleCnt="0">
        <dgm:presLayoutVars>
          <dgm:dir/>
          <dgm:animLvl val="lvl"/>
          <dgm:resizeHandles val="exact"/>
        </dgm:presLayoutVars>
      </dgm:prSet>
      <dgm:spPr/>
      <dgm:t>
        <a:bodyPr/>
        <a:lstStyle/>
        <a:p>
          <a:endParaRPr lang="en-US"/>
        </a:p>
      </dgm:t>
    </dgm:pt>
    <dgm:pt modelId="{FD15B204-15A2-4199-9637-FF0DC15890CE}" type="pres">
      <dgm:prSet presAssocID="{46975044-64DE-4154-BAFE-4A18D37D9FE9}" presName="composite" presStyleCnt="0"/>
      <dgm:spPr/>
      <dgm:t>
        <a:bodyPr/>
        <a:lstStyle/>
        <a:p>
          <a:endParaRPr lang="en-US"/>
        </a:p>
      </dgm:t>
    </dgm:pt>
    <dgm:pt modelId="{8CF83CE7-915C-472F-B554-0E370D049E2E}" type="pres">
      <dgm:prSet presAssocID="{46975044-64DE-4154-BAFE-4A18D37D9FE9}" presName="parentText" presStyleLbl="alignNode1" presStyleIdx="0" presStyleCnt="6">
        <dgm:presLayoutVars>
          <dgm:chMax val="1"/>
          <dgm:bulletEnabled val="1"/>
        </dgm:presLayoutVars>
      </dgm:prSet>
      <dgm:spPr/>
      <dgm:t>
        <a:bodyPr/>
        <a:lstStyle/>
        <a:p>
          <a:endParaRPr lang="en-US"/>
        </a:p>
      </dgm:t>
    </dgm:pt>
    <dgm:pt modelId="{62812799-AABD-4A21-93A4-AD555DB633E8}" type="pres">
      <dgm:prSet presAssocID="{46975044-64DE-4154-BAFE-4A18D37D9FE9}" presName="descendantText" presStyleLbl="alignAcc1" presStyleIdx="0" presStyleCnt="6">
        <dgm:presLayoutVars>
          <dgm:bulletEnabled val="1"/>
        </dgm:presLayoutVars>
      </dgm:prSet>
      <dgm:spPr/>
      <dgm:t>
        <a:bodyPr/>
        <a:lstStyle/>
        <a:p>
          <a:endParaRPr lang="en-US"/>
        </a:p>
      </dgm:t>
    </dgm:pt>
    <dgm:pt modelId="{756A5BF9-CA9D-40B3-AE76-887E4226900E}" type="pres">
      <dgm:prSet presAssocID="{1D314387-EE5E-467F-8BA4-2227830E73A0}" presName="sp" presStyleCnt="0"/>
      <dgm:spPr/>
      <dgm:t>
        <a:bodyPr/>
        <a:lstStyle/>
        <a:p>
          <a:endParaRPr lang="en-US"/>
        </a:p>
      </dgm:t>
    </dgm:pt>
    <dgm:pt modelId="{D180F2B5-BB5A-4756-81DD-793E726B5185}" type="pres">
      <dgm:prSet presAssocID="{B9795A5D-D27A-4A6E-8440-77B3034AAF8A}" presName="composite" presStyleCnt="0"/>
      <dgm:spPr/>
      <dgm:t>
        <a:bodyPr/>
        <a:lstStyle/>
        <a:p>
          <a:endParaRPr lang="en-US"/>
        </a:p>
      </dgm:t>
    </dgm:pt>
    <dgm:pt modelId="{93F1382B-0A60-4B1A-9F37-41ED8F2C8AFB}" type="pres">
      <dgm:prSet presAssocID="{B9795A5D-D27A-4A6E-8440-77B3034AAF8A}" presName="parentText" presStyleLbl="alignNode1" presStyleIdx="1" presStyleCnt="6">
        <dgm:presLayoutVars>
          <dgm:chMax val="1"/>
          <dgm:bulletEnabled val="1"/>
        </dgm:presLayoutVars>
      </dgm:prSet>
      <dgm:spPr/>
      <dgm:t>
        <a:bodyPr/>
        <a:lstStyle/>
        <a:p>
          <a:endParaRPr lang="en-US"/>
        </a:p>
      </dgm:t>
    </dgm:pt>
    <dgm:pt modelId="{2CD26095-C867-4A82-BE5C-196FA755AA8B}" type="pres">
      <dgm:prSet presAssocID="{B9795A5D-D27A-4A6E-8440-77B3034AAF8A}" presName="descendantText" presStyleLbl="alignAcc1" presStyleIdx="1" presStyleCnt="6" custLinFactNeighborX="39" custLinFactNeighborY="0">
        <dgm:presLayoutVars>
          <dgm:bulletEnabled val="1"/>
        </dgm:presLayoutVars>
      </dgm:prSet>
      <dgm:spPr/>
      <dgm:t>
        <a:bodyPr/>
        <a:lstStyle/>
        <a:p>
          <a:endParaRPr lang="en-US"/>
        </a:p>
      </dgm:t>
    </dgm:pt>
    <dgm:pt modelId="{AD043339-1233-4FFB-906A-01823F25C87C}" type="pres">
      <dgm:prSet presAssocID="{DCE70608-3F55-445D-9B60-575F876143BB}" presName="sp" presStyleCnt="0"/>
      <dgm:spPr/>
      <dgm:t>
        <a:bodyPr/>
        <a:lstStyle/>
        <a:p>
          <a:endParaRPr lang="en-US"/>
        </a:p>
      </dgm:t>
    </dgm:pt>
    <dgm:pt modelId="{39C153B4-722A-43E8-86EB-BAFB0C8F41F3}" type="pres">
      <dgm:prSet presAssocID="{CEEF9866-34D1-4B3E-A4BA-5A02E1212D7A}" presName="composite" presStyleCnt="0"/>
      <dgm:spPr/>
      <dgm:t>
        <a:bodyPr/>
        <a:lstStyle/>
        <a:p>
          <a:endParaRPr lang="en-US"/>
        </a:p>
      </dgm:t>
    </dgm:pt>
    <dgm:pt modelId="{355AFB59-7FEE-45C9-BD8E-543AA1B1DBA6}" type="pres">
      <dgm:prSet presAssocID="{CEEF9866-34D1-4B3E-A4BA-5A02E1212D7A}" presName="parentText" presStyleLbl="alignNode1" presStyleIdx="2" presStyleCnt="6">
        <dgm:presLayoutVars>
          <dgm:chMax val="1"/>
          <dgm:bulletEnabled val="1"/>
        </dgm:presLayoutVars>
      </dgm:prSet>
      <dgm:spPr/>
      <dgm:t>
        <a:bodyPr/>
        <a:lstStyle/>
        <a:p>
          <a:endParaRPr lang="en-US"/>
        </a:p>
      </dgm:t>
    </dgm:pt>
    <dgm:pt modelId="{4A11D631-08EA-46FB-B4E2-5804B253B6C1}" type="pres">
      <dgm:prSet presAssocID="{CEEF9866-34D1-4B3E-A4BA-5A02E1212D7A}" presName="descendantText" presStyleLbl="alignAcc1" presStyleIdx="2" presStyleCnt="6">
        <dgm:presLayoutVars>
          <dgm:bulletEnabled val="1"/>
        </dgm:presLayoutVars>
      </dgm:prSet>
      <dgm:spPr/>
      <dgm:t>
        <a:bodyPr/>
        <a:lstStyle/>
        <a:p>
          <a:endParaRPr lang="en-US"/>
        </a:p>
      </dgm:t>
    </dgm:pt>
    <dgm:pt modelId="{40145F47-483F-48EE-8574-8C120AFDCA52}" type="pres">
      <dgm:prSet presAssocID="{7E1AE285-E7E6-4B53-B856-CE09C980BA20}" presName="sp" presStyleCnt="0"/>
      <dgm:spPr/>
      <dgm:t>
        <a:bodyPr/>
        <a:lstStyle/>
        <a:p>
          <a:endParaRPr lang="en-US"/>
        </a:p>
      </dgm:t>
    </dgm:pt>
    <dgm:pt modelId="{358E8742-21BF-4927-BA23-06EDC2370414}" type="pres">
      <dgm:prSet presAssocID="{44BDC720-7310-4ECE-83CD-D40AC5CEB7AF}" presName="composite" presStyleCnt="0"/>
      <dgm:spPr/>
      <dgm:t>
        <a:bodyPr/>
        <a:lstStyle/>
        <a:p>
          <a:endParaRPr lang="en-US"/>
        </a:p>
      </dgm:t>
    </dgm:pt>
    <dgm:pt modelId="{55C14763-561B-417C-BAFC-392AB3A41B43}" type="pres">
      <dgm:prSet presAssocID="{44BDC720-7310-4ECE-83CD-D40AC5CEB7AF}" presName="parentText" presStyleLbl="alignNode1" presStyleIdx="3" presStyleCnt="6">
        <dgm:presLayoutVars>
          <dgm:chMax val="1"/>
          <dgm:bulletEnabled val="1"/>
        </dgm:presLayoutVars>
      </dgm:prSet>
      <dgm:spPr/>
      <dgm:t>
        <a:bodyPr/>
        <a:lstStyle/>
        <a:p>
          <a:endParaRPr lang="en-US"/>
        </a:p>
      </dgm:t>
    </dgm:pt>
    <dgm:pt modelId="{5AFEABA6-E003-4B2F-AB64-3524F98E34AF}" type="pres">
      <dgm:prSet presAssocID="{44BDC720-7310-4ECE-83CD-D40AC5CEB7AF}" presName="descendantText" presStyleLbl="alignAcc1" presStyleIdx="3" presStyleCnt="6">
        <dgm:presLayoutVars>
          <dgm:bulletEnabled val="1"/>
        </dgm:presLayoutVars>
      </dgm:prSet>
      <dgm:spPr/>
      <dgm:t>
        <a:bodyPr/>
        <a:lstStyle/>
        <a:p>
          <a:endParaRPr lang="en-US"/>
        </a:p>
      </dgm:t>
    </dgm:pt>
    <dgm:pt modelId="{7B8317EC-94AD-4CCB-BAF7-DCF1EA5663F9}" type="pres">
      <dgm:prSet presAssocID="{FD27B449-A8E3-4F10-9F77-F5D6FEF37025}" presName="sp" presStyleCnt="0"/>
      <dgm:spPr/>
      <dgm:t>
        <a:bodyPr/>
        <a:lstStyle/>
        <a:p>
          <a:endParaRPr lang="en-US"/>
        </a:p>
      </dgm:t>
    </dgm:pt>
    <dgm:pt modelId="{12516057-FEF9-43B2-B673-DB0848B01C8B}" type="pres">
      <dgm:prSet presAssocID="{ADB5F3F8-1206-4CAB-BFD3-654790CE4ECA}" presName="composite" presStyleCnt="0"/>
      <dgm:spPr/>
      <dgm:t>
        <a:bodyPr/>
        <a:lstStyle/>
        <a:p>
          <a:endParaRPr lang="en-US"/>
        </a:p>
      </dgm:t>
    </dgm:pt>
    <dgm:pt modelId="{9F061FFC-2C23-46FF-BACD-E0526EEDDD18}" type="pres">
      <dgm:prSet presAssocID="{ADB5F3F8-1206-4CAB-BFD3-654790CE4ECA}" presName="parentText" presStyleLbl="alignNode1" presStyleIdx="4" presStyleCnt="6">
        <dgm:presLayoutVars>
          <dgm:chMax val="1"/>
          <dgm:bulletEnabled val="1"/>
        </dgm:presLayoutVars>
      </dgm:prSet>
      <dgm:spPr/>
      <dgm:t>
        <a:bodyPr/>
        <a:lstStyle/>
        <a:p>
          <a:endParaRPr lang="en-US"/>
        </a:p>
      </dgm:t>
    </dgm:pt>
    <dgm:pt modelId="{C0077F2A-C885-4990-A41B-9F4741AB35FF}" type="pres">
      <dgm:prSet presAssocID="{ADB5F3F8-1206-4CAB-BFD3-654790CE4ECA}" presName="descendantText" presStyleLbl="alignAcc1" presStyleIdx="4" presStyleCnt="6">
        <dgm:presLayoutVars>
          <dgm:bulletEnabled val="1"/>
        </dgm:presLayoutVars>
      </dgm:prSet>
      <dgm:spPr/>
      <dgm:t>
        <a:bodyPr/>
        <a:lstStyle/>
        <a:p>
          <a:endParaRPr lang="en-US"/>
        </a:p>
      </dgm:t>
    </dgm:pt>
    <dgm:pt modelId="{3EE6DB01-C797-4043-85F6-55FD2C535775}" type="pres">
      <dgm:prSet presAssocID="{B5980585-DC10-4388-9F1A-6DA2319FF1C3}" presName="sp" presStyleCnt="0"/>
      <dgm:spPr/>
      <dgm:t>
        <a:bodyPr/>
        <a:lstStyle/>
        <a:p>
          <a:endParaRPr lang="en-US"/>
        </a:p>
      </dgm:t>
    </dgm:pt>
    <dgm:pt modelId="{9ABAD7F6-21DE-4172-9743-240960D3F797}" type="pres">
      <dgm:prSet presAssocID="{DE42DEE4-DFCA-49F2-9CCC-BE94ED731426}" presName="composite" presStyleCnt="0"/>
      <dgm:spPr/>
      <dgm:t>
        <a:bodyPr/>
        <a:lstStyle/>
        <a:p>
          <a:endParaRPr lang="en-US"/>
        </a:p>
      </dgm:t>
    </dgm:pt>
    <dgm:pt modelId="{2FE67F26-CC29-4E17-A677-50E239ACD0FE}" type="pres">
      <dgm:prSet presAssocID="{DE42DEE4-DFCA-49F2-9CCC-BE94ED731426}" presName="parentText" presStyleLbl="alignNode1" presStyleIdx="5" presStyleCnt="6">
        <dgm:presLayoutVars>
          <dgm:chMax val="1"/>
          <dgm:bulletEnabled val="1"/>
        </dgm:presLayoutVars>
      </dgm:prSet>
      <dgm:spPr/>
      <dgm:t>
        <a:bodyPr/>
        <a:lstStyle/>
        <a:p>
          <a:endParaRPr lang="en-US"/>
        </a:p>
      </dgm:t>
    </dgm:pt>
    <dgm:pt modelId="{1334332E-0DD4-4749-BA8F-912239E89539}" type="pres">
      <dgm:prSet presAssocID="{DE42DEE4-DFCA-49F2-9CCC-BE94ED731426}" presName="descendantText" presStyleLbl="alignAcc1" presStyleIdx="5" presStyleCnt="6">
        <dgm:presLayoutVars>
          <dgm:bulletEnabled val="1"/>
        </dgm:presLayoutVars>
      </dgm:prSet>
      <dgm:spPr/>
      <dgm:t>
        <a:bodyPr/>
        <a:lstStyle/>
        <a:p>
          <a:endParaRPr lang="en-US"/>
        </a:p>
      </dgm:t>
    </dgm:pt>
  </dgm:ptLst>
  <dgm:cxnLst>
    <dgm:cxn modelId="{B93BD54F-1B91-4E10-918F-C69A3C8655F3}" srcId="{B6F3BB2C-2F7C-452C-92EF-8766DAF2D905}" destId="{46975044-64DE-4154-BAFE-4A18D37D9FE9}" srcOrd="0" destOrd="0" parTransId="{9AC689D3-12FA-45A3-A72B-E6BBE819B21E}" sibTransId="{1D314387-EE5E-467F-8BA4-2227830E73A0}"/>
    <dgm:cxn modelId="{E5C5E885-56BA-41D5-AB00-8C87A66B0989}" srcId="{B6F3BB2C-2F7C-452C-92EF-8766DAF2D905}" destId="{DE42DEE4-DFCA-49F2-9CCC-BE94ED731426}" srcOrd="5" destOrd="0" parTransId="{9A5990B6-5A50-404F-B854-0569E2C8D3D2}" sibTransId="{8500CE73-3468-4C3D-B519-1EA33BEF8420}"/>
    <dgm:cxn modelId="{931382F4-B392-4433-ACA2-941C1425A624}" srcId="{CEEF9866-34D1-4B3E-A4BA-5A02E1212D7A}" destId="{DB027418-2837-44E9-869D-A4B91BA9A1E3}" srcOrd="0" destOrd="0" parTransId="{9C067AB3-D388-4FD0-B78F-FB19F519DCEF}" sibTransId="{2DFB3B92-8392-46D0-AE9D-0E07B3D71376}"/>
    <dgm:cxn modelId="{39FCBDD8-E014-4BF9-99E0-0B9A0FCBAE2F}" srcId="{B6F3BB2C-2F7C-452C-92EF-8766DAF2D905}" destId="{ADB5F3F8-1206-4CAB-BFD3-654790CE4ECA}" srcOrd="4" destOrd="0" parTransId="{CE481956-50DC-470E-93FC-107468C95467}" sibTransId="{B5980585-DC10-4388-9F1A-6DA2319FF1C3}"/>
    <dgm:cxn modelId="{114A3122-2911-4FC1-8CE5-C04908571704}" srcId="{B6F3BB2C-2F7C-452C-92EF-8766DAF2D905}" destId="{CEEF9866-34D1-4B3E-A4BA-5A02E1212D7A}" srcOrd="2" destOrd="0" parTransId="{E54A6837-0457-4A8E-8C2B-0424AE8AE249}" sibTransId="{7E1AE285-E7E6-4B53-B856-CE09C980BA20}"/>
    <dgm:cxn modelId="{5D2AFC65-9A75-46DA-B0D5-CCF2CD7B7B86}" srcId="{44BDC720-7310-4ECE-83CD-D40AC5CEB7AF}" destId="{7FCB2D27-5242-4C33-9F3D-4914B2D35F83}" srcOrd="0" destOrd="0" parTransId="{E7CC27F2-40E0-49BA-8C2F-1B866E390B0B}" sibTransId="{8B1CD6A1-AB8A-40EF-83C3-3B95444F4E08}"/>
    <dgm:cxn modelId="{BE2DC1BD-56FB-4927-8F90-561DA35B6E75}" type="presOf" srcId="{36ECC064-8B8E-44D2-AA9D-F69FEAD3521F}" destId="{2CD26095-C867-4A82-BE5C-196FA755AA8B}" srcOrd="0" destOrd="0" presId="urn:microsoft.com/office/officeart/2005/8/layout/chevron2"/>
    <dgm:cxn modelId="{33033B60-542D-4CA3-8B96-CE416C26254F}" type="presOf" srcId="{B9795A5D-D27A-4A6E-8440-77B3034AAF8A}" destId="{93F1382B-0A60-4B1A-9F37-41ED8F2C8AFB}" srcOrd="0" destOrd="0" presId="urn:microsoft.com/office/officeart/2005/8/layout/chevron2"/>
    <dgm:cxn modelId="{DFE4EE72-4F73-496F-A684-04C4B0A2EF5A}" type="presOf" srcId="{7FCB2D27-5242-4C33-9F3D-4914B2D35F83}" destId="{5AFEABA6-E003-4B2F-AB64-3524F98E34AF}" srcOrd="0" destOrd="0" presId="urn:microsoft.com/office/officeart/2005/8/layout/chevron2"/>
    <dgm:cxn modelId="{46D81890-12F6-4A57-8C5D-FE016E07B2A8}" type="presOf" srcId="{ADB5F3F8-1206-4CAB-BFD3-654790CE4ECA}" destId="{9F061FFC-2C23-46FF-BACD-E0526EEDDD18}" srcOrd="0" destOrd="0" presId="urn:microsoft.com/office/officeart/2005/8/layout/chevron2"/>
    <dgm:cxn modelId="{D6640DEE-3029-490F-8AD5-F9A7F09938BB}" type="presOf" srcId="{44BDC720-7310-4ECE-83CD-D40AC5CEB7AF}" destId="{55C14763-561B-417C-BAFC-392AB3A41B43}" srcOrd="0" destOrd="0" presId="urn:microsoft.com/office/officeart/2005/8/layout/chevron2"/>
    <dgm:cxn modelId="{82D087EF-C817-4BB4-B40C-DF1D3437556B}" type="presOf" srcId="{DB027418-2837-44E9-869D-A4B91BA9A1E3}" destId="{4A11D631-08EA-46FB-B4E2-5804B253B6C1}" srcOrd="0" destOrd="0" presId="urn:microsoft.com/office/officeart/2005/8/layout/chevron2"/>
    <dgm:cxn modelId="{BE808687-3A35-46ED-A054-7263948F70D0}" type="presOf" srcId="{CEEF9866-34D1-4B3E-A4BA-5A02E1212D7A}" destId="{355AFB59-7FEE-45C9-BD8E-543AA1B1DBA6}" srcOrd="0" destOrd="0" presId="urn:microsoft.com/office/officeart/2005/8/layout/chevron2"/>
    <dgm:cxn modelId="{1C1CCD9D-DD00-4433-81B2-3C177C681692}" srcId="{B6F3BB2C-2F7C-452C-92EF-8766DAF2D905}" destId="{44BDC720-7310-4ECE-83CD-D40AC5CEB7AF}" srcOrd="3" destOrd="0" parTransId="{4B6CF8F0-8260-4B7D-9A95-07DD41DF18FD}" sibTransId="{FD27B449-A8E3-4F10-9F77-F5D6FEF37025}"/>
    <dgm:cxn modelId="{A01D6B1E-36A6-47E9-A9D7-84957351C02E}" type="presOf" srcId="{F2F38819-934D-45C8-85DB-0153ADFD9B48}" destId="{1334332E-0DD4-4749-BA8F-912239E89539}" srcOrd="0" destOrd="0" presId="urn:microsoft.com/office/officeart/2005/8/layout/chevron2"/>
    <dgm:cxn modelId="{737CB24F-2D73-45A0-9692-A34301DFCB5F}" type="presOf" srcId="{46975044-64DE-4154-BAFE-4A18D37D9FE9}" destId="{8CF83CE7-915C-472F-B554-0E370D049E2E}" srcOrd="0" destOrd="0" presId="urn:microsoft.com/office/officeart/2005/8/layout/chevron2"/>
    <dgm:cxn modelId="{1675776A-B528-40AC-BB6E-5F067158E7E0}" srcId="{B9795A5D-D27A-4A6E-8440-77B3034AAF8A}" destId="{36ECC064-8B8E-44D2-AA9D-F69FEAD3521F}" srcOrd="0" destOrd="0" parTransId="{F9A3A4B6-99AD-4350-93D4-50BED61C65AF}" sibTransId="{C3750EAF-25B5-4ADB-8561-8710D47F88D3}"/>
    <dgm:cxn modelId="{FC78B67F-B785-4D11-84B4-D6612464DF35}" srcId="{ADB5F3F8-1206-4CAB-BFD3-654790CE4ECA}" destId="{CB6E7F37-34DB-4470-9897-92098AF4FD77}" srcOrd="0" destOrd="0" parTransId="{E1717042-6473-4EEA-972F-7CFEF6625985}" sibTransId="{3B20536B-E02D-461C-AB0C-779ECB66C36F}"/>
    <dgm:cxn modelId="{F1DCCECC-744F-4C14-B64F-F8FCE76B1E40}" srcId="{46975044-64DE-4154-BAFE-4A18D37D9FE9}" destId="{CD4399FB-71B6-45AD-8AAC-B36A81E0641E}" srcOrd="0" destOrd="0" parTransId="{28807174-261B-4291-9E31-9A91DA909E9A}" sibTransId="{E344E2A6-80BA-4847-B8D2-4EED5E5D6B90}"/>
    <dgm:cxn modelId="{ABAAA20F-E011-4F95-8078-9CCE9DE2FAB8}" srcId="{DE42DEE4-DFCA-49F2-9CCC-BE94ED731426}" destId="{F2F38819-934D-45C8-85DB-0153ADFD9B48}" srcOrd="0" destOrd="0" parTransId="{66C751C7-686D-4242-8832-E52B72659FD8}" sibTransId="{93ECCE61-77CA-4939-8DC1-6477BAC85D0F}"/>
    <dgm:cxn modelId="{A5067060-5722-4E1E-B47B-85E3580A3DE8}" type="presOf" srcId="{CD4399FB-71B6-45AD-8AAC-B36A81E0641E}" destId="{62812799-AABD-4A21-93A4-AD555DB633E8}" srcOrd="0" destOrd="0" presId="urn:microsoft.com/office/officeart/2005/8/layout/chevron2"/>
    <dgm:cxn modelId="{9D5DD15F-9304-4FBB-B684-A90FF5AB2AB8}" srcId="{B6F3BB2C-2F7C-452C-92EF-8766DAF2D905}" destId="{B9795A5D-D27A-4A6E-8440-77B3034AAF8A}" srcOrd="1" destOrd="0" parTransId="{571C28AC-8F01-48AD-9EEC-1CAED3CDBE4E}" sibTransId="{DCE70608-3F55-445D-9B60-575F876143BB}"/>
    <dgm:cxn modelId="{24F99AF2-1A52-4E54-A322-88EB6605A288}" type="presOf" srcId="{DE42DEE4-DFCA-49F2-9CCC-BE94ED731426}" destId="{2FE67F26-CC29-4E17-A677-50E239ACD0FE}" srcOrd="0" destOrd="0" presId="urn:microsoft.com/office/officeart/2005/8/layout/chevron2"/>
    <dgm:cxn modelId="{A9F7F751-8068-41B3-9004-9893AFC50150}" type="presOf" srcId="{B6F3BB2C-2F7C-452C-92EF-8766DAF2D905}" destId="{618A5400-9406-4FA0-819D-518BA5CB8673}" srcOrd="0" destOrd="0" presId="urn:microsoft.com/office/officeart/2005/8/layout/chevron2"/>
    <dgm:cxn modelId="{368672FC-AB06-4DA9-A9C1-E0AD26329BDC}" type="presOf" srcId="{CB6E7F37-34DB-4470-9897-92098AF4FD77}" destId="{C0077F2A-C885-4990-A41B-9F4741AB35FF}" srcOrd="0" destOrd="0" presId="urn:microsoft.com/office/officeart/2005/8/layout/chevron2"/>
    <dgm:cxn modelId="{B73D2F38-FE4D-4486-8CC7-0FAC3938F32C}" type="presParOf" srcId="{618A5400-9406-4FA0-819D-518BA5CB8673}" destId="{FD15B204-15A2-4199-9637-FF0DC15890CE}" srcOrd="0" destOrd="0" presId="urn:microsoft.com/office/officeart/2005/8/layout/chevron2"/>
    <dgm:cxn modelId="{E0215939-5AE3-4403-965A-91EEC36B755A}" type="presParOf" srcId="{FD15B204-15A2-4199-9637-FF0DC15890CE}" destId="{8CF83CE7-915C-472F-B554-0E370D049E2E}" srcOrd="0" destOrd="0" presId="urn:microsoft.com/office/officeart/2005/8/layout/chevron2"/>
    <dgm:cxn modelId="{DD503285-97AD-4B3F-BDB3-8635642C6457}" type="presParOf" srcId="{FD15B204-15A2-4199-9637-FF0DC15890CE}" destId="{62812799-AABD-4A21-93A4-AD555DB633E8}" srcOrd="1" destOrd="0" presId="urn:microsoft.com/office/officeart/2005/8/layout/chevron2"/>
    <dgm:cxn modelId="{164FD634-1653-4B4A-92AE-69868AE6BBDE}" type="presParOf" srcId="{618A5400-9406-4FA0-819D-518BA5CB8673}" destId="{756A5BF9-CA9D-40B3-AE76-887E4226900E}" srcOrd="1" destOrd="0" presId="urn:microsoft.com/office/officeart/2005/8/layout/chevron2"/>
    <dgm:cxn modelId="{247C8D69-6824-423F-A59E-A70AA1CC0E58}" type="presParOf" srcId="{618A5400-9406-4FA0-819D-518BA5CB8673}" destId="{D180F2B5-BB5A-4756-81DD-793E726B5185}" srcOrd="2" destOrd="0" presId="urn:microsoft.com/office/officeart/2005/8/layout/chevron2"/>
    <dgm:cxn modelId="{B4E57B4B-BAF4-4856-949B-27E85A7612CE}" type="presParOf" srcId="{D180F2B5-BB5A-4756-81DD-793E726B5185}" destId="{93F1382B-0A60-4B1A-9F37-41ED8F2C8AFB}" srcOrd="0" destOrd="0" presId="urn:microsoft.com/office/officeart/2005/8/layout/chevron2"/>
    <dgm:cxn modelId="{42A0E651-F7A0-4B00-AF05-FA4FA444A030}" type="presParOf" srcId="{D180F2B5-BB5A-4756-81DD-793E726B5185}" destId="{2CD26095-C867-4A82-BE5C-196FA755AA8B}" srcOrd="1" destOrd="0" presId="urn:microsoft.com/office/officeart/2005/8/layout/chevron2"/>
    <dgm:cxn modelId="{9F31F316-0BD2-4C12-B486-0C7EA467B57B}" type="presParOf" srcId="{618A5400-9406-4FA0-819D-518BA5CB8673}" destId="{AD043339-1233-4FFB-906A-01823F25C87C}" srcOrd="3" destOrd="0" presId="urn:microsoft.com/office/officeart/2005/8/layout/chevron2"/>
    <dgm:cxn modelId="{A82426CE-2618-4109-A90D-97B9CF6DE5F3}" type="presParOf" srcId="{618A5400-9406-4FA0-819D-518BA5CB8673}" destId="{39C153B4-722A-43E8-86EB-BAFB0C8F41F3}" srcOrd="4" destOrd="0" presId="urn:microsoft.com/office/officeart/2005/8/layout/chevron2"/>
    <dgm:cxn modelId="{0C793ABB-9259-4313-9CE2-DDE7DD6DA419}" type="presParOf" srcId="{39C153B4-722A-43E8-86EB-BAFB0C8F41F3}" destId="{355AFB59-7FEE-45C9-BD8E-543AA1B1DBA6}" srcOrd="0" destOrd="0" presId="urn:microsoft.com/office/officeart/2005/8/layout/chevron2"/>
    <dgm:cxn modelId="{84876ADF-05FC-45FA-87DD-B8C65DE18BA8}" type="presParOf" srcId="{39C153B4-722A-43E8-86EB-BAFB0C8F41F3}" destId="{4A11D631-08EA-46FB-B4E2-5804B253B6C1}" srcOrd="1" destOrd="0" presId="urn:microsoft.com/office/officeart/2005/8/layout/chevron2"/>
    <dgm:cxn modelId="{6E7FDC40-0C91-4725-9678-2F2BF6BA5CB9}" type="presParOf" srcId="{618A5400-9406-4FA0-819D-518BA5CB8673}" destId="{40145F47-483F-48EE-8574-8C120AFDCA52}" srcOrd="5" destOrd="0" presId="urn:microsoft.com/office/officeart/2005/8/layout/chevron2"/>
    <dgm:cxn modelId="{518AA00A-7AE6-4E20-A673-3ABE980F7FE3}" type="presParOf" srcId="{618A5400-9406-4FA0-819D-518BA5CB8673}" destId="{358E8742-21BF-4927-BA23-06EDC2370414}" srcOrd="6" destOrd="0" presId="urn:microsoft.com/office/officeart/2005/8/layout/chevron2"/>
    <dgm:cxn modelId="{7B2C54A1-1F50-4A35-B236-4479B842E103}" type="presParOf" srcId="{358E8742-21BF-4927-BA23-06EDC2370414}" destId="{55C14763-561B-417C-BAFC-392AB3A41B43}" srcOrd="0" destOrd="0" presId="urn:microsoft.com/office/officeart/2005/8/layout/chevron2"/>
    <dgm:cxn modelId="{3CB24481-D769-450C-B860-B21EA2F369B4}" type="presParOf" srcId="{358E8742-21BF-4927-BA23-06EDC2370414}" destId="{5AFEABA6-E003-4B2F-AB64-3524F98E34AF}" srcOrd="1" destOrd="0" presId="urn:microsoft.com/office/officeart/2005/8/layout/chevron2"/>
    <dgm:cxn modelId="{EBD5F048-34FB-4457-A769-1A0CB76C6D4C}" type="presParOf" srcId="{618A5400-9406-4FA0-819D-518BA5CB8673}" destId="{7B8317EC-94AD-4CCB-BAF7-DCF1EA5663F9}" srcOrd="7" destOrd="0" presId="urn:microsoft.com/office/officeart/2005/8/layout/chevron2"/>
    <dgm:cxn modelId="{7C24F6DC-7E9F-45CB-9540-A8B09ED669BD}" type="presParOf" srcId="{618A5400-9406-4FA0-819D-518BA5CB8673}" destId="{12516057-FEF9-43B2-B673-DB0848B01C8B}" srcOrd="8" destOrd="0" presId="urn:microsoft.com/office/officeart/2005/8/layout/chevron2"/>
    <dgm:cxn modelId="{81910DB8-3F05-4918-AD52-AD825E8082AF}" type="presParOf" srcId="{12516057-FEF9-43B2-B673-DB0848B01C8B}" destId="{9F061FFC-2C23-46FF-BACD-E0526EEDDD18}" srcOrd="0" destOrd="0" presId="urn:microsoft.com/office/officeart/2005/8/layout/chevron2"/>
    <dgm:cxn modelId="{FCFAF837-2899-42CB-A300-D9069AA1F8C6}" type="presParOf" srcId="{12516057-FEF9-43B2-B673-DB0848B01C8B}" destId="{C0077F2A-C885-4990-A41B-9F4741AB35FF}" srcOrd="1" destOrd="0" presId="urn:microsoft.com/office/officeart/2005/8/layout/chevron2"/>
    <dgm:cxn modelId="{5E4AF363-4580-4713-B0E1-6EC3E98D3727}" type="presParOf" srcId="{618A5400-9406-4FA0-819D-518BA5CB8673}" destId="{3EE6DB01-C797-4043-85F6-55FD2C535775}" srcOrd="9" destOrd="0" presId="urn:microsoft.com/office/officeart/2005/8/layout/chevron2"/>
    <dgm:cxn modelId="{26689468-82F7-43A9-B6C4-757AA90E6BF0}" type="presParOf" srcId="{618A5400-9406-4FA0-819D-518BA5CB8673}" destId="{9ABAD7F6-21DE-4172-9743-240960D3F797}" srcOrd="10" destOrd="0" presId="urn:microsoft.com/office/officeart/2005/8/layout/chevron2"/>
    <dgm:cxn modelId="{F50C72AA-4429-4280-B98E-837D789F2C9B}" type="presParOf" srcId="{9ABAD7F6-21DE-4172-9743-240960D3F797}" destId="{2FE67F26-CC29-4E17-A677-50E239ACD0FE}" srcOrd="0" destOrd="0" presId="urn:microsoft.com/office/officeart/2005/8/layout/chevron2"/>
    <dgm:cxn modelId="{E8466A06-8DC3-4E3A-A0FD-DD82C55B015B}" type="presParOf" srcId="{9ABAD7F6-21DE-4172-9743-240960D3F797}" destId="{1334332E-0DD4-4749-BA8F-912239E89539}"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A5E1908-8373-4466-B117-41E59216AFBA}"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en-US"/>
        </a:p>
      </dgm:t>
    </dgm:pt>
    <dgm:pt modelId="{FBEA10D8-FA1C-41D5-BB3A-9D1186BE37D7}">
      <dgm:prSet phldrT="[Text]" custT="1"/>
      <dgm:spPr>
        <a:solidFill>
          <a:schemeClr val="accent5">
            <a:lumMod val="60000"/>
            <a:lumOff val="40000"/>
          </a:schemeClr>
        </a:solidFill>
      </dgm:spPr>
      <dgm:t>
        <a:bodyPr/>
        <a:lstStyle/>
        <a:p>
          <a:r>
            <a:rPr lang="en-US" sz="1100" b="1">
              <a:solidFill>
                <a:sysClr val="windowText" lastClr="000000"/>
              </a:solidFill>
              <a:latin typeface="Arial" pitchFamily="34" charset="0"/>
              <a:cs typeface="Arial" pitchFamily="34" charset="0"/>
            </a:rPr>
            <a:t>Analiza problemelor existente ale sistemului de transport</a:t>
          </a:r>
        </a:p>
        <a:p>
          <a:r>
            <a:rPr lang="en-US" sz="900" b="1">
              <a:solidFill>
                <a:sysClr val="windowText" lastClr="000000"/>
              </a:solidFill>
              <a:latin typeface="Arial" pitchFamily="34" charset="0"/>
              <a:cs typeface="Arial" pitchFamily="34" charset="0"/>
            </a:rPr>
            <a:t>Procedur</a:t>
          </a:r>
          <a:r>
            <a:rPr lang="ro-RO" sz="900" b="1">
              <a:solidFill>
                <a:sysClr val="windowText" lastClr="000000"/>
              </a:solidFill>
              <a:latin typeface="Arial" pitchFamily="34" charset="0"/>
              <a:cs typeface="Arial" pitchFamily="34" charset="0"/>
            </a:rPr>
            <a:t>ă:</a:t>
          </a:r>
          <a:r>
            <a:rPr lang="ro-RO" sz="900" b="0">
              <a:solidFill>
                <a:sysClr val="windowText" lastClr="000000"/>
              </a:solidFill>
              <a:latin typeface="Arial" pitchFamily="34" charset="0"/>
              <a:cs typeface="Arial" pitchFamily="34" charset="0"/>
            </a:rPr>
            <a:t> analiza datelor disponibile, a datelor de trafic colectate, a studiilor existente</a:t>
          </a:r>
        </a:p>
        <a:p>
          <a:endParaRPr lang="ro-RO" sz="900" b="0">
            <a:solidFill>
              <a:sysClr val="windowText" lastClr="000000"/>
            </a:solidFill>
            <a:latin typeface="Arial" pitchFamily="34" charset="0"/>
            <a:cs typeface="Arial" pitchFamily="34" charset="0"/>
          </a:endParaRPr>
        </a:p>
        <a:p>
          <a:endParaRPr lang="ro-RO" sz="900" b="0">
            <a:solidFill>
              <a:sysClr val="windowText" lastClr="000000"/>
            </a:solidFill>
            <a:latin typeface="Arial" pitchFamily="34" charset="0"/>
            <a:cs typeface="Arial" pitchFamily="34" charset="0"/>
          </a:endParaRPr>
        </a:p>
        <a:p>
          <a:r>
            <a:rPr lang="ro-RO" sz="900" b="1">
              <a:solidFill>
                <a:sysClr val="windowText" lastClr="000000"/>
              </a:solidFill>
              <a:latin typeface="Arial" pitchFamily="34" charset="0"/>
              <a:cs typeface="Arial" pitchFamily="34" charset="0"/>
            </a:rPr>
            <a:t>Rezultat</a:t>
          </a:r>
          <a:r>
            <a:rPr lang="ro-RO" sz="900" b="0">
              <a:solidFill>
                <a:sysClr val="windowText" lastClr="000000"/>
              </a:solidFill>
              <a:latin typeface="Arial" pitchFamily="34" charset="0"/>
              <a:cs typeface="Arial" pitchFamily="34" charset="0"/>
            </a:rPr>
            <a:t>: Înțelegerea următoarelor:</a:t>
          </a:r>
          <a:endParaRPr lang="en-US" sz="900" b="0">
            <a:solidFill>
              <a:sysClr val="windowText" lastClr="000000"/>
            </a:solidFill>
            <a:latin typeface="Arial" pitchFamily="34" charset="0"/>
            <a:cs typeface="Arial" pitchFamily="34" charset="0"/>
          </a:endParaRPr>
        </a:p>
      </dgm:t>
    </dgm:pt>
    <dgm:pt modelId="{FF9459CC-FAC5-4A1A-B89C-0AE580BFFB9D}" type="parTrans" cxnId="{CCD42E7E-24CD-4194-AFC5-BD34EA19DF02}">
      <dgm:prSet/>
      <dgm:spPr/>
      <dgm:t>
        <a:bodyPr/>
        <a:lstStyle/>
        <a:p>
          <a:endParaRPr lang="en-US" sz="900">
            <a:latin typeface="Arial" pitchFamily="34" charset="0"/>
            <a:cs typeface="Arial" pitchFamily="34" charset="0"/>
          </a:endParaRPr>
        </a:p>
      </dgm:t>
    </dgm:pt>
    <dgm:pt modelId="{14AE5926-9209-42C4-B982-0CB391D659F6}" type="sibTrans" cxnId="{CCD42E7E-24CD-4194-AFC5-BD34EA19DF02}">
      <dgm:prSet/>
      <dgm:spPr/>
      <dgm:t>
        <a:bodyPr/>
        <a:lstStyle/>
        <a:p>
          <a:endParaRPr lang="en-US" sz="900">
            <a:latin typeface="Arial" pitchFamily="34" charset="0"/>
            <a:cs typeface="Arial" pitchFamily="34" charset="0"/>
          </a:endParaRPr>
        </a:p>
      </dgm:t>
    </dgm:pt>
    <dgm:pt modelId="{87357B8C-E38E-4E07-BB59-E3BEF65BCE2F}">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Cadrul general al politicilor de transport</a:t>
          </a:r>
          <a:endParaRPr lang="en-US" sz="900">
            <a:solidFill>
              <a:sysClr val="windowText" lastClr="000000"/>
            </a:solidFill>
            <a:latin typeface="Arial" pitchFamily="34" charset="0"/>
            <a:cs typeface="Arial" pitchFamily="34" charset="0"/>
          </a:endParaRPr>
        </a:p>
      </dgm:t>
    </dgm:pt>
    <dgm:pt modelId="{939F12CA-6C50-410A-9F60-555B3FE3DD3C}" type="parTrans" cxnId="{D3E217B0-0CB6-4C6B-951A-F9DE4A60343E}">
      <dgm:prSet/>
      <dgm:spPr/>
      <dgm:t>
        <a:bodyPr/>
        <a:lstStyle/>
        <a:p>
          <a:endParaRPr lang="en-US" sz="900">
            <a:latin typeface="Arial" pitchFamily="34" charset="0"/>
            <a:cs typeface="Arial" pitchFamily="34" charset="0"/>
          </a:endParaRPr>
        </a:p>
      </dgm:t>
    </dgm:pt>
    <dgm:pt modelId="{51196A15-6B9B-4081-9E59-5B2D94446FFA}" type="sibTrans" cxnId="{D3E217B0-0CB6-4C6B-951A-F9DE4A60343E}">
      <dgm:prSet/>
      <dgm:spPr/>
      <dgm:t>
        <a:bodyPr/>
        <a:lstStyle/>
        <a:p>
          <a:endParaRPr lang="en-US" sz="900">
            <a:latin typeface="Arial" pitchFamily="34" charset="0"/>
            <a:cs typeface="Arial" pitchFamily="34" charset="0"/>
          </a:endParaRPr>
        </a:p>
      </dgm:t>
    </dgm:pt>
    <dgm:pt modelId="{6CF9C4AD-4870-423B-8DEE-194EE0F36E32}">
      <dgm:prSet phldrT="[Text]" custT="1"/>
      <dgm:spPr>
        <a:solidFill>
          <a:schemeClr val="accent5">
            <a:lumMod val="60000"/>
            <a:lumOff val="40000"/>
          </a:schemeClr>
        </a:solidFill>
      </dgm:spPr>
      <dgm:t>
        <a:bodyPr/>
        <a:lstStyle/>
        <a:p>
          <a:pPr algn="l"/>
          <a:r>
            <a:rPr lang="ro-RO" sz="1100" b="1">
              <a:solidFill>
                <a:sysClr val="windowText" lastClr="000000"/>
              </a:solidFill>
              <a:latin typeface="Arial" pitchFamily="34" charset="0"/>
              <a:cs typeface="Arial" pitchFamily="34" charset="0"/>
            </a:rPr>
            <a:t>Modelul Național de Transport</a:t>
          </a:r>
        </a:p>
        <a:p>
          <a:pPr algn="l"/>
          <a:endParaRPr lang="ro-RO" sz="1100" b="1">
            <a:solidFill>
              <a:sysClr val="windowText" lastClr="000000"/>
            </a:solidFill>
            <a:latin typeface="Arial" pitchFamily="34" charset="0"/>
            <a:cs typeface="Arial" pitchFamily="34" charset="0"/>
          </a:endParaRPr>
        </a:p>
        <a:p>
          <a:pPr algn="l"/>
          <a:r>
            <a:rPr lang="en-US" sz="900" b="1">
              <a:solidFill>
                <a:sysClr val="windowText" lastClr="000000"/>
              </a:solidFill>
              <a:latin typeface="Arial" pitchFamily="34" charset="0"/>
              <a:cs typeface="Arial" pitchFamily="34" charset="0"/>
            </a:rPr>
            <a:t>Procedur</a:t>
          </a:r>
          <a:r>
            <a:rPr lang="ro-RO" sz="900" b="1">
              <a:solidFill>
                <a:sysClr val="windowText" lastClr="000000"/>
              </a:solidFill>
              <a:latin typeface="Arial" pitchFamily="34" charset="0"/>
              <a:cs typeface="Arial" pitchFamily="34" charset="0"/>
            </a:rPr>
            <a:t>ă:</a:t>
          </a:r>
          <a:r>
            <a:rPr lang="ro-RO" sz="900" b="0">
              <a:solidFill>
                <a:sysClr val="windowText" lastClr="000000"/>
              </a:solidFill>
              <a:latin typeface="Arial" pitchFamily="34" charset="0"/>
              <a:cs typeface="Arial" pitchFamily="34" charset="0"/>
            </a:rPr>
            <a:t> utilizarea Modelului Național de Transport pentru furnizarea de date pentru Scenariul de Referință al anului de bază și pentru anii de prognoză</a:t>
          </a:r>
        </a:p>
        <a:p>
          <a:pPr algn="l"/>
          <a:endParaRPr lang="ro-RO" sz="900" b="0">
            <a:solidFill>
              <a:sysClr val="windowText" lastClr="000000"/>
            </a:solidFill>
            <a:latin typeface="Arial" pitchFamily="34" charset="0"/>
            <a:cs typeface="Arial" pitchFamily="34" charset="0"/>
          </a:endParaRPr>
        </a:p>
        <a:p>
          <a:pPr algn="l"/>
          <a:r>
            <a:rPr lang="ro-RO" sz="900" b="1">
              <a:solidFill>
                <a:sysClr val="windowText" lastClr="000000"/>
              </a:solidFill>
              <a:latin typeface="Arial" pitchFamily="34" charset="0"/>
              <a:cs typeface="Arial" pitchFamily="34" charset="0"/>
            </a:rPr>
            <a:t>Rezultat</a:t>
          </a:r>
          <a:r>
            <a:rPr lang="ro-RO" sz="900" b="0">
              <a:solidFill>
                <a:sysClr val="windowText" lastClr="000000"/>
              </a:solidFill>
              <a:latin typeface="Arial" pitchFamily="34" charset="0"/>
              <a:cs typeface="Arial" pitchFamily="34" charset="0"/>
            </a:rPr>
            <a:t>: Evidențe care să  susțină procedura de identificare a problemelor</a:t>
          </a:r>
          <a:endParaRPr lang="ro-RO" sz="900">
            <a:solidFill>
              <a:sysClr val="windowText" lastClr="000000"/>
            </a:solidFill>
            <a:latin typeface="Arial" pitchFamily="34" charset="0"/>
            <a:cs typeface="Arial" pitchFamily="34" charset="0"/>
          </a:endParaRPr>
        </a:p>
      </dgm:t>
    </dgm:pt>
    <dgm:pt modelId="{13701E63-8E01-4724-B448-B36968D6B5D4}" type="parTrans" cxnId="{9A5285DA-61FF-4779-A578-C0DD9D0DE9DC}">
      <dgm:prSet/>
      <dgm:spPr/>
      <dgm:t>
        <a:bodyPr/>
        <a:lstStyle/>
        <a:p>
          <a:endParaRPr lang="en-US" sz="900">
            <a:latin typeface="Arial" pitchFamily="34" charset="0"/>
            <a:cs typeface="Arial" pitchFamily="34" charset="0"/>
          </a:endParaRPr>
        </a:p>
      </dgm:t>
    </dgm:pt>
    <dgm:pt modelId="{7BD5D972-3AFA-440A-A1BA-267E2DEA0E83}" type="sibTrans" cxnId="{9A5285DA-61FF-4779-A578-C0DD9D0DE9DC}">
      <dgm:prSet/>
      <dgm:spPr/>
      <dgm:t>
        <a:bodyPr/>
        <a:lstStyle/>
        <a:p>
          <a:endParaRPr lang="en-US" sz="900">
            <a:latin typeface="Arial" pitchFamily="34" charset="0"/>
            <a:cs typeface="Arial" pitchFamily="34" charset="0"/>
          </a:endParaRPr>
        </a:p>
      </dgm:t>
    </dgm:pt>
    <dgm:pt modelId="{A4A86E09-2B85-4B6B-80A5-C6C37514FF9B}">
      <dgm:prSet phldrT="[Text]" custT="1"/>
      <dgm:spPr>
        <a:solidFill>
          <a:schemeClr val="accent5">
            <a:lumMod val="60000"/>
            <a:lumOff val="40000"/>
          </a:schemeClr>
        </a:solidFill>
      </dgm:spPr>
      <dgm:t>
        <a:bodyPr/>
        <a:lstStyle/>
        <a:p>
          <a:pPr algn="l"/>
          <a:r>
            <a:rPr lang="ro-RO" sz="1100" b="1">
              <a:solidFill>
                <a:sysClr val="windowText" lastClr="000000"/>
              </a:solidFill>
              <a:latin typeface="Arial" pitchFamily="34" charset="0"/>
              <a:cs typeface="Arial" pitchFamily="34" charset="0"/>
            </a:rPr>
            <a:t>Consultări cu părțile interesate</a:t>
          </a:r>
        </a:p>
        <a:p>
          <a:pPr algn="l"/>
          <a:endParaRPr lang="ro-RO" sz="900" b="1">
            <a:solidFill>
              <a:sysClr val="windowText" lastClr="000000"/>
            </a:solidFill>
            <a:latin typeface="Arial" pitchFamily="34" charset="0"/>
            <a:cs typeface="Arial" pitchFamily="34" charset="0"/>
          </a:endParaRPr>
        </a:p>
        <a:p>
          <a:pPr algn="l"/>
          <a:r>
            <a:rPr lang="en-US" sz="900" b="1">
              <a:solidFill>
                <a:sysClr val="windowText" lastClr="000000"/>
              </a:solidFill>
              <a:latin typeface="Arial" pitchFamily="34" charset="0"/>
              <a:cs typeface="Arial" pitchFamily="34" charset="0"/>
            </a:rPr>
            <a:t>Procedur</a:t>
          </a:r>
          <a:r>
            <a:rPr lang="ro-RO" sz="900" b="1">
              <a:solidFill>
                <a:sysClr val="windowText" lastClr="000000"/>
              </a:solidFill>
              <a:latin typeface="Arial" pitchFamily="34" charset="0"/>
              <a:cs typeface="Arial" pitchFamily="34" charset="0"/>
            </a:rPr>
            <a:t>ă:</a:t>
          </a:r>
          <a:r>
            <a:rPr lang="ro-RO" sz="900" b="0">
              <a:solidFill>
                <a:sysClr val="windowText" lastClr="000000"/>
              </a:solidFill>
              <a:latin typeface="Arial" pitchFamily="34" charset="0"/>
              <a:cs typeface="Arial" pitchFamily="34" charset="0"/>
            </a:rPr>
            <a:t> au fost organizate mai mult de 100 de întâlniri tehnice, cu participarea reprezentanților MT, ai Companiilor de Operare precum și a altor terțe părți</a:t>
          </a:r>
        </a:p>
        <a:p>
          <a:pPr algn="l"/>
          <a:endParaRPr lang="ro-RO" sz="900" b="0">
            <a:solidFill>
              <a:sysClr val="windowText" lastClr="000000"/>
            </a:solidFill>
            <a:latin typeface="Arial" pitchFamily="34" charset="0"/>
            <a:cs typeface="Arial" pitchFamily="34" charset="0"/>
          </a:endParaRPr>
        </a:p>
        <a:p>
          <a:pPr algn="l"/>
          <a:r>
            <a:rPr lang="ro-RO" sz="900" b="1">
              <a:solidFill>
                <a:sysClr val="windowText" lastClr="000000"/>
              </a:solidFill>
              <a:latin typeface="Arial" pitchFamily="34" charset="0"/>
              <a:cs typeface="Arial" pitchFamily="34" charset="0"/>
            </a:rPr>
            <a:t>Rezultat</a:t>
          </a:r>
          <a:r>
            <a:rPr lang="ro-RO" sz="900" b="0">
              <a:solidFill>
                <a:sysClr val="windowText" lastClr="000000"/>
              </a:solidFill>
              <a:latin typeface="Arial" pitchFamily="34" charset="0"/>
              <a:cs typeface="Arial" pitchFamily="34" charset="0"/>
            </a:rPr>
            <a:t>: Identificarea cauzelor fundamentale ale problemelor</a:t>
          </a:r>
        </a:p>
      </dgm:t>
    </dgm:pt>
    <dgm:pt modelId="{C64D156B-ACA3-44F5-BD7A-0EE60DCA09C0}" type="parTrans" cxnId="{7ED12CCA-0698-43DB-811F-1E695AFFD9F3}">
      <dgm:prSet/>
      <dgm:spPr/>
      <dgm:t>
        <a:bodyPr/>
        <a:lstStyle/>
        <a:p>
          <a:endParaRPr lang="en-US" sz="900">
            <a:latin typeface="Arial" pitchFamily="34" charset="0"/>
            <a:cs typeface="Arial" pitchFamily="34" charset="0"/>
          </a:endParaRPr>
        </a:p>
      </dgm:t>
    </dgm:pt>
    <dgm:pt modelId="{66683E5A-E351-443B-ACC0-AAF69177D742}" type="sibTrans" cxnId="{7ED12CCA-0698-43DB-811F-1E695AFFD9F3}">
      <dgm:prSet/>
      <dgm:spPr/>
      <dgm:t>
        <a:bodyPr/>
        <a:lstStyle/>
        <a:p>
          <a:endParaRPr lang="en-US" sz="900">
            <a:latin typeface="Arial" pitchFamily="34" charset="0"/>
            <a:cs typeface="Arial" pitchFamily="34" charset="0"/>
          </a:endParaRPr>
        </a:p>
      </dgm:t>
    </dgm:pt>
    <dgm:pt modelId="{5798FAFF-381F-4A35-9224-094C96684728}">
      <dgm:prSet phldrT="[Text]" custT="1"/>
      <dgm:spPr>
        <a:solidFill>
          <a:schemeClr val="accent5">
            <a:lumMod val="60000"/>
            <a:lumOff val="40000"/>
          </a:schemeClr>
        </a:solidFill>
      </dgm:spPr>
      <dgm:t>
        <a:bodyPr/>
        <a:lstStyle/>
        <a:p>
          <a:pPr algn="l"/>
          <a:endParaRPr lang="ro-RO" sz="1100" b="1">
            <a:solidFill>
              <a:sysClr val="windowText" lastClr="000000"/>
            </a:solidFill>
            <a:latin typeface="Arial" pitchFamily="34" charset="0"/>
            <a:cs typeface="Arial" pitchFamily="34" charset="0"/>
          </a:endParaRPr>
        </a:p>
        <a:p>
          <a:pPr algn="l"/>
          <a:endParaRPr lang="ro-RO" sz="1100" b="1">
            <a:solidFill>
              <a:sysClr val="windowText" lastClr="000000"/>
            </a:solidFill>
            <a:latin typeface="Arial" pitchFamily="34" charset="0"/>
            <a:cs typeface="Arial" pitchFamily="34" charset="0"/>
          </a:endParaRPr>
        </a:p>
        <a:p>
          <a:pPr algn="l"/>
          <a:endParaRPr lang="ro-RO" sz="1100" b="1">
            <a:solidFill>
              <a:sysClr val="windowText" lastClr="000000"/>
            </a:solidFill>
            <a:latin typeface="Arial" pitchFamily="34" charset="0"/>
            <a:cs typeface="Arial" pitchFamily="34" charset="0"/>
          </a:endParaRPr>
        </a:p>
        <a:p>
          <a:pPr algn="l"/>
          <a:r>
            <a:rPr lang="ro-RO" sz="1100" b="1">
              <a:solidFill>
                <a:sysClr val="windowText" lastClr="000000"/>
              </a:solidFill>
              <a:latin typeface="Arial" pitchFamily="34" charset="0"/>
              <a:cs typeface="Arial" pitchFamily="34" charset="0"/>
            </a:rPr>
            <a:t>Probleme identificate</a:t>
          </a:r>
        </a:p>
        <a:p>
          <a:pPr algn="l"/>
          <a:endParaRPr lang="ro-RO" sz="900" b="1">
            <a:solidFill>
              <a:sysClr val="windowText" lastClr="000000"/>
            </a:solidFill>
            <a:latin typeface="Arial" pitchFamily="34" charset="0"/>
            <a:cs typeface="Arial" pitchFamily="34" charset="0"/>
          </a:endParaRPr>
        </a:p>
        <a:p>
          <a:pPr algn="l"/>
          <a:r>
            <a:rPr lang="ro-RO" sz="900" b="1">
              <a:solidFill>
                <a:sysClr val="windowText" lastClr="000000"/>
              </a:solidFill>
              <a:latin typeface="Arial" pitchFamily="34" charset="0"/>
              <a:cs typeface="Arial" pitchFamily="34" charset="0"/>
            </a:rPr>
            <a:t>Procedură</a:t>
          </a:r>
          <a:r>
            <a:rPr lang="ro-RO" sz="900">
              <a:solidFill>
                <a:sysClr val="windowText" lastClr="000000"/>
              </a:solidFill>
              <a:latin typeface="Arial" pitchFamily="34" charset="0"/>
              <a:cs typeface="Arial" pitchFamily="34" charset="0"/>
            </a:rPr>
            <a:t>: Rezumatul tuturor surselor de informații</a:t>
          </a:r>
        </a:p>
        <a:p>
          <a:pPr algn="l"/>
          <a:endParaRPr lang="ro-RO" sz="900" b="1">
            <a:solidFill>
              <a:sysClr val="windowText" lastClr="000000"/>
            </a:solidFill>
            <a:latin typeface="Arial" pitchFamily="34" charset="0"/>
            <a:cs typeface="Arial" pitchFamily="34" charset="0"/>
          </a:endParaRPr>
        </a:p>
        <a:p>
          <a:pPr algn="l"/>
          <a:r>
            <a:rPr lang="ro-RO" sz="900" b="1">
              <a:solidFill>
                <a:sysClr val="windowText" lastClr="000000"/>
              </a:solidFill>
              <a:latin typeface="Arial" pitchFamily="34" charset="0"/>
              <a:cs typeface="Arial" pitchFamily="34" charset="0"/>
            </a:rPr>
            <a:t>Rezultat</a:t>
          </a:r>
          <a:r>
            <a:rPr lang="ro-RO" sz="900">
              <a:solidFill>
                <a:sysClr val="windowText" lastClr="000000"/>
              </a:solidFill>
              <a:latin typeface="Arial" pitchFamily="34" charset="0"/>
              <a:cs typeface="Arial" pitchFamily="34" charset="0"/>
            </a:rPr>
            <a:t>: Identificare, pe baza evidențelor, a problemelor reale și a provocărilor existente la nivelul sectorului de transport din România.</a:t>
          </a:r>
        </a:p>
        <a:p>
          <a:pPr algn="l"/>
          <a:endParaRPr lang="ro-RO" sz="900">
            <a:solidFill>
              <a:sysClr val="windowText" lastClr="000000"/>
            </a:solidFill>
            <a:latin typeface="Arial" pitchFamily="34" charset="0"/>
            <a:cs typeface="Arial" pitchFamily="34" charset="0"/>
          </a:endParaRPr>
        </a:p>
        <a:p>
          <a:pPr algn="l"/>
          <a:r>
            <a:rPr lang="ro-RO" sz="900" b="1">
              <a:solidFill>
                <a:sysClr val="windowText" lastClr="000000"/>
              </a:solidFill>
              <a:latin typeface="Arial" pitchFamily="34" charset="0"/>
              <a:cs typeface="Arial" pitchFamily="34" charset="0"/>
            </a:rPr>
            <a:t>Rezultat</a:t>
          </a:r>
          <a:r>
            <a:rPr lang="ro-RO" sz="900">
              <a:solidFill>
                <a:sysClr val="windowText" lastClr="000000"/>
              </a:solidFill>
              <a:latin typeface="Arial" pitchFamily="34" charset="0"/>
              <a:cs typeface="Arial" pitchFamily="34" charset="0"/>
            </a:rPr>
            <a:t>: Constituie suportul pentru definirea obiectivelor operaționale care susțin etapa de Identificare a Proiectelor</a:t>
          </a:r>
        </a:p>
        <a:p>
          <a:pPr algn="l"/>
          <a:endParaRPr lang="ro-RO" sz="900">
            <a:solidFill>
              <a:sysClr val="windowText" lastClr="000000"/>
            </a:solidFill>
            <a:latin typeface="Arial" pitchFamily="34" charset="0"/>
            <a:cs typeface="Arial" pitchFamily="34" charset="0"/>
          </a:endParaRPr>
        </a:p>
        <a:p>
          <a:pPr algn="l"/>
          <a:endParaRPr lang="ro-RO" sz="900">
            <a:solidFill>
              <a:sysClr val="windowText" lastClr="000000"/>
            </a:solidFill>
            <a:latin typeface="Arial" pitchFamily="34" charset="0"/>
            <a:cs typeface="Arial" pitchFamily="34" charset="0"/>
          </a:endParaRPr>
        </a:p>
        <a:p>
          <a:pPr algn="l"/>
          <a:endParaRPr lang="ro-RO" sz="900">
            <a:solidFill>
              <a:sysClr val="windowText" lastClr="000000"/>
            </a:solidFill>
            <a:latin typeface="Arial" pitchFamily="34" charset="0"/>
            <a:cs typeface="Arial" pitchFamily="34" charset="0"/>
          </a:endParaRPr>
        </a:p>
        <a:p>
          <a:pPr algn="l"/>
          <a:endParaRPr lang="ro-RO" sz="900">
            <a:solidFill>
              <a:sysClr val="windowText" lastClr="000000"/>
            </a:solidFill>
            <a:latin typeface="Arial" pitchFamily="34" charset="0"/>
            <a:cs typeface="Arial" pitchFamily="34" charset="0"/>
          </a:endParaRPr>
        </a:p>
        <a:p>
          <a:pPr algn="l"/>
          <a:endParaRPr lang="ro-RO" sz="900">
            <a:solidFill>
              <a:sysClr val="windowText" lastClr="000000"/>
            </a:solidFill>
            <a:latin typeface="Arial" pitchFamily="34" charset="0"/>
            <a:cs typeface="Arial" pitchFamily="34" charset="0"/>
          </a:endParaRPr>
        </a:p>
        <a:p>
          <a:pPr algn="l"/>
          <a:endParaRPr lang="en-US" sz="900">
            <a:solidFill>
              <a:sysClr val="windowText" lastClr="000000"/>
            </a:solidFill>
            <a:latin typeface="Arial" pitchFamily="34" charset="0"/>
            <a:cs typeface="Arial" pitchFamily="34" charset="0"/>
          </a:endParaRPr>
        </a:p>
      </dgm:t>
    </dgm:pt>
    <dgm:pt modelId="{AF86487C-04BB-4CC6-B913-F46038B6D6B4}" type="parTrans" cxnId="{FFEC208A-BDB6-4C7E-88E2-F2FAE4F8F979}">
      <dgm:prSet/>
      <dgm:spPr/>
      <dgm:t>
        <a:bodyPr/>
        <a:lstStyle/>
        <a:p>
          <a:endParaRPr lang="en-US" sz="900">
            <a:latin typeface="Arial" pitchFamily="34" charset="0"/>
            <a:cs typeface="Arial" pitchFamily="34" charset="0"/>
          </a:endParaRPr>
        </a:p>
      </dgm:t>
    </dgm:pt>
    <dgm:pt modelId="{3D60A723-4C2A-4AEE-A04D-B983356F0DD1}" type="sibTrans" cxnId="{FFEC208A-BDB6-4C7E-88E2-F2FAE4F8F979}">
      <dgm:prSet/>
      <dgm:spPr/>
      <dgm:t>
        <a:bodyPr/>
        <a:lstStyle/>
        <a:p>
          <a:endParaRPr lang="en-US" sz="900">
            <a:latin typeface="Arial" pitchFamily="34" charset="0"/>
            <a:cs typeface="Arial" pitchFamily="34" charset="0"/>
          </a:endParaRPr>
        </a:p>
      </dgm:t>
    </dgm:pt>
    <dgm:pt modelId="{1FE80004-2909-44DC-93BC-94D400A295AE}">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Caracteristicile fizice ale rețelelor de transport</a:t>
          </a:r>
          <a:endParaRPr lang="en-US" sz="900">
            <a:solidFill>
              <a:sysClr val="windowText" lastClr="000000"/>
            </a:solidFill>
            <a:latin typeface="Arial" pitchFamily="34" charset="0"/>
            <a:cs typeface="Arial" pitchFamily="34" charset="0"/>
          </a:endParaRPr>
        </a:p>
      </dgm:t>
    </dgm:pt>
    <dgm:pt modelId="{96A6F764-25D9-44E8-AB07-11A883F81852}" type="parTrans" cxnId="{E3844A3D-2C12-4F02-A118-F331744AF89E}">
      <dgm:prSet/>
      <dgm:spPr/>
      <dgm:t>
        <a:bodyPr/>
        <a:lstStyle/>
        <a:p>
          <a:endParaRPr lang="en-US"/>
        </a:p>
      </dgm:t>
    </dgm:pt>
    <dgm:pt modelId="{420B3854-9F60-4CC2-B819-BCE3E85A3FBB}" type="sibTrans" cxnId="{E3844A3D-2C12-4F02-A118-F331744AF89E}">
      <dgm:prSet/>
      <dgm:spPr/>
      <dgm:t>
        <a:bodyPr/>
        <a:lstStyle/>
        <a:p>
          <a:endParaRPr lang="en-US"/>
        </a:p>
      </dgm:t>
    </dgm:pt>
    <dgm:pt modelId="{E5E46330-1C9A-4D0D-8D1A-916B91909DE7}">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Analiza volumelor de trafic, a timpilor de parcurs și a congestiei</a:t>
          </a:r>
          <a:endParaRPr lang="en-US" sz="900">
            <a:solidFill>
              <a:sysClr val="windowText" lastClr="000000"/>
            </a:solidFill>
            <a:latin typeface="Arial" pitchFamily="34" charset="0"/>
            <a:cs typeface="Arial" pitchFamily="34" charset="0"/>
          </a:endParaRPr>
        </a:p>
      </dgm:t>
    </dgm:pt>
    <dgm:pt modelId="{54B66047-4402-435A-BDB5-A90AE1EF5CD1}" type="parTrans" cxnId="{C88FB290-6AC0-4BE9-8154-4C8B06E3C12C}">
      <dgm:prSet/>
      <dgm:spPr/>
      <dgm:t>
        <a:bodyPr/>
        <a:lstStyle/>
        <a:p>
          <a:endParaRPr lang="en-US"/>
        </a:p>
      </dgm:t>
    </dgm:pt>
    <dgm:pt modelId="{B96CB137-9083-44EE-A1C2-38C4AB9686BD}" type="sibTrans" cxnId="{C88FB290-6AC0-4BE9-8154-4C8B06E3C12C}">
      <dgm:prSet/>
      <dgm:spPr/>
      <dgm:t>
        <a:bodyPr/>
        <a:lstStyle/>
        <a:p>
          <a:endParaRPr lang="en-US"/>
        </a:p>
      </dgm:t>
    </dgm:pt>
    <dgm:pt modelId="{A0240D75-4B36-4377-982C-AD499163C3FC}">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Structurile de conducere ale sectorului de transport</a:t>
          </a:r>
          <a:endParaRPr lang="en-US" sz="900">
            <a:solidFill>
              <a:sysClr val="windowText" lastClr="000000"/>
            </a:solidFill>
            <a:latin typeface="Arial" pitchFamily="34" charset="0"/>
            <a:cs typeface="Arial" pitchFamily="34" charset="0"/>
          </a:endParaRPr>
        </a:p>
      </dgm:t>
    </dgm:pt>
    <dgm:pt modelId="{C3D35B43-CE4F-424D-8A08-75E31B4E2244}" type="parTrans" cxnId="{1D176F5B-A617-475E-A4F1-0340FE8A9F0F}">
      <dgm:prSet/>
      <dgm:spPr/>
      <dgm:t>
        <a:bodyPr/>
        <a:lstStyle/>
        <a:p>
          <a:endParaRPr lang="en-US"/>
        </a:p>
      </dgm:t>
    </dgm:pt>
    <dgm:pt modelId="{F7894649-DBD1-48D8-A7FF-5D5AC9B6AC09}" type="sibTrans" cxnId="{1D176F5B-A617-475E-A4F1-0340FE8A9F0F}">
      <dgm:prSet/>
      <dgm:spPr/>
      <dgm:t>
        <a:bodyPr/>
        <a:lstStyle/>
        <a:p>
          <a:endParaRPr lang="en-US"/>
        </a:p>
      </dgm:t>
    </dgm:pt>
    <dgm:pt modelId="{6B9C9686-E531-4E8D-A606-EA58AA124A69}">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Bugetele actuale și previzionate  pentru sectorul de transport</a:t>
          </a:r>
          <a:endParaRPr lang="en-US" sz="900">
            <a:solidFill>
              <a:sysClr val="windowText" lastClr="000000"/>
            </a:solidFill>
            <a:latin typeface="Arial" pitchFamily="34" charset="0"/>
            <a:cs typeface="Arial" pitchFamily="34" charset="0"/>
          </a:endParaRPr>
        </a:p>
      </dgm:t>
    </dgm:pt>
    <dgm:pt modelId="{F4882FF0-8629-4D7C-9D5E-9F01EDE9C712}" type="parTrans" cxnId="{227D7078-C60C-43D2-93D3-0EF60FCFCD16}">
      <dgm:prSet/>
      <dgm:spPr/>
      <dgm:t>
        <a:bodyPr/>
        <a:lstStyle/>
        <a:p>
          <a:endParaRPr lang="en-US"/>
        </a:p>
      </dgm:t>
    </dgm:pt>
    <dgm:pt modelId="{6AC350C9-FBFD-44C9-B157-49A2CD1A7494}" type="sibTrans" cxnId="{227D7078-C60C-43D2-93D3-0EF60FCFCD16}">
      <dgm:prSet/>
      <dgm:spPr/>
      <dgm:t>
        <a:bodyPr/>
        <a:lstStyle/>
        <a:p>
          <a:endParaRPr lang="en-US"/>
        </a:p>
      </dgm:t>
    </dgm:pt>
    <dgm:pt modelId="{492A5928-A710-4AFB-821C-131B3B0DFD28}">
      <dgm:prSet custT="1"/>
      <dgm:spPr/>
      <dgm:t>
        <a:bodyPr/>
        <a:lstStyle/>
        <a:p>
          <a:r>
            <a:rPr lang="ro-RO" sz="900">
              <a:solidFill>
                <a:sysClr val="windowText" lastClr="000000"/>
              </a:solidFill>
              <a:latin typeface="Arial" pitchFamily="34" charset="0"/>
              <a:cs typeface="Arial" pitchFamily="34" charset="0"/>
            </a:rPr>
            <a:t>Cererea de trafic  pe rețele de transport pe moduri</a:t>
          </a:r>
          <a:endParaRPr lang="en-US" sz="900">
            <a:solidFill>
              <a:sysClr val="windowText" lastClr="000000"/>
            </a:solidFill>
            <a:latin typeface="Arial" pitchFamily="34" charset="0"/>
            <a:cs typeface="Arial" pitchFamily="34" charset="0"/>
          </a:endParaRPr>
        </a:p>
      </dgm:t>
    </dgm:pt>
    <dgm:pt modelId="{A89134C3-2BB7-4FB5-B9A8-819A6A468796}" type="parTrans" cxnId="{6C2EF317-F891-4581-A344-788DE0D945E1}">
      <dgm:prSet/>
      <dgm:spPr/>
      <dgm:t>
        <a:bodyPr/>
        <a:lstStyle/>
        <a:p>
          <a:endParaRPr lang="en-US"/>
        </a:p>
      </dgm:t>
    </dgm:pt>
    <dgm:pt modelId="{24A315AE-7EA1-4367-8512-9C46FFAC1F7F}" type="sibTrans" cxnId="{6C2EF317-F891-4581-A344-788DE0D945E1}">
      <dgm:prSet/>
      <dgm:spPr/>
      <dgm:t>
        <a:bodyPr/>
        <a:lstStyle/>
        <a:p>
          <a:endParaRPr lang="en-US"/>
        </a:p>
      </dgm:t>
    </dgm:pt>
    <dgm:pt modelId="{3AE8D735-432A-4FAF-9909-9A2EF386C150}">
      <dgm:prSet custT="1"/>
      <dgm:spPr/>
      <dgm:t>
        <a:bodyPr/>
        <a:lstStyle/>
        <a:p>
          <a:r>
            <a:rPr lang="ro-RO" sz="900">
              <a:solidFill>
                <a:sysClr val="windowText" lastClr="000000"/>
              </a:solidFill>
              <a:latin typeface="Arial" pitchFamily="34" charset="0"/>
              <a:cs typeface="Arial" pitchFamily="34" charset="0"/>
            </a:rPr>
            <a:t>Punctele de risc din rețele</a:t>
          </a:r>
          <a:endParaRPr lang="en-US" sz="900">
            <a:solidFill>
              <a:sysClr val="windowText" lastClr="000000"/>
            </a:solidFill>
            <a:latin typeface="Arial" pitchFamily="34" charset="0"/>
            <a:cs typeface="Arial" pitchFamily="34" charset="0"/>
          </a:endParaRPr>
        </a:p>
      </dgm:t>
    </dgm:pt>
    <dgm:pt modelId="{CC902C9D-3626-46F1-A843-05B180AB27FA}" type="parTrans" cxnId="{4D24BB06-3D70-4FF9-9D0F-AF901A611A04}">
      <dgm:prSet/>
      <dgm:spPr/>
      <dgm:t>
        <a:bodyPr/>
        <a:lstStyle/>
        <a:p>
          <a:endParaRPr lang="en-US"/>
        </a:p>
      </dgm:t>
    </dgm:pt>
    <dgm:pt modelId="{28B0C369-EB60-4C88-99E2-3C212B793F1E}" type="sibTrans" cxnId="{4D24BB06-3D70-4FF9-9D0F-AF901A611A04}">
      <dgm:prSet/>
      <dgm:spPr/>
      <dgm:t>
        <a:bodyPr/>
        <a:lstStyle/>
        <a:p>
          <a:endParaRPr lang="en-US"/>
        </a:p>
      </dgm:t>
    </dgm:pt>
    <dgm:pt modelId="{DA765A83-8627-44FD-B747-906CD9D9250A}">
      <dgm:prSet custT="1"/>
      <dgm:spPr/>
      <dgm:t>
        <a:bodyPr/>
        <a:lstStyle/>
        <a:p>
          <a:r>
            <a:rPr lang="ro-RO" sz="900">
              <a:solidFill>
                <a:sysClr val="windowText" lastClr="000000"/>
              </a:solidFill>
              <a:latin typeface="Arial" pitchFamily="34" charset="0"/>
              <a:cs typeface="Arial" pitchFamily="34" charset="0"/>
            </a:rPr>
            <a:t>Evaluarea accesibilității</a:t>
          </a:r>
          <a:endParaRPr lang="en-US" sz="900">
            <a:solidFill>
              <a:sysClr val="windowText" lastClr="000000"/>
            </a:solidFill>
            <a:latin typeface="Arial" pitchFamily="34" charset="0"/>
            <a:cs typeface="Arial" pitchFamily="34" charset="0"/>
          </a:endParaRPr>
        </a:p>
      </dgm:t>
    </dgm:pt>
    <dgm:pt modelId="{E1AEED06-D9CF-4EF6-ACE5-A786985E91DE}" type="parTrans" cxnId="{D3A37EA0-C3A7-4F1B-B5A6-6B4C78E45FDA}">
      <dgm:prSet/>
      <dgm:spPr/>
      <dgm:t>
        <a:bodyPr/>
        <a:lstStyle/>
        <a:p>
          <a:endParaRPr lang="en-US"/>
        </a:p>
      </dgm:t>
    </dgm:pt>
    <dgm:pt modelId="{B4F2E502-D6E3-4DD6-86B5-E77437AE86FD}" type="sibTrans" cxnId="{D3A37EA0-C3A7-4F1B-B5A6-6B4C78E45FDA}">
      <dgm:prSet/>
      <dgm:spPr/>
      <dgm:t>
        <a:bodyPr/>
        <a:lstStyle/>
        <a:p>
          <a:endParaRPr lang="en-US"/>
        </a:p>
      </dgm:t>
    </dgm:pt>
    <dgm:pt modelId="{B8BC2853-9BC0-4B34-8F7E-45CCD3E320F7}">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Investigarea detaliată a problemelor fundamentale pentru fiecare sector de transport</a:t>
          </a:r>
          <a:endParaRPr lang="en-US" sz="900"/>
        </a:p>
      </dgm:t>
    </dgm:pt>
    <dgm:pt modelId="{DCEE9605-722D-40E0-AAD2-F7BCD77F2B83}" type="parTrans" cxnId="{287E987A-47DC-435B-8683-32BD7424A670}">
      <dgm:prSet/>
      <dgm:spPr/>
      <dgm:t>
        <a:bodyPr/>
        <a:lstStyle/>
        <a:p>
          <a:endParaRPr lang="en-US"/>
        </a:p>
      </dgm:t>
    </dgm:pt>
    <dgm:pt modelId="{004184E8-A58A-4A4A-95BB-F0653D1C1F97}" type="sibTrans" cxnId="{287E987A-47DC-435B-8683-32BD7424A670}">
      <dgm:prSet/>
      <dgm:spPr/>
      <dgm:t>
        <a:bodyPr/>
        <a:lstStyle/>
        <a:p>
          <a:endParaRPr lang="en-US"/>
        </a:p>
      </dgm:t>
    </dgm:pt>
    <dgm:pt modelId="{002EF107-3CB8-47A6-9284-256C9F1F60C8}">
      <dgm:prSet phldrT="[Text]" custT="1"/>
      <dgm:spPr>
        <a:solidFill>
          <a:schemeClr val="accent5">
            <a:lumMod val="60000"/>
            <a:lumOff val="40000"/>
          </a:schemeClr>
        </a:solidFill>
      </dgm:spPr>
      <dgm:t>
        <a:bodyPr/>
        <a:lstStyle/>
        <a:p>
          <a:r>
            <a:rPr lang="ro-RO" sz="900">
              <a:solidFill>
                <a:sysClr val="windowText" lastClr="000000"/>
              </a:solidFill>
              <a:latin typeface="Arial" pitchFamily="34" charset="0"/>
              <a:cs typeface="Arial" pitchFamily="34" charset="0"/>
            </a:rPr>
            <a:t>Au fost primite date suplimentare</a:t>
          </a:r>
          <a:endParaRPr lang="en-US" sz="900">
            <a:solidFill>
              <a:sysClr val="windowText" lastClr="000000"/>
            </a:solidFill>
            <a:latin typeface="Arial" pitchFamily="34" charset="0"/>
            <a:cs typeface="Arial" pitchFamily="34" charset="0"/>
          </a:endParaRPr>
        </a:p>
      </dgm:t>
    </dgm:pt>
    <dgm:pt modelId="{1D5C8104-02E5-4167-A934-DE3A8E7CA491}" type="parTrans" cxnId="{51BFDB2E-BF52-4001-8209-8B9790FA5FA7}">
      <dgm:prSet/>
      <dgm:spPr/>
      <dgm:t>
        <a:bodyPr/>
        <a:lstStyle/>
        <a:p>
          <a:endParaRPr lang="en-US"/>
        </a:p>
      </dgm:t>
    </dgm:pt>
    <dgm:pt modelId="{A13EF51A-FE6F-43EB-B8C6-4C94D92BAE70}" type="sibTrans" cxnId="{51BFDB2E-BF52-4001-8209-8B9790FA5FA7}">
      <dgm:prSet/>
      <dgm:spPr/>
      <dgm:t>
        <a:bodyPr/>
        <a:lstStyle/>
        <a:p>
          <a:endParaRPr lang="en-US"/>
        </a:p>
      </dgm:t>
    </dgm:pt>
    <dgm:pt modelId="{8D620FFE-8705-4C0A-9E93-37012BD9326A}">
      <dgm:prSet custT="1"/>
      <dgm:spPr/>
      <dgm:t>
        <a:bodyPr/>
        <a:lstStyle/>
        <a:p>
          <a:r>
            <a:rPr lang="ro-RO" sz="900">
              <a:solidFill>
                <a:sysClr val="windowText" lastClr="000000"/>
              </a:solidFill>
              <a:latin typeface="Arial" pitchFamily="34" charset="0"/>
              <a:cs typeface="Arial" pitchFamily="34" charset="0"/>
            </a:rPr>
            <a:t>Prognoza creșterii traficului de pasageri și marfă</a:t>
          </a:r>
          <a:endParaRPr lang="en-US" sz="900">
            <a:solidFill>
              <a:sysClr val="windowText" lastClr="000000"/>
            </a:solidFill>
            <a:latin typeface="Arial" pitchFamily="34" charset="0"/>
            <a:cs typeface="Arial" pitchFamily="34" charset="0"/>
          </a:endParaRPr>
        </a:p>
      </dgm:t>
    </dgm:pt>
    <dgm:pt modelId="{AA7528D0-4FE2-4F9A-B606-1BC7B883C6BF}" type="sibTrans" cxnId="{06F31733-C97C-4452-9B91-029824FEF100}">
      <dgm:prSet/>
      <dgm:spPr/>
      <dgm:t>
        <a:bodyPr/>
        <a:lstStyle/>
        <a:p>
          <a:endParaRPr lang="en-US"/>
        </a:p>
      </dgm:t>
    </dgm:pt>
    <dgm:pt modelId="{DAE1504F-8CC4-429D-8BFF-5091768C4D8A}" type="parTrans" cxnId="{06F31733-C97C-4452-9B91-029824FEF100}">
      <dgm:prSet/>
      <dgm:spPr/>
      <dgm:t>
        <a:bodyPr/>
        <a:lstStyle/>
        <a:p>
          <a:endParaRPr lang="en-US"/>
        </a:p>
      </dgm:t>
    </dgm:pt>
    <dgm:pt modelId="{360295F7-211B-43A1-A7B1-88FCFAA96D94}" type="pres">
      <dgm:prSet presAssocID="{9A5E1908-8373-4466-B117-41E59216AFBA}" presName="Name0" presStyleCnt="0">
        <dgm:presLayoutVars>
          <dgm:dir/>
          <dgm:resizeHandles val="exact"/>
        </dgm:presLayoutVars>
      </dgm:prSet>
      <dgm:spPr/>
      <dgm:t>
        <a:bodyPr/>
        <a:lstStyle/>
        <a:p>
          <a:endParaRPr lang="en-US"/>
        </a:p>
      </dgm:t>
    </dgm:pt>
    <dgm:pt modelId="{70AD5658-E23D-47E8-84C9-67881129F2D0}" type="pres">
      <dgm:prSet presAssocID="{FBEA10D8-FA1C-41D5-BB3A-9D1186BE37D7}" presName="node" presStyleLbl="node1" presStyleIdx="0" presStyleCnt="4" custLinFactNeighborX="-1358" custLinFactNeighborY="113">
        <dgm:presLayoutVars>
          <dgm:bulletEnabled val="1"/>
        </dgm:presLayoutVars>
      </dgm:prSet>
      <dgm:spPr/>
      <dgm:t>
        <a:bodyPr/>
        <a:lstStyle/>
        <a:p>
          <a:endParaRPr lang="en-US"/>
        </a:p>
      </dgm:t>
    </dgm:pt>
    <dgm:pt modelId="{FA54B8C3-B6DE-4CF8-BB96-E3E455BADD80}" type="pres">
      <dgm:prSet presAssocID="{14AE5926-9209-42C4-B982-0CB391D659F6}" presName="sibTrans" presStyleCnt="0"/>
      <dgm:spPr/>
    </dgm:pt>
    <dgm:pt modelId="{C42D726C-D9A3-42B1-871B-B05E3C6BB7F8}" type="pres">
      <dgm:prSet presAssocID="{6CF9C4AD-4870-423B-8DEE-194EE0F36E32}" presName="node" presStyleLbl="node1" presStyleIdx="1" presStyleCnt="4">
        <dgm:presLayoutVars>
          <dgm:bulletEnabled val="1"/>
        </dgm:presLayoutVars>
      </dgm:prSet>
      <dgm:spPr/>
      <dgm:t>
        <a:bodyPr/>
        <a:lstStyle/>
        <a:p>
          <a:endParaRPr lang="en-US"/>
        </a:p>
      </dgm:t>
    </dgm:pt>
    <dgm:pt modelId="{FA9C0D99-F719-4943-BF35-6DD0646E2787}" type="pres">
      <dgm:prSet presAssocID="{7BD5D972-3AFA-440A-A1BA-267E2DEA0E83}" presName="sibTrans" presStyleCnt="0"/>
      <dgm:spPr/>
    </dgm:pt>
    <dgm:pt modelId="{2E471383-57AD-4E7E-8972-C0717D800BE6}" type="pres">
      <dgm:prSet presAssocID="{A4A86E09-2B85-4B6B-80A5-C6C37514FF9B}" presName="node" presStyleLbl="node1" presStyleIdx="2" presStyleCnt="4">
        <dgm:presLayoutVars>
          <dgm:bulletEnabled val="1"/>
        </dgm:presLayoutVars>
      </dgm:prSet>
      <dgm:spPr/>
      <dgm:t>
        <a:bodyPr/>
        <a:lstStyle/>
        <a:p>
          <a:endParaRPr lang="en-US"/>
        </a:p>
      </dgm:t>
    </dgm:pt>
    <dgm:pt modelId="{FEB7CA70-DCB8-4FA9-98F0-280BC9A5A98F}" type="pres">
      <dgm:prSet presAssocID="{66683E5A-E351-443B-ACC0-AAF69177D742}" presName="sibTrans" presStyleCnt="0"/>
      <dgm:spPr/>
    </dgm:pt>
    <dgm:pt modelId="{09D7B035-1145-49E4-8430-9CD557723CD4}" type="pres">
      <dgm:prSet presAssocID="{5798FAFF-381F-4A35-9224-094C96684728}" presName="node" presStyleLbl="node1" presStyleIdx="3" presStyleCnt="4">
        <dgm:presLayoutVars>
          <dgm:bulletEnabled val="1"/>
        </dgm:presLayoutVars>
      </dgm:prSet>
      <dgm:spPr/>
      <dgm:t>
        <a:bodyPr/>
        <a:lstStyle/>
        <a:p>
          <a:endParaRPr lang="en-US"/>
        </a:p>
      </dgm:t>
    </dgm:pt>
  </dgm:ptLst>
  <dgm:cxnLst>
    <dgm:cxn modelId="{6F80AED0-FBEA-4218-984A-D99A29C64925}" type="presOf" srcId="{87357B8C-E38E-4E07-BB59-E3BEF65BCE2F}" destId="{70AD5658-E23D-47E8-84C9-67881129F2D0}" srcOrd="0" destOrd="1" presId="urn:microsoft.com/office/officeart/2005/8/layout/hList6"/>
    <dgm:cxn modelId="{E3844A3D-2C12-4F02-A118-F331744AF89E}" srcId="{FBEA10D8-FA1C-41D5-BB3A-9D1186BE37D7}" destId="{1FE80004-2909-44DC-93BC-94D400A295AE}" srcOrd="1" destOrd="0" parTransId="{96A6F764-25D9-44E8-AB07-11A883F81852}" sibTransId="{420B3854-9F60-4CC2-B819-BCE3E85A3FBB}"/>
    <dgm:cxn modelId="{287E987A-47DC-435B-8683-32BD7424A670}" srcId="{A4A86E09-2B85-4B6B-80A5-C6C37514FF9B}" destId="{B8BC2853-9BC0-4B34-8F7E-45CCD3E320F7}" srcOrd="0" destOrd="0" parTransId="{DCEE9605-722D-40E0-AAD2-F7BCD77F2B83}" sibTransId="{004184E8-A58A-4A4A-95BB-F0653D1C1F97}"/>
    <dgm:cxn modelId="{6F154AB5-31E3-416A-B4A2-FD8FB305CB3D}" type="presOf" srcId="{E5E46330-1C9A-4D0D-8D1A-916B91909DE7}" destId="{70AD5658-E23D-47E8-84C9-67881129F2D0}" srcOrd="0" destOrd="3" presId="urn:microsoft.com/office/officeart/2005/8/layout/hList6"/>
    <dgm:cxn modelId="{3FFB894E-7B3A-4FF5-9A09-B1B00E6CAE5F}" type="presOf" srcId="{B8BC2853-9BC0-4B34-8F7E-45CCD3E320F7}" destId="{2E471383-57AD-4E7E-8972-C0717D800BE6}" srcOrd="0" destOrd="1" presId="urn:microsoft.com/office/officeart/2005/8/layout/hList6"/>
    <dgm:cxn modelId="{D45C7035-C6A6-4A4D-B217-489E2F0EDE7C}" type="presOf" srcId="{DA765A83-8627-44FD-B747-906CD9D9250A}" destId="{C42D726C-D9A3-42B1-871B-B05E3C6BB7F8}" srcOrd="0" destOrd="4" presId="urn:microsoft.com/office/officeart/2005/8/layout/hList6"/>
    <dgm:cxn modelId="{F530D201-7239-45F7-918A-92F4350D68B5}" type="presOf" srcId="{A4A86E09-2B85-4B6B-80A5-C6C37514FF9B}" destId="{2E471383-57AD-4E7E-8972-C0717D800BE6}" srcOrd="0" destOrd="0" presId="urn:microsoft.com/office/officeart/2005/8/layout/hList6"/>
    <dgm:cxn modelId="{C88FB290-6AC0-4BE9-8154-4C8B06E3C12C}" srcId="{FBEA10D8-FA1C-41D5-BB3A-9D1186BE37D7}" destId="{E5E46330-1C9A-4D0D-8D1A-916B91909DE7}" srcOrd="2" destOrd="0" parTransId="{54B66047-4402-435A-BDB5-A90AE1EF5CD1}" sibTransId="{B96CB137-9083-44EE-A1C2-38C4AB9686BD}"/>
    <dgm:cxn modelId="{73A478D3-243C-4A77-9554-AA74735EB32F}" type="presOf" srcId="{FBEA10D8-FA1C-41D5-BB3A-9D1186BE37D7}" destId="{70AD5658-E23D-47E8-84C9-67881129F2D0}" srcOrd="0" destOrd="0" presId="urn:microsoft.com/office/officeart/2005/8/layout/hList6"/>
    <dgm:cxn modelId="{FFEC208A-BDB6-4C7E-88E2-F2FAE4F8F979}" srcId="{9A5E1908-8373-4466-B117-41E59216AFBA}" destId="{5798FAFF-381F-4A35-9224-094C96684728}" srcOrd="3" destOrd="0" parTransId="{AF86487C-04BB-4CC6-B913-F46038B6D6B4}" sibTransId="{3D60A723-4C2A-4AEE-A04D-B983356F0DD1}"/>
    <dgm:cxn modelId="{13A42CF1-C3F5-4515-B93E-75232A746412}" type="presOf" srcId="{3AE8D735-432A-4FAF-9909-9A2EF386C150}" destId="{C42D726C-D9A3-42B1-871B-B05E3C6BB7F8}" srcOrd="0" destOrd="3" presId="urn:microsoft.com/office/officeart/2005/8/layout/hList6"/>
    <dgm:cxn modelId="{7B0D4C1A-1D7F-42A6-8214-27C224832E8A}" type="presOf" srcId="{8D620FFE-8705-4C0A-9E93-37012BD9326A}" destId="{C42D726C-D9A3-42B1-871B-B05E3C6BB7F8}" srcOrd="0" destOrd="1" presId="urn:microsoft.com/office/officeart/2005/8/layout/hList6"/>
    <dgm:cxn modelId="{97164241-08BF-4CAC-9404-67D2CF849944}" type="presOf" srcId="{A0240D75-4B36-4377-982C-AD499163C3FC}" destId="{70AD5658-E23D-47E8-84C9-67881129F2D0}" srcOrd="0" destOrd="4" presId="urn:microsoft.com/office/officeart/2005/8/layout/hList6"/>
    <dgm:cxn modelId="{6C2EF317-F891-4581-A344-788DE0D945E1}" srcId="{6CF9C4AD-4870-423B-8DEE-194EE0F36E32}" destId="{492A5928-A710-4AFB-821C-131B3B0DFD28}" srcOrd="1" destOrd="0" parTransId="{A89134C3-2BB7-4FB5-B9A8-819A6A468796}" sibTransId="{24A315AE-7EA1-4367-8512-9C46FFAC1F7F}"/>
    <dgm:cxn modelId="{E240D08A-BB69-4D88-8089-CC6C1ED4E24C}" type="presOf" srcId="{1FE80004-2909-44DC-93BC-94D400A295AE}" destId="{70AD5658-E23D-47E8-84C9-67881129F2D0}" srcOrd="0" destOrd="2" presId="urn:microsoft.com/office/officeart/2005/8/layout/hList6"/>
    <dgm:cxn modelId="{4D24BB06-3D70-4FF9-9D0F-AF901A611A04}" srcId="{6CF9C4AD-4870-423B-8DEE-194EE0F36E32}" destId="{3AE8D735-432A-4FAF-9909-9A2EF386C150}" srcOrd="2" destOrd="0" parTransId="{CC902C9D-3626-46F1-A843-05B180AB27FA}" sibTransId="{28B0C369-EB60-4C88-99E2-3C212B793F1E}"/>
    <dgm:cxn modelId="{42F182BE-B008-4FF1-A3CF-48A53C118EC2}" type="presOf" srcId="{6B9C9686-E531-4E8D-A606-EA58AA124A69}" destId="{70AD5658-E23D-47E8-84C9-67881129F2D0}" srcOrd="0" destOrd="5" presId="urn:microsoft.com/office/officeart/2005/8/layout/hList6"/>
    <dgm:cxn modelId="{CCD42E7E-24CD-4194-AFC5-BD34EA19DF02}" srcId="{9A5E1908-8373-4466-B117-41E59216AFBA}" destId="{FBEA10D8-FA1C-41D5-BB3A-9D1186BE37D7}" srcOrd="0" destOrd="0" parTransId="{FF9459CC-FAC5-4A1A-B89C-0AE580BFFB9D}" sibTransId="{14AE5926-9209-42C4-B982-0CB391D659F6}"/>
    <dgm:cxn modelId="{51BFDB2E-BF52-4001-8209-8B9790FA5FA7}" srcId="{A4A86E09-2B85-4B6B-80A5-C6C37514FF9B}" destId="{002EF107-3CB8-47A6-9284-256C9F1F60C8}" srcOrd="1" destOrd="0" parTransId="{1D5C8104-02E5-4167-A934-DE3A8E7CA491}" sibTransId="{A13EF51A-FE6F-43EB-B8C6-4C94D92BAE70}"/>
    <dgm:cxn modelId="{06F31733-C97C-4452-9B91-029824FEF100}" srcId="{6CF9C4AD-4870-423B-8DEE-194EE0F36E32}" destId="{8D620FFE-8705-4C0A-9E93-37012BD9326A}" srcOrd="0" destOrd="0" parTransId="{DAE1504F-8CC4-429D-8BFF-5091768C4D8A}" sibTransId="{AA7528D0-4FE2-4F9A-B606-1BC7B883C6BF}"/>
    <dgm:cxn modelId="{7ED12CCA-0698-43DB-811F-1E695AFFD9F3}" srcId="{9A5E1908-8373-4466-B117-41E59216AFBA}" destId="{A4A86E09-2B85-4B6B-80A5-C6C37514FF9B}" srcOrd="2" destOrd="0" parTransId="{C64D156B-ACA3-44F5-BD7A-0EE60DCA09C0}" sibTransId="{66683E5A-E351-443B-ACC0-AAF69177D742}"/>
    <dgm:cxn modelId="{1D176F5B-A617-475E-A4F1-0340FE8A9F0F}" srcId="{FBEA10D8-FA1C-41D5-BB3A-9D1186BE37D7}" destId="{A0240D75-4B36-4377-982C-AD499163C3FC}" srcOrd="3" destOrd="0" parTransId="{C3D35B43-CE4F-424D-8A08-75E31B4E2244}" sibTransId="{F7894649-DBD1-48D8-A7FF-5D5AC9B6AC09}"/>
    <dgm:cxn modelId="{2FBAAF8E-C78E-4141-B50F-B52B9E64EEE3}" type="presOf" srcId="{002EF107-3CB8-47A6-9284-256C9F1F60C8}" destId="{2E471383-57AD-4E7E-8972-C0717D800BE6}" srcOrd="0" destOrd="2" presId="urn:microsoft.com/office/officeart/2005/8/layout/hList6"/>
    <dgm:cxn modelId="{D3A37EA0-C3A7-4F1B-B5A6-6B4C78E45FDA}" srcId="{6CF9C4AD-4870-423B-8DEE-194EE0F36E32}" destId="{DA765A83-8627-44FD-B747-906CD9D9250A}" srcOrd="3" destOrd="0" parTransId="{E1AEED06-D9CF-4EF6-ACE5-A786985E91DE}" sibTransId="{B4F2E502-D6E3-4DD6-86B5-E77437AE86FD}"/>
    <dgm:cxn modelId="{BC7248C1-7874-444E-8309-92D4D85DA36D}" type="presOf" srcId="{492A5928-A710-4AFB-821C-131B3B0DFD28}" destId="{C42D726C-D9A3-42B1-871B-B05E3C6BB7F8}" srcOrd="0" destOrd="2" presId="urn:microsoft.com/office/officeart/2005/8/layout/hList6"/>
    <dgm:cxn modelId="{D3E217B0-0CB6-4C6B-951A-F9DE4A60343E}" srcId="{FBEA10D8-FA1C-41D5-BB3A-9D1186BE37D7}" destId="{87357B8C-E38E-4E07-BB59-E3BEF65BCE2F}" srcOrd="0" destOrd="0" parTransId="{939F12CA-6C50-410A-9F60-555B3FE3DD3C}" sibTransId="{51196A15-6B9B-4081-9E59-5B2D94446FFA}"/>
    <dgm:cxn modelId="{0D71F836-1106-4870-84AB-EA2EBA0ADBE1}" type="presOf" srcId="{6CF9C4AD-4870-423B-8DEE-194EE0F36E32}" destId="{C42D726C-D9A3-42B1-871B-B05E3C6BB7F8}" srcOrd="0" destOrd="0" presId="urn:microsoft.com/office/officeart/2005/8/layout/hList6"/>
    <dgm:cxn modelId="{D405D16E-B448-45E8-BD87-1F3E365B233D}" type="presOf" srcId="{9A5E1908-8373-4466-B117-41E59216AFBA}" destId="{360295F7-211B-43A1-A7B1-88FCFAA96D94}" srcOrd="0" destOrd="0" presId="urn:microsoft.com/office/officeart/2005/8/layout/hList6"/>
    <dgm:cxn modelId="{9A5285DA-61FF-4779-A578-C0DD9D0DE9DC}" srcId="{9A5E1908-8373-4466-B117-41E59216AFBA}" destId="{6CF9C4AD-4870-423B-8DEE-194EE0F36E32}" srcOrd="1" destOrd="0" parTransId="{13701E63-8E01-4724-B448-B36968D6B5D4}" sibTransId="{7BD5D972-3AFA-440A-A1BA-267E2DEA0E83}"/>
    <dgm:cxn modelId="{227D7078-C60C-43D2-93D3-0EF60FCFCD16}" srcId="{FBEA10D8-FA1C-41D5-BB3A-9D1186BE37D7}" destId="{6B9C9686-E531-4E8D-A606-EA58AA124A69}" srcOrd="4" destOrd="0" parTransId="{F4882FF0-8629-4D7C-9D5E-9F01EDE9C712}" sibTransId="{6AC350C9-FBFD-44C9-B157-49A2CD1A7494}"/>
    <dgm:cxn modelId="{D339C683-8165-4862-A106-C899A07170A4}" type="presOf" srcId="{5798FAFF-381F-4A35-9224-094C96684728}" destId="{09D7B035-1145-49E4-8430-9CD557723CD4}" srcOrd="0" destOrd="0" presId="urn:microsoft.com/office/officeart/2005/8/layout/hList6"/>
    <dgm:cxn modelId="{4E420F53-3C28-49D7-A637-5E7EA6893783}" type="presParOf" srcId="{360295F7-211B-43A1-A7B1-88FCFAA96D94}" destId="{70AD5658-E23D-47E8-84C9-67881129F2D0}" srcOrd="0" destOrd="0" presId="urn:microsoft.com/office/officeart/2005/8/layout/hList6"/>
    <dgm:cxn modelId="{7C5EE8EB-0AF6-4A6E-BD0D-7B1AD2E59C1E}" type="presParOf" srcId="{360295F7-211B-43A1-A7B1-88FCFAA96D94}" destId="{FA54B8C3-B6DE-4CF8-BB96-E3E455BADD80}" srcOrd="1" destOrd="0" presId="urn:microsoft.com/office/officeart/2005/8/layout/hList6"/>
    <dgm:cxn modelId="{660C4C87-B6B3-46AE-BA88-A85537D3C1C0}" type="presParOf" srcId="{360295F7-211B-43A1-A7B1-88FCFAA96D94}" destId="{C42D726C-D9A3-42B1-871B-B05E3C6BB7F8}" srcOrd="2" destOrd="0" presId="urn:microsoft.com/office/officeart/2005/8/layout/hList6"/>
    <dgm:cxn modelId="{0CDD1D54-CB19-43F5-943E-C6CA5854241E}" type="presParOf" srcId="{360295F7-211B-43A1-A7B1-88FCFAA96D94}" destId="{FA9C0D99-F719-4943-BF35-6DD0646E2787}" srcOrd="3" destOrd="0" presId="urn:microsoft.com/office/officeart/2005/8/layout/hList6"/>
    <dgm:cxn modelId="{2DE222FA-6E59-458A-95A4-94508FD0C90D}" type="presParOf" srcId="{360295F7-211B-43A1-A7B1-88FCFAA96D94}" destId="{2E471383-57AD-4E7E-8972-C0717D800BE6}" srcOrd="4" destOrd="0" presId="urn:microsoft.com/office/officeart/2005/8/layout/hList6"/>
    <dgm:cxn modelId="{1568461D-07DE-4490-9692-3D53332F9013}" type="presParOf" srcId="{360295F7-211B-43A1-A7B1-88FCFAA96D94}" destId="{FEB7CA70-DCB8-4FA9-98F0-280BC9A5A98F}" srcOrd="5" destOrd="0" presId="urn:microsoft.com/office/officeart/2005/8/layout/hList6"/>
    <dgm:cxn modelId="{5F1B2F31-D7A7-469E-BE8F-B545686965D1}" type="presParOf" srcId="{360295F7-211B-43A1-A7B1-88FCFAA96D94}" destId="{09D7B035-1145-49E4-8430-9CD557723CD4}" srcOrd="6" destOrd="0" presId="urn:microsoft.com/office/officeart/2005/8/layout/hList6"/>
  </dgm:cxnLst>
  <dgm:bg>
    <a:solidFill>
      <a:schemeClr val="bg1"/>
    </a:solidFill>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1E8BBF5-2224-4A5A-B602-34C2CDFE09B8}" type="doc">
      <dgm:prSet loTypeId="urn:microsoft.com/office/officeart/2005/8/layout/hierarchy1" loCatId="hierarchy" qsTypeId="urn:microsoft.com/office/officeart/2005/8/quickstyle/3d4" qsCatId="3D" csTypeId="urn:microsoft.com/office/officeart/2005/8/colors/accent1_2" csCatId="accent1" phldr="1"/>
      <dgm:spPr/>
      <dgm:t>
        <a:bodyPr/>
        <a:lstStyle/>
        <a:p>
          <a:endParaRPr lang="en-US"/>
        </a:p>
      </dgm:t>
    </dgm:pt>
    <dgm:pt modelId="{BFF828A6-FF3B-4983-9AA6-44D9C05E5211}">
      <dgm:prSet phldrT="[Text]" custT="1"/>
      <dgm:spPr>
        <a:solidFill>
          <a:srgbClr val="CFCBC7">
            <a:alpha val="89804"/>
          </a:srgbClr>
        </a:solidFill>
        <a:ln>
          <a:solidFill>
            <a:srgbClr val="988F86"/>
          </a:solidFill>
        </a:ln>
      </dgm:spPr>
      <dgm:t>
        <a:bodyPr/>
        <a:lstStyle/>
        <a:p>
          <a:r>
            <a:rPr lang="en-US" sz="900" b="1">
              <a:latin typeface="Arial" pitchFamily="34" charset="0"/>
              <a:cs typeface="Arial" pitchFamily="34" charset="0"/>
            </a:rPr>
            <a:t>1. </a:t>
          </a:r>
          <a:r>
            <a:rPr lang="ro-RO" sz="900" b="1">
              <a:latin typeface="Arial" pitchFamily="34" charset="0"/>
              <a:cs typeface="Arial" pitchFamily="34" charset="0"/>
            </a:rPr>
            <a:t>Analiza contextului </a:t>
          </a:r>
          <a:r>
            <a:rPr lang="en-US" sz="900" b="1">
              <a:latin typeface="Arial" pitchFamily="34" charset="0"/>
              <a:cs typeface="Arial" pitchFamily="34" charset="0"/>
            </a:rPr>
            <a:t>&amp; </a:t>
          </a:r>
          <a:r>
            <a:rPr lang="ro-RO" sz="900" b="1">
              <a:latin typeface="Arial" pitchFamily="34" charset="0"/>
              <a:cs typeface="Arial" pitchFamily="34" charset="0"/>
            </a:rPr>
            <a:t>Obiectivele proiectului</a:t>
          </a:r>
          <a:endParaRPr lang="en-US" sz="900" b="1">
            <a:latin typeface="Arial" pitchFamily="34" charset="0"/>
            <a:cs typeface="Arial" pitchFamily="34" charset="0"/>
          </a:endParaRPr>
        </a:p>
      </dgm:t>
    </dgm:pt>
    <dgm:pt modelId="{2CA9F8D4-9D22-41BF-B63B-A70D6D6DA05D}" type="parTrans" cxnId="{4536AA1A-60A1-4980-B28C-B0918A0BD6F3}">
      <dgm:prSet/>
      <dgm:spPr/>
      <dgm:t>
        <a:bodyPr/>
        <a:lstStyle/>
        <a:p>
          <a:endParaRPr lang="en-US" sz="900">
            <a:latin typeface="Arial" pitchFamily="34" charset="0"/>
            <a:cs typeface="Arial" pitchFamily="34" charset="0"/>
          </a:endParaRPr>
        </a:p>
      </dgm:t>
    </dgm:pt>
    <dgm:pt modelId="{5E948ABC-20A3-453C-80CF-981EDA9EF37D}" type="sibTrans" cxnId="{4536AA1A-60A1-4980-B28C-B0918A0BD6F3}">
      <dgm:prSet/>
      <dgm:spPr/>
      <dgm:t>
        <a:bodyPr/>
        <a:lstStyle/>
        <a:p>
          <a:endParaRPr lang="en-US" sz="900">
            <a:latin typeface="Arial" pitchFamily="34" charset="0"/>
            <a:cs typeface="Arial" pitchFamily="34" charset="0"/>
          </a:endParaRPr>
        </a:p>
      </dgm:t>
    </dgm:pt>
    <dgm:pt modelId="{92FFEB76-1DA9-4890-88A8-13F3604E35D7}">
      <dgm:prSet phldrT="[Text]" custT="1"/>
      <dgm:spPr>
        <a:solidFill>
          <a:srgbClr val="CFCBC7">
            <a:alpha val="89804"/>
          </a:srgbClr>
        </a:solidFill>
        <a:ln>
          <a:solidFill>
            <a:srgbClr val="988F86"/>
          </a:solidFill>
        </a:ln>
      </dgm:spPr>
      <dgm:t>
        <a:bodyPr/>
        <a:lstStyle/>
        <a:p>
          <a:r>
            <a:rPr lang="en-US" sz="900" b="1">
              <a:latin typeface="Arial" pitchFamily="34" charset="0"/>
              <a:cs typeface="Arial" pitchFamily="34" charset="0"/>
            </a:rPr>
            <a:t>2. </a:t>
          </a:r>
          <a:r>
            <a:rPr lang="ro-RO" sz="900" b="1">
              <a:latin typeface="Arial" pitchFamily="34" charset="0"/>
              <a:cs typeface="Arial" pitchFamily="34" charset="0"/>
            </a:rPr>
            <a:t>Identificarea proiectului</a:t>
          </a:r>
          <a:endParaRPr lang="en-US" sz="900" b="1">
            <a:latin typeface="Arial" pitchFamily="34" charset="0"/>
            <a:cs typeface="Arial" pitchFamily="34" charset="0"/>
          </a:endParaRPr>
        </a:p>
      </dgm:t>
    </dgm:pt>
    <dgm:pt modelId="{B3BF1FD6-B4A3-4F87-BED8-2A4BEA572E0F}" type="parTrans" cxnId="{F5CBF4B4-A319-4B08-B75F-BDC0CC6A311E}">
      <dgm:prSet/>
      <dgm:spPr>
        <a:ln>
          <a:solidFill>
            <a:srgbClr val="988F86"/>
          </a:solidFill>
        </a:ln>
      </dgm:spPr>
      <dgm:t>
        <a:bodyPr/>
        <a:lstStyle/>
        <a:p>
          <a:endParaRPr lang="en-US" sz="900">
            <a:latin typeface="Arial" pitchFamily="34" charset="0"/>
            <a:cs typeface="Arial" pitchFamily="34" charset="0"/>
          </a:endParaRPr>
        </a:p>
      </dgm:t>
    </dgm:pt>
    <dgm:pt modelId="{FC91EDF3-F8CF-401F-A42C-6D8B3489EE43}" type="sibTrans" cxnId="{F5CBF4B4-A319-4B08-B75F-BDC0CC6A311E}">
      <dgm:prSet/>
      <dgm:spPr/>
      <dgm:t>
        <a:bodyPr/>
        <a:lstStyle/>
        <a:p>
          <a:endParaRPr lang="en-US" sz="900">
            <a:latin typeface="Arial" pitchFamily="34" charset="0"/>
            <a:cs typeface="Arial" pitchFamily="34" charset="0"/>
          </a:endParaRPr>
        </a:p>
      </dgm:t>
    </dgm:pt>
    <dgm:pt modelId="{692613B9-E0B8-4A5A-9631-274BE4039D9B}">
      <dgm:prSet phldrT="[Text]" custT="1"/>
      <dgm:spPr>
        <a:solidFill>
          <a:srgbClr val="CFCBC7">
            <a:alpha val="89804"/>
          </a:srgbClr>
        </a:solidFill>
        <a:ln>
          <a:solidFill>
            <a:srgbClr val="988F86"/>
          </a:solidFill>
        </a:ln>
      </dgm:spPr>
      <dgm:t>
        <a:bodyPr/>
        <a:lstStyle/>
        <a:p>
          <a:r>
            <a:rPr lang="en-US" sz="900" b="1">
              <a:latin typeface="Arial" pitchFamily="34" charset="0"/>
              <a:cs typeface="Arial" pitchFamily="34" charset="0"/>
            </a:rPr>
            <a:t>3. </a:t>
          </a:r>
          <a:r>
            <a:rPr lang="ro-RO" sz="900" b="1">
              <a:latin typeface="Arial" pitchFamily="34" charset="0"/>
              <a:cs typeface="Arial" pitchFamily="34" charset="0"/>
            </a:rPr>
            <a:t>Fezabilitate &amp; Analiza opțiunilor</a:t>
          </a:r>
          <a:endParaRPr lang="en-US" sz="900" b="1">
            <a:latin typeface="Arial" pitchFamily="34" charset="0"/>
            <a:cs typeface="Arial" pitchFamily="34" charset="0"/>
          </a:endParaRPr>
        </a:p>
      </dgm:t>
    </dgm:pt>
    <dgm:pt modelId="{46BABC93-190B-4189-B255-4CCA0E31A516}" type="parTrans" cxnId="{35FF0123-ED51-4FD2-BE34-B5057338222D}">
      <dgm:prSet/>
      <dgm:spPr>
        <a:ln>
          <a:solidFill>
            <a:srgbClr val="988F86"/>
          </a:solidFill>
        </a:ln>
      </dgm:spPr>
      <dgm:t>
        <a:bodyPr/>
        <a:lstStyle/>
        <a:p>
          <a:endParaRPr lang="en-US" sz="900">
            <a:latin typeface="Arial" pitchFamily="34" charset="0"/>
            <a:cs typeface="Arial" pitchFamily="34" charset="0"/>
          </a:endParaRPr>
        </a:p>
      </dgm:t>
    </dgm:pt>
    <dgm:pt modelId="{C923B97A-0B96-46E4-ACD6-C8156E7E9A73}" type="sibTrans" cxnId="{35FF0123-ED51-4FD2-BE34-B5057338222D}">
      <dgm:prSet/>
      <dgm:spPr/>
      <dgm:t>
        <a:bodyPr/>
        <a:lstStyle/>
        <a:p>
          <a:endParaRPr lang="en-US" sz="900">
            <a:latin typeface="Arial" pitchFamily="34" charset="0"/>
            <a:cs typeface="Arial" pitchFamily="34" charset="0"/>
          </a:endParaRPr>
        </a:p>
      </dgm:t>
    </dgm:pt>
    <dgm:pt modelId="{981C9CFA-2F6F-4C60-91E7-0A417436119C}">
      <dgm:prSet phldrT="[Text]" custT="1"/>
      <dgm:spPr>
        <a:solidFill>
          <a:srgbClr val="BDE5F1">
            <a:alpha val="90000"/>
          </a:srgbClr>
        </a:solidFill>
        <a:ln>
          <a:solidFill>
            <a:srgbClr val="63C1DF"/>
          </a:solidFill>
        </a:ln>
      </dgm:spPr>
      <dgm:t>
        <a:bodyPr/>
        <a:lstStyle/>
        <a:p>
          <a:pPr>
            <a:spcAft>
              <a:spcPts val="0"/>
            </a:spcAft>
          </a:pPr>
          <a:r>
            <a:rPr lang="en-US" sz="900" b="1">
              <a:latin typeface="Arial" pitchFamily="34" charset="0"/>
              <a:cs typeface="Arial" pitchFamily="34" charset="0"/>
            </a:rPr>
            <a:t>4. </a:t>
          </a:r>
          <a:r>
            <a:rPr lang="ro-RO" sz="900" b="1">
              <a:latin typeface="Arial" pitchFamily="34" charset="0"/>
              <a:cs typeface="Arial" pitchFamily="34" charset="0"/>
            </a:rPr>
            <a:t>Analiza financiară</a:t>
          </a:r>
          <a:endParaRPr lang="en-US" sz="900" b="1">
            <a:latin typeface="Arial" pitchFamily="34" charset="0"/>
            <a:cs typeface="Arial" pitchFamily="34" charset="0"/>
          </a:endParaRPr>
        </a:p>
        <a:p>
          <a:pPr>
            <a:spcAft>
              <a:spcPts val="0"/>
            </a:spcAft>
          </a:pPr>
          <a:r>
            <a:rPr lang="en-US" sz="900">
              <a:latin typeface="Arial" pitchFamily="34" charset="0"/>
              <a:cs typeface="Arial" pitchFamily="34" charset="0"/>
            </a:rPr>
            <a:t>- </a:t>
          </a:r>
          <a:r>
            <a:rPr lang="ro-RO" sz="900">
              <a:latin typeface="Arial" pitchFamily="34" charset="0"/>
              <a:cs typeface="Arial" pitchFamily="34" charset="0"/>
            </a:rPr>
            <a:t>Costuri de investiție</a:t>
          </a:r>
          <a:r>
            <a:rPr lang="en-US" sz="900">
              <a:latin typeface="Arial" pitchFamily="34" charset="0"/>
              <a:cs typeface="Arial" pitchFamily="34" charset="0"/>
            </a:rPr>
            <a:t>;</a:t>
          </a:r>
        </a:p>
        <a:p>
          <a:pPr>
            <a:spcAft>
              <a:spcPts val="0"/>
            </a:spcAft>
          </a:pPr>
          <a:r>
            <a:rPr lang="en-US" sz="900">
              <a:latin typeface="Arial" pitchFamily="34" charset="0"/>
              <a:cs typeface="Arial" pitchFamily="34" charset="0"/>
            </a:rPr>
            <a:t>-</a:t>
          </a:r>
          <a:r>
            <a:rPr lang="ro-RO" sz="900">
              <a:latin typeface="Arial" pitchFamily="34" charset="0"/>
              <a:cs typeface="Arial" pitchFamily="34" charset="0"/>
            </a:rPr>
            <a:t>Venituri și costuri operaționale</a:t>
          </a:r>
          <a:r>
            <a:rPr lang="en-US" sz="900">
              <a:latin typeface="Arial" pitchFamily="34" charset="0"/>
              <a:cs typeface="Arial" pitchFamily="34" charset="0"/>
            </a:rPr>
            <a:t>;</a:t>
          </a:r>
        </a:p>
        <a:p>
          <a:pPr>
            <a:spcAft>
              <a:spcPts val="0"/>
            </a:spcAft>
          </a:pPr>
          <a:r>
            <a:rPr lang="en-US" sz="900">
              <a:latin typeface="Arial" pitchFamily="34" charset="0"/>
              <a:cs typeface="Arial" pitchFamily="34" charset="0"/>
            </a:rPr>
            <a:t>- </a:t>
          </a:r>
          <a:r>
            <a:rPr lang="ro-RO" sz="900">
              <a:latin typeface="Arial" pitchFamily="34" charset="0"/>
              <a:cs typeface="Arial" pitchFamily="34" charset="0"/>
            </a:rPr>
            <a:t>Rata financiară a investiției</a:t>
          </a:r>
          <a:r>
            <a:rPr lang="en-US" sz="900">
              <a:latin typeface="Arial" pitchFamily="34" charset="0"/>
              <a:cs typeface="Arial" pitchFamily="34" charset="0"/>
            </a:rPr>
            <a:t>;</a:t>
          </a:r>
        </a:p>
        <a:p>
          <a:pPr>
            <a:spcAft>
              <a:spcPts val="0"/>
            </a:spcAft>
          </a:pPr>
          <a:r>
            <a:rPr lang="en-US" sz="900">
              <a:latin typeface="Arial" pitchFamily="34" charset="0"/>
              <a:cs typeface="Arial" pitchFamily="34" charset="0"/>
            </a:rPr>
            <a:t>- </a:t>
          </a:r>
          <a:r>
            <a:rPr lang="ro-RO" sz="900">
              <a:latin typeface="Arial" pitchFamily="34" charset="0"/>
              <a:cs typeface="Arial" pitchFamily="34" charset="0"/>
            </a:rPr>
            <a:t>Surse de finanțare</a:t>
          </a:r>
          <a:r>
            <a:rPr lang="en-US" sz="900">
              <a:latin typeface="Arial" pitchFamily="34" charset="0"/>
              <a:cs typeface="Arial" pitchFamily="34" charset="0"/>
            </a:rPr>
            <a:t>;</a:t>
          </a:r>
        </a:p>
        <a:p>
          <a:pPr>
            <a:spcAft>
              <a:spcPts val="0"/>
            </a:spcAft>
          </a:pPr>
          <a:r>
            <a:rPr lang="en-US" sz="900">
              <a:latin typeface="Arial" pitchFamily="34" charset="0"/>
              <a:cs typeface="Arial" pitchFamily="34" charset="0"/>
            </a:rPr>
            <a:t>-</a:t>
          </a:r>
          <a:r>
            <a:rPr lang="ro-RO" sz="900">
              <a:latin typeface="Arial" pitchFamily="34" charset="0"/>
              <a:cs typeface="Arial" pitchFamily="34" charset="0"/>
            </a:rPr>
            <a:t>Sustenabilitate financiară</a:t>
          </a:r>
          <a:r>
            <a:rPr lang="en-US" sz="900">
              <a:latin typeface="Arial" pitchFamily="34" charset="0"/>
              <a:cs typeface="Arial" pitchFamily="34" charset="0"/>
            </a:rPr>
            <a:t>;</a:t>
          </a:r>
        </a:p>
        <a:p>
          <a:pPr>
            <a:spcAft>
              <a:spcPts val="0"/>
            </a:spcAft>
          </a:pPr>
          <a:r>
            <a:rPr lang="en-US" sz="900">
              <a:latin typeface="Arial" pitchFamily="34" charset="0"/>
              <a:cs typeface="Arial" pitchFamily="34" charset="0"/>
            </a:rPr>
            <a:t>-</a:t>
          </a:r>
          <a:r>
            <a:rPr lang="ro-RO" sz="900">
              <a:latin typeface="Arial" pitchFamily="34" charset="0"/>
              <a:cs typeface="Arial" pitchFamily="34" charset="0"/>
            </a:rPr>
            <a:t>Rentabilitatea financiară a capitalului</a:t>
          </a:r>
          <a:r>
            <a:rPr lang="en-US" sz="900">
              <a:latin typeface="Arial" pitchFamily="34" charset="0"/>
              <a:cs typeface="Arial" pitchFamily="34" charset="0"/>
            </a:rPr>
            <a:t>.</a:t>
          </a:r>
        </a:p>
      </dgm:t>
    </dgm:pt>
    <dgm:pt modelId="{087376D6-6CA2-42A2-8C55-A18A03D1B0B5}" type="parTrans" cxnId="{16B7750E-295A-4E5F-83C9-AFA7AFE7E5EC}">
      <dgm:prSet/>
      <dgm:spPr>
        <a:ln>
          <a:solidFill>
            <a:srgbClr val="988F86"/>
          </a:solidFill>
        </a:ln>
      </dgm:spPr>
      <dgm:t>
        <a:bodyPr/>
        <a:lstStyle/>
        <a:p>
          <a:endParaRPr lang="en-US" sz="900">
            <a:latin typeface="Arial" pitchFamily="34" charset="0"/>
            <a:cs typeface="Arial" pitchFamily="34" charset="0"/>
          </a:endParaRPr>
        </a:p>
      </dgm:t>
    </dgm:pt>
    <dgm:pt modelId="{D50FC00B-1FAC-4E81-B0DE-71800B8971CF}" type="sibTrans" cxnId="{16B7750E-295A-4E5F-83C9-AFA7AFE7E5EC}">
      <dgm:prSet/>
      <dgm:spPr/>
      <dgm:t>
        <a:bodyPr/>
        <a:lstStyle/>
        <a:p>
          <a:endParaRPr lang="en-US" sz="900">
            <a:latin typeface="Arial" pitchFamily="34" charset="0"/>
            <a:cs typeface="Arial" pitchFamily="34" charset="0"/>
          </a:endParaRPr>
        </a:p>
      </dgm:t>
    </dgm:pt>
    <dgm:pt modelId="{0E1EF817-9922-4F68-8296-988142906A78}">
      <dgm:prSet phldrT="[Text]" custT="1"/>
      <dgm:spPr>
        <a:solidFill>
          <a:srgbClr val="BDE5F1">
            <a:alpha val="89804"/>
          </a:srgbClr>
        </a:solidFill>
        <a:ln>
          <a:solidFill>
            <a:srgbClr val="63C1DF"/>
          </a:solidFill>
        </a:ln>
      </dgm:spPr>
      <dgm:t>
        <a:bodyPr/>
        <a:lstStyle/>
        <a:p>
          <a:r>
            <a:rPr lang="ro-RO" sz="900">
              <a:latin typeface="Arial" pitchFamily="34" charset="0"/>
              <a:cs typeface="Arial" pitchFamily="34" charset="0"/>
            </a:rPr>
            <a:t>Dacă</a:t>
          </a:r>
          <a:r>
            <a:rPr lang="en-US" sz="900">
              <a:latin typeface="Arial" pitchFamily="34" charset="0"/>
              <a:cs typeface="Arial" pitchFamily="34" charset="0"/>
            </a:rPr>
            <a:t> </a:t>
          </a:r>
          <a:r>
            <a:rPr lang="ro-RO" sz="900">
              <a:latin typeface="Arial" pitchFamily="34" charset="0"/>
              <a:cs typeface="Arial" pitchFamily="34" charset="0"/>
            </a:rPr>
            <a:t>VANF</a:t>
          </a:r>
          <a:r>
            <a:rPr lang="en-US" sz="900">
              <a:latin typeface="Arial" pitchFamily="34" charset="0"/>
              <a:cs typeface="Arial" pitchFamily="34" charset="0"/>
            </a:rPr>
            <a:t> &gt; 0</a:t>
          </a:r>
        </a:p>
      </dgm:t>
    </dgm:pt>
    <dgm:pt modelId="{07535519-73EF-4E92-B558-85FB5E17B0A4}" type="parTrans" cxnId="{AE902434-1BB8-47CB-885F-95804E9B227A}">
      <dgm:prSet/>
      <dgm:spPr>
        <a:ln>
          <a:solidFill>
            <a:srgbClr val="988F86"/>
          </a:solidFill>
        </a:ln>
      </dgm:spPr>
      <dgm:t>
        <a:bodyPr/>
        <a:lstStyle/>
        <a:p>
          <a:endParaRPr lang="en-US" sz="900">
            <a:latin typeface="Arial" pitchFamily="34" charset="0"/>
            <a:cs typeface="Arial" pitchFamily="34" charset="0"/>
          </a:endParaRPr>
        </a:p>
      </dgm:t>
    </dgm:pt>
    <dgm:pt modelId="{4D4BD713-D397-424C-AB2B-C3D4C0330241}" type="sibTrans" cxnId="{AE902434-1BB8-47CB-885F-95804E9B227A}">
      <dgm:prSet/>
      <dgm:spPr/>
      <dgm:t>
        <a:bodyPr/>
        <a:lstStyle/>
        <a:p>
          <a:endParaRPr lang="en-US" sz="900">
            <a:latin typeface="Arial" pitchFamily="34" charset="0"/>
            <a:cs typeface="Arial" pitchFamily="34" charset="0"/>
          </a:endParaRPr>
        </a:p>
      </dgm:t>
    </dgm:pt>
    <dgm:pt modelId="{CCB23740-6CA8-44D5-A54D-0787E9996D48}">
      <dgm:prSet phldrT="[Text]" custT="1"/>
      <dgm:spPr>
        <a:solidFill>
          <a:srgbClr val="BDE5F1">
            <a:alpha val="89804"/>
          </a:srgbClr>
        </a:solidFill>
        <a:ln>
          <a:solidFill>
            <a:srgbClr val="63C1DF"/>
          </a:solidFill>
        </a:ln>
      </dgm:spPr>
      <dgm:t>
        <a:bodyPr/>
        <a:lstStyle/>
        <a:p>
          <a:r>
            <a:rPr lang="ro-RO" sz="900">
              <a:latin typeface="Arial" pitchFamily="34" charset="0"/>
              <a:cs typeface="Arial" pitchFamily="34" charset="0"/>
            </a:rPr>
            <a:t>Dacă</a:t>
          </a:r>
          <a:r>
            <a:rPr lang="en-US" sz="900">
              <a:latin typeface="Arial" pitchFamily="34" charset="0"/>
              <a:cs typeface="Arial" pitchFamily="34" charset="0"/>
            </a:rPr>
            <a:t> </a:t>
          </a:r>
          <a:r>
            <a:rPr lang="ro-RO" sz="900">
              <a:latin typeface="Arial" pitchFamily="34" charset="0"/>
              <a:cs typeface="Arial" pitchFamily="34" charset="0"/>
            </a:rPr>
            <a:t>VANF</a:t>
          </a:r>
          <a:r>
            <a:rPr lang="en-US" sz="900">
              <a:latin typeface="Arial" pitchFamily="34" charset="0"/>
              <a:cs typeface="Arial" pitchFamily="34" charset="0"/>
            </a:rPr>
            <a:t>&lt;0</a:t>
          </a:r>
        </a:p>
      </dgm:t>
    </dgm:pt>
    <dgm:pt modelId="{133484D4-9348-4125-B090-94E26D51DFF9}" type="parTrans" cxnId="{B7044A9C-61F7-4869-82D4-7DDA3A287BED}">
      <dgm:prSet/>
      <dgm:spPr>
        <a:ln>
          <a:solidFill>
            <a:srgbClr val="988F86"/>
          </a:solidFill>
        </a:ln>
      </dgm:spPr>
      <dgm:t>
        <a:bodyPr/>
        <a:lstStyle/>
        <a:p>
          <a:endParaRPr lang="en-US" sz="900">
            <a:latin typeface="Arial" pitchFamily="34" charset="0"/>
            <a:cs typeface="Arial" pitchFamily="34" charset="0"/>
          </a:endParaRPr>
        </a:p>
      </dgm:t>
    </dgm:pt>
    <dgm:pt modelId="{8A1A82B9-F689-455C-8322-B7EB7D275B81}" type="sibTrans" cxnId="{B7044A9C-61F7-4869-82D4-7DDA3A287BED}">
      <dgm:prSet/>
      <dgm:spPr/>
      <dgm:t>
        <a:bodyPr/>
        <a:lstStyle/>
        <a:p>
          <a:endParaRPr lang="en-US" sz="900">
            <a:latin typeface="Arial" pitchFamily="34" charset="0"/>
            <a:cs typeface="Arial" pitchFamily="34" charset="0"/>
          </a:endParaRPr>
        </a:p>
      </dgm:t>
    </dgm:pt>
    <dgm:pt modelId="{51D2E35A-6A69-47C7-8FAD-F208C367618B}">
      <dgm:prSet phldrT="[Text]" custT="1"/>
      <dgm:spPr>
        <a:solidFill>
          <a:srgbClr val="BDE5F1">
            <a:alpha val="89804"/>
          </a:srgbClr>
        </a:solidFill>
        <a:ln>
          <a:solidFill>
            <a:srgbClr val="63C1DF"/>
          </a:solidFill>
        </a:ln>
      </dgm:spPr>
      <dgm:t>
        <a:bodyPr/>
        <a:lstStyle/>
        <a:p>
          <a:r>
            <a:rPr lang="ro-RO" sz="900" i="1">
              <a:latin typeface="Arial" pitchFamily="34" charset="0"/>
              <a:cs typeface="Arial" pitchFamily="34" charset="0"/>
            </a:rPr>
            <a:t>Proiectul nu necesită sprijin financiar de la UE</a:t>
          </a:r>
          <a:endParaRPr lang="en-US" sz="900" i="1">
            <a:latin typeface="Arial" pitchFamily="34" charset="0"/>
            <a:cs typeface="Arial" pitchFamily="34" charset="0"/>
          </a:endParaRPr>
        </a:p>
      </dgm:t>
    </dgm:pt>
    <dgm:pt modelId="{8B61CB54-2D16-4FAC-9340-B74ABB0F561C}" type="parTrans" cxnId="{CCEC279C-178E-4C2E-929B-B1C44785721B}">
      <dgm:prSet/>
      <dgm:spPr>
        <a:ln>
          <a:solidFill>
            <a:srgbClr val="988F86"/>
          </a:solidFill>
        </a:ln>
      </dgm:spPr>
      <dgm:t>
        <a:bodyPr/>
        <a:lstStyle/>
        <a:p>
          <a:endParaRPr lang="en-US" sz="900">
            <a:latin typeface="Arial" pitchFamily="34" charset="0"/>
            <a:cs typeface="Arial" pitchFamily="34" charset="0"/>
          </a:endParaRPr>
        </a:p>
      </dgm:t>
    </dgm:pt>
    <dgm:pt modelId="{1E0496EA-8A65-4330-B8EB-B52D5670B3C3}" type="sibTrans" cxnId="{CCEC279C-178E-4C2E-929B-B1C44785721B}">
      <dgm:prSet/>
      <dgm:spPr/>
      <dgm:t>
        <a:bodyPr/>
        <a:lstStyle/>
        <a:p>
          <a:endParaRPr lang="en-US" sz="900">
            <a:latin typeface="Arial" pitchFamily="34" charset="0"/>
            <a:cs typeface="Arial" pitchFamily="34" charset="0"/>
          </a:endParaRPr>
        </a:p>
      </dgm:t>
    </dgm:pt>
    <dgm:pt modelId="{B7DC88D7-4710-481D-9801-416ABECAE69D}">
      <dgm:prSet phldrT="[Text]" custT="1"/>
      <dgm:spPr>
        <a:solidFill>
          <a:srgbClr val="BDE5F1">
            <a:alpha val="89804"/>
          </a:srgbClr>
        </a:solidFill>
        <a:ln>
          <a:solidFill>
            <a:srgbClr val="63C1DF"/>
          </a:solidFill>
        </a:ln>
      </dgm:spPr>
      <dgm:t>
        <a:bodyPr/>
        <a:lstStyle/>
        <a:p>
          <a:pPr>
            <a:spcAft>
              <a:spcPts val="0"/>
            </a:spcAft>
          </a:pPr>
          <a:r>
            <a:rPr lang="ro-RO" sz="900" i="1">
              <a:latin typeface="Arial" pitchFamily="34" charset="0"/>
              <a:cs typeface="Arial" pitchFamily="34" charset="0"/>
            </a:rPr>
            <a:t>Proiectul necesită sprijin financiar de la UE</a:t>
          </a:r>
          <a:endParaRPr lang="en-US" sz="900" i="1">
            <a:latin typeface="Arial" pitchFamily="34" charset="0"/>
            <a:cs typeface="Arial" pitchFamily="34" charset="0"/>
          </a:endParaRPr>
        </a:p>
      </dgm:t>
    </dgm:pt>
    <dgm:pt modelId="{733022D7-2D18-440B-81D5-0CFCCEDD9338}" type="parTrans" cxnId="{11DECCBC-7D76-445A-A5C5-3B6B0BE4191C}">
      <dgm:prSet/>
      <dgm:spPr>
        <a:ln>
          <a:solidFill>
            <a:srgbClr val="988F86"/>
          </a:solidFill>
        </a:ln>
      </dgm:spPr>
      <dgm:t>
        <a:bodyPr/>
        <a:lstStyle/>
        <a:p>
          <a:endParaRPr lang="en-US" sz="900">
            <a:latin typeface="Arial" pitchFamily="34" charset="0"/>
            <a:cs typeface="Arial" pitchFamily="34" charset="0"/>
          </a:endParaRPr>
        </a:p>
      </dgm:t>
    </dgm:pt>
    <dgm:pt modelId="{1F561624-22E5-473B-A072-4EC8E7B73BE2}" type="sibTrans" cxnId="{11DECCBC-7D76-445A-A5C5-3B6B0BE4191C}">
      <dgm:prSet/>
      <dgm:spPr/>
      <dgm:t>
        <a:bodyPr/>
        <a:lstStyle/>
        <a:p>
          <a:endParaRPr lang="en-US" sz="900">
            <a:latin typeface="Arial" pitchFamily="34" charset="0"/>
            <a:cs typeface="Arial" pitchFamily="34" charset="0"/>
          </a:endParaRPr>
        </a:p>
      </dgm:t>
    </dgm:pt>
    <dgm:pt modelId="{7E1D7E6C-2C86-4558-8C56-C998BF55F98B}">
      <dgm:prSet phldrT="[Text]" custT="1"/>
      <dgm:spPr>
        <a:solidFill>
          <a:srgbClr val="D4F4B6">
            <a:alpha val="89804"/>
          </a:srgbClr>
        </a:solidFill>
        <a:ln>
          <a:solidFill>
            <a:srgbClr val="7DDC1E"/>
          </a:solidFill>
        </a:ln>
      </dgm:spPr>
      <dgm:t>
        <a:bodyPr/>
        <a:lstStyle/>
        <a:p>
          <a:pPr algn="ctr">
            <a:spcAft>
              <a:spcPts val="600"/>
            </a:spcAft>
          </a:pPr>
          <a:r>
            <a:rPr lang="en-US" sz="800" b="1">
              <a:latin typeface="Arial" pitchFamily="34" charset="0"/>
              <a:cs typeface="Arial" pitchFamily="34" charset="0"/>
            </a:rPr>
            <a:t>5. </a:t>
          </a:r>
          <a:r>
            <a:rPr lang="ro-RO" sz="800" b="1">
              <a:latin typeface="Arial" pitchFamily="34" charset="0"/>
              <a:cs typeface="Arial" pitchFamily="34" charset="0"/>
            </a:rPr>
            <a:t>Analiză economică</a:t>
          </a:r>
          <a:endParaRPr lang="en-US" sz="800" b="1">
            <a:latin typeface="Arial" pitchFamily="34" charset="0"/>
            <a:cs typeface="Arial" pitchFamily="34" charset="0"/>
          </a:endParaRPr>
        </a:p>
        <a:p>
          <a:pPr algn="l">
            <a:spcAft>
              <a:spcPts val="0"/>
            </a:spcAft>
          </a:pPr>
          <a:r>
            <a:rPr lang="en-US" sz="800">
              <a:latin typeface="Arial" pitchFamily="34" charset="0"/>
              <a:cs typeface="Arial" pitchFamily="34" charset="0"/>
            </a:rPr>
            <a:t>    -</a:t>
          </a:r>
          <a:r>
            <a:rPr lang="ro-RO" sz="800">
              <a:latin typeface="Arial" pitchFamily="34" charset="0"/>
              <a:cs typeface="Arial" pitchFamily="34" charset="0"/>
            </a:rPr>
            <a:t>De la prețuri de piață la prețuri contabile</a:t>
          </a:r>
          <a:r>
            <a:rPr lang="en-US" sz="800">
              <a:latin typeface="Arial" pitchFamily="34" charset="0"/>
              <a:cs typeface="Arial" pitchFamily="34" charset="0"/>
            </a:rPr>
            <a:t>;</a:t>
          </a:r>
        </a:p>
        <a:p>
          <a:pPr algn="l">
            <a:spcAft>
              <a:spcPts val="0"/>
            </a:spcAft>
          </a:pPr>
          <a:r>
            <a:rPr lang="en-US" sz="800">
              <a:latin typeface="Arial" pitchFamily="34" charset="0"/>
              <a:cs typeface="Arial" pitchFamily="34" charset="0"/>
            </a:rPr>
            <a:t>    -</a:t>
          </a:r>
          <a:r>
            <a:rPr lang="ro-RO" sz="800">
              <a:latin typeface="Arial" pitchFamily="34" charset="0"/>
              <a:cs typeface="Arial" pitchFamily="34" charset="0"/>
            </a:rPr>
            <a:t>Cuantificare financiară a impactului în afara pieței</a:t>
          </a:r>
          <a:r>
            <a:rPr lang="en-US" sz="800">
              <a:latin typeface="Arial" pitchFamily="34" charset="0"/>
              <a:cs typeface="Arial" pitchFamily="34" charset="0"/>
            </a:rPr>
            <a:t>;</a:t>
          </a:r>
        </a:p>
        <a:p>
          <a:pPr algn="l">
            <a:spcAft>
              <a:spcPts val="0"/>
            </a:spcAft>
          </a:pPr>
          <a:r>
            <a:rPr lang="en-US" sz="800">
              <a:latin typeface="Arial" pitchFamily="34" charset="0"/>
              <a:cs typeface="Arial" pitchFamily="34" charset="0"/>
            </a:rPr>
            <a:t>    -</a:t>
          </a:r>
          <a:r>
            <a:rPr lang="ro-RO" sz="800">
              <a:latin typeface="Arial" pitchFamily="34" charset="0"/>
              <a:cs typeface="Arial" pitchFamily="34" charset="0"/>
            </a:rPr>
            <a:t>Includerea de efecte indirecte suplimentare</a:t>
          </a:r>
          <a:r>
            <a:rPr lang="en-US" sz="800">
              <a:latin typeface="Arial" pitchFamily="34" charset="0"/>
              <a:cs typeface="Arial" pitchFamily="34" charset="0"/>
            </a:rPr>
            <a:t>;</a:t>
          </a:r>
        </a:p>
        <a:p>
          <a:pPr algn="l">
            <a:spcAft>
              <a:spcPts val="0"/>
            </a:spcAft>
          </a:pPr>
          <a:r>
            <a:rPr lang="en-US" sz="800">
              <a:latin typeface="Arial" pitchFamily="34" charset="0"/>
              <a:cs typeface="Arial" pitchFamily="34" charset="0"/>
            </a:rPr>
            <a:t>    -</a:t>
          </a:r>
          <a:r>
            <a:rPr lang="ro-RO" sz="800" b="0">
              <a:latin typeface="Arial" pitchFamily="34" charset="0"/>
              <a:cs typeface="Arial" pitchFamily="34" charset="0"/>
            </a:rPr>
            <a:t>Actualizări sociale</a:t>
          </a:r>
          <a:r>
            <a:rPr lang="en-US" sz="800" b="1">
              <a:latin typeface="Arial" pitchFamily="34" charset="0"/>
              <a:cs typeface="Arial" pitchFamily="34" charset="0"/>
            </a:rPr>
            <a:t>;</a:t>
          </a:r>
        </a:p>
        <a:p>
          <a:pPr algn="l">
            <a:spcAft>
              <a:spcPts val="0"/>
            </a:spcAft>
          </a:pPr>
          <a:r>
            <a:rPr lang="en-US" sz="800">
              <a:latin typeface="Arial" pitchFamily="34" charset="0"/>
              <a:cs typeface="Arial" pitchFamily="34" charset="0"/>
            </a:rPr>
            <a:t>    -</a:t>
          </a:r>
          <a:r>
            <a:rPr lang="ro-RO" sz="800">
              <a:latin typeface="Arial" pitchFamily="34" charset="0"/>
              <a:cs typeface="Arial" pitchFamily="34" charset="0"/>
            </a:rPr>
            <a:t>Calcularea indicatorilor economici de performanță </a:t>
          </a:r>
          <a:endParaRPr lang="en-US" sz="800">
            <a:latin typeface="Arial" pitchFamily="34" charset="0"/>
            <a:cs typeface="Arial" pitchFamily="34" charset="0"/>
          </a:endParaRPr>
        </a:p>
      </dgm:t>
    </dgm:pt>
    <dgm:pt modelId="{0F6833F7-DC81-45C4-905B-502EBBFA371C}" type="parTrans" cxnId="{A30D255B-5244-4C34-B33C-5BB3B2F565CE}">
      <dgm:prSet/>
      <dgm:spPr>
        <a:ln>
          <a:solidFill>
            <a:srgbClr val="988F86"/>
          </a:solidFill>
        </a:ln>
      </dgm:spPr>
      <dgm:t>
        <a:bodyPr/>
        <a:lstStyle/>
        <a:p>
          <a:endParaRPr lang="en-US" sz="900">
            <a:latin typeface="Arial" pitchFamily="34" charset="0"/>
            <a:cs typeface="Arial" pitchFamily="34" charset="0"/>
          </a:endParaRPr>
        </a:p>
      </dgm:t>
    </dgm:pt>
    <dgm:pt modelId="{30357C97-0CF2-44AE-80A3-AE18F43C7819}" type="sibTrans" cxnId="{A30D255B-5244-4C34-B33C-5BB3B2F565CE}">
      <dgm:prSet/>
      <dgm:spPr/>
      <dgm:t>
        <a:bodyPr/>
        <a:lstStyle/>
        <a:p>
          <a:endParaRPr lang="en-US" sz="900">
            <a:latin typeface="Arial" pitchFamily="34" charset="0"/>
            <a:cs typeface="Arial" pitchFamily="34" charset="0"/>
          </a:endParaRPr>
        </a:p>
      </dgm:t>
    </dgm:pt>
    <dgm:pt modelId="{E88EF19C-1320-47E4-A7C1-066695C69789}">
      <dgm:prSet phldrT="[Text]" custT="1"/>
      <dgm:spPr>
        <a:solidFill>
          <a:srgbClr val="D4F4B6">
            <a:alpha val="89804"/>
          </a:srgbClr>
        </a:solidFill>
        <a:ln>
          <a:solidFill>
            <a:srgbClr val="7DDC1E"/>
          </a:solidFill>
        </a:ln>
      </dgm:spPr>
      <dgm:t>
        <a:bodyPr/>
        <a:lstStyle/>
        <a:p>
          <a:r>
            <a:rPr lang="ro-RO" sz="900">
              <a:latin typeface="Arial" pitchFamily="34" charset="0"/>
              <a:cs typeface="Arial" pitchFamily="34" charset="0"/>
            </a:rPr>
            <a:t>Dacă VANE </a:t>
          </a:r>
          <a:r>
            <a:rPr lang="en-US" sz="900">
              <a:latin typeface="Arial" pitchFamily="34" charset="0"/>
              <a:cs typeface="Arial" pitchFamily="34" charset="0"/>
            </a:rPr>
            <a:t>&lt; 0</a:t>
          </a:r>
        </a:p>
      </dgm:t>
    </dgm:pt>
    <dgm:pt modelId="{E46B1DA1-70E9-4A45-B442-D8B7E75B806A}" type="parTrans" cxnId="{D5C98A31-0010-4A2F-B8D4-BE2C65DE91F3}">
      <dgm:prSet/>
      <dgm:spPr>
        <a:ln>
          <a:solidFill>
            <a:srgbClr val="988F86"/>
          </a:solidFill>
        </a:ln>
      </dgm:spPr>
      <dgm:t>
        <a:bodyPr/>
        <a:lstStyle/>
        <a:p>
          <a:endParaRPr lang="en-US" sz="900">
            <a:latin typeface="Arial" pitchFamily="34" charset="0"/>
            <a:cs typeface="Arial" pitchFamily="34" charset="0"/>
          </a:endParaRPr>
        </a:p>
      </dgm:t>
    </dgm:pt>
    <dgm:pt modelId="{018EB715-B414-4DFF-826B-C880D60780DD}" type="sibTrans" cxnId="{D5C98A31-0010-4A2F-B8D4-BE2C65DE91F3}">
      <dgm:prSet/>
      <dgm:spPr/>
      <dgm:t>
        <a:bodyPr/>
        <a:lstStyle/>
        <a:p>
          <a:endParaRPr lang="en-US" sz="900">
            <a:latin typeface="Arial" pitchFamily="34" charset="0"/>
            <a:cs typeface="Arial" pitchFamily="34" charset="0"/>
          </a:endParaRPr>
        </a:p>
      </dgm:t>
    </dgm:pt>
    <dgm:pt modelId="{21567C9A-DA76-4078-8579-13E858F56881}">
      <dgm:prSet phldrT="[Text]" custT="1"/>
      <dgm:spPr>
        <a:solidFill>
          <a:srgbClr val="D4F4B6">
            <a:alpha val="89804"/>
          </a:srgbClr>
        </a:solidFill>
        <a:ln>
          <a:solidFill>
            <a:srgbClr val="7DDC1E"/>
          </a:solidFill>
        </a:ln>
      </dgm:spPr>
      <dgm:t>
        <a:bodyPr/>
        <a:lstStyle/>
        <a:p>
          <a:r>
            <a:rPr lang="ro-RO" sz="900">
              <a:latin typeface="Arial" pitchFamily="34" charset="0"/>
              <a:cs typeface="Arial" pitchFamily="34" charset="0"/>
            </a:rPr>
            <a:t>Dacă VANE </a:t>
          </a:r>
          <a:r>
            <a:rPr lang="en-US" sz="900">
              <a:latin typeface="Arial" pitchFamily="34" charset="0"/>
              <a:cs typeface="Arial" pitchFamily="34" charset="0"/>
            </a:rPr>
            <a:t>&gt; 0</a:t>
          </a:r>
        </a:p>
      </dgm:t>
    </dgm:pt>
    <dgm:pt modelId="{6FC4B0C2-DDED-4DE4-86E7-BC5A08A95CCE}" type="parTrans" cxnId="{57476610-B483-47CC-8C6F-AFCECBB618C9}">
      <dgm:prSet/>
      <dgm:spPr>
        <a:ln>
          <a:solidFill>
            <a:srgbClr val="988F86"/>
          </a:solidFill>
        </a:ln>
      </dgm:spPr>
      <dgm:t>
        <a:bodyPr/>
        <a:lstStyle/>
        <a:p>
          <a:endParaRPr lang="en-US" sz="900">
            <a:latin typeface="Arial" pitchFamily="34" charset="0"/>
            <a:cs typeface="Arial" pitchFamily="34" charset="0"/>
          </a:endParaRPr>
        </a:p>
      </dgm:t>
    </dgm:pt>
    <dgm:pt modelId="{779DE0C3-6C8D-4365-83DF-F6ED2A2F1692}" type="sibTrans" cxnId="{57476610-B483-47CC-8C6F-AFCECBB618C9}">
      <dgm:prSet/>
      <dgm:spPr/>
      <dgm:t>
        <a:bodyPr/>
        <a:lstStyle/>
        <a:p>
          <a:endParaRPr lang="en-US" sz="900">
            <a:latin typeface="Arial" pitchFamily="34" charset="0"/>
            <a:cs typeface="Arial" pitchFamily="34" charset="0"/>
          </a:endParaRPr>
        </a:p>
      </dgm:t>
    </dgm:pt>
    <dgm:pt modelId="{96EB5C33-56AA-4047-9527-86C78A3D938B}">
      <dgm:prSet phldrT="[Text]" custT="1"/>
      <dgm:spPr>
        <a:solidFill>
          <a:srgbClr val="D4F4B6">
            <a:alpha val="89804"/>
          </a:srgbClr>
        </a:solidFill>
        <a:ln>
          <a:solidFill>
            <a:srgbClr val="7DDC1E"/>
          </a:solidFill>
        </a:ln>
      </dgm:spPr>
      <dgm:t>
        <a:bodyPr/>
        <a:lstStyle/>
        <a:p>
          <a:r>
            <a:rPr lang="ro-RO" sz="900" i="1">
              <a:latin typeface="Arial" pitchFamily="34" charset="0"/>
              <a:cs typeface="Arial" pitchFamily="34" charset="0"/>
            </a:rPr>
            <a:t>Impactul social al proiectului este negativ.</a:t>
          </a:r>
          <a:endParaRPr lang="en-US" sz="900" i="1">
            <a:latin typeface="Arial" pitchFamily="34" charset="0"/>
            <a:cs typeface="Arial" pitchFamily="34" charset="0"/>
          </a:endParaRPr>
        </a:p>
      </dgm:t>
    </dgm:pt>
    <dgm:pt modelId="{018E5C13-43DD-4714-B98B-FA100ED3227B}" type="parTrans" cxnId="{CF6C01D0-F2DE-4AD7-B83A-A3C01DAB5B1A}">
      <dgm:prSet/>
      <dgm:spPr>
        <a:ln>
          <a:solidFill>
            <a:srgbClr val="988F86"/>
          </a:solidFill>
        </a:ln>
      </dgm:spPr>
      <dgm:t>
        <a:bodyPr/>
        <a:lstStyle/>
        <a:p>
          <a:endParaRPr lang="en-US" sz="900">
            <a:latin typeface="Arial" pitchFamily="34" charset="0"/>
            <a:cs typeface="Arial" pitchFamily="34" charset="0"/>
          </a:endParaRPr>
        </a:p>
      </dgm:t>
    </dgm:pt>
    <dgm:pt modelId="{3F32371D-BF71-4302-98C8-D5F47A3BF382}" type="sibTrans" cxnId="{CF6C01D0-F2DE-4AD7-B83A-A3C01DAB5B1A}">
      <dgm:prSet/>
      <dgm:spPr/>
      <dgm:t>
        <a:bodyPr/>
        <a:lstStyle/>
        <a:p>
          <a:endParaRPr lang="en-US" sz="900">
            <a:latin typeface="Arial" pitchFamily="34" charset="0"/>
            <a:cs typeface="Arial" pitchFamily="34" charset="0"/>
          </a:endParaRPr>
        </a:p>
      </dgm:t>
    </dgm:pt>
    <dgm:pt modelId="{8F0AC9E6-340A-4582-AA72-4D0DC47E346F}">
      <dgm:prSet phldrT="[Text]" custT="1"/>
      <dgm:spPr>
        <a:solidFill>
          <a:srgbClr val="D4F4B6">
            <a:alpha val="89804"/>
          </a:srgbClr>
        </a:solidFill>
        <a:ln>
          <a:solidFill>
            <a:srgbClr val="7DDC1E"/>
          </a:solidFill>
        </a:ln>
      </dgm:spPr>
      <dgm:t>
        <a:bodyPr/>
        <a:lstStyle/>
        <a:p>
          <a:r>
            <a:rPr lang="ro-RO" sz="900" i="1">
              <a:latin typeface="Arial" pitchFamily="34" charset="0"/>
              <a:cs typeface="Arial" pitchFamily="34" charset="0"/>
            </a:rPr>
            <a:t>Impactul social al proiectului este pozitiv. </a:t>
          </a:r>
          <a:endParaRPr lang="en-US" sz="900" i="1">
            <a:latin typeface="Arial" pitchFamily="34" charset="0"/>
            <a:cs typeface="Arial" pitchFamily="34" charset="0"/>
          </a:endParaRPr>
        </a:p>
      </dgm:t>
    </dgm:pt>
    <dgm:pt modelId="{A63A20FF-3236-4732-BC2E-E8618CFD43D7}" type="parTrans" cxnId="{80B0B543-FE51-4740-90AB-A9A6F2756BEB}">
      <dgm:prSet/>
      <dgm:spPr>
        <a:ln>
          <a:solidFill>
            <a:srgbClr val="988F86"/>
          </a:solidFill>
        </a:ln>
      </dgm:spPr>
      <dgm:t>
        <a:bodyPr/>
        <a:lstStyle/>
        <a:p>
          <a:endParaRPr lang="en-US" sz="900">
            <a:latin typeface="Arial" pitchFamily="34" charset="0"/>
            <a:cs typeface="Arial" pitchFamily="34" charset="0"/>
          </a:endParaRPr>
        </a:p>
      </dgm:t>
    </dgm:pt>
    <dgm:pt modelId="{3FCBB029-67AB-4AB1-B65E-8A311B575D96}" type="sibTrans" cxnId="{80B0B543-FE51-4740-90AB-A9A6F2756BEB}">
      <dgm:prSet/>
      <dgm:spPr/>
      <dgm:t>
        <a:bodyPr/>
        <a:lstStyle/>
        <a:p>
          <a:endParaRPr lang="en-US" sz="900">
            <a:latin typeface="Arial" pitchFamily="34" charset="0"/>
            <a:cs typeface="Arial" pitchFamily="34" charset="0"/>
          </a:endParaRPr>
        </a:p>
      </dgm:t>
    </dgm:pt>
    <dgm:pt modelId="{79A0E8C2-4EAA-476A-AB33-39088A6A2A87}">
      <dgm:prSet phldrT="[Text]" custT="1"/>
      <dgm:spPr>
        <a:solidFill>
          <a:srgbClr val="FDE3F8">
            <a:alpha val="89804"/>
          </a:srgbClr>
        </a:solidFill>
        <a:ln>
          <a:solidFill>
            <a:srgbClr val="9E0880"/>
          </a:solidFill>
        </a:ln>
      </dgm:spPr>
      <dgm:t>
        <a:bodyPr/>
        <a:lstStyle/>
        <a:p>
          <a:pPr algn="ctr">
            <a:spcAft>
              <a:spcPts val="0"/>
            </a:spcAft>
          </a:pPr>
          <a:r>
            <a:rPr lang="en-US" sz="900" b="1">
              <a:solidFill>
                <a:sysClr val="windowText" lastClr="000000"/>
              </a:solidFill>
              <a:latin typeface="Arial" pitchFamily="34" charset="0"/>
              <a:cs typeface="Arial" pitchFamily="34" charset="0"/>
            </a:rPr>
            <a:t>6. </a:t>
          </a:r>
          <a:r>
            <a:rPr lang="ro-RO" sz="900" b="1">
              <a:solidFill>
                <a:sysClr val="windowText" lastClr="000000"/>
              </a:solidFill>
              <a:latin typeface="Arial" pitchFamily="34" charset="0"/>
              <a:cs typeface="Arial" pitchFamily="34" charset="0"/>
            </a:rPr>
            <a:t>Evaluare a riscurilor</a:t>
          </a:r>
          <a:endParaRPr lang="en-US" sz="900" b="1">
            <a:solidFill>
              <a:sysClr val="windowText" lastClr="000000"/>
            </a:solidFill>
            <a:latin typeface="Arial" pitchFamily="34" charset="0"/>
            <a:cs typeface="Arial" pitchFamily="34" charset="0"/>
          </a:endParaRPr>
        </a:p>
        <a:p>
          <a:pPr algn="l">
            <a:spcAft>
              <a:spcPts val="0"/>
            </a:spcAft>
          </a:pPr>
          <a:r>
            <a:rPr lang="en-US" sz="900">
              <a:solidFill>
                <a:sysClr val="windowText" lastClr="000000"/>
              </a:solidFill>
              <a:latin typeface="Arial" pitchFamily="34" charset="0"/>
              <a:cs typeface="Arial" pitchFamily="34" charset="0"/>
            </a:rPr>
            <a:t>    -</a:t>
          </a:r>
          <a:r>
            <a:rPr lang="ro-RO" sz="900">
              <a:solidFill>
                <a:sysClr val="windowText" lastClr="000000"/>
              </a:solidFill>
              <a:latin typeface="Arial" pitchFamily="34" charset="0"/>
              <a:cs typeface="Arial" pitchFamily="34" charset="0"/>
            </a:rPr>
            <a:t>Analiză de senzitivitate</a:t>
          </a:r>
          <a:r>
            <a:rPr lang="en-US" sz="900">
              <a:solidFill>
                <a:sysClr val="windowText" lastClr="000000"/>
              </a:solidFill>
              <a:latin typeface="Arial" pitchFamily="34" charset="0"/>
              <a:cs typeface="Arial" pitchFamily="34" charset="0"/>
            </a:rPr>
            <a:t>;</a:t>
          </a:r>
        </a:p>
        <a:p>
          <a:pPr algn="l">
            <a:spcAft>
              <a:spcPts val="0"/>
            </a:spcAft>
          </a:pPr>
          <a:r>
            <a:rPr lang="en-US" sz="900">
              <a:solidFill>
                <a:sysClr val="windowText" lastClr="000000"/>
              </a:solidFill>
              <a:latin typeface="Arial" pitchFamily="34" charset="0"/>
              <a:cs typeface="Arial" pitchFamily="34" charset="0"/>
            </a:rPr>
            <a:t>    -</a:t>
          </a:r>
          <a:r>
            <a:rPr lang="ro-RO" sz="900">
              <a:solidFill>
                <a:sysClr val="windowText" lastClr="000000"/>
              </a:solidFill>
              <a:latin typeface="Arial" pitchFamily="34" charset="0"/>
              <a:cs typeface="Arial" pitchFamily="34" charset="0"/>
            </a:rPr>
            <a:t>Distribuție probabilă a variabilelor critice</a:t>
          </a:r>
          <a:r>
            <a:rPr lang="en-US" sz="900">
              <a:solidFill>
                <a:sysClr val="windowText" lastClr="000000"/>
              </a:solidFill>
              <a:latin typeface="Arial" pitchFamily="34" charset="0"/>
              <a:cs typeface="Arial" pitchFamily="34" charset="0"/>
            </a:rPr>
            <a:t>;</a:t>
          </a:r>
        </a:p>
        <a:p>
          <a:pPr algn="l">
            <a:spcAft>
              <a:spcPts val="0"/>
            </a:spcAft>
          </a:pPr>
          <a:r>
            <a:rPr lang="en-US" sz="900">
              <a:solidFill>
                <a:sysClr val="windowText" lastClr="000000"/>
              </a:solidFill>
              <a:latin typeface="Arial" pitchFamily="34" charset="0"/>
              <a:cs typeface="Arial" pitchFamily="34" charset="0"/>
            </a:rPr>
            <a:t>    -</a:t>
          </a:r>
          <a:r>
            <a:rPr lang="ro-RO" sz="900">
              <a:solidFill>
                <a:sysClr val="windowText" lastClr="000000"/>
              </a:solidFill>
              <a:latin typeface="Arial" pitchFamily="34" charset="0"/>
              <a:cs typeface="Arial" pitchFamily="34" charset="0"/>
            </a:rPr>
            <a:t>Analiza de risc</a:t>
          </a:r>
          <a:r>
            <a:rPr lang="en-US" sz="900">
              <a:solidFill>
                <a:sysClr val="windowText" lastClr="000000"/>
              </a:solidFill>
              <a:latin typeface="Arial" pitchFamily="34" charset="0"/>
              <a:cs typeface="Arial" pitchFamily="34" charset="0"/>
            </a:rPr>
            <a:t>;</a:t>
          </a:r>
        </a:p>
        <a:p>
          <a:pPr algn="l">
            <a:spcAft>
              <a:spcPts val="0"/>
            </a:spcAft>
          </a:pPr>
          <a:r>
            <a:rPr lang="en-US" sz="900">
              <a:solidFill>
                <a:sysClr val="windowText" lastClr="000000"/>
              </a:solidFill>
              <a:latin typeface="Arial" pitchFamily="34" charset="0"/>
              <a:cs typeface="Arial" pitchFamily="34" charset="0"/>
            </a:rPr>
            <a:t>    -</a:t>
          </a:r>
          <a:r>
            <a:rPr lang="ro-RO" sz="900">
              <a:solidFill>
                <a:sysClr val="windowText" lastClr="000000"/>
              </a:solidFill>
              <a:latin typeface="Arial" pitchFamily="34" charset="0"/>
              <a:cs typeface="Arial" pitchFamily="34" charset="0"/>
            </a:rPr>
            <a:t>Estimarea nivelelor acceptabile de risc</a:t>
          </a:r>
          <a:r>
            <a:rPr lang="en-US" sz="900">
              <a:solidFill>
                <a:sysClr val="windowText" lastClr="000000"/>
              </a:solidFill>
              <a:latin typeface="Arial" pitchFamily="34" charset="0"/>
              <a:cs typeface="Arial" pitchFamily="34" charset="0"/>
            </a:rPr>
            <a:t>;</a:t>
          </a:r>
        </a:p>
        <a:p>
          <a:pPr algn="l">
            <a:spcAft>
              <a:spcPts val="0"/>
            </a:spcAft>
          </a:pPr>
          <a:r>
            <a:rPr lang="en-US" sz="900">
              <a:solidFill>
                <a:sysClr val="windowText" lastClr="000000"/>
              </a:solidFill>
              <a:latin typeface="Arial" pitchFamily="34" charset="0"/>
              <a:cs typeface="Arial" pitchFamily="34" charset="0"/>
            </a:rPr>
            <a:t>    -</a:t>
          </a:r>
          <a:r>
            <a:rPr lang="ro-RO" sz="900">
              <a:solidFill>
                <a:sysClr val="windowText" lastClr="000000"/>
              </a:solidFill>
              <a:latin typeface="Arial" pitchFamily="34" charset="0"/>
              <a:cs typeface="Arial" pitchFamily="34" charset="0"/>
            </a:rPr>
            <a:t>Prevenirea riscurilor</a:t>
          </a:r>
          <a:r>
            <a:rPr lang="en-US" sz="900">
              <a:solidFill>
                <a:sysClr val="windowText" lastClr="000000"/>
              </a:solidFill>
              <a:latin typeface="Arial" pitchFamily="34" charset="0"/>
              <a:cs typeface="Arial" pitchFamily="34" charset="0"/>
            </a:rPr>
            <a:t>.</a:t>
          </a:r>
        </a:p>
      </dgm:t>
    </dgm:pt>
    <dgm:pt modelId="{DE92D38B-6E31-4973-9CC2-4E7924598AFC}" type="parTrans" cxnId="{053CEC27-D965-437C-9B72-AD2D748AF3D8}">
      <dgm:prSet/>
      <dgm:spPr>
        <a:ln>
          <a:solidFill>
            <a:srgbClr val="988F86"/>
          </a:solidFill>
        </a:ln>
      </dgm:spPr>
      <dgm:t>
        <a:bodyPr/>
        <a:lstStyle/>
        <a:p>
          <a:endParaRPr lang="en-US" sz="900">
            <a:latin typeface="Arial" pitchFamily="34" charset="0"/>
            <a:cs typeface="Arial" pitchFamily="34" charset="0"/>
          </a:endParaRPr>
        </a:p>
      </dgm:t>
    </dgm:pt>
    <dgm:pt modelId="{063D0502-D4D4-4E8E-A292-2DB962AA38F6}" type="sibTrans" cxnId="{053CEC27-D965-437C-9B72-AD2D748AF3D8}">
      <dgm:prSet/>
      <dgm:spPr/>
      <dgm:t>
        <a:bodyPr/>
        <a:lstStyle/>
        <a:p>
          <a:endParaRPr lang="en-US" sz="900">
            <a:latin typeface="Arial" pitchFamily="34" charset="0"/>
            <a:cs typeface="Arial" pitchFamily="34" charset="0"/>
          </a:endParaRPr>
        </a:p>
      </dgm:t>
    </dgm:pt>
    <dgm:pt modelId="{1C8F6518-4531-4FB6-923E-393E71A02771}" type="pres">
      <dgm:prSet presAssocID="{51E8BBF5-2224-4A5A-B602-34C2CDFE09B8}" presName="hierChild1" presStyleCnt="0">
        <dgm:presLayoutVars>
          <dgm:chPref val="1"/>
          <dgm:dir/>
          <dgm:animOne val="branch"/>
          <dgm:animLvl val="lvl"/>
          <dgm:resizeHandles/>
        </dgm:presLayoutVars>
      </dgm:prSet>
      <dgm:spPr/>
      <dgm:t>
        <a:bodyPr/>
        <a:lstStyle/>
        <a:p>
          <a:endParaRPr lang="en-US"/>
        </a:p>
      </dgm:t>
    </dgm:pt>
    <dgm:pt modelId="{29BA3590-4AE6-4884-8CF4-F830933700F9}" type="pres">
      <dgm:prSet presAssocID="{BFF828A6-FF3B-4983-9AA6-44D9C05E5211}" presName="hierRoot1" presStyleCnt="0"/>
      <dgm:spPr/>
    </dgm:pt>
    <dgm:pt modelId="{3E16AA15-80F4-44DA-89AB-B43DB9BB30E6}" type="pres">
      <dgm:prSet presAssocID="{BFF828A6-FF3B-4983-9AA6-44D9C05E5211}" presName="composite" presStyleCnt="0"/>
      <dgm:spPr/>
    </dgm:pt>
    <dgm:pt modelId="{E35CA196-18DD-4D91-85EF-411FFAC47438}" type="pres">
      <dgm:prSet presAssocID="{BFF828A6-FF3B-4983-9AA6-44D9C05E5211}" presName="background" presStyleLbl="node0" presStyleIdx="0" presStyleCnt="1"/>
      <dgm:spPr>
        <a:solidFill>
          <a:srgbClr val="988F86"/>
        </a:solidFill>
      </dgm:spPr>
      <dgm:t>
        <a:bodyPr/>
        <a:lstStyle/>
        <a:p>
          <a:endParaRPr lang="en-GB"/>
        </a:p>
      </dgm:t>
    </dgm:pt>
    <dgm:pt modelId="{56F9E952-EAAF-45A1-9E44-92C0F6C04663}" type="pres">
      <dgm:prSet presAssocID="{BFF828A6-FF3B-4983-9AA6-44D9C05E5211}" presName="text" presStyleLbl="fgAcc0" presStyleIdx="0" presStyleCnt="1" custScaleX="418020" custScaleY="48317" custLinFactNeighborY="19111">
        <dgm:presLayoutVars>
          <dgm:chPref val="3"/>
        </dgm:presLayoutVars>
      </dgm:prSet>
      <dgm:spPr/>
      <dgm:t>
        <a:bodyPr/>
        <a:lstStyle/>
        <a:p>
          <a:endParaRPr lang="en-US"/>
        </a:p>
      </dgm:t>
    </dgm:pt>
    <dgm:pt modelId="{FBBC8974-1333-41CA-B75E-955FB60A812D}" type="pres">
      <dgm:prSet presAssocID="{BFF828A6-FF3B-4983-9AA6-44D9C05E5211}" presName="hierChild2" presStyleCnt="0"/>
      <dgm:spPr/>
    </dgm:pt>
    <dgm:pt modelId="{7EC82301-A429-49BE-A4CA-9152DF69FC69}" type="pres">
      <dgm:prSet presAssocID="{B3BF1FD6-B4A3-4F87-BED8-2A4BEA572E0F}" presName="Name10" presStyleLbl="parChTrans1D2" presStyleIdx="0" presStyleCnt="1"/>
      <dgm:spPr/>
      <dgm:t>
        <a:bodyPr/>
        <a:lstStyle/>
        <a:p>
          <a:endParaRPr lang="en-US"/>
        </a:p>
      </dgm:t>
    </dgm:pt>
    <dgm:pt modelId="{AD4FDBC0-5832-4EF2-9D60-A7B561D5A6BA}" type="pres">
      <dgm:prSet presAssocID="{92FFEB76-1DA9-4890-88A8-13F3604E35D7}" presName="hierRoot2" presStyleCnt="0"/>
      <dgm:spPr/>
    </dgm:pt>
    <dgm:pt modelId="{5E88396D-26B8-45D2-B243-709EC5009C85}" type="pres">
      <dgm:prSet presAssocID="{92FFEB76-1DA9-4890-88A8-13F3604E35D7}" presName="composite2" presStyleCnt="0"/>
      <dgm:spPr/>
    </dgm:pt>
    <dgm:pt modelId="{5BD50AFA-67B0-4641-9335-35C64CA1AA05}" type="pres">
      <dgm:prSet presAssocID="{92FFEB76-1DA9-4890-88A8-13F3604E35D7}" presName="background2" presStyleLbl="node2" presStyleIdx="0" presStyleCnt="1"/>
      <dgm:spPr>
        <a:solidFill>
          <a:srgbClr val="988F86"/>
        </a:solidFill>
      </dgm:spPr>
      <dgm:t>
        <a:bodyPr/>
        <a:lstStyle/>
        <a:p>
          <a:endParaRPr lang="en-GB"/>
        </a:p>
      </dgm:t>
    </dgm:pt>
    <dgm:pt modelId="{A760F31F-7774-468E-AB94-816C5E14B916}" type="pres">
      <dgm:prSet presAssocID="{92FFEB76-1DA9-4890-88A8-13F3604E35D7}" presName="text2" presStyleLbl="fgAcc2" presStyleIdx="0" presStyleCnt="1" custScaleX="416165" custScaleY="47546">
        <dgm:presLayoutVars>
          <dgm:chPref val="3"/>
        </dgm:presLayoutVars>
      </dgm:prSet>
      <dgm:spPr/>
      <dgm:t>
        <a:bodyPr/>
        <a:lstStyle/>
        <a:p>
          <a:endParaRPr lang="en-US"/>
        </a:p>
      </dgm:t>
    </dgm:pt>
    <dgm:pt modelId="{BD89E10F-FE42-45AB-A077-B37321011427}" type="pres">
      <dgm:prSet presAssocID="{92FFEB76-1DA9-4890-88A8-13F3604E35D7}" presName="hierChild3" presStyleCnt="0"/>
      <dgm:spPr/>
    </dgm:pt>
    <dgm:pt modelId="{F4D40AC4-022A-4D58-90B0-F68BB2D86AA6}" type="pres">
      <dgm:prSet presAssocID="{46BABC93-190B-4189-B255-4CCA0E31A516}" presName="Name17" presStyleLbl="parChTrans1D3" presStyleIdx="0" presStyleCnt="1"/>
      <dgm:spPr/>
      <dgm:t>
        <a:bodyPr/>
        <a:lstStyle/>
        <a:p>
          <a:endParaRPr lang="en-US"/>
        </a:p>
      </dgm:t>
    </dgm:pt>
    <dgm:pt modelId="{A607C1C0-782E-4D19-B78C-69756035F829}" type="pres">
      <dgm:prSet presAssocID="{692613B9-E0B8-4A5A-9631-274BE4039D9B}" presName="hierRoot3" presStyleCnt="0"/>
      <dgm:spPr/>
    </dgm:pt>
    <dgm:pt modelId="{ECF34FB3-3184-4222-890C-596840BCC9A5}" type="pres">
      <dgm:prSet presAssocID="{692613B9-E0B8-4A5A-9631-274BE4039D9B}" presName="composite3" presStyleCnt="0"/>
      <dgm:spPr/>
    </dgm:pt>
    <dgm:pt modelId="{86FBFEDE-BC4F-4B3A-8E07-8458093392CA}" type="pres">
      <dgm:prSet presAssocID="{692613B9-E0B8-4A5A-9631-274BE4039D9B}" presName="background3" presStyleLbl="node3" presStyleIdx="0" presStyleCnt="1"/>
      <dgm:spPr>
        <a:solidFill>
          <a:srgbClr val="988F86"/>
        </a:solidFill>
      </dgm:spPr>
      <dgm:t>
        <a:bodyPr/>
        <a:lstStyle/>
        <a:p>
          <a:endParaRPr lang="en-GB"/>
        </a:p>
      </dgm:t>
    </dgm:pt>
    <dgm:pt modelId="{186D19DC-3316-4A13-9286-79FEA0621543}" type="pres">
      <dgm:prSet presAssocID="{692613B9-E0B8-4A5A-9631-274BE4039D9B}" presName="text3" presStyleLbl="fgAcc3" presStyleIdx="0" presStyleCnt="1" custScaleX="419746" custScaleY="51209">
        <dgm:presLayoutVars>
          <dgm:chPref val="3"/>
        </dgm:presLayoutVars>
      </dgm:prSet>
      <dgm:spPr/>
      <dgm:t>
        <a:bodyPr/>
        <a:lstStyle/>
        <a:p>
          <a:endParaRPr lang="en-US"/>
        </a:p>
      </dgm:t>
    </dgm:pt>
    <dgm:pt modelId="{76D8FC54-9333-4F97-A866-3CB8D5645835}" type="pres">
      <dgm:prSet presAssocID="{692613B9-E0B8-4A5A-9631-274BE4039D9B}" presName="hierChild4" presStyleCnt="0"/>
      <dgm:spPr/>
    </dgm:pt>
    <dgm:pt modelId="{AD366AF8-F9FA-41C9-A43B-BF3265A435B6}" type="pres">
      <dgm:prSet presAssocID="{087376D6-6CA2-42A2-8C55-A18A03D1B0B5}" presName="Name23" presStyleLbl="parChTrans1D4" presStyleIdx="0" presStyleCnt="11"/>
      <dgm:spPr/>
      <dgm:t>
        <a:bodyPr/>
        <a:lstStyle/>
        <a:p>
          <a:endParaRPr lang="en-US"/>
        </a:p>
      </dgm:t>
    </dgm:pt>
    <dgm:pt modelId="{913B7FB8-FB7C-4C7C-B0CC-4E55984B5387}" type="pres">
      <dgm:prSet presAssocID="{981C9CFA-2F6F-4C60-91E7-0A417436119C}" presName="hierRoot4" presStyleCnt="0"/>
      <dgm:spPr/>
    </dgm:pt>
    <dgm:pt modelId="{43B20717-6941-4201-B3D9-5EDB8B4C4BA5}" type="pres">
      <dgm:prSet presAssocID="{981C9CFA-2F6F-4C60-91E7-0A417436119C}" presName="composite4" presStyleCnt="0"/>
      <dgm:spPr/>
    </dgm:pt>
    <dgm:pt modelId="{BF28BADB-0665-4AE1-A06F-9EFB38406D50}" type="pres">
      <dgm:prSet presAssocID="{981C9CFA-2F6F-4C60-91E7-0A417436119C}" presName="background4" presStyleLbl="node4" presStyleIdx="0" presStyleCnt="11"/>
      <dgm:spPr>
        <a:solidFill>
          <a:srgbClr val="63C1DF"/>
        </a:solidFill>
      </dgm:spPr>
      <dgm:t>
        <a:bodyPr/>
        <a:lstStyle/>
        <a:p>
          <a:endParaRPr lang="en-GB"/>
        </a:p>
      </dgm:t>
    </dgm:pt>
    <dgm:pt modelId="{31B01F7C-9551-494D-B346-2CC34DA26F38}" type="pres">
      <dgm:prSet presAssocID="{981C9CFA-2F6F-4C60-91E7-0A417436119C}" presName="text4" presStyleLbl="fgAcc4" presStyleIdx="0" presStyleCnt="11" custScaleX="418883" custScaleY="202720">
        <dgm:presLayoutVars>
          <dgm:chPref val="3"/>
        </dgm:presLayoutVars>
      </dgm:prSet>
      <dgm:spPr/>
      <dgm:t>
        <a:bodyPr/>
        <a:lstStyle/>
        <a:p>
          <a:endParaRPr lang="en-US"/>
        </a:p>
      </dgm:t>
    </dgm:pt>
    <dgm:pt modelId="{4EC9F2F4-5569-4D4B-A957-8AFA4D36D4CE}" type="pres">
      <dgm:prSet presAssocID="{981C9CFA-2F6F-4C60-91E7-0A417436119C}" presName="hierChild5" presStyleCnt="0"/>
      <dgm:spPr/>
    </dgm:pt>
    <dgm:pt modelId="{068E995D-CD4F-430E-B694-60F864789F69}" type="pres">
      <dgm:prSet presAssocID="{07535519-73EF-4E92-B558-85FB5E17B0A4}" presName="Name23" presStyleLbl="parChTrans1D4" presStyleIdx="1" presStyleCnt="11"/>
      <dgm:spPr/>
      <dgm:t>
        <a:bodyPr/>
        <a:lstStyle/>
        <a:p>
          <a:endParaRPr lang="en-US"/>
        </a:p>
      </dgm:t>
    </dgm:pt>
    <dgm:pt modelId="{57BAF42D-DE9E-4F60-855B-3FD4397E88DC}" type="pres">
      <dgm:prSet presAssocID="{0E1EF817-9922-4F68-8296-988142906A78}" presName="hierRoot4" presStyleCnt="0"/>
      <dgm:spPr/>
    </dgm:pt>
    <dgm:pt modelId="{6AF44863-4079-480A-A688-603062AD6A19}" type="pres">
      <dgm:prSet presAssocID="{0E1EF817-9922-4F68-8296-988142906A78}" presName="composite4" presStyleCnt="0"/>
      <dgm:spPr/>
    </dgm:pt>
    <dgm:pt modelId="{508ACCC6-F5BA-4518-8873-090C6C652670}" type="pres">
      <dgm:prSet presAssocID="{0E1EF817-9922-4F68-8296-988142906A78}" presName="background4" presStyleLbl="node4" presStyleIdx="1" presStyleCnt="11"/>
      <dgm:spPr>
        <a:solidFill>
          <a:srgbClr val="63C1DF"/>
        </a:solidFill>
      </dgm:spPr>
      <dgm:t>
        <a:bodyPr/>
        <a:lstStyle/>
        <a:p>
          <a:endParaRPr lang="en-GB"/>
        </a:p>
      </dgm:t>
    </dgm:pt>
    <dgm:pt modelId="{D79EC751-DAD9-4812-9888-9ACA98EDF2E0}" type="pres">
      <dgm:prSet presAssocID="{0E1EF817-9922-4F68-8296-988142906A78}" presName="text4" presStyleLbl="fgAcc4" presStyleIdx="1" presStyleCnt="11" custScaleX="192269" custScaleY="49317">
        <dgm:presLayoutVars>
          <dgm:chPref val="3"/>
        </dgm:presLayoutVars>
      </dgm:prSet>
      <dgm:spPr/>
      <dgm:t>
        <a:bodyPr/>
        <a:lstStyle/>
        <a:p>
          <a:endParaRPr lang="en-US"/>
        </a:p>
      </dgm:t>
    </dgm:pt>
    <dgm:pt modelId="{A330D073-97AA-42CE-91C6-9578F353B115}" type="pres">
      <dgm:prSet presAssocID="{0E1EF817-9922-4F68-8296-988142906A78}" presName="hierChild5" presStyleCnt="0"/>
      <dgm:spPr/>
    </dgm:pt>
    <dgm:pt modelId="{E2AF8BCE-BABF-4FDA-ADD6-9772BE13A31E}" type="pres">
      <dgm:prSet presAssocID="{8B61CB54-2D16-4FAC-9340-B74ABB0F561C}" presName="Name23" presStyleLbl="parChTrans1D4" presStyleIdx="2" presStyleCnt="11"/>
      <dgm:spPr/>
      <dgm:t>
        <a:bodyPr/>
        <a:lstStyle/>
        <a:p>
          <a:endParaRPr lang="en-US"/>
        </a:p>
      </dgm:t>
    </dgm:pt>
    <dgm:pt modelId="{3C67E2D4-B1AF-45C5-B1C7-1D8811F88A29}" type="pres">
      <dgm:prSet presAssocID="{51D2E35A-6A69-47C7-8FAD-F208C367618B}" presName="hierRoot4" presStyleCnt="0"/>
      <dgm:spPr/>
    </dgm:pt>
    <dgm:pt modelId="{AB902809-3380-4976-BDF5-793204EF5C15}" type="pres">
      <dgm:prSet presAssocID="{51D2E35A-6A69-47C7-8FAD-F208C367618B}" presName="composite4" presStyleCnt="0"/>
      <dgm:spPr/>
    </dgm:pt>
    <dgm:pt modelId="{A90A0D1D-69C3-48B3-9000-7612B41A6140}" type="pres">
      <dgm:prSet presAssocID="{51D2E35A-6A69-47C7-8FAD-F208C367618B}" presName="background4" presStyleLbl="node4" presStyleIdx="2" presStyleCnt="11"/>
      <dgm:spPr>
        <a:solidFill>
          <a:srgbClr val="63C1DF"/>
        </a:solidFill>
      </dgm:spPr>
      <dgm:t>
        <a:bodyPr/>
        <a:lstStyle/>
        <a:p>
          <a:endParaRPr lang="en-GB"/>
        </a:p>
      </dgm:t>
    </dgm:pt>
    <dgm:pt modelId="{2097C97C-C141-42FF-8A21-6F9462CD4896}" type="pres">
      <dgm:prSet presAssocID="{51D2E35A-6A69-47C7-8FAD-F208C367618B}" presName="text4" presStyleLbl="fgAcc4" presStyleIdx="2" presStyleCnt="11" custScaleX="203859" custScaleY="82659">
        <dgm:presLayoutVars>
          <dgm:chPref val="3"/>
        </dgm:presLayoutVars>
      </dgm:prSet>
      <dgm:spPr/>
      <dgm:t>
        <a:bodyPr/>
        <a:lstStyle/>
        <a:p>
          <a:endParaRPr lang="en-US"/>
        </a:p>
      </dgm:t>
    </dgm:pt>
    <dgm:pt modelId="{0B4B5DC5-BBD5-48A1-A9DD-D05E59B78C72}" type="pres">
      <dgm:prSet presAssocID="{51D2E35A-6A69-47C7-8FAD-F208C367618B}" presName="hierChild5" presStyleCnt="0"/>
      <dgm:spPr/>
    </dgm:pt>
    <dgm:pt modelId="{2C9DDC87-9A0A-4128-BEF4-BA278FA9F451}" type="pres">
      <dgm:prSet presAssocID="{133484D4-9348-4125-B090-94E26D51DFF9}" presName="Name23" presStyleLbl="parChTrans1D4" presStyleIdx="3" presStyleCnt="11"/>
      <dgm:spPr/>
      <dgm:t>
        <a:bodyPr/>
        <a:lstStyle/>
        <a:p>
          <a:endParaRPr lang="en-US"/>
        </a:p>
      </dgm:t>
    </dgm:pt>
    <dgm:pt modelId="{0C9ADA57-4998-4E81-A34B-D10B87B31F33}" type="pres">
      <dgm:prSet presAssocID="{CCB23740-6CA8-44D5-A54D-0787E9996D48}" presName="hierRoot4" presStyleCnt="0"/>
      <dgm:spPr/>
    </dgm:pt>
    <dgm:pt modelId="{46D72AD3-1019-46BA-A47B-4BBDE48FECEA}" type="pres">
      <dgm:prSet presAssocID="{CCB23740-6CA8-44D5-A54D-0787E9996D48}" presName="composite4" presStyleCnt="0"/>
      <dgm:spPr/>
    </dgm:pt>
    <dgm:pt modelId="{7CF523D5-CE15-4F72-B75C-B53DB8F13F0A}" type="pres">
      <dgm:prSet presAssocID="{CCB23740-6CA8-44D5-A54D-0787E9996D48}" presName="background4" presStyleLbl="node4" presStyleIdx="3" presStyleCnt="11"/>
      <dgm:spPr>
        <a:solidFill>
          <a:srgbClr val="63C1DF"/>
        </a:solidFill>
      </dgm:spPr>
      <dgm:t>
        <a:bodyPr/>
        <a:lstStyle/>
        <a:p>
          <a:endParaRPr lang="en-GB"/>
        </a:p>
      </dgm:t>
    </dgm:pt>
    <dgm:pt modelId="{286B4F7E-8D44-4EF4-931D-C46B213D57C6}" type="pres">
      <dgm:prSet presAssocID="{CCB23740-6CA8-44D5-A54D-0787E9996D48}" presName="text4" presStyleLbl="fgAcc4" presStyleIdx="3" presStyleCnt="11" custScaleX="200819" custScaleY="48855">
        <dgm:presLayoutVars>
          <dgm:chPref val="3"/>
        </dgm:presLayoutVars>
      </dgm:prSet>
      <dgm:spPr/>
      <dgm:t>
        <a:bodyPr/>
        <a:lstStyle/>
        <a:p>
          <a:endParaRPr lang="en-US"/>
        </a:p>
      </dgm:t>
    </dgm:pt>
    <dgm:pt modelId="{78346FD2-5076-420A-BDE0-7BA95CC49B14}" type="pres">
      <dgm:prSet presAssocID="{CCB23740-6CA8-44D5-A54D-0787E9996D48}" presName="hierChild5" presStyleCnt="0"/>
      <dgm:spPr/>
    </dgm:pt>
    <dgm:pt modelId="{E2A0630E-4A05-444A-AFD2-C9B0AF667B0B}" type="pres">
      <dgm:prSet presAssocID="{733022D7-2D18-440B-81D5-0CFCCEDD9338}" presName="Name23" presStyleLbl="parChTrans1D4" presStyleIdx="4" presStyleCnt="11"/>
      <dgm:spPr/>
      <dgm:t>
        <a:bodyPr/>
        <a:lstStyle/>
        <a:p>
          <a:endParaRPr lang="en-US"/>
        </a:p>
      </dgm:t>
    </dgm:pt>
    <dgm:pt modelId="{238AE169-B2BD-470D-A231-93535E3B64C1}" type="pres">
      <dgm:prSet presAssocID="{B7DC88D7-4710-481D-9801-416ABECAE69D}" presName="hierRoot4" presStyleCnt="0"/>
      <dgm:spPr/>
    </dgm:pt>
    <dgm:pt modelId="{5E5F8265-9F6C-4A6E-8D8B-A1057C0605D6}" type="pres">
      <dgm:prSet presAssocID="{B7DC88D7-4710-481D-9801-416ABECAE69D}" presName="composite4" presStyleCnt="0"/>
      <dgm:spPr/>
    </dgm:pt>
    <dgm:pt modelId="{112CBC4A-9AA1-48CD-B2F2-FF20F0A5CB38}" type="pres">
      <dgm:prSet presAssocID="{B7DC88D7-4710-481D-9801-416ABECAE69D}" presName="background4" presStyleLbl="node4" presStyleIdx="4" presStyleCnt="11"/>
      <dgm:spPr>
        <a:solidFill>
          <a:srgbClr val="63C1DF"/>
        </a:solidFill>
      </dgm:spPr>
      <dgm:t>
        <a:bodyPr/>
        <a:lstStyle/>
        <a:p>
          <a:endParaRPr lang="en-GB"/>
        </a:p>
      </dgm:t>
    </dgm:pt>
    <dgm:pt modelId="{7F5FA490-35EF-4788-BC86-78443252AB70}" type="pres">
      <dgm:prSet presAssocID="{B7DC88D7-4710-481D-9801-416ABECAE69D}" presName="text4" presStyleLbl="fgAcc4" presStyleIdx="4" presStyleCnt="11" custScaleX="186094" custScaleY="83546">
        <dgm:presLayoutVars>
          <dgm:chPref val="3"/>
        </dgm:presLayoutVars>
      </dgm:prSet>
      <dgm:spPr/>
      <dgm:t>
        <a:bodyPr/>
        <a:lstStyle/>
        <a:p>
          <a:endParaRPr lang="en-US"/>
        </a:p>
      </dgm:t>
    </dgm:pt>
    <dgm:pt modelId="{9D483797-A359-4327-9362-4F8CC18D979D}" type="pres">
      <dgm:prSet presAssocID="{B7DC88D7-4710-481D-9801-416ABECAE69D}" presName="hierChild5" presStyleCnt="0"/>
      <dgm:spPr/>
    </dgm:pt>
    <dgm:pt modelId="{4DEC9BE2-C60F-4893-A5E1-C3E8EF8AA37C}" type="pres">
      <dgm:prSet presAssocID="{0F6833F7-DC81-45C4-905B-502EBBFA371C}" presName="Name23" presStyleLbl="parChTrans1D4" presStyleIdx="5" presStyleCnt="11"/>
      <dgm:spPr/>
      <dgm:t>
        <a:bodyPr/>
        <a:lstStyle/>
        <a:p>
          <a:endParaRPr lang="en-US"/>
        </a:p>
      </dgm:t>
    </dgm:pt>
    <dgm:pt modelId="{2C2A72DF-72D5-40E7-8746-91F5E81FA900}" type="pres">
      <dgm:prSet presAssocID="{7E1D7E6C-2C86-4558-8C56-C998BF55F98B}" presName="hierRoot4" presStyleCnt="0"/>
      <dgm:spPr/>
    </dgm:pt>
    <dgm:pt modelId="{FD3EBB52-521B-4169-A645-71CB52F25776}" type="pres">
      <dgm:prSet presAssocID="{7E1D7E6C-2C86-4558-8C56-C998BF55F98B}" presName="composite4" presStyleCnt="0"/>
      <dgm:spPr/>
    </dgm:pt>
    <dgm:pt modelId="{C3680FB5-2AB3-4D5A-99DE-6B7D362F72EF}" type="pres">
      <dgm:prSet presAssocID="{7E1D7E6C-2C86-4558-8C56-C998BF55F98B}" presName="background4" presStyleLbl="node4" presStyleIdx="5" presStyleCnt="11"/>
      <dgm:spPr>
        <a:solidFill>
          <a:srgbClr val="7DDC1E"/>
        </a:solidFill>
        <a:ln>
          <a:solidFill>
            <a:srgbClr val="7DDC1E"/>
          </a:solidFill>
        </a:ln>
      </dgm:spPr>
      <dgm:t>
        <a:bodyPr/>
        <a:lstStyle/>
        <a:p>
          <a:endParaRPr lang="en-GB"/>
        </a:p>
      </dgm:t>
    </dgm:pt>
    <dgm:pt modelId="{65B9CA51-84ED-4799-9D9D-7E9F32C63911}" type="pres">
      <dgm:prSet presAssocID="{7E1D7E6C-2C86-4558-8C56-C998BF55F98B}" presName="text4" presStyleLbl="fgAcc4" presStyleIdx="5" presStyleCnt="11" custScaleX="386620" custScaleY="175646">
        <dgm:presLayoutVars>
          <dgm:chPref val="3"/>
        </dgm:presLayoutVars>
      </dgm:prSet>
      <dgm:spPr/>
      <dgm:t>
        <a:bodyPr/>
        <a:lstStyle/>
        <a:p>
          <a:endParaRPr lang="en-US"/>
        </a:p>
      </dgm:t>
    </dgm:pt>
    <dgm:pt modelId="{80D77E7E-A58E-4CF8-8575-FC684565E115}" type="pres">
      <dgm:prSet presAssocID="{7E1D7E6C-2C86-4558-8C56-C998BF55F98B}" presName="hierChild5" presStyleCnt="0"/>
      <dgm:spPr/>
    </dgm:pt>
    <dgm:pt modelId="{A1B0DA20-A8AA-4951-B75E-C698A3AF4642}" type="pres">
      <dgm:prSet presAssocID="{E46B1DA1-70E9-4A45-B442-D8B7E75B806A}" presName="Name23" presStyleLbl="parChTrans1D4" presStyleIdx="6" presStyleCnt="11"/>
      <dgm:spPr/>
      <dgm:t>
        <a:bodyPr/>
        <a:lstStyle/>
        <a:p>
          <a:endParaRPr lang="en-US"/>
        </a:p>
      </dgm:t>
    </dgm:pt>
    <dgm:pt modelId="{7B22115C-B848-41E9-B85D-156639E9AF9C}" type="pres">
      <dgm:prSet presAssocID="{E88EF19C-1320-47E4-A7C1-066695C69789}" presName="hierRoot4" presStyleCnt="0"/>
      <dgm:spPr/>
    </dgm:pt>
    <dgm:pt modelId="{302D29DB-D2AE-4A85-A0B5-9036B6B22517}" type="pres">
      <dgm:prSet presAssocID="{E88EF19C-1320-47E4-A7C1-066695C69789}" presName="composite4" presStyleCnt="0"/>
      <dgm:spPr/>
    </dgm:pt>
    <dgm:pt modelId="{B1081B2D-905F-4A46-B5CB-3BE31620AE0D}" type="pres">
      <dgm:prSet presAssocID="{E88EF19C-1320-47E4-A7C1-066695C69789}" presName="background4" presStyleLbl="node4" presStyleIdx="6" presStyleCnt="11"/>
      <dgm:spPr>
        <a:solidFill>
          <a:srgbClr val="7DDC1E"/>
        </a:solidFill>
        <a:ln>
          <a:solidFill>
            <a:srgbClr val="7DDC1E"/>
          </a:solidFill>
        </a:ln>
      </dgm:spPr>
      <dgm:t>
        <a:bodyPr/>
        <a:lstStyle/>
        <a:p>
          <a:endParaRPr lang="en-GB"/>
        </a:p>
      </dgm:t>
    </dgm:pt>
    <dgm:pt modelId="{C056F3F0-7262-444C-ABA8-4DD3F546BE2B}" type="pres">
      <dgm:prSet presAssocID="{E88EF19C-1320-47E4-A7C1-066695C69789}" presName="text4" presStyleLbl="fgAcc4" presStyleIdx="6" presStyleCnt="11" custScaleX="182110" custScaleY="75132">
        <dgm:presLayoutVars>
          <dgm:chPref val="3"/>
        </dgm:presLayoutVars>
      </dgm:prSet>
      <dgm:spPr/>
      <dgm:t>
        <a:bodyPr/>
        <a:lstStyle/>
        <a:p>
          <a:endParaRPr lang="en-US"/>
        </a:p>
      </dgm:t>
    </dgm:pt>
    <dgm:pt modelId="{CACE612B-99C4-4A2F-92BB-905E89BEB7AB}" type="pres">
      <dgm:prSet presAssocID="{E88EF19C-1320-47E4-A7C1-066695C69789}" presName="hierChild5" presStyleCnt="0"/>
      <dgm:spPr/>
    </dgm:pt>
    <dgm:pt modelId="{BEEE3088-488D-41C4-A436-3B39588435A3}" type="pres">
      <dgm:prSet presAssocID="{018E5C13-43DD-4714-B98B-FA100ED3227B}" presName="Name23" presStyleLbl="parChTrans1D4" presStyleIdx="7" presStyleCnt="11"/>
      <dgm:spPr/>
      <dgm:t>
        <a:bodyPr/>
        <a:lstStyle/>
        <a:p>
          <a:endParaRPr lang="en-US"/>
        </a:p>
      </dgm:t>
    </dgm:pt>
    <dgm:pt modelId="{5A9532EE-69FD-4734-BBD1-3CE6ED91EDD3}" type="pres">
      <dgm:prSet presAssocID="{96EB5C33-56AA-4047-9527-86C78A3D938B}" presName="hierRoot4" presStyleCnt="0"/>
      <dgm:spPr/>
    </dgm:pt>
    <dgm:pt modelId="{47FAA27E-AAFF-4250-B8B2-43910D3246CE}" type="pres">
      <dgm:prSet presAssocID="{96EB5C33-56AA-4047-9527-86C78A3D938B}" presName="composite4" presStyleCnt="0"/>
      <dgm:spPr/>
    </dgm:pt>
    <dgm:pt modelId="{B59065B0-7F58-4043-82D8-3568B129D0A8}" type="pres">
      <dgm:prSet presAssocID="{96EB5C33-56AA-4047-9527-86C78A3D938B}" presName="background4" presStyleLbl="node4" presStyleIdx="7" presStyleCnt="11"/>
      <dgm:spPr>
        <a:solidFill>
          <a:srgbClr val="7DDC1E"/>
        </a:solidFill>
        <a:ln>
          <a:solidFill>
            <a:srgbClr val="7DDC1E"/>
          </a:solidFill>
        </a:ln>
      </dgm:spPr>
      <dgm:t>
        <a:bodyPr/>
        <a:lstStyle/>
        <a:p>
          <a:endParaRPr lang="en-GB"/>
        </a:p>
      </dgm:t>
    </dgm:pt>
    <dgm:pt modelId="{1919BD5D-B387-4446-AD0C-932EA92DF99E}" type="pres">
      <dgm:prSet presAssocID="{96EB5C33-56AA-4047-9527-86C78A3D938B}" presName="text4" presStyleLbl="fgAcc4" presStyleIdx="7" presStyleCnt="11" custScaleX="177586" custScaleY="75132">
        <dgm:presLayoutVars>
          <dgm:chPref val="3"/>
        </dgm:presLayoutVars>
      </dgm:prSet>
      <dgm:spPr/>
      <dgm:t>
        <a:bodyPr/>
        <a:lstStyle/>
        <a:p>
          <a:endParaRPr lang="en-US"/>
        </a:p>
      </dgm:t>
    </dgm:pt>
    <dgm:pt modelId="{418D440C-504E-44E1-B595-F2A58F4AA9AB}" type="pres">
      <dgm:prSet presAssocID="{96EB5C33-56AA-4047-9527-86C78A3D938B}" presName="hierChild5" presStyleCnt="0"/>
      <dgm:spPr/>
    </dgm:pt>
    <dgm:pt modelId="{92BA890B-9536-4299-96C9-B269755FC175}" type="pres">
      <dgm:prSet presAssocID="{6FC4B0C2-DDED-4DE4-86E7-BC5A08A95CCE}" presName="Name23" presStyleLbl="parChTrans1D4" presStyleIdx="8" presStyleCnt="11"/>
      <dgm:spPr/>
      <dgm:t>
        <a:bodyPr/>
        <a:lstStyle/>
        <a:p>
          <a:endParaRPr lang="en-US"/>
        </a:p>
      </dgm:t>
    </dgm:pt>
    <dgm:pt modelId="{4491BF32-69D1-4E4F-92F8-323AD80E9896}" type="pres">
      <dgm:prSet presAssocID="{21567C9A-DA76-4078-8579-13E858F56881}" presName="hierRoot4" presStyleCnt="0"/>
      <dgm:spPr/>
    </dgm:pt>
    <dgm:pt modelId="{A2A36E2C-E4C6-4518-8FC2-216C81B64303}" type="pres">
      <dgm:prSet presAssocID="{21567C9A-DA76-4078-8579-13E858F56881}" presName="composite4" presStyleCnt="0"/>
      <dgm:spPr/>
    </dgm:pt>
    <dgm:pt modelId="{06A99070-ACBA-4501-B979-7B2E3445977C}" type="pres">
      <dgm:prSet presAssocID="{21567C9A-DA76-4078-8579-13E858F56881}" presName="background4" presStyleLbl="node4" presStyleIdx="8" presStyleCnt="11"/>
      <dgm:spPr>
        <a:solidFill>
          <a:srgbClr val="7DDC1E"/>
        </a:solidFill>
        <a:ln>
          <a:solidFill>
            <a:srgbClr val="7DDC1E"/>
          </a:solidFill>
        </a:ln>
      </dgm:spPr>
      <dgm:t>
        <a:bodyPr/>
        <a:lstStyle/>
        <a:p>
          <a:endParaRPr lang="en-GB"/>
        </a:p>
      </dgm:t>
    </dgm:pt>
    <dgm:pt modelId="{F5DFA7EE-8758-4220-AEF2-819A399EFF15}" type="pres">
      <dgm:prSet presAssocID="{21567C9A-DA76-4078-8579-13E858F56881}" presName="text4" presStyleLbl="fgAcc4" presStyleIdx="8" presStyleCnt="11" custScaleX="180355" custScaleY="75132">
        <dgm:presLayoutVars>
          <dgm:chPref val="3"/>
        </dgm:presLayoutVars>
      </dgm:prSet>
      <dgm:spPr/>
      <dgm:t>
        <a:bodyPr/>
        <a:lstStyle/>
        <a:p>
          <a:endParaRPr lang="en-US"/>
        </a:p>
      </dgm:t>
    </dgm:pt>
    <dgm:pt modelId="{10A6B766-062A-486E-81EC-ED0F61EAAAFB}" type="pres">
      <dgm:prSet presAssocID="{21567C9A-DA76-4078-8579-13E858F56881}" presName="hierChild5" presStyleCnt="0"/>
      <dgm:spPr/>
    </dgm:pt>
    <dgm:pt modelId="{C85C196C-B444-4A1D-A284-E63A5DEEA70B}" type="pres">
      <dgm:prSet presAssocID="{A63A20FF-3236-4732-BC2E-E8618CFD43D7}" presName="Name23" presStyleLbl="parChTrans1D4" presStyleIdx="9" presStyleCnt="11"/>
      <dgm:spPr/>
      <dgm:t>
        <a:bodyPr/>
        <a:lstStyle/>
        <a:p>
          <a:endParaRPr lang="en-US"/>
        </a:p>
      </dgm:t>
    </dgm:pt>
    <dgm:pt modelId="{6E4B91FF-4026-40C1-8293-1ABCA1F3CF78}" type="pres">
      <dgm:prSet presAssocID="{8F0AC9E6-340A-4582-AA72-4D0DC47E346F}" presName="hierRoot4" presStyleCnt="0"/>
      <dgm:spPr/>
    </dgm:pt>
    <dgm:pt modelId="{37009F30-5490-47C8-8D5E-33F90CB9FB0A}" type="pres">
      <dgm:prSet presAssocID="{8F0AC9E6-340A-4582-AA72-4D0DC47E346F}" presName="composite4" presStyleCnt="0"/>
      <dgm:spPr/>
    </dgm:pt>
    <dgm:pt modelId="{4413ACEB-9430-4591-9C1B-413CE27CDBB5}" type="pres">
      <dgm:prSet presAssocID="{8F0AC9E6-340A-4582-AA72-4D0DC47E346F}" presName="background4" presStyleLbl="node4" presStyleIdx="9" presStyleCnt="11"/>
      <dgm:spPr>
        <a:solidFill>
          <a:srgbClr val="7DDC1E"/>
        </a:solidFill>
      </dgm:spPr>
      <dgm:t>
        <a:bodyPr/>
        <a:lstStyle/>
        <a:p>
          <a:endParaRPr lang="en-GB"/>
        </a:p>
      </dgm:t>
    </dgm:pt>
    <dgm:pt modelId="{5A2023FD-6580-426B-91AB-2F1CD747678F}" type="pres">
      <dgm:prSet presAssocID="{8F0AC9E6-340A-4582-AA72-4D0DC47E346F}" presName="text4" presStyleLbl="fgAcc4" presStyleIdx="9" presStyleCnt="11" custScaleX="176327" custScaleY="75132">
        <dgm:presLayoutVars>
          <dgm:chPref val="3"/>
        </dgm:presLayoutVars>
      </dgm:prSet>
      <dgm:spPr/>
      <dgm:t>
        <a:bodyPr/>
        <a:lstStyle/>
        <a:p>
          <a:endParaRPr lang="en-US"/>
        </a:p>
      </dgm:t>
    </dgm:pt>
    <dgm:pt modelId="{DBA2F9DF-41C7-43EB-8559-2674753147F0}" type="pres">
      <dgm:prSet presAssocID="{8F0AC9E6-340A-4582-AA72-4D0DC47E346F}" presName="hierChild5" presStyleCnt="0"/>
      <dgm:spPr/>
    </dgm:pt>
    <dgm:pt modelId="{61A2B8AB-B01A-474B-9FC7-B7E70FDD65E7}" type="pres">
      <dgm:prSet presAssocID="{DE92D38B-6E31-4973-9CC2-4E7924598AFC}" presName="Name23" presStyleLbl="parChTrans1D4" presStyleIdx="10" presStyleCnt="11"/>
      <dgm:spPr/>
      <dgm:t>
        <a:bodyPr/>
        <a:lstStyle/>
        <a:p>
          <a:endParaRPr lang="en-US"/>
        </a:p>
      </dgm:t>
    </dgm:pt>
    <dgm:pt modelId="{1127B477-59DC-4705-AECA-B872DAF5226D}" type="pres">
      <dgm:prSet presAssocID="{79A0E8C2-4EAA-476A-AB33-39088A6A2A87}" presName="hierRoot4" presStyleCnt="0"/>
      <dgm:spPr/>
    </dgm:pt>
    <dgm:pt modelId="{B2E1FAFD-5107-46F0-8FAA-B70D11AD0D70}" type="pres">
      <dgm:prSet presAssocID="{79A0E8C2-4EAA-476A-AB33-39088A6A2A87}" presName="composite4" presStyleCnt="0"/>
      <dgm:spPr/>
    </dgm:pt>
    <dgm:pt modelId="{7FAB7254-BEEC-458E-9759-7A13EA33695E}" type="pres">
      <dgm:prSet presAssocID="{79A0E8C2-4EAA-476A-AB33-39088A6A2A87}" presName="background4" presStyleLbl="node4" presStyleIdx="10" presStyleCnt="11"/>
      <dgm:spPr>
        <a:solidFill>
          <a:srgbClr val="9E0880"/>
        </a:solidFill>
        <a:ln>
          <a:solidFill>
            <a:srgbClr val="9E0880"/>
          </a:solidFill>
        </a:ln>
      </dgm:spPr>
      <dgm:t>
        <a:bodyPr/>
        <a:lstStyle/>
        <a:p>
          <a:endParaRPr lang="en-GB"/>
        </a:p>
      </dgm:t>
    </dgm:pt>
    <dgm:pt modelId="{695F7FD3-3230-496F-AE1D-FBD28A0DE1AA}" type="pres">
      <dgm:prSet presAssocID="{79A0E8C2-4EAA-476A-AB33-39088A6A2A87}" presName="text4" presStyleLbl="fgAcc4" presStyleIdx="10" presStyleCnt="11" custScaleX="373698" custScaleY="163237">
        <dgm:presLayoutVars>
          <dgm:chPref val="3"/>
        </dgm:presLayoutVars>
      </dgm:prSet>
      <dgm:spPr/>
      <dgm:t>
        <a:bodyPr/>
        <a:lstStyle/>
        <a:p>
          <a:endParaRPr lang="en-US"/>
        </a:p>
      </dgm:t>
    </dgm:pt>
    <dgm:pt modelId="{42F55EC6-CE15-4D3C-9E8C-B83F1CFE17BB}" type="pres">
      <dgm:prSet presAssocID="{79A0E8C2-4EAA-476A-AB33-39088A6A2A87}" presName="hierChild5" presStyleCnt="0"/>
      <dgm:spPr/>
    </dgm:pt>
  </dgm:ptLst>
  <dgm:cxnLst>
    <dgm:cxn modelId="{35FF0123-ED51-4FD2-BE34-B5057338222D}" srcId="{92FFEB76-1DA9-4890-88A8-13F3604E35D7}" destId="{692613B9-E0B8-4A5A-9631-274BE4039D9B}" srcOrd="0" destOrd="0" parTransId="{46BABC93-190B-4189-B255-4CCA0E31A516}" sibTransId="{C923B97A-0B96-46E4-ACD6-C8156E7E9A73}"/>
    <dgm:cxn modelId="{BE7B3E08-9EA4-44DB-A0E0-7BC96B7B4E41}" type="presOf" srcId="{07535519-73EF-4E92-B558-85FB5E17B0A4}" destId="{068E995D-CD4F-430E-B694-60F864789F69}" srcOrd="0" destOrd="0" presId="urn:microsoft.com/office/officeart/2005/8/layout/hierarchy1"/>
    <dgm:cxn modelId="{B7044A9C-61F7-4869-82D4-7DDA3A287BED}" srcId="{981C9CFA-2F6F-4C60-91E7-0A417436119C}" destId="{CCB23740-6CA8-44D5-A54D-0787E9996D48}" srcOrd="1" destOrd="0" parTransId="{133484D4-9348-4125-B090-94E26D51DFF9}" sibTransId="{8A1A82B9-F689-455C-8322-B7EB7D275B81}"/>
    <dgm:cxn modelId="{4536AA1A-60A1-4980-B28C-B0918A0BD6F3}" srcId="{51E8BBF5-2224-4A5A-B602-34C2CDFE09B8}" destId="{BFF828A6-FF3B-4983-9AA6-44D9C05E5211}" srcOrd="0" destOrd="0" parTransId="{2CA9F8D4-9D22-41BF-B63B-A70D6D6DA05D}" sibTransId="{5E948ABC-20A3-453C-80CF-981EDA9EF37D}"/>
    <dgm:cxn modelId="{2D882C11-788E-48B2-BB33-2A2340A77633}" type="presOf" srcId="{E46B1DA1-70E9-4A45-B442-D8B7E75B806A}" destId="{A1B0DA20-A8AA-4951-B75E-C698A3AF4642}" srcOrd="0" destOrd="0" presId="urn:microsoft.com/office/officeart/2005/8/layout/hierarchy1"/>
    <dgm:cxn modelId="{053CEC27-D965-437C-9B72-AD2D748AF3D8}" srcId="{8F0AC9E6-340A-4582-AA72-4D0DC47E346F}" destId="{79A0E8C2-4EAA-476A-AB33-39088A6A2A87}" srcOrd="0" destOrd="0" parTransId="{DE92D38B-6E31-4973-9CC2-4E7924598AFC}" sibTransId="{063D0502-D4D4-4E8E-A292-2DB962AA38F6}"/>
    <dgm:cxn modelId="{D89C3D29-4871-4C95-82F4-A0662C1937F7}" type="presOf" srcId="{692613B9-E0B8-4A5A-9631-274BE4039D9B}" destId="{186D19DC-3316-4A13-9286-79FEA0621543}" srcOrd="0" destOrd="0" presId="urn:microsoft.com/office/officeart/2005/8/layout/hierarchy1"/>
    <dgm:cxn modelId="{7E2D6AF5-7573-431A-919F-546A3F747AF2}" type="presOf" srcId="{981C9CFA-2F6F-4C60-91E7-0A417436119C}" destId="{31B01F7C-9551-494D-B346-2CC34DA26F38}" srcOrd="0" destOrd="0" presId="urn:microsoft.com/office/officeart/2005/8/layout/hierarchy1"/>
    <dgm:cxn modelId="{D5C98A31-0010-4A2F-B8D4-BE2C65DE91F3}" srcId="{7E1D7E6C-2C86-4558-8C56-C998BF55F98B}" destId="{E88EF19C-1320-47E4-A7C1-066695C69789}" srcOrd="0" destOrd="0" parTransId="{E46B1DA1-70E9-4A45-B442-D8B7E75B806A}" sibTransId="{018EB715-B414-4DFF-826B-C880D60780DD}"/>
    <dgm:cxn modelId="{A30D255B-5244-4C34-B33C-5BB3B2F565CE}" srcId="{B7DC88D7-4710-481D-9801-416ABECAE69D}" destId="{7E1D7E6C-2C86-4558-8C56-C998BF55F98B}" srcOrd="0" destOrd="0" parTransId="{0F6833F7-DC81-45C4-905B-502EBBFA371C}" sibTransId="{30357C97-0CF2-44AE-80A3-AE18F43C7819}"/>
    <dgm:cxn modelId="{3C6D3965-C6C8-44DD-9FD4-CFBCDF849259}" type="presOf" srcId="{79A0E8C2-4EAA-476A-AB33-39088A6A2A87}" destId="{695F7FD3-3230-496F-AE1D-FBD28A0DE1AA}" srcOrd="0" destOrd="0" presId="urn:microsoft.com/office/officeart/2005/8/layout/hierarchy1"/>
    <dgm:cxn modelId="{712CFDE9-C5E3-4FE9-BAE0-4912DA6543E2}" type="presOf" srcId="{E88EF19C-1320-47E4-A7C1-066695C69789}" destId="{C056F3F0-7262-444C-ABA8-4DD3F546BE2B}" srcOrd="0" destOrd="0" presId="urn:microsoft.com/office/officeart/2005/8/layout/hierarchy1"/>
    <dgm:cxn modelId="{24E1A7A1-0754-4B3A-9B42-A4D78DE3C40A}" type="presOf" srcId="{7E1D7E6C-2C86-4558-8C56-C998BF55F98B}" destId="{65B9CA51-84ED-4799-9D9D-7E9F32C63911}" srcOrd="0" destOrd="0" presId="urn:microsoft.com/office/officeart/2005/8/layout/hierarchy1"/>
    <dgm:cxn modelId="{AC074886-1218-4199-9973-EA005B2BA314}" type="presOf" srcId="{A63A20FF-3236-4732-BC2E-E8618CFD43D7}" destId="{C85C196C-B444-4A1D-A284-E63A5DEEA70B}" srcOrd="0" destOrd="0" presId="urn:microsoft.com/office/officeart/2005/8/layout/hierarchy1"/>
    <dgm:cxn modelId="{7E44C644-454D-4D96-A806-414280AB5959}" type="presOf" srcId="{96EB5C33-56AA-4047-9527-86C78A3D938B}" destId="{1919BD5D-B387-4446-AD0C-932EA92DF99E}" srcOrd="0" destOrd="0" presId="urn:microsoft.com/office/officeart/2005/8/layout/hierarchy1"/>
    <dgm:cxn modelId="{AE902434-1BB8-47CB-885F-95804E9B227A}" srcId="{981C9CFA-2F6F-4C60-91E7-0A417436119C}" destId="{0E1EF817-9922-4F68-8296-988142906A78}" srcOrd="0" destOrd="0" parTransId="{07535519-73EF-4E92-B558-85FB5E17B0A4}" sibTransId="{4D4BD713-D397-424C-AB2B-C3D4C0330241}"/>
    <dgm:cxn modelId="{F5CBF4B4-A319-4B08-B75F-BDC0CC6A311E}" srcId="{BFF828A6-FF3B-4983-9AA6-44D9C05E5211}" destId="{92FFEB76-1DA9-4890-88A8-13F3604E35D7}" srcOrd="0" destOrd="0" parTransId="{B3BF1FD6-B4A3-4F87-BED8-2A4BEA572E0F}" sibTransId="{FC91EDF3-F8CF-401F-A42C-6D8B3489EE43}"/>
    <dgm:cxn modelId="{EA768B60-B621-41CF-B65F-4922410571AD}" type="presOf" srcId="{CCB23740-6CA8-44D5-A54D-0787E9996D48}" destId="{286B4F7E-8D44-4EF4-931D-C46B213D57C6}" srcOrd="0" destOrd="0" presId="urn:microsoft.com/office/officeart/2005/8/layout/hierarchy1"/>
    <dgm:cxn modelId="{92778DF4-2BD2-41CE-A9B9-7DBC85E16750}" type="presOf" srcId="{DE92D38B-6E31-4973-9CC2-4E7924598AFC}" destId="{61A2B8AB-B01A-474B-9FC7-B7E70FDD65E7}" srcOrd="0" destOrd="0" presId="urn:microsoft.com/office/officeart/2005/8/layout/hierarchy1"/>
    <dgm:cxn modelId="{C5A4830F-087C-4E30-B016-65A90DE4DE0F}" type="presOf" srcId="{0E1EF817-9922-4F68-8296-988142906A78}" destId="{D79EC751-DAD9-4812-9888-9ACA98EDF2E0}" srcOrd="0" destOrd="0" presId="urn:microsoft.com/office/officeart/2005/8/layout/hierarchy1"/>
    <dgm:cxn modelId="{CF6C01D0-F2DE-4AD7-B83A-A3C01DAB5B1A}" srcId="{E88EF19C-1320-47E4-A7C1-066695C69789}" destId="{96EB5C33-56AA-4047-9527-86C78A3D938B}" srcOrd="0" destOrd="0" parTransId="{018E5C13-43DD-4714-B98B-FA100ED3227B}" sibTransId="{3F32371D-BF71-4302-98C8-D5F47A3BF382}"/>
    <dgm:cxn modelId="{78A81988-F498-4705-9B0A-C0DF5685E8D8}" type="presOf" srcId="{018E5C13-43DD-4714-B98B-FA100ED3227B}" destId="{BEEE3088-488D-41C4-A436-3B39588435A3}" srcOrd="0" destOrd="0" presId="urn:microsoft.com/office/officeart/2005/8/layout/hierarchy1"/>
    <dgm:cxn modelId="{D0D727AF-063C-4633-A219-008433794132}" type="presOf" srcId="{B7DC88D7-4710-481D-9801-416ABECAE69D}" destId="{7F5FA490-35EF-4788-BC86-78443252AB70}" srcOrd="0" destOrd="0" presId="urn:microsoft.com/office/officeart/2005/8/layout/hierarchy1"/>
    <dgm:cxn modelId="{5CBFCC0B-0BF2-4C14-887A-7E34C93096B4}" type="presOf" srcId="{21567C9A-DA76-4078-8579-13E858F56881}" destId="{F5DFA7EE-8758-4220-AEF2-819A399EFF15}" srcOrd="0" destOrd="0" presId="urn:microsoft.com/office/officeart/2005/8/layout/hierarchy1"/>
    <dgm:cxn modelId="{E025510A-6B82-4FBD-8261-AF174C2CB9BF}" type="presOf" srcId="{51E8BBF5-2224-4A5A-B602-34C2CDFE09B8}" destId="{1C8F6518-4531-4FB6-923E-393E71A02771}" srcOrd="0" destOrd="0" presId="urn:microsoft.com/office/officeart/2005/8/layout/hierarchy1"/>
    <dgm:cxn modelId="{79978E3E-9A96-47D6-BB3D-52E486436DD4}" type="presOf" srcId="{46BABC93-190B-4189-B255-4CCA0E31A516}" destId="{F4D40AC4-022A-4D58-90B0-F68BB2D86AA6}" srcOrd="0" destOrd="0" presId="urn:microsoft.com/office/officeart/2005/8/layout/hierarchy1"/>
    <dgm:cxn modelId="{A3B60C96-E457-47EF-BDFB-F79041ED8388}" type="presOf" srcId="{51D2E35A-6A69-47C7-8FAD-F208C367618B}" destId="{2097C97C-C141-42FF-8A21-6F9462CD4896}" srcOrd="0" destOrd="0" presId="urn:microsoft.com/office/officeart/2005/8/layout/hierarchy1"/>
    <dgm:cxn modelId="{16B7750E-295A-4E5F-83C9-AFA7AFE7E5EC}" srcId="{692613B9-E0B8-4A5A-9631-274BE4039D9B}" destId="{981C9CFA-2F6F-4C60-91E7-0A417436119C}" srcOrd="0" destOrd="0" parTransId="{087376D6-6CA2-42A2-8C55-A18A03D1B0B5}" sibTransId="{D50FC00B-1FAC-4E81-B0DE-71800B8971CF}"/>
    <dgm:cxn modelId="{C41606DB-8D51-4B57-8D9E-879B46250ACE}" type="presOf" srcId="{087376D6-6CA2-42A2-8C55-A18A03D1B0B5}" destId="{AD366AF8-F9FA-41C9-A43B-BF3265A435B6}" srcOrd="0" destOrd="0" presId="urn:microsoft.com/office/officeart/2005/8/layout/hierarchy1"/>
    <dgm:cxn modelId="{9795AC90-0D91-41F8-AF2C-35061E546E87}" type="presOf" srcId="{92FFEB76-1DA9-4890-88A8-13F3604E35D7}" destId="{A760F31F-7774-468E-AB94-816C5E14B916}" srcOrd="0" destOrd="0" presId="urn:microsoft.com/office/officeart/2005/8/layout/hierarchy1"/>
    <dgm:cxn modelId="{2B2EF0BF-4848-4F9D-92CF-31959989D7B4}" type="presOf" srcId="{0F6833F7-DC81-45C4-905B-502EBBFA371C}" destId="{4DEC9BE2-C60F-4893-A5E1-C3E8EF8AA37C}" srcOrd="0" destOrd="0" presId="urn:microsoft.com/office/officeart/2005/8/layout/hierarchy1"/>
    <dgm:cxn modelId="{80B0B543-FE51-4740-90AB-A9A6F2756BEB}" srcId="{21567C9A-DA76-4078-8579-13E858F56881}" destId="{8F0AC9E6-340A-4582-AA72-4D0DC47E346F}" srcOrd="0" destOrd="0" parTransId="{A63A20FF-3236-4732-BC2E-E8618CFD43D7}" sibTransId="{3FCBB029-67AB-4AB1-B65E-8A311B575D96}"/>
    <dgm:cxn modelId="{11DECCBC-7D76-445A-A5C5-3B6B0BE4191C}" srcId="{CCB23740-6CA8-44D5-A54D-0787E9996D48}" destId="{B7DC88D7-4710-481D-9801-416ABECAE69D}" srcOrd="0" destOrd="0" parTransId="{733022D7-2D18-440B-81D5-0CFCCEDD9338}" sibTransId="{1F561624-22E5-473B-A072-4EC8E7B73BE2}"/>
    <dgm:cxn modelId="{2912AC80-1886-41CF-8B51-1732A7914790}" type="presOf" srcId="{733022D7-2D18-440B-81D5-0CFCCEDD9338}" destId="{E2A0630E-4A05-444A-AFD2-C9B0AF667B0B}" srcOrd="0" destOrd="0" presId="urn:microsoft.com/office/officeart/2005/8/layout/hierarchy1"/>
    <dgm:cxn modelId="{613FD4FA-1B3F-416E-AA7C-8A3E1703810A}" type="presOf" srcId="{8F0AC9E6-340A-4582-AA72-4D0DC47E346F}" destId="{5A2023FD-6580-426B-91AB-2F1CD747678F}" srcOrd="0" destOrd="0" presId="urn:microsoft.com/office/officeart/2005/8/layout/hierarchy1"/>
    <dgm:cxn modelId="{3889A670-B269-4AC0-9CB8-F7038ED9DDEA}" type="presOf" srcId="{6FC4B0C2-DDED-4DE4-86E7-BC5A08A95CCE}" destId="{92BA890B-9536-4299-96C9-B269755FC175}" srcOrd="0" destOrd="0" presId="urn:microsoft.com/office/officeart/2005/8/layout/hierarchy1"/>
    <dgm:cxn modelId="{CAE4AF26-67FA-420E-A4F5-7B76ED2DF80F}" type="presOf" srcId="{B3BF1FD6-B4A3-4F87-BED8-2A4BEA572E0F}" destId="{7EC82301-A429-49BE-A4CA-9152DF69FC69}" srcOrd="0" destOrd="0" presId="urn:microsoft.com/office/officeart/2005/8/layout/hierarchy1"/>
    <dgm:cxn modelId="{54A74037-3BC0-42BF-B053-756D2EA79A79}" type="presOf" srcId="{BFF828A6-FF3B-4983-9AA6-44D9C05E5211}" destId="{56F9E952-EAAF-45A1-9E44-92C0F6C04663}" srcOrd="0" destOrd="0" presId="urn:microsoft.com/office/officeart/2005/8/layout/hierarchy1"/>
    <dgm:cxn modelId="{0937D09E-019A-4251-A839-241F79647E53}" type="presOf" srcId="{133484D4-9348-4125-B090-94E26D51DFF9}" destId="{2C9DDC87-9A0A-4128-BEF4-BA278FA9F451}" srcOrd="0" destOrd="0" presId="urn:microsoft.com/office/officeart/2005/8/layout/hierarchy1"/>
    <dgm:cxn modelId="{D56DFF93-64EC-439C-A04E-416387AF79EF}" type="presOf" srcId="{8B61CB54-2D16-4FAC-9340-B74ABB0F561C}" destId="{E2AF8BCE-BABF-4FDA-ADD6-9772BE13A31E}" srcOrd="0" destOrd="0" presId="urn:microsoft.com/office/officeart/2005/8/layout/hierarchy1"/>
    <dgm:cxn modelId="{57476610-B483-47CC-8C6F-AFCECBB618C9}" srcId="{7E1D7E6C-2C86-4558-8C56-C998BF55F98B}" destId="{21567C9A-DA76-4078-8579-13E858F56881}" srcOrd="1" destOrd="0" parTransId="{6FC4B0C2-DDED-4DE4-86E7-BC5A08A95CCE}" sibTransId="{779DE0C3-6C8D-4365-83DF-F6ED2A2F1692}"/>
    <dgm:cxn modelId="{CCEC279C-178E-4C2E-929B-B1C44785721B}" srcId="{0E1EF817-9922-4F68-8296-988142906A78}" destId="{51D2E35A-6A69-47C7-8FAD-F208C367618B}" srcOrd="0" destOrd="0" parTransId="{8B61CB54-2D16-4FAC-9340-B74ABB0F561C}" sibTransId="{1E0496EA-8A65-4330-B8EB-B52D5670B3C3}"/>
    <dgm:cxn modelId="{716D279F-159C-47D4-B4F7-B09EB97AD58D}" type="presParOf" srcId="{1C8F6518-4531-4FB6-923E-393E71A02771}" destId="{29BA3590-4AE6-4884-8CF4-F830933700F9}" srcOrd="0" destOrd="0" presId="urn:microsoft.com/office/officeart/2005/8/layout/hierarchy1"/>
    <dgm:cxn modelId="{2FD128B9-B8B5-440D-9429-AE1AFECEB1C3}" type="presParOf" srcId="{29BA3590-4AE6-4884-8CF4-F830933700F9}" destId="{3E16AA15-80F4-44DA-89AB-B43DB9BB30E6}" srcOrd="0" destOrd="0" presId="urn:microsoft.com/office/officeart/2005/8/layout/hierarchy1"/>
    <dgm:cxn modelId="{1B6B1D5D-9F2A-48DA-88CC-E2CCA5F79E3B}" type="presParOf" srcId="{3E16AA15-80F4-44DA-89AB-B43DB9BB30E6}" destId="{E35CA196-18DD-4D91-85EF-411FFAC47438}" srcOrd="0" destOrd="0" presId="urn:microsoft.com/office/officeart/2005/8/layout/hierarchy1"/>
    <dgm:cxn modelId="{CDAF5DE5-7742-4C3E-B688-6C75313649CE}" type="presParOf" srcId="{3E16AA15-80F4-44DA-89AB-B43DB9BB30E6}" destId="{56F9E952-EAAF-45A1-9E44-92C0F6C04663}" srcOrd="1" destOrd="0" presId="urn:microsoft.com/office/officeart/2005/8/layout/hierarchy1"/>
    <dgm:cxn modelId="{36465BC8-D874-46DC-9427-7FC35EA99BE1}" type="presParOf" srcId="{29BA3590-4AE6-4884-8CF4-F830933700F9}" destId="{FBBC8974-1333-41CA-B75E-955FB60A812D}" srcOrd="1" destOrd="0" presId="urn:microsoft.com/office/officeart/2005/8/layout/hierarchy1"/>
    <dgm:cxn modelId="{37D45D6A-6C0C-4817-BB53-9CDA76BC5E10}" type="presParOf" srcId="{FBBC8974-1333-41CA-B75E-955FB60A812D}" destId="{7EC82301-A429-49BE-A4CA-9152DF69FC69}" srcOrd="0" destOrd="0" presId="urn:microsoft.com/office/officeart/2005/8/layout/hierarchy1"/>
    <dgm:cxn modelId="{946A5F98-C4A5-4D77-BC23-59E2617621A9}" type="presParOf" srcId="{FBBC8974-1333-41CA-B75E-955FB60A812D}" destId="{AD4FDBC0-5832-4EF2-9D60-A7B561D5A6BA}" srcOrd="1" destOrd="0" presId="urn:microsoft.com/office/officeart/2005/8/layout/hierarchy1"/>
    <dgm:cxn modelId="{72B56B21-9B0E-49D3-B402-6C6E613AC82E}" type="presParOf" srcId="{AD4FDBC0-5832-4EF2-9D60-A7B561D5A6BA}" destId="{5E88396D-26B8-45D2-B243-709EC5009C85}" srcOrd="0" destOrd="0" presId="urn:microsoft.com/office/officeart/2005/8/layout/hierarchy1"/>
    <dgm:cxn modelId="{07944CAE-76F2-400D-93AA-080A9FB38486}" type="presParOf" srcId="{5E88396D-26B8-45D2-B243-709EC5009C85}" destId="{5BD50AFA-67B0-4641-9335-35C64CA1AA05}" srcOrd="0" destOrd="0" presId="urn:microsoft.com/office/officeart/2005/8/layout/hierarchy1"/>
    <dgm:cxn modelId="{B55115BA-333D-49E9-93EF-31B0F1E23408}" type="presParOf" srcId="{5E88396D-26B8-45D2-B243-709EC5009C85}" destId="{A760F31F-7774-468E-AB94-816C5E14B916}" srcOrd="1" destOrd="0" presId="urn:microsoft.com/office/officeart/2005/8/layout/hierarchy1"/>
    <dgm:cxn modelId="{D27D7DED-B991-412D-AEB8-30D3D4270385}" type="presParOf" srcId="{AD4FDBC0-5832-4EF2-9D60-A7B561D5A6BA}" destId="{BD89E10F-FE42-45AB-A077-B37321011427}" srcOrd="1" destOrd="0" presId="urn:microsoft.com/office/officeart/2005/8/layout/hierarchy1"/>
    <dgm:cxn modelId="{8F7EE95C-24EE-48F9-9181-A87EE2C34819}" type="presParOf" srcId="{BD89E10F-FE42-45AB-A077-B37321011427}" destId="{F4D40AC4-022A-4D58-90B0-F68BB2D86AA6}" srcOrd="0" destOrd="0" presId="urn:microsoft.com/office/officeart/2005/8/layout/hierarchy1"/>
    <dgm:cxn modelId="{32E5D814-D129-4A6A-822A-0154C80818B1}" type="presParOf" srcId="{BD89E10F-FE42-45AB-A077-B37321011427}" destId="{A607C1C0-782E-4D19-B78C-69756035F829}" srcOrd="1" destOrd="0" presId="urn:microsoft.com/office/officeart/2005/8/layout/hierarchy1"/>
    <dgm:cxn modelId="{FCCCBC83-52D3-475B-9AEA-531E6E870D87}" type="presParOf" srcId="{A607C1C0-782E-4D19-B78C-69756035F829}" destId="{ECF34FB3-3184-4222-890C-596840BCC9A5}" srcOrd="0" destOrd="0" presId="urn:microsoft.com/office/officeart/2005/8/layout/hierarchy1"/>
    <dgm:cxn modelId="{2B6270FD-D348-4B52-9048-A5A2222478EF}" type="presParOf" srcId="{ECF34FB3-3184-4222-890C-596840BCC9A5}" destId="{86FBFEDE-BC4F-4B3A-8E07-8458093392CA}" srcOrd="0" destOrd="0" presId="urn:microsoft.com/office/officeart/2005/8/layout/hierarchy1"/>
    <dgm:cxn modelId="{7186AC98-D883-441C-BFEE-91D494CF8F82}" type="presParOf" srcId="{ECF34FB3-3184-4222-890C-596840BCC9A5}" destId="{186D19DC-3316-4A13-9286-79FEA0621543}" srcOrd="1" destOrd="0" presId="urn:microsoft.com/office/officeart/2005/8/layout/hierarchy1"/>
    <dgm:cxn modelId="{92DAA492-C1C1-493D-AF73-22E62CECF60A}" type="presParOf" srcId="{A607C1C0-782E-4D19-B78C-69756035F829}" destId="{76D8FC54-9333-4F97-A866-3CB8D5645835}" srcOrd="1" destOrd="0" presId="urn:microsoft.com/office/officeart/2005/8/layout/hierarchy1"/>
    <dgm:cxn modelId="{E23B7887-7F2E-4167-8DCB-2AF73B7EE969}" type="presParOf" srcId="{76D8FC54-9333-4F97-A866-3CB8D5645835}" destId="{AD366AF8-F9FA-41C9-A43B-BF3265A435B6}" srcOrd="0" destOrd="0" presId="urn:microsoft.com/office/officeart/2005/8/layout/hierarchy1"/>
    <dgm:cxn modelId="{120A5391-F253-4007-8F10-63EDD69037B4}" type="presParOf" srcId="{76D8FC54-9333-4F97-A866-3CB8D5645835}" destId="{913B7FB8-FB7C-4C7C-B0CC-4E55984B5387}" srcOrd="1" destOrd="0" presId="urn:microsoft.com/office/officeart/2005/8/layout/hierarchy1"/>
    <dgm:cxn modelId="{1EF58F49-B83F-4DB6-ACAA-A32684CD45DD}" type="presParOf" srcId="{913B7FB8-FB7C-4C7C-B0CC-4E55984B5387}" destId="{43B20717-6941-4201-B3D9-5EDB8B4C4BA5}" srcOrd="0" destOrd="0" presId="urn:microsoft.com/office/officeart/2005/8/layout/hierarchy1"/>
    <dgm:cxn modelId="{B6DF91AE-2343-48D6-9622-6FB1E7DE16AA}" type="presParOf" srcId="{43B20717-6941-4201-B3D9-5EDB8B4C4BA5}" destId="{BF28BADB-0665-4AE1-A06F-9EFB38406D50}" srcOrd="0" destOrd="0" presId="urn:microsoft.com/office/officeart/2005/8/layout/hierarchy1"/>
    <dgm:cxn modelId="{E8870C7A-D5BE-44B1-892D-DA7EADF7CF31}" type="presParOf" srcId="{43B20717-6941-4201-B3D9-5EDB8B4C4BA5}" destId="{31B01F7C-9551-494D-B346-2CC34DA26F38}" srcOrd="1" destOrd="0" presId="urn:microsoft.com/office/officeart/2005/8/layout/hierarchy1"/>
    <dgm:cxn modelId="{0FD36313-3D28-443D-A0E0-752823D55D17}" type="presParOf" srcId="{913B7FB8-FB7C-4C7C-B0CC-4E55984B5387}" destId="{4EC9F2F4-5569-4D4B-A957-8AFA4D36D4CE}" srcOrd="1" destOrd="0" presId="urn:microsoft.com/office/officeart/2005/8/layout/hierarchy1"/>
    <dgm:cxn modelId="{BA5AF84E-65F5-4BDF-A9F5-243AF558DDCB}" type="presParOf" srcId="{4EC9F2F4-5569-4D4B-A957-8AFA4D36D4CE}" destId="{068E995D-CD4F-430E-B694-60F864789F69}" srcOrd="0" destOrd="0" presId="urn:microsoft.com/office/officeart/2005/8/layout/hierarchy1"/>
    <dgm:cxn modelId="{718257D1-C8B4-4DA3-A34C-53E4CEB80FDD}" type="presParOf" srcId="{4EC9F2F4-5569-4D4B-A957-8AFA4D36D4CE}" destId="{57BAF42D-DE9E-4F60-855B-3FD4397E88DC}" srcOrd="1" destOrd="0" presId="urn:microsoft.com/office/officeart/2005/8/layout/hierarchy1"/>
    <dgm:cxn modelId="{A4E305BC-7F98-49A9-8009-7CA851A17BE5}" type="presParOf" srcId="{57BAF42D-DE9E-4F60-855B-3FD4397E88DC}" destId="{6AF44863-4079-480A-A688-603062AD6A19}" srcOrd="0" destOrd="0" presId="urn:microsoft.com/office/officeart/2005/8/layout/hierarchy1"/>
    <dgm:cxn modelId="{9F117CA4-1B95-49B0-AF42-58F83BE33CA9}" type="presParOf" srcId="{6AF44863-4079-480A-A688-603062AD6A19}" destId="{508ACCC6-F5BA-4518-8873-090C6C652670}" srcOrd="0" destOrd="0" presId="urn:microsoft.com/office/officeart/2005/8/layout/hierarchy1"/>
    <dgm:cxn modelId="{5C0673A0-AEE4-45DF-85AF-DAB603484A74}" type="presParOf" srcId="{6AF44863-4079-480A-A688-603062AD6A19}" destId="{D79EC751-DAD9-4812-9888-9ACA98EDF2E0}" srcOrd="1" destOrd="0" presId="urn:microsoft.com/office/officeart/2005/8/layout/hierarchy1"/>
    <dgm:cxn modelId="{EBA70170-6048-4459-BECC-EB2F0CD171F2}" type="presParOf" srcId="{57BAF42D-DE9E-4F60-855B-3FD4397E88DC}" destId="{A330D073-97AA-42CE-91C6-9578F353B115}" srcOrd="1" destOrd="0" presId="urn:microsoft.com/office/officeart/2005/8/layout/hierarchy1"/>
    <dgm:cxn modelId="{78DD6EBC-2152-488D-99D3-EB0A960D4E64}" type="presParOf" srcId="{A330D073-97AA-42CE-91C6-9578F353B115}" destId="{E2AF8BCE-BABF-4FDA-ADD6-9772BE13A31E}" srcOrd="0" destOrd="0" presId="urn:microsoft.com/office/officeart/2005/8/layout/hierarchy1"/>
    <dgm:cxn modelId="{3C81F05A-3284-4DCC-B007-A9DA2A838B7C}" type="presParOf" srcId="{A330D073-97AA-42CE-91C6-9578F353B115}" destId="{3C67E2D4-B1AF-45C5-B1C7-1D8811F88A29}" srcOrd="1" destOrd="0" presId="urn:microsoft.com/office/officeart/2005/8/layout/hierarchy1"/>
    <dgm:cxn modelId="{23DD11C9-C222-40EE-96F8-58CCADDF0766}" type="presParOf" srcId="{3C67E2D4-B1AF-45C5-B1C7-1D8811F88A29}" destId="{AB902809-3380-4976-BDF5-793204EF5C15}" srcOrd="0" destOrd="0" presId="urn:microsoft.com/office/officeart/2005/8/layout/hierarchy1"/>
    <dgm:cxn modelId="{6FFDDE5B-ED3B-48B3-8009-38762DC32A4C}" type="presParOf" srcId="{AB902809-3380-4976-BDF5-793204EF5C15}" destId="{A90A0D1D-69C3-48B3-9000-7612B41A6140}" srcOrd="0" destOrd="0" presId="urn:microsoft.com/office/officeart/2005/8/layout/hierarchy1"/>
    <dgm:cxn modelId="{72D49438-7E97-4BAD-A841-F7843D20DF56}" type="presParOf" srcId="{AB902809-3380-4976-BDF5-793204EF5C15}" destId="{2097C97C-C141-42FF-8A21-6F9462CD4896}" srcOrd="1" destOrd="0" presId="urn:microsoft.com/office/officeart/2005/8/layout/hierarchy1"/>
    <dgm:cxn modelId="{59B080D3-8957-4E2D-8944-44FD0059311F}" type="presParOf" srcId="{3C67E2D4-B1AF-45C5-B1C7-1D8811F88A29}" destId="{0B4B5DC5-BBD5-48A1-A9DD-D05E59B78C72}" srcOrd="1" destOrd="0" presId="urn:microsoft.com/office/officeart/2005/8/layout/hierarchy1"/>
    <dgm:cxn modelId="{8CB36531-243C-4D3D-96B3-6C2F00B1BD44}" type="presParOf" srcId="{4EC9F2F4-5569-4D4B-A957-8AFA4D36D4CE}" destId="{2C9DDC87-9A0A-4128-BEF4-BA278FA9F451}" srcOrd="2" destOrd="0" presId="urn:microsoft.com/office/officeart/2005/8/layout/hierarchy1"/>
    <dgm:cxn modelId="{3636ACF4-473F-41CA-9AA2-F0CA1F5D729A}" type="presParOf" srcId="{4EC9F2F4-5569-4D4B-A957-8AFA4D36D4CE}" destId="{0C9ADA57-4998-4E81-A34B-D10B87B31F33}" srcOrd="3" destOrd="0" presId="urn:microsoft.com/office/officeart/2005/8/layout/hierarchy1"/>
    <dgm:cxn modelId="{201FF8FA-60AC-441C-B752-589DA2FFBCF4}" type="presParOf" srcId="{0C9ADA57-4998-4E81-A34B-D10B87B31F33}" destId="{46D72AD3-1019-46BA-A47B-4BBDE48FECEA}" srcOrd="0" destOrd="0" presId="urn:microsoft.com/office/officeart/2005/8/layout/hierarchy1"/>
    <dgm:cxn modelId="{2A3EFFD8-5B9F-445D-9F8E-3A55ECD4FDFB}" type="presParOf" srcId="{46D72AD3-1019-46BA-A47B-4BBDE48FECEA}" destId="{7CF523D5-CE15-4F72-B75C-B53DB8F13F0A}" srcOrd="0" destOrd="0" presId="urn:microsoft.com/office/officeart/2005/8/layout/hierarchy1"/>
    <dgm:cxn modelId="{3E819F6A-1CA7-409D-B88F-3DF7E477E23E}" type="presParOf" srcId="{46D72AD3-1019-46BA-A47B-4BBDE48FECEA}" destId="{286B4F7E-8D44-4EF4-931D-C46B213D57C6}" srcOrd="1" destOrd="0" presId="urn:microsoft.com/office/officeart/2005/8/layout/hierarchy1"/>
    <dgm:cxn modelId="{941D8000-07FD-4C81-AD85-25DEFF258EF1}" type="presParOf" srcId="{0C9ADA57-4998-4E81-A34B-D10B87B31F33}" destId="{78346FD2-5076-420A-BDE0-7BA95CC49B14}" srcOrd="1" destOrd="0" presId="urn:microsoft.com/office/officeart/2005/8/layout/hierarchy1"/>
    <dgm:cxn modelId="{BF8C671A-CB9C-489F-AA4D-B080797FC06A}" type="presParOf" srcId="{78346FD2-5076-420A-BDE0-7BA95CC49B14}" destId="{E2A0630E-4A05-444A-AFD2-C9B0AF667B0B}" srcOrd="0" destOrd="0" presId="urn:microsoft.com/office/officeart/2005/8/layout/hierarchy1"/>
    <dgm:cxn modelId="{3E3A27A2-350A-4FC0-BDF3-2F7C645DF91B}" type="presParOf" srcId="{78346FD2-5076-420A-BDE0-7BA95CC49B14}" destId="{238AE169-B2BD-470D-A231-93535E3B64C1}" srcOrd="1" destOrd="0" presId="urn:microsoft.com/office/officeart/2005/8/layout/hierarchy1"/>
    <dgm:cxn modelId="{52540DB4-7617-4CFA-AC97-407CE7FCC52A}" type="presParOf" srcId="{238AE169-B2BD-470D-A231-93535E3B64C1}" destId="{5E5F8265-9F6C-4A6E-8D8B-A1057C0605D6}" srcOrd="0" destOrd="0" presId="urn:microsoft.com/office/officeart/2005/8/layout/hierarchy1"/>
    <dgm:cxn modelId="{A26D4BD6-394E-46CC-A80F-858D3827DADD}" type="presParOf" srcId="{5E5F8265-9F6C-4A6E-8D8B-A1057C0605D6}" destId="{112CBC4A-9AA1-48CD-B2F2-FF20F0A5CB38}" srcOrd="0" destOrd="0" presId="urn:microsoft.com/office/officeart/2005/8/layout/hierarchy1"/>
    <dgm:cxn modelId="{71F62B15-BA0C-43B0-9A5F-D9D445882E63}" type="presParOf" srcId="{5E5F8265-9F6C-4A6E-8D8B-A1057C0605D6}" destId="{7F5FA490-35EF-4788-BC86-78443252AB70}" srcOrd="1" destOrd="0" presId="urn:microsoft.com/office/officeart/2005/8/layout/hierarchy1"/>
    <dgm:cxn modelId="{B4DBF8F1-A256-493C-819D-8AB3C2794014}" type="presParOf" srcId="{238AE169-B2BD-470D-A231-93535E3B64C1}" destId="{9D483797-A359-4327-9362-4F8CC18D979D}" srcOrd="1" destOrd="0" presId="urn:microsoft.com/office/officeart/2005/8/layout/hierarchy1"/>
    <dgm:cxn modelId="{CFBAFC42-4967-4AF0-A283-897BB948ADDF}" type="presParOf" srcId="{9D483797-A359-4327-9362-4F8CC18D979D}" destId="{4DEC9BE2-C60F-4893-A5E1-C3E8EF8AA37C}" srcOrd="0" destOrd="0" presId="urn:microsoft.com/office/officeart/2005/8/layout/hierarchy1"/>
    <dgm:cxn modelId="{EE5141D5-44F7-4073-B359-AE655ABD22CE}" type="presParOf" srcId="{9D483797-A359-4327-9362-4F8CC18D979D}" destId="{2C2A72DF-72D5-40E7-8746-91F5E81FA900}" srcOrd="1" destOrd="0" presId="urn:microsoft.com/office/officeart/2005/8/layout/hierarchy1"/>
    <dgm:cxn modelId="{75D330AC-267F-463A-B10A-0FB6B5D2AFC6}" type="presParOf" srcId="{2C2A72DF-72D5-40E7-8746-91F5E81FA900}" destId="{FD3EBB52-521B-4169-A645-71CB52F25776}" srcOrd="0" destOrd="0" presId="urn:microsoft.com/office/officeart/2005/8/layout/hierarchy1"/>
    <dgm:cxn modelId="{8E8721F4-6EF2-46FE-AB95-00FC0E58F821}" type="presParOf" srcId="{FD3EBB52-521B-4169-A645-71CB52F25776}" destId="{C3680FB5-2AB3-4D5A-99DE-6B7D362F72EF}" srcOrd="0" destOrd="0" presId="urn:microsoft.com/office/officeart/2005/8/layout/hierarchy1"/>
    <dgm:cxn modelId="{993A6F68-DC91-4DAD-9ABF-233CDB1513EC}" type="presParOf" srcId="{FD3EBB52-521B-4169-A645-71CB52F25776}" destId="{65B9CA51-84ED-4799-9D9D-7E9F32C63911}" srcOrd="1" destOrd="0" presId="urn:microsoft.com/office/officeart/2005/8/layout/hierarchy1"/>
    <dgm:cxn modelId="{2B67669B-65FC-43E5-BAA3-1D6DA5542BE4}" type="presParOf" srcId="{2C2A72DF-72D5-40E7-8746-91F5E81FA900}" destId="{80D77E7E-A58E-4CF8-8575-FC684565E115}" srcOrd="1" destOrd="0" presId="urn:microsoft.com/office/officeart/2005/8/layout/hierarchy1"/>
    <dgm:cxn modelId="{22A09124-B405-440E-B0C0-CB44B528F070}" type="presParOf" srcId="{80D77E7E-A58E-4CF8-8575-FC684565E115}" destId="{A1B0DA20-A8AA-4951-B75E-C698A3AF4642}" srcOrd="0" destOrd="0" presId="urn:microsoft.com/office/officeart/2005/8/layout/hierarchy1"/>
    <dgm:cxn modelId="{975749DC-BE29-4CCA-AE68-2CA72A50C56D}" type="presParOf" srcId="{80D77E7E-A58E-4CF8-8575-FC684565E115}" destId="{7B22115C-B848-41E9-B85D-156639E9AF9C}" srcOrd="1" destOrd="0" presId="urn:microsoft.com/office/officeart/2005/8/layout/hierarchy1"/>
    <dgm:cxn modelId="{1417C259-1ACA-4576-96BE-DF0E2E33B55D}" type="presParOf" srcId="{7B22115C-B848-41E9-B85D-156639E9AF9C}" destId="{302D29DB-D2AE-4A85-A0B5-9036B6B22517}" srcOrd="0" destOrd="0" presId="urn:microsoft.com/office/officeart/2005/8/layout/hierarchy1"/>
    <dgm:cxn modelId="{EF072304-B5E9-43E3-A015-6DC386602ADF}" type="presParOf" srcId="{302D29DB-D2AE-4A85-A0B5-9036B6B22517}" destId="{B1081B2D-905F-4A46-B5CB-3BE31620AE0D}" srcOrd="0" destOrd="0" presId="urn:microsoft.com/office/officeart/2005/8/layout/hierarchy1"/>
    <dgm:cxn modelId="{098597C7-9D25-4572-B07F-B2F9C27E8224}" type="presParOf" srcId="{302D29DB-D2AE-4A85-A0B5-9036B6B22517}" destId="{C056F3F0-7262-444C-ABA8-4DD3F546BE2B}" srcOrd="1" destOrd="0" presId="urn:microsoft.com/office/officeart/2005/8/layout/hierarchy1"/>
    <dgm:cxn modelId="{4DFDE87F-B229-4CFE-9ED7-36315FCED727}" type="presParOf" srcId="{7B22115C-B848-41E9-B85D-156639E9AF9C}" destId="{CACE612B-99C4-4A2F-92BB-905E89BEB7AB}" srcOrd="1" destOrd="0" presId="urn:microsoft.com/office/officeart/2005/8/layout/hierarchy1"/>
    <dgm:cxn modelId="{4D07D740-A7CF-485E-80CD-48F5574F8C59}" type="presParOf" srcId="{CACE612B-99C4-4A2F-92BB-905E89BEB7AB}" destId="{BEEE3088-488D-41C4-A436-3B39588435A3}" srcOrd="0" destOrd="0" presId="urn:microsoft.com/office/officeart/2005/8/layout/hierarchy1"/>
    <dgm:cxn modelId="{0B1D15B2-C0DE-4030-B692-102D55A84226}" type="presParOf" srcId="{CACE612B-99C4-4A2F-92BB-905E89BEB7AB}" destId="{5A9532EE-69FD-4734-BBD1-3CE6ED91EDD3}" srcOrd="1" destOrd="0" presId="urn:microsoft.com/office/officeart/2005/8/layout/hierarchy1"/>
    <dgm:cxn modelId="{5E29812A-DD08-4FB8-8352-54F735F1BF17}" type="presParOf" srcId="{5A9532EE-69FD-4734-BBD1-3CE6ED91EDD3}" destId="{47FAA27E-AAFF-4250-B8B2-43910D3246CE}" srcOrd="0" destOrd="0" presId="urn:microsoft.com/office/officeart/2005/8/layout/hierarchy1"/>
    <dgm:cxn modelId="{CD9AB7A5-0476-48E1-8B8C-C16B7157738E}" type="presParOf" srcId="{47FAA27E-AAFF-4250-B8B2-43910D3246CE}" destId="{B59065B0-7F58-4043-82D8-3568B129D0A8}" srcOrd="0" destOrd="0" presId="urn:microsoft.com/office/officeart/2005/8/layout/hierarchy1"/>
    <dgm:cxn modelId="{3497B015-5149-4D0B-AB1A-E6996B0621B6}" type="presParOf" srcId="{47FAA27E-AAFF-4250-B8B2-43910D3246CE}" destId="{1919BD5D-B387-4446-AD0C-932EA92DF99E}" srcOrd="1" destOrd="0" presId="urn:microsoft.com/office/officeart/2005/8/layout/hierarchy1"/>
    <dgm:cxn modelId="{A05F8488-90AE-4E15-891D-D4BF74795148}" type="presParOf" srcId="{5A9532EE-69FD-4734-BBD1-3CE6ED91EDD3}" destId="{418D440C-504E-44E1-B595-F2A58F4AA9AB}" srcOrd="1" destOrd="0" presId="urn:microsoft.com/office/officeart/2005/8/layout/hierarchy1"/>
    <dgm:cxn modelId="{90E2B591-1F09-4F06-BE98-77D2D81B31C1}" type="presParOf" srcId="{80D77E7E-A58E-4CF8-8575-FC684565E115}" destId="{92BA890B-9536-4299-96C9-B269755FC175}" srcOrd="2" destOrd="0" presId="urn:microsoft.com/office/officeart/2005/8/layout/hierarchy1"/>
    <dgm:cxn modelId="{40FD81D2-B943-4F0E-A252-BC7C8D819EB8}" type="presParOf" srcId="{80D77E7E-A58E-4CF8-8575-FC684565E115}" destId="{4491BF32-69D1-4E4F-92F8-323AD80E9896}" srcOrd="3" destOrd="0" presId="urn:microsoft.com/office/officeart/2005/8/layout/hierarchy1"/>
    <dgm:cxn modelId="{C13F5260-9F91-4025-8FB0-C0A6D1524AD3}" type="presParOf" srcId="{4491BF32-69D1-4E4F-92F8-323AD80E9896}" destId="{A2A36E2C-E4C6-4518-8FC2-216C81B64303}" srcOrd="0" destOrd="0" presId="urn:microsoft.com/office/officeart/2005/8/layout/hierarchy1"/>
    <dgm:cxn modelId="{D7B59916-5264-4244-B0CA-8786045CBB19}" type="presParOf" srcId="{A2A36E2C-E4C6-4518-8FC2-216C81B64303}" destId="{06A99070-ACBA-4501-B979-7B2E3445977C}" srcOrd="0" destOrd="0" presId="urn:microsoft.com/office/officeart/2005/8/layout/hierarchy1"/>
    <dgm:cxn modelId="{7CEB6B4A-F01B-408E-8C99-33F7E6E4F8C0}" type="presParOf" srcId="{A2A36E2C-E4C6-4518-8FC2-216C81B64303}" destId="{F5DFA7EE-8758-4220-AEF2-819A399EFF15}" srcOrd="1" destOrd="0" presId="urn:microsoft.com/office/officeart/2005/8/layout/hierarchy1"/>
    <dgm:cxn modelId="{37A78008-D35E-45C5-AC45-3A32FCFC3010}" type="presParOf" srcId="{4491BF32-69D1-4E4F-92F8-323AD80E9896}" destId="{10A6B766-062A-486E-81EC-ED0F61EAAAFB}" srcOrd="1" destOrd="0" presId="urn:microsoft.com/office/officeart/2005/8/layout/hierarchy1"/>
    <dgm:cxn modelId="{9E537602-2B72-4698-A6A3-EC3C0EB14066}" type="presParOf" srcId="{10A6B766-062A-486E-81EC-ED0F61EAAAFB}" destId="{C85C196C-B444-4A1D-A284-E63A5DEEA70B}" srcOrd="0" destOrd="0" presId="urn:microsoft.com/office/officeart/2005/8/layout/hierarchy1"/>
    <dgm:cxn modelId="{D49DD46B-0101-49C5-BF38-CEF55C5F9117}" type="presParOf" srcId="{10A6B766-062A-486E-81EC-ED0F61EAAAFB}" destId="{6E4B91FF-4026-40C1-8293-1ABCA1F3CF78}" srcOrd="1" destOrd="0" presId="urn:microsoft.com/office/officeart/2005/8/layout/hierarchy1"/>
    <dgm:cxn modelId="{99CD625A-722B-4527-A448-17B0E4C7D4B8}" type="presParOf" srcId="{6E4B91FF-4026-40C1-8293-1ABCA1F3CF78}" destId="{37009F30-5490-47C8-8D5E-33F90CB9FB0A}" srcOrd="0" destOrd="0" presId="urn:microsoft.com/office/officeart/2005/8/layout/hierarchy1"/>
    <dgm:cxn modelId="{C46E115F-780D-4093-888A-54A339ECE82F}" type="presParOf" srcId="{37009F30-5490-47C8-8D5E-33F90CB9FB0A}" destId="{4413ACEB-9430-4591-9C1B-413CE27CDBB5}" srcOrd="0" destOrd="0" presId="urn:microsoft.com/office/officeart/2005/8/layout/hierarchy1"/>
    <dgm:cxn modelId="{A85486E6-8B41-4E2C-AADB-285DB9A15202}" type="presParOf" srcId="{37009F30-5490-47C8-8D5E-33F90CB9FB0A}" destId="{5A2023FD-6580-426B-91AB-2F1CD747678F}" srcOrd="1" destOrd="0" presId="urn:microsoft.com/office/officeart/2005/8/layout/hierarchy1"/>
    <dgm:cxn modelId="{F3B5E16A-0F5D-46C5-9E31-DAC2F3F7F4EB}" type="presParOf" srcId="{6E4B91FF-4026-40C1-8293-1ABCA1F3CF78}" destId="{DBA2F9DF-41C7-43EB-8559-2674753147F0}" srcOrd="1" destOrd="0" presId="urn:microsoft.com/office/officeart/2005/8/layout/hierarchy1"/>
    <dgm:cxn modelId="{38CA668D-4AA9-45F9-AD43-C5DB13EAA16D}" type="presParOf" srcId="{DBA2F9DF-41C7-43EB-8559-2674753147F0}" destId="{61A2B8AB-B01A-474B-9FC7-B7E70FDD65E7}" srcOrd="0" destOrd="0" presId="urn:microsoft.com/office/officeart/2005/8/layout/hierarchy1"/>
    <dgm:cxn modelId="{75B570F8-DF1F-4673-88D9-0270754B68FB}" type="presParOf" srcId="{DBA2F9DF-41C7-43EB-8559-2674753147F0}" destId="{1127B477-59DC-4705-AECA-B872DAF5226D}" srcOrd="1" destOrd="0" presId="urn:microsoft.com/office/officeart/2005/8/layout/hierarchy1"/>
    <dgm:cxn modelId="{E29C6A39-4DA7-405C-836F-C4026AC8B81F}" type="presParOf" srcId="{1127B477-59DC-4705-AECA-B872DAF5226D}" destId="{B2E1FAFD-5107-46F0-8FAA-B70D11AD0D70}" srcOrd="0" destOrd="0" presId="urn:microsoft.com/office/officeart/2005/8/layout/hierarchy1"/>
    <dgm:cxn modelId="{3D329369-7646-42F4-9F8E-82C22D1B7AF1}" type="presParOf" srcId="{B2E1FAFD-5107-46F0-8FAA-B70D11AD0D70}" destId="{7FAB7254-BEEC-458E-9759-7A13EA33695E}" srcOrd="0" destOrd="0" presId="urn:microsoft.com/office/officeart/2005/8/layout/hierarchy1"/>
    <dgm:cxn modelId="{2A6A661B-A1C3-41B7-96DB-D3861C13C977}" type="presParOf" srcId="{B2E1FAFD-5107-46F0-8FAA-B70D11AD0D70}" destId="{695F7FD3-3230-496F-AE1D-FBD28A0DE1AA}" srcOrd="1" destOrd="0" presId="urn:microsoft.com/office/officeart/2005/8/layout/hierarchy1"/>
    <dgm:cxn modelId="{727E5BE9-1B74-4044-BFFD-CAD1410D7764}" type="presParOf" srcId="{1127B477-59DC-4705-AECA-B872DAF5226D}" destId="{42F55EC6-CE15-4D3C-9E8C-B83F1CFE17BB}" srcOrd="1" destOrd="0" presId="urn:microsoft.com/office/officeart/2005/8/layout/hierarchy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F83CE7-915C-472F-B554-0E370D049E2E}">
      <dsp:nvSpPr>
        <dsp:cNvPr id="0" name=""/>
        <dsp:cNvSpPr/>
      </dsp:nvSpPr>
      <dsp:spPr>
        <a:xfrm rot="5400000">
          <a:off x="-61826" y="63188"/>
          <a:ext cx="412175" cy="288523"/>
        </a:xfrm>
        <a:prstGeom prst="chevron">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latin typeface="Arial" pitchFamily="34" charset="0"/>
              <a:cs typeface="Arial" pitchFamily="34" charset="0"/>
            </a:rPr>
            <a:t>1</a:t>
          </a:r>
          <a:endParaRPr lang="en-US" sz="1100" kern="1200" dirty="0">
            <a:latin typeface="Arial" pitchFamily="34" charset="0"/>
            <a:cs typeface="Arial" pitchFamily="34" charset="0"/>
          </a:endParaRPr>
        </a:p>
      </dsp:txBody>
      <dsp:txXfrm rot="-5400000">
        <a:off x="1" y="145624"/>
        <a:ext cx="288523" cy="123652"/>
      </dsp:txXfrm>
    </dsp:sp>
    <dsp:sp modelId="{62812799-AABD-4A21-93A4-AD555DB633E8}">
      <dsp:nvSpPr>
        <dsp:cNvPr id="0" name=""/>
        <dsp:cNvSpPr/>
      </dsp:nvSpPr>
      <dsp:spPr>
        <a:xfrm rot="5400000">
          <a:off x="2867153" y="-2577269"/>
          <a:ext cx="268055" cy="5425316"/>
        </a:xfrm>
        <a:prstGeom prst="round2Same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o-RO" sz="1100" b="1" kern="1200" dirty="0">
              <a:latin typeface="Arial" pitchFamily="34" charset="0"/>
              <a:cs typeface="Arial" pitchFamily="34" charset="0"/>
            </a:rPr>
            <a:t>Definirea obiectivelor strategice</a:t>
          </a:r>
          <a:r>
            <a:rPr lang="en-US" sz="1100" b="1" kern="1200" dirty="0">
              <a:latin typeface="Arial" pitchFamily="34" charset="0"/>
              <a:cs typeface="Arial" pitchFamily="34" charset="0"/>
            </a:rPr>
            <a:t> </a:t>
          </a:r>
          <a:r>
            <a:rPr lang="en-US" sz="1100" b="0" kern="1200" dirty="0">
              <a:latin typeface="Arial" pitchFamily="34" charset="0"/>
              <a:cs typeface="Arial" pitchFamily="34" charset="0"/>
            </a:rPr>
            <a:t>- </a:t>
          </a:r>
          <a:r>
            <a:rPr lang="ro-RO" sz="1100" b="0" kern="1200" dirty="0">
              <a:latin typeface="Arial" pitchFamily="34" charset="0"/>
              <a:cs typeface="Arial" pitchFamily="34" charset="0"/>
            </a:rPr>
            <a:t>Caiet de sarcini, politici naționale și UE</a:t>
          </a:r>
          <a:endParaRPr lang="en-US" sz="1100" b="0" kern="1200" dirty="0">
            <a:latin typeface="Arial" pitchFamily="34" charset="0"/>
            <a:cs typeface="Arial" pitchFamily="34" charset="0"/>
          </a:endParaRPr>
        </a:p>
      </dsp:txBody>
      <dsp:txXfrm rot="-5400000">
        <a:off x="288523" y="14446"/>
        <a:ext cx="5412231" cy="241885"/>
      </dsp:txXfrm>
    </dsp:sp>
    <dsp:sp modelId="{93F1382B-0A60-4B1A-9F37-41ED8F2C8AFB}">
      <dsp:nvSpPr>
        <dsp:cNvPr id="0" name=""/>
        <dsp:cNvSpPr/>
      </dsp:nvSpPr>
      <dsp:spPr>
        <a:xfrm rot="5400000">
          <a:off x="-61826" y="358690"/>
          <a:ext cx="412175" cy="288523"/>
        </a:xfrm>
        <a:prstGeom prst="chevron">
          <a:avLst/>
        </a:prstGeom>
        <a:solidFill>
          <a:schemeClr val="accent5">
            <a:hueOff val="-1986775"/>
            <a:satOff val="7962"/>
            <a:lumOff val="1726"/>
            <a:alphaOff val="0"/>
          </a:schemeClr>
        </a:solidFill>
        <a:ln w="25400" cap="flat" cmpd="sng" algn="ctr">
          <a:solidFill>
            <a:schemeClr val="accent5">
              <a:hueOff val="-1986775"/>
              <a:satOff val="7962"/>
              <a:lumOff val="1726"/>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2</a:t>
          </a:r>
          <a:endParaRPr lang="en-US" sz="1100" kern="1200" dirty="0">
            <a:latin typeface="Arial" pitchFamily="34" charset="0"/>
            <a:cs typeface="Arial" pitchFamily="34" charset="0"/>
          </a:endParaRPr>
        </a:p>
      </dsp:txBody>
      <dsp:txXfrm rot="-5400000">
        <a:off x="1" y="441126"/>
        <a:ext cx="288523" cy="123652"/>
      </dsp:txXfrm>
    </dsp:sp>
    <dsp:sp modelId="{2CD26095-C867-4A82-BE5C-196FA755AA8B}">
      <dsp:nvSpPr>
        <dsp:cNvPr id="0" name=""/>
        <dsp:cNvSpPr/>
      </dsp:nvSpPr>
      <dsp:spPr>
        <a:xfrm rot="5400000">
          <a:off x="2867224" y="-2281837"/>
          <a:ext cx="267914" cy="5425316"/>
        </a:xfrm>
        <a:prstGeom prst="round2SameRect">
          <a:avLst/>
        </a:prstGeom>
        <a:solidFill>
          <a:schemeClr val="lt1">
            <a:alpha val="90000"/>
            <a:hueOff val="0"/>
            <a:satOff val="0"/>
            <a:lumOff val="0"/>
            <a:alphaOff val="0"/>
          </a:schemeClr>
        </a:solidFill>
        <a:ln w="25400" cap="flat" cmpd="sng" algn="ctr">
          <a:solidFill>
            <a:schemeClr val="accent5">
              <a:hueOff val="-1986775"/>
              <a:satOff val="7962"/>
              <a:lumOff val="172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o-RO" sz="1100" b="1" kern="1200" dirty="0">
              <a:latin typeface="Arial" pitchFamily="34" charset="0"/>
              <a:cs typeface="Arial" pitchFamily="34" charset="0"/>
            </a:rPr>
            <a:t>Definirea problemelor </a:t>
          </a:r>
          <a:r>
            <a:rPr lang="en-US" sz="1100" b="1" kern="1200" dirty="0">
              <a:latin typeface="Arial" pitchFamily="34" charset="0"/>
              <a:cs typeface="Arial" pitchFamily="34" charset="0"/>
            </a:rPr>
            <a:t>- </a:t>
          </a:r>
          <a:r>
            <a:rPr lang="ro-RO" sz="1100" b="0" kern="1200" dirty="0">
              <a:latin typeface="Arial" pitchFamily="34" charset="0"/>
              <a:cs typeface="Arial" pitchFamily="34" charset="0"/>
            </a:rPr>
            <a:t>Identificarea cauzelor fundamentale</a:t>
          </a:r>
          <a:endParaRPr lang="en-US" sz="1100" b="0" kern="1200" dirty="0">
            <a:latin typeface="Arial" pitchFamily="34" charset="0"/>
            <a:cs typeface="Arial" pitchFamily="34" charset="0"/>
          </a:endParaRPr>
        </a:p>
      </dsp:txBody>
      <dsp:txXfrm rot="-5400000">
        <a:off x="288523" y="309942"/>
        <a:ext cx="5412238" cy="241758"/>
      </dsp:txXfrm>
    </dsp:sp>
    <dsp:sp modelId="{355AFB59-7FEE-45C9-BD8E-543AA1B1DBA6}">
      <dsp:nvSpPr>
        <dsp:cNvPr id="0" name=""/>
        <dsp:cNvSpPr/>
      </dsp:nvSpPr>
      <dsp:spPr>
        <a:xfrm rot="5400000">
          <a:off x="-61826" y="654192"/>
          <a:ext cx="412175" cy="288523"/>
        </a:xfrm>
        <a:prstGeom prst="chevron">
          <a:avLst/>
        </a:prstGeom>
        <a:solidFill>
          <a:schemeClr val="accent5">
            <a:hueOff val="-3973551"/>
            <a:satOff val="15924"/>
            <a:lumOff val="3451"/>
            <a:alphaOff val="0"/>
          </a:schemeClr>
        </a:solidFill>
        <a:ln w="25400" cap="flat" cmpd="sng" algn="ctr">
          <a:solidFill>
            <a:schemeClr val="accent5">
              <a:hueOff val="-3973551"/>
              <a:satOff val="15924"/>
              <a:lumOff val="3451"/>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3</a:t>
          </a:r>
          <a:endParaRPr lang="en-US" sz="1100" kern="1200" dirty="0">
            <a:latin typeface="Arial" pitchFamily="34" charset="0"/>
            <a:cs typeface="Arial" pitchFamily="34" charset="0"/>
          </a:endParaRPr>
        </a:p>
      </dsp:txBody>
      <dsp:txXfrm rot="-5400000">
        <a:off x="1" y="736628"/>
        <a:ext cx="288523" cy="123652"/>
      </dsp:txXfrm>
    </dsp:sp>
    <dsp:sp modelId="{4A11D631-08EA-46FB-B4E2-5804B253B6C1}">
      <dsp:nvSpPr>
        <dsp:cNvPr id="0" name=""/>
        <dsp:cNvSpPr/>
      </dsp:nvSpPr>
      <dsp:spPr>
        <a:xfrm rot="5400000">
          <a:off x="2867224" y="-1986335"/>
          <a:ext cx="267914" cy="5425316"/>
        </a:xfrm>
        <a:prstGeom prst="round2SameRect">
          <a:avLst/>
        </a:prstGeom>
        <a:solidFill>
          <a:schemeClr val="lt1">
            <a:alpha val="90000"/>
            <a:hueOff val="0"/>
            <a:satOff val="0"/>
            <a:lumOff val="0"/>
            <a:alphaOff val="0"/>
          </a:schemeClr>
        </a:solidFill>
        <a:ln w="25400" cap="flat" cmpd="sng" algn="ctr">
          <a:solidFill>
            <a:schemeClr val="accent5">
              <a:hueOff val="-3973551"/>
              <a:satOff val="15924"/>
              <a:lumOff val="345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o-RO" sz="1100" b="1" kern="1200" dirty="0">
              <a:latin typeface="Arial" pitchFamily="34" charset="0"/>
              <a:cs typeface="Arial" pitchFamily="34" charset="0"/>
            </a:rPr>
            <a:t>Obiective operaționale </a:t>
          </a:r>
          <a:r>
            <a:rPr lang="en-US" sz="1100" b="0" kern="1200" dirty="0">
              <a:latin typeface="Arial" pitchFamily="34" charset="0"/>
              <a:cs typeface="Arial" pitchFamily="34" charset="0"/>
            </a:rPr>
            <a:t>- </a:t>
          </a:r>
          <a:r>
            <a:rPr lang="ro-RO" sz="1100" b="0" kern="1200" dirty="0">
              <a:latin typeface="Arial" pitchFamily="34" charset="0"/>
              <a:cs typeface="Arial" pitchFamily="34" charset="0"/>
            </a:rPr>
            <a:t>Obiective specifice bazate pe analiza problemelor</a:t>
          </a:r>
          <a:endParaRPr lang="en-US" sz="1100" b="0" kern="1200" dirty="0">
            <a:latin typeface="Arial" pitchFamily="34" charset="0"/>
            <a:cs typeface="Arial" pitchFamily="34" charset="0"/>
          </a:endParaRPr>
        </a:p>
      </dsp:txBody>
      <dsp:txXfrm rot="-5400000">
        <a:off x="288523" y="605444"/>
        <a:ext cx="5412238" cy="241758"/>
      </dsp:txXfrm>
    </dsp:sp>
    <dsp:sp modelId="{55C14763-561B-417C-BAFC-392AB3A41B43}">
      <dsp:nvSpPr>
        <dsp:cNvPr id="0" name=""/>
        <dsp:cNvSpPr/>
      </dsp:nvSpPr>
      <dsp:spPr>
        <a:xfrm rot="5400000">
          <a:off x="-61826" y="949694"/>
          <a:ext cx="412175" cy="288523"/>
        </a:xfrm>
        <a:prstGeom prst="chevron">
          <a:avLst/>
        </a:prstGeom>
        <a:solidFill>
          <a:schemeClr val="accent5">
            <a:hueOff val="-5960326"/>
            <a:satOff val="23887"/>
            <a:lumOff val="5177"/>
            <a:alphaOff val="0"/>
          </a:schemeClr>
        </a:solidFill>
        <a:ln w="25400" cap="flat" cmpd="sng" algn="ctr">
          <a:solidFill>
            <a:schemeClr val="accent5">
              <a:hueOff val="-5960326"/>
              <a:satOff val="23887"/>
              <a:lumOff val="5177"/>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4</a:t>
          </a:r>
          <a:endParaRPr lang="en-US" sz="1100" kern="1200" dirty="0">
            <a:latin typeface="Arial" pitchFamily="34" charset="0"/>
            <a:cs typeface="Arial" pitchFamily="34" charset="0"/>
          </a:endParaRPr>
        </a:p>
      </dsp:txBody>
      <dsp:txXfrm rot="-5400000">
        <a:off x="1" y="1032130"/>
        <a:ext cx="288523" cy="123652"/>
      </dsp:txXfrm>
    </dsp:sp>
    <dsp:sp modelId="{5AFEABA6-E003-4B2F-AB64-3524F98E34AF}">
      <dsp:nvSpPr>
        <dsp:cNvPr id="0" name=""/>
        <dsp:cNvSpPr/>
      </dsp:nvSpPr>
      <dsp:spPr>
        <a:xfrm rot="5400000">
          <a:off x="2867224" y="-1690833"/>
          <a:ext cx="267914" cy="5425316"/>
        </a:xfrm>
        <a:prstGeom prst="round2SameRect">
          <a:avLst/>
        </a:prstGeom>
        <a:solidFill>
          <a:schemeClr val="lt1">
            <a:alpha val="90000"/>
            <a:hueOff val="0"/>
            <a:satOff val="0"/>
            <a:lumOff val="0"/>
            <a:alphaOff val="0"/>
          </a:schemeClr>
        </a:solidFill>
        <a:ln w="25400" cap="flat" cmpd="sng" algn="ctr">
          <a:solidFill>
            <a:schemeClr val="accent5">
              <a:hueOff val="-5960326"/>
              <a:satOff val="23887"/>
              <a:lumOff val="517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o-RO" sz="1100" b="1" kern="1200" dirty="0">
              <a:latin typeface="Arial" pitchFamily="34" charset="0"/>
              <a:cs typeface="Arial" pitchFamily="34" charset="0"/>
            </a:rPr>
            <a:t>Generarea proiectelor </a:t>
          </a:r>
          <a:r>
            <a:rPr lang="en-US" sz="1100" b="0" kern="1200" dirty="0">
              <a:latin typeface="Arial" pitchFamily="34" charset="0"/>
              <a:cs typeface="Arial" pitchFamily="34" charset="0"/>
            </a:rPr>
            <a:t>- Interven</a:t>
          </a:r>
          <a:r>
            <a:rPr lang="ro-RO" sz="1100" b="0" kern="1200" dirty="0">
              <a:latin typeface="Arial" pitchFamily="34" charset="0"/>
              <a:cs typeface="Arial" pitchFamily="34" charset="0"/>
            </a:rPr>
            <a:t>ții generate din Probleme și Obiective</a:t>
          </a:r>
          <a:endParaRPr lang="en-US" sz="1100" b="0" kern="1200" dirty="0">
            <a:latin typeface="Arial" pitchFamily="34" charset="0"/>
            <a:cs typeface="Arial" pitchFamily="34" charset="0"/>
          </a:endParaRPr>
        </a:p>
      </dsp:txBody>
      <dsp:txXfrm rot="-5400000">
        <a:off x="288523" y="900946"/>
        <a:ext cx="5412238" cy="241758"/>
      </dsp:txXfrm>
    </dsp:sp>
    <dsp:sp modelId="{9F061FFC-2C23-46FF-BACD-E0526EEDDD18}">
      <dsp:nvSpPr>
        <dsp:cNvPr id="0" name=""/>
        <dsp:cNvSpPr/>
      </dsp:nvSpPr>
      <dsp:spPr>
        <a:xfrm rot="5400000">
          <a:off x="-61826" y="1245196"/>
          <a:ext cx="412175" cy="288523"/>
        </a:xfrm>
        <a:prstGeom prst="chevron">
          <a:avLst/>
        </a:prstGeom>
        <a:solidFill>
          <a:schemeClr val="accent5">
            <a:hueOff val="-7947101"/>
            <a:satOff val="31849"/>
            <a:lumOff val="6902"/>
            <a:alphaOff val="0"/>
          </a:schemeClr>
        </a:solidFill>
        <a:ln w="25400" cap="flat" cmpd="sng" algn="ctr">
          <a:solidFill>
            <a:schemeClr val="accent5">
              <a:hueOff val="-7947101"/>
              <a:satOff val="31849"/>
              <a:lumOff val="6902"/>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5</a:t>
          </a:r>
          <a:endParaRPr lang="en-US" sz="1100" kern="1200" dirty="0">
            <a:latin typeface="Arial" pitchFamily="34" charset="0"/>
            <a:cs typeface="Arial" pitchFamily="34" charset="0"/>
          </a:endParaRPr>
        </a:p>
      </dsp:txBody>
      <dsp:txXfrm rot="-5400000">
        <a:off x="1" y="1327632"/>
        <a:ext cx="288523" cy="123652"/>
      </dsp:txXfrm>
    </dsp:sp>
    <dsp:sp modelId="{C0077F2A-C885-4990-A41B-9F4741AB35FF}">
      <dsp:nvSpPr>
        <dsp:cNvPr id="0" name=""/>
        <dsp:cNvSpPr/>
      </dsp:nvSpPr>
      <dsp:spPr>
        <a:xfrm rot="5400000">
          <a:off x="2867224" y="-1395331"/>
          <a:ext cx="267914" cy="5425316"/>
        </a:xfrm>
        <a:prstGeom prst="round2SameRect">
          <a:avLst/>
        </a:prstGeom>
        <a:solidFill>
          <a:schemeClr val="lt1">
            <a:alpha val="90000"/>
            <a:hueOff val="0"/>
            <a:satOff val="0"/>
            <a:lumOff val="0"/>
            <a:alphaOff val="0"/>
          </a:schemeClr>
        </a:solidFill>
        <a:ln w="25400" cap="flat" cmpd="sng" algn="ctr">
          <a:solidFill>
            <a:schemeClr val="accent5">
              <a:hueOff val="-7947101"/>
              <a:satOff val="31849"/>
              <a:lumOff val="690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o-RO" sz="1100" b="1" kern="1200" dirty="0">
              <a:latin typeface="Arial" pitchFamily="34" charset="0"/>
              <a:cs typeface="Arial" pitchFamily="34" charset="0"/>
            </a:rPr>
            <a:t>Evaluare</a:t>
          </a:r>
          <a:r>
            <a:rPr lang="en-US" sz="1100" b="1" kern="1200" dirty="0">
              <a:latin typeface="Arial" pitchFamily="34" charset="0"/>
              <a:cs typeface="Arial" pitchFamily="34" charset="0"/>
            </a:rPr>
            <a:t> </a:t>
          </a:r>
          <a:r>
            <a:rPr lang="en-US" sz="1100" b="0" kern="1200" dirty="0">
              <a:latin typeface="Arial" pitchFamily="34" charset="0"/>
              <a:cs typeface="Arial" pitchFamily="34" charset="0"/>
            </a:rPr>
            <a:t>-  </a:t>
          </a:r>
          <a:r>
            <a:rPr lang="ro-RO" sz="1100" b="0" kern="1200" dirty="0">
              <a:latin typeface="Arial" pitchFamily="34" charset="0"/>
              <a:cs typeface="Arial" pitchFamily="34" charset="0"/>
            </a:rPr>
            <a:t>Preselecție</a:t>
          </a:r>
          <a:r>
            <a:rPr lang="en-US" sz="1100" b="0" kern="1200" dirty="0">
              <a:latin typeface="Arial" pitchFamily="34" charset="0"/>
              <a:cs typeface="Arial" pitchFamily="34" charset="0"/>
            </a:rPr>
            <a:t>/</a:t>
          </a:r>
          <a:r>
            <a:rPr lang="ro-RO" sz="1100" b="0" kern="1200" dirty="0" err="1">
              <a:latin typeface="Arial" pitchFamily="34" charset="0"/>
              <a:cs typeface="Arial" pitchFamily="34" charset="0"/>
            </a:rPr>
            <a:t>Lista scurtă</a:t>
          </a:r>
          <a:r>
            <a:rPr lang="en-US" sz="1100" b="0" kern="1200" dirty="0">
              <a:latin typeface="Arial" pitchFamily="34" charset="0"/>
              <a:cs typeface="Arial" pitchFamily="34" charset="0"/>
            </a:rPr>
            <a:t>/</a:t>
          </a:r>
          <a:r>
            <a:rPr lang="ro-RO" sz="1100" b="0" kern="1200" dirty="0">
              <a:latin typeface="Arial" pitchFamily="34" charset="0"/>
              <a:cs typeface="Arial" pitchFamily="34" charset="0"/>
            </a:rPr>
            <a:t> Evaluare preliminară </a:t>
          </a:r>
          <a:r>
            <a:rPr lang="en-US" sz="1100" b="0" kern="1200" dirty="0" smtClean="0">
              <a:latin typeface="Arial" pitchFamily="34" charset="0"/>
              <a:cs typeface="Arial" pitchFamily="34" charset="0"/>
            </a:rPr>
            <a:t>(</a:t>
          </a:r>
          <a:r>
            <a:rPr lang="ro-RO" sz="1100" b="0" kern="1200" dirty="0" smtClean="0">
              <a:latin typeface="Arial" pitchFamily="34" charset="0"/>
              <a:cs typeface="Arial" pitchFamily="34" charset="0"/>
            </a:rPr>
            <a:t>ACB</a:t>
          </a:r>
          <a:r>
            <a:rPr lang="en-US" sz="1100" b="0" kern="1200" dirty="0" smtClean="0">
              <a:latin typeface="Arial" pitchFamily="34" charset="0"/>
              <a:cs typeface="Arial" pitchFamily="34" charset="0"/>
            </a:rPr>
            <a:t> &amp; </a:t>
          </a:r>
          <a:r>
            <a:rPr lang="ro-RO" sz="1100" b="0" kern="1200" dirty="0" smtClean="0">
              <a:latin typeface="Arial" pitchFamily="34" charset="0"/>
              <a:cs typeface="Arial" pitchFamily="34" charset="0"/>
            </a:rPr>
            <a:t>AMC</a:t>
          </a:r>
          <a:r>
            <a:rPr lang="en-US" sz="1100" b="0" kern="1200" dirty="0" smtClean="0">
              <a:latin typeface="Arial" pitchFamily="34" charset="0"/>
              <a:cs typeface="Arial" pitchFamily="34" charset="0"/>
            </a:rPr>
            <a:t>)</a:t>
          </a:r>
          <a:endParaRPr lang="en-US" sz="1100" b="0" kern="1200" dirty="0">
            <a:latin typeface="Arial" pitchFamily="34" charset="0"/>
            <a:cs typeface="Arial" pitchFamily="34" charset="0"/>
          </a:endParaRPr>
        </a:p>
      </dsp:txBody>
      <dsp:txXfrm rot="-5400000">
        <a:off x="288523" y="1196448"/>
        <a:ext cx="5412238" cy="241758"/>
      </dsp:txXfrm>
    </dsp:sp>
    <dsp:sp modelId="{2FE67F26-CC29-4E17-A677-50E239ACD0FE}">
      <dsp:nvSpPr>
        <dsp:cNvPr id="0" name=""/>
        <dsp:cNvSpPr/>
      </dsp:nvSpPr>
      <dsp:spPr>
        <a:xfrm rot="5400000">
          <a:off x="-61826" y="1540698"/>
          <a:ext cx="412175" cy="288523"/>
        </a:xfrm>
        <a:prstGeom prst="chevron">
          <a:avLst/>
        </a:prstGeom>
        <a:solidFill>
          <a:schemeClr val="accent5">
            <a:hueOff val="-9933876"/>
            <a:satOff val="39811"/>
            <a:lumOff val="8628"/>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dirty="0" smtClean="0">
              <a:latin typeface="Arial" pitchFamily="34" charset="0"/>
              <a:cs typeface="Arial" pitchFamily="34" charset="0"/>
            </a:rPr>
            <a:t>6</a:t>
          </a:r>
          <a:endParaRPr lang="en-US" sz="1100" kern="1200" dirty="0">
            <a:latin typeface="Arial" pitchFamily="34" charset="0"/>
            <a:cs typeface="Arial" pitchFamily="34" charset="0"/>
          </a:endParaRPr>
        </a:p>
      </dsp:txBody>
      <dsp:txXfrm rot="-5400000">
        <a:off x="1" y="1623134"/>
        <a:ext cx="288523" cy="123652"/>
      </dsp:txXfrm>
    </dsp:sp>
    <dsp:sp modelId="{1334332E-0DD4-4749-BA8F-912239E89539}">
      <dsp:nvSpPr>
        <dsp:cNvPr id="0" name=""/>
        <dsp:cNvSpPr/>
      </dsp:nvSpPr>
      <dsp:spPr>
        <a:xfrm rot="5400000">
          <a:off x="2867224" y="-1099828"/>
          <a:ext cx="267914" cy="5425316"/>
        </a:xfrm>
        <a:prstGeom prst="round2Same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o-RO" sz="1100" b="1" kern="1200" dirty="0">
              <a:latin typeface="Arial" pitchFamily="34" charset="0"/>
              <a:cs typeface="Arial" pitchFamily="34" charset="0"/>
            </a:rPr>
            <a:t>Elaborarea Scenariilor Master Planului </a:t>
          </a:r>
          <a:r>
            <a:rPr lang="en-US" sz="1100" b="1" kern="1200" dirty="0">
              <a:latin typeface="Arial" pitchFamily="34" charset="0"/>
              <a:cs typeface="Arial" pitchFamily="34" charset="0"/>
            </a:rPr>
            <a:t> </a:t>
          </a:r>
          <a:r>
            <a:rPr lang="en-US" sz="1100" b="0" kern="1200" dirty="0" smtClean="0">
              <a:latin typeface="Arial" pitchFamily="34" charset="0"/>
              <a:cs typeface="Arial" pitchFamily="34" charset="0"/>
            </a:rPr>
            <a:t>– </a:t>
          </a:r>
          <a:r>
            <a:rPr lang="ro-RO" sz="1100" b="0" kern="1200" dirty="0" smtClean="0">
              <a:latin typeface="Arial" pitchFamily="34" charset="0"/>
              <a:cs typeface="Arial" pitchFamily="34" charset="0"/>
            </a:rPr>
            <a:t>Economic</a:t>
          </a:r>
          <a:r>
            <a:rPr lang="en-US" sz="1100" b="0" kern="1200" dirty="0" smtClean="0">
              <a:latin typeface="Arial" pitchFamily="34" charset="0"/>
              <a:cs typeface="Arial" pitchFamily="34" charset="0"/>
            </a:rPr>
            <a:t> &amp; Econom</a:t>
          </a:r>
          <a:r>
            <a:rPr lang="ro-RO" sz="1100" b="0" kern="1200" dirty="0" smtClean="0">
              <a:latin typeface="Arial" pitchFamily="34" charset="0"/>
              <a:cs typeface="Arial" pitchFamily="34" charset="0"/>
            </a:rPr>
            <a:t>ic</a:t>
          </a:r>
          <a:r>
            <a:rPr lang="en-US" sz="1100" b="0" kern="1200" dirty="0" smtClean="0">
              <a:latin typeface="Arial" pitchFamily="34" charset="0"/>
              <a:cs typeface="Arial" pitchFamily="34" charset="0"/>
            </a:rPr>
            <a:t> + </a:t>
          </a:r>
          <a:r>
            <a:rPr lang="ro-RO" sz="1100" b="0" kern="1200" dirty="0" smtClean="0">
              <a:latin typeface="Arial" pitchFamily="34" charset="0"/>
              <a:cs typeface="Arial" pitchFamily="34" charset="0"/>
            </a:rPr>
            <a:t>Mediu</a:t>
          </a:r>
          <a:endParaRPr lang="en-US" sz="1100" b="0" kern="1200" dirty="0">
            <a:latin typeface="Arial" pitchFamily="34" charset="0"/>
            <a:cs typeface="Arial" pitchFamily="34" charset="0"/>
          </a:endParaRPr>
        </a:p>
      </dsp:txBody>
      <dsp:txXfrm rot="-5400000">
        <a:off x="288523" y="1491951"/>
        <a:ext cx="5412238" cy="2417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AD5658-E23D-47E8-84C9-67881129F2D0}">
      <dsp:nvSpPr>
        <dsp:cNvPr id="0" name=""/>
        <dsp:cNvSpPr/>
      </dsp:nvSpPr>
      <dsp:spPr>
        <a:xfrm rot="16200000">
          <a:off x="-1782058" y="1782059"/>
          <a:ext cx="5110068" cy="1545948"/>
        </a:xfrm>
        <a:prstGeom prst="flowChartManualOperation">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0" tIns="0" rIns="69850" bIns="0" numCol="1" spcCol="1270" anchor="t" anchorCtr="0">
          <a:noAutofit/>
        </a:bodyPr>
        <a:lstStyle/>
        <a:p>
          <a:pPr lvl="0" algn="l" defTabSz="488950">
            <a:lnSpc>
              <a:spcPct val="90000"/>
            </a:lnSpc>
            <a:spcBef>
              <a:spcPct val="0"/>
            </a:spcBef>
            <a:spcAft>
              <a:spcPct val="35000"/>
            </a:spcAft>
          </a:pPr>
          <a:r>
            <a:rPr lang="en-US" sz="1100" b="1" kern="1200">
              <a:solidFill>
                <a:sysClr val="windowText" lastClr="000000"/>
              </a:solidFill>
              <a:latin typeface="Arial" pitchFamily="34" charset="0"/>
              <a:cs typeface="Arial" pitchFamily="34" charset="0"/>
            </a:rPr>
            <a:t>Analiza problemelor existente ale sistemului de transport</a:t>
          </a:r>
        </a:p>
        <a:p>
          <a:pPr lvl="0" algn="l" defTabSz="488950">
            <a:lnSpc>
              <a:spcPct val="90000"/>
            </a:lnSpc>
            <a:spcBef>
              <a:spcPct val="0"/>
            </a:spcBef>
            <a:spcAft>
              <a:spcPct val="35000"/>
            </a:spcAft>
          </a:pPr>
          <a:r>
            <a:rPr lang="en-US" sz="900" b="1" kern="1200">
              <a:solidFill>
                <a:sysClr val="windowText" lastClr="000000"/>
              </a:solidFill>
              <a:latin typeface="Arial" pitchFamily="34" charset="0"/>
              <a:cs typeface="Arial" pitchFamily="34" charset="0"/>
            </a:rPr>
            <a:t>Procedur</a:t>
          </a:r>
          <a:r>
            <a:rPr lang="ro-RO" sz="900" b="1" kern="1200">
              <a:solidFill>
                <a:sysClr val="windowText" lastClr="000000"/>
              </a:solidFill>
              <a:latin typeface="Arial" pitchFamily="34" charset="0"/>
              <a:cs typeface="Arial" pitchFamily="34" charset="0"/>
            </a:rPr>
            <a:t>ă:</a:t>
          </a:r>
          <a:r>
            <a:rPr lang="ro-RO" sz="900" b="0" kern="1200">
              <a:solidFill>
                <a:sysClr val="windowText" lastClr="000000"/>
              </a:solidFill>
              <a:latin typeface="Arial" pitchFamily="34" charset="0"/>
              <a:cs typeface="Arial" pitchFamily="34" charset="0"/>
            </a:rPr>
            <a:t> analiza datelor disponibile, a datelor de trafic colectate, a studiilor existente</a:t>
          </a:r>
        </a:p>
        <a:p>
          <a:pPr lvl="0" algn="l" defTabSz="488950">
            <a:lnSpc>
              <a:spcPct val="90000"/>
            </a:lnSpc>
            <a:spcBef>
              <a:spcPct val="0"/>
            </a:spcBef>
            <a:spcAft>
              <a:spcPct val="35000"/>
            </a:spcAft>
          </a:pPr>
          <a:endParaRPr lang="ro-RO" sz="900" b="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900" b="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900" b="1" kern="1200">
              <a:solidFill>
                <a:sysClr val="windowText" lastClr="000000"/>
              </a:solidFill>
              <a:latin typeface="Arial" pitchFamily="34" charset="0"/>
              <a:cs typeface="Arial" pitchFamily="34" charset="0"/>
            </a:rPr>
            <a:t>Rezultat</a:t>
          </a:r>
          <a:r>
            <a:rPr lang="ro-RO" sz="900" b="0" kern="1200">
              <a:solidFill>
                <a:sysClr val="windowText" lastClr="000000"/>
              </a:solidFill>
              <a:latin typeface="Arial" pitchFamily="34" charset="0"/>
              <a:cs typeface="Arial" pitchFamily="34" charset="0"/>
            </a:rPr>
            <a:t>: Înțelegerea următoarelor:</a:t>
          </a:r>
          <a:endParaRPr lang="en-US" sz="900" b="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Cadrul general al politicilor de transport</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Caracteristicile fizice ale rețelelor de transport</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Analiza volumelor de trafic, a timpilor de parcurs și a congestiei</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Structurile de conducere ale sectorului de transport</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Bugetele actuale și previzionate  pentru sectorul de transport</a:t>
          </a:r>
          <a:endParaRPr lang="en-US" sz="900" kern="1200">
            <a:solidFill>
              <a:sysClr val="windowText" lastClr="000000"/>
            </a:solidFill>
            <a:latin typeface="Arial" pitchFamily="34" charset="0"/>
            <a:cs typeface="Arial" pitchFamily="34" charset="0"/>
          </a:endParaRPr>
        </a:p>
      </dsp:txBody>
      <dsp:txXfrm rot="5400000">
        <a:off x="2" y="1022013"/>
        <a:ext cx="1545948" cy="3066040"/>
      </dsp:txXfrm>
    </dsp:sp>
    <dsp:sp modelId="{C42D726C-D9A3-42B1-871B-B05E3C6BB7F8}">
      <dsp:nvSpPr>
        <dsp:cNvPr id="0" name=""/>
        <dsp:cNvSpPr/>
      </dsp:nvSpPr>
      <dsp:spPr>
        <a:xfrm rot="16200000">
          <a:off x="-118589" y="1782059"/>
          <a:ext cx="5110068" cy="1545948"/>
        </a:xfrm>
        <a:prstGeom prst="flowChartManualOperation">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0" tIns="0" rIns="69850" bIns="0" numCol="1" spcCol="1270" anchor="t" anchorCtr="0">
          <a:noAutofit/>
        </a:bodyPr>
        <a:lstStyle/>
        <a:p>
          <a:pPr lvl="0" algn="l" defTabSz="488950">
            <a:lnSpc>
              <a:spcPct val="90000"/>
            </a:lnSpc>
            <a:spcBef>
              <a:spcPct val="0"/>
            </a:spcBef>
            <a:spcAft>
              <a:spcPct val="35000"/>
            </a:spcAft>
          </a:pPr>
          <a:r>
            <a:rPr lang="ro-RO" sz="1100" b="1" kern="1200">
              <a:solidFill>
                <a:sysClr val="windowText" lastClr="000000"/>
              </a:solidFill>
              <a:latin typeface="Arial" pitchFamily="34" charset="0"/>
              <a:cs typeface="Arial" pitchFamily="34" charset="0"/>
            </a:rPr>
            <a:t>Modelul Național de Transport</a:t>
          </a:r>
        </a:p>
        <a:p>
          <a:pPr lvl="0" algn="l" defTabSz="488950">
            <a:lnSpc>
              <a:spcPct val="90000"/>
            </a:lnSpc>
            <a:spcBef>
              <a:spcPct val="0"/>
            </a:spcBef>
            <a:spcAft>
              <a:spcPct val="35000"/>
            </a:spcAft>
          </a:pPr>
          <a:endParaRPr lang="ro-RO" sz="11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en-US" sz="900" b="1" kern="1200">
              <a:solidFill>
                <a:sysClr val="windowText" lastClr="000000"/>
              </a:solidFill>
              <a:latin typeface="Arial" pitchFamily="34" charset="0"/>
              <a:cs typeface="Arial" pitchFamily="34" charset="0"/>
            </a:rPr>
            <a:t>Procedur</a:t>
          </a:r>
          <a:r>
            <a:rPr lang="ro-RO" sz="900" b="1" kern="1200">
              <a:solidFill>
                <a:sysClr val="windowText" lastClr="000000"/>
              </a:solidFill>
              <a:latin typeface="Arial" pitchFamily="34" charset="0"/>
              <a:cs typeface="Arial" pitchFamily="34" charset="0"/>
            </a:rPr>
            <a:t>ă:</a:t>
          </a:r>
          <a:r>
            <a:rPr lang="ro-RO" sz="900" b="0" kern="1200">
              <a:solidFill>
                <a:sysClr val="windowText" lastClr="000000"/>
              </a:solidFill>
              <a:latin typeface="Arial" pitchFamily="34" charset="0"/>
              <a:cs typeface="Arial" pitchFamily="34" charset="0"/>
            </a:rPr>
            <a:t> utilizarea Modelului Național de Transport pentru furnizarea de date pentru Scenariul de Referință al anului de bază și pentru anii de prognoză</a:t>
          </a:r>
        </a:p>
        <a:p>
          <a:pPr lvl="0" algn="l" defTabSz="488950">
            <a:lnSpc>
              <a:spcPct val="90000"/>
            </a:lnSpc>
            <a:spcBef>
              <a:spcPct val="0"/>
            </a:spcBef>
            <a:spcAft>
              <a:spcPct val="35000"/>
            </a:spcAft>
          </a:pPr>
          <a:endParaRPr lang="ro-RO" sz="900" b="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900" b="1" kern="1200">
              <a:solidFill>
                <a:sysClr val="windowText" lastClr="000000"/>
              </a:solidFill>
              <a:latin typeface="Arial" pitchFamily="34" charset="0"/>
              <a:cs typeface="Arial" pitchFamily="34" charset="0"/>
            </a:rPr>
            <a:t>Rezultat</a:t>
          </a:r>
          <a:r>
            <a:rPr lang="ro-RO" sz="900" b="0" kern="1200">
              <a:solidFill>
                <a:sysClr val="windowText" lastClr="000000"/>
              </a:solidFill>
              <a:latin typeface="Arial" pitchFamily="34" charset="0"/>
              <a:cs typeface="Arial" pitchFamily="34" charset="0"/>
            </a:rPr>
            <a:t>: Evidențe care să  susțină procedura de identificare a problemelor</a:t>
          </a:r>
          <a:endParaRPr lang="ro-RO"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Prognoza creșterii traficului de pasageri și marfă</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Cererea de trafic  pe rețele de transport pe moduri</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Punctele de risc din rețele</a:t>
          </a:r>
          <a:endParaRPr lang="en-US" sz="900" kern="1200">
            <a:solidFill>
              <a:sysClr val="windowText" lastClr="000000"/>
            </a:solidFill>
            <a:latin typeface="Arial" pitchFamily="34" charset="0"/>
            <a:cs typeface="Arial" pitchFamily="34" charset="0"/>
          </a:endParaRP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Evaluarea accesibilității</a:t>
          </a:r>
          <a:endParaRPr lang="en-US" sz="900" kern="1200">
            <a:solidFill>
              <a:sysClr val="windowText" lastClr="000000"/>
            </a:solidFill>
            <a:latin typeface="Arial" pitchFamily="34" charset="0"/>
            <a:cs typeface="Arial" pitchFamily="34" charset="0"/>
          </a:endParaRPr>
        </a:p>
      </dsp:txBody>
      <dsp:txXfrm rot="5400000">
        <a:off x="1663471" y="1022013"/>
        <a:ext cx="1545948" cy="3066040"/>
      </dsp:txXfrm>
    </dsp:sp>
    <dsp:sp modelId="{2E471383-57AD-4E7E-8972-C0717D800BE6}">
      <dsp:nvSpPr>
        <dsp:cNvPr id="0" name=""/>
        <dsp:cNvSpPr/>
      </dsp:nvSpPr>
      <dsp:spPr>
        <a:xfrm rot="16200000">
          <a:off x="1543306" y="1782059"/>
          <a:ext cx="5110068" cy="1545948"/>
        </a:xfrm>
        <a:prstGeom prst="flowChartManualOperation">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0" tIns="0" rIns="69850" bIns="0" numCol="1" spcCol="1270" anchor="t" anchorCtr="0">
          <a:noAutofit/>
        </a:bodyPr>
        <a:lstStyle/>
        <a:p>
          <a:pPr lvl="0" algn="l" defTabSz="488950">
            <a:lnSpc>
              <a:spcPct val="90000"/>
            </a:lnSpc>
            <a:spcBef>
              <a:spcPct val="0"/>
            </a:spcBef>
            <a:spcAft>
              <a:spcPct val="35000"/>
            </a:spcAft>
          </a:pPr>
          <a:r>
            <a:rPr lang="ro-RO" sz="1100" b="1" kern="1200">
              <a:solidFill>
                <a:sysClr val="windowText" lastClr="000000"/>
              </a:solidFill>
              <a:latin typeface="Arial" pitchFamily="34" charset="0"/>
              <a:cs typeface="Arial" pitchFamily="34" charset="0"/>
            </a:rPr>
            <a:t>Consultări cu părțile interesate</a:t>
          </a:r>
        </a:p>
        <a:p>
          <a:pPr lvl="0" algn="l" defTabSz="488950">
            <a:lnSpc>
              <a:spcPct val="90000"/>
            </a:lnSpc>
            <a:spcBef>
              <a:spcPct val="0"/>
            </a:spcBef>
            <a:spcAft>
              <a:spcPct val="35000"/>
            </a:spcAft>
          </a:pPr>
          <a:endParaRPr lang="ro-RO" sz="9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en-US" sz="900" b="1" kern="1200">
              <a:solidFill>
                <a:sysClr val="windowText" lastClr="000000"/>
              </a:solidFill>
              <a:latin typeface="Arial" pitchFamily="34" charset="0"/>
              <a:cs typeface="Arial" pitchFamily="34" charset="0"/>
            </a:rPr>
            <a:t>Procedur</a:t>
          </a:r>
          <a:r>
            <a:rPr lang="ro-RO" sz="900" b="1" kern="1200">
              <a:solidFill>
                <a:sysClr val="windowText" lastClr="000000"/>
              </a:solidFill>
              <a:latin typeface="Arial" pitchFamily="34" charset="0"/>
              <a:cs typeface="Arial" pitchFamily="34" charset="0"/>
            </a:rPr>
            <a:t>ă:</a:t>
          </a:r>
          <a:r>
            <a:rPr lang="ro-RO" sz="900" b="0" kern="1200">
              <a:solidFill>
                <a:sysClr val="windowText" lastClr="000000"/>
              </a:solidFill>
              <a:latin typeface="Arial" pitchFamily="34" charset="0"/>
              <a:cs typeface="Arial" pitchFamily="34" charset="0"/>
            </a:rPr>
            <a:t> au fost organizate mai mult de 100 de întâlniri tehnice, cu participarea reprezentanților MT, ai Companiilor de Operare precum și a altor terțe părți</a:t>
          </a:r>
        </a:p>
        <a:p>
          <a:pPr lvl="0" algn="l" defTabSz="488950">
            <a:lnSpc>
              <a:spcPct val="90000"/>
            </a:lnSpc>
            <a:spcBef>
              <a:spcPct val="0"/>
            </a:spcBef>
            <a:spcAft>
              <a:spcPct val="35000"/>
            </a:spcAft>
          </a:pPr>
          <a:endParaRPr lang="ro-RO" sz="900" b="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900" b="1" kern="1200">
              <a:solidFill>
                <a:sysClr val="windowText" lastClr="000000"/>
              </a:solidFill>
              <a:latin typeface="Arial" pitchFamily="34" charset="0"/>
              <a:cs typeface="Arial" pitchFamily="34" charset="0"/>
            </a:rPr>
            <a:t>Rezultat</a:t>
          </a:r>
          <a:r>
            <a:rPr lang="ro-RO" sz="900" b="0" kern="1200">
              <a:solidFill>
                <a:sysClr val="windowText" lastClr="000000"/>
              </a:solidFill>
              <a:latin typeface="Arial" pitchFamily="34" charset="0"/>
              <a:cs typeface="Arial" pitchFamily="34" charset="0"/>
            </a:rPr>
            <a:t>: Identificarea cauzelor fundamentale ale problemelor</a:t>
          </a:r>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Investigarea detaliată a problemelor fundamentale pentru fiecare sector de transport</a:t>
          </a:r>
          <a:endParaRPr lang="en-US" sz="900" kern="1200"/>
        </a:p>
        <a:p>
          <a:pPr marL="57150" lvl="1" indent="-57150" algn="l" defTabSz="400050">
            <a:lnSpc>
              <a:spcPct val="90000"/>
            </a:lnSpc>
            <a:spcBef>
              <a:spcPct val="0"/>
            </a:spcBef>
            <a:spcAft>
              <a:spcPct val="15000"/>
            </a:spcAft>
            <a:buChar char="••"/>
          </a:pPr>
          <a:r>
            <a:rPr lang="ro-RO" sz="900" kern="1200">
              <a:solidFill>
                <a:sysClr val="windowText" lastClr="000000"/>
              </a:solidFill>
              <a:latin typeface="Arial" pitchFamily="34" charset="0"/>
              <a:cs typeface="Arial" pitchFamily="34" charset="0"/>
            </a:rPr>
            <a:t>Au fost primite date suplimentare</a:t>
          </a:r>
          <a:endParaRPr lang="en-US" sz="900" kern="1200">
            <a:solidFill>
              <a:sysClr val="windowText" lastClr="000000"/>
            </a:solidFill>
            <a:latin typeface="Arial" pitchFamily="34" charset="0"/>
            <a:cs typeface="Arial" pitchFamily="34" charset="0"/>
          </a:endParaRPr>
        </a:p>
      </dsp:txBody>
      <dsp:txXfrm rot="5400000">
        <a:off x="3325366" y="1022013"/>
        <a:ext cx="1545948" cy="3066040"/>
      </dsp:txXfrm>
    </dsp:sp>
    <dsp:sp modelId="{09D7B035-1145-49E4-8430-9CD557723CD4}">
      <dsp:nvSpPr>
        <dsp:cNvPr id="0" name=""/>
        <dsp:cNvSpPr/>
      </dsp:nvSpPr>
      <dsp:spPr>
        <a:xfrm rot="16200000">
          <a:off x="3205201" y="1782059"/>
          <a:ext cx="5110068" cy="1545948"/>
        </a:xfrm>
        <a:prstGeom prst="flowChartManualOperation">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0" tIns="0" rIns="69850" bIns="0" numCol="1" spcCol="1270" anchor="ctr" anchorCtr="0">
          <a:noAutofit/>
        </a:bodyPr>
        <a:lstStyle/>
        <a:p>
          <a:pPr lvl="0" algn="l" defTabSz="488950">
            <a:lnSpc>
              <a:spcPct val="90000"/>
            </a:lnSpc>
            <a:spcBef>
              <a:spcPct val="0"/>
            </a:spcBef>
            <a:spcAft>
              <a:spcPct val="35000"/>
            </a:spcAft>
          </a:pPr>
          <a:endParaRPr lang="ro-RO" sz="11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11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11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1100" b="1" kern="1200">
              <a:solidFill>
                <a:sysClr val="windowText" lastClr="000000"/>
              </a:solidFill>
              <a:latin typeface="Arial" pitchFamily="34" charset="0"/>
              <a:cs typeface="Arial" pitchFamily="34" charset="0"/>
            </a:rPr>
            <a:t>Probleme identificate</a:t>
          </a:r>
        </a:p>
        <a:p>
          <a:pPr lvl="0" algn="l" defTabSz="488950">
            <a:lnSpc>
              <a:spcPct val="90000"/>
            </a:lnSpc>
            <a:spcBef>
              <a:spcPct val="0"/>
            </a:spcBef>
            <a:spcAft>
              <a:spcPct val="35000"/>
            </a:spcAft>
          </a:pPr>
          <a:endParaRPr lang="ro-RO" sz="9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900" b="1" kern="1200">
              <a:solidFill>
                <a:sysClr val="windowText" lastClr="000000"/>
              </a:solidFill>
              <a:latin typeface="Arial" pitchFamily="34" charset="0"/>
              <a:cs typeface="Arial" pitchFamily="34" charset="0"/>
            </a:rPr>
            <a:t>Procedură</a:t>
          </a:r>
          <a:r>
            <a:rPr lang="ro-RO" sz="900" kern="1200">
              <a:solidFill>
                <a:sysClr val="windowText" lastClr="000000"/>
              </a:solidFill>
              <a:latin typeface="Arial" pitchFamily="34" charset="0"/>
              <a:cs typeface="Arial" pitchFamily="34" charset="0"/>
            </a:rPr>
            <a:t>: Rezumatul tuturor surselor de informații</a:t>
          </a:r>
        </a:p>
        <a:p>
          <a:pPr lvl="0" algn="l" defTabSz="488950">
            <a:lnSpc>
              <a:spcPct val="90000"/>
            </a:lnSpc>
            <a:spcBef>
              <a:spcPct val="0"/>
            </a:spcBef>
            <a:spcAft>
              <a:spcPct val="35000"/>
            </a:spcAft>
          </a:pPr>
          <a:endParaRPr lang="ro-RO" sz="900" b="1"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900" b="1" kern="1200">
              <a:solidFill>
                <a:sysClr val="windowText" lastClr="000000"/>
              </a:solidFill>
              <a:latin typeface="Arial" pitchFamily="34" charset="0"/>
              <a:cs typeface="Arial" pitchFamily="34" charset="0"/>
            </a:rPr>
            <a:t>Rezultat</a:t>
          </a:r>
          <a:r>
            <a:rPr lang="ro-RO" sz="900" kern="1200">
              <a:solidFill>
                <a:sysClr val="windowText" lastClr="000000"/>
              </a:solidFill>
              <a:latin typeface="Arial" pitchFamily="34" charset="0"/>
              <a:cs typeface="Arial" pitchFamily="34" charset="0"/>
            </a:rPr>
            <a:t>: Identificare, pe baza evidențelor, a problemelor reale și a provocărilor existente la nivelul sectorului de transport din România.</a:t>
          </a:r>
        </a:p>
        <a:p>
          <a:pPr lvl="0" algn="l" defTabSz="488950">
            <a:lnSpc>
              <a:spcPct val="90000"/>
            </a:lnSpc>
            <a:spcBef>
              <a:spcPct val="0"/>
            </a:spcBef>
            <a:spcAft>
              <a:spcPct val="35000"/>
            </a:spcAft>
          </a:pPr>
          <a:endParaRPr lang="ro-RO" sz="90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r>
            <a:rPr lang="ro-RO" sz="900" b="1" kern="1200">
              <a:solidFill>
                <a:sysClr val="windowText" lastClr="000000"/>
              </a:solidFill>
              <a:latin typeface="Arial" pitchFamily="34" charset="0"/>
              <a:cs typeface="Arial" pitchFamily="34" charset="0"/>
            </a:rPr>
            <a:t>Rezultat</a:t>
          </a:r>
          <a:r>
            <a:rPr lang="ro-RO" sz="900" kern="1200">
              <a:solidFill>
                <a:sysClr val="windowText" lastClr="000000"/>
              </a:solidFill>
              <a:latin typeface="Arial" pitchFamily="34" charset="0"/>
              <a:cs typeface="Arial" pitchFamily="34" charset="0"/>
            </a:rPr>
            <a:t>: Constituie suportul pentru definirea obiectivelor operaționale care susțin etapa de Identificare a Proiectelor</a:t>
          </a:r>
        </a:p>
        <a:p>
          <a:pPr lvl="0" algn="l" defTabSz="488950">
            <a:lnSpc>
              <a:spcPct val="90000"/>
            </a:lnSpc>
            <a:spcBef>
              <a:spcPct val="0"/>
            </a:spcBef>
            <a:spcAft>
              <a:spcPct val="35000"/>
            </a:spcAft>
          </a:pPr>
          <a:endParaRPr lang="ro-RO" sz="90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90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90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90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ro-RO" sz="900" kern="1200">
            <a:solidFill>
              <a:sysClr val="windowText" lastClr="000000"/>
            </a:solidFill>
            <a:latin typeface="Arial" pitchFamily="34" charset="0"/>
            <a:cs typeface="Arial" pitchFamily="34" charset="0"/>
          </a:endParaRPr>
        </a:p>
        <a:p>
          <a:pPr lvl="0" algn="l" defTabSz="488950">
            <a:lnSpc>
              <a:spcPct val="90000"/>
            </a:lnSpc>
            <a:spcBef>
              <a:spcPct val="0"/>
            </a:spcBef>
            <a:spcAft>
              <a:spcPct val="35000"/>
            </a:spcAft>
          </a:pPr>
          <a:endParaRPr lang="en-US" sz="900" kern="1200">
            <a:solidFill>
              <a:sysClr val="windowText" lastClr="000000"/>
            </a:solidFill>
            <a:latin typeface="Arial" pitchFamily="34" charset="0"/>
            <a:cs typeface="Arial" pitchFamily="34" charset="0"/>
          </a:endParaRPr>
        </a:p>
      </dsp:txBody>
      <dsp:txXfrm rot="5400000">
        <a:off x="4987261" y="1022013"/>
        <a:ext cx="1545948" cy="306604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A2B8AB-B01A-474B-9FC7-B7E70FDD65E7}">
      <dsp:nvSpPr>
        <dsp:cNvPr id="0" name=""/>
        <dsp:cNvSpPr/>
      </dsp:nvSpPr>
      <dsp:spPr>
        <a:xfrm>
          <a:off x="3105803" y="5272749"/>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85C196C-B444-4A1D-A284-E63A5DEEA70B}">
      <dsp:nvSpPr>
        <dsp:cNvPr id="0" name=""/>
        <dsp:cNvSpPr/>
      </dsp:nvSpPr>
      <dsp:spPr>
        <a:xfrm>
          <a:off x="3105803" y="4730254"/>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92BA890B-9536-4299-96C9-B269755FC175}">
      <dsp:nvSpPr>
        <dsp:cNvPr id="0" name=""/>
        <dsp:cNvSpPr/>
      </dsp:nvSpPr>
      <dsp:spPr>
        <a:xfrm>
          <a:off x="2429776" y="4187760"/>
          <a:ext cx="721747" cy="205457"/>
        </a:xfrm>
        <a:custGeom>
          <a:avLst/>
          <a:gdLst/>
          <a:ahLst/>
          <a:cxnLst/>
          <a:rect l="0" t="0" r="0" b="0"/>
          <a:pathLst>
            <a:path>
              <a:moveTo>
                <a:pt x="0" y="0"/>
              </a:moveTo>
              <a:lnTo>
                <a:pt x="0" y="140013"/>
              </a:lnTo>
              <a:lnTo>
                <a:pt x="721747" y="140013"/>
              </a:lnTo>
              <a:lnTo>
                <a:pt x="721747"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EEE3088-488D-41C4-A436-3B39588435A3}">
      <dsp:nvSpPr>
        <dsp:cNvPr id="0" name=""/>
        <dsp:cNvSpPr/>
      </dsp:nvSpPr>
      <dsp:spPr>
        <a:xfrm>
          <a:off x="1668507" y="4730254"/>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1B0DA20-A8AA-4951-B75E-C698A3AF4642}">
      <dsp:nvSpPr>
        <dsp:cNvPr id="0" name=""/>
        <dsp:cNvSpPr/>
      </dsp:nvSpPr>
      <dsp:spPr>
        <a:xfrm>
          <a:off x="1714227" y="4187760"/>
          <a:ext cx="715548" cy="205457"/>
        </a:xfrm>
        <a:custGeom>
          <a:avLst/>
          <a:gdLst/>
          <a:ahLst/>
          <a:cxnLst/>
          <a:rect l="0" t="0" r="0" b="0"/>
          <a:pathLst>
            <a:path>
              <a:moveTo>
                <a:pt x="715548" y="0"/>
              </a:moveTo>
              <a:lnTo>
                <a:pt x="715548" y="140013"/>
              </a:lnTo>
              <a:lnTo>
                <a:pt x="0" y="140013"/>
              </a:lnTo>
              <a:lnTo>
                <a:pt x="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DEC9BE2-C60F-4893-A5E1-C3E8EF8AA37C}">
      <dsp:nvSpPr>
        <dsp:cNvPr id="0" name=""/>
        <dsp:cNvSpPr/>
      </dsp:nvSpPr>
      <dsp:spPr>
        <a:xfrm>
          <a:off x="2384056" y="3194366"/>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2A0630E-4A05-444A-AFD2-C9B0AF667B0B}">
      <dsp:nvSpPr>
        <dsp:cNvPr id="0" name=""/>
        <dsp:cNvSpPr/>
      </dsp:nvSpPr>
      <dsp:spPr>
        <a:xfrm>
          <a:off x="2384056" y="2614127"/>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2C9DDC87-9A0A-4128-BEF4-BA278FA9F451}">
      <dsp:nvSpPr>
        <dsp:cNvPr id="0" name=""/>
        <dsp:cNvSpPr/>
      </dsp:nvSpPr>
      <dsp:spPr>
        <a:xfrm>
          <a:off x="1672144" y="2189509"/>
          <a:ext cx="757631" cy="205457"/>
        </a:xfrm>
        <a:custGeom>
          <a:avLst/>
          <a:gdLst/>
          <a:ahLst/>
          <a:cxnLst/>
          <a:rect l="0" t="0" r="0" b="0"/>
          <a:pathLst>
            <a:path>
              <a:moveTo>
                <a:pt x="0" y="0"/>
              </a:moveTo>
              <a:lnTo>
                <a:pt x="0" y="140013"/>
              </a:lnTo>
              <a:lnTo>
                <a:pt x="757631" y="140013"/>
              </a:lnTo>
              <a:lnTo>
                <a:pt x="757631"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2AF8BCE-BABF-4FDA-ADD6-9772BE13A31E}">
      <dsp:nvSpPr>
        <dsp:cNvPr id="0" name=""/>
        <dsp:cNvSpPr/>
      </dsp:nvSpPr>
      <dsp:spPr>
        <a:xfrm>
          <a:off x="838592" y="2616199"/>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068E995D-CD4F-430E-B694-60F864789F69}">
      <dsp:nvSpPr>
        <dsp:cNvPr id="0" name=""/>
        <dsp:cNvSpPr/>
      </dsp:nvSpPr>
      <dsp:spPr>
        <a:xfrm>
          <a:off x="884312" y="2189509"/>
          <a:ext cx="787832" cy="205457"/>
        </a:xfrm>
        <a:custGeom>
          <a:avLst/>
          <a:gdLst/>
          <a:ahLst/>
          <a:cxnLst/>
          <a:rect l="0" t="0" r="0" b="0"/>
          <a:pathLst>
            <a:path>
              <a:moveTo>
                <a:pt x="787832" y="0"/>
              </a:moveTo>
              <a:lnTo>
                <a:pt x="787832" y="140013"/>
              </a:lnTo>
              <a:lnTo>
                <a:pt x="0" y="140013"/>
              </a:lnTo>
              <a:lnTo>
                <a:pt x="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D366AF8-F9FA-41C9-A43B-BF3265A435B6}">
      <dsp:nvSpPr>
        <dsp:cNvPr id="0" name=""/>
        <dsp:cNvSpPr/>
      </dsp:nvSpPr>
      <dsp:spPr>
        <a:xfrm>
          <a:off x="1626424" y="1074664"/>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4D40AC4-022A-4D58-90B0-F68BB2D86AA6}">
      <dsp:nvSpPr>
        <dsp:cNvPr id="0" name=""/>
        <dsp:cNvSpPr/>
      </dsp:nvSpPr>
      <dsp:spPr>
        <a:xfrm>
          <a:off x="1626424" y="639486"/>
          <a:ext cx="91440" cy="205457"/>
        </a:xfrm>
        <a:custGeom>
          <a:avLst/>
          <a:gdLst/>
          <a:ahLst/>
          <a:cxnLst/>
          <a:rect l="0" t="0" r="0" b="0"/>
          <a:pathLst>
            <a:path>
              <a:moveTo>
                <a:pt x="45720" y="0"/>
              </a:moveTo>
              <a:lnTo>
                <a:pt x="45720" y="205457"/>
              </a:lnTo>
            </a:path>
          </a:pathLst>
        </a:custGeom>
        <a:noFill/>
        <a:ln w="25400" cap="flat" cmpd="sng" algn="ctr">
          <a:solidFill>
            <a:srgbClr val="988F86"/>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EC82301-A429-49BE-A4CA-9152DF69FC69}">
      <dsp:nvSpPr>
        <dsp:cNvPr id="0" name=""/>
        <dsp:cNvSpPr/>
      </dsp:nvSpPr>
      <dsp:spPr>
        <a:xfrm>
          <a:off x="1626424" y="306471"/>
          <a:ext cx="91440" cy="119727"/>
        </a:xfrm>
        <a:custGeom>
          <a:avLst/>
          <a:gdLst/>
          <a:ahLst/>
          <a:cxnLst/>
          <a:rect l="0" t="0" r="0" b="0"/>
          <a:pathLst>
            <a:path>
              <a:moveTo>
                <a:pt x="45720" y="0"/>
              </a:moveTo>
              <a:lnTo>
                <a:pt x="45720" y="119727"/>
              </a:lnTo>
            </a:path>
          </a:pathLst>
        </a:custGeom>
        <a:noFill/>
        <a:ln w="25400" cap="flat" cmpd="sng" algn="ctr">
          <a:solidFill>
            <a:srgbClr val="988F86"/>
          </a:solidFill>
          <a:prstDash val="solid"/>
        </a:ln>
        <a:effectLst/>
        <a:sp3d z="-40000" prstMaterial="matte"/>
      </dsp:spPr>
      <dsp:style>
        <a:lnRef idx="2">
          <a:scrgbClr r="0" g="0" b="0"/>
        </a:lnRef>
        <a:fillRef idx="0">
          <a:scrgbClr r="0" g="0" b="0"/>
        </a:fillRef>
        <a:effectRef idx="0">
          <a:scrgbClr r="0" g="0" b="0"/>
        </a:effectRef>
        <a:fontRef idx="minor"/>
      </dsp:style>
    </dsp:sp>
    <dsp:sp modelId="{E35CA196-18DD-4D91-85EF-411FFAC47438}">
      <dsp:nvSpPr>
        <dsp:cNvPr id="0" name=""/>
        <dsp:cNvSpPr/>
      </dsp:nvSpPr>
      <dsp:spPr>
        <a:xfrm>
          <a:off x="195602" y="89724"/>
          <a:ext cx="2953083" cy="216746"/>
        </a:xfrm>
        <a:prstGeom prst="roundRect">
          <a:avLst>
            <a:gd name="adj" fmla="val 10000"/>
          </a:avLst>
        </a:prstGeom>
        <a:solidFill>
          <a:srgbClr val="988F8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6F9E952-EAAF-45A1-9E44-92C0F6C04663}">
      <dsp:nvSpPr>
        <dsp:cNvPr id="0" name=""/>
        <dsp:cNvSpPr/>
      </dsp:nvSpPr>
      <dsp:spPr>
        <a:xfrm>
          <a:off x="274096" y="164293"/>
          <a:ext cx="2953083" cy="216746"/>
        </a:xfrm>
        <a:prstGeom prst="roundRect">
          <a:avLst>
            <a:gd name="adj" fmla="val 10000"/>
          </a:avLst>
        </a:prstGeom>
        <a:solidFill>
          <a:srgbClr val="CFCBC7">
            <a:alpha val="89804"/>
          </a:srgbClr>
        </a:solidFill>
        <a:ln w="9525" cap="flat" cmpd="sng" algn="ctr">
          <a:solidFill>
            <a:srgbClr val="988F86"/>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latin typeface="Arial" pitchFamily="34" charset="0"/>
              <a:cs typeface="Arial" pitchFamily="34" charset="0"/>
            </a:rPr>
            <a:t>1. </a:t>
          </a:r>
          <a:r>
            <a:rPr lang="ro-RO" sz="900" b="1" kern="1200">
              <a:latin typeface="Arial" pitchFamily="34" charset="0"/>
              <a:cs typeface="Arial" pitchFamily="34" charset="0"/>
            </a:rPr>
            <a:t>Analiza contextului </a:t>
          </a:r>
          <a:r>
            <a:rPr lang="en-US" sz="900" b="1" kern="1200">
              <a:latin typeface="Arial" pitchFamily="34" charset="0"/>
              <a:cs typeface="Arial" pitchFamily="34" charset="0"/>
            </a:rPr>
            <a:t>&amp; </a:t>
          </a:r>
          <a:r>
            <a:rPr lang="ro-RO" sz="900" b="1" kern="1200">
              <a:latin typeface="Arial" pitchFamily="34" charset="0"/>
              <a:cs typeface="Arial" pitchFamily="34" charset="0"/>
            </a:rPr>
            <a:t>Obiectivele proiectului</a:t>
          </a:r>
          <a:endParaRPr lang="en-US" sz="900" b="1" kern="1200">
            <a:latin typeface="Arial" pitchFamily="34" charset="0"/>
            <a:cs typeface="Arial" pitchFamily="34" charset="0"/>
          </a:endParaRPr>
        </a:p>
      </dsp:txBody>
      <dsp:txXfrm>
        <a:off x="280444" y="170641"/>
        <a:ext cx="2940387" cy="204050"/>
      </dsp:txXfrm>
    </dsp:sp>
    <dsp:sp modelId="{5BD50AFA-67B0-4641-9335-35C64CA1AA05}">
      <dsp:nvSpPr>
        <dsp:cNvPr id="0" name=""/>
        <dsp:cNvSpPr/>
      </dsp:nvSpPr>
      <dsp:spPr>
        <a:xfrm>
          <a:off x="202155" y="426198"/>
          <a:ext cx="2939978" cy="213287"/>
        </a:xfrm>
        <a:prstGeom prst="roundRect">
          <a:avLst>
            <a:gd name="adj" fmla="val 10000"/>
          </a:avLst>
        </a:prstGeom>
        <a:solidFill>
          <a:srgbClr val="988F8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760F31F-7774-468E-AB94-816C5E14B916}">
      <dsp:nvSpPr>
        <dsp:cNvPr id="0" name=""/>
        <dsp:cNvSpPr/>
      </dsp:nvSpPr>
      <dsp:spPr>
        <a:xfrm>
          <a:off x="280649" y="500767"/>
          <a:ext cx="2939978" cy="213287"/>
        </a:xfrm>
        <a:prstGeom prst="roundRect">
          <a:avLst>
            <a:gd name="adj" fmla="val 10000"/>
          </a:avLst>
        </a:prstGeom>
        <a:solidFill>
          <a:srgbClr val="CFCBC7">
            <a:alpha val="89804"/>
          </a:srgbClr>
        </a:solidFill>
        <a:ln w="9525" cap="flat" cmpd="sng" algn="ctr">
          <a:solidFill>
            <a:srgbClr val="988F86"/>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latin typeface="Arial" pitchFamily="34" charset="0"/>
              <a:cs typeface="Arial" pitchFamily="34" charset="0"/>
            </a:rPr>
            <a:t>2. </a:t>
          </a:r>
          <a:r>
            <a:rPr lang="ro-RO" sz="900" b="1" kern="1200">
              <a:latin typeface="Arial" pitchFamily="34" charset="0"/>
              <a:cs typeface="Arial" pitchFamily="34" charset="0"/>
            </a:rPr>
            <a:t>Identificarea proiectului</a:t>
          </a:r>
          <a:endParaRPr lang="en-US" sz="900" b="1" kern="1200">
            <a:latin typeface="Arial" pitchFamily="34" charset="0"/>
            <a:cs typeface="Arial" pitchFamily="34" charset="0"/>
          </a:endParaRPr>
        </a:p>
      </dsp:txBody>
      <dsp:txXfrm>
        <a:off x="286896" y="507014"/>
        <a:ext cx="2927484" cy="200793"/>
      </dsp:txXfrm>
    </dsp:sp>
    <dsp:sp modelId="{86FBFEDE-BC4F-4B3A-8E07-8458093392CA}">
      <dsp:nvSpPr>
        <dsp:cNvPr id="0" name=""/>
        <dsp:cNvSpPr/>
      </dsp:nvSpPr>
      <dsp:spPr>
        <a:xfrm>
          <a:off x="189506" y="844944"/>
          <a:ext cx="2965276" cy="229719"/>
        </a:xfrm>
        <a:prstGeom prst="roundRect">
          <a:avLst>
            <a:gd name="adj" fmla="val 10000"/>
          </a:avLst>
        </a:prstGeom>
        <a:solidFill>
          <a:srgbClr val="988F8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186D19DC-3316-4A13-9286-79FEA0621543}">
      <dsp:nvSpPr>
        <dsp:cNvPr id="0" name=""/>
        <dsp:cNvSpPr/>
      </dsp:nvSpPr>
      <dsp:spPr>
        <a:xfrm>
          <a:off x="268000" y="919513"/>
          <a:ext cx="2965276" cy="229719"/>
        </a:xfrm>
        <a:prstGeom prst="roundRect">
          <a:avLst>
            <a:gd name="adj" fmla="val 10000"/>
          </a:avLst>
        </a:prstGeom>
        <a:solidFill>
          <a:srgbClr val="CFCBC7">
            <a:alpha val="89804"/>
          </a:srgbClr>
        </a:solidFill>
        <a:ln w="9525" cap="flat" cmpd="sng" algn="ctr">
          <a:solidFill>
            <a:srgbClr val="988F86"/>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latin typeface="Arial" pitchFamily="34" charset="0"/>
              <a:cs typeface="Arial" pitchFamily="34" charset="0"/>
            </a:rPr>
            <a:t>3. </a:t>
          </a:r>
          <a:r>
            <a:rPr lang="ro-RO" sz="900" b="1" kern="1200">
              <a:latin typeface="Arial" pitchFamily="34" charset="0"/>
              <a:cs typeface="Arial" pitchFamily="34" charset="0"/>
            </a:rPr>
            <a:t>Fezabilitate &amp; Analiza opțiunilor</a:t>
          </a:r>
          <a:endParaRPr lang="en-US" sz="900" b="1" kern="1200">
            <a:latin typeface="Arial" pitchFamily="34" charset="0"/>
            <a:cs typeface="Arial" pitchFamily="34" charset="0"/>
          </a:endParaRPr>
        </a:p>
      </dsp:txBody>
      <dsp:txXfrm>
        <a:off x="274728" y="926241"/>
        <a:ext cx="2951820" cy="216263"/>
      </dsp:txXfrm>
    </dsp:sp>
    <dsp:sp modelId="{BF28BADB-0665-4AE1-A06F-9EFB38406D50}">
      <dsp:nvSpPr>
        <dsp:cNvPr id="0" name=""/>
        <dsp:cNvSpPr/>
      </dsp:nvSpPr>
      <dsp:spPr>
        <a:xfrm>
          <a:off x="192554" y="1280122"/>
          <a:ext cx="2959179" cy="909387"/>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1B01F7C-9551-494D-B346-2CC34DA26F38}">
      <dsp:nvSpPr>
        <dsp:cNvPr id="0" name=""/>
        <dsp:cNvSpPr/>
      </dsp:nvSpPr>
      <dsp:spPr>
        <a:xfrm>
          <a:off x="271048" y="1354691"/>
          <a:ext cx="2959179" cy="909387"/>
        </a:xfrm>
        <a:prstGeom prst="roundRect">
          <a:avLst>
            <a:gd name="adj" fmla="val 10000"/>
          </a:avLst>
        </a:prstGeom>
        <a:solidFill>
          <a:srgbClr val="BDE5F1">
            <a:alpha val="90000"/>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b="1" kern="1200">
              <a:latin typeface="Arial" pitchFamily="34" charset="0"/>
              <a:cs typeface="Arial" pitchFamily="34" charset="0"/>
            </a:rPr>
            <a:t>4. </a:t>
          </a:r>
          <a:r>
            <a:rPr lang="ro-RO" sz="900" b="1" kern="1200">
              <a:latin typeface="Arial" pitchFamily="34" charset="0"/>
              <a:cs typeface="Arial" pitchFamily="34" charset="0"/>
            </a:rPr>
            <a:t>Analiza financiară</a:t>
          </a:r>
          <a:endParaRPr lang="en-US" sz="900" b="1" kern="1200">
            <a:latin typeface="Arial" pitchFamily="34" charset="0"/>
            <a:cs typeface="Arial" pitchFamily="34" charset="0"/>
          </a:endParaRPr>
        </a:p>
        <a:p>
          <a:pPr lvl="0" algn="ctr" defTabSz="400050">
            <a:lnSpc>
              <a:spcPct val="90000"/>
            </a:lnSpc>
            <a:spcBef>
              <a:spcPct val="0"/>
            </a:spcBef>
            <a:spcAft>
              <a:spcPts val="0"/>
            </a:spcAft>
          </a:pPr>
          <a:r>
            <a:rPr lang="en-US" sz="900" kern="1200">
              <a:latin typeface="Arial" pitchFamily="34" charset="0"/>
              <a:cs typeface="Arial" pitchFamily="34" charset="0"/>
            </a:rPr>
            <a:t>- </a:t>
          </a:r>
          <a:r>
            <a:rPr lang="ro-RO" sz="900" kern="1200">
              <a:latin typeface="Arial" pitchFamily="34" charset="0"/>
              <a:cs typeface="Arial" pitchFamily="34" charset="0"/>
            </a:rPr>
            <a:t>Costuri de investiție</a:t>
          </a:r>
          <a:r>
            <a:rPr lang="en-US" sz="900" kern="1200">
              <a:latin typeface="Arial" pitchFamily="34" charset="0"/>
              <a:cs typeface="Arial" pitchFamily="34" charset="0"/>
            </a:rPr>
            <a:t>;</a:t>
          </a:r>
        </a:p>
        <a:p>
          <a:pPr lvl="0" algn="ctr" defTabSz="400050">
            <a:lnSpc>
              <a:spcPct val="90000"/>
            </a:lnSpc>
            <a:spcBef>
              <a:spcPct val="0"/>
            </a:spcBef>
            <a:spcAft>
              <a:spcPts val="0"/>
            </a:spcAft>
          </a:pPr>
          <a:r>
            <a:rPr lang="en-US" sz="900" kern="1200">
              <a:latin typeface="Arial" pitchFamily="34" charset="0"/>
              <a:cs typeface="Arial" pitchFamily="34" charset="0"/>
            </a:rPr>
            <a:t>-</a:t>
          </a:r>
          <a:r>
            <a:rPr lang="ro-RO" sz="900" kern="1200">
              <a:latin typeface="Arial" pitchFamily="34" charset="0"/>
              <a:cs typeface="Arial" pitchFamily="34" charset="0"/>
            </a:rPr>
            <a:t>Venituri și costuri operaționale</a:t>
          </a:r>
          <a:r>
            <a:rPr lang="en-US" sz="900" kern="1200">
              <a:latin typeface="Arial" pitchFamily="34" charset="0"/>
              <a:cs typeface="Arial" pitchFamily="34" charset="0"/>
            </a:rPr>
            <a:t>;</a:t>
          </a:r>
        </a:p>
        <a:p>
          <a:pPr lvl="0" algn="ctr" defTabSz="400050">
            <a:lnSpc>
              <a:spcPct val="90000"/>
            </a:lnSpc>
            <a:spcBef>
              <a:spcPct val="0"/>
            </a:spcBef>
            <a:spcAft>
              <a:spcPts val="0"/>
            </a:spcAft>
          </a:pPr>
          <a:r>
            <a:rPr lang="en-US" sz="900" kern="1200">
              <a:latin typeface="Arial" pitchFamily="34" charset="0"/>
              <a:cs typeface="Arial" pitchFamily="34" charset="0"/>
            </a:rPr>
            <a:t>- </a:t>
          </a:r>
          <a:r>
            <a:rPr lang="ro-RO" sz="900" kern="1200">
              <a:latin typeface="Arial" pitchFamily="34" charset="0"/>
              <a:cs typeface="Arial" pitchFamily="34" charset="0"/>
            </a:rPr>
            <a:t>Rata financiară a investiției</a:t>
          </a:r>
          <a:r>
            <a:rPr lang="en-US" sz="900" kern="1200">
              <a:latin typeface="Arial" pitchFamily="34" charset="0"/>
              <a:cs typeface="Arial" pitchFamily="34" charset="0"/>
            </a:rPr>
            <a:t>;</a:t>
          </a:r>
        </a:p>
        <a:p>
          <a:pPr lvl="0" algn="ctr" defTabSz="400050">
            <a:lnSpc>
              <a:spcPct val="90000"/>
            </a:lnSpc>
            <a:spcBef>
              <a:spcPct val="0"/>
            </a:spcBef>
            <a:spcAft>
              <a:spcPts val="0"/>
            </a:spcAft>
          </a:pPr>
          <a:r>
            <a:rPr lang="en-US" sz="900" kern="1200">
              <a:latin typeface="Arial" pitchFamily="34" charset="0"/>
              <a:cs typeface="Arial" pitchFamily="34" charset="0"/>
            </a:rPr>
            <a:t>- </a:t>
          </a:r>
          <a:r>
            <a:rPr lang="ro-RO" sz="900" kern="1200">
              <a:latin typeface="Arial" pitchFamily="34" charset="0"/>
              <a:cs typeface="Arial" pitchFamily="34" charset="0"/>
            </a:rPr>
            <a:t>Surse de finanțare</a:t>
          </a:r>
          <a:r>
            <a:rPr lang="en-US" sz="900" kern="1200">
              <a:latin typeface="Arial" pitchFamily="34" charset="0"/>
              <a:cs typeface="Arial" pitchFamily="34" charset="0"/>
            </a:rPr>
            <a:t>;</a:t>
          </a:r>
        </a:p>
        <a:p>
          <a:pPr lvl="0" algn="ctr" defTabSz="400050">
            <a:lnSpc>
              <a:spcPct val="90000"/>
            </a:lnSpc>
            <a:spcBef>
              <a:spcPct val="0"/>
            </a:spcBef>
            <a:spcAft>
              <a:spcPts val="0"/>
            </a:spcAft>
          </a:pPr>
          <a:r>
            <a:rPr lang="en-US" sz="900" kern="1200">
              <a:latin typeface="Arial" pitchFamily="34" charset="0"/>
              <a:cs typeface="Arial" pitchFamily="34" charset="0"/>
            </a:rPr>
            <a:t>-</a:t>
          </a:r>
          <a:r>
            <a:rPr lang="ro-RO" sz="900" kern="1200">
              <a:latin typeface="Arial" pitchFamily="34" charset="0"/>
              <a:cs typeface="Arial" pitchFamily="34" charset="0"/>
            </a:rPr>
            <a:t>Sustenabilitate financiară</a:t>
          </a:r>
          <a:r>
            <a:rPr lang="en-US" sz="900" kern="1200">
              <a:latin typeface="Arial" pitchFamily="34" charset="0"/>
              <a:cs typeface="Arial" pitchFamily="34" charset="0"/>
            </a:rPr>
            <a:t>;</a:t>
          </a:r>
        </a:p>
        <a:p>
          <a:pPr lvl="0" algn="ctr" defTabSz="400050">
            <a:lnSpc>
              <a:spcPct val="90000"/>
            </a:lnSpc>
            <a:spcBef>
              <a:spcPct val="0"/>
            </a:spcBef>
            <a:spcAft>
              <a:spcPts val="0"/>
            </a:spcAft>
          </a:pPr>
          <a:r>
            <a:rPr lang="en-US" sz="900" kern="1200">
              <a:latin typeface="Arial" pitchFamily="34" charset="0"/>
              <a:cs typeface="Arial" pitchFamily="34" charset="0"/>
            </a:rPr>
            <a:t>-</a:t>
          </a:r>
          <a:r>
            <a:rPr lang="ro-RO" sz="900" kern="1200">
              <a:latin typeface="Arial" pitchFamily="34" charset="0"/>
              <a:cs typeface="Arial" pitchFamily="34" charset="0"/>
            </a:rPr>
            <a:t>Rentabilitatea financiară a capitalului</a:t>
          </a:r>
          <a:r>
            <a:rPr lang="en-US" sz="900" kern="1200">
              <a:latin typeface="Arial" pitchFamily="34" charset="0"/>
              <a:cs typeface="Arial" pitchFamily="34" charset="0"/>
            </a:rPr>
            <a:t>.</a:t>
          </a:r>
        </a:p>
      </dsp:txBody>
      <dsp:txXfrm>
        <a:off x="297683" y="1381326"/>
        <a:ext cx="2905909" cy="856117"/>
      </dsp:txXfrm>
    </dsp:sp>
    <dsp:sp modelId="{508ACCC6-F5BA-4518-8873-090C6C652670}">
      <dsp:nvSpPr>
        <dsp:cNvPr id="0" name=""/>
        <dsp:cNvSpPr/>
      </dsp:nvSpPr>
      <dsp:spPr>
        <a:xfrm>
          <a:off x="205174" y="2394967"/>
          <a:ext cx="1358275" cy="221232"/>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D79EC751-DAD9-4812-9888-9ACA98EDF2E0}">
      <dsp:nvSpPr>
        <dsp:cNvPr id="0" name=""/>
        <dsp:cNvSpPr/>
      </dsp:nvSpPr>
      <dsp:spPr>
        <a:xfrm>
          <a:off x="283668" y="2469536"/>
          <a:ext cx="1358275" cy="221232"/>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kern="1200">
              <a:latin typeface="Arial" pitchFamily="34" charset="0"/>
              <a:cs typeface="Arial" pitchFamily="34" charset="0"/>
            </a:rPr>
            <a:t>Dacă</a:t>
          </a:r>
          <a:r>
            <a:rPr lang="en-US" sz="900" kern="1200">
              <a:latin typeface="Arial" pitchFamily="34" charset="0"/>
              <a:cs typeface="Arial" pitchFamily="34" charset="0"/>
            </a:rPr>
            <a:t> </a:t>
          </a:r>
          <a:r>
            <a:rPr lang="ro-RO" sz="900" kern="1200">
              <a:latin typeface="Arial" pitchFamily="34" charset="0"/>
              <a:cs typeface="Arial" pitchFamily="34" charset="0"/>
            </a:rPr>
            <a:t>VANF</a:t>
          </a:r>
          <a:r>
            <a:rPr lang="en-US" sz="900" kern="1200">
              <a:latin typeface="Arial" pitchFamily="34" charset="0"/>
              <a:cs typeface="Arial" pitchFamily="34" charset="0"/>
            </a:rPr>
            <a:t> &gt; 0</a:t>
          </a:r>
        </a:p>
      </dsp:txBody>
      <dsp:txXfrm>
        <a:off x="290148" y="2476016"/>
        <a:ext cx="1345315" cy="208272"/>
      </dsp:txXfrm>
    </dsp:sp>
    <dsp:sp modelId="{A90A0D1D-69C3-48B3-9000-7612B41A6140}">
      <dsp:nvSpPr>
        <dsp:cNvPr id="0" name=""/>
        <dsp:cNvSpPr/>
      </dsp:nvSpPr>
      <dsp:spPr>
        <a:xfrm>
          <a:off x="164235" y="2821657"/>
          <a:ext cx="1440152" cy="370802"/>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2097C97C-C141-42FF-8A21-6F9462CD4896}">
      <dsp:nvSpPr>
        <dsp:cNvPr id="0" name=""/>
        <dsp:cNvSpPr/>
      </dsp:nvSpPr>
      <dsp:spPr>
        <a:xfrm>
          <a:off x="242729" y="2896227"/>
          <a:ext cx="1440152" cy="370802"/>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i="1" kern="1200">
              <a:latin typeface="Arial" pitchFamily="34" charset="0"/>
              <a:cs typeface="Arial" pitchFamily="34" charset="0"/>
            </a:rPr>
            <a:t>Proiectul nu necesită sprijin financiar de la UE</a:t>
          </a:r>
          <a:endParaRPr lang="en-US" sz="900" i="1" kern="1200">
            <a:latin typeface="Arial" pitchFamily="34" charset="0"/>
            <a:cs typeface="Arial" pitchFamily="34" charset="0"/>
          </a:endParaRPr>
        </a:p>
      </dsp:txBody>
      <dsp:txXfrm>
        <a:off x="253589" y="2907087"/>
        <a:ext cx="1418432" cy="349082"/>
      </dsp:txXfrm>
    </dsp:sp>
    <dsp:sp modelId="{7CF523D5-CE15-4F72-B75C-B53DB8F13F0A}">
      <dsp:nvSpPr>
        <dsp:cNvPr id="0" name=""/>
        <dsp:cNvSpPr/>
      </dsp:nvSpPr>
      <dsp:spPr>
        <a:xfrm>
          <a:off x="1720437" y="2394967"/>
          <a:ext cx="1418676" cy="219160"/>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286B4F7E-8D44-4EF4-931D-C46B213D57C6}">
      <dsp:nvSpPr>
        <dsp:cNvPr id="0" name=""/>
        <dsp:cNvSpPr/>
      </dsp:nvSpPr>
      <dsp:spPr>
        <a:xfrm>
          <a:off x="1798931" y="2469536"/>
          <a:ext cx="1418676" cy="219160"/>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kern="1200">
              <a:latin typeface="Arial" pitchFamily="34" charset="0"/>
              <a:cs typeface="Arial" pitchFamily="34" charset="0"/>
            </a:rPr>
            <a:t>Dacă</a:t>
          </a:r>
          <a:r>
            <a:rPr lang="en-US" sz="900" kern="1200">
              <a:latin typeface="Arial" pitchFamily="34" charset="0"/>
              <a:cs typeface="Arial" pitchFamily="34" charset="0"/>
            </a:rPr>
            <a:t> </a:t>
          </a:r>
          <a:r>
            <a:rPr lang="ro-RO" sz="900" kern="1200">
              <a:latin typeface="Arial" pitchFamily="34" charset="0"/>
              <a:cs typeface="Arial" pitchFamily="34" charset="0"/>
            </a:rPr>
            <a:t>VANF</a:t>
          </a:r>
          <a:r>
            <a:rPr lang="en-US" sz="900" kern="1200">
              <a:latin typeface="Arial" pitchFamily="34" charset="0"/>
              <a:cs typeface="Arial" pitchFamily="34" charset="0"/>
            </a:rPr>
            <a:t>&lt;0</a:t>
          </a:r>
        </a:p>
      </dsp:txBody>
      <dsp:txXfrm>
        <a:off x="1805350" y="2475955"/>
        <a:ext cx="1405838" cy="206322"/>
      </dsp:txXfrm>
    </dsp:sp>
    <dsp:sp modelId="{112CBC4A-9AA1-48CD-B2F2-FF20F0A5CB38}">
      <dsp:nvSpPr>
        <dsp:cNvPr id="0" name=""/>
        <dsp:cNvSpPr/>
      </dsp:nvSpPr>
      <dsp:spPr>
        <a:xfrm>
          <a:off x="1772449" y="2819585"/>
          <a:ext cx="1314652" cy="374781"/>
        </a:xfrm>
        <a:prstGeom prst="roundRect">
          <a:avLst>
            <a:gd name="adj" fmla="val 10000"/>
          </a:avLst>
        </a:prstGeom>
        <a:solidFill>
          <a:srgbClr val="63C1D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7F5FA490-35EF-4788-BC86-78443252AB70}">
      <dsp:nvSpPr>
        <dsp:cNvPr id="0" name=""/>
        <dsp:cNvSpPr/>
      </dsp:nvSpPr>
      <dsp:spPr>
        <a:xfrm>
          <a:off x="1850943" y="2894154"/>
          <a:ext cx="1314652" cy="374781"/>
        </a:xfrm>
        <a:prstGeom prst="roundRect">
          <a:avLst>
            <a:gd name="adj" fmla="val 10000"/>
          </a:avLst>
        </a:prstGeom>
        <a:solidFill>
          <a:srgbClr val="BDE5F1">
            <a:alpha val="89804"/>
          </a:srgbClr>
        </a:solidFill>
        <a:ln w="9525" cap="flat" cmpd="sng" algn="ctr">
          <a:solidFill>
            <a:srgbClr val="63C1DF"/>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ro-RO" sz="900" i="1" kern="1200">
              <a:latin typeface="Arial" pitchFamily="34" charset="0"/>
              <a:cs typeface="Arial" pitchFamily="34" charset="0"/>
            </a:rPr>
            <a:t>Proiectul necesită sprijin financiar de la UE</a:t>
          </a:r>
          <a:endParaRPr lang="en-US" sz="900" i="1" kern="1200">
            <a:latin typeface="Arial" pitchFamily="34" charset="0"/>
            <a:cs typeface="Arial" pitchFamily="34" charset="0"/>
          </a:endParaRPr>
        </a:p>
      </dsp:txBody>
      <dsp:txXfrm>
        <a:off x="1861920" y="2905131"/>
        <a:ext cx="1292698" cy="352827"/>
      </dsp:txXfrm>
    </dsp:sp>
    <dsp:sp modelId="{C3680FB5-2AB3-4D5A-99DE-6B7D362F72EF}">
      <dsp:nvSpPr>
        <dsp:cNvPr id="0" name=""/>
        <dsp:cNvSpPr/>
      </dsp:nvSpPr>
      <dsp:spPr>
        <a:xfrm>
          <a:off x="1064146" y="3399824"/>
          <a:ext cx="2731259" cy="787935"/>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65B9CA51-84ED-4799-9D9D-7E9F32C63911}">
      <dsp:nvSpPr>
        <dsp:cNvPr id="0" name=""/>
        <dsp:cNvSpPr/>
      </dsp:nvSpPr>
      <dsp:spPr>
        <a:xfrm>
          <a:off x="1142640" y="3474393"/>
          <a:ext cx="2731259" cy="787935"/>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ts val="600"/>
            </a:spcAft>
          </a:pPr>
          <a:r>
            <a:rPr lang="en-US" sz="800" b="1" kern="1200">
              <a:latin typeface="Arial" pitchFamily="34" charset="0"/>
              <a:cs typeface="Arial" pitchFamily="34" charset="0"/>
            </a:rPr>
            <a:t>5. </a:t>
          </a:r>
          <a:r>
            <a:rPr lang="ro-RO" sz="800" b="1" kern="1200">
              <a:latin typeface="Arial" pitchFamily="34" charset="0"/>
              <a:cs typeface="Arial" pitchFamily="34" charset="0"/>
            </a:rPr>
            <a:t>Analiză economică</a:t>
          </a:r>
          <a:endParaRPr lang="en-US" sz="800" b="1" kern="1200">
            <a:latin typeface="Arial" pitchFamily="34" charset="0"/>
            <a:cs typeface="Arial" pitchFamily="34" charset="0"/>
          </a:endParaRPr>
        </a:p>
        <a:p>
          <a:pPr lvl="0" algn="l" defTabSz="355600">
            <a:lnSpc>
              <a:spcPct val="90000"/>
            </a:lnSpc>
            <a:spcBef>
              <a:spcPct val="0"/>
            </a:spcBef>
            <a:spcAft>
              <a:spcPts val="0"/>
            </a:spcAft>
          </a:pPr>
          <a:r>
            <a:rPr lang="en-US" sz="800" kern="1200">
              <a:latin typeface="Arial" pitchFamily="34" charset="0"/>
              <a:cs typeface="Arial" pitchFamily="34" charset="0"/>
            </a:rPr>
            <a:t>    -</a:t>
          </a:r>
          <a:r>
            <a:rPr lang="ro-RO" sz="800" kern="1200">
              <a:latin typeface="Arial" pitchFamily="34" charset="0"/>
              <a:cs typeface="Arial" pitchFamily="34" charset="0"/>
            </a:rPr>
            <a:t>De la prețuri de piață la prețuri contabile</a:t>
          </a:r>
          <a:r>
            <a:rPr lang="en-US" sz="800" kern="1200">
              <a:latin typeface="Arial" pitchFamily="34" charset="0"/>
              <a:cs typeface="Arial" pitchFamily="34" charset="0"/>
            </a:rPr>
            <a:t>;</a:t>
          </a:r>
        </a:p>
        <a:p>
          <a:pPr lvl="0" algn="l" defTabSz="355600">
            <a:lnSpc>
              <a:spcPct val="90000"/>
            </a:lnSpc>
            <a:spcBef>
              <a:spcPct val="0"/>
            </a:spcBef>
            <a:spcAft>
              <a:spcPts val="0"/>
            </a:spcAft>
          </a:pPr>
          <a:r>
            <a:rPr lang="en-US" sz="800" kern="1200">
              <a:latin typeface="Arial" pitchFamily="34" charset="0"/>
              <a:cs typeface="Arial" pitchFamily="34" charset="0"/>
            </a:rPr>
            <a:t>    -</a:t>
          </a:r>
          <a:r>
            <a:rPr lang="ro-RO" sz="800" kern="1200">
              <a:latin typeface="Arial" pitchFamily="34" charset="0"/>
              <a:cs typeface="Arial" pitchFamily="34" charset="0"/>
            </a:rPr>
            <a:t>Cuantificare financiară a impactului în afara pieței</a:t>
          </a:r>
          <a:r>
            <a:rPr lang="en-US" sz="800" kern="1200">
              <a:latin typeface="Arial" pitchFamily="34" charset="0"/>
              <a:cs typeface="Arial" pitchFamily="34" charset="0"/>
            </a:rPr>
            <a:t>;</a:t>
          </a:r>
        </a:p>
        <a:p>
          <a:pPr lvl="0" algn="l" defTabSz="355600">
            <a:lnSpc>
              <a:spcPct val="90000"/>
            </a:lnSpc>
            <a:spcBef>
              <a:spcPct val="0"/>
            </a:spcBef>
            <a:spcAft>
              <a:spcPts val="0"/>
            </a:spcAft>
          </a:pPr>
          <a:r>
            <a:rPr lang="en-US" sz="800" kern="1200">
              <a:latin typeface="Arial" pitchFamily="34" charset="0"/>
              <a:cs typeface="Arial" pitchFamily="34" charset="0"/>
            </a:rPr>
            <a:t>    -</a:t>
          </a:r>
          <a:r>
            <a:rPr lang="ro-RO" sz="800" kern="1200">
              <a:latin typeface="Arial" pitchFamily="34" charset="0"/>
              <a:cs typeface="Arial" pitchFamily="34" charset="0"/>
            </a:rPr>
            <a:t>Includerea de efecte indirecte suplimentare</a:t>
          </a:r>
          <a:r>
            <a:rPr lang="en-US" sz="800" kern="1200">
              <a:latin typeface="Arial" pitchFamily="34" charset="0"/>
              <a:cs typeface="Arial" pitchFamily="34" charset="0"/>
            </a:rPr>
            <a:t>;</a:t>
          </a:r>
        </a:p>
        <a:p>
          <a:pPr lvl="0" algn="l" defTabSz="355600">
            <a:lnSpc>
              <a:spcPct val="90000"/>
            </a:lnSpc>
            <a:spcBef>
              <a:spcPct val="0"/>
            </a:spcBef>
            <a:spcAft>
              <a:spcPts val="0"/>
            </a:spcAft>
          </a:pPr>
          <a:r>
            <a:rPr lang="en-US" sz="800" kern="1200">
              <a:latin typeface="Arial" pitchFamily="34" charset="0"/>
              <a:cs typeface="Arial" pitchFamily="34" charset="0"/>
            </a:rPr>
            <a:t>    -</a:t>
          </a:r>
          <a:r>
            <a:rPr lang="ro-RO" sz="800" b="0" kern="1200">
              <a:latin typeface="Arial" pitchFamily="34" charset="0"/>
              <a:cs typeface="Arial" pitchFamily="34" charset="0"/>
            </a:rPr>
            <a:t>Actualizări sociale</a:t>
          </a:r>
          <a:r>
            <a:rPr lang="en-US" sz="800" b="1" kern="1200">
              <a:latin typeface="Arial" pitchFamily="34" charset="0"/>
              <a:cs typeface="Arial" pitchFamily="34" charset="0"/>
            </a:rPr>
            <a:t>;</a:t>
          </a:r>
        </a:p>
        <a:p>
          <a:pPr lvl="0" algn="l" defTabSz="355600">
            <a:lnSpc>
              <a:spcPct val="90000"/>
            </a:lnSpc>
            <a:spcBef>
              <a:spcPct val="0"/>
            </a:spcBef>
            <a:spcAft>
              <a:spcPts val="0"/>
            </a:spcAft>
          </a:pPr>
          <a:r>
            <a:rPr lang="en-US" sz="800" kern="1200">
              <a:latin typeface="Arial" pitchFamily="34" charset="0"/>
              <a:cs typeface="Arial" pitchFamily="34" charset="0"/>
            </a:rPr>
            <a:t>    -</a:t>
          </a:r>
          <a:r>
            <a:rPr lang="ro-RO" sz="800" kern="1200">
              <a:latin typeface="Arial" pitchFamily="34" charset="0"/>
              <a:cs typeface="Arial" pitchFamily="34" charset="0"/>
            </a:rPr>
            <a:t>Calcularea indicatorilor economici de performanță </a:t>
          </a:r>
          <a:endParaRPr lang="en-US" sz="800" kern="1200">
            <a:latin typeface="Arial" pitchFamily="34" charset="0"/>
            <a:cs typeface="Arial" pitchFamily="34" charset="0"/>
          </a:endParaRPr>
        </a:p>
      </dsp:txBody>
      <dsp:txXfrm>
        <a:off x="1165718" y="3497471"/>
        <a:ext cx="2685103" cy="741779"/>
      </dsp:txXfrm>
    </dsp:sp>
    <dsp:sp modelId="{B1081B2D-905F-4A46-B5CB-3BE31620AE0D}">
      <dsp:nvSpPr>
        <dsp:cNvPr id="0" name=""/>
        <dsp:cNvSpPr/>
      </dsp:nvSpPr>
      <dsp:spPr>
        <a:xfrm>
          <a:off x="1070973" y="4393217"/>
          <a:ext cx="1286507" cy="337036"/>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C056F3F0-7262-444C-ABA8-4DD3F546BE2B}">
      <dsp:nvSpPr>
        <dsp:cNvPr id="0" name=""/>
        <dsp:cNvSpPr/>
      </dsp:nvSpPr>
      <dsp:spPr>
        <a:xfrm>
          <a:off x="1149467" y="4467787"/>
          <a:ext cx="1286507" cy="337036"/>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kern="1200">
              <a:latin typeface="Arial" pitchFamily="34" charset="0"/>
              <a:cs typeface="Arial" pitchFamily="34" charset="0"/>
            </a:rPr>
            <a:t>Dacă VANE </a:t>
          </a:r>
          <a:r>
            <a:rPr lang="en-US" sz="900" kern="1200">
              <a:latin typeface="Arial" pitchFamily="34" charset="0"/>
              <a:cs typeface="Arial" pitchFamily="34" charset="0"/>
            </a:rPr>
            <a:t>&lt; 0</a:t>
          </a:r>
        </a:p>
      </dsp:txBody>
      <dsp:txXfrm>
        <a:off x="1159338" y="4477658"/>
        <a:ext cx="1266765" cy="317294"/>
      </dsp:txXfrm>
    </dsp:sp>
    <dsp:sp modelId="{B59065B0-7F58-4043-82D8-3568B129D0A8}">
      <dsp:nvSpPr>
        <dsp:cNvPr id="0" name=""/>
        <dsp:cNvSpPr/>
      </dsp:nvSpPr>
      <dsp:spPr>
        <a:xfrm>
          <a:off x="1086953" y="4935712"/>
          <a:ext cx="1254548" cy="337036"/>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1919BD5D-B387-4446-AD0C-932EA92DF99E}">
      <dsp:nvSpPr>
        <dsp:cNvPr id="0" name=""/>
        <dsp:cNvSpPr/>
      </dsp:nvSpPr>
      <dsp:spPr>
        <a:xfrm>
          <a:off x="1165447" y="5010281"/>
          <a:ext cx="1254548" cy="337036"/>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i="1" kern="1200">
              <a:latin typeface="Arial" pitchFamily="34" charset="0"/>
              <a:cs typeface="Arial" pitchFamily="34" charset="0"/>
            </a:rPr>
            <a:t>Impactul social al proiectului este negativ.</a:t>
          </a:r>
          <a:endParaRPr lang="en-US" sz="900" i="1" kern="1200">
            <a:latin typeface="Arial" pitchFamily="34" charset="0"/>
            <a:cs typeface="Arial" pitchFamily="34" charset="0"/>
          </a:endParaRPr>
        </a:p>
      </dsp:txBody>
      <dsp:txXfrm>
        <a:off x="1175318" y="5020152"/>
        <a:ext cx="1234806" cy="317294"/>
      </dsp:txXfrm>
    </dsp:sp>
    <dsp:sp modelId="{06A99070-ACBA-4501-B979-7B2E3445977C}">
      <dsp:nvSpPr>
        <dsp:cNvPr id="0" name=""/>
        <dsp:cNvSpPr/>
      </dsp:nvSpPr>
      <dsp:spPr>
        <a:xfrm>
          <a:off x="2514469" y="4393217"/>
          <a:ext cx="1274109" cy="337036"/>
        </a:xfrm>
        <a:prstGeom prst="roundRect">
          <a:avLst>
            <a:gd name="adj" fmla="val 10000"/>
          </a:avLst>
        </a:prstGeom>
        <a:solidFill>
          <a:srgbClr val="7DDC1E"/>
        </a:solidFill>
        <a:ln>
          <a:solidFill>
            <a:srgbClr val="7DDC1E"/>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F5DFA7EE-8758-4220-AEF2-819A399EFF15}">
      <dsp:nvSpPr>
        <dsp:cNvPr id="0" name=""/>
        <dsp:cNvSpPr/>
      </dsp:nvSpPr>
      <dsp:spPr>
        <a:xfrm>
          <a:off x="2592963" y="4467787"/>
          <a:ext cx="1274109" cy="337036"/>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kern="1200">
              <a:latin typeface="Arial" pitchFamily="34" charset="0"/>
              <a:cs typeface="Arial" pitchFamily="34" charset="0"/>
            </a:rPr>
            <a:t>Dacă VANE </a:t>
          </a:r>
          <a:r>
            <a:rPr lang="en-US" sz="900" kern="1200">
              <a:latin typeface="Arial" pitchFamily="34" charset="0"/>
              <a:cs typeface="Arial" pitchFamily="34" charset="0"/>
            </a:rPr>
            <a:t>&gt; 0</a:t>
          </a:r>
        </a:p>
      </dsp:txBody>
      <dsp:txXfrm>
        <a:off x="2602834" y="4477658"/>
        <a:ext cx="1254367" cy="317294"/>
      </dsp:txXfrm>
    </dsp:sp>
    <dsp:sp modelId="{4413ACEB-9430-4591-9C1B-413CE27CDBB5}">
      <dsp:nvSpPr>
        <dsp:cNvPr id="0" name=""/>
        <dsp:cNvSpPr/>
      </dsp:nvSpPr>
      <dsp:spPr>
        <a:xfrm>
          <a:off x="2528696" y="4935712"/>
          <a:ext cx="1245654" cy="337036"/>
        </a:xfrm>
        <a:prstGeom prst="roundRect">
          <a:avLst>
            <a:gd name="adj" fmla="val 10000"/>
          </a:avLst>
        </a:prstGeom>
        <a:solidFill>
          <a:srgbClr val="7DDC1E"/>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A2023FD-6580-426B-91AB-2F1CD747678F}">
      <dsp:nvSpPr>
        <dsp:cNvPr id="0" name=""/>
        <dsp:cNvSpPr/>
      </dsp:nvSpPr>
      <dsp:spPr>
        <a:xfrm>
          <a:off x="2607190" y="5010281"/>
          <a:ext cx="1245654" cy="337036"/>
        </a:xfrm>
        <a:prstGeom prst="roundRect">
          <a:avLst>
            <a:gd name="adj" fmla="val 10000"/>
          </a:avLst>
        </a:prstGeom>
        <a:solidFill>
          <a:srgbClr val="D4F4B6">
            <a:alpha val="89804"/>
          </a:srgbClr>
        </a:solidFill>
        <a:ln w="9525" cap="flat" cmpd="sng" algn="ctr">
          <a:solidFill>
            <a:srgbClr val="7DDC1E"/>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o-RO" sz="900" i="1" kern="1200">
              <a:latin typeface="Arial" pitchFamily="34" charset="0"/>
              <a:cs typeface="Arial" pitchFamily="34" charset="0"/>
            </a:rPr>
            <a:t>Impactul social al proiectului este pozitiv. </a:t>
          </a:r>
          <a:endParaRPr lang="en-US" sz="900" i="1" kern="1200">
            <a:latin typeface="Arial" pitchFamily="34" charset="0"/>
            <a:cs typeface="Arial" pitchFamily="34" charset="0"/>
          </a:endParaRPr>
        </a:p>
      </dsp:txBody>
      <dsp:txXfrm>
        <a:off x="2617061" y="5020152"/>
        <a:ext cx="1225912" cy="317294"/>
      </dsp:txXfrm>
    </dsp:sp>
    <dsp:sp modelId="{7FAB7254-BEEC-458E-9759-7A13EA33695E}">
      <dsp:nvSpPr>
        <dsp:cNvPr id="0" name=""/>
        <dsp:cNvSpPr/>
      </dsp:nvSpPr>
      <dsp:spPr>
        <a:xfrm>
          <a:off x="1831537" y="5478207"/>
          <a:ext cx="2639972" cy="732269"/>
        </a:xfrm>
        <a:prstGeom prst="roundRect">
          <a:avLst>
            <a:gd name="adj" fmla="val 10000"/>
          </a:avLst>
        </a:prstGeom>
        <a:solidFill>
          <a:srgbClr val="9E0880"/>
        </a:solidFill>
        <a:ln>
          <a:solidFill>
            <a:srgbClr val="9E0880"/>
          </a:solid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695F7FD3-3230-496F-AE1D-FBD28A0DE1AA}">
      <dsp:nvSpPr>
        <dsp:cNvPr id="0" name=""/>
        <dsp:cNvSpPr/>
      </dsp:nvSpPr>
      <dsp:spPr>
        <a:xfrm>
          <a:off x="1910031" y="5552776"/>
          <a:ext cx="2639972" cy="732269"/>
        </a:xfrm>
        <a:prstGeom prst="roundRect">
          <a:avLst>
            <a:gd name="adj" fmla="val 10000"/>
          </a:avLst>
        </a:prstGeom>
        <a:solidFill>
          <a:srgbClr val="FDE3F8">
            <a:alpha val="89804"/>
          </a:srgbClr>
        </a:solidFill>
        <a:ln w="9525" cap="flat" cmpd="sng" algn="ctr">
          <a:solidFill>
            <a:srgbClr val="9E0880"/>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en-US" sz="900" b="1" kern="1200">
              <a:solidFill>
                <a:sysClr val="windowText" lastClr="000000"/>
              </a:solidFill>
              <a:latin typeface="Arial" pitchFamily="34" charset="0"/>
              <a:cs typeface="Arial" pitchFamily="34" charset="0"/>
            </a:rPr>
            <a:t>6. </a:t>
          </a:r>
          <a:r>
            <a:rPr lang="ro-RO" sz="900" b="1" kern="1200">
              <a:solidFill>
                <a:sysClr val="windowText" lastClr="000000"/>
              </a:solidFill>
              <a:latin typeface="Arial" pitchFamily="34" charset="0"/>
              <a:cs typeface="Arial" pitchFamily="34" charset="0"/>
            </a:rPr>
            <a:t>Evaluare a riscurilor</a:t>
          </a:r>
          <a:endParaRPr lang="en-US" sz="900" b="1" kern="1200">
            <a:solidFill>
              <a:sysClr val="windowText" lastClr="000000"/>
            </a:solidFill>
            <a:latin typeface="Arial" pitchFamily="34" charset="0"/>
            <a:cs typeface="Arial" pitchFamily="34" charset="0"/>
          </a:endParaRP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a:t>
          </a:r>
          <a:r>
            <a:rPr lang="ro-RO" sz="900" kern="1200">
              <a:solidFill>
                <a:sysClr val="windowText" lastClr="000000"/>
              </a:solidFill>
              <a:latin typeface="Arial" pitchFamily="34" charset="0"/>
              <a:cs typeface="Arial" pitchFamily="34" charset="0"/>
            </a:rPr>
            <a:t>Analiză de senzitivitate</a:t>
          </a:r>
          <a:r>
            <a:rPr lang="en-US" sz="900" kern="1200">
              <a:solidFill>
                <a:sysClr val="windowText" lastClr="000000"/>
              </a:solidFill>
              <a:latin typeface="Arial" pitchFamily="34" charset="0"/>
              <a:cs typeface="Arial" pitchFamily="34" charset="0"/>
            </a:rPr>
            <a:t>;</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a:t>
          </a:r>
          <a:r>
            <a:rPr lang="ro-RO" sz="900" kern="1200">
              <a:solidFill>
                <a:sysClr val="windowText" lastClr="000000"/>
              </a:solidFill>
              <a:latin typeface="Arial" pitchFamily="34" charset="0"/>
              <a:cs typeface="Arial" pitchFamily="34" charset="0"/>
            </a:rPr>
            <a:t>Distribuție probabilă a variabilelor critice</a:t>
          </a:r>
          <a:r>
            <a:rPr lang="en-US" sz="900" kern="1200">
              <a:solidFill>
                <a:sysClr val="windowText" lastClr="000000"/>
              </a:solidFill>
              <a:latin typeface="Arial" pitchFamily="34" charset="0"/>
              <a:cs typeface="Arial" pitchFamily="34" charset="0"/>
            </a:rPr>
            <a:t>;</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a:t>
          </a:r>
          <a:r>
            <a:rPr lang="ro-RO" sz="900" kern="1200">
              <a:solidFill>
                <a:sysClr val="windowText" lastClr="000000"/>
              </a:solidFill>
              <a:latin typeface="Arial" pitchFamily="34" charset="0"/>
              <a:cs typeface="Arial" pitchFamily="34" charset="0"/>
            </a:rPr>
            <a:t>Analiza de risc</a:t>
          </a:r>
          <a:r>
            <a:rPr lang="en-US" sz="900" kern="1200">
              <a:solidFill>
                <a:sysClr val="windowText" lastClr="000000"/>
              </a:solidFill>
              <a:latin typeface="Arial" pitchFamily="34" charset="0"/>
              <a:cs typeface="Arial" pitchFamily="34" charset="0"/>
            </a:rPr>
            <a:t>;</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a:t>
          </a:r>
          <a:r>
            <a:rPr lang="ro-RO" sz="900" kern="1200">
              <a:solidFill>
                <a:sysClr val="windowText" lastClr="000000"/>
              </a:solidFill>
              <a:latin typeface="Arial" pitchFamily="34" charset="0"/>
              <a:cs typeface="Arial" pitchFamily="34" charset="0"/>
            </a:rPr>
            <a:t>Estimarea nivelelor acceptabile de risc</a:t>
          </a:r>
          <a:r>
            <a:rPr lang="en-US" sz="900" kern="1200">
              <a:solidFill>
                <a:sysClr val="windowText" lastClr="000000"/>
              </a:solidFill>
              <a:latin typeface="Arial" pitchFamily="34" charset="0"/>
              <a:cs typeface="Arial" pitchFamily="34" charset="0"/>
            </a:rPr>
            <a:t>;</a:t>
          </a:r>
        </a:p>
        <a:p>
          <a:pPr lvl="0" algn="l" defTabSz="400050">
            <a:lnSpc>
              <a:spcPct val="90000"/>
            </a:lnSpc>
            <a:spcBef>
              <a:spcPct val="0"/>
            </a:spcBef>
            <a:spcAft>
              <a:spcPts val="0"/>
            </a:spcAft>
          </a:pPr>
          <a:r>
            <a:rPr lang="en-US" sz="900" kern="1200">
              <a:solidFill>
                <a:sysClr val="windowText" lastClr="000000"/>
              </a:solidFill>
              <a:latin typeface="Arial" pitchFamily="34" charset="0"/>
              <a:cs typeface="Arial" pitchFamily="34" charset="0"/>
            </a:rPr>
            <a:t>    -</a:t>
          </a:r>
          <a:r>
            <a:rPr lang="ro-RO" sz="900" kern="1200">
              <a:solidFill>
                <a:sysClr val="windowText" lastClr="000000"/>
              </a:solidFill>
              <a:latin typeface="Arial" pitchFamily="34" charset="0"/>
              <a:cs typeface="Arial" pitchFamily="34" charset="0"/>
            </a:rPr>
            <a:t>Prevenirea riscurilor</a:t>
          </a:r>
          <a:r>
            <a:rPr lang="en-US" sz="900" kern="1200">
              <a:solidFill>
                <a:sysClr val="windowText" lastClr="000000"/>
              </a:solidFill>
              <a:latin typeface="Arial" pitchFamily="34" charset="0"/>
              <a:cs typeface="Arial" pitchFamily="34" charset="0"/>
            </a:rPr>
            <a:t>.</a:t>
          </a:r>
        </a:p>
      </dsp:txBody>
      <dsp:txXfrm>
        <a:off x="1931478" y="5574223"/>
        <a:ext cx="2597078" cy="689375"/>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3007DB-AD65-420C-BE8E-BB80ACA5E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 Portrait Report</Template>
  <TotalTime>408</TotalTime>
  <Pages>383</Pages>
  <Words>160727</Words>
  <Characters>932220</Characters>
  <Application>Microsoft Office Word</Application>
  <DocSecurity>0</DocSecurity>
  <Lines>7768</Lines>
  <Paragraphs>2181</Paragraphs>
  <ScaleCrop>false</ScaleCrop>
  <HeadingPairs>
    <vt:vector size="2" baseType="variant">
      <vt:variant>
        <vt:lpstr>Title</vt:lpstr>
      </vt:variant>
      <vt:variant>
        <vt:i4>1</vt:i4>
      </vt:variant>
    </vt:vector>
  </HeadingPairs>
  <TitlesOfParts>
    <vt:vector size="1" baseType="lpstr">
      <vt:lpstr>National Guide for Tansport Project Evaluation</vt:lpstr>
    </vt:vector>
  </TitlesOfParts>
  <Company>AECOM</Company>
  <LinksUpToDate>false</LinksUpToDate>
  <CharactersWithSpaces>1090766</CharactersWithSpaces>
  <SharedDoc>false</SharedDoc>
  <HLinks>
    <vt:vector size="150" baseType="variant">
      <vt:variant>
        <vt:i4>1179709</vt:i4>
      </vt:variant>
      <vt:variant>
        <vt:i4>155</vt:i4>
      </vt:variant>
      <vt:variant>
        <vt:i4>0</vt:i4>
      </vt:variant>
      <vt:variant>
        <vt:i4>5</vt:i4>
      </vt:variant>
      <vt:variant>
        <vt:lpwstr/>
      </vt:variant>
      <vt:variant>
        <vt:lpwstr>_Toc333583507</vt:lpwstr>
      </vt:variant>
      <vt:variant>
        <vt:i4>1179709</vt:i4>
      </vt:variant>
      <vt:variant>
        <vt:i4>149</vt:i4>
      </vt:variant>
      <vt:variant>
        <vt:i4>0</vt:i4>
      </vt:variant>
      <vt:variant>
        <vt:i4>5</vt:i4>
      </vt:variant>
      <vt:variant>
        <vt:lpwstr/>
      </vt:variant>
      <vt:variant>
        <vt:lpwstr>_Toc333583506</vt:lpwstr>
      </vt:variant>
      <vt:variant>
        <vt:i4>1179709</vt:i4>
      </vt:variant>
      <vt:variant>
        <vt:i4>143</vt:i4>
      </vt:variant>
      <vt:variant>
        <vt:i4>0</vt:i4>
      </vt:variant>
      <vt:variant>
        <vt:i4>5</vt:i4>
      </vt:variant>
      <vt:variant>
        <vt:lpwstr/>
      </vt:variant>
      <vt:variant>
        <vt:lpwstr>_Toc333583505</vt:lpwstr>
      </vt:variant>
      <vt:variant>
        <vt:i4>1179709</vt:i4>
      </vt:variant>
      <vt:variant>
        <vt:i4>137</vt:i4>
      </vt:variant>
      <vt:variant>
        <vt:i4>0</vt:i4>
      </vt:variant>
      <vt:variant>
        <vt:i4>5</vt:i4>
      </vt:variant>
      <vt:variant>
        <vt:lpwstr/>
      </vt:variant>
      <vt:variant>
        <vt:lpwstr>_Toc333583504</vt:lpwstr>
      </vt:variant>
      <vt:variant>
        <vt:i4>1179709</vt:i4>
      </vt:variant>
      <vt:variant>
        <vt:i4>131</vt:i4>
      </vt:variant>
      <vt:variant>
        <vt:i4>0</vt:i4>
      </vt:variant>
      <vt:variant>
        <vt:i4>5</vt:i4>
      </vt:variant>
      <vt:variant>
        <vt:lpwstr/>
      </vt:variant>
      <vt:variant>
        <vt:lpwstr>_Toc333583503</vt:lpwstr>
      </vt:variant>
      <vt:variant>
        <vt:i4>1179709</vt:i4>
      </vt:variant>
      <vt:variant>
        <vt:i4>125</vt:i4>
      </vt:variant>
      <vt:variant>
        <vt:i4>0</vt:i4>
      </vt:variant>
      <vt:variant>
        <vt:i4>5</vt:i4>
      </vt:variant>
      <vt:variant>
        <vt:lpwstr/>
      </vt:variant>
      <vt:variant>
        <vt:lpwstr>_Toc333583502</vt:lpwstr>
      </vt:variant>
      <vt:variant>
        <vt:i4>1179709</vt:i4>
      </vt:variant>
      <vt:variant>
        <vt:i4>119</vt:i4>
      </vt:variant>
      <vt:variant>
        <vt:i4>0</vt:i4>
      </vt:variant>
      <vt:variant>
        <vt:i4>5</vt:i4>
      </vt:variant>
      <vt:variant>
        <vt:lpwstr/>
      </vt:variant>
      <vt:variant>
        <vt:lpwstr>_Toc333583501</vt:lpwstr>
      </vt:variant>
      <vt:variant>
        <vt:i4>1179709</vt:i4>
      </vt:variant>
      <vt:variant>
        <vt:i4>113</vt:i4>
      </vt:variant>
      <vt:variant>
        <vt:i4>0</vt:i4>
      </vt:variant>
      <vt:variant>
        <vt:i4>5</vt:i4>
      </vt:variant>
      <vt:variant>
        <vt:lpwstr/>
      </vt:variant>
      <vt:variant>
        <vt:lpwstr>_Toc333583500</vt:lpwstr>
      </vt:variant>
      <vt:variant>
        <vt:i4>1769532</vt:i4>
      </vt:variant>
      <vt:variant>
        <vt:i4>107</vt:i4>
      </vt:variant>
      <vt:variant>
        <vt:i4>0</vt:i4>
      </vt:variant>
      <vt:variant>
        <vt:i4>5</vt:i4>
      </vt:variant>
      <vt:variant>
        <vt:lpwstr/>
      </vt:variant>
      <vt:variant>
        <vt:lpwstr>_Toc333583498</vt:lpwstr>
      </vt:variant>
      <vt:variant>
        <vt:i4>1769532</vt:i4>
      </vt:variant>
      <vt:variant>
        <vt:i4>101</vt:i4>
      </vt:variant>
      <vt:variant>
        <vt:i4>0</vt:i4>
      </vt:variant>
      <vt:variant>
        <vt:i4>5</vt:i4>
      </vt:variant>
      <vt:variant>
        <vt:lpwstr/>
      </vt:variant>
      <vt:variant>
        <vt:lpwstr>_Toc333583497</vt:lpwstr>
      </vt:variant>
      <vt:variant>
        <vt:i4>1769532</vt:i4>
      </vt:variant>
      <vt:variant>
        <vt:i4>95</vt:i4>
      </vt:variant>
      <vt:variant>
        <vt:i4>0</vt:i4>
      </vt:variant>
      <vt:variant>
        <vt:i4>5</vt:i4>
      </vt:variant>
      <vt:variant>
        <vt:lpwstr/>
      </vt:variant>
      <vt:variant>
        <vt:lpwstr>_Toc333583496</vt:lpwstr>
      </vt:variant>
      <vt:variant>
        <vt:i4>1769532</vt:i4>
      </vt:variant>
      <vt:variant>
        <vt:i4>89</vt:i4>
      </vt:variant>
      <vt:variant>
        <vt:i4>0</vt:i4>
      </vt:variant>
      <vt:variant>
        <vt:i4>5</vt:i4>
      </vt:variant>
      <vt:variant>
        <vt:lpwstr/>
      </vt:variant>
      <vt:variant>
        <vt:lpwstr>_Toc333583494</vt:lpwstr>
      </vt:variant>
      <vt:variant>
        <vt:i4>1769532</vt:i4>
      </vt:variant>
      <vt:variant>
        <vt:i4>83</vt:i4>
      </vt:variant>
      <vt:variant>
        <vt:i4>0</vt:i4>
      </vt:variant>
      <vt:variant>
        <vt:i4>5</vt:i4>
      </vt:variant>
      <vt:variant>
        <vt:lpwstr/>
      </vt:variant>
      <vt:variant>
        <vt:lpwstr>_Toc333583493</vt:lpwstr>
      </vt:variant>
      <vt:variant>
        <vt:i4>1769532</vt:i4>
      </vt:variant>
      <vt:variant>
        <vt:i4>77</vt:i4>
      </vt:variant>
      <vt:variant>
        <vt:i4>0</vt:i4>
      </vt:variant>
      <vt:variant>
        <vt:i4>5</vt:i4>
      </vt:variant>
      <vt:variant>
        <vt:lpwstr/>
      </vt:variant>
      <vt:variant>
        <vt:lpwstr>_Toc333583492</vt:lpwstr>
      </vt:variant>
      <vt:variant>
        <vt:i4>1769532</vt:i4>
      </vt:variant>
      <vt:variant>
        <vt:i4>71</vt:i4>
      </vt:variant>
      <vt:variant>
        <vt:i4>0</vt:i4>
      </vt:variant>
      <vt:variant>
        <vt:i4>5</vt:i4>
      </vt:variant>
      <vt:variant>
        <vt:lpwstr/>
      </vt:variant>
      <vt:variant>
        <vt:lpwstr>_Toc333583491</vt:lpwstr>
      </vt:variant>
      <vt:variant>
        <vt:i4>1769532</vt:i4>
      </vt:variant>
      <vt:variant>
        <vt:i4>65</vt:i4>
      </vt:variant>
      <vt:variant>
        <vt:i4>0</vt:i4>
      </vt:variant>
      <vt:variant>
        <vt:i4>5</vt:i4>
      </vt:variant>
      <vt:variant>
        <vt:lpwstr/>
      </vt:variant>
      <vt:variant>
        <vt:lpwstr>_Toc333583490</vt:lpwstr>
      </vt:variant>
      <vt:variant>
        <vt:i4>1703996</vt:i4>
      </vt:variant>
      <vt:variant>
        <vt:i4>59</vt:i4>
      </vt:variant>
      <vt:variant>
        <vt:i4>0</vt:i4>
      </vt:variant>
      <vt:variant>
        <vt:i4>5</vt:i4>
      </vt:variant>
      <vt:variant>
        <vt:lpwstr/>
      </vt:variant>
      <vt:variant>
        <vt:lpwstr>_Toc333583489</vt:lpwstr>
      </vt:variant>
      <vt:variant>
        <vt:i4>1703996</vt:i4>
      </vt:variant>
      <vt:variant>
        <vt:i4>53</vt:i4>
      </vt:variant>
      <vt:variant>
        <vt:i4>0</vt:i4>
      </vt:variant>
      <vt:variant>
        <vt:i4>5</vt:i4>
      </vt:variant>
      <vt:variant>
        <vt:lpwstr/>
      </vt:variant>
      <vt:variant>
        <vt:lpwstr>_Toc333583488</vt:lpwstr>
      </vt:variant>
      <vt:variant>
        <vt:i4>1703996</vt:i4>
      </vt:variant>
      <vt:variant>
        <vt:i4>47</vt:i4>
      </vt:variant>
      <vt:variant>
        <vt:i4>0</vt:i4>
      </vt:variant>
      <vt:variant>
        <vt:i4>5</vt:i4>
      </vt:variant>
      <vt:variant>
        <vt:lpwstr/>
      </vt:variant>
      <vt:variant>
        <vt:lpwstr>_Toc333583487</vt:lpwstr>
      </vt:variant>
      <vt:variant>
        <vt:i4>1703996</vt:i4>
      </vt:variant>
      <vt:variant>
        <vt:i4>41</vt:i4>
      </vt:variant>
      <vt:variant>
        <vt:i4>0</vt:i4>
      </vt:variant>
      <vt:variant>
        <vt:i4>5</vt:i4>
      </vt:variant>
      <vt:variant>
        <vt:lpwstr/>
      </vt:variant>
      <vt:variant>
        <vt:lpwstr>_Toc333583486</vt:lpwstr>
      </vt:variant>
      <vt:variant>
        <vt:i4>1703996</vt:i4>
      </vt:variant>
      <vt:variant>
        <vt:i4>35</vt:i4>
      </vt:variant>
      <vt:variant>
        <vt:i4>0</vt:i4>
      </vt:variant>
      <vt:variant>
        <vt:i4>5</vt:i4>
      </vt:variant>
      <vt:variant>
        <vt:lpwstr/>
      </vt:variant>
      <vt:variant>
        <vt:lpwstr>_Toc333583485</vt:lpwstr>
      </vt:variant>
      <vt:variant>
        <vt:i4>1703996</vt:i4>
      </vt:variant>
      <vt:variant>
        <vt:i4>29</vt:i4>
      </vt:variant>
      <vt:variant>
        <vt:i4>0</vt:i4>
      </vt:variant>
      <vt:variant>
        <vt:i4>5</vt:i4>
      </vt:variant>
      <vt:variant>
        <vt:lpwstr/>
      </vt:variant>
      <vt:variant>
        <vt:lpwstr>_Toc333583484</vt:lpwstr>
      </vt:variant>
      <vt:variant>
        <vt:i4>1703996</vt:i4>
      </vt:variant>
      <vt:variant>
        <vt:i4>23</vt:i4>
      </vt:variant>
      <vt:variant>
        <vt:i4>0</vt:i4>
      </vt:variant>
      <vt:variant>
        <vt:i4>5</vt:i4>
      </vt:variant>
      <vt:variant>
        <vt:lpwstr/>
      </vt:variant>
      <vt:variant>
        <vt:lpwstr>_Toc333583483</vt:lpwstr>
      </vt:variant>
      <vt:variant>
        <vt:i4>1703996</vt:i4>
      </vt:variant>
      <vt:variant>
        <vt:i4>17</vt:i4>
      </vt:variant>
      <vt:variant>
        <vt:i4>0</vt:i4>
      </vt:variant>
      <vt:variant>
        <vt:i4>5</vt:i4>
      </vt:variant>
      <vt:variant>
        <vt:lpwstr/>
      </vt:variant>
      <vt:variant>
        <vt:lpwstr>_Toc333583482</vt:lpwstr>
      </vt:variant>
      <vt:variant>
        <vt:i4>1703996</vt:i4>
      </vt:variant>
      <vt:variant>
        <vt:i4>11</vt:i4>
      </vt:variant>
      <vt:variant>
        <vt:i4>0</vt:i4>
      </vt:variant>
      <vt:variant>
        <vt:i4>5</vt:i4>
      </vt:variant>
      <vt:variant>
        <vt:lpwstr/>
      </vt:variant>
      <vt:variant>
        <vt:lpwstr>_Toc333583481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Guide for Tansport Project Evaluation</dc:title>
  <dc:creator>Daniel Aldridge</dc:creator>
  <cp:lastModifiedBy>Adrian Olteanu</cp:lastModifiedBy>
  <cp:revision>41</cp:revision>
  <cp:lastPrinted>2014-10-01T13:33:00Z</cp:lastPrinted>
  <dcterms:created xsi:type="dcterms:W3CDTF">2015-02-27T13:57:00Z</dcterms:created>
  <dcterms:modified xsi:type="dcterms:W3CDTF">2015-04-22T07:57:00Z</dcterms:modified>
</cp:coreProperties>
</file>